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5D3E" w:rsidRPr="000E462E" w:rsidRDefault="00D97976">
      <w:pPr>
        <w:pBdr>
          <w:top w:val="nil"/>
          <w:left w:val="nil"/>
          <w:bottom w:val="nil"/>
          <w:right w:val="nil"/>
          <w:between w:val="nil"/>
        </w:pBdr>
        <w:spacing w:line="360" w:lineRule="auto"/>
        <w:ind w:right="-709"/>
        <w:jc w:val="both"/>
        <w:rPr>
          <w:rFonts w:ascii="Palatino Linotype" w:eastAsia="Palatino Linotype" w:hAnsi="Palatino Linotype" w:cs="Palatino Linotype"/>
          <w:b/>
          <w:color w:val="000000"/>
        </w:rPr>
      </w:pPr>
      <w:bookmarkStart w:id="0" w:name="_GoBack"/>
      <w:bookmarkEnd w:id="0"/>
      <w:r w:rsidRPr="007968B8">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w:t>
      </w:r>
      <w:r w:rsidR="007968B8" w:rsidRPr="000E462E">
        <w:rPr>
          <w:rFonts w:ascii="Palatino Linotype" w:eastAsia="Palatino Linotype" w:hAnsi="Palatino Linotype" w:cs="Palatino Linotype"/>
          <w:b/>
          <w:color w:val="000000"/>
        </w:rPr>
        <w:t>de fecha</w:t>
      </w:r>
      <w:r w:rsidRPr="000E462E">
        <w:rPr>
          <w:rFonts w:ascii="Palatino Linotype" w:eastAsia="Palatino Linotype" w:hAnsi="Palatino Linotype" w:cs="Palatino Linotype"/>
          <w:b/>
          <w:color w:val="000000"/>
        </w:rPr>
        <w:t xml:space="preserve"> cinco </w:t>
      </w:r>
      <w:r w:rsidR="007968B8" w:rsidRPr="000E462E">
        <w:rPr>
          <w:rFonts w:ascii="Palatino Linotype" w:eastAsia="Palatino Linotype" w:hAnsi="Palatino Linotype" w:cs="Palatino Linotype"/>
          <w:b/>
          <w:color w:val="000000"/>
        </w:rPr>
        <w:t xml:space="preserve">(05) </w:t>
      </w:r>
      <w:r w:rsidRPr="000E462E">
        <w:rPr>
          <w:rFonts w:ascii="Palatino Linotype" w:eastAsia="Palatino Linotype" w:hAnsi="Palatino Linotype" w:cs="Palatino Linotype"/>
          <w:b/>
          <w:color w:val="000000"/>
        </w:rPr>
        <w:t>de febrero de dos mil veintiséis.</w:t>
      </w:r>
    </w:p>
    <w:p w:rsidR="006D5D3E" w:rsidRPr="007968B8" w:rsidRDefault="006D5D3E">
      <w:pPr>
        <w:pBdr>
          <w:top w:val="nil"/>
          <w:left w:val="nil"/>
          <w:bottom w:val="nil"/>
          <w:right w:val="nil"/>
          <w:between w:val="nil"/>
        </w:pBdr>
        <w:spacing w:line="360" w:lineRule="auto"/>
        <w:ind w:right="-709"/>
        <w:jc w:val="both"/>
        <w:rPr>
          <w:rFonts w:ascii="Palatino Linotype" w:eastAsia="Palatino Linotype" w:hAnsi="Palatino Linotype" w:cs="Palatino Linotype"/>
          <w:b/>
          <w:color w:val="000000"/>
        </w:rPr>
      </w:pPr>
    </w:p>
    <w:p w:rsidR="006D5D3E" w:rsidRPr="007968B8" w:rsidRDefault="00E21CAD">
      <w:pPr>
        <w:pBdr>
          <w:top w:val="nil"/>
          <w:left w:val="nil"/>
          <w:bottom w:val="nil"/>
          <w:right w:val="nil"/>
          <w:between w:val="nil"/>
        </w:pBdr>
        <w:spacing w:line="360" w:lineRule="auto"/>
        <w:ind w:right="-709"/>
        <w:jc w:val="both"/>
        <w:rPr>
          <w:rFonts w:ascii="Palatino Linotype" w:eastAsia="Palatino Linotype" w:hAnsi="Palatino Linotype" w:cs="Palatino Linotype"/>
          <w:color w:val="000000"/>
        </w:rPr>
      </w:pPr>
      <w:bookmarkStart w:id="1" w:name="_heading=h.qoqy7xosshzn" w:colFirst="0" w:colLast="0"/>
      <w:bookmarkEnd w:id="1"/>
      <w:r w:rsidRPr="007968B8">
        <w:rPr>
          <w:rFonts w:ascii="Palatino Linotype" w:eastAsia="Palatino Linotype" w:hAnsi="Palatino Linotype" w:cs="Palatino Linotype"/>
          <w:b/>
          <w:color w:val="000000"/>
        </w:rPr>
        <w:t>VISTO</w:t>
      </w:r>
      <w:r w:rsidRPr="007968B8">
        <w:rPr>
          <w:rFonts w:ascii="Palatino Linotype" w:eastAsia="Palatino Linotype" w:hAnsi="Palatino Linotype" w:cs="Palatino Linotype"/>
          <w:color w:val="000000"/>
        </w:rPr>
        <w:t xml:space="preserve"> el expediente electrónico formado con motivo del Recurso</w:t>
      </w:r>
      <w:r w:rsidR="00D97976" w:rsidRPr="007968B8">
        <w:rPr>
          <w:rFonts w:ascii="Palatino Linotype" w:eastAsia="Palatino Linotype" w:hAnsi="Palatino Linotype" w:cs="Palatino Linotype"/>
          <w:color w:val="000000"/>
        </w:rPr>
        <w:t xml:space="preserve"> de Revisión </w:t>
      </w:r>
      <w:r w:rsidR="00D97976" w:rsidRPr="007968B8">
        <w:rPr>
          <w:rFonts w:ascii="Palatino Linotype" w:eastAsia="Palatino Linotype" w:hAnsi="Palatino Linotype" w:cs="Palatino Linotype"/>
          <w:b/>
          <w:bCs/>
          <w:color w:val="000000"/>
        </w:rPr>
        <w:t xml:space="preserve">11213/INFOEM/IP/RR/2025,  </w:t>
      </w:r>
      <w:r w:rsidR="00D97976" w:rsidRPr="007968B8">
        <w:rPr>
          <w:rFonts w:ascii="Palatino Linotype" w:eastAsia="Palatino Linotype" w:hAnsi="Palatino Linotype" w:cs="Palatino Linotype"/>
          <w:color w:val="000000"/>
        </w:rPr>
        <w:t xml:space="preserve">promovido por   </w:t>
      </w:r>
      <w:r w:rsidR="000E462E">
        <w:rPr>
          <w:rFonts w:ascii="Palatino Linotype" w:eastAsia="Palatino Linotype" w:hAnsi="Palatino Linotype" w:cs="Palatino Linotype"/>
          <w:b/>
          <w:bCs/>
          <w:color w:val="000000"/>
        </w:rPr>
        <w:t>XXXX</w:t>
      </w:r>
      <w:r w:rsidR="00D97976" w:rsidRPr="007968B8">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00D97976" w:rsidRPr="007968B8">
        <w:rPr>
          <w:rFonts w:ascii="Palatino Linotype" w:eastAsia="Palatino Linotype" w:hAnsi="Palatino Linotype" w:cs="Palatino Linotype"/>
          <w:b/>
          <w:bCs/>
          <w:color w:val="000000"/>
        </w:rPr>
        <w:t>EL RECURRENTE</w:t>
      </w:r>
      <w:r w:rsidRPr="007968B8">
        <w:rPr>
          <w:rFonts w:ascii="Palatino Linotype" w:eastAsia="Palatino Linotype" w:hAnsi="Palatino Linotype" w:cs="Palatino Linotype"/>
          <w:color w:val="000000"/>
        </w:rPr>
        <w:t>, en contra de la respuesta del</w:t>
      </w:r>
      <w:r w:rsidR="00D97976" w:rsidRPr="007968B8">
        <w:rPr>
          <w:rFonts w:ascii="Palatino Linotype" w:eastAsia="Palatino Linotype" w:hAnsi="Palatino Linotype" w:cs="Palatino Linotype"/>
          <w:color w:val="000000"/>
        </w:rPr>
        <w:t xml:space="preserve"> </w:t>
      </w:r>
      <w:r w:rsidR="00D97976" w:rsidRPr="007968B8">
        <w:rPr>
          <w:rFonts w:ascii="Palatino Linotype" w:eastAsia="Palatino Linotype" w:hAnsi="Palatino Linotype" w:cs="Palatino Linotype"/>
          <w:b/>
          <w:bCs/>
          <w:color w:val="000000"/>
        </w:rPr>
        <w:t>Ayuntamiento de San José del Rincón</w:t>
      </w:r>
      <w:r w:rsidR="00D97976" w:rsidRPr="007968B8">
        <w:rPr>
          <w:rFonts w:ascii="Palatino Linotype" w:eastAsia="Palatino Linotype" w:hAnsi="Palatino Linotype" w:cs="Palatino Linotype"/>
          <w:color w:val="000000"/>
        </w:rPr>
        <w:t xml:space="preserve">, en </w:t>
      </w:r>
      <w:r w:rsidR="007968B8">
        <w:rPr>
          <w:rFonts w:ascii="Palatino Linotype" w:eastAsia="Palatino Linotype" w:hAnsi="Palatino Linotype" w:cs="Palatino Linotype"/>
          <w:color w:val="000000"/>
        </w:rPr>
        <w:t>adelante</w:t>
      </w:r>
      <w:r w:rsidR="00D97976" w:rsidRPr="007968B8">
        <w:rPr>
          <w:rFonts w:ascii="Palatino Linotype" w:eastAsia="Palatino Linotype" w:hAnsi="Palatino Linotype" w:cs="Palatino Linotype"/>
          <w:color w:val="000000"/>
        </w:rPr>
        <w:t xml:space="preserve"> </w:t>
      </w:r>
      <w:r w:rsidR="00D97976" w:rsidRPr="007968B8">
        <w:rPr>
          <w:rFonts w:ascii="Palatino Linotype" w:eastAsia="Palatino Linotype" w:hAnsi="Palatino Linotype" w:cs="Palatino Linotype"/>
          <w:b/>
          <w:bCs/>
          <w:color w:val="000000"/>
        </w:rPr>
        <w:t>EL SUJETO OBLIGADO</w:t>
      </w:r>
      <w:r w:rsidR="00D97976" w:rsidRPr="007968B8">
        <w:rPr>
          <w:rFonts w:ascii="Palatino Linotype" w:eastAsia="Palatino Linotype" w:hAnsi="Palatino Linotype" w:cs="Palatino Linotype"/>
          <w:color w:val="000000"/>
        </w:rPr>
        <w:t>, se procede a dictar la presente resolución, con base en los siguientes:</w:t>
      </w:r>
    </w:p>
    <w:p w:rsidR="006D5D3E" w:rsidRPr="007968B8" w:rsidRDefault="006D5D3E">
      <w:pPr>
        <w:pBdr>
          <w:top w:val="nil"/>
          <w:left w:val="nil"/>
          <w:bottom w:val="nil"/>
          <w:right w:val="nil"/>
          <w:between w:val="nil"/>
        </w:pBdr>
        <w:spacing w:line="360" w:lineRule="auto"/>
        <w:ind w:right="-709"/>
        <w:jc w:val="both"/>
        <w:rPr>
          <w:rFonts w:ascii="Palatino Linotype" w:eastAsia="Palatino Linotype" w:hAnsi="Palatino Linotype" w:cs="Palatino Linotype"/>
          <w:color w:val="000000"/>
        </w:rPr>
      </w:pPr>
    </w:p>
    <w:p w:rsidR="006D5D3E" w:rsidRPr="007968B8" w:rsidRDefault="00D97976">
      <w:pPr>
        <w:pBdr>
          <w:top w:val="nil"/>
          <w:left w:val="nil"/>
          <w:bottom w:val="nil"/>
          <w:right w:val="nil"/>
          <w:between w:val="nil"/>
        </w:pBdr>
        <w:spacing w:line="360" w:lineRule="auto"/>
        <w:ind w:right="-709"/>
        <w:jc w:val="center"/>
        <w:rPr>
          <w:rFonts w:ascii="Palatino Linotype" w:eastAsia="Palatino Linotype" w:hAnsi="Palatino Linotype" w:cs="Palatino Linotype"/>
          <w:b/>
          <w:bCs/>
          <w:color w:val="000000"/>
        </w:rPr>
      </w:pPr>
      <w:r w:rsidRPr="007968B8">
        <w:rPr>
          <w:rFonts w:ascii="Palatino Linotype" w:eastAsia="Palatino Linotype" w:hAnsi="Palatino Linotype" w:cs="Palatino Linotype"/>
          <w:b/>
          <w:bCs/>
          <w:color w:val="000000"/>
        </w:rPr>
        <w:t>A N T E C E D E N T E S</w:t>
      </w:r>
    </w:p>
    <w:p w:rsidR="006D5D3E" w:rsidRPr="007968B8" w:rsidRDefault="006D5D3E">
      <w:pPr>
        <w:spacing w:line="360" w:lineRule="auto"/>
        <w:ind w:right="-709"/>
        <w:rPr>
          <w:rFonts w:ascii="Palatino Linotype" w:eastAsia="Palatino Linotype" w:hAnsi="Palatino Linotype" w:cs="Palatino Linotype"/>
        </w:rPr>
      </w:pPr>
    </w:p>
    <w:p w:rsidR="006D5D3E" w:rsidRPr="007968B8" w:rsidRDefault="00D97976">
      <w:pPr>
        <w:numPr>
          <w:ilvl w:val="0"/>
          <w:numId w:val="3"/>
        </w:numPr>
        <w:pBdr>
          <w:top w:val="nil"/>
          <w:left w:val="nil"/>
          <w:bottom w:val="nil"/>
          <w:right w:val="nil"/>
          <w:between w:val="nil"/>
        </w:pBdr>
        <w:spacing w:line="360" w:lineRule="auto"/>
        <w:ind w:left="0" w:right="-709" w:firstLine="0"/>
        <w:jc w:val="both"/>
        <w:rPr>
          <w:i/>
          <w:iCs/>
          <w:color w:val="000000"/>
        </w:rPr>
      </w:pPr>
      <w:r w:rsidRPr="007968B8">
        <w:rPr>
          <w:rFonts w:ascii="Palatino Linotype" w:eastAsia="Palatino Linotype" w:hAnsi="Palatino Linotype" w:cs="Palatino Linotype"/>
          <w:color w:val="000000"/>
        </w:rPr>
        <w:t xml:space="preserve">El </w:t>
      </w:r>
      <w:r w:rsidRPr="007968B8">
        <w:rPr>
          <w:rFonts w:ascii="Palatino Linotype" w:eastAsia="Palatino Linotype" w:hAnsi="Palatino Linotype" w:cs="Palatino Linotype"/>
          <w:b/>
          <w:bCs/>
          <w:color w:val="000000"/>
        </w:rPr>
        <w:t>veinte de agosto de dos mil veinticinco</w:t>
      </w:r>
      <w:r w:rsidRPr="007968B8">
        <w:rPr>
          <w:rFonts w:ascii="Palatino Linotype" w:eastAsia="Palatino Linotype" w:hAnsi="Palatino Linotype" w:cs="Palatino Linotype"/>
          <w:color w:val="000000"/>
        </w:rPr>
        <w:t xml:space="preserve">, se presentó ante el </w:t>
      </w:r>
      <w:r w:rsidRPr="007968B8">
        <w:rPr>
          <w:rFonts w:ascii="Palatino Linotype" w:eastAsia="Palatino Linotype" w:hAnsi="Palatino Linotype" w:cs="Palatino Linotype"/>
          <w:b/>
          <w:bCs/>
          <w:color w:val="000000"/>
        </w:rPr>
        <w:t>SUJETO OBLIGADO</w:t>
      </w:r>
      <w:r w:rsidRPr="007968B8">
        <w:rPr>
          <w:rFonts w:ascii="Palatino Linotype" w:eastAsia="Palatino Linotype" w:hAnsi="Palatino Linotype" w:cs="Palatino Linotype"/>
          <w:color w:val="000000"/>
        </w:rPr>
        <w:t xml:space="preserve"> vía </w:t>
      </w:r>
      <w:r w:rsidRPr="007968B8">
        <w:rPr>
          <w:rFonts w:ascii="Palatino Linotype" w:eastAsia="Palatino Linotype" w:hAnsi="Palatino Linotype" w:cs="Palatino Linotype"/>
          <w:b/>
          <w:bCs/>
          <w:color w:val="000000"/>
        </w:rPr>
        <w:t>SAIMEX</w:t>
      </w:r>
      <w:r w:rsidRPr="007968B8">
        <w:rPr>
          <w:rFonts w:ascii="Palatino Linotype" w:eastAsia="Palatino Linotype" w:hAnsi="Palatino Linotype" w:cs="Palatino Linotype"/>
          <w:color w:val="000000"/>
        </w:rPr>
        <w:t>, la solicitud de información pública registrada bajo el folio</w:t>
      </w:r>
      <w:r w:rsidRPr="007968B8">
        <w:rPr>
          <w:rFonts w:ascii="Palatino Linotype" w:eastAsia="Palatino Linotype" w:hAnsi="Palatino Linotype" w:cs="Palatino Linotype"/>
          <w:b/>
          <w:bCs/>
          <w:color w:val="000000"/>
        </w:rPr>
        <w:t xml:space="preserve"> 00184/JOSERIN/IP/2025: </w:t>
      </w:r>
    </w:p>
    <w:p w:rsidR="006D5D3E" w:rsidRPr="007968B8" w:rsidRDefault="006D5D3E">
      <w:pPr>
        <w:spacing w:line="360" w:lineRule="auto"/>
        <w:ind w:right="-709"/>
        <w:jc w:val="both"/>
        <w:rPr>
          <w:i/>
          <w:iCs/>
        </w:rPr>
      </w:pPr>
    </w:p>
    <w:p w:rsidR="006D5D3E" w:rsidRPr="007968B8" w:rsidRDefault="00D97976">
      <w:pPr>
        <w:spacing w:line="360" w:lineRule="auto"/>
        <w:ind w:left="1134" w:right="709"/>
        <w:jc w:val="both"/>
        <w:rPr>
          <w:i/>
          <w:iCs/>
        </w:rPr>
      </w:pPr>
      <w:r w:rsidRPr="007968B8">
        <w:rPr>
          <w:rFonts w:ascii="Palatino Linotype" w:eastAsia="Palatino Linotype" w:hAnsi="Palatino Linotype" w:cs="Palatino Linotype"/>
          <w:i/>
          <w:iCs/>
        </w:rPr>
        <w:t>“Solicito saber con que recurso se hizo el bacheo de la carretera villa victoria el oro que publicaron en sus redes el 8 de agosto de este año, cuánto costó, en donde se compraron los materiales, que cantidad de materiales se ocupó, en que tiempo se hizo y cuántos metros cuadrados fueron bacheados. También que me digan si se continuará con el bacheo de otras calles y cuáles serán estás.”</w:t>
      </w:r>
      <w:r w:rsidRPr="007968B8">
        <w:rPr>
          <w:rFonts w:ascii="Palatino Linotype" w:eastAsia="Palatino Linotype" w:hAnsi="Palatino Linotype" w:cs="Palatino Linotype"/>
        </w:rPr>
        <w:t>(Sic)</w:t>
      </w:r>
      <w:r w:rsidRPr="007968B8">
        <w:t>.</w:t>
      </w:r>
    </w:p>
    <w:p w:rsidR="006D5D3E" w:rsidRPr="007968B8" w:rsidRDefault="006D5D3E">
      <w:pPr>
        <w:pBdr>
          <w:top w:val="nil"/>
          <w:left w:val="nil"/>
          <w:bottom w:val="nil"/>
          <w:right w:val="nil"/>
          <w:between w:val="nil"/>
        </w:pBdr>
        <w:spacing w:line="276" w:lineRule="auto"/>
        <w:ind w:left="1134" w:right="964"/>
        <w:jc w:val="both"/>
        <w:rPr>
          <w:rFonts w:ascii="Palatino Linotype" w:eastAsia="Palatino Linotype" w:hAnsi="Palatino Linotype" w:cs="Palatino Linotype"/>
          <w:i/>
          <w:iCs/>
          <w:color w:val="000000"/>
        </w:rPr>
      </w:pPr>
    </w:p>
    <w:p w:rsidR="006D5D3E" w:rsidRPr="007968B8" w:rsidRDefault="00D97976" w:rsidP="007968B8">
      <w:pPr>
        <w:numPr>
          <w:ilvl w:val="0"/>
          <w:numId w:val="4"/>
        </w:numPr>
        <w:pBdr>
          <w:top w:val="nil"/>
          <w:left w:val="nil"/>
          <w:bottom w:val="nil"/>
          <w:right w:val="nil"/>
          <w:between w:val="nil"/>
        </w:pBdr>
        <w:spacing w:line="360" w:lineRule="auto"/>
        <w:ind w:left="0" w:right="474"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b/>
          <w:bCs/>
          <w:color w:val="000000"/>
        </w:rPr>
        <w:lastRenderedPageBreak/>
        <w:t>Modalidad de entrega</w:t>
      </w:r>
      <w:r w:rsidRPr="007968B8">
        <w:rPr>
          <w:rFonts w:ascii="Palatino Linotype" w:eastAsia="Palatino Linotype" w:hAnsi="Palatino Linotype" w:cs="Palatino Linotype"/>
          <w:color w:val="000000"/>
        </w:rPr>
        <w:t>: Vía SAIMEX.</w:t>
      </w:r>
    </w:p>
    <w:p w:rsidR="006D5D3E" w:rsidRPr="007968B8" w:rsidRDefault="006D5D3E">
      <w:pPr>
        <w:spacing w:line="360" w:lineRule="auto"/>
        <w:ind w:left="349" w:right="474"/>
        <w:jc w:val="both"/>
        <w:rPr>
          <w:rFonts w:ascii="Palatino Linotype" w:eastAsia="Palatino Linotype" w:hAnsi="Palatino Linotype" w:cs="Palatino Linotype"/>
        </w:rPr>
      </w:pPr>
    </w:p>
    <w:p w:rsidR="006D5D3E" w:rsidRPr="007968B8" w:rsidRDefault="00D97976">
      <w:pPr>
        <w:numPr>
          <w:ilvl w:val="0"/>
          <w:numId w:val="3"/>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i/>
          <w:iCs/>
          <w:color w:val="000000"/>
        </w:rPr>
      </w:pPr>
      <w:r w:rsidRPr="007968B8">
        <w:rPr>
          <w:rFonts w:ascii="Palatino Linotype" w:eastAsia="Palatino Linotype" w:hAnsi="Palatino Linotype" w:cs="Palatino Linotype"/>
          <w:color w:val="000000"/>
        </w:rPr>
        <w:t xml:space="preserve">De lo anterior, en fecha doce de septiembre de dos mil veinticinco, el </w:t>
      </w:r>
      <w:r w:rsidRPr="007968B8">
        <w:rPr>
          <w:rFonts w:ascii="Palatino Linotype" w:eastAsia="Palatino Linotype" w:hAnsi="Palatino Linotype" w:cs="Palatino Linotype"/>
          <w:b/>
          <w:bCs/>
          <w:color w:val="000000"/>
        </w:rPr>
        <w:t xml:space="preserve">SUJETO OBLIGADO </w:t>
      </w:r>
      <w:r w:rsidRPr="007968B8">
        <w:rPr>
          <w:rFonts w:ascii="Palatino Linotype" w:eastAsia="Palatino Linotype" w:hAnsi="Palatino Linotype" w:cs="Palatino Linotype"/>
          <w:color w:val="000000"/>
        </w:rPr>
        <w:t>notificó su respuesta a las solicitudes de información</w:t>
      </w:r>
      <w:r w:rsidRPr="007968B8">
        <w:rPr>
          <w:rFonts w:ascii="Palatino Linotype" w:eastAsia="Palatino Linotype" w:hAnsi="Palatino Linotype" w:cs="Palatino Linotype"/>
          <w:b/>
          <w:bCs/>
          <w:color w:val="000000"/>
        </w:rPr>
        <w:t xml:space="preserve">, </w:t>
      </w:r>
      <w:r w:rsidRPr="007968B8">
        <w:rPr>
          <w:rFonts w:ascii="Palatino Linotype" w:eastAsia="Palatino Linotype" w:hAnsi="Palatino Linotype" w:cs="Palatino Linotype"/>
          <w:color w:val="000000"/>
        </w:rPr>
        <w:t>mediante dos archivos electrónicos</w:t>
      </w:r>
      <w:r w:rsidRPr="007968B8">
        <w:rPr>
          <w:rFonts w:ascii="Palatino Linotype" w:eastAsia="Palatino Linotype" w:hAnsi="Palatino Linotype" w:cs="Palatino Linotype"/>
          <w:b/>
          <w:bCs/>
          <w:i/>
          <w:iCs/>
          <w:color w:val="000000"/>
        </w:rPr>
        <w:t xml:space="preserve">, </w:t>
      </w:r>
      <w:r w:rsidRPr="007968B8">
        <w:rPr>
          <w:rFonts w:ascii="Palatino Linotype" w:eastAsia="Palatino Linotype" w:hAnsi="Palatino Linotype" w:cs="Palatino Linotype"/>
          <w:color w:val="000000"/>
        </w:rPr>
        <w:t xml:space="preserve">en los que medularmente se señala lo siguiente: </w:t>
      </w:r>
    </w:p>
    <w:p w:rsidR="006D5D3E" w:rsidRPr="007968B8" w:rsidRDefault="00D97976">
      <w:pPr>
        <w:spacing w:line="276" w:lineRule="auto"/>
        <w:ind w:left="1080" w:right="1106"/>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 xml:space="preserve">00184-JOSERIN-IP-2025.pdf:  </w:t>
      </w:r>
      <w:r w:rsidRPr="007968B8">
        <w:rPr>
          <w:rFonts w:ascii="Palatino Linotype" w:eastAsia="Palatino Linotype" w:hAnsi="Palatino Linotype" w:cs="Palatino Linotype"/>
          <w:i/>
          <w:iCs/>
        </w:rPr>
        <w:t>Donde el Tesorero Municipal</w:t>
      </w:r>
      <w:r w:rsidRPr="007968B8">
        <w:rPr>
          <w:rFonts w:ascii="Palatino Linotype" w:eastAsia="Palatino Linotype" w:hAnsi="Palatino Linotype" w:cs="Palatino Linotype"/>
          <w:b/>
          <w:bCs/>
          <w:i/>
          <w:iCs/>
        </w:rPr>
        <w:t xml:space="preserve"> </w:t>
      </w:r>
      <w:r w:rsidRPr="007968B8">
        <w:rPr>
          <w:rFonts w:ascii="Palatino Linotype" w:eastAsia="Palatino Linotype" w:hAnsi="Palatino Linotype" w:cs="Palatino Linotype"/>
          <w:i/>
          <w:iCs/>
        </w:rPr>
        <w:t xml:space="preserve">informa que se realizó BACHEO CON CONCRETO HIDRAULICO EN CARRETERA VILLA VICTORIA-EL ORO,  PROVEEDOR JORGE RIEGO FABIÁN DOMICILIO FISCAL: CARRETERA SIN NOMBRE, MINITA DEL CEDRO, SAN JOSÉ DEL RINCÓN, C.P. 50678 REALIZADO CON RECURSOS PROPIOS, COSTOS: ARENA 12 M3 $ 6,479.31, GRAVA 13 M3 $ 6,723.57, CEMENTO 50 BULTOS </w:t>
      </w:r>
    </w:p>
    <w:p w:rsidR="006D5D3E" w:rsidRPr="007968B8" w:rsidRDefault="00D97976">
      <w:pPr>
        <w:spacing w:line="276" w:lineRule="auto"/>
        <w:ind w:left="1080" w:right="1106"/>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$ 12,500.00 POR UN TOTAL $ 25,702.88</w:t>
      </w:r>
    </w:p>
    <w:p w:rsidR="006D5D3E" w:rsidRPr="007968B8" w:rsidRDefault="006D5D3E">
      <w:pPr>
        <w:spacing w:line="276" w:lineRule="auto"/>
        <w:ind w:left="1080" w:right="1106"/>
        <w:jc w:val="both"/>
        <w:rPr>
          <w:rFonts w:ascii="Palatino Linotype" w:eastAsia="Palatino Linotype" w:hAnsi="Palatino Linotype" w:cs="Palatino Linotype"/>
          <w:i/>
          <w:iCs/>
        </w:rPr>
      </w:pPr>
    </w:p>
    <w:p w:rsidR="006D5D3E" w:rsidRPr="007968B8" w:rsidRDefault="00D97976">
      <w:pPr>
        <w:spacing w:line="276" w:lineRule="auto"/>
        <w:ind w:left="1080" w:right="1106"/>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 xml:space="preserve">184.pdf </w:t>
      </w:r>
    </w:p>
    <w:p w:rsidR="006D5D3E" w:rsidRPr="007968B8" w:rsidRDefault="00D97976">
      <w:pPr>
        <w:spacing w:line="276" w:lineRule="auto"/>
        <w:ind w:left="1080" w:right="1106"/>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I. La Dirección de Obras Públicas y Desarrollo Urbano, realizo el Proceso que establece el Artículo 96 Bis. Fracción I, II, III y V de la Ley Orgánica Municipal. (Planeación, Programación, Cuantificación y Proyección).</w:t>
      </w:r>
    </w:p>
    <w:p w:rsidR="006D5D3E" w:rsidRPr="007968B8" w:rsidRDefault="00D97976">
      <w:pPr>
        <w:spacing w:line="276" w:lineRule="auto"/>
        <w:ind w:left="1080" w:right="1106"/>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II. Lo anterior se gestiona la suficiencia presupuesta! y en apego y cumplimiento de lo que se emiten los Lineamientos de los Fondos de Participaciones Federales para este ejercicio fiscal 2025 y se atiende la siguiente obra y/o acción.</w:t>
      </w:r>
    </w:p>
    <w:p w:rsidR="006D5D3E" w:rsidRPr="007968B8" w:rsidRDefault="00D97976">
      <w:pPr>
        <w:spacing w:line="276" w:lineRule="auto"/>
        <w:ind w:left="1080" w:right="1106"/>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III. Se informa que en relación a los trámites administrativos de la obra de Bacheo en diferentes vialidades en el Municipio de San José del Rincón, la obra se realiza con el programa de (Reparaciones y Mantenimiento) y recursos de Participaciones Federales, como un mantenimiento en diferentes vialidades del municipio para este ejercicio fiscal 2025.</w:t>
      </w:r>
    </w:p>
    <w:p w:rsidR="006D5D3E" w:rsidRPr="007968B8" w:rsidRDefault="00D97976">
      <w:pPr>
        <w:spacing w:line="276" w:lineRule="auto"/>
        <w:ind w:left="1080" w:right="1106"/>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lastRenderedPageBreak/>
        <w:t>IV. Los trámites que realiza la Dirección de Obras Publicas y Desarrollo Urbano, es en cumplimiento a los Lineamientos y la Normatividad vigente.</w:t>
      </w:r>
    </w:p>
    <w:p w:rsidR="006D5D3E" w:rsidRPr="007968B8" w:rsidRDefault="00D97976">
      <w:pPr>
        <w:spacing w:line="276" w:lineRule="auto"/>
        <w:ind w:left="1080" w:right="1106"/>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V. Las vialidades y comunidades atendidas son las siguientes;</w:t>
      </w:r>
    </w:p>
    <w:p w:rsidR="006D5D3E" w:rsidRPr="007968B8" w:rsidRDefault="00D97976">
      <w:pPr>
        <w:spacing w:line="276" w:lineRule="auto"/>
        <w:ind w:left="1080" w:right="1106"/>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a. San José del Rincón Centro.</w:t>
      </w:r>
    </w:p>
    <w:p w:rsidR="006D5D3E" w:rsidRPr="007968B8" w:rsidRDefault="00D97976">
      <w:pPr>
        <w:spacing w:line="276" w:lineRule="auto"/>
        <w:ind w:left="1080" w:right="1106"/>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b. Estación La Trinidad.</w:t>
      </w:r>
    </w:p>
    <w:p w:rsidR="006D5D3E" w:rsidRPr="007968B8" w:rsidRDefault="00D97976">
      <w:pPr>
        <w:spacing w:line="276" w:lineRule="auto"/>
        <w:ind w:left="1080" w:right="1106"/>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c. Santa Cruz del Rincón.</w:t>
      </w:r>
    </w:p>
    <w:p w:rsidR="006D5D3E" w:rsidRPr="007968B8" w:rsidRDefault="00D97976">
      <w:pPr>
        <w:spacing w:line="276" w:lineRule="auto"/>
        <w:ind w:left="1080" w:right="1106"/>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d. San Onofi-e.</w:t>
      </w:r>
    </w:p>
    <w:p w:rsidR="006D5D3E" w:rsidRPr="007968B8" w:rsidRDefault="00D97976">
      <w:pPr>
        <w:spacing w:line="276" w:lineRule="auto"/>
        <w:ind w:left="1080" w:right="1106"/>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e. San Francisco de La Loma.</w:t>
      </w:r>
    </w:p>
    <w:p w:rsidR="006D5D3E" w:rsidRPr="007968B8" w:rsidRDefault="00D97976">
      <w:pPr>
        <w:spacing w:line="276" w:lineRule="auto"/>
        <w:ind w:left="1080" w:right="1106"/>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f. Guadalupe Buenavista.</w:t>
      </w:r>
    </w:p>
    <w:p w:rsidR="006D5D3E" w:rsidRPr="007968B8" w:rsidRDefault="006D5D3E">
      <w:pPr>
        <w:spacing w:line="276" w:lineRule="auto"/>
        <w:ind w:left="1080" w:right="1106"/>
        <w:jc w:val="both"/>
        <w:rPr>
          <w:rFonts w:ascii="Palatino Linotype" w:eastAsia="Palatino Linotype" w:hAnsi="Palatino Linotype" w:cs="Palatino Linotype"/>
          <w:i/>
          <w:iCs/>
        </w:rPr>
      </w:pPr>
    </w:p>
    <w:p w:rsidR="006D5D3E" w:rsidRPr="007968B8" w:rsidRDefault="00D97976">
      <w:pPr>
        <w:numPr>
          <w:ilvl w:val="0"/>
          <w:numId w:val="2"/>
        </w:numPr>
        <w:pBdr>
          <w:top w:val="nil"/>
          <w:left w:val="nil"/>
          <w:bottom w:val="nil"/>
          <w:right w:val="nil"/>
          <w:between w:val="nil"/>
        </w:pBdr>
        <w:tabs>
          <w:tab w:val="left" w:pos="0"/>
        </w:tabs>
        <w:spacing w:line="360" w:lineRule="auto"/>
        <w:ind w:left="0" w:right="-709" w:firstLine="0"/>
        <w:jc w:val="both"/>
        <w:rPr>
          <w:rFonts w:ascii="Palatino Linotype" w:eastAsia="Palatino Linotype" w:hAnsi="Palatino Linotype" w:cs="Palatino Linotype"/>
          <w:b/>
          <w:bCs/>
          <w:color w:val="000000"/>
        </w:rPr>
      </w:pPr>
      <w:r w:rsidRPr="007968B8">
        <w:rPr>
          <w:rFonts w:ascii="Palatino Linotype" w:eastAsia="Palatino Linotype" w:hAnsi="Palatino Linotype" w:cs="Palatino Linotype"/>
          <w:color w:val="000000"/>
        </w:rPr>
        <w:t xml:space="preserve">El </w:t>
      </w:r>
      <w:r w:rsidRPr="007968B8">
        <w:rPr>
          <w:rFonts w:ascii="Palatino Linotype" w:eastAsia="Palatino Linotype" w:hAnsi="Palatino Linotype" w:cs="Palatino Linotype"/>
          <w:b/>
          <w:bCs/>
          <w:color w:val="000000"/>
        </w:rPr>
        <w:t>treinta  de septiembre de dos mil veinticinco,</w:t>
      </w:r>
      <w:r w:rsidRPr="007968B8">
        <w:rPr>
          <w:rFonts w:ascii="Palatino Linotype" w:eastAsia="Palatino Linotype" w:hAnsi="Palatino Linotype" w:cs="Palatino Linotype"/>
          <w:color w:val="000000"/>
        </w:rPr>
        <w:t xml:space="preserve"> el </w:t>
      </w:r>
      <w:r w:rsidRPr="007968B8">
        <w:rPr>
          <w:rFonts w:ascii="Palatino Linotype" w:eastAsia="Palatino Linotype" w:hAnsi="Palatino Linotype" w:cs="Palatino Linotype"/>
          <w:b/>
          <w:bCs/>
          <w:color w:val="000000"/>
        </w:rPr>
        <w:t xml:space="preserve">RECURRENTE se </w:t>
      </w:r>
      <w:r w:rsidRPr="007968B8">
        <w:rPr>
          <w:rFonts w:ascii="Palatino Linotype" w:eastAsia="Palatino Linotype" w:hAnsi="Palatino Linotype" w:cs="Palatino Linotype"/>
          <w:color w:val="000000"/>
        </w:rPr>
        <w:t>interpuso recurso de revisión, señalando:</w:t>
      </w:r>
    </w:p>
    <w:p w:rsidR="006D5D3E" w:rsidRPr="007968B8" w:rsidRDefault="006D5D3E">
      <w:pPr>
        <w:pBdr>
          <w:top w:val="nil"/>
          <w:left w:val="nil"/>
          <w:bottom w:val="nil"/>
          <w:right w:val="nil"/>
          <w:between w:val="nil"/>
        </w:pBdr>
        <w:tabs>
          <w:tab w:val="left" w:pos="0"/>
        </w:tabs>
        <w:spacing w:line="360" w:lineRule="auto"/>
        <w:ind w:right="-709"/>
        <w:jc w:val="both"/>
        <w:rPr>
          <w:rFonts w:ascii="Palatino Linotype" w:eastAsia="Palatino Linotype" w:hAnsi="Palatino Linotype" w:cs="Palatino Linotype"/>
          <w:b/>
          <w:bCs/>
          <w:color w:val="000000"/>
        </w:rPr>
      </w:pPr>
    </w:p>
    <w:p w:rsidR="006D5D3E" w:rsidRPr="007968B8" w:rsidRDefault="00D97976" w:rsidP="007968B8">
      <w:pPr>
        <w:pStyle w:val="Prrafodelista"/>
        <w:numPr>
          <w:ilvl w:val="0"/>
          <w:numId w:val="12"/>
        </w:numPr>
        <w:ind w:right="1106"/>
        <w:jc w:val="both"/>
        <w:rPr>
          <w:rFonts w:ascii="Palatino Linotype" w:eastAsia="Palatino Linotype" w:hAnsi="Palatino Linotype" w:cs="Palatino Linotype"/>
          <w:i/>
          <w:iCs/>
        </w:rPr>
      </w:pPr>
      <w:r w:rsidRPr="007968B8">
        <w:rPr>
          <w:rFonts w:ascii="Palatino Linotype" w:eastAsia="Palatino Linotype" w:hAnsi="Palatino Linotype" w:cs="Palatino Linotype"/>
          <w:b/>
          <w:bCs/>
        </w:rPr>
        <w:t>ACTO IMPUGNADO:</w:t>
      </w:r>
      <w:r w:rsidRPr="007968B8">
        <w:rPr>
          <w:rFonts w:ascii="Palatino Linotype" w:eastAsia="Palatino Linotype" w:hAnsi="Palatino Linotype" w:cs="Palatino Linotype"/>
          <w:i/>
          <w:iCs/>
        </w:rPr>
        <w:t xml:space="preserve"> </w:t>
      </w:r>
    </w:p>
    <w:p w:rsidR="006D5D3E" w:rsidRPr="007968B8" w:rsidRDefault="00D97976" w:rsidP="000E462E">
      <w:pPr>
        <w:ind w:right="1106" w:firstLine="36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i/>
          <w:iCs/>
        </w:rPr>
        <w:t>“</w:t>
      </w:r>
      <w:r w:rsidRPr="007968B8">
        <w:rPr>
          <w:rFonts w:ascii="Palatino Linotype" w:eastAsia="Palatino Linotype" w:hAnsi="Palatino Linotype" w:cs="Palatino Linotype"/>
          <w:i/>
          <w:iCs/>
          <w:color w:val="000000"/>
        </w:rPr>
        <w:t>Respuesta a la solicitud de información 00184/JOSERIN/IP/2025”</w:t>
      </w:r>
      <w:r w:rsidRPr="007968B8">
        <w:rPr>
          <w:rFonts w:ascii="Palatino Linotype" w:eastAsia="Palatino Linotype" w:hAnsi="Palatino Linotype" w:cs="Palatino Linotype"/>
          <w:color w:val="000000"/>
        </w:rPr>
        <w:t xml:space="preserve"> (Sic)</w:t>
      </w:r>
    </w:p>
    <w:p w:rsidR="006D5D3E" w:rsidRPr="007968B8" w:rsidRDefault="006D5D3E" w:rsidP="007968B8">
      <w:pPr>
        <w:spacing w:line="360" w:lineRule="auto"/>
        <w:ind w:right="568"/>
        <w:jc w:val="both"/>
        <w:rPr>
          <w:rFonts w:ascii="Palatino Linotype" w:eastAsia="Palatino Linotype" w:hAnsi="Palatino Linotype" w:cs="Palatino Linotype"/>
        </w:rPr>
      </w:pPr>
    </w:p>
    <w:p w:rsidR="006D5D3E" w:rsidRPr="007968B8" w:rsidRDefault="00D97976" w:rsidP="007968B8">
      <w:pPr>
        <w:pStyle w:val="Prrafodelista"/>
        <w:numPr>
          <w:ilvl w:val="0"/>
          <w:numId w:val="12"/>
        </w:numPr>
        <w:tabs>
          <w:tab w:val="left" w:pos="1843"/>
        </w:tabs>
        <w:ind w:right="1106"/>
        <w:jc w:val="both"/>
        <w:rPr>
          <w:rFonts w:ascii="Palatino Linotype" w:eastAsia="Palatino Linotype" w:hAnsi="Palatino Linotype" w:cs="Palatino Linotype"/>
          <w:i/>
          <w:iCs/>
        </w:rPr>
      </w:pPr>
      <w:r w:rsidRPr="007968B8">
        <w:rPr>
          <w:rFonts w:ascii="Palatino Linotype" w:eastAsia="Palatino Linotype" w:hAnsi="Palatino Linotype" w:cs="Palatino Linotype"/>
          <w:b/>
          <w:bCs/>
        </w:rPr>
        <w:t>RAZONES O MOTIVOS DE INCONFORMIDAD</w:t>
      </w:r>
      <w:r w:rsidRPr="007968B8">
        <w:rPr>
          <w:rFonts w:ascii="Palatino Linotype" w:eastAsia="Palatino Linotype" w:hAnsi="Palatino Linotype" w:cs="Palatino Linotype"/>
          <w:i/>
          <w:iCs/>
        </w:rPr>
        <w:t>:</w:t>
      </w:r>
    </w:p>
    <w:p w:rsidR="006D5D3E" w:rsidRPr="007968B8" w:rsidRDefault="00D97976" w:rsidP="000E462E">
      <w:pPr>
        <w:ind w:left="360" w:right="1106"/>
        <w:jc w:val="both"/>
        <w:rPr>
          <w:rFonts w:ascii="Palatino Linotype" w:eastAsia="Palatino Linotype" w:hAnsi="Palatino Linotype" w:cs="Palatino Linotype"/>
        </w:rPr>
      </w:pPr>
      <w:r w:rsidRPr="007968B8">
        <w:rPr>
          <w:rFonts w:ascii="Palatino Linotype" w:eastAsia="Palatino Linotype" w:hAnsi="Palatino Linotype" w:cs="Palatino Linotype"/>
          <w:i/>
          <w:iCs/>
        </w:rPr>
        <w:t>“</w:t>
      </w:r>
      <w:r w:rsidRPr="007968B8">
        <w:rPr>
          <w:rFonts w:ascii="Palatino Linotype" w:eastAsia="Palatino Linotype" w:hAnsi="Palatino Linotype" w:cs="Palatino Linotype"/>
          <w:i/>
          <w:iCs/>
          <w:color w:val="000000"/>
        </w:rPr>
        <w:t xml:space="preserve">Solicité lo siguiente 1) con que recurso se hizo el bacheo de la carretera villa victoria el oro que publicaron en sus redes el 8 de agosto de este año, 2) cuánto costó, 3) en donde se compraron los materiales, 4) que cantidad de materiales se ocupó, 5) en que tiempo se hizo 6) cuántos metros cuadrados fueron bacheados. 7) También que me digan si se continuará con el bacheo de otras calles y cuáles serán estás. Únicamente el ayuntamiento dio respuesta a los puntos 1, 2, 3, 4 Para los puntos 5, 6 y 7 no se dio ninguna respuesta. Por lo que su respuesta está incompleta” </w:t>
      </w:r>
      <w:r w:rsidRPr="007968B8">
        <w:rPr>
          <w:rFonts w:ascii="Palatino Linotype" w:eastAsia="Palatino Linotype" w:hAnsi="Palatino Linotype" w:cs="Palatino Linotype"/>
          <w:color w:val="000000"/>
        </w:rPr>
        <w:t>(Sic)</w:t>
      </w:r>
    </w:p>
    <w:p w:rsidR="006D5D3E" w:rsidRPr="007968B8" w:rsidRDefault="006D5D3E">
      <w:pPr>
        <w:spacing w:line="360" w:lineRule="auto"/>
        <w:ind w:right="1"/>
        <w:jc w:val="both"/>
        <w:rPr>
          <w:rFonts w:ascii="Palatino Linotype" w:eastAsia="Palatino Linotype" w:hAnsi="Palatino Linotype" w:cs="Palatino Linotype"/>
          <w:color w:val="000000"/>
        </w:rPr>
      </w:pPr>
    </w:p>
    <w:p w:rsidR="006D5D3E" w:rsidRPr="007968B8" w:rsidRDefault="00D97976">
      <w:pPr>
        <w:numPr>
          <w:ilvl w:val="0"/>
          <w:numId w:val="8"/>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Consecutivamente</w:t>
      </w:r>
      <w:r w:rsidRPr="007968B8">
        <w:rPr>
          <w:rFonts w:ascii="Palatino Linotype" w:eastAsia="Palatino Linotype" w:hAnsi="Palatino Linotype" w:cs="Palatino Linotype"/>
          <w:i/>
          <w:iCs/>
          <w:color w:val="000000"/>
        </w:rPr>
        <w:t xml:space="preserve">, </w:t>
      </w:r>
      <w:r w:rsidRPr="007968B8">
        <w:rPr>
          <w:rFonts w:ascii="Palatino Linotype" w:eastAsia="Palatino Linotype" w:hAnsi="Palatino Linotype" w:cs="Palatino Linotype"/>
          <w:color w:val="000000"/>
        </w:rPr>
        <w:t xml:space="preserve">con fundamento en lo dispuesto por el artículo 185 fracción I de la Ley de Transparencia y Acceso a la Información Pública del Estado de México y Municipios, </w:t>
      </w:r>
      <w:r w:rsidRPr="007968B8">
        <w:rPr>
          <w:rFonts w:ascii="Palatino Linotype" w:eastAsia="Palatino Linotype" w:hAnsi="Palatino Linotype" w:cs="Palatino Linotype"/>
          <w:color w:val="000000"/>
        </w:rPr>
        <w:lastRenderedPageBreak/>
        <w:t xml:space="preserve">el recurso de referencia, </w:t>
      </w:r>
      <w:r w:rsidRPr="007968B8">
        <w:rPr>
          <w:rFonts w:ascii="Palatino Linotype" w:eastAsia="Palatino Linotype" w:hAnsi="Palatino Linotype" w:cs="Palatino Linotype"/>
        </w:rPr>
        <w:t>fue</w:t>
      </w:r>
      <w:r w:rsidRPr="007968B8">
        <w:rPr>
          <w:rFonts w:ascii="Palatino Linotype" w:eastAsia="Palatino Linotype" w:hAnsi="Palatino Linotype" w:cs="Palatino Linotype"/>
          <w:color w:val="000000"/>
        </w:rPr>
        <w:t xml:space="preserve"> turnado</w:t>
      </w:r>
      <w:r w:rsidRPr="007968B8">
        <w:rPr>
          <w:rFonts w:ascii="Palatino Linotype" w:eastAsia="Palatino Linotype" w:hAnsi="Palatino Linotype" w:cs="Palatino Linotype"/>
          <w:b/>
          <w:bCs/>
          <w:color w:val="000000"/>
        </w:rPr>
        <w:t xml:space="preserve"> </w:t>
      </w:r>
      <w:r w:rsidRPr="007968B8">
        <w:rPr>
          <w:rFonts w:ascii="Palatino Linotype" w:eastAsia="Palatino Linotype" w:hAnsi="Palatino Linotype" w:cs="Palatino Linotype"/>
          <w:color w:val="000000"/>
        </w:rPr>
        <w:t>a la Comisionada</w:t>
      </w:r>
      <w:r w:rsidRPr="007968B8">
        <w:rPr>
          <w:rFonts w:ascii="Palatino Linotype" w:eastAsia="Palatino Linotype" w:hAnsi="Palatino Linotype" w:cs="Palatino Linotype"/>
          <w:b/>
          <w:bCs/>
          <w:color w:val="000000"/>
        </w:rPr>
        <w:t xml:space="preserve"> María del Rosario Mejía Ayala,</w:t>
      </w:r>
      <w:r w:rsidRPr="007968B8">
        <w:rPr>
          <w:rFonts w:ascii="Palatino Linotype" w:eastAsia="Palatino Linotype" w:hAnsi="Palatino Linotype" w:cs="Palatino Linotype"/>
          <w:color w:val="000000"/>
        </w:rPr>
        <w:t xml:space="preserve"> </w:t>
      </w:r>
      <w:r w:rsidR="007968B8">
        <w:rPr>
          <w:rFonts w:ascii="Palatino Linotype" w:eastAsia="Palatino Linotype" w:hAnsi="Palatino Linotype" w:cs="Palatino Linotype"/>
          <w:color w:val="000000"/>
        </w:rPr>
        <w:t>para</w:t>
      </w:r>
      <w:r w:rsidRPr="007968B8">
        <w:rPr>
          <w:rFonts w:ascii="Palatino Linotype" w:eastAsia="Palatino Linotype" w:hAnsi="Palatino Linotype" w:cs="Palatino Linotype"/>
          <w:color w:val="000000"/>
        </w:rPr>
        <w:t xml:space="preserve"> su análisis.</w:t>
      </w:r>
    </w:p>
    <w:p w:rsidR="006D5D3E" w:rsidRPr="007968B8" w:rsidRDefault="006D5D3E">
      <w:pPr>
        <w:pBdr>
          <w:top w:val="nil"/>
          <w:left w:val="nil"/>
          <w:bottom w:val="nil"/>
          <w:right w:val="nil"/>
          <w:between w:val="nil"/>
        </w:pBdr>
        <w:spacing w:line="360" w:lineRule="auto"/>
        <w:ind w:right="-709"/>
        <w:jc w:val="both"/>
        <w:rPr>
          <w:rFonts w:ascii="Palatino Linotype" w:eastAsia="Palatino Linotype" w:hAnsi="Palatino Linotype" w:cs="Palatino Linotype"/>
          <w:color w:val="000000"/>
        </w:rPr>
      </w:pPr>
    </w:p>
    <w:p w:rsidR="006D5D3E" w:rsidRPr="007968B8" w:rsidRDefault="00D97976">
      <w:pPr>
        <w:numPr>
          <w:ilvl w:val="0"/>
          <w:numId w:val="6"/>
        </w:numPr>
        <w:spacing w:line="360" w:lineRule="auto"/>
        <w:ind w:left="0" w:right="-709" w:firstLine="0"/>
        <w:jc w:val="both"/>
      </w:pPr>
      <w:r w:rsidRPr="007968B8">
        <w:rPr>
          <w:rFonts w:ascii="Palatino Linotype" w:eastAsia="Palatino Linotype" w:hAnsi="Palatino Linotype" w:cs="Palatino Linotype"/>
        </w:rPr>
        <w:t xml:space="preserve">La Comisionada </w:t>
      </w:r>
      <w:r w:rsidR="007968B8">
        <w:rPr>
          <w:rFonts w:ascii="Palatino Linotype" w:eastAsia="Palatino Linotype" w:hAnsi="Palatino Linotype" w:cs="Palatino Linotype"/>
        </w:rPr>
        <w:t>p</w:t>
      </w:r>
      <w:r w:rsidRPr="007968B8">
        <w:rPr>
          <w:rFonts w:ascii="Palatino Linotype" w:eastAsia="Palatino Linotype" w:hAnsi="Palatino Linotype" w:cs="Palatino Linotype"/>
        </w:rPr>
        <w:t xml:space="preserve">onente, con fundamento en lo dispuesto por el artículo 185 fracción II de la ley de la materia, a través de  acuerdo de admisión notificado en fecha </w:t>
      </w:r>
      <w:r w:rsidRPr="007968B8">
        <w:rPr>
          <w:rFonts w:ascii="Palatino Linotype" w:eastAsia="Palatino Linotype" w:hAnsi="Palatino Linotype" w:cs="Palatino Linotype"/>
          <w:b/>
          <w:bCs/>
        </w:rPr>
        <w:t>dos de octubre de dos mil veinticinco,</w:t>
      </w:r>
      <w:r w:rsidRPr="007968B8">
        <w:rPr>
          <w:rFonts w:ascii="Palatino Linotype" w:eastAsia="Palatino Linotype" w:hAnsi="Palatino Linotype" w:cs="Palatino Linotype"/>
        </w:rPr>
        <w:t xml:space="preserve"> puso a disposición de las partes el expediente electrónico vía Sistema de Acceso a la Información Mexiquense SAIMEX a efecto de que en un plazo máximo de siete días manifestara lo que a su derecho conviniera, ofreciera pruebas y alegatos según correspondiera a los casos concretos, de esta forma para que el SUJETO OBLIGADO presentará el Informe Justificado procedente.</w:t>
      </w:r>
    </w:p>
    <w:p w:rsidR="006D5D3E" w:rsidRPr="007968B8" w:rsidRDefault="006D5D3E">
      <w:pPr>
        <w:tabs>
          <w:tab w:val="left" w:pos="0"/>
          <w:tab w:val="left" w:pos="567"/>
        </w:tabs>
        <w:spacing w:line="360" w:lineRule="auto"/>
        <w:ind w:right="-709"/>
        <w:jc w:val="both"/>
        <w:rPr>
          <w:rFonts w:ascii="Palatino Linotype" w:eastAsia="Palatino Linotype" w:hAnsi="Palatino Linotype" w:cs="Palatino Linotype"/>
          <w:b/>
          <w:bCs/>
          <w:color w:val="000000"/>
        </w:rPr>
      </w:pPr>
    </w:p>
    <w:p w:rsidR="006D5D3E" w:rsidRPr="007968B8" w:rsidRDefault="00D97976">
      <w:pPr>
        <w:numPr>
          <w:ilvl w:val="0"/>
          <w:numId w:val="5"/>
        </w:numPr>
        <w:pBdr>
          <w:top w:val="nil"/>
          <w:left w:val="nil"/>
          <w:bottom w:val="nil"/>
          <w:right w:val="nil"/>
          <w:between w:val="nil"/>
        </w:pBdr>
        <w:spacing w:line="360" w:lineRule="auto"/>
        <w:ind w:left="0" w:right="-567"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El SUJETO OBLIGADO omitió rendir el informe justificado correspondiente, por su parte, el RECURRENTE no realizó manifestaciones que a su derecho convinieran y asistieran.</w:t>
      </w:r>
    </w:p>
    <w:p w:rsidR="006D5D3E" w:rsidRPr="007968B8" w:rsidRDefault="006D5D3E">
      <w:pPr>
        <w:spacing w:line="360" w:lineRule="auto"/>
        <w:ind w:right="-567"/>
        <w:jc w:val="both"/>
        <w:rPr>
          <w:rFonts w:ascii="Palatino Linotype" w:eastAsia="Palatino Linotype" w:hAnsi="Palatino Linotype" w:cs="Palatino Linotype"/>
        </w:rPr>
      </w:pPr>
    </w:p>
    <w:p w:rsidR="006D5D3E" w:rsidRPr="007968B8" w:rsidRDefault="00D97976">
      <w:pPr>
        <w:numPr>
          <w:ilvl w:val="0"/>
          <w:numId w:val="5"/>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b/>
          <w:bCs/>
          <w:color w:val="000000"/>
        </w:rPr>
      </w:pPr>
      <w:r w:rsidRPr="007968B8">
        <w:rPr>
          <w:rFonts w:ascii="Palatino Linotype" w:eastAsia="Palatino Linotype" w:hAnsi="Palatino Linotype" w:cs="Palatino Linotype"/>
          <w:color w:val="000000"/>
        </w:rPr>
        <w:t xml:space="preserve">En </w:t>
      </w:r>
      <w:r w:rsidRPr="007968B8">
        <w:rPr>
          <w:rFonts w:ascii="Palatino Linotype" w:eastAsia="Palatino Linotype" w:hAnsi="Palatino Linotype" w:cs="Palatino Linotype"/>
          <w:b/>
          <w:bCs/>
          <w:color w:val="000000"/>
        </w:rPr>
        <w:t>fecha veintisiete de enero de dos mil veintiséis,</w:t>
      </w:r>
      <w:r w:rsidRPr="007968B8">
        <w:rPr>
          <w:rFonts w:ascii="Palatino Linotype" w:eastAsia="Palatino Linotype" w:hAnsi="Palatino Linotype" w:cs="Palatino Linotype"/>
          <w:color w:val="000000"/>
        </w:rPr>
        <w:t xml:space="preserve"> se acordó ampliar el término para resolver el presente asunto.</w:t>
      </w:r>
    </w:p>
    <w:p w:rsidR="006D5D3E" w:rsidRPr="007968B8" w:rsidRDefault="006D5D3E">
      <w:pPr>
        <w:pBdr>
          <w:top w:val="nil"/>
          <w:left w:val="nil"/>
          <w:bottom w:val="nil"/>
          <w:right w:val="nil"/>
          <w:between w:val="nil"/>
        </w:pBdr>
        <w:ind w:right="-709"/>
        <w:rPr>
          <w:rFonts w:ascii="Palatino Linotype" w:eastAsia="Palatino Linotype" w:hAnsi="Palatino Linotype" w:cs="Palatino Linotype"/>
          <w:b/>
          <w:bCs/>
          <w:color w:val="000000"/>
        </w:rPr>
      </w:pPr>
    </w:p>
    <w:p w:rsidR="006D5D3E" w:rsidRPr="007968B8" w:rsidRDefault="00D97976">
      <w:pPr>
        <w:numPr>
          <w:ilvl w:val="0"/>
          <w:numId w:val="5"/>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6D5D3E" w:rsidRPr="007968B8" w:rsidRDefault="006D5D3E">
      <w:pPr>
        <w:spacing w:line="360" w:lineRule="auto"/>
        <w:jc w:val="both"/>
        <w:rPr>
          <w:rFonts w:ascii="Palatino Linotype" w:eastAsia="Palatino Linotype" w:hAnsi="Palatino Linotype" w:cs="Palatino Linotype"/>
          <w:b/>
          <w:bCs/>
          <w:color w:val="000000"/>
        </w:rPr>
      </w:pPr>
    </w:p>
    <w:p w:rsidR="006D5D3E" w:rsidRPr="007968B8" w:rsidRDefault="00D97976">
      <w:pPr>
        <w:numPr>
          <w:ilvl w:val="0"/>
          <w:numId w:val="7"/>
        </w:numPr>
        <w:spacing w:line="360" w:lineRule="auto"/>
        <w:ind w:left="0" w:right="-567" w:firstLine="0"/>
        <w:jc w:val="both"/>
        <w:rPr>
          <w:rFonts w:ascii="Palatino Linotype" w:eastAsia="Palatino Linotype" w:hAnsi="Palatino Linotype" w:cs="Palatino Linotype"/>
        </w:rPr>
      </w:pPr>
      <w:r w:rsidRPr="007968B8">
        <w:rPr>
          <w:rFonts w:ascii="Palatino Linotype" w:eastAsia="Palatino Linotype" w:hAnsi="Palatino Linotype" w:cs="Palatino Linotype"/>
        </w:rPr>
        <w:lastRenderedPageBreak/>
        <w:t xml:space="preserve">Seguidamente, en fecha </w:t>
      </w:r>
      <w:r w:rsidRPr="007968B8">
        <w:rPr>
          <w:rFonts w:ascii="Palatino Linotype" w:eastAsia="Palatino Linotype" w:hAnsi="Palatino Linotype" w:cs="Palatino Linotype"/>
          <w:b/>
          <w:bCs/>
        </w:rPr>
        <w:t>veintiocho de enero de dos mil veintiséis</w:t>
      </w:r>
      <w:r w:rsidRPr="007968B8">
        <w:rPr>
          <w:rFonts w:ascii="Palatino Linotype" w:eastAsia="Palatino Linotype" w:hAnsi="Palatino Linotype" w:cs="Palatino Linotype"/>
        </w:rPr>
        <w:t xml:space="preserve">, la Comisionada Ponente dictó el </w:t>
      </w:r>
      <w:r w:rsidRPr="007968B8">
        <w:rPr>
          <w:rFonts w:ascii="Palatino Linotype" w:eastAsia="Palatino Linotype" w:hAnsi="Palatino Linotype" w:cs="Palatino Linotype"/>
          <w:b/>
          <w:bCs/>
        </w:rPr>
        <w:t>cierre del periodo de instrucción;</w:t>
      </w:r>
      <w:r w:rsidRPr="007968B8">
        <w:rPr>
          <w:rFonts w:ascii="Palatino Linotype" w:eastAsia="Palatino Linotype" w:hAnsi="Palatino Linotype" w:cs="Palatino Linotype"/>
        </w:rPr>
        <w:t xml:space="preserve"> por lo que en virtud de que el expediente electrónico ha sido debidamente substanciado y no existe diligencia pendiente de desahogo, se procede a emitir la presente resolución que conforme a Derecho corresponda y </w:t>
      </w:r>
    </w:p>
    <w:p w:rsidR="006D5D3E" w:rsidRPr="007968B8" w:rsidRDefault="006D5D3E">
      <w:pPr>
        <w:spacing w:line="480" w:lineRule="auto"/>
        <w:ind w:right="-787"/>
        <w:jc w:val="both"/>
        <w:rPr>
          <w:rFonts w:ascii="Palatino Linotype" w:eastAsia="Palatino Linotype" w:hAnsi="Palatino Linotype" w:cs="Palatino Linotype"/>
          <w:b/>
          <w:bCs/>
          <w:color w:val="000000"/>
        </w:rPr>
      </w:pPr>
    </w:p>
    <w:p w:rsidR="006D5D3E" w:rsidRPr="007968B8" w:rsidRDefault="00D97976">
      <w:pPr>
        <w:pBdr>
          <w:top w:val="nil"/>
          <w:left w:val="nil"/>
          <w:bottom w:val="nil"/>
          <w:right w:val="nil"/>
          <w:between w:val="nil"/>
        </w:pBdr>
        <w:spacing w:line="360" w:lineRule="auto"/>
        <w:ind w:right="-787"/>
        <w:jc w:val="center"/>
        <w:rPr>
          <w:rFonts w:ascii="Palatino Linotype" w:eastAsia="Palatino Linotype" w:hAnsi="Palatino Linotype" w:cs="Palatino Linotype"/>
          <w:b/>
          <w:bCs/>
          <w:color w:val="000000"/>
        </w:rPr>
      </w:pPr>
      <w:r w:rsidRPr="007968B8">
        <w:rPr>
          <w:rFonts w:ascii="Palatino Linotype" w:eastAsia="Palatino Linotype" w:hAnsi="Palatino Linotype" w:cs="Palatino Linotype"/>
          <w:b/>
          <w:bCs/>
          <w:color w:val="000000"/>
        </w:rPr>
        <w:t xml:space="preserve">C O N S I D E R A N D O </w:t>
      </w:r>
    </w:p>
    <w:p w:rsidR="006D5D3E" w:rsidRPr="007968B8" w:rsidRDefault="00D97976">
      <w:pPr>
        <w:pStyle w:val="Ttulo2"/>
        <w:spacing w:before="0" w:line="360" w:lineRule="auto"/>
        <w:ind w:right="-787"/>
        <w:rPr>
          <w:rFonts w:ascii="Palatino Linotype" w:eastAsia="Palatino Linotype" w:hAnsi="Palatino Linotype" w:cs="Palatino Linotype"/>
          <w:b/>
          <w:bCs/>
          <w:color w:val="000000"/>
          <w:sz w:val="24"/>
          <w:szCs w:val="24"/>
        </w:rPr>
      </w:pPr>
      <w:bookmarkStart w:id="2" w:name="_heading=h.tyjcwt" w:colFirst="0" w:colLast="0"/>
      <w:bookmarkEnd w:id="2"/>
      <w:r w:rsidRPr="007968B8">
        <w:rPr>
          <w:rFonts w:ascii="Palatino Linotype" w:eastAsia="Palatino Linotype" w:hAnsi="Palatino Linotype" w:cs="Palatino Linotype"/>
          <w:b/>
          <w:bCs/>
          <w:color w:val="000000"/>
          <w:sz w:val="24"/>
          <w:szCs w:val="24"/>
        </w:rPr>
        <w:t>PRIMERO. De la competencia</w:t>
      </w:r>
    </w:p>
    <w:p w:rsidR="006D5D3E" w:rsidRPr="007968B8" w:rsidRDefault="00D97976">
      <w:pPr>
        <w:numPr>
          <w:ilvl w:val="0"/>
          <w:numId w:val="10"/>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6D5D3E" w:rsidRPr="007968B8" w:rsidRDefault="006D5D3E">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bCs/>
          <w:color w:val="000000"/>
        </w:rPr>
      </w:pPr>
      <w:bookmarkStart w:id="3" w:name="_heading=h.3dy6vkm" w:colFirst="0" w:colLast="0"/>
      <w:bookmarkEnd w:id="3"/>
    </w:p>
    <w:p w:rsidR="006D5D3E" w:rsidRPr="007968B8" w:rsidRDefault="00D97976">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b/>
          <w:bCs/>
          <w:color w:val="000000"/>
        </w:rPr>
      </w:pPr>
      <w:bookmarkStart w:id="4" w:name="_heading=h.1t3h5sf" w:colFirst="0" w:colLast="0"/>
      <w:bookmarkEnd w:id="4"/>
      <w:r w:rsidRPr="007968B8">
        <w:rPr>
          <w:rFonts w:ascii="Palatino Linotype" w:eastAsia="Palatino Linotype" w:hAnsi="Palatino Linotype" w:cs="Palatino Linotype"/>
          <w:b/>
          <w:bCs/>
          <w:color w:val="000000"/>
        </w:rPr>
        <w:t>SEGUNDO. De la oportunidad y procedencia.</w:t>
      </w:r>
    </w:p>
    <w:p w:rsidR="006D5D3E" w:rsidRPr="007968B8" w:rsidRDefault="00D97976">
      <w:pPr>
        <w:numPr>
          <w:ilvl w:val="0"/>
          <w:numId w:val="10"/>
        </w:numPr>
        <w:pBdr>
          <w:top w:val="nil"/>
          <w:left w:val="nil"/>
          <w:bottom w:val="nil"/>
          <w:right w:val="nil"/>
          <w:between w:val="nil"/>
        </w:pBdr>
        <w:spacing w:line="360" w:lineRule="auto"/>
        <w:ind w:left="0" w:right="-787" w:firstLine="0"/>
        <w:jc w:val="both"/>
        <w:rPr>
          <w:color w:val="000000"/>
        </w:rPr>
      </w:pPr>
      <w:bookmarkStart w:id="5" w:name="_heading=h.4d34og8" w:colFirst="0" w:colLast="0"/>
      <w:bookmarkEnd w:id="5"/>
      <w:r w:rsidRPr="007968B8">
        <w:rPr>
          <w:rFonts w:ascii="Palatino Linotype" w:eastAsia="Palatino Linotype" w:hAnsi="Palatino Linotype" w:cs="Palatino Linotype"/>
          <w:color w:val="000000"/>
        </w:rPr>
        <w:t xml:space="preserve">Los medios de impugnación fueron presentados a través del </w:t>
      </w:r>
      <w:r w:rsidRPr="007968B8">
        <w:rPr>
          <w:rFonts w:ascii="Palatino Linotype" w:eastAsia="Palatino Linotype" w:hAnsi="Palatino Linotype" w:cs="Palatino Linotype"/>
          <w:b/>
          <w:bCs/>
          <w:color w:val="000000"/>
        </w:rPr>
        <w:t>SAIMEX,</w:t>
      </w:r>
      <w:r w:rsidRPr="007968B8">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7968B8">
        <w:rPr>
          <w:rFonts w:ascii="Palatino Linotype" w:eastAsia="Palatino Linotype" w:hAnsi="Palatino Linotype" w:cs="Palatino Linotype"/>
          <w:b/>
          <w:bCs/>
          <w:color w:val="000000"/>
        </w:rPr>
        <w:t>SUJETO OBLIGADO</w:t>
      </w:r>
      <w:r w:rsidRPr="007968B8">
        <w:rPr>
          <w:rFonts w:ascii="Palatino Linotype" w:eastAsia="Palatino Linotype" w:hAnsi="Palatino Linotype" w:cs="Palatino Linotype"/>
          <w:color w:val="000000"/>
        </w:rPr>
        <w:t xml:space="preserve"> entregó su respuesta el </w:t>
      </w:r>
      <w:r w:rsidRPr="007968B8">
        <w:rPr>
          <w:rFonts w:ascii="Palatino Linotype" w:eastAsia="Palatino Linotype" w:hAnsi="Palatino Linotype" w:cs="Palatino Linotype"/>
          <w:b/>
          <w:bCs/>
          <w:color w:val="000000"/>
        </w:rPr>
        <w:t>doce de septiembre al seis de octubre de dos mil veinticinco</w:t>
      </w:r>
      <w:r w:rsidRPr="007968B8">
        <w:rPr>
          <w:rFonts w:ascii="Palatino Linotype" w:eastAsia="Palatino Linotype" w:hAnsi="Palatino Linotype" w:cs="Palatino Linotype"/>
          <w:color w:val="000000"/>
        </w:rPr>
        <w:t xml:space="preserve">, de tal forma que el plazo para </w:t>
      </w:r>
      <w:r w:rsidRPr="007968B8">
        <w:rPr>
          <w:rFonts w:ascii="Palatino Linotype" w:eastAsia="Palatino Linotype" w:hAnsi="Palatino Linotype" w:cs="Palatino Linotype"/>
          <w:color w:val="000000"/>
        </w:rPr>
        <w:lastRenderedPageBreak/>
        <w:t xml:space="preserve">interponer el recurso de revisión transcurrió del día </w:t>
      </w:r>
      <w:r w:rsidRPr="007968B8">
        <w:rPr>
          <w:rFonts w:ascii="Palatino Linotype" w:eastAsia="Palatino Linotype" w:hAnsi="Palatino Linotype" w:cs="Palatino Linotype"/>
          <w:b/>
          <w:bCs/>
          <w:color w:val="000000"/>
        </w:rPr>
        <w:t>quince de  al veintitrés de septiembre de dos mil veinticinco</w:t>
      </w:r>
      <w:r w:rsidRPr="007968B8">
        <w:rPr>
          <w:rFonts w:ascii="Palatino Linotype" w:eastAsia="Palatino Linotype" w:hAnsi="Palatino Linotype" w:cs="Palatino Linotype"/>
          <w:color w:val="000000"/>
        </w:rPr>
        <w:t xml:space="preserve">; en consecuencia, el ahora </w:t>
      </w:r>
      <w:r w:rsidRPr="007968B8">
        <w:rPr>
          <w:rFonts w:ascii="Palatino Linotype" w:eastAsia="Palatino Linotype" w:hAnsi="Palatino Linotype" w:cs="Palatino Linotype"/>
          <w:b/>
          <w:bCs/>
          <w:color w:val="000000"/>
        </w:rPr>
        <w:t>RECURRENTE</w:t>
      </w:r>
      <w:r w:rsidRPr="007968B8">
        <w:rPr>
          <w:rFonts w:ascii="Palatino Linotype" w:eastAsia="Palatino Linotype" w:hAnsi="Palatino Linotype" w:cs="Palatino Linotype"/>
          <w:color w:val="000000"/>
        </w:rPr>
        <w:t xml:space="preserve"> presentó su inconformidad el día </w:t>
      </w:r>
      <w:r w:rsidRPr="007968B8">
        <w:rPr>
          <w:rFonts w:ascii="Palatino Linotype" w:eastAsia="Palatino Linotype" w:hAnsi="Palatino Linotype" w:cs="Palatino Linotype"/>
          <w:b/>
          <w:bCs/>
          <w:color w:val="000000"/>
        </w:rPr>
        <w:t>treinta de septiembre de dos mil veinticinco</w:t>
      </w:r>
      <w:r w:rsidRPr="007968B8">
        <w:rPr>
          <w:rFonts w:ascii="Palatino Linotype" w:eastAsia="Palatino Linotype" w:hAnsi="Palatino Linotype" w:cs="Palatino Linotype"/>
          <w:color w:val="000000"/>
        </w:rPr>
        <w:t>; es decir dentro del lapso legalmente establecido para tal efecto.</w:t>
      </w:r>
    </w:p>
    <w:p w:rsidR="006D5D3E" w:rsidRPr="007968B8" w:rsidRDefault="006D5D3E">
      <w:pPr>
        <w:pBdr>
          <w:top w:val="nil"/>
          <w:left w:val="nil"/>
          <w:bottom w:val="nil"/>
          <w:right w:val="nil"/>
          <w:between w:val="nil"/>
        </w:pBdr>
        <w:ind w:left="720"/>
        <w:rPr>
          <w:rFonts w:ascii="Palatino Linotype" w:eastAsia="Palatino Linotype" w:hAnsi="Palatino Linotype" w:cs="Palatino Linotype"/>
          <w:color w:val="000000"/>
        </w:rPr>
      </w:pPr>
    </w:p>
    <w:p w:rsidR="006D5D3E" w:rsidRPr="007968B8" w:rsidRDefault="00D97976">
      <w:pPr>
        <w:numPr>
          <w:ilvl w:val="0"/>
          <w:numId w:val="10"/>
        </w:numPr>
        <w:pBdr>
          <w:top w:val="nil"/>
          <w:left w:val="nil"/>
          <w:bottom w:val="nil"/>
          <w:right w:val="nil"/>
          <w:between w:val="nil"/>
        </w:pBdr>
        <w:spacing w:line="360" w:lineRule="auto"/>
        <w:ind w:left="0" w:right="-787" w:firstLine="0"/>
        <w:jc w:val="both"/>
        <w:rPr>
          <w:color w:val="000000"/>
        </w:rPr>
      </w:pPr>
      <w:r w:rsidRPr="007968B8">
        <w:rPr>
          <w:rFonts w:ascii="Palatino Linotype" w:eastAsia="Palatino Linotype" w:hAnsi="Palatino Linotype" w:cs="Palatino Linotype"/>
          <w:color w:val="000000"/>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6D5D3E" w:rsidRPr="007968B8" w:rsidRDefault="006D5D3E">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6D5D3E" w:rsidRPr="007968B8" w:rsidRDefault="00D97976">
      <w:pPr>
        <w:pStyle w:val="Ttulo1"/>
        <w:spacing w:before="0" w:line="360" w:lineRule="auto"/>
        <w:ind w:right="-787"/>
        <w:rPr>
          <w:rFonts w:ascii="Palatino Linotype" w:eastAsia="Palatino Linotype" w:hAnsi="Palatino Linotype" w:cs="Palatino Linotype"/>
          <w:b/>
          <w:bCs/>
          <w:color w:val="000000"/>
          <w:sz w:val="24"/>
          <w:szCs w:val="24"/>
        </w:rPr>
      </w:pPr>
      <w:bookmarkStart w:id="6" w:name="_heading=h.2s8eyo1" w:colFirst="0" w:colLast="0"/>
      <w:bookmarkEnd w:id="6"/>
      <w:r w:rsidRPr="007968B8">
        <w:rPr>
          <w:rFonts w:ascii="Palatino Linotype" w:eastAsia="Palatino Linotype" w:hAnsi="Palatino Linotype" w:cs="Palatino Linotype"/>
          <w:b/>
          <w:bCs/>
          <w:color w:val="000000"/>
          <w:sz w:val="24"/>
          <w:szCs w:val="24"/>
        </w:rPr>
        <w:t xml:space="preserve">TERCERO. Del planteamiento de la </w:t>
      </w:r>
      <w:r w:rsidRPr="007968B8">
        <w:rPr>
          <w:rFonts w:ascii="Palatino Linotype" w:eastAsia="Palatino Linotype" w:hAnsi="Palatino Linotype" w:cs="Palatino Linotype"/>
          <w:b/>
          <w:bCs/>
          <w:i/>
          <w:iCs/>
          <w:color w:val="000000"/>
          <w:sz w:val="24"/>
          <w:szCs w:val="24"/>
        </w:rPr>
        <w:t>Litis</w:t>
      </w:r>
      <w:r w:rsidRPr="007968B8">
        <w:rPr>
          <w:rFonts w:ascii="Palatino Linotype" w:eastAsia="Palatino Linotype" w:hAnsi="Palatino Linotype" w:cs="Palatino Linotype"/>
          <w:b/>
          <w:bCs/>
          <w:color w:val="000000"/>
          <w:sz w:val="24"/>
          <w:szCs w:val="24"/>
        </w:rPr>
        <w:t>.</w:t>
      </w:r>
    </w:p>
    <w:p w:rsidR="006D5D3E" w:rsidRPr="007968B8" w:rsidRDefault="00D97976">
      <w:pPr>
        <w:numPr>
          <w:ilvl w:val="0"/>
          <w:numId w:val="10"/>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r w:rsidRPr="007968B8">
        <w:rPr>
          <w:rFonts w:ascii="Palatino Linotype" w:eastAsia="Palatino Linotype" w:hAnsi="Palatino Linotype" w:cs="Palatino Linotype"/>
          <w:color w:val="000000"/>
        </w:rPr>
        <w:t>De las constancias en el expediente al rubro indicado, se desprende que el particular solicitó la información que a continuación se desagrega:</w:t>
      </w:r>
    </w:p>
    <w:p w:rsidR="006D5D3E" w:rsidRPr="007968B8" w:rsidRDefault="00D97976">
      <w:pPr>
        <w:pBdr>
          <w:top w:val="nil"/>
          <w:left w:val="nil"/>
          <w:bottom w:val="nil"/>
          <w:right w:val="nil"/>
          <w:between w:val="nil"/>
        </w:pBdr>
        <w:spacing w:line="360" w:lineRule="auto"/>
        <w:ind w:left="1440" w:right="709"/>
        <w:jc w:val="both"/>
        <w:rPr>
          <w:rFonts w:ascii="Palatino Linotype" w:eastAsia="Palatino Linotype" w:hAnsi="Palatino Linotype" w:cs="Palatino Linotype"/>
          <w:i/>
          <w:iCs/>
          <w:color w:val="000000"/>
        </w:rPr>
      </w:pPr>
      <w:r w:rsidRPr="007968B8">
        <w:rPr>
          <w:rFonts w:ascii="Palatino Linotype" w:eastAsia="Palatino Linotype" w:hAnsi="Palatino Linotype" w:cs="Palatino Linotype"/>
          <w:i/>
          <w:iCs/>
          <w:color w:val="000000"/>
        </w:rPr>
        <w:t>De el bacheo realizado en la carretera Villa Victoria – El Oro publicado en las redes sociales:</w:t>
      </w:r>
    </w:p>
    <w:p w:rsidR="006D5D3E" w:rsidRPr="007968B8" w:rsidRDefault="00D97976">
      <w:pPr>
        <w:pBdr>
          <w:top w:val="nil"/>
          <w:left w:val="nil"/>
          <w:bottom w:val="nil"/>
          <w:right w:val="nil"/>
          <w:between w:val="nil"/>
        </w:pBdr>
        <w:spacing w:line="360" w:lineRule="auto"/>
        <w:ind w:right="-787" w:firstLine="1417"/>
        <w:rPr>
          <w:rFonts w:ascii="Palatino Linotype" w:eastAsia="Palatino Linotype" w:hAnsi="Palatino Linotype" w:cs="Palatino Linotype"/>
          <w:i/>
          <w:iCs/>
          <w:color w:val="000000"/>
        </w:rPr>
      </w:pPr>
      <w:r w:rsidRPr="007968B8">
        <w:rPr>
          <w:rFonts w:ascii="Palatino Linotype" w:eastAsia="Palatino Linotype" w:hAnsi="Palatino Linotype" w:cs="Palatino Linotype"/>
          <w:i/>
          <w:iCs/>
          <w:color w:val="000000"/>
        </w:rPr>
        <w:t xml:space="preserve">1. Recurso utilizado </w:t>
      </w:r>
    </w:p>
    <w:p w:rsidR="006D5D3E" w:rsidRPr="007968B8" w:rsidRDefault="00D97976">
      <w:pPr>
        <w:spacing w:line="360" w:lineRule="auto"/>
        <w:ind w:right="992" w:firstLine="1417"/>
        <w:rPr>
          <w:rFonts w:ascii="Palatino Linotype" w:eastAsia="Palatino Linotype" w:hAnsi="Palatino Linotype" w:cs="Palatino Linotype"/>
          <w:i/>
          <w:iCs/>
          <w:color w:val="000000"/>
        </w:rPr>
      </w:pPr>
      <w:r w:rsidRPr="007968B8">
        <w:rPr>
          <w:rFonts w:ascii="Palatino Linotype" w:eastAsia="Palatino Linotype" w:hAnsi="Palatino Linotype" w:cs="Palatino Linotype"/>
          <w:i/>
          <w:iCs/>
          <w:color w:val="000000"/>
        </w:rPr>
        <w:t>2. Proveedor de los materiales utilizados</w:t>
      </w:r>
    </w:p>
    <w:p w:rsidR="006D5D3E" w:rsidRPr="007968B8" w:rsidRDefault="00D97976">
      <w:pPr>
        <w:spacing w:line="360" w:lineRule="auto"/>
        <w:ind w:right="992" w:firstLine="1417"/>
        <w:rPr>
          <w:rFonts w:ascii="Palatino Linotype" w:eastAsia="Palatino Linotype" w:hAnsi="Palatino Linotype" w:cs="Palatino Linotype"/>
          <w:i/>
          <w:iCs/>
          <w:color w:val="000000"/>
        </w:rPr>
      </w:pPr>
      <w:r w:rsidRPr="007968B8">
        <w:rPr>
          <w:rFonts w:ascii="Palatino Linotype" w:eastAsia="Palatino Linotype" w:hAnsi="Palatino Linotype" w:cs="Palatino Linotype"/>
          <w:i/>
          <w:iCs/>
          <w:color w:val="000000"/>
        </w:rPr>
        <w:t>3.  cantidad de materiales utilizados</w:t>
      </w:r>
    </w:p>
    <w:p w:rsidR="006D5D3E" w:rsidRPr="007968B8" w:rsidRDefault="00D97976">
      <w:pPr>
        <w:spacing w:line="360" w:lineRule="auto"/>
        <w:ind w:right="992" w:firstLine="1417"/>
        <w:rPr>
          <w:rFonts w:ascii="Palatino Linotype" w:eastAsia="Palatino Linotype" w:hAnsi="Palatino Linotype" w:cs="Palatino Linotype"/>
          <w:i/>
          <w:iCs/>
          <w:color w:val="000000"/>
        </w:rPr>
      </w:pPr>
      <w:r w:rsidRPr="007968B8">
        <w:rPr>
          <w:rFonts w:ascii="Palatino Linotype" w:eastAsia="Palatino Linotype" w:hAnsi="Palatino Linotype" w:cs="Palatino Linotype"/>
          <w:i/>
          <w:iCs/>
          <w:color w:val="000000"/>
        </w:rPr>
        <w:t>4. Tiempo en que se realizó la obra</w:t>
      </w:r>
    </w:p>
    <w:p w:rsidR="006D5D3E" w:rsidRPr="007968B8" w:rsidRDefault="00D97976">
      <w:pPr>
        <w:spacing w:line="360" w:lineRule="auto"/>
        <w:ind w:right="992" w:firstLine="1417"/>
        <w:rPr>
          <w:rFonts w:ascii="Palatino Linotype" w:eastAsia="Palatino Linotype" w:hAnsi="Palatino Linotype" w:cs="Palatino Linotype"/>
          <w:i/>
          <w:iCs/>
          <w:color w:val="000000"/>
        </w:rPr>
      </w:pPr>
      <w:r w:rsidRPr="007968B8">
        <w:rPr>
          <w:rFonts w:ascii="Palatino Linotype" w:eastAsia="Palatino Linotype" w:hAnsi="Palatino Linotype" w:cs="Palatino Linotype"/>
          <w:i/>
          <w:iCs/>
          <w:color w:val="000000"/>
        </w:rPr>
        <w:t>5. Metros cuadrados que fueron bacheados</w:t>
      </w:r>
    </w:p>
    <w:p w:rsidR="006D5D3E" w:rsidRPr="007968B8" w:rsidRDefault="00D97976">
      <w:pPr>
        <w:spacing w:line="360" w:lineRule="auto"/>
        <w:ind w:right="992" w:firstLine="1417"/>
        <w:rPr>
          <w:rFonts w:ascii="Palatino Linotype" w:eastAsia="Palatino Linotype" w:hAnsi="Palatino Linotype" w:cs="Palatino Linotype"/>
          <w:i/>
          <w:iCs/>
          <w:color w:val="000000"/>
        </w:rPr>
      </w:pPr>
      <w:r w:rsidRPr="007968B8">
        <w:rPr>
          <w:rFonts w:ascii="Palatino Linotype" w:eastAsia="Palatino Linotype" w:hAnsi="Palatino Linotype" w:cs="Palatino Linotype"/>
          <w:i/>
          <w:iCs/>
          <w:color w:val="000000"/>
        </w:rPr>
        <w:t>6. Continuará el bacheo en otras calles</w:t>
      </w:r>
    </w:p>
    <w:p w:rsidR="006D5D3E" w:rsidRPr="007968B8" w:rsidRDefault="00D97976">
      <w:pPr>
        <w:spacing w:line="360" w:lineRule="auto"/>
        <w:ind w:right="992" w:firstLine="1417"/>
        <w:rPr>
          <w:rFonts w:ascii="Palatino Linotype" w:eastAsia="Palatino Linotype" w:hAnsi="Palatino Linotype" w:cs="Palatino Linotype"/>
          <w:i/>
          <w:iCs/>
          <w:color w:val="000000"/>
        </w:rPr>
      </w:pPr>
      <w:r w:rsidRPr="007968B8">
        <w:rPr>
          <w:rFonts w:ascii="Palatino Linotype" w:eastAsia="Palatino Linotype" w:hAnsi="Palatino Linotype" w:cs="Palatino Linotype"/>
          <w:i/>
          <w:iCs/>
          <w:color w:val="000000"/>
        </w:rPr>
        <w:t>7. De continuar el bacheo señalar en que calles se realizará</w:t>
      </w:r>
    </w:p>
    <w:p w:rsidR="006D5D3E" w:rsidRPr="007968B8" w:rsidRDefault="006D5D3E">
      <w:pPr>
        <w:spacing w:line="276" w:lineRule="auto"/>
        <w:ind w:left="1134" w:right="992" w:firstLine="283"/>
        <w:jc w:val="center"/>
        <w:rPr>
          <w:rFonts w:ascii="Palatino Linotype" w:eastAsia="Palatino Linotype" w:hAnsi="Palatino Linotype" w:cs="Palatino Linotype"/>
          <w:i/>
          <w:iCs/>
          <w:color w:val="000000"/>
        </w:rPr>
      </w:pPr>
    </w:p>
    <w:p w:rsidR="006D5D3E" w:rsidRPr="007968B8" w:rsidRDefault="006D5D3E">
      <w:pPr>
        <w:pBdr>
          <w:top w:val="nil"/>
          <w:left w:val="nil"/>
          <w:bottom w:val="nil"/>
          <w:right w:val="nil"/>
          <w:between w:val="nil"/>
        </w:pBdr>
        <w:spacing w:line="360" w:lineRule="auto"/>
        <w:ind w:right="-787"/>
        <w:jc w:val="center"/>
        <w:rPr>
          <w:rFonts w:ascii="Palatino Linotype" w:eastAsia="Palatino Linotype" w:hAnsi="Palatino Linotype" w:cs="Palatino Linotype"/>
          <w:i/>
          <w:iCs/>
          <w:color w:val="000000"/>
        </w:rPr>
      </w:pPr>
    </w:p>
    <w:p w:rsidR="006D5D3E" w:rsidRPr="007968B8" w:rsidRDefault="00D97976">
      <w:pPr>
        <w:numPr>
          <w:ilvl w:val="0"/>
          <w:numId w:val="10"/>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i/>
          <w:iCs/>
          <w:color w:val="000000"/>
        </w:rPr>
      </w:pPr>
      <w:r w:rsidRPr="007968B8">
        <w:rPr>
          <w:rFonts w:ascii="Palatino Linotype" w:eastAsia="Palatino Linotype" w:hAnsi="Palatino Linotype" w:cs="Palatino Linotype"/>
          <w:color w:val="000000"/>
        </w:rPr>
        <w:lastRenderedPageBreak/>
        <w:t xml:space="preserve">En respuesta, el </w:t>
      </w:r>
      <w:r w:rsidRPr="007968B8">
        <w:rPr>
          <w:rFonts w:ascii="Palatino Linotype" w:eastAsia="Palatino Linotype" w:hAnsi="Palatino Linotype" w:cs="Palatino Linotype"/>
          <w:b/>
          <w:bCs/>
          <w:color w:val="000000"/>
        </w:rPr>
        <w:t xml:space="preserve">SUJETO OBLIGADO </w:t>
      </w:r>
      <w:r w:rsidRPr="007968B8">
        <w:rPr>
          <w:rFonts w:ascii="Palatino Linotype" w:eastAsia="Palatino Linotype" w:hAnsi="Palatino Linotype" w:cs="Palatino Linotype"/>
          <w:color w:val="000000"/>
        </w:rPr>
        <w:t xml:space="preserve">por medio del Titular de la Unidad de Transparencia, entregó dos archivos electrónicos en formato pdf cuyo contenido ha sido desglosado en el punto dos de la presente resolución.   </w:t>
      </w:r>
    </w:p>
    <w:p w:rsidR="006D5D3E" w:rsidRPr="007968B8" w:rsidRDefault="006D5D3E">
      <w:pPr>
        <w:pBdr>
          <w:top w:val="nil"/>
          <w:left w:val="nil"/>
          <w:bottom w:val="nil"/>
          <w:right w:val="nil"/>
          <w:between w:val="nil"/>
        </w:pBdr>
        <w:spacing w:line="360" w:lineRule="auto"/>
        <w:ind w:right="-787"/>
        <w:jc w:val="both"/>
        <w:rPr>
          <w:rFonts w:ascii="Palatino Linotype" w:eastAsia="Palatino Linotype" w:hAnsi="Palatino Linotype" w:cs="Palatino Linotype"/>
          <w:i/>
          <w:iCs/>
          <w:color w:val="000000"/>
        </w:rPr>
      </w:pPr>
    </w:p>
    <w:p w:rsidR="006D5D3E" w:rsidRPr="007968B8" w:rsidRDefault="00D97976">
      <w:pPr>
        <w:numPr>
          <w:ilvl w:val="0"/>
          <w:numId w:val="10"/>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rPr>
        <w:t xml:space="preserve">En dichas condiciones, la </w:t>
      </w:r>
      <w:r w:rsidRPr="007968B8">
        <w:rPr>
          <w:rFonts w:ascii="Palatino Linotype" w:eastAsia="Palatino Linotype" w:hAnsi="Palatino Linotype" w:cs="Palatino Linotype"/>
          <w:i/>
          <w:iCs/>
        </w:rPr>
        <w:t>Litis</w:t>
      </w:r>
      <w:r w:rsidRPr="007968B8">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 </w:t>
      </w:r>
      <w:r w:rsidRPr="007968B8">
        <w:rPr>
          <w:rFonts w:ascii="Palatino Linotype" w:eastAsia="Palatino Linotype" w:hAnsi="Palatino Linotype" w:cs="Palatino Linotype"/>
          <w:b/>
          <w:bCs/>
        </w:rPr>
        <w:t>V</w:t>
      </w:r>
      <w:r w:rsidRPr="007968B8">
        <w:rPr>
          <w:rFonts w:ascii="Palatino Linotype" w:eastAsia="Palatino Linotype" w:hAnsi="Palatino Linotype" w:cs="Palatino Linotype"/>
        </w:rPr>
        <w:t xml:space="preserve"> de la </w:t>
      </w:r>
      <w:r w:rsidRPr="007968B8">
        <w:rPr>
          <w:rFonts w:ascii="Palatino Linotype" w:eastAsia="Palatino Linotype" w:hAnsi="Palatino Linotype" w:cs="Palatino Linotype"/>
          <w:b/>
          <w:bCs/>
        </w:rPr>
        <w:t xml:space="preserve">Ley de Transparencia y Acceso a la </w:t>
      </w:r>
      <w:r w:rsidRPr="007968B8">
        <w:rPr>
          <w:rFonts w:ascii="Palatino Linotype" w:eastAsia="Palatino Linotype" w:hAnsi="Palatino Linotype" w:cs="Palatino Linotype"/>
        </w:rPr>
        <w:t>Información</w:t>
      </w:r>
      <w:r w:rsidRPr="007968B8">
        <w:rPr>
          <w:rFonts w:ascii="Palatino Linotype" w:eastAsia="Palatino Linotype" w:hAnsi="Palatino Linotype" w:cs="Palatino Linotype"/>
          <w:b/>
          <w:bCs/>
        </w:rPr>
        <w:t xml:space="preserve"> Pública del Estado de México y Municipios</w:t>
      </w:r>
      <w:r w:rsidRPr="007968B8">
        <w:rPr>
          <w:rFonts w:ascii="Palatino Linotype" w:eastAsia="Palatino Linotype" w:hAnsi="Palatino Linotype" w:cs="Palatino Linotype"/>
        </w:rPr>
        <w:t xml:space="preserve">; </w:t>
      </w:r>
      <w:r w:rsidRPr="007968B8">
        <w:rPr>
          <w:rFonts w:ascii="Palatino Linotype" w:eastAsia="Palatino Linotype" w:hAnsi="Palatino Linotype" w:cs="Palatino Linotype"/>
          <w:color w:val="000000"/>
        </w:rPr>
        <w:t xml:space="preserve">fracción que determina la hipótesis jurídica relativa a la entrega incompleta de la información; </w:t>
      </w:r>
      <w:r w:rsidRPr="007968B8">
        <w:rPr>
          <w:rFonts w:ascii="Palatino Linotype" w:eastAsia="Palatino Linotype" w:hAnsi="Palatino Linotype" w:cs="Palatino Linotype"/>
        </w:rPr>
        <w:t xml:space="preserve">contexto de lo cual se dolió el </w:t>
      </w:r>
      <w:r w:rsidRPr="007968B8">
        <w:rPr>
          <w:rFonts w:ascii="Palatino Linotype" w:eastAsia="Palatino Linotype" w:hAnsi="Palatino Linotype" w:cs="Palatino Linotype"/>
          <w:b/>
          <w:bCs/>
        </w:rPr>
        <w:t>RECURRENTE</w:t>
      </w:r>
      <w:r w:rsidRPr="007968B8">
        <w:rPr>
          <w:rFonts w:ascii="Palatino Linotype" w:eastAsia="Palatino Linotype" w:hAnsi="Palatino Linotype" w:cs="Palatino Linotype"/>
        </w:rPr>
        <w:t xml:space="preserve"> al momento de interponer su recurso de revisión</w:t>
      </w:r>
      <w:r w:rsidRPr="007968B8">
        <w:rPr>
          <w:rFonts w:ascii="Palatino Linotype" w:eastAsia="Palatino Linotype" w:hAnsi="Palatino Linotype" w:cs="Palatino Linotype"/>
          <w:color w:val="000000"/>
        </w:rPr>
        <w:t>.</w:t>
      </w:r>
    </w:p>
    <w:p w:rsidR="006D5D3E" w:rsidRPr="007968B8" w:rsidRDefault="006D5D3E">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6D5D3E" w:rsidRPr="007968B8" w:rsidRDefault="00D97976">
      <w:pPr>
        <w:numPr>
          <w:ilvl w:val="0"/>
          <w:numId w:val="10"/>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 xml:space="preserve">De modo tal que el presente recurso de revisión se </w:t>
      </w:r>
      <w:r w:rsidRPr="007968B8">
        <w:rPr>
          <w:rFonts w:ascii="Palatino Linotype" w:eastAsia="Palatino Linotype" w:hAnsi="Palatino Linotype" w:cs="Palatino Linotype"/>
        </w:rPr>
        <w:t>abocará</w:t>
      </w:r>
      <w:r w:rsidRPr="007968B8">
        <w:rPr>
          <w:rFonts w:ascii="Palatino Linotype" w:eastAsia="Palatino Linotype" w:hAnsi="Palatino Linotype" w:cs="Palatino Linotype"/>
          <w:color w:val="000000"/>
        </w:rPr>
        <w:t xml:space="preserve"> en determinar si el </w:t>
      </w:r>
      <w:r w:rsidRPr="007968B8">
        <w:rPr>
          <w:rFonts w:ascii="Palatino Linotype" w:eastAsia="Palatino Linotype" w:hAnsi="Palatino Linotype" w:cs="Palatino Linotype"/>
          <w:b/>
          <w:bCs/>
          <w:color w:val="000000"/>
        </w:rPr>
        <w:t>SUJETO OBLIGADO</w:t>
      </w:r>
      <w:r w:rsidRPr="007968B8">
        <w:rPr>
          <w:rFonts w:ascii="Palatino Linotype" w:eastAsia="Palatino Linotype" w:hAnsi="Palatino Linotype" w:cs="Palatino Linotype"/>
          <w:color w:val="000000"/>
        </w:rPr>
        <w:t xml:space="preserve"> con su respuesta ciertamente actualiza la causal de procedencia</w:t>
      </w:r>
      <w:r w:rsidRPr="007968B8">
        <w:rPr>
          <w:rFonts w:ascii="Palatino Linotype" w:eastAsia="Palatino Linotype" w:hAnsi="Palatino Linotype" w:cs="Palatino Linotype"/>
          <w:b/>
          <w:bCs/>
          <w:color w:val="000000"/>
        </w:rPr>
        <w:t xml:space="preserve"> </w:t>
      </w:r>
      <w:r w:rsidRPr="007968B8">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6D5D3E" w:rsidRPr="007968B8" w:rsidRDefault="006D5D3E">
      <w:pPr>
        <w:pBdr>
          <w:top w:val="nil"/>
          <w:left w:val="nil"/>
          <w:bottom w:val="nil"/>
          <w:right w:val="nil"/>
          <w:between w:val="nil"/>
        </w:pBdr>
        <w:spacing w:line="360" w:lineRule="auto"/>
        <w:ind w:left="709" w:right="-787"/>
        <w:rPr>
          <w:rFonts w:ascii="Palatino Linotype" w:eastAsia="Palatino Linotype" w:hAnsi="Palatino Linotype" w:cs="Palatino Linotype"/>
          <w:color w:val="000000"/>
        </w:rPr>
      </w:pPr>
    </w:p>
    <w:p w:rsidR="006D5D3E" w:rsidRPr="007968B8" w:rsidRDefault="00D97976">
      <w:pPr>
        <w:keepNext/>
        <w:keepLines/>
        <w:spacing w:line="360" w:lineRule="auto"/>
        <w:ind w:right="-787"/>
        <w:rPr>
          <w:rFonts w:ascii="Palatino Linotype" w:eastAsia="Palatino Linotype" w:hAnsi="Palatino Linotype" w:cs="Palatino Linotype"/>
          <w:b/>
          <w:bCs/>
          <w:color w:val="000000"/>
        </w:rPr>
      </w:pPr>
      <w:r w:rsidRPr="007968B8">
        <w:rPr>
          <w:rFonts w:ascii="Palatino Linotype" w:eastAsia="Palatino Linotype" w:hAnsi="Palatino Linotype" w:cs="Palatino Linotype"/>
          <w:b/>
          <w:bCs/>
          <w:color w:val="000000"/>
        </w:rPr>
        <w:t>CUARTO. Del estudio y resolución del estudio.</w:t>
      </w:r>
    </w:p>
    <w:p w:rsidR="006D5D3E" w:rsidRPr="007968B8" w:rsidRDefault="00D97976">
      <w:pPr>
        <w:keepNext/>
        <w:keepLines/>
        <w:numPr>
          <w:ilvl w:val="0"/>
          <w:numId w:val="11"/>
        </w:numPr>
        <w:spacing w:after="240" w:line="360" w:lineRule="auto"/>
        <w:ind w:left="786" w:right="-787"/>
        <w:rPr>
          <w:rFonts w:ascii="Palatino Linotype" w:eastAsia="Palatino Linotype" w:hAnsi="Palatino Linotype" w:cs="Palatino Linotype"/>
          <w:b/>
          <w:bCs/>
          <w:color w:val="000000"/>
        </w:rPr>
      </w:pPr>
      <w:bookmarkStart w:id="7" w:name="_heading=h.17dp8vu" w:colFirst="0" w:colLast="0"/>
      <w:bookmarkEnd w:id="7"/>
      <w:r w:rsidRPr="007968B8">
        <w:rPr>
          <w:rFonts w:ascii="Palatino Linotype" w:eastAsia="Palatino Linotype" w:hAnsi="Palatino Linotype" w:cs="Palatino Linotype"/>
          <w:b/>
          <w:bCs/>
          <w:color w:val="000000"/>
        </w:rPr>
        <w:t>Del derecho de acceso a la información.</w:t>
      </w:r>
    </w:p>
    <w:p w:rsidR="006D5D3E" w:rsidRPr="007968B8" w:rsidRDefault="00D97976">
      <w:pPr>
        <w:numPr>
          <w:ilvl w:val="0"/>
          <w:numId w:val="10"/>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w:t>
      </w:r>
      <w:r w:rsidRPr="007968B8">
        <w:rPr>
          <w:rFonts w:ascii="Palatino Linotype" w:eastAsia="Palatino Linotype" w:hAnsi="Palatino Linotype" w:cs="Palatino Linotype"/>
          <w:color w:val="000000"/>
        </w:rPr>
        <w:lastRenderedPageBreak/>
        <w:t xml:space="preserve">Derechos Humanos en su artículo 13.1; en el artículo sexto de la Constitución Política de los Estados Unidos Mexicanos y en el artículo quinto de la Particular del Estado de México. </w:t>
      </w:r>
    </w:p>
    <w:p w:rsidR="006D5D3E" w:rsidRPr="007968B8" w:rsidRDefault="006D5D3E">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6D5D3E" w:rsidRPr="007968B8" w:rsidRDefault="00D97976">
      <w:pPr>
        <w:numPr>
          <w:ilvl w:val="0"/>
          <w:numId w:val="10"/>
        </w:numPr>
        <w:spacing w:before="240" w:line="360" w:lineRule="auto"/>
        <w:ind w:left="0" w:right="-787" w:firstLine="0"/>
        <w:jc w:val="both"/>
        <w:rPr>
          <w:rFonts w:ascii="Palatino Linotype" w:eastAsia="Palatino Linotype" w:hAnsi="Palatino Linotype" w:cs="Palatino Linotype"/>
        </w:rPr>
      </w:pPr>
      <w:r w:rsidRPr="007968B8">
        <w:rPr>
          <w:rFonts w:ascii="Palatino Linotype" w:eastAsia="Palatino Linotype" w:hAnsi="Palatino Linotype" w:cs="Palatino Linotype"/>
        </w:rPr>
        <w:t xml:space="preserve">Definiendo el Derecho de Acceso a la Información Pública como: </w:t>
      </w:r>
      <w:r w:rsidRPr="007968B8">
        <w:rPr>
          <w:rFonts w:ascii="Palatino Linotype" w:eastAsia="Palatino Linotype" w:hAnsi="Palatino Linotype" w:cs="Palatino Linotype"/>
          <w:i/>
          <w:iCs/>
          <w:color w:val="000000"/>
        </w:rPr>
        <w:t>La igualdad de oportunidades para recibir, buscar e impartir información</w:t>
      </w:r>
      <w:r w:rsidRPr="007968B8">
        <w:rPr>
          <w:rFonts w:ascii="Palatino Linotype" w:eastAsia="Palatino Linotype" w:hAnsi="Palatino Linotype" w:cs="Palatino Linotype"/>
          <w:i/>
          <w:iCs/>
          <w:vertAlign w:val="superscript"/>
        </w:rPr>
        <w:footnoteReference w:id="1"/>
      </w:r>
      <w:r w:rsidRPr="007968B8">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968B8">
        <w:rPr>
          <w:rFonts w:ascii="Palatino Linotype" w:eastAsia="Palatino Linotype" w:hAnsi="Palatino Linotype" w:cs="Palatino Linotype"/>
          <w:i/>
          <w:iCs/>
          <w:vertAlign w:val="superscript"/>
        </w:rPr>
        <w:footnoteReference w:id="2"/>
      </w:r>
      <w:r w:rsidRPr="007968B8">
        <w:rPr>
          <w:rFonts w:ascii="Palatino Linotype" w:eastAsia="Palatino Linotype" w:hAnsi="Palatino Linotype" w:cs="Palatino Linotype"/>
          <w:color w:val="000000"/>
        </w:rPr>
        <w:t>que se constituye como una herramienta fundamental para ejercer</w:t>
      </w:r>
      <w:r w:rsidRPr="007968B8">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7968B8">
        <w:rPr>
          <w:rFonts w:ascii="Palatino Linotype" w:eastAsia="Palatino Linotype" w:hAnsi="Palatino Linotype" w:cs="Palatino Linotype"/>
          <w:i/>
          <w:iCs/>
          <w:vertAlign w:val="superscript"/>
        </w:rPr>
        <w:footnoteReference w:id="3"/>
      </w:r>
      <w:r w:rsidRPr="007968B8">
        <w:rPr>
          <w:rFonts w:ascii="Palatino Linotype" w:eastAsia="Palatino Linotype" w:hAnsi="Palatino Linotype" w:cs="Palatino Linotype"/>
          <w:color w:val="000000"/>
        </w:rPr>
        <w:t>fomentando</w:t>
      </w:r>
      <w:r w:rsidRPr="007968B8">
        <w:rPr>
          <w:rFonts w:ascii="Palatino Linotype" w:eastAsia="Palatino Linotype" w:hAnsi="Palatino Linotype" w:cs="Palatino Linotype"/>
          <w:i/>
          <w:iCs/>
          <w:color w:val="000000"/>
        </w:rPr>
        <w:t xml:space="preserve"> la transparencia de las actividades estatales y </w:t>
      </w:r>
      <w:r w:rsidRPr="007968B8">
        <w:rPr>
          <w:rFonts w:ascii="Palatino Linotype" w:eastAsia="Palatino Linotype" w:hAnsi="Palatino Linotype" w:cs="Palatino Linotype"/>
          <w:color w:val="000000"/>
        </w:rPr>
        <w:t>promoviendo</w:t>
      </w:r>
      <w:r w:rsidRPr="007968B8">
        <w:rPr>
          <w:rFonts w:ascii="Palatino Linotype" w:eastAsia="Palatino Linotype" w:hAnsi="Palatino Linotype" w:cs="Palatino Linotype"/>
          <w:i/>
          <w:iCs/>
          <w:color w:val="000000"/>
        </w:rPr>
        <w:t xml:space="preserve"> la responsabilidad de los funcionarios sobre su gestión pública,</w:t>
      </w:r>
      <w:r w:rsidRPr="007968B8">
        <w:rPr>
          <w:rFonts w:ascii="Palatino Linotype" w:eastAsia="Palatino Linotype" w:hAnsi="Palatino Linotype" w:cs="Palatino Linotype"/>
          <w:i/>
          <w:iCs/>
          <w:vertAlign w:val="superscript"/>
        </w:rPr>
        <w:footnoteReference w:id="4"/>
      </w:r>
      <w:r w:rsidRPr="007968B8">
        <w:rPr>
          <w:rFonts w:ascii="Palatino Linotype" w:eastAsia="Palatino Linotype" w:hAnsi="Palatino Linotype" w:cs="Palatino Linotype"/>
          <w:color w:val="000000"/>
        </w:rPr>
        <w:t>que permite</w:t>
      </w:r>
      <w:r w:rsidRPr="007968B8">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rsidR="006D5D3E" w:rsidRPr="007968B8" w:rsidRDefault="006D5D3E">
      <w:pPr>
        <w:spacing w:before="240" w:line="360" w:lineRule="auto"/>
        <w:ind w:right="-787"/>
        <w:jc w:val="both"/>
        <w:rPr>
          <w:rFonts w:ascii="Palatino Linotype" w:eastAsia="Palatino Linotype" w:hAnsi="Palatino Linotype" w:cs="Palatino Linotype"/>
        </w:rPr>
      </w:pPr>
    </w:p>
    <w:p w:rsidR="006D5D3E" w:rsidRPr="007968B8" w:rsidRDefault="00D97976">
      <w:pPr>
        <w:numPr>
          <w:ilvl w:val="0"/>
          <w:numId w:val="10"/>
        </w:numPr>
        <w:spacing w:line="360" w:lineRule="auto"/>
        <w:ind w:left="0" w:right="-787" w:firstLine="0"/>
        <w:jc w:val="both"/>
        <w:rPr>
          <w:rFonts w:ascii="Palatino Linotype" w:eastAsia="Palatino Linotype" w:hAnsi="Palatino Linotype" w:cs="Palatino Linotype"/>
        </w:rPr>
      </w:pPr>
      <w:r w:rsidRPr="007968B8">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7968B8" w:rsidRDefault="007968B8">
      <w:pPr>
        <w:ind w:left="1134" w:right="277"/>
        <w:jc w:val="both"/>
        <w:rPr>
          <w:rFonts w:ascii="Palatino Linotype" w:eastAsia="Palatino Linotype" w:hAnsi="Palatino Linotype" w:cs="Palatino Linotype"/>
          <w:i/>
          <w:iCs/>
        </w:rPr>
      </w:pPr>
    </w:p>
    <w:p w:rsidR="006D5D3E" w:rsidRPr="007968B8" w:rsidRDefault="00D97976">
      <w:pPr>
        <w:ind w:left="1134" w:right="277"/>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lastRenderedPageBreak/>
        <w:t>“</w:t>
      </w:r>
      <w:r w:rsidRPr="007968B8">
        <w:rPr>
          <w:rFonts w:ascii="Palatino Linotype" w:eastAsia="Palatino Linotype" w:hAnsi="Palatino Linotype" w:cs="Palatino Linotype"/>
          <w:b/>
          <w:bCs/>
          <w:i/>
          <w:iCs/>
        </w:rPr>
        <w:t>Artículo 1.-</w:t>
      </w:r>
      <w:r w:rsidRPr="007968B8">
        <w:rPr>
          <w:rFonts w:ascii="Palatino Linotype" w:eastAsia="Palatino Linotype" w:hAnsi="Palatino Linotype" w:cs="Palatino Linotype"/>
          <w:i/>
          <w:iCs/>
        </w:rPr>
        <w:t xml:space="preserve"> </w:t>
      </w:r>
    </w:p>
    <w:p w:rsidR="006D5D3E" w:rsidRPr="007968B8" w:rsidRDefault="00D97976">
      <w:pPr>
        <w:ind w:left="1134" w:right="277"/>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w:t>
      </w:r>
    </w:p>
    <w:p w:rsidR="006D5D3E" w:rsidRPr="007968B8" w:rsidRDefault="00D97976">
      <w:pPr>
        <w:ind w:left="1134" w:right="277"/>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Todas las</w:t>
      </w:r>
      <w:r w:rsidRPr="007968B8">
        <w:rPr>
          <w:rFonts w:ascii="Palatino Linotype" w:eastAsia="Palatino Linotype" w:hAnsi="Palatino Linotype" w:cs="Palatino Linotype"/>
        </w:rPr>
        <w:t xml:space="preserve"> </w:t>
      </w:r>
      <w:r w:rsidRPr="007968B8">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6D5D3E" w:rsidRPr="007968B8" w:rsidRDefault="00D97976">
      <w:pPr>
        <w:ind w:left="1134" w:right="277"/>
        <w:jc w:val="both"/>
        <w:rPr>
          <w:rFonts w:ascii="Palatino Linotype" w:eastAsia="Palatino Linotype" w:hAnsi="Palatino Linotype" w:cs="Palatino Linotype"/>
        </w:rPr>
      </w:pPr>
      <w:r w:rsidRPr="007968B8">
        <w:rPr>
          <w:rFonts w:ascii="Palatino Linotype" w:eastAsia="Palatino Linotype" w:hAnsi="Palatino Linotype" w:cs="Palatino Linotype"/>
          <w:i/>
          <w:iCs/>
        </w:rPr>
        <w:t>(…)</w:t>
      </w:r>
      <w:r w:rsidRPr="007968B8">
        <w:rPr>
          <w:rFonts w:ascii="Palatino Linotype" w:eastAsia="Palatino Linotype" w:hAnsi="Palatino Linotype" w:cs="Palatino Linotype"/>
        </w:rPr>
        <w:t>”.</w:t>
      </w:r>
    </w:p>
    <w:p w:rsidR="006D5D3E" w:rsidRPr="007968B8" w:rsidRDefault="006D5D3E">
      <w:pPr>
        <w:ind w:right="277"/>
        <w:jc w:val="both"/>
        <w:rPr>
          <w:rFonts w:ascii="Palatino Linotype" w:eastAsia="Palatino Linotype" w:hAnsi="Palatino Linotype" w:cs="Palatino Linotype"/>
          <w:b/>
          <w:bCs/>
        </w:rPr>
      </w:pPr>
    </w:p>
    <w:p w:rsidR="006D5D3E" w:rsidRPr="007968B8" w:rsidRDefault="00D97976">
      <w:pPr>
        <w:numPr>
          <w:ilvl w:val="0"/>
          <w:numId w:val="10"/>
        </w:numPr>
        <w:spacing w:line="360" w:lineRule="auto"/>
        <w:ind w:left="0" w:right="-787" w:firstLine="0"/>
        <w:jc w:val="both"/>
        <w:rPr>
          <w:rFonts w:ascii="Palatino Linotype" w:eastAsia="Palatino Linotype" w:hAnsi="Palatino Linotype" w:cs="Palatino Linotype"/>
        </w:rPr>
      </w:pPr>
      <w:r w:rsidRPr="007968B8">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6D5D3E" w:rsidRPr="007968B8" w:rsidRDefault="006D5D3E">
      <w:pPr>
        <w:spacing w:line="360" w:lineRule="auto"/>
        <w:ind w:right="-787"/>
        <w:jc w:val="both"/>
        <w:rPr>
          <w:rFonts w:ascii="Palatino Linotype" w:eastAsia="Palatino Linotype" w:hAnsi="Palatino Linotype" w:cs="Palatino Linotype"/>
        </w:rPr>
      </w:pPr>
    </w:p>
    <w:p w:rsidR="006D5D3E" w:rsidRPr="007968B8" w:rsidRDefault="00D97976">
      <w:pPr>
        <w:numPr>
          <w:ilvl w:val="0"/>
          <w:numId w:val="10"/>
        </w:numPr>
        <w:spacing w:line="360" w:lineRule="auto"/>
        <w:ind w:left="0" w:right="-787" w:firstLine="0"/>
        <w:jc w:val="both"/>
        <w:rPr>
          <w:rFonts w:ascii="Palatino Linotype" w:eastAsia="Palatino Linotype" w:hAnsi="Palatino Linotype" w:cs="Palatino Linotype"/>
        </w:rPr>
      </w:pPr>
      <w:r w:rsidRPr="007968B8">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6D5D3E" w:rsidRPr="007968B8" w:rsidRDefault="00D97976">
      <w:pPr>
        <w:spacing w:after="240"/>
        <w:ind w:left="1134" w:right="277"/>
        <w:jc w:val="both"/>
        <w:rPr>
          <w:rFonts w:ascii="Palatino Linotype" w:eastAsia="Palatino Linotype" w:hAnsi="Palatino Linotype" w:cs="Palatino Linotype"/>
          <w:b/>
          <w:bCs/>
          <w:i/>
          <w:iCs/>
        </w:rPr>
      </w:pPr>
      <w:r w:rsidRPr="007968B8">
        <w:rPr>
          <w:rFonts w:ascii="Palatino Linotype" w:eastAsia="Palatino Linotype" w:hAnsi="Palatino Linotype" w:cs="Palatino Linotype"/>
          <w:b/>
          <w:bCs/>
          <w:i/>
          <w:iCs/>
        </w:rPr>
        <w:t>Constitución Política de los Estados Unidos Mexicanos</w:t>
      </w:r>
    </w:p>
    <w:p w:rsidR="006D5D3E" w:rsidRPr="007968B8" w:rsidRDefault="00D97976">
      <w:pPr>
        <w:spacing w:before="240" w:after="240"/>
        <w:ind w:left="1134" w:right="277"/>
        <w:jc w:val="both"/>
        <w:rPr>
          <w:rFonts w:ascii="Palatino Linotype" w:eastAsia="Palatino Linotype" w:hAnsi="Palatino Linotype" w:cs="Palatino Linotype"/>
          <w:b/>
          <w:bCs/>
          <w:i/>
          <w:iCs/>
        </w:rPr>
      </w:pPr>
      <w:r w:rsidRPr="007968B8">
        <w:rPr>
          <w:rFonts w:ascii="Palatino Linotype" w:eastAsia="Palatino Linotype" w:hAnsi="Palatino Linotype" w:cs="Palatino Linotype"/>
          <w:b/>
          <w:bCs/>
          <w:i/>
          <w:iCs/>
        </w:rPr>
        <w:t>“Artículo 6.</w:t>
      </w:r>
    </w:p>
    <w:p w:rsidR="006D5D3E" w:rsidRPr="007968B8" w:rsidRDefault="00D97976">
      <w:pPr>
        <w:spacing w:before="240" w:after="240"/>
        <w:ind w:left="1134" w:right="277"/>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w:t>
      </w:r>
    </w:p>
    <w:p w:rsidR="006D5D3E" w:rsidRPr="007968B8" w:rsidRDefault="00D97976">
      <w:pPr>
        <w:spacing w:before="240" w:after="240"/>
        <w:ind w:left="1134" w:right="277"/>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Para efectos de lo dispuesto en el presente artículo se observará lo siguiente:</w:t>
      </w:r>
    </w:p>
    <w:p w:rsidR="006D5D3E" w:rsidRPr="007968B8" w:rsidRDefault="00D97976">
      <w:pPr>
        <w:spacing w:before="240" w:after="240"/>
        <w:ind w:left="1134" w:right="277"/>
        <w:jc w:val="both"/>
        <w:rPr>
          <w:rFonts w:ascii="Palatino Linotype" w:eastAsia="Palatino Linotype" w:hAnsi="Palatino Linotype" w:cs="Palatino Linotype"/>
          <w:b/>
          <w:bCs/>
          <w:i/>
          <w:iCs/>
        </w:rPr>
      </w:pPr>
      <w:r w:rsidRPr="007968B8">
        <w:rPr>
          <w:rFonts w:ascii="Palatino Linotype" w:eastAsia="Palatino Linotype" w:hAnsi="Palatino Linotype" w:cs="Palatino Linotype"/>
          <w:b/>
          <w:bCs/>
          <w:i/>
          <w:iCs/>
        </w:rPr>
        <w:t>A</w:t>
      </w:r>
      <w:r w:rsidRPr="007968B8">
        <w:rPr>
          <w:rFonts w:ascii="Palatino Linotype" w:eastAsia="Palatino Linotype" w:hAnsi="Palatino Linotype" w:cs="Palatino Linotype"/>
          <w:i/>
          <w:iCs/>
        </w:rPr>
        <w:t xml:space="preserve">. </w:t>
      </w:r>
      <w:r w:rsidRPr="007968B8">
        <w:rPr>
          <w:rFonts w:ascii="Palatino Linotype" w:eastAsia="Palatino Linotype" w:hAnsi="Palatino Linotype" w:cs="Palatino Linotype"/>
          <w:b/>
          <w:bCs/>
          <w:i/>
          <w:iCs/>
        </w:rPr>
        <w:t>Para el ejercicio del derecho de acceso a la información</w:t>
      </w:r>
      <w:r w:rsidRPr="007968B8">
        <w:rPr>
          <w:rFonts w:ascii="Palatino Linotype" w:eastAsia="Palatino Linotype" w:hAnsi="Palatino Linotype" w:cs="Palatino Linotype"/>
          <w:i/>
          <w:iCs/>
        </w:rPr>
        <w:t xml:space="preserve">, la Federación y </w:t>
      </w:r>
      <w:r w:rsidRPr="007968B8">
        <w:rPr>
          <w:rFonts w:ascii="Palatino Linotype" w:eastAsia="Palatino Linotype" w:hAnsi="Palatino Linotype" w:cs="Palatino Linotype"/>
          <w:b/>
          <w:bCs/>
          <w:i/>
          <w:iCs/>
        </w:rPr>
        <w:t>las entidades federativas, en el ámbito de sus respectivas competencias, se regirán por los siguientes principios y bases:</w:t>
      </w:r>
    </w:p>
    <w:p w:rsidR="006D5D3E" w:rsidRPr="007968B8" w:rsidRDefault="00D97976">
      <w:pPr>
        <w:spacing w:before="240" w:after="240"/>
        <w:ind w:left="1134" w:right="277"/>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lastRenderedPageBreak/>
        <w:t xml:space="preserve">I. </w:t>
      </w:r>
      <w:r w:rsidRPr="007968B8">
        <w:rPr>
          <w:rFonts w:ascii="Palatino Linotype" w:eastAsia="Palatino Linotype" w:hAnsi="Palatino Linotype" w:cs="Palatino Linotype"/>
          <w:b/>
          <w:bCs/>
          <w:i/>
          <w:iCs/>
        </w:rPr>
        <w:tab/>
        <w:t>Toda la información en posesión de cualquier</w:t>
      </w:r>
      <w:r w:rsidRPr="007968B8">
        <w:rPr>
          <w:rFonts w:ascii="Palatino Linotype" w:eastAsia="Palatino Linotype" w:hAnsi="Palatino Linotype" w:cs="Palatino Linotype"/>
          <w:i/>
          <w:iCs/>
        </w:rPr>
        <w:t xml:space="preserve"> </w:t>
      </w:r>
      <w:r w:rsidRPr="007968B8">
        <w:rPr>
          <w:rFonts w:ascii="Palatino Linotype" w:eastAsia="Palatino Linotype" w:hAnsi="Palatino Linotype" w:cs="Palatino Linotype"/>
          <w:b/>
          <w:bCs/>
          <w:i/>
          <w:iCs/>
        </w:rPr>
        <w:t>autoridad</w:t>
      </w:r>
      <w:r w:rsidRPr="007968B8">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7968B8">
        <w:rPr>
          <w:rFonts w:ascii="Palatino Linotype" w:eastAsia="Palatino Linotype" w:hAnsi="Palatino Linotype" w:cs="Palatino Linotype"/>
          <w:b/>
          <w:bCs/>
          <w:i/>
          <w:iCs/>
        </w:rPr>
        <w:t>municipal</w:t>
      </w:r>
      <w:r w:rsidRPr="007968B8">
        <w:rPr>
          <w:rFonts w:ascii="Palatino Linotype" w:eastAsia="Palatino Linotype" w:hAnsi="Palatino Linotype" w:cs="Palatino Linotype"/>
          <w:i/>
          <w:iCs/>
        </w:rPr>
        <w:t xml:space="preserve">, </w:t>
      </w:r>
      <w:r w:rsidRPr="007968B8">
        <w:rPr>
          <w:rFonts w:ascii="Palatino Linotype" w:eastAsia="Palatino Linotype" w:hAnsi="Palatino Linotype" w:cs="Palatino Linotype"/>
          <w:b/>
          <w:bCs/>
          <w:i/>
          <w:iCs/>
        </w:rPr>
        <w:t>es pública</w:t>
      </w:r>
      <w:r w:rsidRPr="007968B8">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7968B8">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7968B8">
        <w:rPr>
          <w:rFonts w:ascii="Palatino Linotype" w:eastAsia="Palatino Linotype" w:hAnsi="Palatino Linotype" w:cs="Palatino Linotype"/>
          <w:i/>
          <w:iCs/>
        </w:rPr>
        <w:t>, la ley determinará los supuestos específicos bajo los cuales procederá la declaración de inexistencia de la información.”</w:t>
      </w:r>
    </w:p>
    <w:p w:rsidR="006D5D3E" w:rsidRPr="007968B8" w:rsidRDefault="006D5D3E">
      <w:pPr>
        <w:pBdr>
          <w:top w:val="nil"/>
          <w:left w:val="nil"/>
          <w:bottom w:val="nil"/>
          <w:right w:val="nil"/>
          <w:between w:val="nil"/>
        </w:pBdr>
        <w:tabs>
          <w:tab w:val="left" w:pos="567"/>
        </w:tabs>
        <w:spacing w:before="240" w:after="240"/>
        <w:ind w:left="1134" w:right="277"/>
        <w:jc w:val="both"/>
        <w:rPr>
          <w:rFonts w:ascii="Palatino Linotype" w:eastAsia="Palatino Linotype" w:hAnsi="Palatino Linotype" w:cs="Palatino Linotype"/>
          <w:b/>
          <w:bCs/>
          <w:i/>
          <w:iCs/>
          <w:color w:val="000000"/>
        </w:rPr>
      </w:pPr>
    </w:p>
    <w:p w:rsidR="006D5D3E" w:rsidRPr="007968B8" w:rsidRDefault="00D97976">
      <w:pPr>
        <w:spacing w:before="240" w:after="240"/>
        <w:ind w:left="1134" w:right="277"/>
        <w:jc w:val="both"/>
        <w:rPr>
          <w:rFonts w:ascii="Palatino Linotype" w:eastAsia="Palatino Linotype" w:hAnsi="Palatino Linotype" w:cs="Palatino Linotype"/>
          <w:b/>
          <w:bCs/>
          <w:i/>
          <w:iCs/>
        </w:rPr>
      </w:pPr>
      <w:r w:rsidRPr="007968B8">
        <w:rPr>
          <w:rFonts w:ascii="Palatino Linotype" w:eastAsia="Palatino Linotype" w:hAnsi="Palatino Linotype" w:cs="Palatino Linotype"/>
          <w:b/>
          <w:bCs/>
          <w:i/>
          <w:iCs/>
        </w:rPr>
        <w:t>Constitución Política del Estado Libre y Soberano de México</w:t>
      </w:r>
    </w:p>
    <w:p w:rsidR="006D5D3E" w:rsidRPr="007968B8" w:rsidRDefault="00D97976">
      <w:pPr>
        <w:spacing w:before="240" w:after="240"/>
        <w:ind w:left="1134" w:right="277"/>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“Artículo 5</w:t>
      </w:r>
      <w:r w:rsidRPr="007968B8">
        <w:rPr>
          <w:rFonts w:ascii="Palatino Linotype" w:eastAsia="Palatino Linotype" w:hAnsi="Palatino Linotype" w:cs="Palatino Linotype"/>
          <w:i/>
          <w:iCs/>
        </w:rPr>
        <w:t xml:space="preserve">.- </w:t>
      </w:r>
    </w:p>
    <w:p w:rsidR="006D5D3E" w:rsidRPr="007968B8" w:rsidRDefault="00D97976">
      <w:pPr>
        <w:spacing w:before="240" w:after="240"/>
        <w:ind w:left="1134" w:right="277"/>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w:t>
      </w:r>
    </w:p>
    <w:p w:rsidR="006D5D3E" w:rsidRPr="007968B8" w:rsidRDefault="00D97976">
      <w:pPr>
        <w:spacing w:before="240" w:after="240"/>
        <w:ind w:left="1134" w:right="277"/>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7968B8">
        <w:rPr>
          <w:rFonts w:ascii="Palatino Linotype" w:eastAsia="Palatino Linotype" w:hAnsi="Palatino Linotype" w:cs="Palatino Linotype"/>
          <w:i/>
          <w:iCs/>
        </w:rPr>
        <w:t>.</w:t>
      </w:r>
    </w:p>
    <w:p w:rsidR="006D5D3E" w:rsidRPr="007968B8" w:rsidRDefault="00D97976">
      <w:pPr>
        <w:spacing w:before="240" w:after="240"/>
        <w:ind w:left="1134" w:right="277"/>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D5D3E" w:rsidRPr="007968B8" w:rsidRDefault="00D97976">
      <w:pPr>
        <w:spacing w:before="240" w:after="240"/>
        <w:ind w:left="1134" w:right="277"/>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Este derecho se regirá por los principios y bases siguientes</w:t>
      </w:r>
      <w:r w:rsidRPr="007968B8">
        <w:rPr>
          <w:rFonts w:ascii="Palatino Linotype" w:eastAsia="Palatino Linotype" w:hAnsi="Palatino Linotype" w:cs="Palatino Linotype"/>
          <w:i/>
          <w:iCs/>
        </w:rPr>
        <w:t>:</w:t>
      </w:r>
    </w:p>
    <w:p w:rsidR="006D5D3E" w:rsidRPr="007968B8" w:rsidRDefault="00D97976">
      <w:pPr>
        <w:spacing w:before="240" w:after="240"/>
        <w:ind w:left="1134" w:right="277"/>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Toda la información en posesión de cualquier autoridad, entidad, órgano y organismos de los</w:t>
      </w:r>
      <w:r w:rsidRPr="007968B8">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7968B8">
        <w:rPr>
          <w:rFonts w:ascii="Palatino Linotype" w:eastAsia="Palatino Linotype" w:hAnsi="Palatino Linotype" w:cs="Palatino Linotype"/>
          <w:b/>
          <w:bCs/>
          <w:i/>
          <w:iCs/>
        </w:rPr>
        <w:t>municipales</w:t>
      </w:r>
      <w:r w:rsidRPr="007968B8">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w:t>
      </w:r>
      <w:r w:rsidRPr="007968B8">
        <w:rPr>
          <w:rFonts w:ascii="Palatino Linotype" w:eastAsia="Palatino Linotype" w:hAnsi="Palatino Linotype" w:cs="Palatino Linotype"/>
          <w:i/>
          <w:iCs/>
        </w:rPr>
        <w:lastRenderedPageBreak/>
        <w:t xml:space="preserve">autoridad en el ámbito estatal y municipal, </w:t>
      </w:r>
      <w:r w:rsidRPr="007968B8">
        <w:rPr>
          <w:rFonts w:ascii="Palatino Linotype" w:eastAsia="Palatino Linotype" w:hAnsi="Palatino Linotype" w:cs="Palatino Linotype"/>
          <w:b/>
          <w:bCs/>
          <w:i/>
          <w:iCs/>
        </w:rPr>
        <w:t>es pública</w:t>
      </w:r>
      <w:r w:rsidRPr="007968B8">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7968B8">
        <w:rPr>
          <w:rFonts w:ascii="Palatino Linotype" w:eastAsia="Palatino Linotype" w:hAnsi="Palatino Linotype" w:cs="Palatino Linotype"/>
          <w:b/>
          <w:bCs/>
          <w:i/>
          <w:iCs/>
        </w:rPr>
        <w:t>En la interpretación de este derecho deberá prevalecer el principio de máxima publicidad</w:t>
      </w:r>
      <w:r w:rsidRPr="007968B8">
        <w:rPr>
          <w:rFonts w:ascii="Palatino Linotype" w:eastAsia="Palatino Linotype" w:hAnsi="Palatino Linotype" w:cs="Palatino Linotype"/>
          <w:i/>
          <w:iCs/>
        </w:rPr>
        <w:t xml:space="preserve">. </w:t>
      </w:r>
      <w:r w:rsidRPr="007968B8">
        <w:rPr>
          <w:rFonts w:ascii="Palatino Linotype" w:eastAsia="Palatino Linotype" w:hAnsi="Palatino Linotype" w:cs="Palatino Linotype"/>
          <w:b/>
          <w:bCs/>
          <w:i/>
          <w:iCs/>
        </w:rPr>
        <w:t>Los sujetos obligados deberán documentar todo acto que derive del ejercicio de sus facultades, competencias o funciones</w:t>
      </w:r>
      <w:r w:rsidRPr="007968B8">
        <w:rPr>
          <w:rFonts w:ascii="Palatino Linotype" w:eastAsia="Palatino Linotype" w:hAnsi="Palatino Linotype" w:cs="Palatino Linotype"/>
          <w:i/>
          <w:iCs/>
        </w:rPr>
        <w:t>, la ley determinará los supuestos específicos bajo los cuales procederá la declaración de inexistencia de la información.”</w:t>
      </w:r>
    </w:p>
    <w:p w:rsidR="006D5D3E" w:rsidRPr="007968B8" w:rsidRDefault="006D5D3E">
      <w:pPr>
        <w:spacing w:before="240" w:after="240"/>
        <w:ind w:left="1134" w:right="277"/>
        <w:jc w:val="both"/>
        <w:rPr>
          <w:rFonts w:ascii="Palatino Linotype" w:eastAsia="Palatino Linotype" w:hAnsi="Palatino Linotype" w:cs="Palatino Linotype"/>
          <w:i/>
          <w:iCs/>
        </w:rPr>
      </w:pPr>
    </w:p>
    <w:p w:rsidR="006D5D3E" w:rsidRPr="007968B8" w:rsidRDefault="00D97976">
      <w:pPr>
        <w:numPr>
          <w:ilvl w:val="0"/>
          <w:numId w:val="10"/>
        </w:numPr>
        <w:spacing w:before="240" w:line="360" w:lineRule="auto"/>
        <w:ind w:left="0" w:right="-787" w:firstLine="0"/>
        <w:jc w:val="both"/>
        <w:rPr>
          <w:rFonts w:ascii="Palatino Linotype" w:eastAsia="Palatino Linotype" w:hAnsi="Palatino Linotype" w:cs="Palatino Linotype"/>
        </w:rPr>
      </w:pPr>
      <w:r w:rsidRPr="007968B8">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7968B8">
        <w:rPr>
          <w:rFonts w:ascii="Palatino Linotype" w:eastAsia="Palatino Linotype" w:hAnsi="Palatino Linotype" w:cs="Palatino Linotype"/>
          <w:i/>
          <w:iCs/>
        </w:rPr>
        <w:t>por los principios de simplicidad, rapidez gratuidad del procedimiento, auxilio y orientación a los particulares</w:t>
      </w:r>
      <w:r w:rsidRPr="007968B8">
        <w:rPr>
          <w:rFonts w:ascii="Palatino Linotype" w:eastAsia="Palatino Linotype" w:hAnsi="Palatino Linotype" w:cs="Palatino Linotype"/>
        </w:rPr>
        <w:t>, contemplando el derecho de las personas con discapacidad y hablantes de lengua indígena.</w:t>
      </w:r>
    </w:p>
    <w:p w:rsidR="006D5D3E" w:rsidRPr="007968B8" w:rsidRDefault="006D5D3E">
      <w:pPr>
        <w:spacing w:before="240" w:line="360" w:lineRule="auto"/>
        <w:ind w:right="-787"/>
        <w:jc w:val="both"/>
        <w:rPr>
          <w:rFonts w:ascii="Palatino Linotype" w:eastAsia="Palatino Linotype" w:hAnsi="Palatino Linotype" w:cs="Palatino Linotype"/>
        </w:rPr>
      </w:pPr>
    </w:p>
    <w:p w:rsidR="006D5D3E" w:rsidRPr="007968B8" w:rsidRDefault="00D97976">
      <w:pPr>
        <w:numPr>
          <w:ilvl w:val="0"/>
          <w:numId w:val="10"/>
        </w:numPr>
        <w:spacing w:line="360" w:lineRule="auto"/>
        <w:ind w:left="0" w:right="-787" w:firstLine="0"/>
        <w:jc w:val="both"/>
        <w:rPr>
          <w:rFonts w:ascii="Palatino Linotype" w:eastAsia="Palatino Linotype" w:hAnsi="Palatino Linotype" w:cs="Palatino Linotype"/>
        </w:rPr>
      </w:pPr>
      <w:r w:rsidRPr="007968B8">
        <w:rPr>
          <w:rFonts w:ascii="Palatino Linotype" w:eastAsia="Palatino Linotype" w:hAnsi="Palatino Linotype" w:cs="Palatino Linotype"/>
        </w:rPr>
        <w:t xml:space="preserve">El Derecho de Acceso a la Información se garantiza y respeta oportunamente, y según lo que dispone la Ley, las </w:t>
      </w:r>
      <w:r w:rsidRPr="007968B8">
        <w:rPr>
          <w:rFonts w:ascii="Palatino Linotype" w:eastAsia="Palatino Linotype" w:hAnsi="Palatino Linotype" w:cs="Palatino Linotype"/>
          <w:i/>
          <w:iCs/>
        </w:rPr>
        <w:t>solicitudes de acceso a la información</w:t>
      </w:r>
      <w:r w:rsidRPr="007968B8">
        <w:rPr>
          <w:rFonts w:ascii="Palatino Linotype" w:eastAsia="Palatino Linotype" w:hAnsi="Palatino Linotype" w:cs="Palatino Linotype"/>
        </w:rPr>
        <w:t>.</w:t>
      </w:r>
    </w:p>
    <w:p w:rsidR="006D5D3E" w:rsidRPr="007968B8" w:rsidRDefault="006D5D3E">
      <w:pPr>
        <w:spacing w:line="360" w:lineRule="auto"/>
        <w:ind w:right="-787"/>
        <w:jc w:val="both"/>
        <w:rPr>
          <w:rFonts w:ascii="Palatino Linotype" w:eastAsia="Palatino Linotype" w:hAnsi="Palatino Linotype" w:cs="Palatino Linotype"/>
        </w:rPr>
      </w:pPr>
    </w:p>
    <w:p w:rsidR="006D5D3E" w:rsidRPr="007968B8" w:rsidRDefault="00D97976">
      <w:pPr>
        <w:numPr>
          <w:ilvl w:val="0"/>
          <w:numId w:val="10"/>
        </w:numPr>
        <w:spacing w:line="360" w:lineRule="auto"/>
        <w:ind w:left="0" w:right="-787" w:firstLine="0"/>
        <w:jc w:val="both"/>
      </w:pPr>
      <w:r w:rsidRPr="007968B8">
        <w:rPr>
          <w:rFonts w:ascii="Palatino Linotype" w:eastAsia="Palatino Linotype" w:hAnsi="Palatino Linotype" w:cs="Palatino Linotype"/>
        </w:rPr>
        <w:t xml:space="preserve">Así entonces, se procede analizar, en primer lugar, si el </w:t>
      </w:r>
      <w:r w:rsidRPr="007968B8">
        <w:rPr>
          <w:rFonts w:ascii="Palatino Linotype" w:eastAsia="Palatino Linotype" w:hAnsi="Palatino Linotype" w:cs="Palatino Linotype"/>
          <w:b/>
          <w:bCs/>
        </w:rPr>
        <w:t>SUJETO OBLIGADO</w:t>
      </w:r>
      <w:r w:rsidRPr="007968B8">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6D5D3E" w:rsidRPr="007968B8" w:rsidRDefault="006D5D3E">
      <w:pPr>
        <w:pBdr>
          <w:top w:val="nil"/>
          <w:left w:val="nil"/>
          <w:bottom w:val="nil"/>
          <w:right w:val="nil"/>
          <w:between w:val="nil"/>
        </w:pBdr>
        <w:spacing w:line="600" w:lineRule="auto"/>
        <w:ind w:right="-716"/>
        <w:jc w:val="both"/>
        <w:rPr>
          <w:rFonts w:ascii="Palatino Linotype" w:eastAsia="Palatino Linotype" w:hAnsi="Palatino Linotype" w:cs="Palatino Linotype"/>
        </w:rPr>
      </w:pPr>
    </w:p>
    <w:p w:rsidR="006D5D3E" w:rsidRPr="007968B8" w:rsidRDefault="00D97976">
      <w:pPr>
        <w:pStyle w:val="Ttulo1"/>
        <w:spacing w:before="0" w:after="240" w:line="360" w:lineRule="auto"/>
        <w:ind w:right="-787"/>
        <w:rPr>
          <w:rFonts w:ascii="Palatino Linotype" w:eastAsia="Palatino Linotype" w:hAnsi="Palatino Linotype" w:cs="Palatino Linotype"/>
          <w:b/>
          <w:bCs/>
          <w:color w:val="000000"/>
          <w:sz w:val="24"/>
          <w:szCs w:val="24"/>
        </w:rPr>
      </w:pPr>
      <w:bookmarkStart w:id="8" w:name="_heading=h.26in1rg" w:colFirst="0" w:colLast="0"/>
      <w:bookmarkEnd w:id="8"/>
      <w:r w:rsidRPr="007968B8">
        <w:rPr>
          <w:rFonts w:ascii="Palatino Linotype" w:eastAsia="Palatino Linotype" w:hAnsi="Palatino Linotype" w:cs="Palatino Linotype"/>
          <w:b/>
          <w:bCs/>
          <w:color w:val="000000"/>
          <w:sz w:val="24"/>
          <w:szCs w:val="24"/>
        </w:rPr>
        <w:lastRenderedPageBreak/>
        <w:t>II. De la información solicitada y la respuesta del SUJETO OBLIGADO</w:t>
      </w:r>
    </w:p>
    <w:p w:rsidR="006D5D3E" w:rsidRPr="007968B8" w:rsidRDefault="00D97976">
      <w:pPr>
        <w:numPr>
          <w:ilvl w:val="0"/>
          <w:numId w:val="10"/>
        </w:numPr>
        <w:spacing w:line="360" w:lineRule="auto"/>
        <w:ind w:left="0" w:right="-787" w:firstLine="0"/>
        <w:jc w:val="both"/>
        <w:rPr>
          <w:rFonts w:ascii="Palatino Linotype" w:eastAsia="Palatino Linotype" w:hAnsi="Palatino Linotype" w:cs="Palatino Linotype"/>
        </w:rPr>
      </w:pPr>
      <w:r w:rsidRPr="007968B8">
        <w:rPr>
          <w:rFonts w:ascii="Palatino Linotype" w:eastAsia="Palatino Linotype" w:hAnsi="Palatino Linotype" w:cs="Palatino Linotype"/>
          <w:color w:val="000000"/>
        </w:rPr>
        <w:t xml:space="preserve">Acotada la </w:t>
      </w:r>
      <w:r w:rsidRPr="007968B8">
        <w:rPr>
          <w:rFonts w:ascii="Palatino Linotype" w:eastAsia="Palatino Linotype" w:hAnsi="Palatino Linotype" w:cs="Palatino Linotype"/>
          <w:i/>
          <w:iCs/>
          <w:color w:val="000000"/>
        </w:rPr>
        <w:t>Litis</w:t>
      </w:r>
      <w:r w:rsidRPr="007968B8">
        <w:rPr>
          <w:rFonts w:ascii="Palatino Linotype" w:eastAsia="Palatino Linotype" w:hAnsi="Palatino Linotype" w:cs="Palatino Linotype"/>
          <w:color w:val="000000"/>
        </w:rPr>
        <w:t xml:space="preserve"> del presente asunto, primeramente es menester precisar que de los escritos de inconformidad, se observa que el particular se duele por la entrega incompleta de la información.</w:t>
      </w:r>
    </w:p>
    <w:p w:rsidR="006D5D3E" w:rsidRPr="007968B8" w:rsidRDefault="006D5D3E">
      <w:pPr>
        <w:spacing w:line="360" w:lineRule="auto"/>
        <w:ind w:right="-787"/>
        <w:jc w:val="both"/>
        <w:rPr>
          <w:rFonts w:ascii="Palatino Linotype" w:eastAsia="Palatino Linotype" w:hAnsi="Palatino Linotype" w:cs="Palatino Linotype"/>
        </w:rPr>
      </w:pPr>
    </w:p>
    <w:p w:rsidR="006D5D3E" w:rsidRPr="007968B8" w:rsidRDefault="00D97976">
      <w:pPr>
        <w:numPr>
          <w:ilvl w:val="0"/>
          <w:numId w:val="10"/>
        </w:numPr>
        <w:spacing w:line="360" w:lineRule="auto"/>
        <w:ind w:left="0" w:right="-709" w:firstLine="0"/>
        <w:jc w:val="both"/>
        <w:rPr>
          <w:rFonts w:ascii="Palatino Linotype" w:eastAsia="Palatino Linotype" w:hAnsi="Palatino Linotype" w:cs="Palatino Linotype"/>
          <w:i/>
          <w:iCs/>
          <w:color w:val="000000"/>
        </w:rPr>
      </w:pPr>
      <w:r w:rsidRPr="007968B8">
        <w:rPr>
          <w:rFonts w:ascii="Palatino Linotype" w:eastAsia="Palatino Linotype" w:hAnsi="Palatino Linotype" w:cs="Palatino Linotype"/>
        </w:rPr>
        <w:t xml:space="preserve">En ese sentido, es importante recordar la información que fue solicitada por el </w:t>
      </w:r>
      <w:r w:rsidRPr="007968B8">
        <w:rPr>
          <w:rFonts w:ascii="Palatino Linotype" w:eastAsia="Palatino Linotype" w:hAnsi="Palatino Linotype" w:cs="Palatino Linotype"/>
          <w:b/>
          <w:bCs/>
        </w:rPr>
        <w:t xml:space="preserve">RECURRENTE </w:t>
      </w:r>
      <w:r w:rsidRPr="007968B8">
        <w:rPr>
          <w:rFonts w:ascii="Palatino Linotype" w:eastAsia="Palatino Linotype" w:hAnsi="Palatino Linotype" w:cs="Palatino Linotype"/>
        </w:rPr>
        <w:t xml:space="preserve">así como la información proporcionada por el </w:t>
      </w:r>
      <w:r w:rsidRPr="007968B8">
        <w:rPr>
          <w:rFonts w:ascii="Palatino Linotype" w:eastAsia="Palatino Linotype" w:hAnsi="Palatino Linotype" w:cs="Palatino Linotype"/>
          <w:b/>
          <w:bCs/>
        </w:rPr>
        <w:t xml:space="preserve">SUJETO OBLIGADO </w:t>
      </w:r>
      <w:r w:rsidRPr="007968B8">
        <w:rPr>
          <w:rFonts w:ascii="Palatino Linotype" w:eastAsia="Palatino Linotype" w:hAnsi="Palatino Linotype" w:cs="Palatino Linotype"/>
        </w:rPr>
        <w:t>como se aprecia para mejor comprensión en la siguiente tabla:</w:t>
      </w:r>
    </w:p>
    <w:p w:rsidR="006D5D3E" w:rsidRPr="007968B8" w:rsidRDefault="006D5D3E">
      <w:pPr>
        <w:pBdr>
          <w:top w:val="nil"/>
          <w:left w:val="nil"/>
          <w:bottom w:val="nil"/>
          <w:right w:val="nil"/>
          <w:between w:val="nil"/>
        </w:pBdr>
        <w:ind w:left="720"/>
        <w:rPr>
          <w:rFonts w:ascii="Palatino Linotype" w:eastAsia="Palatino Linotype" w:hAnsi="Palatino Linotype" w:cs="Palatino Linotype"/>
          <w:i/>
          <w:iCs/>
          <w:color w:val="000000"/>
        </w:rPr>
      </w:pPr>
    </w:p>
    <w:p w:rsidR="006D5D3E" w:rsidRPr="007968B8" w:rsidRDefault="006D5D3E">
      <w:pPr>
        <w:spacing w:line="360" w:lineRule="auto"/>
        <w:ind w:right="-709"/>
        <w:jc w:val="both"/>
        <w:rPr>
          <w:rFonts w:ascii="Palatino Linotype" w:eastAsia="Palatino Linotype" w:hAnsi="Palatino Linotype" w:cs="Palatino Linotype"/>
          <w:i/>
          <w:iCs/>
          <w:color w:val="000000"/>
        </w:rPr>
      </w:pPr>
    </w:p>
    <w:tbl>
      <w:tblPr>
        <w:tblStyle w:val="a2"/>
        <w:tblW w:w="10774" w:type="dxa"/>
        <w:jc w:val="center"/>
        <w:tblInd w:w="0" w:type="dxa"/>
        <w:tblLayout w:type="fixed"/>
        <w:tblLook w:val="04A0" w:firstRow="1" w:lastRow="0" w:firstColumn="1" w:lastColumn="0" w:noHBand="0" w:noVBand="1"/>
      </w:tblPr>
      <w:tblGrid>
        <w:gridCol w:w="993"/>
        <w:gridCol w:w="2835"/>
        <w:gridCol w:w="4394"/>
        <w:gridCol w:w="2552"/>
      </w:tblGrid>
      <w:tr w:rsidR="006D5D3E" w:rsidRPr="007968B8" w:rsidTr="007968B8">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993" w:type="dxa"/>
          </w:tcPr>
          <w:p w:rsidR="006D5D3E" w:rsidRPr="007968B8" w:rsidRDefault="006D5D3E">
            <w:pPr>
              <w:spacing w:line="276" w:lineRule="auto"/>
              <w:ind w:right="992"/>
              <w:jc w:val="center"/>
              <w:rPr>
                <w:rFonts w:ascii="Palatino Linotype" w:eastAsia="Palatino Linotype" w:hAnsi="Palatino Linotype" w:cs="Palatino Linotype"/>
                <w:color w:val="000000"/>
              </w:rPr>
            </w:pPr>
          </w:p>
        </w:tc>
        <w:tc>
          <w:tcPr>
            <w:tcW w:w="2835" w:type="dxa"/>
          </w:tcPr>
          <w:p w:rsidR="006D5D3E" w:rsidRPr="007968B8" w:rsidRDefault="00D97976">
            <w:pPr>
              <w:spacing w:line="276"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SOLICITUD</w:t>
            </w:r>
          </w:p>
        </w:tc>
        <w:tc>
          <w:tcPr>
            <w:tcW w:w="4394" w:type="dxa"/>
          </w:tcPr>
          <w:p w:rsidR="006D5D3E" w:rsidRPr="007968B8" w:rsidRDefault="00D97976">
            <w:pPr>
              <w:spacing w:line="276" w:lineRule="auto"/>
              <w:ind w:right="34"/>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RESPUESTA</w:t>
            </w:r>
          </w:p>
        </w:tc>
        <w:tc>
          <w:tcPr>
            <w:tcW w:w="2552" w:type="dxa"/>
          </w:tcPr>
          <w:p w:rsidR="006D5D3E" w:rsidRPr="007968B8" w:rsidRDefault="00D97976">
            <w:pPr>
              <w:tabs>
                <w:tab w:val="left" w:pos="0"/>
                <w:tab w:val="left" w:pos="34"/>
              </w:tabs>
              <w:spacing w:line="276" w:lineRule="auto"/>
              <w:ind w:right="-108"/>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CUMPLIMIENTO</w:t>
            </w:r>
          </w:p>
        </w:tc>
      </w:tr>
      <w:tr w:rsidR="006D5D3E" w:rsidRPr="007968B8" w:rsidTr="007968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vMerge w:val="restart"/>
          </w:tcPr>
          <w:p w:rsidR="006D5D3E" w:rsidRPr="007968B8" w:rsidRDefault="00D97976">
            <w:pPr>
              <w:pBdr>
                <w:top w:val="nil"/>
                <w:left w:val="nil"/>
                <w:bottom w:val="nil"/>
                <w:right w:val="nil"/>
                <w:between w:val="nil"/>
              </w:pBdr>
              <w:spacing w:line="360" w:lineRule="auto"/>
              <w:ind w:left="34" w:right="34"/>
              <w:jc w:val="center"/>
              <w:rPr>
                <w:rFonts w:ascii="Palatino Linotype" w:eastAsia="Palatino Linotype" w:hAnsi="Palatino Linotype" w:cs="Palatino Linotype"/>
                <w:i/>
                <w:iCs/>
                <w:color w:val="000000"/>
              </w:rPr>
            </w:pPr>
            <w:r w:rsidRPr="007968B8">
              <w:rPr>
                <w:rFonts w:ascii="Palatino Linotype" w:eastAsia="Palatino Linotype" w:hAnsi="Palatino Linotype" w:cs="Palatino Linotype"/>
                <w:b w:val="0"/>
                <w:bCs w:val="0"/>
              </w:rPr>
              <w:t>11213/INFOEM/IP/RR/2025</w:t>
            </w:r>
          </w:p>
        </w:tc>
        <w:tc>
          <w:tcPr>
            <w:tcW w:w="2835" w:type="dxa"/>
            <w:vAlign w:val="center"/>
          </w:tcPr>
          <w:p w:rsidR="006D5D3E" w:rsidRPr="007968B8" w:rsidRDefault="00D97976">
            <w:pPr>
              <w:pBdr>
                <w:top w:val="nil"/>
                <w:left w:val="nil"/>
                <w:bottom w:val="nil"/>
                <w:right w:val="nil"/>
                <w:between w:val="nil"/>
              </w:pBdr>
              <w:spacing w:line="360" w:lineRule="auto"/>
              <w:ind w:left="34" w:right="34"/>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bCs/>
                <w:i/>
                <w:iCs/>
                <w:color w:val="000000"/>
              </w:rPr>
            </w:pPr>
            <w:r w:rsidRPr="007968B8">
              <w:rPr>
                <w:rFonts w:ascii="Palatino Linotype" w:eastAsia="Palatino Linotype" w:hAnsi="Palatino Linotype" w:cs="Palatino Linotype"/>
                <w:b/>
                <w:bCs/>
                <w:i/>
                <w:iCs/>
                <w:color w:val="000000"/>
              </w:rPr>
              <w:t>1.</w:t>
            </w:r>
            <w:r w:rsidRPr="007968B8">
              <w:t xml:space="preserve"> </w:t>
            </w:r>
            <w:r w:rsidRPr="007968B8">
              <w:rPr>
                <w:rFonts w:ascii="Palatino Linotype" w:eastAsia="Palatino Linotype" w:hAnsi="Palatino Linotype" w:cs="Palatino Linotype"/>
                <w:b/>
                <w:bCs/>
                <w:i/>
                <w:iCs/>
                <w:color w:val="000000"/>
              </w:rPr>
              <w:t>Recurso utilizado</w:t>
            </w:r>
          </w:p>
        </w:tc>
        <w:tc>
          <w:tcPr>
            <w:tcW w:w="4394" w:type="dxa"/>
            <w:vAlign w:val="center"/>
          </w:tcPr>
          <w:p w:rsidR="006D5D3E" w:rsidRPr="007968B8" w:rsidRDefault="00D97976">
            <w:pPr>
              <w:spacing w:line="276" w:lineRule="auto"/>
              <w:ind w:right="34"/>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7968B8">
              <w:rPr>
                <w:rFonts w:ascii="Palatino Linotype" w:eastAsia="Palatino Linotype" w:hAnsi="Palatino Linotype" w:cs="Palatino Linotype"/>
                <w:i/>
                <w:iCs/>
                <w:color w:val="000000"/>
              </w:rPr>
              <w:t>Director de Obras Públicas señala que la suficiencia presupuestal proviene del Programa de reparaciones y Mantenimiento Federal; así como los montos por los materiales.</w:t>
            </w:r>
          </w:p>
        </w:tc>
        <w:tc>
          <w:tcPr>
            <w:tcW w:w="2552" w:type="dxa"/>
            <w:vAlign w:val="center"/>
          </w:tcPr>
          <w:p w:rsidR="006D5D3E" w:rsidRPr="007968B8" w:rsidRDefault="00D97976">
            <w:pPr>
              <w:tabs>
                <w:tab w:val="left" w:pos="0"/>
              </w:tabs>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bCs/>
                <w:color w:val="000000"/>
              </w:rPr>
            </w:pPr>
            <w:r w:rsidRPr="007968B8">
              <w:rPr>
                <w:rFonts w:ascii="Palatino Linotype" w:eastAsia="Palatino Linotype" w:hAnsi="Palatino Linotype" w:cs="Palatino Linotype"/>
                <w:b/>
                <w:bCs/>
                <w:color w:val="000000"/>
              </w:rPr>
              <w:t>SI</w:t>
            </w:r>
          </w:p>
          <w:p w:rsidR="006D5D3E" w:rsidRPr="007968B8" w:rsidRDefault="006D5D3E">
            <w:pPr>
              <w:tabs>
                <w:tab w:val="left" w:pos="0"/>
              </w:tabs>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p>
        </w:tc>
      </w:tr>
      <w:tr w:rsidR="006D5D3E" w:rsidRPr="007968B8" w:rsidTr="007968B8">
        <w:trPr>
          <w:jc w:val="center"/>
        </w:trPr>
        <w:tc>
          <w:tcPr>
            <w:cnfStyle w:val="001000000000" w:firstRow="0" w:lastRow="0" w:firstColumn="1" w:lastColumn="0" w:oddVBand="0" w:evenVBand="0" w:oddHBand="0" w:evenHBand="0" w:firstRowFirstColumn="0" w:firstRowLastColumn="0" w:lastRowFirstColumn="0" w:lastRowLastColumn="0"/>
            <w:tcW w:w="993" w:type="dxa"/>
            <w:vMerge/>
          </w:tcPr>
          <w:p w:rsidR="006D5D3E" w:rsidRPr="007968B8" w:rsidRDefault="006D5D3E">
            <w:pPr>
              <w:widowControl w:val="0"/>
              <w:pBdr>
                <w:top w:val="nil"/>
                <w:left w:val="nil"/>
                <w:bottom w:val="nil"/>
                <w:right w:val="nil"/>
                <w:between w:val="nil"/>
              </w:pBdr>
              <w:spacing w:line="276" w:lineRule="auto"/>
              <w:rPr>
                <w:rFonts w:ascii="Palatino Linotype" w:eastAsia="Palatino Linotype" w:hAnsi="Palatino Linotype" w:cs="Palatino Linotype"/>
                <w:i/>
                <w:iCs/>
                <w:color w:val="000000"/>
              </w:rPr>
            </w:pPr>
          </w:p>
        </w:tc>
        <w:tc>
          <w:tcPr>
            <w:tcW w:w="2835" w:type="dxa"/>
            <w:vAlign w:val="center"/>
          </w:tcPr>
          <w:p w:rsidR="006D5D3E" w:rsidRPr="007968B8" w:rsidRDefault="00D97976">
            <w:pPr>
              <w:spacing w:line="276" w:lineRule="auto"/>
              <w:ind w:left="34"/>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i/>
                <w:iCs/>
                <w:color w:val="000000"/>
              </w:rPr>
            </w:pPr>
            <w:r w:rsidRPr="007968B8">
              <w:rPr>
                <w:rFonts w:ascii="Palatino Linotype" w:eastAsia="Palatino Linotype" w:hAnsi="Palatino Linotype" w:cs="Palatino Linotype"/>
                <w:b/>
                <w:bCs/>
                <w:i/>
                <w:iCs/>
                <w:color w:val="000000"/>
              </w:rPr>
              <w:t>2.</w:t>
            </w:r>
            <w:r w:rsidRPr="007968B8">
              <w:t xml:space="preserve"> </w:t>
            </w:r>
            <w:r w:rsidRPr="007968B8">
              <w:rPr>
                <w:rFonts w:ascii="Palatino Linotype" w:eastAsia="Palatino Linotype" w:hAnsi="Palatino Linotype" w:cs="Palatino Linotype"/>
                <w:b/>
                <w:bCs/>
                <w:i/>
                <w:iCs/>
                <w:color w:val="000000"/>
              </w:rPr>
              <w:t>Proveedor de los materiales utilizados</w:t>
            </w:r>
          </w:p>
        </w:tc>
        <w:tc>
          <w:tcPr>
            <w:tcW w:w="4394" w:type="dxa"/>
            <w:vAlign w:val="center"/>
          </w:tcPr>
          <w:p w:rsidR="006D5D3E" w:rsidRPr="007968B8" w:rsidRDefault="00D97976">
            <w:pPr>
              <w:spacing w:line="276" w:lineRule="auto"/>
              <w:ind w:right="34"/>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0000"/>
              </w:rPr>
            </w:pPr>
            <w:r w:rsidRPr="007968B8">
              <w:rPr>
                <w:rFonts w:ascii="Palatino Linotype" w:eastAsia="Palatino Linotype" w:hAnsi="Palatino Linotype" w:cs="Palatino Linotype"/>
                <w:i/>
                <w:iCs/>
                <w:color w:val="000000"/>
              </w:rPr>
              <w:t>Tesorero señala que el proveedor es JORGE RIEGO FABIÁN DOMICILIO FISCAL: CARRETERA SIN NOMBRE, MINITA DEL CEDRO, SAN JOSÉ DEL RINCÓN, C.P. 50678</w:t>
            </w:r>
          </w:p>
        </w:tc>
        <w:tc>
          <w:tcPr>
            <w:tcW w:w="2552" w:type="dxa"/>
            <w:vAlign w:val="center"/>
          </w:tcPr>
          <w:p w:rsidR="006D5D3E" w:rsidRPr="007968B8" w:rsidRDefault="00D97976">
            <w:pPr>
              <w:tabs>
                <w:tab w:val="left" w:pos="0"/>
              </w:tabs>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000000"/>
              </w:rPr>
            </w:pPr>
            <w:r w:rsidRPr="007968B8">
              <w:rPr>
                <w:rFonts w:ascii="Palatino Linotype" w:eastAsia="Palatino Linotype" w:hAnsi="Palatino Linotype" w:cs="Palatino Linotype"/>
                <w:b/>
                <w:bCs/>
                <w:color w:val="000000"/>
              </w:rPr>
              <w:t>SI</w:t>
            </w:r>
          </w:p>
          <w:p w:rsidR="006D5D3E" w:rsidRPr="007968B8" w:rsidRDefault="006D5D3E">
            <w:pPr>
              <w:ind w:right="34"/>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0000"/>
              </w:rPr>
            </w:pPr>
          </w:p>
        </w:tc>
      </w:tr>
      <w:tr w:rsidR="006D5D3E" w:rsidRPr="007968B8" w:rsidTr="007968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vMerge/>
          </w:tcPr>
          <w:p w:rsidR="006D5D3E" w:rsidRPr="007968B8" w:rsidRDefault="006D5D3E">
            <w:pPr>
              <w:widowControl w:val="0"/>
              <w:pBdr>
                <w:top w:val="nil"/>
                <w:left w:val="nil"/>
                <w:bottom w:val="nil"/>
                <w:right w:val="nil"/>
                <w:between w:val="nil"/>
              </w:pBdr>
              <w:spacing w:line="276" w:lineRule="auto"/>
              <w:rPr>
                <w:rFonts w:ascii="Palatino Linotype" w:eastAsia="Palatino Linotype" w:hAnsi="Palatino Linotype" w:cs="Palatino Linotype"/>
                <w:i/>
                <w:iCs/>
                <w:color w:val="000000"/>
              </w:rPr>
            </w:pPr>
          </w:p>
        </w:tc>
        <w:tc>
          <w:tcPr>
            <w:tcW w:w="2835" w:type="dxa"/>
            <w:vAlign w:val="center"/>
          </w:tcPr>
          <w:p w:rsidR="006D5D3E" w:rsidRPr="007968B8" w:rsidRDefault="00D97976">
            <w:pPr>
              <w:spacing w:line="276" w:lineRule="auto"/>
              <w:ind w:left="34"/>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bCs/>
                <w:i/>
                <w:iCs/>
                <w:color w:val="000000"/>
              </w:rPr>
            </w:pPr>
            <w:r w:rsidRPr="007968B8">
              <w:rPr>
                <w:rFonts w:ascii="Palatino Linotype" w:eastAsia="Palatino Linotype" w:hAnsi="Palatino Linotype" w:cs="Palatino Linotype"/>
                <w:b/>
                <w:bCs/>
                <w:i/>
                <w:iCs/>
                <w:color w:val="000000"/>
              </w:rPr>
              <w:t>3.  Cantidad de materiales utilizados</w:t>
            </w:r>
          </w:p>
        </w:tc>
        <w:tc>
          <w:tcPr>
            <w:tcW w:w="4394" w:type="dxa"/>
            <w:vAlign w:val="center"/>
          </w:tcPr>
          <w:p w:rsidR="006D5D3E" w:rsidRPr="007968B8" w:rsidRDefault="00D97976">
            <w:pPr>
              <w:spacing w:line="276" w:lineRule="auto"/>
              <w:ind w:right="34"/>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7968B8">
              <w:rPr>
                <w:rFonts w:ascii="Palatino Linotype" w:eastAsia="Palatino Linotype" w:hAnsi="Palatino Linotype" w:cs="Palatino Linotype"/>
                <w:i/>
                <w:iCs/>
                <w:color w:val="000000"/>
              </w:rPr>
              <w:t>Tesorero señala ARENA 12 M3 $ 6,479.31 GRAVA 13 M3 $ 6,723.57 CEMENTO 50 BULTOS $ 12,500.00</w:t>
            </w:r>
          </w:p>
        </w:tc>
        <w:tc>
          <w:tcPr>
            <w:tcW w:w="2552" w:type="dxa"/>
            <w:vAlign w:val="center"/>
          </w:tcPr>
          <w:p w:rsidR="006D5D3E" w:rsidRPr="007968B8" w:rsidRDefault="00D97976">
            <w:pPr>
              <w:tabs>
                <w:tab w:val="left" w:pos="0"/>
              </w:tabs>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bCs/>
                <w:color w:val="000000"/>
              </w:rPr>
            </w:pPr>
            <w:r w:rsidRPr="007968B8">
              <w:rPr>
                <w:rFonts w:ascii="Palatino Linotype" w:eastAsia="Palatino Linotype" w:hAnsi="Palatino Linotype" w:cs="Palatino Linotype"/>
                <w:b/>
                <w:bCs/>
                <w:color w:val="000000"/>
              </w:rPr>
              <w:t>SI</w:t>
            </w:r>
          </w:p>
        </w:tc>
      </w:tr>
      <w:tr w:rsidR="006D5D3E" w:rsidRPr="007968B8" w:rsidTr="007968B8">
        <w:trPr>
          <w:jc w:val="center"/>
        </w:trPr>
        <w:tc>
          <w:tcPr>
            <w:cnfStyle w:val="001000000000" w:firstRow="0" w:lastRow="0" w:firstColumn="1" w:lastColumn="0" w:oddVBand="0" w:evenVBand="0" w:oddHBand="0" w:evenHBand="0" w:firstRowFirstColumn="0" w:firstRowLastColumn="0" w:lastRowFirstColumn="0" w:lastRowLastColumn="0"/>
            <w:tcW w:w="993" w:type="dxa"/>
            <w:vMerge/>
          </w:tcPr>
          <w:p w:rsidR="006D5D3E" w:rsidRPr="007968B8" w:rsidRDefault="006D5D3E">
            <w:pPr>
              <w:widowControl w:val="0"/>
              <w:pBdr>
                <w:top w:val="nil"/>
                <w:left w:val="nil"/>
                <w:bottom w:val="nil"/>
                <w:right w:val="nil"/>
                <w:between w:val="nil"/>
              </w:pBdr>
              <w:spacing w:line="276" w:lineRule="auto"/>
              <w:rPr>
                <w:rFonts w:ascii="Palatino Linotype" w:eastAsia="Palatino Linotype" w:hAnsi="Palatino Linotype" w:cs="Palatino Linotype"/>
                <w:b w:val="0"/>
                <w:bCs w:val="0"/>
                <w:color w:val="000000"/>
              </w:rPr>
            </w:pPr>
          </w:p>
        </w:tc>
        <w:tc>
          <w:tcPr>
            <w:tcW w:w="2835" w:type="dxa"/>
            <w:vAlign w:val="center"/>
          </w:tcPr>
          <w:p w:rsidR="006D5D3E" w:rsidRPr="007968B8" w:rsidRDefault="00D97976">
            <w:pPr>
              <w:spacing w:line="276" w:lineRule="auto"/>
              <w:ind w:left="34"/>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i/>
                <w:iCs/>
                <w:color w:val="000000"/>
              </w:rPr>
            </w:pPr>
            <w:r w:rsidRPr="007968B8">
              <w:rPr>
                <w:rFonts w:ascii="Palatino Linotype" w:eastAsia="Palatino Linotype" w:hAnsi="Palatino Linotype" w:cs="Palatino Linotype"/>
                <w:b/>
                <w:bCs/>
                <w:i/>
                <w:iCs/>
                <w:color w:val="000000"/>
              </w:rPr>
              <w:t>4. Tiempo en que se realizó la obra</w:t>
            </w:r>
          </w:p>
        </w:tc>
        <w:tc>
          <w:tcPr>
            <w:tcW w:w="4394" w:type="dxa"/>
            <w:vAlign w:val="center"/>
          </w:tcPr>
          <w:p w:rsidR="006D5D3E" w:rsidRPr="007968B8" w:rsidRDefault="00D97976">
            <w:pPr>
              <w:spacing w:line="276" w:lineRule="auto"/>
              <w:ind w:right="34"/>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0000"/>
              </w:rPr>
            </w:pPr>
            <w:r w:rsidRPr="007968B8">
              <w:rPr>
                <w:rFonts w:ascii="Palatino Linotype" w:eastAsia="Palatino Linotype" w:hAnsi="Palatino Linotype" w:cs="Palatino Linotype"/>
                <w:i/>
                <w:iCs/>
                <w:color w:val="000000"/>
              </w:rPr>
              <w:t>No se pronuncia</w:t>
            </w:r>
          </w:p>
        </w:tc>
        <w:tc>
          <w:tcPr>
            <w:tcW w:w="2552" w:type="dxa"/>
            <w:vAlign w:val="center"/>
          </w:tcPr>
          <w:p w:rsidR="006D5D3E" w:rsidRPr="007968B8" w:rsidRDefault="00D97976">
            <w:pPr>
              <w:tabs>
                <w:tab w:val="left" w:pos="0"/>
              </w:tabs>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000000"/>
              </w:rPr>
            </w:pPr>
            <w:r w:rsidRPr="007968B8">
              <w:rPr>
                <w:rFonts w:ascii="Palatino Linotype" w:eastAsia="Palatino Linotype" w:hAnsi="Palatino Linotype" w:cs="Palatino Linotype"/>
                <w:b/>
                <w:bCs/>
                <w:color w:val="000000"/>
              </w:rPr>
              <w:t>NO</w:t>
            </w:r>
          </w:p>
        </w:tc>
      </w:tr>
      <w:tr w:rsidR="006D5D3E" w:rsidRPr="007968B8" w:rsidTr="007968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vMerge/>
          </w:tcPr>
          <w:p w:rsidR="006D5D3E" w:rsidRPr="007968B8" w:rsidRDefault="006D5D3E">
            <w:pPr>
              <w:widowControl w:val="0"/>
              <w:pBdr>
                <w:top w:val="nil"/>
                <w:left w:val="nil"/>
                <w:bottom w:val="nil"/>
                <w:right w:val="nil"/>
                <w:between w:val="nil"/>
              </w:pBdr>
              <w:spacing w:line="276" w:lineRule="auto"/>
              <w:rPr>
                <w:rFonts w:ascii="Palatino Linotype" w:eastAsia="Palatino Linotype" w:hAnsi="Palatino Linotype" w:cs="Palatino Linotype"/>
                <w:b w:val="0"/>
                <w:bCs w:val="0"/>
                <w:color w:val="000000"/>
              </w:rPr>
            </w:pPr>
          </w:p>
        </w:tc>
        <w:tc>
          <w:tcPr>
            <w:tcW w:w="2835" w:type="dxa"/>
            <w:vAlign w:val="center"/>
          </w:tcPr>
          <w:p w:rsidR="006D5D3E" w:rsidRPr="007968B8" w:rsidRDefault="00D97976">
            <w:pPr>
              <w:spacing w:line="276" w:lineRule="auto"/>
              <w:ind w:left="34"/>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bCs/>
                <w:i/>
                <w:iCs/>
                <w:color w:val="000000"/>
              </w:rPr>
            </w:pPr>
            <w:r w:rsidRPr="007968B8">
              <w:rPr>
                <w:rFonts w:ascii="Palatino Linotype" w:eastAsia="Palatino Linotype" w:hAnsi="Palatino Linotype" w:cs="Palatino Linotype"/>
                <w:b/>
                <w:bCs/>
                <w:i/>
                <w:iCs/>
                <w:color w:val="000000"/>
              </w:rPr>
              <w:t>5. Metros cuadrados que fueron bacheados</w:t>
            </w:r>
          </w:p>
        </w:tc>
        <w:tc>
          <w:tcPr>
            <w:tcW w:w="4394" w:type="dxa"/>
            <w:vAlign w:val="center"/>
          </w:tcPr>
          <w:p w:rsidR="006D5D3E" w:rsidRPr="007968B8" w:rsidRDefault="00D97976">
            <w:pPr>
              <w:spacing w:line="276" w:lineRule="auto"/>
              <w:ind w:right="34"/>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7968B8">
              <w:rPr>
                <w:rFonts w:ascii="Palatino Linotype" w:eastAsia="Palatino Linotype" w:hAnsi="Palatino Linotype" w:cs="Palatino Linotype"/>
                <w:i/>
                <w:iCs/>
                <w:color w:val="000000"/>
              </w:rPr>
              <w:t>No se pronuncia</w:t>
            </w:r>
          </w:p>
        </w:tc>
        <w:tc>
          <w:tcPr>
            <w:tcW w:w="2552" w:type="dxa"/>
            <w:vAlign w:val="center"/>
          </w:tcPr>
          <w:p w:rsidR="006D5D3E" w:rsidRPr="007968B8" w:rsidRDefault="00D97976">
            <w:pPr>
              <w:tabs>
                <w:tab w:val="left" w:pos="0"/>
              </w:tabs>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bCs/>
                <w:color w:val="000000"/>
              </w:rPr>
            </w:pPr>
            <w:r w:rsidRPr="007968B8">
              <w:rPr>
                <w:rFonts w:ascii="Palatino Linotype" w:eastAsia="Palatino Linotype" w:hAnsi="Palatino Linotype" w:cs="Palatino Linotype"/>
                <w:b/>
                <w:bCs/>
                <w:color w:val="000000"/>
              </w:rPr>
              <w:t>NO</w:t>
            </w:r>
          </w:p>
        </w:tc>
      </w:tr>
      <w:tr w:rsidR="006D5D3E" w:rsidRPr="007968B8" w:rsidTr="007968B8">
        <w:trPr>
          <w:jc w:val="center"/>
        </w:trPr>
        <w:tc>
          <w:tcPr>
            <w:cnfStyle w:val="001000000000" w:firstRow="0" w:lastRow="0" w:firstColumn="1" w:lastColumn="0" w:oddVBand="0" w:evenVBand="0" w:oddHBand="0" w:evenHBand="0" w:firstRowFirstColumn="0" w:firstRowLastColumn="0" w:lastRowFirstColumn="0" w:lastRowLastColumn="0"/>
            <w:tcW w:w="993" w:type="dxa"/>
            <w:vMerge/>
          </w:tcPr>
          <w:p w:rsidR="006D5D3E" w:rsidRPr="007968B8" w:rsidRDefault="006D5D3E">
            <w:pPr>
              <w:widowControl w:val="0"/>
              <w:pBdr>
                <w:top w:val="nil"/>
                <w:left w:val="nil"/>
                <w:bottom w:val="nil"/>
                <w:right w:val="nil"/>
                <w:between w:val="nil"/>
              </w:pBdr>
              <w:spacing w:line="276" w:lineRule="auto"/>
              <w:rPr>
                <w:rFonts w:ascii="Palatino Linotype" w:eastAsia="Palatino Linotype" w:hAnsi="Palatino Linotype" w:cs="Palatino Linotype"/>
                <w:b w:val="0"/>
                <w:bCs w:val="0"/>
                <w:color w:val="000000"/>
              </w:rPr>
            </w:pPr>
          </w:p>
        </w:tc>
        <w:tc>
          <w:tcPr>
            <w:tcW w:w="2835" w:type="dxa"/>
            <w:vAlign w:val="center"/>
          </w:tcPr>
          <w:p w:rsidR="006D5D3E" w:rsidRPr="007968B8" w:rsidRDefault="00D97976">
            <w:pPr>
              <w:spacing w:line="276" w:lineRule="auto"/>
              <w:ind w:left="34"/>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i/>
                <w:iCs/>
                <w:color w:val="000000"/>
              </w:rPr>
            </w:pPr>
            <w:r w:rsidRPr="007968B8">
              <w:rPr>
                <w:rFonts w:ascii="Palatino Linotype" w:eastAsia="Palatino Linotype" w:hAnsi="Palatino Linotype" w:cs="Palatino Linotype"/>
                <w:b/>
                <w:bCs/>
                <w:i/>
                <w:iCs/>
                <w:color w:val="000000"/>
              </w:rPr>
              <w:t>6. Continuará el bacheo en otras calles</w:t>
            </w:r>
          </w:p>
        </w:tc>
        <w:tc>
          <w:tcPr>
            <w:tcW w:w="4394" w:type="dxa"/>
            <w:vAlign w:val="center"/>
          </w:tcPr>
          <w:p w:rsidR="006D5D3E" w:rsidRPr="007968B8" w:rsidRDefault="00D97976">
            <w:pPr>
              <w:spacing w:line="276" w:lineRule="auto"/>
              <w:ind w:right="34"/>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iCs/>
                <w:color w:val="000000"/>
              </w:rPr>
            </w:pPr>
            <w:r w:rsidRPr="007968B8">
              <w:rPr>
                <w:rFonts w:ascii="Palatino Linotype" w:eastAsia="Palatino Linotype" w:hAnsi="Palatino Linotype" w:cs="Palatino Linotype"/>
                <w:i/>
                <w:iCs/>
                <w:color w:val="000000"/>
              </w:rPr>
              <w:t>No se pronuncia</w:t>
            </w:r>
          </w:p>
        </w:tc>
        <w:tc>
          <w:tcPr>
            <w:tcW w:w="2552" w:type="dxa"/>
            <w:vAlign w:val="center"/>
          </w:tcPr>
          <w:p w:rsidR="006D5D3E" w:rsidRPr="007968B8" w:rsidRDefault="00D97976">
            <w:pPr>
              <w:tabs>
                <w:tab w:val="left" w:pos="0"/>
              </w:tabs>
              <w:jc w:val="center"/>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bCs/>
                <w:color w:val="000000"/>
              </w:rPr>
            </w:pPr>
            <w:r w:rsidRPr="007968B8">
              <w:rPr>
                <w:rFonts w:ascii="Palatino Linotype" w:eastAsia="Palatino Linotype" w:hAnsi="Palatino Linotype" w:cs="Palatino Linotype"/>
                <w:b/>
                <w:bCs/>
                <w:color w:val="000000"/>
              </w:rPr>
              <w:t>NO</w:t>
            </w:r>
          </w:p>
        </w:tc>
      </w:tr>
      <w:tr w:rsidR="006D5D3E" w:rsidRPr="007968B8" w:rsidTr="007968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dxa"/>
            <w:vMerge/>
          </w:tcPr>
          <w:p w:rsidR="006D5D3E" w:rsidRPr="007968B8" w:rsidRDefault="006D5D3E">
            <w:pPr>
              <w:widowControl w:val="0"/>
              <w:pBdr>
                <w:top w:val="nil"/>
                <w:left w:val="nil"/>
                <w:bottom w:val="nil"/>
                <w:right w:val="nil"/>
                <w:between w:val="nil"/>
              </w:pBdr>
              <w:spacing w:line="276" w:lineRule="auto"/>
              <w:rPr>
                <w:rFonts w:ascii="Palatino Linotype" w:eastAsia="Palatino Linotype" w:hAnsi="Palatino Linotype" w:cs="Palatino Linotype"/>
                <w:b w:val="0"/>
                <w:bCs w:val="0"/>
                <w:color w:val="000000"/>
              </w:rPr>
            </w:pPr>
          </w:p>
        </w:tc>
        <w:tc>
          <w:tcPr>
            <w:tcW w:w="2835" w:type="dxa"/>
            <w:vAlign w:val="center"/>
          </w:tcPr>
          <w:p w:rsidR="006D5D3E" w:rsidRPr="007968B8" w:rsidRDefault="00D97976">
            <w:pPr>
              <w:spacing w:line="276" w:lineRule="auto"/>
              <w:ind w:left="34"/>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bCs/>
                <w:i/>
                <w:iCs/>
                <w:color w:val="000000"/>
              </w:rPr>
            </w:pPr>
            <w:r w:rsidRPr="007968B8">
              <w:rPr>
                <w:rFonts w:ascii="Palatino Linotype" w:eastAsia="Palatino Linotype" w:hAnsi="Palatino Linotype" w:cs="Palatino Linotype"/>
                <w:b/>
                <w:bCs/>
                <w:i/>
                <w:iCs/>
                <w:color w:val="000000"/>
              </w:rPr>
              <w:t>7. De continuar el bacheo señalar en que calles se realizará</w:t>
            </w:r>
          </w:p>
        </w:tc>
        <w:tc>
          <w:tcPr>
            <w:tcW w:w="4394" w:type="dxa"/>
            <w:vAlign w:val="center"/>
          </w:tcPr>
          <w:p w:rsidR="006D5D3E" w:rsidRPr="007968B8" w:rsidRDefault="00D97976">
            <w:pPr>
              <w:spacing w:line="276" w:lineRule="auto"/>
              <w:ind w:right="34"/>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iCs/>
                <w:color w:val="000000"/>
              </w:rPr>
            </w:pPr>
            <w:r w:rsidRPr="007968B8">
              <w:rPr>
                <w:rFonts w:ascii="Palatino Linotype" w:eastAsia="Palatino Linotype" w:hAnsi="Palatino Linotype" w:cs="Palatino Linotype"/>
                <w:i/>
                <w:iCs/>
                <w:color w:val="000000"/>
              </w:rPr>
              <w:t>No se pronuncia</w:t>
            </w:r>
          </w:p>
        </w:tc>
        <w:tc>
          <w:tcPr>
            <w:tcW w:w="2552" w:type="dxa"/>
            <w:vAlign w:val="center"/>
          </w:tcPr>
          <w:p w:rsidR="006D5D3E" w:rsidRPr="007968B8" w:rsidRDefault="00D97976">
            <w:pPr>
              <w:tabs>
                <w:tab w:val="left" w:pos="0"/>
              </w:tabs>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bCs/>
                <w:color w:val="000000"/>
              </w:rPr>
            </w:pPr>
            <w:r w:rsidRPr="007968B8">
              <w:rPr>
                <w:rFonts w:ascii="Palatino Linotype" w:eastAsia="Palatino Linotype" w:hAnsi="Palatino Linotype" w:cs="Palatino Linotype"/>
                <w:b/>
                <w:bCs/>
                <w:color w:val="000000"/>
              </w:rPr>
              <w:t>NO</w:t>
            </w:r>
          </w:p>
        </w:tc>
      </w:tr>
    </w:tbl>
    <w:p w:rsidR="006D5D3E" w:rsidRPr="007968B8" w:rsidRDefault="006D5D3E">
      <w:pPr>
        <w:spacing w:line="276" w:lineRule="auto"/>
        <w:ind w:left="1134" w:right="992"/>
        <w:jc w:val="center"/>
        <w:rPr>
          <w:rFonts w:ascii="Palatino Linotype" w:eastAsia="Palatino Linotype" w:hAnsi="Palatino Linotype" w:cs="Palatino Linotype"/>
          <w:i/>
          <w:iCs/>
          <w:color w:val="000000"/>
        </w:rPr>
      </w:pPr>
    </w:p>
    <w:p w:rsidR="006D5D3E" w:rsidRPr="007968B8" w:rsidRDefault="00D97976">
      <w:pPr>
        <w:numPr>
          <w:ilvl w:val="0"/>
          <w:numId w:val="10"/>
        </w:numPr>
        <w:spacing w:line="360" w:lineRule="auto"/>
        <w:ind w:left="0" w:right="-709" w:firstLine="0"/>
        <w:jc w:val="both"/>
        <w:rPr>
          <w:rFonts w:ascii="Palatino Linotype" w:eastAsia="Palatino Linotype" w:hAnsi="Palatino Linotype" w:cs="Palatino Linotype"/>
        </w:rPr>
      </w:pPr>
      <w:bookmarkStart w:id="9" w:name="_heading=h.6pgn86j2xlb7" w:colFirst="0" w:colLast="0"/>
      <w:bookmarkEnd w:id="9"/>
      <w:r w:rsidRPr="007968B8">
        <w:rPr>
          <w:rFonts w:ascii="Palatino Linotype" w:eastAsia="Palatino Linotype" w:hAnsi="Palatino Linotype" w:cs="Palatino Linotype"/>
          <w:color w:val="000000"/>
        </w:rPr>
        <w:t xml:space="preserve">A más de lo anterior, es de explorado derecho que este Instituto no se encuentra facultado para dudar de la veracidad de la </w:t>
      </w:r>
      <w:r w:rsidRPr="007968B8">
        <w:rPr>
          <w:rFonts w:ascii="Palatino Linotype" w:eastAsia="Palatino Linotype" w:hAnsi="Palatino Linotype" w:cs="Palatino Linotype"/>
        </w:rPr>
        <w:t>información</w:t>
      </w:r>
      <w:r w:rsidRPr="007968B8">
        <w:rPr>
          <w:rFonts w:ascii="Palatino Linotype" w:eastAsia="Palatino Linotype" w:hAnsi="Palatino Linotype" w:cs="Palatino Linotype"/>
          <w:color w:val="000000"/>
        </w:rPr>
        <w:t xml:space="preserve"> que le fue entregada al hoy </w:t>
      </w:r>
      <w:r w:rsidRPr="007968B8">
        <w:rPr>
          <w:rFonts w:ascii="Palatino Linotype" w:eastAsia="Palatino Linotype" w:hAnsi="Palatino Linotype" w:cs="Palatino Linotype"/>
          <w:b/>
          <w:bCs/>
          <w:color w:val="000000"/>
        </w:rPr>
        <w:t>RECURRENTE</w:t>
      </w:r>
      <w:r w:rsidRPr="007968B8">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Pr="007968B8">
        <w:rPr>
          <w:rFonts w:ascii="Palatino Linotype" w:eastAsia="Palatino Linotype" w:hAnsi="Palatino Linotype" w:cs="Palatino Linotype"/>
        </w:rPr>
        <w:t xml:space="preserve">situación que se aleja de las atribuciones de este Instituto </w:t>
      </w:r>
      <w:r w:rsidRPr="007968B8">
        <w:rPr>
          <w:rFonts w:ascii="Palatino Linotype" w:eastAsia="Palatino Linotype" w:hAnsi="Palatino Linotype" w:cs="Palatino Linotype"/>
          <w:i/>
          <w:iCs/>
          <w:color w:val="000000"/>
        </w:rPr>
        <w:t>máxime</w:t>
      </w:r>
      <w:r w:rsidRPr="007968B8">
        <w:rPr>
          <w:rFonts w:ascii="Palatino Linotype" w:eastAsia="Palatino Linotype" w:hAnsi="Palatino Linotype" w:cs="Palatino Linotype"/>
          <w:color w:val="000000"/>
        </w:rPr>
        <w:t xml:space="preserve"> que al momento que ponen a disposición ésta, la misma tiene el carácter oficial y se presume veraz, tan es así que la misma queda registrada en el Sistema de Acceso a la Información Mexiquense (SAIMEX).</w:t>
      </w:r>
    </w:p>
    <w:p w:rsidR="006D5D3E" w:rsidRPr="007968B8" w:rsidRDefault="006D5D3E">
      <w:pPr>
        <w:pBdr>
          <w:top w:val="nil"/>
          <w:left w:val="nil"/>
          <w:bottom w:val="nil"/>
          <w:right w:val="nil"/>
          <w:between w:val="nil"/>
        </w:pBdr>
        <w:spacing w:line="360" w:lineRule="auto"/>
        <w:ind w:right="27"/>
        <w:rPr>
          <w:rFonts w:ascii="Palatino Linotype" w:eastAsia="Palatino Linotype" w:hAnsi="Palatino Linotype" w:cs="Palatino Linotype"/>
          <w:color w:val="000000"/>
        </w:rPr>
      </w:pPr>
    </w:p>
    <w:p w:rsidR="006D5D3E" w:rsidRPr="007968B8" w:rsidRDefault="00D97976">
      <w:pPr>
        <w:numPr>
          <w:ilvl w:val="0"/>
          <w:numId w:val="10"/>
        </w:numPr>
        <w:spacing w:line="360" w:lineRule="auto"/>
        <w:ind w:left="0" w:right="-709" w:firstLine="0"/>
        <w:jc w:val="both"/>
        <w:rPr>
          <w:rFonts w:ascii="Palatino Linotype" w:eastAsia="Palatino Linotype" w:hAnsi="Palatino Linotype" w:cs="Palatino Linotype"/>
        </w:rPr>
      </w:pPr>
      <w:r w:rsidRPr="007968B8">
        <w:rPr>
          <w:rFonts w:ascii="Palatino Linotype" w:eastAsia="Palatino Linotype" w:hAnsi="Palatino Linotype" w:cs="Palatino Linotype"/>
        </w:rPr>
        <w:t xml:space="preserve">Sirviendo de apoyo a lo anterior por analogía, el criterio 31-10 emitido por el entonces Instituto </w:t>
      </w:r>
      <w:r w:rsidRPr="007968B8">
        <w:rPr>
          <w:rFonts w:ascii="Palatino Linotype" w:eastAsia="Palatino Linotype" w:hAnsi="Palatino Linotype" w:cs="Palatino Linotype"/>
          <w:color w:val="000000"/>
        </w:rPr>
        <w:t>Nacional</w:t>
      </w:r>
      <w:r w:rsidRPr="007968B8">
        <w:rPr>
          <w:rFonts w:ascii="Palatino Linotype" w:eastAsia="Palatino Linotype" w:hAnsi="Palatino Linotype" w:cs="Palatino Linotype"/>
        </w:rPr>
        <w:t xml:space="preserve"> de Transparencia, Acceso a la Información y Protección de Datos Personales, que a la letra dice:</w:t>
      </w:r>
    </w:p>
    <w:p w:rsidR="006D5D3E" w:rsidRPr="007968B8" w:rsidRDefault="00D97976">
      <w:pPr>
        <w:pBdr>
          <w:top w:val="nil"/>
          <w:left w:val="nil"/>
          <w:bottom w:val="nil"/>
          <w:right w:val="nil"/>
          <w:between w:val="nil"/>
        </w:pBdr>
        <w:spacing w:line="276" w:lineRule="auto"/>
        <w:ind w:left="1134" w:right="709"/>
        <w:jc w:val="both"/>
        <w:rPr>
          <w:rFonts w:ascii="Palatino Linotype" w:eastAsia="Palatino Linotype" w:hAnsi="Palatino Linotype" w:cs="Palatino Linotype"/>
          <w:i/>
          <w:iCs/>
          <w:color w:val="000000"/>
        </w:rPr>
      </w:pPr>
      <w:r w:rsidRPr="007968B8">
        <w:rPr>
          <w:rFonts w:ascii="Palatino Linotype" w:eastAsia="Palatino Linotype" w:hAnsi="Palatino Linotype" w:cs="Palatino Linotype"/>
          <w:i/>
          <w:iCs/>
          <w:color w:val="000000"/>
        </w:rPr>
        <w:t xml:space="preserve">“El Instituto Federal de Acceso a la Información y Protección de Datos </w:t>
      </w:r>
      <w:r w:rsidRPr="007968B8">
        <w:rPr>
          <w:rFonts w:ascii="Palatino Linotype" w:eastAsia="Palatino Linotype" w:hAnsi="Palatino Linotype" w:cs="Palatino Linotype"/>
          <w:b/>
          <w:bCs/>
          <w:i/>
          <w:iCs/>
          <w:color w:val="000000"/>
        </w:rPr>
        <w:t>no cuenta con facultades para pronunciarse respecto de la veracidad de los documentos proporcionados por los sujetos obligados.</w:t>
      </w:r>
      <w:r w:rsidRPr="007968B8">
        <w:rPr>
          <w:rFonts w:ascii="Palatino Linotype" w:eastAsia="Palatino Linotype" w:hAnsi="Palatino Linotype" w:cs="Palatino Linotype"/>
          <w:i/>
          <w:iCs/>
          <w:color w:val="00000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w:t>
      </w:r>
      <w:r w:rsidRPr="007968B8">
        <w:rPr>
          <w:rFonts w:ascii="Palatino Linotype" w:eastAsia="Palatino Linotype" w:hAnsi="Palatino Linotype" w:cs="Palatino Linotype"/>
          <w:i/>
          <w:iCs/>
          <w:color w:val="000000"/>
        </w:rPr>
        <w:lastRenderedPageBreak/>
        <w:t>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6D5D3E" w:rsidRPr="007968B8" w:rsidRDefault="006D5D3E">
      <w:pPr>
        <w:pBdr>
          <w:top w:val="nil"/>
          <w:left w:val="nil"/>
          <w:bottom w:val="nil"/>
          <w:right w:val="nil"/>
          <w:between w:val="nil"/>
        </w:pBdr>
        <w:spacing w:line="360" w:lineRule="auto"/>
        <w:ind w:right="27"/>
        <w:jc w:val="both"/>
        <w:rPr>
          <w:rFonts w:ascii="Palatino Linotype" w:eastAsia="Palatino Linotype" w:hAnsi="Palatino Linotype" w:cs="Palatino Linotype"/>
          <w:i/>
          <w:iCs/>
          <w:color w:val="000000"/>
        </w:rPr>
      </w:pPr>
    </w:p>
    <w:p w:rsidR="006D5D3E" w:rsidRPr="007968B8" w:rsidRDefault="00D97976">
      <w:pPr>
        <w:numPr>
          <w:ilvl w:val="0"/>
          <w:numId w:val="10"/>
        </w:numPr>
        <w:spacing w:line="360" w:lineRule="auto"/>
        <w:ind w:left="0" w:right="-709" w:firstLine="0"/>
        <w:jc w:val="both"/>
        <w:rPr>
          <w:rFonts w:ascii="Palatino Linotype" w:eastAsia="Palatino Linotype" w:hAnsi="Palatino Linotype" w:cs="Palatino Linotype"/>
          <w:i/>
          <w:iCs/>
        </w:rPr>
      </w:pPr>
      <w:r w:rsidRPr="007968B8">
        <w:rPr>
          <w:rFonts w:ascii="Palatino Linotype" w:eastAsia="Palatino Linotype" w:hAnsi="Palatino Linotype" w:cs="Palatino Linotype"/>
        </w:rPr>
        <w:t xml:space="preserve">Así como lo dispuesto por la </w:t>
      </w:r>
      <w:r w:rsidRPr="007968B8">
        <w:rPr>
          <w:rFonts w:ascii="Palatino Linotype" w:eastAsia="Palatino Linotype" w:hAnsi="Palatino Linotype" w:cs="Palatino Linotype"/>
          <w:b/>
          <w:bCs/>
        </w:rPr>
        <w:t xml:space="preserve">Ley de Transparencia y Acceso a la Información Pública del </w:t>
      </w:r>
      <w:r w:rsidRPr="007968B8">
        <w:rPr>
          <w:rFonts w:ascii="Palatino Linotype" w:eastAsia="Palatino Linotype" w:hAnsi="Palatino Linotype" w:cs="Palatino Linotype"/>
          <w:color w:val="000000"/>
        </w:rPr>
        <w:t>Estado</w:t>
      </w:r>
      <w:r w:rsidRPr="007968B8">
        <w:rPr>
          <w:rFonts w:ascii="Palatino Linotype" w:eastAsia="Palatino Linotype" w:hAnsi="Palatino Linotype" w:cs="Palatino Linotype"/>
          <w:b/>
          <w:bCs/>
        </w:rPr>
        <w:t xml:space="preserve"> de México y Municipios</w:t>
      </w:r>
      <w:r w:rsidRPr="007968B8">
        <w:rPr>
          <w:rFonts w:ascii="Palatino Linotype" w:eastAsia="Palatino Linotype" w:hAnsi="Palatino Linotype" w:cs="Palatino Linotype"/>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6D5D3E" w:rsidRPr="007968B8" w:rsidRDefault="00D97976">
      <w:pPr>
        <w:pBdr>
          <w:top w:val="nil"/>
          <w:left w:val="nil"/>
          <w:bottom w:val="nil"/>
          <w:right w:val="nil"/>
          <w:between w:val="nil"/>
        </w:pBdr>
        <w:tabs>
          <w:tab w:val="left" w:pos="7938"/>
        </w:tabs>
        <w:ind w:left="1134" w:right="709"/>
        <w:jc w:val="both"/>
        <w:rPr>
          <w:rFonts w:ascii="Palatino Linotype" w:eastAsia="Palatino Linotype" w:hAnsi="Palatino Linotype" w:cs="Palatino Linotype"/>
          <w:b/>
          <w:bCs/>
          <w:i/>
          <w:iCs/>
          <w:color w:val="000000"/>
        </w:rPr>
      </w:pPr>
      <w:r w:rsidRPr="007968B8">
        <w:rPr>
          <w:rFonts w:ascii="Palatino Linotype" w:eastAsia="Palatino Linotype" w:hAnsi="Palatino Linotype" w:cs="Palatino Linotype"/>
          <w:i/>
          <w:iCs/>
          <w:color w:val="000000"/>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7968B8">
        <w:rPr>
          <w:rFonts w:ascii="Palatino Linotype" w:eastAsia="Palatino Linotype" w:hAnsi="Palatino Linotype" w:cs="Palatino Linotype"/>
          <w:b/>
          <w:bCs/>
          <w:i/>
          <w:iCs/>
          <w:color w:val="000000"/>
        </w:rPr>
        <w:t>Los Sujetos Obligados deben poner en práctica, políticas y programas de acceso a la información que se apeguen a criterios de publicidad, veracidad, oportunidad, precisión y suficiencia en beneficio de los solicitantes.</w:t>
      </w:r>
    </w:p>
    <w:p w:rsidR="006D5D3E" w:rsidRPr="007968B8" w:rsidRDefault="006D5D3E">
      <w:pPr>
        <w:pBdr>
          <w:top w:val="nil"/>
          <w:left w:val="nil"/>
          <w:bottom w:val="nil"/>
          <w:right w:val="nil"/>
          <w:between w:val="nil"/>
        </w:pBdr>
        <w:spacing w:line="360" w:lineRule="auto"/>
        <w:ind w:right="27"/>
        <w:jc w:val="both"/>
        <w:rPr>
          <w:rFonts w:ascii="Palatino Linotype" w:eastAsia="Palatino Linotype" w:hAnsi="Palatino Linotype" w:cs="Palatino Linotype"/>
          <w:b/>
          <w:bCs/>
          <w:i/>
          <w:iCs/>
          <w:color w:val="000000"/>
        </w:rPr>
      </w:pPr>
    </w:p>
    <w:p w:rsidR="006D5D3E" w:rsidRPr="007968B8" w:rsidRDefault="00D97976">
      <w:pPr>
        <w:numPr>
          <w:ilvl w:val="0"/>
          <w:numId w:val="10"/>
        </w:numPr>
        <w:spacing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rPr>
        <w:t xml:space="preserve">Numerales que compelen al </w:t>
      </w:r>
      <w:r w:rsidRPr="007968B8">
        <w:rPr>
          <w:rFonts w:ascii="Palatino Linotype" w:eastAsia="Palatino Linotype" w:hAnsi="Palatino Linotype" w:cs="Palatino Linotype"/>
          <w:b/>
          <w:bCs/>
        </w:rPr>
        <w:t>SUJETO OBLIGADO</w:t>
      </w:r>
      <w:r w:rsidRPr="007968B8">
        <w:rPr>
          <w:rFonts w:ascii="Palatino Linotype" w:eastAsia="Palatino Linotype" w:hAnsi="Palatino Linotype" w:cs="Palatino Linotype"/>
        </w:rPr>
        <w:t xml:space="preserve"> apegarse en todo momento a los criterios ya expuestos, impidiendo a este Órgano Colegiado cuestionar la veracidad de la información.</w:t>
      </w:r>
    </w:p>
    <w:p w:rsidR="006D5D3E" w:rsidRPr="007968B8" w:rsidRDefault="006D5D3E">
      <w:pPr>
        <w:spacing w:line="360" w:lineRule="auto"/>
        <w:ind w:right="-709"/>
        <w:jc w:val="both"/>
        <w:rPr>
          <w:rFonts w:ascii="Palatino Linotype" w:eastAsia="Palatino Linotype" w:hAnsi="Palatino Linotype" w:cs="Palatino Linotype"/>
        </w:rPr>
      </w:pPr>
    </w:p>
    <w:p w:rsidR="006D5D3E" w:rsidRPr="007968B8" w:rsidRDefault="00D97976">
      <w:pPr>
        <w:numPr>
          <w:ilvl w:val="0"/>
          <w:numId w:val="10"/>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lastRenderedPageBreak/>
        <w:t>Ahora bien al inconformarse el particular únicamente sobre los puntos cuatro al siete , el presente se abocará al estudio de la información que no fue colmada por el Recurrente, 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6D5D3E" w:rsidRPr="007968B8" w:rsidRDefault="00D97976">
      <w:pPr>
        <w:ind w:left="1134" w:right="709"/>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 xml:space="preserve">“REVISIÓN EN AMPARO. LOS RESOLUTIVOS NO COMBATIDOS DEBEN DECLARARSE FIRMES. </w:t>
      </w:r>
      <w:r w:rsidRPr="007968B8">
        <w:rPr>
          <w:rFonts w:ascii="Palatino Linotype" w:eastAsia="Palatino Linotype" w:hAnsi="Palatino Linotype" w:cs="Palatino Linotype"/>
          <w:i/>
          <w:iC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6D5D3E" w:rsidRPr="007968B8" w:rsidRDefault="006D5D3E">
      <w:pPr>
        <w:spacing w:line="360" w:lineRule="auto"/>
        <w:ind w:left="1134" w:right="709"/>
        <w:jc w:val="both"/>
        <w:rPr>
          <w:rFonts w:ascii="Palatino Linotype" w:eastAsia="Palatino Linotype" w:hAnsi="Palatino Linotype" w:cs="Palatino Linotype"/>
        </w:rPr>
      </w:pPr>
    </w:p>
    <w:p w:rsidR="006D5D3E" w:rsidRPr="007968B8" w:rsidRDefault="00D97976">
      <w:pPr>
        <w:numPr>
          <w:ilvl w:val="0"/>
          <w:numId w:val="10"/>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Consecuentemente, se insiste, ante la falta de impugnación eficaz, la respuesta entregada debe declararse consentida por persona solicitante.</w:t>
      </w:r>
    </w:p>
    <w:p w:rsidR="006D5D3E" w:rsidRPr="007968B8" w:rsidRDefault="006D5D3E">
      <w:pPr>
        <w:spacing w:line="360" w:lineRule="auto"/>
        <w:ind w:right="-709"/>
        <w:jc w:val="both"/>
        <w:rPr>
          <w:rFonts w:ascii="Palatino Linotype" w:eastAsia="Palatino Linotype" w:hAnsi="Palatino Linotype" w:cs="Palatino Linotype"/>
        </w:rPr>
      </w:pPr>
    </w:p>
    <w:p w:rsidR="006D5D3E" w:rsidRPr="007968B8" w:rsidRDefault="00D97976">
      <w:pPr>
        <w:numPr>
          <w:ilvl w:val="0"/>
          <w:numId w:val="10"/>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 xml:space="preserve">Lo anterior se sustenta con lo plasmado en el criterio 01/20 emitido por el entonces Instituto Nacional de Transparencia, Acceso a la Información, y Protección de Datos Personales, INAI, que lleva por rubro y texto los siguientes: </w:t>
      </w:r>
    </w:p>
    <w:p w:rsidR="006D5D3E" w:rsidRPr="007968B8" w:rsidRDefault="006D5D3E">
      <w:pPr>
        <w:spacing w:line="360" w:lineRule="auto"/>
        <w:ind w:right="-709"/>
        <w:jc w:val="both"/>
        <w:rPr>
          <w:rFonts w:ascii="Palatino Linotype" w:eastAsia="Palatino Linotype" w:hAnsi="Palatino Linotype" w:cs="Palatino Linotype"/>
        </w:rPr>
      </w:pPr>
    </w:p>
    <w:p w:rsidR="006D5D3E" w:rsidRPr="007968B8" w:rsidRDefault="00D97976">
      <w:pPr>
        <w:pBdr>
          <w:top w:val="nil"/>
          <w:left w:val="nil"/>
          <w:bottom w:val="nil"/>
          <w:right w:val="nil"/>
          <w:between w:val="nil"/>
        </w:pBdr>
        <w:spacing w:line="276" w:lineRule="auto"/>
        <w:ind w:left="1134" w:right="709"/>
        <w:jc w:val="both"/>
        <w:rPr>
          <w:rFonts w:ascii="Palatino Linotype" w:eastAsia="Palatino Linotype" w:hAnsi="Palatino Linotype" w:cs="Palatino Linotype"/>
          <w:i/>
          <w:iCs/>
          <w:color w:val="000000"/>
        </w:rPr>
      </w:pPr>
      <w:r w:rsidRPr="007968B8">
        <w:rPr>
          <w:rFonts w:ascii="Palatino Linotype" w:eastAsia="Palatino Linotype" w:hAnsi="Palatino Linotype" w:cs="Palatino Linotype"/>
          <w:i/>
          <w:iCs/>
          <w:color w:val="000000"/>
        </w:rPr>
        <w:lastRenderedPageBreak/>
        <w:t>“</w:t>
      </w:r>
      <w:r w:rsidRPr="007968B8">
        <w:rPr>
          <w:rFonts w:ascii="Palatino Linotype" w:eastAsia="Palatino Linotype" w:hAnsi="Palatino Linotype" w:cs="Palatino Linotype"/>
          <w:b/>
          <w:bCs/>
          <w:i/>
          <w:iCs/>
          <w:color w:val="000000"/>
        </w:rPr>
        <w:t xml:space="preserve">Actos consentidos tácitamente. Improcedencia de su análisis. </w:t>
      </w:r>
      <w:r w:rsidRPr="007968B8">
        <w:rPr>
          <w:rFonts w:ascii="Palatino Linotype" w:eastAsia="Palatino Linotype" w:hAnsi="Palatino Linotype" w:cs="Palatino Linotype"/>
          <w:i/>
          <w:iCs/>
          <w:color w:val="000000"/>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6D5D3E" w:rsidRPr="007968B8" w:rsidRDefault="006D5D3E">
      <w:pPr>
        <w:pBdr>
          <w:top w:val="nil"/>
          <w:left w:val="nil"/>
          <w:bottom w:val="nil"/>
          <w:right w:val="nil"/>
          <w:between w:val="nil"/>
        </w:pBdr>
        <w:spacing w:line="360" w:lineRule="auto"/>
        <w:ind w:right="-709"/>
        <w:jc w:val="both"/>
        <w:rPr>
          <w:rFonts w:ascii="Palatino Linotype" w:eastAsia="Palatino Linotype" w:hAnsi="Palatino Linotype" w:cs="Palatino Linotype"/>
          <w:i/>
          <w:iCs/>
          <w:color w:val="000000"/>
        </w:rPr>
      </w:pPr>
    </w:p>
    <w:p w:rsidR="006D5D3E" w:rsidRPr="007968B8" w:rsidRDefault="00D97976">
      <w:pPr>
        <w:numPr>
          <w:ilvl w:val="0"/>
          <w:numId w:val="10"/>
        </w:numPr>
        <w:pBdr>
          <w:top w:val="nil"/>
          <w:left w:val="nil"/>
          <w:bottom w:val="nil"/>
          <w:right w:val="nil"/>
          <w:between w:val="nil"/>
        </w:pBdr>
        <w:spacing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Asimismo, resulta aplicable por analogía la tesis jurisprudencial número VI.3o.C. J/60, publicada en el Semanario Judicial de la Federación y su Gaceta bajo el número de registro 176,608 que a la letra dice:</w:t>
      </w:r>
    </w:p>
    <w:p w:rsidR="006D5D3E" w:rsidRPr="007968B8" w:rsidRDefault="00D97976">
      <w:pPr>
        <w:tabs>
          <w:tab w:val="left" w:pos="851"/>
          <w:tab w:val="left" w:pos="1276"/>
        </w:tabs>
        <w:ind w:left="1134" w:right="709"/>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smallCaps/>
        </w:rPr>
        <w:t xml:space="preserve">“ACTOS CONSENTIDOS. SON LOS QUE NO SE IMPUGNAN MEDIANTE EL RECURSO IDÓNEO. </w:t>
      </w:r>
      <w:r w:rsidRPr="007968B8">
        <w:rPr>
          <w:rFonts w:ascii="Palatino Linotype" w:eastAsia="Palatino Linotype" w:hAnsi="Palatino Linotype" w:cs="Palatino Linotype"/>
          <w:i/>
          <w:iC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6D5D3E" w:rsidRPr="007968B8" w:rsidRDefault="006D5D3E">
      <w:pPr>
        <w:spacing w:line="360" w:lineRule="auto"/>
        <w:ind w:right="-709"/>
        <w:jc w:val="both"/>
        <w:rPr>
          <w:rFonts w:ascii="Palatino Linotype" w:eastAsia="Palatino Linotype" w:hAnsi="Palatino Linotype" w:cs="Palatino Linotype"/>
          <w:i/>
          <w:iCs/>
        </w:rPr>
      </w:pPr>
    </w:p>
    <w:p w:rsidR="006D5D3E" w:rsidRPr="007968B8" w:rsidRDefault="00D97976">
      <w:pPr>
        <w:numPr>
          <w:ilvl w:val="0"/>
          <w:numId w:val="9"/>
        </w:numPr>
        <w:pBdr>
          <w:top w:val="nil"/>
          <w:left w:val="nil"/>
          <w:bottom w:val="nil"/>
          <w:right w:val="nil"/>
          <w:between w:val="nil"/>
        </w:pBdr>
        <w:spacing w:before="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 xml:space="preserve">Ahora bien, al respecto, es de señalar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 por lo que ,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 los servidores públicos habilitados que tengan bajo su resguardo la misma, de conformidad con los artículos 53, fracciones II y IV y </w:t>
      </w:r>
      <w:r w:rsidRPr="007968B8">
        <w:rPr>
          <w:rFonts w:ascii="Palatino Linotype" w:eastAsia="Palatino Linotype" w:hAnsi="Palatino Linotype" w:cs="Palatino Linotype"/>
          <w:color w:val="000000"/>
        </w:rPr>
        <w:lastRenderedPageBreak/>
        <w:t>162 de la Ley de Transparencia y Acceso a la Información Pública del Estado de México y Municipios.</w:t>
      </w:r>
    </w:p>
    <w:p w:rsidR="006D5D3E" w:rsidRPr="007968B8" w:rsidRDefault="00D97976">
      <w:pPr>
        <w:numPr>
          <w:ilvl w:val="0"/>
          <w:numId w:val="9"/>
        </w:numPr>
        <w:pBdr>
          <w:top w:val="nil"/>
          <w:left w:val="nil"/>
          <w:bottom w:val="nil"/>
          <w:right w:val="nil"/>
          <w:between w:val="nil"/>
        </w:pBdr>
        <w:spacing w:before="240" w:after="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rsidR="006D5D3E" w:rsidRPr="007968B8" w:rsidRDefault="00D97976">
      <w:pPr>
        <w:numPr>
          <w:ilvl w:val="0"/>
          <w:numId w:val="9"/>
        </w:numPr>
        <w:pBdr>
          <w:top w:val="nil"/>
          <w:left w:val="nil"/>
          <w:bottom w:val="nil"/>
          <w:right w:val="nil"/>
          <w:between w:val="nil"/>
        </w:pBdr>
        <w:spacing w:before="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rsidR="006D5D3E" w:rsidRPr="007968B8" w:rsidRDefault="006D5D3E">
      <w:pPr>
        <w:pBdr>
          <w:top w:val="nil"/>
          <w:left w:val="nil"/>
          <w:bottom w:val="nil"/>
          <w:right w:val="nil"/>
          <w:between w:val="nil"/>
        </w:pBdr>
        <w:ind w:left="720" w:right="-709"/>
        <w:rPr>
          <w:rFonts w:ascii="Palatino Linotype" w:eastAsia="Palatino Linotype" w:hAnsi="Palatino Linotype" w:cs="Palatino Linotype"/>
          <w:color w:val="000000"/>
        </w:rPr>
      </w:pPr>
    </w:p>
    <w:p w:rsidR="006D5D3E" w:rsidRPr="007968B8" w:rsidRDefault="00D97976">
      <w:pPr>
        <w:numPr>
          <w:ilvl w:val="0"/>
          <w:numId w:val="9"/>
        </w:numPr>
        <w:pBdr>
          <w:top w:val="nil"/>
          <w:left w:val="nil"/>
          <w:bottom w:val="nil"/>
          <w:right w:val="nil"/>
          <w:between w:val="nil"/>
        </w:pBdr>
        <w:spacing w:before="240" w:after="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lastRenderedPageBreak/>
        <w:t>En esta línea de pensamiento, derivado del análisis de las constancias que obran en el expediente electrónico en el que se actúa, se advirtió que la Unidad de Transparencia turnó la solicitud de información para su atención a la tesorería y a la  Dirección de Obras Públicas , de éste último, el objetivo de conformidad con el artículo 80 del Bando Municipal, consiste en la coordinación de las obras públicas previa autorización del Ayuntamiento que consiste en funciones de planeación, presupuestación, programación y ejecución.</w:t>
      </w:r>
    </w:p>
    <w:p w:rsidR="006D5D3E" w:rsidRPr="007968B8" w:rsidRDefault="00D97976">
      <w:pPr>
        <w:numPr>
          <w:ilvl w:val="0"/>
          <w:numId w:val="9"/>
        </w:numPr>
        <w:pBdr>
          <w:top w:val="nil"/>
          <w:left w:val="nil"/>
          <w:bottom w:val="nil"/>
          <w:right w:val="nil"/>
          <w:between w:val="nil"/>
        </w:pBdr>
        <w:spacing w:before="240" w:after="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Mientras que el artículo 96 Bis de la Ley Orgánica Municipal del Estado de México confiere al titular de la Dirección de Obras Públicas las siguientes atribuciones en su parte conducente:</w:t>
      </w:r>
    </w:p>
    <w:p w:rsidR="006D5D3E" w:rsidRPr="007968B8" w:rsidRDefault="00D97976">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 Realizar la programación y ejecución de las obras públicas y servicios relacionados, que por orden expresa del Ayuntamiento requieran prioridad; </w:t>
      </w:r>
    </w:p>
    <w:p w:rsidR="006D5D3E" w:rsidRPr="007968B8" w:rsidRDefault="00D97976">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Planear y coordinar los proyectos de obras públicas y servicios relacionados con las mismas que autorice el Ayuntamiento, una vez que se cumplan los requisitos de licitación y otros que determine la ley de la materia;</w:t>
      </w:r>
    </w:p>
    <w:p w:rsidR="006D5D3E" w:rsidRPr="007968B8" w:rsidRDefault="00D97976">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Proyectar las obras públicas y servicios relacionados, que realice el Municipio, incluyendo la conservación y mantenimiento de edificios, monumentos, calles, parques y jardines;</w:t>
      </w:r>
    </w:p>
    <w:p w:rsidR="006D5D3E" w:rsidRPr="007968B8" w:rsidRDefault="00D97976">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 Construir y ejecutar todas aquellas obras públicas y servicios relacionados, que aumenten y mantengan la infraestructura municipal y que estén consideradas en el programa respectivo; </w:t>
      </w:r>
    </w:p>
    <w:p w:rsidR="006D5D3E" w:rsidRPr="007968B8" w:rsidRDefault="00D97976">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 </w:t>
      </w:r>
      <w:r w:rsidRPr="007968B8">
        <w:rPr>
          <w:rFonts w:ascii="Palatino Linotype" w:eastAsia="Palatino Linotype" w:hAnsi="Palatino Linotype" w:cs="Palatino Linotype"/>
          <w:b/>
          <w:bCs/>
          <w:i/>
          <w:iCs/>
        </w:rPr>
        <w:t>Determinar y cuantificar los materiales y trabajos necesarios para programas de construcción y mantenimiento de obras públicas y servicios relacionados;</w:t>
      </w:r>
      <w:r w:rsidRPr="007968B8">
        <w:rPr>
          <w:rFonts w:ascii="Palatino Linotype" w:eastAsia="Palatino Linotype" w:hAnsi="Palatino Linotype" w:cs="Palatino Linotype"/>
          <w:i/>
          <w:iCs/>
        </w:rPr>
        <w:t xml:space="preserve"> </w:t>
      </w:r>
    </w:p>
    <w:p w:rsidR="006D5D3E" w:rsidRPr="007968B8" w:rsidRDefault="00D97976">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lastRenderedPageBreak/>
        <w:t>- Vigilar que se cumplan y lleven a cabo los programas de construcción y mantenimiento de obras públicas y servicios relacionados;</w:t>
      </w:r>
    </w:p>
    <w:p w:rsidR="006D5D3E" w:rsidRPr="007968B8" w:rsidRDefault="00D97976">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Vigilar la construcción en las obras por contrato y por administración que hayan sido adjudicadas a los contratistas;</w:t>
      </w:r>
    </w:p>
    <w:p w:rsidR="006D5D3E" w:rsidRPr="007968B8" w:rsidRDefault="00D97976">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rPr>
        <w:t xml:space="preserve">- </w:t>
      </w:r>
      <w:r w:rsidRPr="007968B8">
        <w:rPr>
          <w:rFonts w:ascii="Palatino Linotype" w:eastAsia="Palatino Linotype" w:hAnsi="Palatino Linotype" w:cs="Palatino Linotype"/>
          <w:b/>
          <w:bCs/>
          <w:i/>
          <w:iCs/>
        </w:rPr>
        <w:t xml:space="preserve">Administrar y ejercer, en el ámbito de su competencia, </w:t>
      </w:r>
      <w:r w:rsidRPr="007968B8">
        <w:rPr>
          <w:rFonts w:ascii="Palatino Linotype" w:eastAsia="Palatino Linotype" w:hAnsi="Palatino Linotype" w:cs="Palatino Linotype"/>
          <w:b/>
          <w:bCs/>
          <w:i/>
          <w:iCs/>
          <w:u w:val="single"/>
        </w:rPr>
        <w:t>de manera coordinada con el Tesorero municipal,</w:t>
      </w:r>
      <w:r w:rsidRPr="007968B8">
        <w:rPr>
          <w:rFonts w:ascii="Palatino Linotype" w:eastAsia="Palatino Linotype" w:hAnsi="Palatino Linotype" w:cs="Palatino Linotype"/>
          <w:b/>
          <w:bCs/>
          <w:i/>
          <w:iCs/>
        </w:rPr>
        <w:t xml:space="preserve"> los recursos públicos destinados a la planeación, programación, presupuestación, adjudicación, contratación, ejecución y control de la obra pública,</w:t>
      </w:r>
      <w:r w:rsidRPr="007968B8">
        <w:rPr>
          <w:rFonts w:ascii="Palatino Linotype" w:eastAsia="Palatino Linotype" w:hAnsi="Palatino Linotype" w:cs="Palatino Linotype"/>
          <w:i/>
          <w:iCs/>
        </w:rPr>
        <w:t xml:space="preserve"> conforme a las disposiciones legales aplicables y en congruencia con los planes, programas, especificaciones técnicas, controles y procedimientos administrativos aprobados;</w:t>
      </w:r>
    </w:p>
    <w:p w:rsidR="006D5D3E" w:rsidRPr="007968B8" w:rsidRDefault="00D97976">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Verificar que las obras públicas y los servicios relacionados con la misma, hayan sido programadas, presupuestadas, ejecutadas, adquiridas y contratadas en estricto apego a las disposiciones legales aplicables;</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 </w:t>
      </w:r>
      <w:r w:rsidRPr="007968B8">
        <w:rPr>
          <w:rFonts w:ascii="Palatino Linotype" w:eastAsia="Palatino Linotype" w:hAnsi="Palatino Linotype" w:cs="Palatino Linotype"/>
          <w:b/>
          <w:bCs/>
          <w:i/>
          <w:iCs/>
        </w:rPr>
        <w:t>Autorizar para su pago</w:t>
      </w:r>
      <w:r w:rsidRPr="007968B8">
        <w:rPr>
          <w:rFonts w:ascii="Palatino Linotype" w:eastAsia="Palatino Linotype" w:hAnsi="Palatino Linotype" w:cs="Palatino Linotype"/>
          <w:i/>
          <w:iCs/>
        </w:rPr>
        <w:t xml:space="preserve">, previa validación del avance y calidad de las obras, </w:t>
      </w:r>
      <w:r w:rsidRPr="007968B8">
        <w:rPr>
          <w:rFonts w:ascii="Palatino Linotype" w:eastAsia="Palatino Linotype" w:hAnsi="Palatino Linotype" w:cs="Palatino Linotype"/>
          <w:b/>
          <w:bCs/>
          <w:i/>
          <w:iCs/>
        </w:rPr>
        <w:t>los presupuestos y estimaciones que presenten los contratistas</w:t>
      </w:r>
      <w:r w:rsidRPr="007968B8">
        <w:rPr>
          <w:rFonts w:ascii="Palatino Linotype" w:eastAsia="Palatino Linotype" w:hAnsi="Palatino Linotype" w:cs="Palatino Linotype"/>
          <w:i/>
          <w:iCs/>
        </w:rPr>
        <w:t xml:space="preserve"> de obras públicas municipales</w:t>
      </w:r>
    </w:p>
    <w:p w:rsidR="006D5D3E" w:rsidRPr="007968B8" w:rsidRDefault="006D5D3E">
      <w:pPr>
        <w:spacing w:before="240" w:after="240"/>
        <w:ind w:left="1134" w:right="1134"/>
        <w:jc w:val="both"/>
        <w:rPr>
          <w:rFonts w:ascii="Palatino Linotype" w:eastAsia="Palatino Linotype" w:hAnsi="Palatino Linotype" w:cs="Palatino Linotype"/>
          <w:i/>
          <w:iCs/>
        </w:rPr>
      </w:pPr>
    </w:p>
    <w:p w:rsidR="006D5D3E" w:rsidRPr="007968B8" w:rsidRDefault="00D97976">
      <w:pPr>
        <w:numPr>
          <w:ilvl w:val="0"/>
          <w:numId w:val="9"/>
        </w:numPr>
        <w:pBdr>
          <w:top w:val="nil"/>
          <w:left w:val="nil"/>
          <w:bottom w:val="nil"/>
          <w:right w:val="nil"/>
          <w:between w:val="nil"/>
        </w:pBdr>
        <w:spacing w:before="240" w:after="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 xml:space="preserve">Ahora bien, la Tesorería Municipal es el órgano encargado de la recaudación de los ingresos municipales y </w:t>
      </w:r>
      <w:r w:rsidRPr="007968B8">
        <w:rPr>
          <w:rFonts w:ascii="Palatino Linotype" w:eastAsia="Palatino Linotype" w:hAnsi="Palatino Linotype" w:cs="Palatino Linotype"/>
          <w:b/>
          <w:bCs/>
          <w:color w:val="000000"/>
        </w:rPr>
        <w:t>responsable de realizar las erogaciones</w:t>
      </w:r>
      <w:r w:rsidRPr="007968B8">
        <w:rPr>
          <w:rFonts w:ascii="Palatino Linotype" w:eastAsia="Palatino Linotype" w:hAnsi="Palatino Linotype" w:cs="Palatino Linotype"/>
          <w:color w:val="000000"/>
        </w:rPr>
        <w:t xml:space="preserve"> que haga el ayuntamiento </w:t>
      </w:r>
      <w:r w:rsidRPr="007968B8">
        <w:rPr>
          <w:rFonts w:ascii="Palatino Linotype" w:eastAsia="Palatino Linotype" w:hAnsi="Palatino Linotype" w:cs="Palatino Linotype"/>
          <w:b/>
          <w:bCs/>
          <w:color w:val="000000"/>
        </w:rPr>
        <w:t>a través de los registros contables, financieros y administrativos</w:t>
      </w:r>
      <w:r w:rsidRPr="007968B8">
        <w:rPr>
          <w:rFonts w:ascii="Palatino Linotype" w:eastAsia="Palatino Linotype" w:hAnsi="Palatino Linotype" w:cs="Palatino Linotype"/>
          <w:color w:val="000000"/>
        </w:rPr>
        <w:t xml:space="preserve"> de los ingresos, </w:t>
      </w:r>
      <w:r w:rsidRPr="007968B8">
        <w:rPr>
          <w:rFonts w:ascii="Palatino Linotype" w:eastAsia="Palatino Linotype" w:hAnsi="Palatino Linotype" w:cs="Palatino Linotype"/>
          <w:b/>
          <w:bCs/>
          <w:color w:val="000000"/>
        </w:rPr>
        <w:t>egresos</w:t>
      </w:r>
      <w:r w:rsidRPr="007968B8">
        <w:rPr>
          <w:rFonts w:ascii="Palatino Linotype" w:eastAsia="Palatino Linotype" w:hAnsi="Palatino Linotype" w:cs="Palatino Linotype"/>
          <w:color w:val="000000"/>
        </w:rPr>
        <w:t xml:space="preserve"> e inventarios; entre otras atribuciones, de conformidad con lo establecido en los artículos 93 y 95, fracciones I y IV de la Ley Orgánica Municipal del Estado de México, como se aprecia:</w:t>
      </w:r>
    </w:p>
    <w:p w:rsidR="006D5D3E" w:rsidRPr="007968B8" w:rsidRDefault="00D97976">
      <w:pPr>
        <w:spacing w:before="120" w:after="120"/>
        <w:ind w:left="851"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w:t>
      </w:r>
      <w:r w:rsidRPr="007968B8">
        <w:rPr>
          <w:rFonts w:ascii="Palatino Linotype" w:eastAsia="Palatino Linotype" w:hAnsi="Palatino Linotype" w:cs="Palatino Linotype"/>
          <w:b/>
          <w:bCs/>
          <w:i/>
          <w:iCs/>
        </w:rPr>
        <w:t>Artículo 93</w:t>
      </w:r>
      <w:r w:rsidRPr="007968B8">
        <w:rPr>
          <w:rFonts w:ascii="Palatino Linotype" w:eastAsia="Palatino Linotype" w:hAnsi="Palatino Linotype" w:cs="Palatino Linotype"/>
          <w:i/>
          <w:iCs/>
        </w:rPr>
        <w:t>.- La tesorería municipal es el órgano encargado de la recaudación de los ingresos municipales y responsable de realizar las erogaciones que haga el ayuntamiento.</w:t>
      </w:r>
    </w:p>
    <w:p w:rsidR="006D5D3E" w:rsidRPr="007968B8" w:rsidRDefault="00D97976">
      <w:pPr>
        <w:spacing w:before="120" w:after="120"/>
        <w:ind w:left="851"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w:t>
      </w:r>
    </w:p>
    <w:p w:rsidR="006D5D3E" w:rsidRPr="007968B8" w:rsidRDefault="00D97976">
      <w:pPr>
        <w:spacing w:before="120" w:after="120"/>
        <w:ind w:left="851"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lastRenderedPageBreak/>
        <w:t>Artículo 95</w:t>
      </w:r>
      <w:r w:rsidRPr="007968B8">
        <w:rPr>
          <w:rFonts w:ascii="Palatino Linotype" w:eastAsia="Palatino Linotype" w:hAnsi="Palatino Linotype" w:cs="Palatino Linotype"/>
          <w:i/>
          <w:iCs/>
        </w:rPr>
        <w:t xml:space="preserve">.- Son atribuciones del tesorero municipal: </w:t>
      </w:r>
    </w:p>
    <w:p w:rsidR="006D5D3E" w:rsidRPr="007968B8" w:rsidRDefault="00D97976">
      <w:pPr>
        <w:spacing w:before="120" w:after="120"/>
        <w:ind w:left="851"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w:t>
      </w:r>
      <w:r w:rsidRPr="007968B8">
        <w:rPr>
          <w:rFonts w:ascii="Palatino Linotype" w:eastAsia="Palatino Linotype" w:hAnsi="Palatino Linotype" w:cs="Palatino Linotype"/>
          <w:i/>
          <w:iCs/>
        </w:rPr>
        <w:t xml:space="preserve">. </w:t>
      </w:r>
      <w:r w:rsidRPr="007968B8">
        <w:rPr>
          <w:rFonts w:ascii="Palatino Linotype" w:eastAsia="Palatino Linotype" w:hAnsi="Palatino Linotype" w:cs="Palatino Linotype"/>
          <w:b/>
          <w:bCs/>
          <w:i/>
          <w:iCs/>
        </w:rPr>
        <w:t>Administrar la hacienda pública municipal</w:t>
      </w:r>
      <w:r w:rsidRPr="007968B8">
        <w:rPr>
          <w:rFonts w:ascii="Palatino Linotype" w:eastAsia="Palatino Linotype" w:hAnsi="Palatino Linotype" w:cs="Palatino Linotype"/>
          <w:i/>
          <w:iCs/>
        </w:rPr>
        <w:t>, de conformidad con las disposiciones legales aplicables;</w:t>
      </w:r>
    </w:p>
    <w:p w:rsidR="006D5D3E" w:rsidRPr="007968B8" w:rsidRDefault="00D97976">
      <w:pPr>
        <w:spacing w:before="120" w:after="120"/>
        <w:ind w:left="851"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w:t>
      </w:r>
    </w:p>
    <w:p w:rsidR="006D5D3E" w:rsidRPr="007968B8" w:rsidRDefault="00D97976">
      <w:pPr>
        <w:spacing w:before="120" w:after="120"/>
        <w:ind w:left="851"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IV.</w:t>
      </w:r>
      <w:r w:rsidRPr="007968B8">
        <w:rPr>
          <w:rFonts w:ascii="Palatino Linotype" w:eastAsia="Palatino Linotype" w:hAnsi="Palatino Linotype" w:cs="Palatino Linotype"/>
          <w:i/>
          <w:iCs/>
        </w:rPr>
        <w:t xml:space="preserve"> </w:t>
      </w:r>
      <w:r w:rsidRPr="007968B8">
        <w:rPr>
          <w:rFonts w:ascii="Palatino Linotype" w:eastAsia="Palatino Linotype" w:hAnsi="Palatino Linotype" w:cs="Palatino Linotype"/>
          <w:b/>
          <w:bCs/>
          <w:i/>
          <w:iCs/>
          <w:u w:val="single"/>
        </w:rPr>
        <w:t>Llevar los registros contables, financieros y administrativos</w:t>
      </w:r>
      <w:r w:rsidRPr="007968B8">
        <w:rPr>
          <w:rFonts w:ascii="Palatino Linotype" w:eastAsia="Palatino Linotype" w:hAnsi="Palatino Linotype" w:cs="Palatino Linotype"/>
          <w:b/>
          <w:bCs/>
          <w:i/>
          <w:iCs/>
        </w:rPr>
        <w:t xml:space="preserve"> de los ingresos, egresos</w:t>
      </w:r>
      <w:r w:rsidRPr="007968B8">
        <w:rPr>
          <w:rFonts w:ascii="Palatino Linotype" w:eastAsia="Palatino Linotype" w:hAnsi="Palatino Linotype" w:cs="Palatino Linotype"/>
          <w:i/>
          <w:iCs/>
        </w:rPr>
        <w:t>, e inventarios;…”</w:t>
      </w:r>
    </w:p>
    <w:p w:rsidR="006D5D3E" w:rsidRPr="007968B8" w:rsidRDefault="006D5D3E">
      <w:pPr>
        <w:spacing w:before="240" w:after="240" w:line="360" w:lineRule="auto"/>
        <w:jc w:val="both"/>
        <w:rPr>
          <w:rFonts w:ascii="Palatino Linotype" w:eastAsia="Palatino Linotype" w:hAnsi="Palatino Linotype" w:cs="Palatino Linotype"/>
        </w:rPr>
      </w:pPr>
    </w:p>
    <w:p w:rsidR="006D5D3E" w:rsidRPr="007968B8" w:rsidRDefault="00D97976">
      <w:pPr>
        <w:numPr>
          <w:ilvl w:val="0"/>
          <w:numId w:val="9"/>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De lo anterior se advierte que si bien la Dirección de Obras Públicas y Tesorería cuentan con competencia para conocer de la información que es del interés de la persona solicitante, sin embargo, NO se atendió el procedimiento de búsqueda, el cual se constituye como la garantía primaria del derecho humano de acceso a la información pública, mismo que se rige por los principios de simplicidad, rapidez, gratuidad del procedimiento, auxilio y orientación a los solicitantes con el fin de otorgar la protección más amplia de este derecho, al no obrar constancia en el expediente electrónico del turno a todas las áreas competentes para contar con la información materia de la solicitud, de manera enunciativa, más no limitativa, la</w:t>
      </w:r>
      <w:r w:rsidRPr="007968B8">
        <w:rPr>
          <w:rFonts w:ascii="Palatino Linotype" w:eastAsia="Palatino Linotype" w:hAnsi="Palatino Linotype" w:cs="Palatino Linotype"/>
          <w:i/>
          <w:iCs/>
          <w:color w:val="000000"/>
        </w:rPr>
        <w:t xml:space="preserve"> Contraloría Municipal</w:t>
      </w:r>
      <w:r w:rsidRPr="007968B8">
        <w:rPr>
          <w:rFonts w:ascii="Palatino Linotype" w:eastAsia="Palatino Linotype" w:hAnsi="Palatino Linotype" w:cs="Palatino Linotype"/>
          <w:color w:val="000000"/>
        </w:rPr>
        <w:t xml:space="preserve"> y </w:t>
      </w:r>
      <w:r w:rsidRPr="007968B8">
        <w:rPr>
          <w:rFonts w:ascii="Palatino Linotype" w:eastAsia="Palatino Linotype" w:hAnsi="Palatino Linotype" w:cs="Palatino Linotype"/>
          <w:i/>
          <w:iCs/>
          <w:color w:val="000000"/>
        </w:rPr>
        <w:t>Secretaría del Ayuntamiento.</w:t>
      </w:r>
      <w:r w:rsidRPr="007968B8">
        <w:rPr>
          <w:rFonts w:ascii="Palatino Linotype" w:eastAsia="Palatino Linotype" w:hAnsi="Palatino Linotype" w:cs="Palatino Linotype"/>
          <w:color w:val="000000"/>
        </w:rPr>
        <w:t xml:space="preserve"> </w:t>
      </w:r>
    </w:p>
    <w:p w:rsidR="006D5D3E" w:rsidRPr="007968B8" w:rsidRDefault="006D5D3E">
      <w:pPr>
        <w:spacing w:before="120" w:after="120"/>
        <w:ind w:left="851" w:right="1134"/>
        <w:jc w:val="both"/>
        <w:rPr>
          <w:rFonts w:ascii="Palatino Linotype" w:eastAsia="Palatino Linotype" w:hAnsi="Palatino Linotype" w:cs="Palatino Linotype"/>
          <w:i/>
          <w:iCs/>
        </w:rPr>
      </w:pPr>
    </w:p>
    <w:p w:rsidR="006D5D3E" w:rsidRPr="007968B8" w:rsidRDefault="00D97976">
      <w:pPr>
        <w:numPr>
          <w:ilvl w:val="0"/>
          <w:numId w:val="9"/>
        </w:numPr>
        <w:pBdr>
          <w:top w:val="nil"/>
          <w:left w:val="nil"/>
          <w:bottom w:val="nil"/>
          <w:right w:val="nil"/>
          <w:between w:val="nil"/>
        </w:pBdr>
        <w:spacing w:before="240" w:after="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 xml:space="preserve">Al  respecto de la Contraloría Municipal, el artículo 110 de la Ley Orgánica del Estado de México, dispone que es el órgano interno de control encargado de promover, evaluar y fortalecer el buen funcionamiento del control interno, competente para aplicar las leyes en materia de responsabilidades de los servidores públicos, cuyas atribuciones se encuentran </w:t>
      </w:r>
      <w:r w:rsidRPr="007968B8">
        <w:rPr>
          <w:rFonts w:ascii="Palatino Linotype" w:eastAsia="Palatino Linotype" w:hAnsi="Palatino Linotype" w:cs="Palatino Linotype"/>
          <w:color w:val="000000"/>
        </w:rPr>
        <w:lastRenderedPageBreak/>
        <w:t>enmarcadas en el artículo 112 de la referida Ley, siendo de interés para el tema que nos ocupa, las siguientes:</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“Artículo 112</w:t>
      </w:r>
      <w:r w:rsidRPr="007968B8">
        <w:rPr>
          <w:rFonts w:ascii="Palatino Linotype" w:eastAsia="Palatino Linotype" w:hAnsi="Palatino Linotype" w:cs="Palatino Linotype"/>
          <w:i/>
          <w:iCs/>
        </w:rPr>
        <w:t>. El órgano interno de control municipal tendrá a su cargo las funciones siguientes:</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w:t>
      </w:r>
      <w:r w:rsidRPr="007968B8">
        <w:rPr>
          <w:rFonts w:ascii="Palatino Linotype" w:eastAsia="Palatino Linotype" w:hAnsi="Palatino Linotype" w:cs="Palatino Linotype"/>
          <w:i/>
          <w:iCs/>
        </w:rPr>
        <w:t xml:space="preserve"> Planear, programar, organizar y coordinar el sistema de control y evaluación municipal;</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II</w:t>
      </w:r>
      <w:r w:rsidRPr="007968B8">
        <w:rPr>
          <w:rFonts w:ascii="Palatino Linotype" w:eastAsia="Palatino Linotype" w:hAnsi="Palatino Linotype" w:cs="Palatino Linotype"/>
          <w:i/>
          <w:iCs/>
        </w:rPr>
        <w:t>. Fiscalizar el ingreso y ejercicio del gasto público municipal y su congruencia con el presupuesto de egresos;</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w:t>
      </w:r>
      <w:r w:rsidRPr="007968B8">
        <w:rPr>
          <w:rFonts w:ascii="Palatino Linotype" w:eastAsia="Palatino Linotype" w:hAnsi="Palatino Linotype" w:cs="Palatino Linotype"/>
          <w:i/>
          <w:iCs/>
        </w:rPr>
        <w:t xml:space="preserve"> Establecer las bases generales para la realización de auditorías e inspecciones;</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X.</w:t>
      </w:r>
      <w:r w:rsidRPr="007968B8">
        <w:rPr>
          <w:rFonts w:ascii="Palatino Linotype" w:eastAsia="Palatino Linotype" w:hAnsi="Palatino Linotype" w:cs="Palatino Linotype"/>
          <w:i/>
          <w:iCs/>
        </w:rPr>
        <w:t xml:space="preserve"> Establecer y operar un sistema de atención de quejas, denuncias y sugerencias;</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XI.</w:t>
      </w:r>
      <w:r w:rsidRPr="007968B8">
        <w:rPr>
          <w:rFonts w:ascii="Palatino Linotype" w:eastAsia="Palatino Linotype" w:hAnsi="Palatino Linotype" w:cs="Palatino Linotype"/>
          <w:i/>
          <w:iCs/>
        </w:rPr>
        <w:t xml:space="preserve"> Realizar auditorías y evaluaciones e informar del resultado de las mismas al ayuntamiento;</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w:t>
      </w:r>
      <w:r w:rsidRPr="007968B8">
        <w:rPr>
          <w:rFonts w:ascii="Palatino Linotype" w:eastAsia="Palatino Linotype" w:hAnsi="Palatino Linotype" w:cs="Palatino Linotype"/>
          <w:b/>
          <w:bCs/>
          <w:i/>
          <w:iCs/>
        </w:rPr>
        <w:t>”</w:t>
      </w:r>
    </w:p>
    <w:p w:rsidR="006D5D3E" w:rsidRPr="007968B8" w:rsidRDefault="00D97976">
      <w:pPr>
        <w:numPr>
          <w:ilvl w:val="0"/>
          <w:numId w:val="9"/>
        </w:numPr>
        <w:pBdr>
          <w:top w:val="nil"/>
          <w:left w:val="nil"/>
          <w:bottom w:val="nil"/>
          <w:right w:val="nil"/>
          <w:between w:val="nil"/>
        </w:pBdr>
        <w:spacing w:before="240" w:after="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Además, de conformidad con el Manual General de Organización del Ayuntamiento , el Órgano Interno de Control se auxilia entre otras áreas del Departamento de Auditoría de Obra, cuyo objetivo, Realizar auditorías y supervisiones a las obras que se realicen con recursos municipales, verificando el cabal cumplimiento a la normatividad que regula la obra pública en sus fases de planeación, estudios y proyectos, adjudicación, ejecución, operación, entrega, finiquito y en todas aquellas que sean de su competencia informando al titular del Órgano de Control Interno los resultados obtenidos., para lo cual se le confieren las siguientes atribuciones:</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lastRenderedPageBreak/>
        <w:t>- Elaborar y proponer al titular del Órgano de Control Interno, el Programa Anual de Auditoría de obras;</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Intervenir en las etapas de adjudicación de la obra pública que realice en H. Ayuntamiento;</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Inspeccionar el cumplimiento de los programas de construcción, conservación, mantenimiento y administración de la obra pública;</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 Supervisar los avances físico – financiero de la obra en relación con los programas realizados;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Conocer y dar seguimiento a las causas que motivaron la modificación, suspensión o rescisión de contratos de obra pública;</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Revisar y evaluar la ejecución de las obras, así como los aspectos de catálogo de conceptos, precios unitarios y estimaciones entre otros;</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Atender las inconformidades y realizar las investigaciones que en materia de contratación y ejecución  de obras se le hagan llegar;</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Participar en la entrega-recepción de las obras;</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Vigilar el cumplimiento de las obligaciones de proveedores y contratistas de obras, adquiridas con el ayuntamiento, cuantificando y sancionando las responsabilidades que en su caso se determinen;</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Recopilar la información necesaria para aplicar los procedimientos administrativos, disciplinarios y resarcitorios necesarios, motivados por resultados de auditorías y supervisiones de obras;</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Integrar y asesorar a los Comités de Control y Vigilancia.</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Informar al titular del Órgano de Control Interno sobre los resultados obtenidos en las revisiones practicadas y sobre las responsabilidades detectadas.</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Desarrollar las demás funciones inherentes a su competencia.</w:t>
      </w:r>
    </w:p>
    <w:p w:rsidR="006D5D3E" w:rsidRPr="007968B8" w:rsidRDefault="00D97976">
      <w:pPr>
        <w:numPr>
          <w:ilvl w:val="0"/>
          <w:numId w:val="9"/>
        </w:numPr>
        <w:pBdr>
          <w:top w:val="nil"/>
          <w:left w:val="nil"/>
          <w:bottom w:val="nil"/>
          <w:right w:val="nil"/>
          <w:between w:val="nil"/>
        </w:pBdr>
        <w:spacing w:before="240" w:after="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lastRenderedPageBreak/>
        <w:t>Por cuanto hace a la Secretaría del Ayuntamiento, la Ley Orgánica Municipal señala para este ente jurídico las siguientes atribuciones:</w:t>
      </w:r>
    </w:p>
    <w:p w:rsidR="006D5D3E" w:rsidRPr="007968B8" w:rsidRDefault="00D97976">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rsidR="006D5D3E" w:rsidRPr="007968B8" w:rsidRDefault="00D97976">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I. Asistir a las sesiones del ayuntamiento y levantar las actas correspondientes; </w:t>
      </w:r>
    </w:p>
    <w:p w:rsidR="006D5D3E" w:rsidRPr="007968B8" w:rsidRDefault="00D97976">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II. Emitir los citatorios para la celebración de las sesiones de cabildo, convocadas legalmente; </w:t>
      </w:r>
    </w:p>
    <w:p w:rsidR="006D5D3E" w:rsidRPr="007968B8" w:rsidRDefault="00D97976">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III. Dar cuenta en la primera sesión de cada mes, del número y contenido de los expedientes pasados a comisión, con mención de los que hayan sido resueltos y de los pendientes; </w:t>
      </w:r>
    </w:p>
    <w:p w:rsidR="006D5D3E" w:rsidRPr="007968B8" w:rsidRDefault="00D97976">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IV. Llevar y conservar los libros de actas de cabildo, obteniendo las firmas de los asistentes a las sesiones; </w:t>
      </w:r>
    </w:p>
    <w:p w:rsidR="006D5D3E" w:rsidRPr="007968B8" w:rsidRDefault="00D97976">
      <w:pPr>
        <w:pBdr>
          <w:top w:val="nil"/>
          <w:left w:val="nil"/>
          <w:bottom w:val="nil"/>
          <w:right w:val="nil"/>
          <w:between w:val="nil"/>
        </w:pBdr>
        <w:spacing w:before="240" w:after="240"/>
        <w:ind w:left="1134" w:right="1134"/>
        <w:jc w:val="both"/>
        <w:rPr>
          <w:rFonts w:ascii="Palatino Linotype" w:eastAsia="Palatino Linotype" w:hAnsi="Palatino Linotype" w:cs="Palatino Linotype"/>
          <w:b/>
          <w:bCs/>
          <w:i/>
          <w:iCs/>
        </w:rPr>
      </w:pPr>
      <w:r w:rsidRPr="007968B8">
        <w:rPr>
          <w:rFonts w:ascii="Palatino Linotype" w:eastAsia="Palatino Linotype" w:hAnsi="Palatino Linotype" w:cs="Palatino Linotype"/>
          <w:b/>
          <w:bCs/>
          <w:i/>
          <w:iCs/>
        </w:rPr>
        <w:t xml:space="preserve">V. Validar con su firma, los documentos oficiales emanados del ayuntamiento o de cualquiera de sus miembros; </w:t>
      </w:r>
    </w:p>
    <w:p w:rsidR="006D5D3E" w:rsidRPr="007968B8" w:rsidRDefault="00D97976">
      <w:pPr>
        <w:pBdr>
          <w:top w:val="nil"/>
          <w:left w:val="nil"/>
          <w:bottom w:val="nil"/>
          <w:right w:val="nil"/>
          <w:between w:val="nil"/>
        </w:pBdr>
        <w:spacing w:before="240" w:after="240"/>
        <w:ind w:left="1134" w:right="1134"/>
        <w:jc w:val="both"/>
        <w:rPr>
          <w:rFonts w:ascii="Palatino Linotype" w:eastAsia="Palatino Linotype" w:hAnsi="Palatino Linotype" w:cs="Palatino Linotype"/>
          <w:b/>
          <w:bCs/>
          <w:i/>
          <w:iCs/>
        </w:rPr>
      </w:pPr>
      <w:r w:rsidRPr="007968B8">
        <w:rPr>
          <w:rFonts w:ascii="Palatino Linotype" w:eastAsia="Palatino Linotype" w:hAnsi="Palatino Linotype" w:cs="Palatino Linotype"/>
          <w:b/>
          <w:bCs/>
          <w:i/>
          <w:iCs/>
        </w:rPr>
        <w:t xml:space="preserve">VI. Tener a su cargo el archivo general del ayuntamiento; </w:t>
      </w:r>
    </w:p>
    <w:p w:rsidR="006D5D3E" w:rsidRPr="007968B8" w:rsidRDefault="00D97976">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VII. Controlar y distribuir la correspondencia oficial del ayuntamiento, dando cuenta diaria al presidente municipal para acordar su trámite; </w:t>
      </w:r>
    </w:p>
    <w:p w:rsidR="006D5D3E" w:rsidRPr="007968B8" w:rsidRDefault="00D97976">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VIII. Publicar los reglamentos, circulares y demás disposiciones municipales de observancia general; </w:t>
      </w:r>
    </w:p>
    <w:p w:rsidR="006D5D3E" w:rsidRPr="007968B8" w:rsidRDefault="00D97976">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lastRenderedPageBreak/>
        <w:t xml:space="preserve">IX. Compilar leyes, decretos, reglamentos, periódicos oficiales del estado, circulares y órdenes relativas a los distintos sectores de la administración pública municipal; </w:t>
      </w:r>
    </w:p>
    <w:p w:rsidR="006D5D3E" w:rsidRPr="007968B8" w:rsidRDefault="00D97976">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rsidR="006D5D3E" w:rsidRPr="007968B8" w:rsidRDefault="00D97976">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XI. Elaborar con la intervención del síndico el inventario general de los bienes muebles e inmuebles municipales, así como la integración del sistema de información inmobiliaria, que contemple los bienes del dominio público y privado, en un término que no exceda de un año contado a partir de la instalación del ayuntamiento y presentarlo al cabildo para su conocimiento y opinión. 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rsidR="006D5D3E" w:rsidRPr="007968B8" w:rsidRDefault="00D97976">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XII. Integrar un sistema de información que contenga datos de los aspectos socio-económicos básicos del municipio; </w:t>
      </w:r>
    </w:p>
    <w:p w:rsidR="006D5D3E" w:rsidRPr="007968B8" w:rsidRDefault="00D97976">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XIII. Ser responsable de la publicación de la Gaceta Municipal, así como de las publicaciones en los estrados de los Ayuntamientos; y </w:t>
      </w:r>
    </w:p>
    <w:p w:rsidR="006D5D3E" w:rsidRPr="007968B8" w:rsidRDefault="00D97976">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XIV. Las demás que le confieran esta Ley y disposiciones aplicables.</w:t>
      </w:r>
    </w:p>
    <w:p w:rsidR="006D5D3E" w:rsidRPr="007968B8" w:rsidRDefault="006D5D3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rsidR="006D5D3E" w:rsidRPr="007968B8" w:rsidRDefault="00D97976">
      <w:pPr>
        <w:numPr>
          <w:ilvl w:val="0"/>
          <w:numId w:val="9"/>
        </w:numPr>
        <w:pBdr>
          <w:top w:val="nil"/>
          <w:left w:val="nil"/>
          <w:bottom w:val="nil"/>
          <w:right w:val="nil"/>
          <w:between w:val="nil"/>
        </w:pBdr>
        <w:spacing w:before="240" w:after="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 xml:space="preserve">De los lineamientos citados es  que no puede tenerse por satisfecho el Derecho de acceso de la persona solicitante toda vez que la respuesta proporcionada por el titular de la Dirección de Obras Públicas y Tesorero ya que no brindan certeza sobre la existencia o inexistencia de la </w:t>
      </w:r>
      <w:r w:rsidRPr="007968B8">
        <w:rPr>
          <w:rFonts w:ascii="Palatino Linotype" w:eastAsia="Palatino Linotype" w:hAnsi="Palatino Linotype" w:cs="Palatino Linotype"/>
          <w:color w:val="000000"/>
        </w:rPr>
        <w:lastRenderedPageBreak/>
        <w:t xml:space="preserve">información requerida por la persona solicitante; así mismo al no haberse observado el procedimiento de búsqueda al no advertirse pronunciamiento por parte de todas las áreas competentes para conocer de la información que es del interés de la persona solicitante se estima que para efectos de garantizar el Derecho de acceso de la parte </w:t>
      </w:r>
      <w:r w:rsidRPr="007968B8">
        <w:rPr>
          <w:rFonts w:ascii="Palatino Linotype" w:eastAsia="Palatino Linotype" w:hAnsi="Palatino Linotype" w:cs="Palatino Linotype"/>
          <w:b/>
          <w:bCs/>
          <w:color w:val="000000"/>
        </w:rPr>
        <w:t xml:space="preserve">Recurrente, </w:t>
      </w:r>
      <w:r w:rsidRPr="007968B8">
        <w:rPr>
          <w:rFonts w:ascii="Palatino Linotype" w:eastAsia="Palatino Linotype" w:hAnsi="Palatino Linotype" w:cs="Palatino Linotype"/>
          <w:color w:val="000000"/>
        </w:rPr>
        <w:t xml:space="preserve">el </w:t>
      </w:r>
      <w:r w:rsidRPr="007968B8">
        <w:rPr>
          <w:rFonts w:ascii="Palatino Linotype" w:eastAsia="Palatino Linotype" w:hAnsi="Palatino Linotype" w:cs="Palatino Linotype"/>
          <w:b/>
          <w:bCs/>
          <w:color w:val="000000"/>
        </w:rPr>
        <w:t xml:space="preserve">Sujeto Obligado </w:t>
      </w:r>
      <w:r w:rsidRPr="007968B8">
        <w:rPr>
          <w:rFonts w:ascii="Palatino Linotype" w:eastAsia="Palatino Linotype" w:hAnsi="Palatino Linotype" w:cs="Palatino Linotype"/>
          <w:color w:val="000000"/>
        </w:rPr>
        <w:t>deberá, previa búsqueda exhaustiva y razonable, hacer entrega de la información que atienda lo solicitado, en versión pública de ser procedente.</w:t>
      </w:r>
    </w:p>
    <w:p w:rsidR="006D5D3E" w:rsidRPr="007968B8" w:rsidRDefault="00D97976">
      <w:pPr>
        <w:numPr>
          <w:ilvl w:val="0"/>
          <w:numId w:val="9"/>
        </w:numPr>
        <w:pBdr>
          <w:top w:val="nil"/>
          <w:left w:val="nil"/>
          <w:bottom w:val="nil"/>
          <w:right w:val="nil"/>
          <w:between w:val="nil"/>
        </w:pBdr>
        <w:spacing w:before="240" w:after="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 xml:space="preserve">Ahora bien, toda vez que ha quedado acreditado que el </w:t>
      </w:r>
      <w:r w:rsidRPr="007968B8">
        <w:rPr>
          <w:rFonts w:ascii="Palatino Linotype" w:eastAsia="Palatino Linotype" w:hAnsi="Palatino Linotype" w:cs="Palatino Linotype"/>
          <w:b/>
          <w:bCs/>
          <w:color w:val="000000"/>
        </w:rPr>
        <w:t xml:space="preserve">Sujeto Obligado </w:t>
      </w:r>
      <w:r w:rsidRPr="007968B8">
        <w:rPr>
          <w:rFonts w:ascii="Palatino Linotype" w:eastAsia="Palatino Linotype" w:hAnsi="Palatino Linotype" w:cs="Palatino Linotype"/>
          <w:color w:val="000000"/>
        </w:rPr>
        <w:t>tiene la facultad para celebrar contratos de obra pública, mismos que se elaboran en función del Programa Anual de Obra, documento que forma parte del Presupuesto de Egresos Municipal,  cuya versión definitiva se promulga y publica en la "Gaceta Municipal”, por el Presidente Municipal,  a más tardar el día veinticinco de febrero de cada año, de conformidad con los artículos 125, párrafo cuarto de la Constitución Política de Nuestro  Estado, 351, párrafo segundo del Código Financiero del Estado de México, y 47 de la Ley de Fiscalización Superior del Estado de México:</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w:t>
      </w:r>
      <w:r w:rsidRPr="007968B8">
        <w:rPr>
          <w:rFonts w:ascii="Palatino Linotype" w:eastAsia="Palatino Linotype" w:hAnsi="Palatino Linotype" w:cs="Palatino Linotype"/>
          <w:b/>
          <w:bCs/>
          <w:i/>
          <w:iCs/>
        </w:rPr>
        <w:t>Artículo 125</w:t>
      </w:r>
      <w:r w:rsidRPr="007968B8">
        <w:rPr>
          <w:rFonts w:ascii="Palatino Linotype" w:eastAsia="Palatino Linotype" w:hAnsi="Palatino Linotype" w:cs="Palatino Linotype"/>
          <w:i/>
          <w:iCs/>
        </w:rPr>
        <w:t>...</w:t>
      </w:r>
    </w:p>
    <w:p w:rsidR="006D5D3E" w:rsidRPr="007968B8" w:rsidRDefault="00D97976">
      <w:pPr>
        <w:spacing w:before="120" w:after="120"/>
        <w:ind w:left="1134" w:right="1134"/>
        <w:jc w:val="both"/>
        <w:rPr>
          <w:rFonts w:ascii="Palatino Linotype" w:eastAsia="Palatino Linotype" w:hAnsi="Palatino Linotype" w:cs="Palatino Linotype"/>
          <w:b/>
          <w:bCs/>
          <w:i/>
          <w:iCs/>
        </w:rPr>
      </w:pPr>
      <w:r w:rsidRPr="007968B8">
        <w:rPr>
          <w:rFonts w:ascii="Palatino Linotype" w:eastAsia="Palatino Linotype" w:hAnsi="Palatino Linotype" w:cs="Palatino Linotype"/>
          <w:i/>
          <w:iCs/>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7968B8">
        <w:rPr>
          <w:rFonts w:ascii="Palatino Linotype" w:eastAsia="Palatino Linotype" w:hAnsi="Palatino Linotype" w:cs="Palatino Linotype"/>
          <w:b/>
          <w:bCs/>
          <w:i/>
          <w:iCs/>
        </w:rPr>
        <w:t>La Presidenta o el Presidente Municipal, promulgará y publicará el Presupuesto de Egresos Municipal, a más tardar el día 25 de febrero de cada año debiendo enviarlo al Órgano Superior de Fiscalización en la misma fecha.”</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“Artículo 351</w:t>
      </w:r>
      <w:r w:rsidRPr="007968B8">
        <w:rPr>
          <w:rFonts w:ascii="Palatino Linotype" w:eastAsia="Palatino Linotype" w:hAnsi="Palatino Linotype" w:cs="Palatino Linotype"/>
          <w:i/>
          <w:iCs/>
        </w:rPr>
        <w:t>...</w:t>
      </w:r>
    </w:p>
    <w:p w:rsidR="006D5D3E" w:rsidRPr="007968B8" w:rsidRDefault="00D97976">
      <w:pPr>
        <w:spacing w:before="120" w:after="120"/>
        <w:ind w:left="1134" w:right="1134"/>
        <w:jc w:val="both"/>
        <w:rPr>
          <w:rFonts w:ascii="Palatino Linotype" w:eastAsia="Palatino Linotype" w:hAnsi="Palatino Linotype" w:cs="Palatino Linotype"/>
          <w:b/>
          <w:bCs/>
          <w:i/>
          <w:iCs/>
        </w:rPr>
      </w:pPr>
      <w:r w:rsidRPr="007968B8">
        <w:rPr>
          <w:rFonts w:ascii="Palatino Linotype" w:eastAsia="Palatino Linotype" w:hAnsi="Palatino Linotype" w:cs="Palatino Linotype"/>
          <w:b/>
          <w:bCs/>
          <w:i/>
          <w:iCs/>
        </w:rPr>
        <w:lastRenderedPageBreak/>
        <w:t>Los Ayuntamientos al aprobar en forma definitiva su presupuesto de egresos, deberán publicar en la "Gaceta Municipal</w:t>
      </w:r>
      <w:r w:rsidRPr="007968B8">
        <w:rPr>
          <w:rFonts w:ascii="Palatino Linotype" w:eastAsia="Palatino Linotype" w:hAnsi="Palatino Linotype" w:cs="Palatino Linotype"/>
          <w:i/>
          <w:iCs/>
        </w:rPr>
        <w:t xml:space="preserve">" de manera clara y entendible, todas y cada una de las partidas que lo integran, las remuneraciones de todo tipo aprobadas para los miembros del ayuntamiento y para los servidores públicos en general, incluyendo mandos medios y superiores de la administración municipal, </w:t>
      </w:r>
      <w:r w:rsidRPr="007968B8">
        <w:rPr>
          <w:rFonts w:ascii="Palatino Linotype" w:eastAsia="Palatino Linotype" w:hAnsi="Palatino Linotype" w:cs="Palatino Linotype"/>
          <w:b/>
          <w:bCs/>
          <w:i/>
          <w:iCs/>
        </w:rPr>
        <w:t>a más tardar el 25 de febrero del año para el cual habrá de aplicar dicho presupuesto.”</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“Artículo 47</w:t>
      </w:r>
      <w:r w:rsidRPr="007968B8">
        <w:rPr>
          <w:rFonts w:ascii="Palatino Linotype" w:eastAsia="Palatino Linotype" w:hAnsi="Palatino Linotype" w:cs="Palatino Linotype"/>
          <w:i/>
          <w:iCs/>
        </w:rPr>
        <w:t xml:space="preserve">.- Los Presidentes Municipales y los Síndicos estarán obligados a </w:t>
      </w:r>
      <w:r w:rsidRPr="007968B8">
        <w:rPr>
          <w:rFonts w:ascii="Palatino Linotype" w:eastAsia="Palatino Linotype" w:hAnsi="Palatino Linotype" w:cs="Palatino Linotype"/>
          <w:b/>
          <w:bCs/>
          <w:i/>
          <w:iCs/>
        </w:rPr>
        <w:t xml:space="preserve">informar al Órgano Superior, a más tardar el 25 de febrero de cada año, el Presupuesto de Egresos Municipal que haya aprobado el Ayuntamiento </w:t>
      </w:r>
      <w:r w:rsidRPr="007968B8">
        <w:rPr>
          <w:rFonts w:ascii="Palatino Linotype" w:eastAsia="Palatino Linotype" w:hAnsi="Palatino Linotype" w:cs="Palatino Linotype"/>
          <w:i/>
          <w:iCs/>
        </w:rPr>
        <w:t>correspondiente.”</w:t>
      </w:r>
    </w:p>
    <w:p w:rsidR="006D5D3E" w:rsidRPr="007968B8" w:rsidRDefault="006D5D3E">
      <w:pPr>
        <w:spacing w:before="120" w:after="120"/>
        <w:ind w:left="1134" w:right="1134"/>
        <w:jc w:val="both"/>
        <w:rPr>
          <w:rFonts w:ascii="Palatino Linotype" w:eastAsia="Palatino Linotype" w:hAnsi="Palatino Linotype" w:cs="Palatino Linotype"/>
          <w:b/>
          <w:bCs/>
          <w:i/>
          <w:iCs/>
        </w:rPr>
      </w:pPr>
    </w:p>
    <w:p w:rsidR="006D5D3E" w:rsidRPr="007968B8" w:rsidRDefault="00D97976">
      <w:pPr>
        <w:numPr>
          <w:ilvl w:val="0"/>
          <w:numId w:val="9"/>
        </w:numPr>
        <w:pBdr>
          <w:top w:val="nil"/>
          <w:left w:val="nil"/>
          <w:bottom w:val="nil"/>
          <w:right w:val="nil"/>
          <w:between w:val="nil"/>
        </w:pBdr>
        <w:spacing w:before="240" w:after="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 xml:space="preserve">Entre los formatos que integran el Presupuesto de Egresos aprobado, de conformidad con el numeral 3.4.1 del Manual para la Planeación, Programación y Presupuesto de Egresos Municipal, se encuentra el </w:t>
      </w:r>
      <w:r w:rsidRPr="007968B8">
        <w:rPr>
          <w:rFonts w:ascii="Palatino Linotype" w:eastAsia="Palatino Linotype" w:hAnsi="Palatino Linotype" w:cs="Palatino Linotype"/>
          <w:b/>
          <w:bCs/>
          <w:color w:val="000000"/>
        </w:rPr>
        <w:t xml:space="preserve">PbRM-07a Programa Anual de Obra </w:t>
      </w:r>
      <w:r w:rsidRPr="007968B8">
        <w:rPr>
          <w:rFonts w:ascii="Palatino Linotype" w:eastAsia="Palatino Linotype" w:hAnsi="Palatino Linotype" w:cs="Palatino Linotype"/>
          <w:color w:val="000000"/>
        </w:rPr>
        <w:t xml:space="preserve">y el </w:t>
      </w:r>
      <w:r w:rsidRPr="007968B8">
        <w:rPr>
          <w:rFonts w:ascii="Palatino Linotype" w:eastAsia="Palatino Linotype" w:hAnsi="Palatino Linotype" w:cs="Palatino Linotype"/>
          <w:b/>
          <w:bCs/>
          <w:color w:val="000000"/>
        </w:rPr>
        <w:t>PbRM 07b Programa anual de obra (reparaciones y mantenimientos),</w:t>
      </w:r>
      <w:r w:rsidRPr="007968B8">
        <w:rPr>
          <w:rFonts w:ascii="Palatino Linotype" w:eastAsia="Palatino Linotype" w:hAnsi="Palatino Linotype" w:cs="Palatino Linotype"/>
          <w:color w:val="000000"/>
        </w:rPr>
        <w:t xml:space="preserve"> los cuales especifican de manera precisa el período de ejecución y presupuesto ejercido de la obra pública de que se trate; así como la fuente de financiamiento con la que ésta se llevará a cabo, como se desprende de los formatos y los instructivo de llenado respectivos:</w:t>
      </w:r>
    </w:p>
    <w:p w:rsidR="006D5D3E" w:rsidRPr="007968B8" w:rsidRDefault="00D97976">
      <w:pPr>
        <w:spacing w:before="240" w:after="240" w:line="360" w:lineRule="auto"/>
        <w:jc w:val="center"/>
        <w:rPr>
          <w:rFonts w:ascii="Palatino Linotype" w:eastAsia="Palatino Linotype" w:hAnsi="Palatino Linotype" w:cs="Palatino Linotype"/>
        </w:rPr>
      </w:pPr>
      <w:r w:rsidRPr="007968B8">
        <w:rPr>
          <w:rFonts w:ascii="Palatino Linotype" w:eastAsia="Palatino Linotype" w:hAnsi="Palatino Linotype" w:cs="Palatino Linotype"/>
          <w:noProof/>
        </w:rPr>
        <w:lastRenderedPageBreak/>
        <w:drawing>
          <wp:inline distT="0" distB="0" distL="0" distR="0">
            <wp:extent cx="5476821" cy="3160419"/>
            <wp:effectExtent l="0" t="0" r="0" b="0"/>
            <wp:docPr id="4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476821" cy="3160419"/>
                    </a:xfrm>
                    <a:prstGeom prst="rect">
                      <a:avLst/>
                    </a:prstGeom>
                    <a:ln/>
                  </pic:spPr>
                </pic:pic>
              </a:graphicData>
            </a:graphic>
          </wp:inline>
        </w:drawing>
      </w:r>
    </w:p>
    <w:p w:rsidR="006D5D3E" w:rsidRPr="007968B8" w:rsidRDefault="00D97976">
      <w:pPr>
        <w:spacing w:before="240" w:after="240" w:line="360" w:lineRule="auto"/>
        <w:jc w:val="center"/>
        <w:rPr>
          <w:rFonts w:ascii="Palatino Linotype" w:eastAsia="Palatino Linotype" w:hAnsi="Palatino Linotype" w:cs="Palatino Linotype"/>
        </w:rPr>
      </w:pPr>
      <w:r w:rsidRPr="007968B8">
        <w:rPr>
          <w:rFonts w:ascii="Palatino Linotype" w:eastAsia="Palatino Linotype" w:hAnsi="Palatino Linotype" w:cs="Palatino Linotype"/>
          <w:noProof/>
        </w:rPr>
        <w:drawing>
          <wp:inline distT="0" distB="0" distL="0" distR="0">
            <wp:extent cx="4663331" cy="3323110"/>
            <wp:effectExtent l="0" t="0" r="0" b="0"/>
            <wp:docPr id="4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663331" cy="3323110"/>
                    </a:xfrm>
                    <a:prstGeom prst="rect">
                      <a:avLst/>
                    </a:prstGeom>
                    <a:ln/>
                  </pic:spPr>
                </pic:pic>
              </a:graphicData>
            </a:graphic>
          </wp:inline>
        </w:drawing>
      </w:r>
    </w:p>
    <w:p w:rsidR="006D5D3E" w:rsidRPr="007968B8" w:rsidRDefault="00D97976">
      <w:pPr>
        <w:spacing w:before="240" w:after="240" w:line="360" w:lineRule="auto"/>
        <w:jc w:val="center"/>
        <w:rPr>
          <w:rFonts w:ascii="Palatino Linotype" w:eastAsia="Palatino Linotype" w:hAnsi="Palatino Linotype" w:cs="Palatino Linotype"/>
        </w:rPr>
      </w:pPr>
      <w:r w:rsidRPr="007968B8">
        <w:rPr>
          <w:rFonts w:ascii="Palatino Linotype" w:eastAsia="Palatino Linotype" w:hAnsi="Palatino Linotype" w:cs="Palatino Linotype"/>
          <w:noProof/>
        </w:rPr>
        <w:lastRenderedPageBreak/>
        <w:drawing>
          <wp:inline distT="0" distB="0" distL="0" distR="0">
            <wp:extent cx="4389158" cy="3299567"/>
            <wp:effectExtent l="0" t="0" r="0" b="0"/>
            <wp:docPr id="4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4389158" cy="3299567"/>
                    </a:xfrm>
                    <a:prstGeom prst="rect">
                      <a:avLst/>
                    </a:prstGeom>
                    <a:ln/>
                  </pic:spPr>
                </pic:pic>
              </a:graphicData>
            </a:graphic>
          </wp:inline>
        </w:drawing>
      </w:r>
    </w:p>
    <w:p w:rsidR="006D5D3E" w:rsidRPr="007968B8" w:rsidRDefault="00D97976">
      <w:pPr>
        <w:spacing w:before="240" w:after="240" w:line="360" w:lineRule="auto"/>
        <w:jc w:val="center"/>
        <w:rPr>
          <w:rFonts w:ascii="Palatino Linotype" w:eastAsia="Palatino Linotype" w:hAnsi="Palatino Linotype" w:cs="Palatino Linotype"/>
        </w:rPr>
      </w:pPr>
      <w:r w:rsidRPr="007968B8">
        <w:rPr>
          <w:rFonts w:ascii="Palatino Linotype" w:eastAsia="Palatino Linotype" w:hAnsi="Palatino Linotype" w:cs="Palatino Linotype"/>
          <w:noProof/>
        </w:rPr>
        <w:drawing>
          <wp:inline distT="0" distB="0" distL="0" distR="0">
            <wp:extent cx="5472353" cy="3114497"/>
            <wp:effectExtent l="0" t="0" r="0" b="0"/>
            <wp:docPr id="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5472353" cy="3114497"/>
                    </a:xfrm>
                    <a:prstGeom prst="rect">
                      <a:avLst/>
                    </a:prstGeom>
                    <a:ln/>
                  </pic:spPr>
                </pic:pic>
              </a:graphicData>
            </a:graphic>
          </wp:inline>
        </w:drawing>
      </w:r>
    </w:p>
    <w:p w:rsidR="006D5D3E" w:rsidRPr="007968B8" w:rsidRDefault="006D5D3E">
      <w:pPr>
        <w:spacing w:before="240" w:after="240"/>
        <w:jc w:val="center"/>
        <w:rPr>
          <w:rFonts w:ascii="Palatino Linotype" w:eastAsia="Palatino Linotype" w:hAnsi="Palatino Linotype" w:cs="Palatino Linotype"/>
        </w:rPr>
      </w:pPr>
    </w:p>
    <w:p w:rsidR="006D5D3E" w:rsidRPr="007968B8" w:rsidRDefault="00D97976">
      <w:pPr>
        <w:numPr>
          <w:ilvl w:val="0"/>
          <w:numId w:val="9"/>
        </w:numPr>
        <w:pBdr>
          <w:top w:val="nil"/>
          <w:left w:val="nil"/>
          <w:bottom w:val="nil"/>
          <w:right w:val="nil"/>
          <w:between w:val="nil"/>
        </w:pBdr>
        <w:spacing w:before="240" w:after="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lastRenderedPageBreak/>
        <w:t xml:space="preserve">De igual forma, el </w:t>
      </w:r>
      <w:r w:rsidRPr="007968B8">
        <w:rPr>
          <w:rFonts w:ascii="Palatino Linotype" w:eastAsia="Palatino Linotype" w:hAnsi="Palatino Linotype" w:cs="Palatino Linotype"/>
          <w:b/>
          <w:bCs/>
          <w:color w:val="000000"/>
        </w:rPr>
        <w:t xml:space="preserve">Sujeto Obligado </w:t>
      </w:r>
      <w:r w:rsidRPr="007968B8">
        <w:rPr>
          <w:rFonts w:ascii="Palatino Linotype" w:eastAsia="Palatino Linotype" w:hAnsi="Palatino Linotype" w:cs="Palatino Linotype"/>
          <w:color w:val="000000"/>
        </w:rPr>
        <w:t>se encuentra obligado a entregar al Órgano Superior de Fiscalización del Estado de México, como parte de los informes trimestrales, el Avance del Programa Anual de Obras, como se desprende de los Lineamientos para la integración y presentación de los Informes Trimestrales Estatales y Municipales del Ejercicio Fiscal 2025, los cuales establecen el formato mediante el cual debe presentarse la información que integra dichos informes y los instructivos de llenado correspondientes; de conformidad con los Lineamientos del ejercicio 2025, la información que generan los entes fiscalizables de carácter municipal con motivo del avance del programa anual de obras, se encuentra contenida en el Módulo 2 Información Presupuestaria, Sub módulo Información Presupuestal (Plataforma Digital), como se muestra a continuación:</w:t>
      </w:r>
    </w:p>
    <w:p w:rsidR="006D5D3E" w:rsidRPr="007968B8" w:rsidRDefault="00D97976">
      <w:pPr>
        <w:spacing w:before="240" w:after="240" w:line="360" w:lineRule="auto"/>
        <w:jc w:val="center"/>
        <w:rPr>
          <w:rFonts w:ascii="Palatino Linotype" w:eastAsia="Palatino Linotype" w:hAnsi="Palatino Linotype" w:cs="Palatino Linotype"/>
        </w:rPr>
      </w:pPr>
      <w:r w:rsidRPr="007968B8">
        <w:rPr>
          <w:rFonts w:ascii="Palatino Linotype" w:eastAsia="Palatino Linotype" w:hAnsi="Palatino Linotype" w:cs="Palatino Linotype"/>
          <w:noProof/>
        </w:rPr>
        <w:drawing>
          <wp:inline distT="0" distB="0" distL="0" distR="0">
            <wp:extent cx="5389594" cy="2655161"/>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389594" cy="2655161"/>
                    </a:xfrm>
                    <a:prstGeom prst="rect">
                      <a:avLst/>
                    </a:prstGeom>
                    <a:ln/>
                  </pic:spPr>
                </pic:pic>
              </a:graphicData>
            </a:graphic>
          </wp:inline>
        </w:drawing>
      </w:r>
    </w:p>
    <w:p w:rsidR="006D5D3E" w:rsidRPr="007968B8" w:rsidRDefault="006D5D3E">
      <w:pPr>
        <w:spacing w:before="240" w:after="240" w:line="360" w:lineRule="auto"/>
        <w:jc w:val="center"/>
        <w:rPr>
          <w:rFonts w:ascii="Palatino Linotype" w:eastAsia="Palatino Linotype" w:hAnsi="Palatino Linotype" w:cs="Palatino Linotype"/>
        </w:rPr>
      </w:pPr>
    </w:p>
    <w:p w:rsidR="006D5D3E" w:rsidRPr="007968B8" w:rsidRDefault="00D97976">
      <w:pPr>
        <w:spacing w:before="240" w:after="240" w:line="360" w:lineRule="auto"/>
        <w:jc w:val="both"/>
        <w:rPr>
          <w:rFonts w:ascii="Palatino Linotype" w:eastAsia="Palatino Linotype" w:hAnsi="Palatino Linotype" w:cs="Palatino Linotype"/>
        </w:rPr>
      </w:pPr>
      <w:r w:rsidRPr="007968B8">
        <w:rPr>
          <w:rFonts w:ascii="Palatino Linotype" w:eastAsia="Palatino Linotype" w:hAnsi="Palatino Linotype" w:cs="Palatino Linotype"/>
          <w:noProof/>
        </w:rPr>
        <w:lastRenderedPageBreak/>
        <w:drawing>
          <wp:inline distT="0" distB="0" distL="0" distR="0">
            <wp:extent cx="5612130" cy="3495040"/>
            <wp:effectExtent l="0" t="0" r="0" b="0"/>
            <wp:docPr id="5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612130" cy="3495040"/>
                    </a:xfrm>
                    <a:prstGeom prst="rect">
                      <a:avLst/>
                    </a:prstGeom>
                    <a:ln/>
                  </pic:spPr>
                </pic:pic>
              </a:graphicData>
            </a:graphic>
          </wp:inline>
        </w:drawing>
      </w:r>
      <w:r w:rsidRPr="007968B8">
        <w:rPr>
          <w:noProof/>
        </w:rPr>
        <mc:AlternateContent>
          <mc:Choice Requires="wps">
            <w:drawing>
              <wp:anchor distT="0" distB="0" distL="114300" distR="114300" simplePos="0" relativeHeight="251658240" behindDoc="0" locked="0" layoutInCell="1" hidden="0" allowOverlap="1">
                <wp:simplePos x="0" y="0"/>
                <wp:positionH relativeFrom="column">
                  <wp:posOffset>658053</wp:posOffset>
                </wp:positionH>
                <wp:positionV relativeFrom="paragraph">
                  <wp:posOffset>2999077</wp:posOffset>
                </wp:positionV>
                <wp:extent cx="4856591" cy="308445"/>
                <wp:effectExtent l="0" t="0" r="0" b="0"/>
                <wp:wrapNone/>
                <wp:docPr id="43" name="Rectángulo 43"/>
                <wp:cNvGraphicFramePr/>
                <a:graphic xmlns:a="http://schemas.openxmlformats.org/drawingml/2006/main">
                  <a:graphicData uri="http://schemas.microsoft.com/office/word/2010/wordprocessingShape">
                    <wps:wsp>
                      <wps:cNvSpPr/>
                      <wps:spPr>
                        <a:xfrm>
                          <a:off x="2936755" y="3644828"/>
                          <a:ext cx="4818491" cy="270345"/>
                        </a:xfrm>
                        <a:prstGeom prst="rect">
                          <a:avLst/>
                        </a:prstGeom>
                        <a:noFill/>
                        <a:ln w="38100" cap="flat" cmpd="sng">
                          <a:solidFill>
                            <a:srgbClr val="C00000"/>
                          </a:solidFill>
                          <a:prstDash val="solid"/>
                          <a:miter lim="800000"/>
                          <a:headEnd type="none" w="sm" len="sm"/>
                          <a:tailEnd type="none" w="sm" len="sm"/>
                        </a:ln>
                      </wps:spPr>
                      <wps:txbx>
                        <w:txbxContent>
                          <w:p w:rsidR="006D5D3E" w:rsidRDefault="006D5D3E">
                            <w:pPr>
                              <w:textDirection w:val="btLr"/>
                            </w:pPr>
                          </w:p>
                        </w:txbxContent>
                      </wps:txbx>
                      <wps:bodyPr spcFirstLastPara="1" wrap="square" lIns="91425" tIns="91425" rIns="91425" bIns="91425" anchor="ctr" anchorCtr="0">
                        <a:noAutofit/>
                      </wps:bodyPr>
                    </wps:wsp>
                  </a:graphicData>
                </a:graphic>
              </wp:anchor>
            </w:drawing>
          </mc:Choice>
          <mc:Fallback>
            <w:pict>
              <v:rect id="Rectángulo 43" o:spid="_x0000_s1026" style="position:absolute;left:0;text-align:left;margin-left:51.8pt;margin-top:236.15pt;width:382.4pt;height:24.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" filled="f" strokecolor="#c00000" strokeweight="3pt">
                <v:stroke startarrowwidth="narrow" startarrowlength="short" endarrowwidth="narrow" endarrowlength="short"/>
                <v:textbox inset="2.53958mm,2.53958mm,2.53958mm,2.53958mm">
                  <w:txbxContent>
                    <w:p w:rsidR="006D5D3E" w:rsidRDefault="006D5D3E">
                      <w:pPr>
                        <w:textDirection w:val="btLr"/>
                      </w:pPr>
                    </w:p>
                  </w:txbxContent>
                </v:textbox>
              </v:rect>
            </w:pict>
          </mc:Fallback>
        </mc:AlternateContent>
      </w:r>
    </w:p>
    <w:p w:rsidR="006D5D3E" w:rsidRPr="007968B8" w:rsidRDefault="00D97976">
      <w:pPr>
        <w:spacing w:before="240" w:after="240" w:line="360" w:lineRule="auto"/>
        <w:jc w:val="center"/>
        <w:rPr>
          <w:rFonts w:ascii="Palatino Linotype" w:eastAsia="Palatino Linotype" w:hAnsi="Palatino Linotype" w:cs="Palatino Linotype"/>
        </w:rPr>
      </w:pPr>
      <w:r w:rsidRPr="007968B8">
        <w:rPr>
          <w:rFonts w:ascii="Palatino Linotype" w:eastAsia="Palatino Linotype" w:hAnsi="Palatino Linotype" w:cs="Palatino Linotype"/>
          <w:noProof/>
        </w:rPr>
        <w:drawing>
          <wp:inline distT="0" distB="0" distL="0" distR="0">
            <wp:extent cx="5525584" cy="3110407"/>
            <wp:effectExtent l="0" t="0" r="0" b="0"/>
            <wp:docPr id="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525584" cy="3110407"/>
                    </a:xfrm>
                    <a:prstGeom prst="rect">
                      <a:avLst/>
                    </a:prstGeom>
                    <a:ln/>
                  </pic:spPr>
                </pic:pic>
              </a:graphicData>
            </a:graphic>
          </wp:inline>
        </w:drawing>
      </w:r>
    </w:p>
    <w:p w:rsidR="006D5D3E" w:rsidRPr="007968B8" w:rsidRDefault="00D97976">
      <w:pPr>
        <w:spacing w:before="240" w:after="240" w:line="360" w:lineRule="auto"/>
        <w:jc w:val="center"/>
        <w:rPr>
          <w:rFonts w:ascii="Palatino Linotype" w:eastAsia="Palatino Linotype" w:hAnsi="Palatino Linotype" w:cs="Palatino Linotype"/>
        </w:rPr>
      </w:pPr>
      <w:r w:rsidRPr="007968B8">
        <w:rPr>
          <w:rFonts w:ascii="Palatino Linotype" w:eastAsia="Palatino Linotype" w:hAnsi="Palatino Linotype" w:cs="Palatino Linotype"/>
          <w:noProof/>
        </w:rPr>
        <w:lastRenderedPageBreak/>
        <w:drawing>
          <wp:inline distT="0" distB="0" distL="0" distR="0">
            <wp:extent cx="5523628" cy="2868061"/>
            <wp:effectExtent l="0" t="0" r="0" b="0"/>
            <wp:docPr id="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523628" cy="2868061"/>
                    </a:xfrm>
                    <a:prstGeom prst="rect">
                      <a:avLst/>
                    </a:prstGeom>
                    <a:ln/>
                  </pic:spPr>
                </pic:pic>
              </a:graphicData>
            </a:graphic>
          </wp:inline>
        </w:drawing>
      </w:r>
    </w:p>
    <w:p w:rsidR="006D5D3E" w:rsidRPr="007968B8" w:rsidRDefault="00D97976">
      <w:pPr>
        <w:spacing w:before="240" w:after="240" w:line="360" w:lineRule="auto"/>
        <w:jc w:val="center"/>
        <w:rPr>
          <w:rFonts w:ascii="Palatino Linotype" w:eastAsia="Palatino Linotype" w:hAnsi="Palatino Linotype" w:cs="Palatino Linotype"/>
        </w:rPr>
      </w:pPr>
      <w:r w:rsidRPr="007968B8">
        <w:rPr>
          <w:rFonts w:ascii="Palatino Linotype" w:eastAsia="Palatino Linotype" w:hAnsi="Palatino Linotype" w:cs="Palatino Linotype"/>
          <w:noProof/>
        </w:rPr>
        <w:drawing>
          <wp:inline distT="0" distB="0" distL="0" distR="0">
            <wp:extent cx="5481855" cy="2120668"/>
            <wp:effectExtent l="0" t="0" r="0" b="0"/>
            <wp:docPr id="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481855" cy="2120668"/>
                    </a:xfrm>
                    <a:prstGeom prst="rect">
                      <a:avLst/>
                    </a:prstGeom>
                    <a:ln/>
                  </pic:spPr>
                </pic:pic>
              </a:graphicData>
            </a:graphic>
          </wp:inline>
        </w:drawing>
      </w:r>
    </w:p>
    <w:p w:rsidR="006D5D3E" w:rsidRPr="007968B8" w:rsidRDefault="00D97976">
      <w:pPr>
        <w:numPr>
          <w:ilvl w:val="0"/>
          <w:numId w:val="9"/>
        </w:numPr>
        <w:pBdr>
          <w:top w:val="nil"/>
          <w:left w:val="nil"/>
          <w:bottom w:val="nil"/>
          <w:right w:val="nil"/>
          <w:between w:val="nil"/>
        </w:pBdr>
        <w:spacing w:before="240" w:after="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 xml:space="preserve">Por otro lado, es oportuno hacer alusión al Libro Décimo Segundo. De la obra pública, del Código Administrativo del Estado de México, el cual, de conformidad con el artículo 12.1, regular los actos relativos a la planeación, programación, presupuestación, adjudicación, contratación, ejecución y control de la obra pública, así como los servicios relacionados con la misma que, por sí o por conducto de terceros, realicen las secretarías y unidades administrativas del Poder Ejecutivo del Estado; la Fiscalía General de Justicia; los </w:t>
      </w:r>
      <w:r w:rsidRPr="007968B8">
        <w:rPr>
          <w:rFonts w:ascii="Palatino Linotype" w:eastAsia="Palatino Linotype" w:hAnsi="Palatino Linotype" w:cs="Palatino Linotype"/>
          <w:color w:val="000000"/>
        </w:rPr>
        <w:lastRenderedPageBreak/>
        <w:t>ayuntamientos de los municipios del Estado; los organismos auxiliares y fideicomisos públicos del Estado y municipios; y los tribunales administrativos.</w:t>
      </w:r>
    </w:p>
    <w:p w:rsidR="006D5D3E" w:rsidRPr="007968B8" w:rsidRDefault="00D97976">
      <w:pPr>
        <w:numPr>
          <w:ilvl w:val="0"/>
          <w:numId w:val="9"/>
        </w:numPr>
        <w:pBdr>
          <w:top w:val="nil"/>
          <w:left w:val="nil"/>
          <w:bottom w:val="nil"/>
          <w:right w:val="nil"/>
          <w:between w:val="nil"/>
        </w:pBdr>
        <w:spacing w:before="240" w:after="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 xml:space="preserve">En este tenor, de acuerdo con el artículo 12.4 del Libro Décimo Segundo del referido Código, se considera obra pública todo trabajo que tenga por objeto principal </w:t>
      </w:r>
      <w:r w:rsidRPr="007968B8">
        <w:rPr>
          <w:rFonts w:ascii="Palatino Linotype" w:eastAsia="Palatino Linotype" w:hAnsi="Palatino Linotype" w:cs="Palatino Linotype"/>
          <w:i/>
          <w:iCs/>
          <w:color w:val="000000"/>
        </w:rPr>
        <w:t>construir, instalar, ampliar, adecuar, remodelar, restaurar, conservar, mantener, modificar o demoler bienes inmuebles propiedad del Estado, de sus dependencias y entidades y de los municipios y sus organismos con cargo a recursos públicos estatales o municipales</w:t>
      </w:r>
      <w:r w:rsidRPr="007968B8">
        <w:rPr>
          <w:rFonts w:ascii="Palatino Linotype" w:eastAsia="Palatino Linotype" w:hAnsi="Palatino Linotype" w:cs="Palatino Linotype"/>
          <w:b/>
          <w:bCs/>
          <w:color w:val="000000"/>
        </w:rPr>
        <w:t xml:space="preserve">, </w:t>
      </w:r>
      <w:r w:rsidRPr="007968B8">
        <w:rPr>
          <w:rFonts w:ascii="Palatino Linotype" w:eastAsia="Palatino Linotype" w:hAnsi="Palatino Linotype" w:cs="Palatino Linotype"/>
          <w:color w:val="000000"/>
        </w:rPr>
        <w:t xml:space="preserve">quedando comprendidos dentro de la obra pública: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I. El mantenimiento, restauración, desmantelamiento o remoción de bienes muebles incorporados o adheridos a un inmueble;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II. Los proyectos integrales o comúnmente denominados llave en mano, en los cuales el contratista se obliga desde el diseño de la obra hasta su terminación total, incluyéndose, cuando se requiera, la transferencia de tecnología;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III. Los trabajos de exploración, localización y perforación; mejoramiento del suelo y/o subsuelo; desmontes y extracción y aquellos similares que tengan por objeto la explotación y desarrollo de los recursos naturales que se encuentran en el suelo y/o subsuelo;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IV. Los trabajos de infraestructura agropecuaria e hidro - agrícola: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VI. Los demás que tengan por objeto principal alguno de los conceptos a que se refiere el párrafo primero de este artículo, excluyéndose </w:t>
      </w:r>
      <w:r w:rsidRPr="007968B8">
        <w:rPr>
          <w:rFonts w:ascii="Palatino Linotype" w:eastAsia="Palatino Linotype" w:hAnsi="Palatino Linotype" w:cs="Palatino Linotype"/>
          <w:i/>
          <w:iCs/>
        </w:rPr>
        <w:lastRenderedPageBreak/>
        <w:t>expresamente los trabajos regulados por el Libro Décimo Sexto del Código.</w:t>
      </w:r>
    </w:p>
    <w:p w:rsidR="006D5D3E" w:rsidRPr="007968B8" w:rsidRDefault="006D5D3E">
      <w:pPr>
        <w:spacing w:before="240" w:after="240"/>
        <w:ind w:left="1134" w:right="1134"/>
        <w:jc w:val="both"/>
        <w:rPr>
          <w:rFonts w:ascii="Palatino Linotype" w:eastAsia="Palatino Linotype" w:hAnsi="Palatino Linotype" w:cs="Palatino Linotype"/>
          <w:i/>
          <w:iCs/>
        </w:rPr>
      </w:pPr>
    </w:p>
    <w:p w:rsidR="006D5D3E" w:rsidRPr="007968B8" w:rsidRDefault="00D97976">
      <w:pPr>
        <w:numPr>
          <w:ilvl w:val="0"/>
          <w:numId w:val="9"/>
        </w:numPr>
        <w:pBdr>
          <w:top w:val="nil"/>
          <w:left w:val="nil"/>
          <w:bottom w:val="nil"/>
          <w:right w:val="nil"/>
          <w:between w:val="nil"/>
        </w:pBdr>
        <w:spacing w:before="240" w:after="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Así también del artículo 12.5 del Libro Décimo Segundo se señala que son</w:t>
      </w:r>
      <w:r w:rsidRPr="007968B8">
        <w:rPr>
          <w:rFonts w:ascii="Palatino Linotype" w:eastAsia="Palatino Linotype" w:hAnsi="Palatino Linotype" w:cs="Palatino Linotype"/>
          <w:b/>
          <w:bCs/>
          <w:color w:val="000000"/>
        </w:rPr>
        <w:t xml:space="preserve"> </w:t>
      </w:r>
      <w:r w:rsidRPr="007968B8">
        <w:rPr>
          <w:rFonts w:ascii="Palatino Linotype" w:eastAsia="Palatino Linotype" w:hAnsi="Palatino Linotype" w:cs="Palatino Linotype"/>
          <w:color w:val="000000"/>
        </w:rPr>
        <w:t xml:space="preserve">servicios relacionados con la obra pública, </w:t>
      </w:r>
      <w:r w:rsidRPr="007968B8">
        <w:rPr>
          <w:rFonts w:ascii="Palatino Linotype" w:eastAsia="Palatino Linotype" w:hAnsi="Palatino Linotype" w:cs="Palatino Linotype"/>
          <w:i/>
          <w:iCs/>
          <w:color w:val="000000"/>
        </w:rPr>
        <w:t>los trabajos que tengan por objeto concebir, diseñar y calcular los elementos que integran un proyecto de obra pública; las investigaciones, estudios, asesorías y consultorías</w:t>
      </w:r>
      <w:r w:rsidRPr="007968B8">
        <w:rPr>
          <w:rFonts w:ascii="Palatino Linotype" w:eastAsia="Palatino Linotype" w:hAnsi="Palatino Linotype" w:cs="Palatino Linotype"/>
          <w:color w:val="000000"/>
        </w:rPr>
        <w:t xml:space="preserve"> que se vinculen con los actos que regula el Libro Décimo Segundo; la dirección y supervisión de la ejecución de las obras y los estudios que tengan por objeto principal rehabilitar, corregir o incrementar la eficiencia de las instalaciones con excepción de los trabajos regulados por el Libro Décimo Sexto del Código, quedando comprendidos dentro de los servicios relacionados con la obra pública:</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w:t>
      </w:r>
      <w:r w:rsidRPr="007968B8">
        <w:rPr>
          <w:rFonts w:ascii="Palatino Linotype" w:eastAsia="Palatino Linotype" w:hAnsi="Palatino Linotype" w:cs="Palatino Linotype"/>
          <w:i/>
          <w:iC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II.</w:t>
      </w:r>
      <w:r w:rsidRPr="007968B8">
        <w:rPr>
          <w:rFonts w:ascii="Palatino Linotype" w:eastAsia="Palatino Linotype" w:hAnsi="Palatino Linotype" w:cs="Palatino Linotype"/>
          <w:i/>
          <w:iC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III</w:t>
      </w:r>
      <w:r w:rsidRPr="007968B8">
        <w:rPr>
          <w:rFonts w:ascii="Palatino Linotype" w:eastAsia="Palatino Linotype" w:hAnsi="Palatino Linotype" w:cs="Palatino Linotype"/>
          <w:i/>
          <w:iC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lastRenderedPageBreak/>
        <w:t>IV</w:t>
      </w:r>
      <w:r w:rsidRPr="007968B8">
        <w:rPr>
          <w:rFonts w:ascii="Palatino Linotype" w:eastAsia="Palatino Linotype" w:hAnsi="Palatino Linotype" w:cs="Palatino Linotype"/>
          <w:i/>
          <w:iCs/>
        </w:rPr>
        <w:t xml:space="preserve">. Los estudios económicos y de planeación de preinversión, factibilidad técnico económica, ecológica o social, de evaluación, adaptación, tenencia de la tierra, financieros, de desarrollo y restitución de la eficiencia de las instalaciones;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w:t>
      </w:r>
      <w:r w:rsidRPr="007968B8">
        <w:rPr>
          <w:rFonts w:ascii="Palatino Linotype" w:eastAsia="Palatino Linotype" w:hAnsi="Palatino Linotype" w:cs="Palatino Linotype"/>
          <w:i/>
          <w:iCs/>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w:t>
      </w:r>
      <w:r w:rsidRPr="007968B8">
        <w:rPr>
          <w:rFonts w:ascii="Palatino Linotype" w:eastAsia="Palatino Linotype" w:hAnsi="Palatino Linotype" w:cs="Palatino Linotype"/>
          <w:i/>
          <w:iCs/>
        </w:rPr>
        <w:t xml:space="preserve"> Los trabajos de organización, informática, comunicaciones, cibernética y sistemas aplicados a las materias que regulan este Libro;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VII.</w:t>
      </w:r>
      <w:r w:rsidRPr="007968B8">
        <w:rPr>
          <w:rFonts w:ascii="Palatino Linotype" w:eastAsia="Palatino Linotype" w:hAnsi="Palatino Linotype" w:cs="Palatino Linotype"/>
          <w:i/>
          <w:iCs/>
        </w:rPr>
        <w:t xml:space="preserve"> Los dictámenes, peritajes, avalúos y auditorías técnico normativas, y estudios aplicables a la obra pública;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VIII.</w:t>
      </w:r>
      <w:r w:rsidRPr="007968B8">
        <w:rPr>
          <w:rFonts w:ascii="Palatino Linotype" w:eastAsia="Palatino Linotype" w:hAnsi="Palatino Linotype" w:cs="Palatino Linotype"/>
          <w:i/>
          <w:iCs/>
        </w:rPr>
        <w:t xml:space="preserve"> Los estudios que tengan por objeto rehabilitar, corregir, sustituir o incrementar la eficiencia de las instalaciones en un bien inmueble;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IX.</w:t>
      </w:r>
      <w:r w:rsidRPr="007968B8">
        <w:rPr>
          <w:rFonts w:ascii="Palatino Linotype" w:eastAsia="Palatino Linotype" w:hAnsi="Palatino Linotype" w:cs="Palatino Linotype"/>
          <w:i/>
          <w:iCs/>
        </w:rPr>
        <w:t xml:space="preserve"> Los estudios de apoyo tecnológico, incluyendo los de desarrollo y transferencia de tecnología, entre otros;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X.</w:t>
      </w:r>
      <w:r w:rsidRPr="007968B8">
        <w:rPr>
          <w:rFonts w:ascii="Palatino Linotype" w:eastAsia="Palatino Linotype" w:hAnsi="Palatino Linotype" w:cs="Palatino Linotype"/>
          <w:i/>
          <w:iCs/>
        </w:rPr>
        <w:t xml:space="preserve"> Los demás que tengan por objeto alguno de los conceptos a que se refiere el párrafo primero de este artículo.</w:t>
      </w:r>
    </w:p>
    <w:p w:rsidR="006D5D3E" w:rsidRPr="007968B8" w:rsidRDefault="006D5D3E">
      <w:pPr>
        <w:spacing w:before="240" w:after="240"/>
        <w:ind w:left="1134" w:right="1134"/>
        <w:jc w:val="both"/>
        <w:rPr>
          <w:rFonts w:ascii="Palatino Linotype" w:eastAsia="Palatino Linotype" w:hAnsi="Palatino Linotype" w:cs="Palatino Linotype"/>
          <w:i/>
          <w:iCs/>
        </w:rPr>
      </w:pPr>
    </w:p>
    <w:p w:rsidR="006D5D3E" w:rsidRPr="007968B8" w:rsidRDefault="00D97976">
      <w:pPr>
        <w:numPr>
          <w:ilvl w:val="0"/>
          <w:numId w:val="9"/>
        </w:numPr>
        <w:pBdr>
          <w:top w:val="nil"/>
          <w:left w:val="nil"/>
          <w:bottom w:val="nil"/>
          <w:right w:val="nil"/>
          <w:between w:val="nil"/>
        </w:pBdr>
        <w:tabs>
          <w:tab w:val="left" w:pos="567"/>
        </w:tabs>
        <w:spacing w:before="240" w:after="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Por otra parte el artículo 12.12 del Libro Décimo Segundo, señala que en la planeación de la obra pública o de los servicios relacionados con la misma, las dependencias, entidades y ayuntamientos en lo que les corresponda, deberán, entre otras previsiones, considerar la disponibilidad de recursos financieros.</w:t>
      </w:r>
    </w:p>
    <w:p w:rsidR="006D5D3E" w:rsidRPr="007968B8" w:rsidRDefault="006D5D3E">
      <w:pPr>
        <w:tabs>
          <w:tab w:val="left" w:pos="567"/>
        </w:tabs>
        <w:spacing w:before="240" w:after="240"/>
        <w:ind w:right="-709"/>
        <w:jc w:val="both"/>
        <w:rPr>
          <w:rFonts w:ascii="Palatino Linotype" w:eastAsia="Palatino Linotype" w:hAnsi="Palatino Linotype" w:cs="Palatino Linotype"/>
        </w:rPr>
      </w:pPr>
    </w:p>
    <w:p w:rsidR="006D5D3E" w:rsidRPr="007968B8" w:rsidRDefault="00D97976">
      <w:pPr>
        <w:numPr>
          <w:ilvl w:val="0"/>
          <w:numId w:val="9"/>
        </w:numPr>
        <w:pBdr>
          <w:top w:val="nil"/>
          <w:left w:val="nil"/>
          <w:bottom w:val="nil"/>
          <w:right w:val="nil"/>
          <w:between w:val="nil"/>
        </w:pBdr>
        <w:spacing w:before="240" w:after="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lastRenderedPageBreak/>
        <w:t>Por cuanto hace al  procedimiento de adjudicación, el Capítulo Tercero del Libro Décimo Segundo del Código Administrativo del Estado de México, dispone lo siguiente:</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“Artículo 12.20</w:t>
      </w:r>
      <w:r w:rsidRPr="007968B8">
        <w:rPr>
          <w:rFonts w:ascii="Palatino Linotype" w:eastAsia="Palatino Linotype" w:hAnsi="Palatino Linotype" w:cs="Palatino Linotype"/>
          <w:i/>
          <w:iCs/>
        </w:rPr>
        <w:t xml:space="preserve">.- Los contratos a que se refiere este Libro, </w:t>
      </w:r>
      <w:r w:rsidRPr="007968B8">
        <w:rPr>
          <w:rFonts w:ascii="Palatino Linotype" w:eastAsia="Palatino Linotype" w:hAnsi="Palatino Linotype" w:cs="Palatino Linotype"/>
          <w:b/>
          <w:bCs/>
          <w:i/>
          <w:iCs/>
        </w:rPr>
        <w:t xml:space="preserve">se adjudicarán a través de </w:t>
      </w:r>
      <w:r w:rsidRPr="007968B8">
        <w:rPr>
          <w:rFonts w:ascii="Palatino Linotype" w:eastAsia="Palatino Linotype" w:hAnsi="Palatino Linotype" w:cs="Palatino Linotype"/>
          <w:b/>
          <w:bCs/>
          <w:i/>
          <w:iCs/>
          <w:u w:val="single"/>
        </w:rPr>
        <w:t>licitaciones públicas</w:t>
      </w:r>
      <w:r w:rsidRPr="007968B8">
        <w:rPr>
          <w:rFonts w:ascii="Palatino Linotype" w:eastAsia="Palatino Linotype" w:hAnsi="Palatino Linotype" w:cs="Palatino Linotype"/>
          <w:b/>
          <w:bCs/>
          <w:i/>
          <w:iCs/>
        </w:rPr>
        <w:t>, mediante convocatoria pública.</w:t>
      </w:r>
      <w:r w:rsidRPr="007968B8">
        <w:rPr>
          <w:rFonts w:ascii="Palatino Linotype" w:eastAsia="Palatino Linotype" w:hAnsi="Palatino Linotype" w:cs="Palatino Linotype"/>
          <w:i/>
          <w:iCs/>
        </w:rPr>
        <w:t xml:space="preserve">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Artículo 12.21</w:t>
      </w:r>
      <w:r w:rsidRPr="007968B8">
        <w:rPr>
          <w:rFonts w:ascii="Palatino Linotype" w:eastAsia="Palatino Linotype" w:hAnsi="Palatino Linotype" w:cs="Palatino Linotype"/>
          <w:i/>
          <w:iCs/>
        </w:rPr>
        <w:t xml:space="preserve">.- Las dependencias, entidades y ayuntamientos podrán adjudicar contratos para la ejecución de obra pública o servicios relacionados con la misma. </w:t>
      </w:r>
      <w:r w:rsidRPr="007968B8">
        <w:rPr>
          <w:rFonts w:ascii="Palatino Linotype" w:eastAsia="Palatino Linotype" w:hAnsi="Palatino Linotype" w:cs="Palatino Linotype"/>
          <w:b/>
          <w:bCs/>
          <w:i/>
          <w:iCs/>
        </w:rPr>
        <w:t>mediante las excepciones al procedimiento de licitación</w:t>
      </w:r>
      <w:r w:rsidRPr="007968B8">
        <w:rPr>
          <w:rFonts w:ascii="Palatino Linotype" w:eastAsia="Palatino Linotype" w:hAnsi="Palatino Linotype" w:cs="Palatino Linotype"/>
          <w:i/>
          <w:iCs/>
        </w:rPr>
        <w:t xml:space="preserve"> siguientes: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w:t>
      </w:r>
      <w:r w:rsidRPr="007968B8">
        <w:rPr>
          <w:rFonts w:ascii="Palatino Linotype" w:eastAsia="Palatino Linotype" w:hAnsi="Palatino Linotype" w:cs="Palatino Linotype"/>
          <w:i/>
          <w:iCs/>
        </w:rPr>
        <w:t xml:space="preserve">. </w:t>
      </w:r>
      <w:r w:rsidRPr="007968B8">
        <w:rPr>
          <w:rFonts w:ascii="Palatino Linotype" w:eastAsia="Palatino Linotype" w:hAnsi="Palatino Linotype" w:cs="Palatino Linotype"/>
          <w:b/>
          <w:bCs/>
          <w:i/>
          <w:iCs/>
        </w:rPr>
        <w:t>Invitación restringida</w:t>
      </w:r>
      <w:r w:rsidRPr="007968B8">
        <w:rPr>
          <w:rFonts w:ascii="Palatino Linotype" w:eastAsia="Palatino Linotype" w:hAnsi="Palatino Linotype" w:cs="Palatino Linotype"/>
          <w:i/>
          <w:iCs/>
        </w:rPr>
        <w:t xml:space="preserve">;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II</w:t>
      </w:r>
      <w:r w:rsidRPr="007968B8">
        <w:rPr>
          <w:rFonts w:ascii="Palatino Linotype" w:eastAsia="Palatino Linotype" w:hAnsi="Palatino Linotype" w:cs="Palatino Linotype"/>
          <w:i/>
          <w:iCs/>
        </w:rPr>
        <w:t xml:space="preserve">. </w:t>
      </w:r>
      <w:r w:rsidRPr="007968B8">
        <w:rPr>
          <w:rFonts w:ascii="Palatino Linotype" w:eastAsia="Palatino Linotype" w:hAnsi="Palatino Linotype" w:cs="Palatino Linotype"/>
          <w:b/>
          <w:bCs/>
          <w:i/>
          <w:iCs/>
        </w:rPr>
        <w:t>Adjudicación directa.”</w:t>
      </w:r>
    </w:p>
    <w:p w:rsidR="006D5D3E" w:rsidRPr="007968B8" w:rsidRDefault="00D97976">
      <w:pPr>
        <w:spacing w:before="240" w:after="240" w:line="360" w:lineRule="auto"/>
        <w:ind w:right="-709"/>
        <w:jc w:val="both"/>
        <w:rPr>
          <w:rFonts w:ascii="Palatino Linotype" w:eastAsia="Palatino Linotype" w:hAnsi="Palatino Linotype" w:cs="Palatino Linotype"/>
        </w:rPr>
      </w:pPr>
      <w:r w:rsidRPr="007968B8">
        <w:rPr>
          <w:rFonts w:ascii="Palatino Linotype" w:eastAsia="Palatino Linotype" w:hAnsi="Palatino Linotype" w:cs="Palatino Linotype"/>
        </w:rPr>
        <w:t>Como se advierte, la normativa contempla como modalidades para la adjudicación de contratos de obra pública y servicios relacionados con la misma la licitación pública, y de manera excepcional a través de invitación restringida y adjudicación directa, cuyas formalidades se encuentran previstas en el Reglamento del Libro Décimo Segundo del Código Administrativo del Estado de México, disponiendo lo siguiente:</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w:t>
      </w:r>
      <w:r w:rsidRPr="007968B8">
        <w:rPr>
          <w:rFonts w:ascii="Palatino Linotype" w:eastAsia="Palatino Linotype" w:hAnsi="Palatino Linotype" w:cs="Palatino Linotype"/>
          <w:b/>
          <w:bCs/>
          <w:i/>
          <w:iCs/>
        </w:rPr>
        <w:t>Artículo 26</w:t>
      </w:r>
      <w:r w:rsidRPr="007968B8">
        <w:rPr>
          <w:rFonts w:ascii="Palatino Linotype" w:eastAsia="Palatino Linotype" w:hAnsi="Palatino Linotype" w:cs="Palatino Linotype"/>
          <w:i/>
          <w:iCs/>
        </w:rPr>
        <w:t>.- La licitación pública es el procedimiento de adjudicación de una obra pública o de un servicio por convocatoria pública. Tiene por objeto asegurar la participación abierta de todos los interesados en igualdad de condiciones y la selección fundamentada y transparente de la propuesta más conveniente para las dependencias, entidades y ayuntamientos.</w:t>
      </w:r>
    </w:p>
    <w:p w:rsidR="006D5D3E" w:rsidRPr="007968B8" w:rsidRDefault="00D97976">
      <w:pPr>
        <w:spacing w:before="120" w:after="120"/>
        <w:ind w:left="1134" w:right="1134"/>
        <w:jc w:val="both"/>
        <w:rPr>
          <w:rFonts w:ascii="Palatino Linotype" w:eastAsia="Palatino Linotype" w:hAnsi="Palatino Linotype" w:cs="Palatino Linotype"/>
          <w:b/>
          <w:bCs/>
          <w:i/>
          <w:iCs/>
        </w:rPr>
      </w:pPr>
      <w:r w:rsidRPr="007968B8">
        <w:rPr>
          <w:rFonts w:ascii="Palatino Linotype" w:eastAsia="Palatino Linotype" w:hAnsi="Palatino Linotype" w:cs="Palatino Linotype"/>
          <w:b/>
          <w:bCs/>
          <w:i/>
          <w:iCs/>
        </w:rPr>
        <w:t>...</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Artículo 28.-</w:t>
      </w:r>
      <w:r w:rsidRPr="007968B8">
        <w:rPr>
          <w:rFonts w:ascii="Palatino Linotype" w:eastAsia="Palatino Linotype" w:hAnsi="Palatino Linotype" w:cs="Palatino Linotype"/>
          <w:i/>
          <w:iCs/>
        </w:rPr>
        <w:t xml:space="preserve"> Las dependencias y entidades podrán convocar a licitación pública, adjudicar y contratar obra pública y servicios sólo cuando la Secretaría del Ramo se los haya autorizado por contar con elementos </w:t>
      </w:r>
      <w:r w:rsidRPr="007968B8">
        <w:rPr>
          <w:rFonts w:ascii="Palatino Linotype" w:eastAsia="Palatino Linotype" w:hAnsi="Palatino Linotype" w:cs="Palatino Linotype"/>
          <w:i/>
          <w:iCs/>
        </w:rPr>
        <w:lastRenderedPageBreak/>
        <w:t>propios y organización necesarios para realizarlas. Esta autorización deberá estar publicada en la Gaceta del Gobierno del Estado de México.</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Los ayuntamientos, que realicen obras o servicios con cargo parcial o total a recursos estatales, deberán solicitar la autorización preferentemente al inicio de su periodo de gestión, la que deberá estar publicada en la Gaceta del Gobierno del Estado de México.</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Artículo 30</w:t>
      </w:r>
      <w:r w:rsidRPr="007968B8">
        <w:rPr>
          <w:rFonts w:ascii="Palatino Linotype" w:eastAsia="Palatino Linotype" w:hAnsi="Palatino Linotype" w:cs="Palatino Linotype"/>
          <w:i/>
          <w:iCs/>
        </w:rPr>
        <w:t xml:space="preserve">.- El procedimiento de licitación pública </w:t>
      </w:r>
      <w:r w:rsidRPr="007968B8">
        <w:rPr>
          <w:rFonts w:ascii="Palatino Linotype" w:eastAsia="Palatino Linotype" w:hAnsi="Palatino Linotype" w:cs="Palatino Linotype"/>
          <w:b/>
          <w:bCs/>
          <w:i/>
          <w:iCs/>
        </w:rPr>
        <w:t>inicia con la publicación de la convocatoria</w:t>
      </w:r>
      <w:r w:rsidRPr="007968B8">
        <w:rPr>
          <w:rFonts w:ascii="Palatino Linotype" w:eastAsia="Palatino Linotype" w:hAnsi="Palatino Linotype" w:cs="Palatino Linotype"/>
          <w:i/>
          <w:iCs/>
        </w:rPr>
        <w:t xml:space="preserve"> y concluye con el fallo y adjudicación. Cubrirá las etapas siguientes: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w:t>
      </w:r>
      <w:r w:rsidRPr="007968B8">
        <w:rPr>
          <w:rFonts w:ascii="Palatino Linotype" w:eastAsia="Palatino Linotype" w:hAnsi="Palatino Linotype" w:cs="Palatino Linotype"/>
          <w:i/>
          <w:iCs/>
        </w:rPr>
        <w:t xml:space="preserve"> La formulación de las bases de licitación;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II</w:t>
      </w:r>
      <w:r w:rsidRPr="007968B8">
        <w:rPr>
          <w:rFonts w:ascii="Palatino Linotype" w:eastAsia="Palatino Linotype" w:hAnsi="Palatino Linotype" w:cs="Palatino Linotype"/>
          <w:i/>
          <w:iCs/>
        </w:rPr>
        <w:t xml:space="preserve">. La publicación de la convocatoria;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III.</w:t>
      </w:r>
      <w:r w:rsidRPr="007968B8">
        <w:rPr>
          <w:rFonts w:ascii="Palatino Linotype" w:eastAsia="Palatino Linotype" w:hAnsi="Palatino Linotype" w:cs="Palatino Linotype"/>
          <w:i/>
          <w:iCs/>
        </w:rPr>
        <w:t xml:space="preserve"> La venta de las bases de licitación;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IV</w:t>
      </w:r>
      <w:r w:rsidRPr="007968B8">
        <w:rPr>
          <w:rFonts w:ascii="Palatino Linotype" w:eastAsia="Palatino Linotype" w:hAnsi="Palatino Linotype" w:cs="Palatino Linotype"/>
          <w:i/>
          <w:iCs/>
        </w:rPr>
        <w:t xml:space="preserve">. La visita al sitio donde se realizarán los trabajos; </w:t>
      </w:r>
    </w:p>
    <w:p w:rsidR="006D5D3E" w:rsidRPr="007968B8" w:rsidRDefault="00D97976">
      <w:pPr>
        <w:spacing w:before="120" w:after="120"/>
        <w:ind w:left="1134" w:right="1134"/>
        <w:jc w:val="both"/>
        <w:rPr>
          <w:rFonts w:ascii="Palatino Linotype" w:eastAsia="Palatino Linotype" w:hAnsi="Palatino Linotype" w:cs="Palatino Linotype"/>
          <w:b/>
          <w:bCs/>
          <w:i/>
          <w:iCs/>
        </w:rPr>
      </w:pPr>
      <w:r w:rsidRPr="007968B8">
        <w:rPr>
          <w:rFonts w:ascii="Palatino Linotype" w:eastAsia="Palatino Linotype" w:hAnsi="Palatino Linotype" w:cs="Palatino Linotype"/>
          <w:b/>
          <w:bCs/>
          <w:i/>
          <w:iCs/>
        </w:rPr>
        <w:t>V</w:t>
      </w:r>
      <w:r w:rsidRPr="007968B8">
        <w:rPr>
          <w:rFonts w:ascii="Palatino Linotype" w:eastAsia="Palatino Linotype" w:hAnsi="Palatino Linotype" w:cs="Palatino Linotype"/>
          <w:i/>
          <w:iCs/>
        </w:rPr>
        <w:t>. Las juntas de aclaraciones;</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w:t>
      </w:r>
      <w:r w:rsidRPr="007968B8">
        <w:rPr>
          <w:rFonts w:ascii="Palatino Linotype" w:eastAsia="Palatino Linotype" w:hAnsi="Palatino Linotype" w:cs="Palatino Linotype"/>
          <w:i/>
          <w:iCs/>
        </w:rPr>
        <w:t xml:space="preserve"> La presentación y apertura de propuestas;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VII.</w:t>
      </w:r>
      <w:r w:rsidRPr="007968B8">
        <w:rPr>
          <w:rFonts w:ascii="Palatino Linotype" w:eastAsia="Palatino Linotype" w:hAnsi="Palatino Linotype" w:cs="Palatino Linotype"/>
          <w:i/>
          <w:iCs/>
        </w:rPr>
        <w:t xml:space="preserve"> La evaluación de propuestas; y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VIII.</w:t>
      </w:r>
      <w:r w:rsidRPr="007968B8">
        <w:rPr>
          <w:rFonts w:ascii="Palatino Linotype" w:eastAsia="Palatino Linotype" w:hAnsi="Palatino Linotype" w:cs="Palatino Linotype"/>
          <w:i/>
          <w:iCs/>
        </w:rPr>
        <w:t xml:space="preserve"> El fallo y adjudicación.</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Artículo 45.-</w:t>
      </w:r>
      <w:r w:rsidRPr="007968B8">
        <w:rPr>
          <w:rFonts w:ascii="Palatino Linotype" w:eastAsia="Palatino Linotype" w:hAnsi="Palatino Linotype" w:cs="Palatino Linotype"/>
          <w:i/>
          <w:iCs/>
        </w:rPr>
        <w:t xml:space="preserve"> El convocante deberá requerir a los licitantes que integren los siguientes documentos de carácter legal y administrativo en sus propuestas: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w:t>
      </w:r>
      <w:r w:rsidRPr="007968B8">
        <w:rPr>
          <w:rFonts w:ascii="Palatino Linotype" w:eastAsia="Palatino Linotype" w:hAnsi="Palatino Linotype" w:cs="Palatino Linotype"/>
          <w:i/>
          <w:iCs/>
        </w:rPr>
        <w:t xml:space="preserve"> Escrito en el que manifieste su domicilio en el Estado de México para oír y recibir notificaciones y los documentos correspondientes al procedimiento de licitación. En el domicilio señalado se podrán realizar las notificaciones, inclusive las de carácter personal, que surtirán todos sus efectos legales mientras no se señale otro distinto en el propio Estado;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II.</w:t>
      </w:r>
      <w:r w:rsidRPr="007968B8">
        <w:rPr>
          <w:rFonts w:ascii="Palatino Linotype" w:eastAsia="Palatino Linotype" w:hAnsi="Palatino Linotype" w:cs="Palatino Linotype"/>
          <w:i/>
          <w:iCs/>
        </w:rPr>
        <w:t xml:space="preserve"> Escrito en el que manifieste no encontrarse en ninguno de los supuestos del artículo 12.48 del Libro;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lastRenderedPageBreak/>
        <w:t>III.</w:t>
      </w:r>
      <w:r w:rsidRPr="007968B8">
        <w:rPr>
          <w:rFonts w:ascii="Palatino Linotype" w:eastAsia="Palatino Linotype" w:hAnsi="Palatino Linotype" w:cs="Palatino Linotype"/>
          <w:i/>
          <w:iCs/>
        </w:rPr>
        <w:t xml:space="preserve"> Declaración fiscal anual o estados financieros dictaminados por contador público certificado independiente, que corresponda al último ejercicio fiscal. Si el procedimiento de licitación se realiza durante el primer trimestre del año, se podrán presentar los estados financieros dictaminados por contador público certificado independiente o la declaración fiscal anual correspondientes al penúltimo ejercicio fiscal, en ambos casos, la última declaración fiscal provisional. Con la documentación financiera y fiscal se acreditará el capital contable requerido por el convocante.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 xml:space="preserve">IV. </w:t>
      </w:r>
      <w:r w:rsidRPr="007968B8">
        <w:rPr>
          <w:rFonts w:ascii="Palatino Linotype" w:eastAsia="Palatino Linotype" w:hAnsi="Palatino Linotype" w:cs="Palatino Linotype"/>
          <w:i/>
          <w:iCs/>
        </w:rPr>
        <w:t>Las empresas de reciente creación deberán presentar la documentación financiera y fiscal más actualizada a la fecha de presentación de la propuesta;</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w:t>
      </w:r>
      <w:r w:rsidRPr="007968B8">
        <w:rPr>
          <w:rFonts w:ascii="Palatino Linotype" w:eastAsia="Palatino Linotype" w:hAnsi="Palatino Linotype" w:cs="Palatino Linotype"/>
          <w:i/>
          <w:iCs/>
        </w:rPr>
        <w:t xml:space="preserve"> Identificación oficial vigente con fotografía, tratándose de personas físicas;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w:t>
      </w:r>
      <w:r w:rsidRPr="007968B8">
        <w:rPr>
          <w:rFonts w:ascii="Palatino Linotype" w:eastAsia="Palatino Linotype" w:hAnsi="Palatino Linotype" w:cs="Palatino Linotype"/>
          <w:i/>
          <w:iCs/>
        </w:rPr>
        <w:t xml:space="preserve"> Manifestación escrita de la persona jurídica en que señale que su representante cuenta con facultades suficientes para comprometerla. Éste contendrá los datos siguientes: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w:t>
      </w:r>
      <w:r w:rsidRPr="007968B8">
        <w:rPr>
          <w:rFonts w:ascii="Palatino Linotype" w:eastAsia="Palatino Linotype" w:hAnsi="Palatino Linotype" w:cs="Palatino Linotype"/>
          <w:i/>
          <w:iCs/>
        </w:rPr>
        <w:t xml:space="preserve"> De la persona jurídica: denominación o razón social, clave del registro federal de contribuyentes; nombre, número y circunscripción territorial del notario público o fedatario que protocolizó las escrituras públicas en las que consta el acta constitutiva y, en su caso, sus reformas o modificaciones; número y fecha de las mismas; descripción del objeto social, nombres de los accionistas; capital social; y los datos de inscripción en el Registro Público de Comercio, y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b.</w:t>
      </w:r>
      <w:r w:rsidRPr="007968B8">
        <w:rPr>
          <w:rFonts w:ascii="Palatino Linotype" w:eastAsia="Palatino Linotype" w:hAnsi="Palatino Linotype" w:cs="Palatino Linotype"/>
          <w:i/>
          <w:iCs/>
        </w:rPr>
        <w:t xml:space="preserve"> Del representante: nombre del apoderado; nombre, número y circunscripción territorial del notario público o fedatario que protocolizó los instrumentos notariales; y número y fecha de éstos, en los que se asientan las facultades para suscribir la propuesta.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Los interesados que decidan agruparse para presentar una propuesta, acreditarán en forma individual los requisitos señalados, además de entregar una copia del convenio correspondiente en el que se precise la parte o partes de la obra que será responsabilidad de cada uno. El </w:t>
      </w:r>
      <w:r w:rsidRPr="007968B8">
        <w:rPr>
          <w:rFonts w:ascii="Palatino Linotype" w:eastAsia="Palatino Linotype" w:hAnsi="Palatino Linotype" w:cs="Palatino Linotype"/>
          <w:i/>
          <w:iCs/>
        </w:rPr>
        <w:lastRenderedPageBreak/>
        <w:t xml:space="preserve">representante común presentará los documentos de los integrantes de la agrupación y los del convenio.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VII.</w:t>
      </w:r>
      <w:r w:rsidRPr="007968B8">
        <w:rPr>
          <w:rFonts w:ascii="Palatino Linotype" w:eastAsia="Palatino Linotype" w:hAnsi="Palatino Linotype" w:cs="Palatino Linotype"/>
          <w:i/>
          <w:iCs/>
        </w:rPr>
        <w:t xml:space="preserve"> Documento en el que se comprometa a realizar la obra por el importe que señala, cumpliendo los requisitos determinados por el convocante;</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VIII.</w:t>
      </w:r>
      <w:r w:rsidRPr="007968B8">
        <w:rPr>
          <w:rFonts w:ascii="Palatino Linotype" w:eastAsia="Palatino Linotype" w:hAnsi="Palatino Linotype" w:cs="Palatino Linotype"/>
          <w:i/>
          <w:iCs/>
        </w:rPr>
        <w:t xml:space="preserve"> La garantía de seriedad de la propuesta: cheque cruzado o para depósito en cuenta, los que deberán ser expedidos a favor de: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w:t>
      </w:r>
      <w:r w:rsidRPr="007968B8">
        <w:rPr>
          <w:rFonts w:ascii="Palatino Linotype" w:eastAsia="Palatino Linotype" w:hAnsi="Palatino Linotype" w:cs="Palatino Linotype"/>
          <w:i/>
          <w:iCs/>
        </w:rPr>
        <w:t xml:space="preserve"> En el caso de las dependencias al Gobierno del Estado de México;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b</w:t>
      </w:r>
      <w:r w:rsidRPr="007968B8">
        <w:rPr>
          <w:rFonts w:ascii="Palatino Linotype" w:eastAsia="Palatino Linotype" w:hAnsi="Palatino Linotype" w:cs="Palatino Linotype"/>
          <w:i/>
          <w:iCs/>
        </w:rPr>
        <w:t xml:space="preserve">. En el caso de las entidades a ellas mismas; y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c.</w:t>
      </w:r>
      <w:r w:rsidRPr="007968B8">
        <w:rPr>
          <w:rFonts w:ascii="Palatino Linotype" w:eastAsia="Palatino Linotype" w:hAnsi="Palatino Linotype" w:cs="Palatino Linotype"/>
          <w:i/>
          <w:iCs/>
        </w:rPr>
        <w:t xml:space="preserve"> En el caso de los ayuntamientos a la Tesorería Municipal.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IX.</w:t>
      </w:r>
      <w:r w:rsidRPr="007968B8">
        <w:rPr>
          <w:rFonts w:ascii="Palatino Linotype" w:eastAsia="Palatino Linotype" w:hAnsi="Palatino Linotype" w:cs="Palatino Linotype"/>
          <w:i/>
          <w:iCs/>
        </w:rPr>
        <w:t xml:space="preserve"> Copia del recibo de compra u obtención de las bases.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Artículo 46</w:t>
      </w:r>
      <w:r w:rsidRPr="007968B8">
        <w:rPr>
          <w:rFonts w:ascii="Palatino Linotype" w:eastAsia="Palatino Linotype" w:hAnsi="Palatino Linotype" w:cs="Palatino Linotype"/>
          <w:i/>
          <w:iCs/>
        </w:rPr>
        <w:t xml:space="preserve">.- Atendiendo a las características, complejidad y magnitud de los trabajos, el convocante podrá requerir al licitante que en su propuesta incluya la documentación relacionada con su experiencia profesional: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w:t>
      </w:r>
      <w:r w:rsidRPr="007968B8">
        <w:rPr>
          <w:rFonts w:ascii="Palatino Linotype" w:eastAsia="Palatino Linotype" w:hAnsi="Palatino Linotype" w:cs="Palatino Linotype"/>
          <w:i/>
          <w:iCs/>
        </w:rPr>
        <w:t xml:space="preserve"> Manifestación de conocer los proyectos arquitectónicos y de ingeniería; las normas técnicas y de calidad de los materiales; las especificaciones generales y particulares de construcción contenidas en la licitación; y las leyes y reglamentos aplicables;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II.</w:t>
      </w:r>
      <w:r w:rsidRPr="007968B8">
        <w:rPr>
          <w:rFonts w:ascii="Palatino Linotype" w:eastAsia="Palatino Linotype" w:hAnsi="Palatino Linotype" w:cs="Palatino Linotype"/>
          <w:i/>
          <w:iCs/>
        </w:rPr>
        <w:t xml:space="preserve"> Descripción de la planeación de los trabajos, especialmente del procedimiento constructivo. El convocante señalará las condicionantes técnicas que procedan conforme a los proyectos;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III.</w:t>
      </w:r>
      <w:r w:rsidRPr="007968B8">
        <w:rPr>
          <w:rFonts w:ascii="Palatino Linotype" w:eastAsia="Palatino Linotype" w:hAnsi="Palatino Linotype" w:cs="Palatino Linotype"/>
          <w:i/>
          <w:iCs/>
        </w:rPr>
        <w:t xml:space="preserve"> Relación comprobable de los trabajos realizados por el licitante y su personal, que acrediten la experiencia y la capacidad técnica solicitadas, con el nombre del contratante; la descripción de las obras y su participación en ellas; los importes totales, ejercidos y por ejercer; y las fechas de inicio y terminación previstas;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IV</w:t>
      </w:r>
      <w:r w:rsidRPr="007968B8">
        <w:rPr>
          <w:rFonts w:ascii="Palatino Linotype" w:eastAsia="Palatino Linotype" w:hAnsi="Palatino Linotype" w:cs="Palatino Linotype"/>
          <w:i/>
          <w:iCs/>
        </w:rPr>
        <w:t xml:space="preserve">. Currículos de los profesionales al servicio del licitante con experiencia en obras de características técnicas y magnitud similares; identificando a los que se encargarán de la ejecución y administración de la obra;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lastRenderedPageBreak/>
        <w:t>V</w:t>
      </w:r>
      <w:r w:rsidRPr="007968B8">
        <w:rPr>
          <w:rFonts w:ascii="Palatino Linotype" w:eastAsia="Palatino Linotype" w:hAnsi="Palatino Linotype" w:cs="Palatino Linotype"/>
          <w:i/>
          <w:iCs/>
        </w:rPr>
        <w:t xml:space="preserve">. Así mismo el documento que certifique los conocimientos y habilidades de los profesionales responsables de formular precios unitarios y de la superintendencia de construcción.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w:t>
      </w:r>
      <w:r w:rsidRPr="007968B8">
        <w:rPr>
          <w:rFonts w:ascii="Palatino Linotype" w:eastAsia="Palatino Linotype" w:hAnsi="Palatino Linotype" w:cs="Palatino Linotype"/>
          <w:i/>
          <w:iCs/>
        </w:rPr>
        <w:t xml:space="preserve"> En su caso, escrito en el que señale la parte de los trabajos que subcontratará y la información necesaria que acredite la experiencia y capacidad técnica y económica del o los subcontratistas;</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VII.</w:t>
      </w:r>
      <w:r w:rsidRPr="007968B8">
        <w:rPr>
          <w:rFonts w:ascii="Palatino Linotype" w:eastAsia="Palatino Linotype" w:hAnsi="Palatino Linotype" w:cs="Palatino Linotype"/>
          <w:i/>
          <w:iCs/>
        </w:rPr>
        <w:t xml:space="preserve"> En su caso, manifestación de conocer y haber considerado en su propuesta los materiales y equipos de instalación permanente que le proporcionará el convocante y el programa de suministro correspondiente;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VIII.</w:t>
      </w:r>
      <w:r w:rsidRPr="007968B8">
        <w:rPr>
          <w:rFonts w:ascii="Palatino Linotype" w:eastAsia="Palatino Linotype" w:hAnsi="Palatino Linotype" w:cs="Palatino Linotype"/>
          <w:i/>
          <w:iCs/>
        </w:rPr>
        <w:t xml:space="preserve"> Constancia expedida por el convocante de haber visitado el sitio de los trabajos y manifestación escrita de conocer sus condiciones ambientales; IX. Manifestación de haber considerado las modificaciones que, en su caso, se hayan efectuado a las bases de licitación;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X</w:t>
      </w:r>
      <w:r w:rsidRPr="007968B8">
        <w:rPr>
          <w:rFonts w:ascii="Palatino Linotype" w:eastAsia="Palatino Linotype" w:hAnsi="Palatino Linotype" w:cs="Palatino Linotype"/>
          <w:i/>
          <w:iCs/>
        </w:rPr>
        <w:t xml:space="preserve">. Manifestación de que los precios consignados en su propuesta no se cotizan en condiciones de prácticas desleales de comercio internacional en su modalidad de discriminación de precios o de subsidios, en el caso de que se requiriesen materiales, maquinaria y equipo de instalación permanente de origen extranjero;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XI.</w:t>
      </w:r>
      <w:r w:rsidRPr="007968B8">
        <w:rPr>
          <w:rFonts w:ascii="Palatino Linotype" w:eastAsia="Palatino Linotype" w:hAnsi="Palatino Linotype" w:cs="Palatino Linotype"/>
          <w:i/>
          <w:iCs/>
        </w:rPr>
        <w:t xml:space="preserve"> Manifestación escrita de que conoce y aplicará, en su caso, las distintas disposiciones en materia de protección ambiental y ecológica;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XII.</w:t>
      </w:r>
      <w:r w:rsidRPr="007968B8">
        <w:rPr>
          <w:rFonts w:ascii="Palatino Linotype" w:eastAsia="Palatino Linotype" w:hAnsi="Palatino Linotype" w:cs="Palatino Linotype"/>
          <w:i/>
          <w:iCs/>
        </w:rPr>
        <w:t xml:space="preserve"> Relación de maquinaria y equipo de construcción, indicando si son de su propiedad o en arrendamiento, con o sin opción a compra; modelo y usos actuales; su ubicación física; la fecha en que se dispondrá de ellos en el sitio de la obra. Para la maquinaria o equipo de construcción en arrendamiento, deberá presentar carta compromiso de arrendamiento y disponibilidad en el caso de que resultare ganador;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XIII</w:t>
      </w:r>
      <w:r w:rsidRPr="007968B8">
        <w:rPr>
          <w:rFonts w:ascii="Palatino Linotype" w:eastAsia="Palatino Linotype" w:hAnsi="Palatino Linotype" w:cs="Palatino Linotype"/>
          <w:i/>
          <w:iCs/>
        </w:rPr>
        <w:t>. Manifestación de conocer el contenido del modelo del contrato y su conformidad de ajustarse a sus términos.</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Artículo 49</w:t>
      </w:r>
      <w:r w:rsidRPr="007968B8">
        <w:rPr>
          <w:rFonts w:ascii="Palatino Linotype" w:eastAsia="Palatino Linotype" w:hAnsi="Palatino Linotype" w:cs="Palatino Linotype"/>
          <w:i/>
          <w:iCs/>
        </w:rPr>
        <w:t xml:space="preserve">.- Los licitantes son los únicos responsables de que sus propuestas sean entregadas en tiempo y forma en el acto de presentación </w:t>
      </w:r>
      <w:r w:rsidRPr="007968B8">
        <w:rPr>
          <w:rFonts w:ascii="Palatino Linotype" w:eastAsia="Palatino Linotype" w:hAnsi="Palatino Linotype" w:cs="Palatino Linotype"/>
          <w:i/>
          <w:iCs/>
        </w:rPr>
        <w:lastRenderedPageBreak/>
        <w:t>y apertura de propuestas. Todos los documentos de la propuesta deberán estar foliados y firmados por el licitante o su representante legal, se entregarán en un sobre cerrado que contendrá:</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w:t>
      </w:r>
      <w:r w:rsidRPr="007968B8">
        <w:rPr>
          <w:rFonts w:ascii="Palatino Linotype" w:eastAsia="Palatino Linotype" w:hAnsi="Palatino Linotype" w:cs="Palatino Linotype"/>
          <w:i/>
          <w:iCs/>
        </w:rPr>
        <w:t xml:space="preserve"> La documentación legal y administrativa;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II.</w:t>
      </w:r>
      <w:r w:rsidRPr="007968B8">
        <w:rPr>
          <w:rFonts w:ascii="Palatino Linotype" w:eastAsia="Palatino Linotype" w:hAnsi="Palatino Linotype" w:cs="Palatino Linotype"/>
          <w:i/>
          <w:iCs/>
        </w:rPr>
        <w:t xml:space="preserve"> La propuesta y económica.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El licitante deberá identificar los sobres con el nombre de la dependencia, entidad o ayuntamiento; número y denominación de la licitación, la fecha, nombre o razón social del licitante y el contenido del sobre.</w:t>
      </w:r>
    </w:p>
    <w:p w:rsidR="006D5D3E" w:rsidRPr="007968B8" w:rsidRDefault="006D5D3E">
      <w:pPr>
        <w:spacing w:before="120" w:after="120"/>
        <w:ind w:left="1134" w:right="1134"/>
        <w:jc w:val="both"/>
        <w:rPr>
          <w:rFonts w:ascii="Palatino Linotype" w:eastAsia="Palatino Linotype" w:hAnsi="Palatino Linotype" w:cs="Palatino Linotype"/>
          <w:i/>
          <w:iCs/>
        </w:rPr>
      </w:pP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Artículo 69</w:t>
      </w:r>
      <w:r w:rsidRPr="007968B8">
        <w:rPr>
          <w:rFonts w:ascii="Palatino Linotype" w:eastAsia="Palatino Linotype" w:hAnsi="Palatino Linotype" w:cs="Palatino Linotype"/>
          <w:i/>
          <w:iCs/>
        </w:rPr>
        <w:t xml:space="preserve">.- Cuando las dependencias, entidades y ayuntamientos determinen optar por las modalidades de invitación restringida o adjudicación directa, deberán respaldar su determinación en un estudio que fundamente su conveniencia por ofrecer mejores condiciones para el Estado de México, tomando en cuenta los siguientes criterios: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 xml:space="preserve">I. </w:t>
      </w:r>
      <w:r w:rsidRPr="007968B8">
        <w:rPr>
          <w:rFonts w:ascii="Palatino Linotype" w:eastAsia="Palatino Linotype" w:hAnsi="Palatino Linotype" w:cs="Palatino Linotype"/>
          <w:i/>
          <w:iCs/>
        </w:rPr>
        <w:t xml:space="preserve">Economía, que signifique un menor costo de la obra o servicio;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II</w:t>
      </w:r>
      <w:r w:rsidRPr="007968B8">
        <w:rPr>
          <w:rFonts w:ascii="Palatino Linotype" w:eastAsia="Palatino Linotype" w:hAnsi="Palatino Linotype" w:cs="Palatino Linotype"/>
          <w:i/>
          <w:iCs/>
        </w:rPr>
        <w:t xml:space="preserve">. Oportunidad, que permita satisfacer la necesidad que se atiende con la obra pública o servicio en el menor lapso posible;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III.</w:t>
      </w:r>
      <w:r w:rsidRPr="007968B8">
        <w:rPr>
          <w:rFonts w:ascii="Palatino Linotype" w:eastAsia="Palatino Linotype" w:hAnsi="Palatino Linotype" w:cs="Palatino Linotype"/>
          <w:i/>
          <w:iCs/>
        </w:rPr>
        <w:t xml:space="preserve"> Eficacia, que la obra o servicio satisfaga la necesidad que la origina;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IV</w:t>
      </w:r>
      <w:r w:rsidRPr="007968B8">
        <w:rPr>
          <w:rFonts w:ascii="Palatino Linotype" w:eastAsia="Palatino Linotype" w:hAnsi="Palatino Linotype" w:cs="Palatino Linotype"/>
          <w:i/>
          <w:iCs/>
        </w:rPr>
        <w:t xml:space="preserve">. Eficiencia, que se dé el máximo aprovechamiento de los recursos que la dependencia, entidad o ayuntamiento asigne a la obra o servicio;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w:t>
      </w:r>
      <w:r w:rsidRPr="007968B8">
        <w:rPr>
          <w:rFonts w:ascii="Palatino Linotype" w:eastAsia="Palatino Linotype" w:hAnsi="Palatino Linotype" w:cs="Palatino Linotype"/>
          <w:i/>
          <w:iCs/>
        </w:rPr>
        <w:t xml:space="preserve">. Imparcialidad, que la adjudicación de la obra o servicio se realice sin favorecer a ninguno de los interesados;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w:t>
      </w:r>
      <w:r w:rsidRPr="007968B8">
        <w:rPr>
          <w:rFonts w:ascii="Palatino Linotype" w:eastAsia="Palatino Linotype" w:hAnsi="Palatino Linotype" w:cs="Palatino Linotype"/>
          <w:i/>
          <w:iCs/>
        </w:rPr>
        <w:t xml:space="preserve">. Honradez, que garantice una justa prestación para las partes involucradas;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VII</w:t>
      </w:r>
      <w:r w:rsidRPr="007968B8">
        <w:rPr>
          <w:rFonts w:ascii="Palatino Linotype" w:eastAsia="Palatino Linotype" w:hAnsi="Palatino Linotype" w:cs="Palatino Linotype"/>
          <w:i/>
          <w:iCs/>
        </w:rPr>
        <w:t>. Transparencia, que se respeten escrupulosamente en la adjudicación de la obra o servicio los procedimientos establecidos en el Libro y en este Reglamento.</w:t>
      </w:r>
    </w:p>
    <w:p w:rsidR="006D5D3E" w:rsidRPr="007968B8" w:rsidRDefault="00D97976">
      <w:pPr>
        <w:spacing w:before="120" w:after="120"/>
        <w:ind w:left="1134" w:right="1134"/>
        <w:jc w:val="both"/>
        <w:rPr>
          <w:rFonts w:ascii="Palatino Linotype" w:eastAsia="Palatino Linotype" w:hAnsi="Palatino Linotype" w:cs="Palatino Linotype"/>
          <w:b/>
          <w:bCs/>
          <w:i/>
          <w:iCs/>
        </w:rPr>
      </w:pPr>
      <w:r w:rsidRPr="007968B8">
        <w:rPr>
          <w:rFonts w:ascii="Palatino Linotype" w:eastAsia="Palatino Linotype" w:hAnsi="Palatino Linotype" w:cs="Palatino Linotype"/>
          <w:b/>
          <w:bCs/>
          <w:i/>
          <w:iCs/>
        </w:rPr>
        <w:t>...</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lastRenderedPageBreak/>
        <w:t>Artículo 85</w:t>
      </w:r>
      <w:r w:rsidRPr="007968B8">
        <w:rPr>
          <w:rFonts w:ascii="Palatino Linotype" w:eastAsia="Palatino Linotype" w:hAnsi="Palatino Linotype" w:cs="Palatino Linotype"/>
          <w:i/>
          <w:iCs/>
        </w:rPr>
        <w:t xml:space="preserve">.- En caso de declararse desierto un procedimiento de licitación, la dependencia, entidad o ayuntamiento que cuente con Comité Interno de Obra Pública solicitará el dictamen de procedencia del procedimiento de invitación restringida a ese órgano colegiado; para ello, la unidad ejecutora de obra pública integrará y presentará el caso, que contendrá: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w:t>
      </w:r>
      <w:r w:rsidRPr="007968B8">
        <w:rPr>
          <w:rFonts w:ascii="Palatino Linotype" w:eastAsia="Palatino Linotype" w:hAnsi="Palatino Linotype" w:cs="Palatino Linotype"/>
          <w:i/>
          <w:iCs/>
        </w:rPr>
        <w:t xml:space="preserve"> La descripción general de la obra o servicio;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II</w:t>
      </w:r>
      <w:r w:rsidRPr="007968B8">
        <w:rPr>
          <w:rFonts w:ascii="Palatino Linotype" w:eastAsia="Palatino Linotype" w:hAnsi="Palatino Linotype" w:cs="Palatino Linotype"/>
          <w:i/>
          <w:iCs/>
        </w:rPr>
        <w:t xml:space="preserve">. El informe del procedimiento de licitación pública que fue declarado desierto;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II</w:t>
      </w:r>
      <w:r w:rsidRPr="007968B8">
        <w:rPr>
          <w:rFonts w:ascii="Palatino Linotype" w:eastAsia="Palatino Linotype" w:hAnsi="Palatino Linotype" w:cs="Palatino Linotype"/>
          <w:i/>
          <w:iCs/>
        </w:rPr>
        <w:t xml:space="preserve">I. La fecha probable de inicio de los trabajos y el plazo de ejecución de los mismos;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IV</w:t>
      </w:r>
      <w:r w:rsidRPr="007968B8">
        <w:rPr>
          <w:rFonts w:ascii="Palatino Linotype" w:eastAsia="Palatino Linotype" w:hAnsi="Palatino Linotype" w:cs="Palatino Linotype"/>
          <w:i/>
          <w:iCs/>
        </w:rPr>
        <w:t xml:space="preserve">. El presupuesto base;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w:t>
      </w:r>
      <w:r w:rsidRPr="007968B8">
        <w:rPr>
          <w:rFonts w:ascii="Palatino Linotype" w:eastAsia="Palatino Linotype" w:hAnsi="Palatino Linotype" w:cs="Palatino Linotype"/>
          <w:i/>
          <w:iCs/>
        </w:rPr>
        <w:t>. La autorización presupuestal;</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w:t>
      </w:r>
      <w:r w:rsidRPr="007968B8">
        <w:rPr>
          <w:rFonts w:ascii="Palatino Linotype" w:eastAsia="Palatino Linotype" w:hAnsi="Palatino Linotype" w:cs="Palatino Linotype"/>
          <w:i/>
          <w:iCs/>
        </w:rPr>
        <w:t xml:space="preserve">. El nombre y firma del titular del área responsable de la ejecución de los trabajos; y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VII</w:t>
      </w:r>
      <w:r w:rsidRPr="007968B8">
        <w:rPr>
          <w:rFonts w:ascii="Palatino Linotype" w:eastAsia="Palatino Linotype" w:hAnsi="Palatino Linotype" w:cs="Palatino Linotype"/>
          <w:i/>
          <w:iCs/>
        </w:rPr>
        <w:t xml:space="preserve">. El formato de caso para el dictamen de procedencia de excepción.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Cuando la dependencia, entidad o ayuntamiento no cuente con Comité Interno de Obra Pública, la unidad ejecutora de obra pública deberá integrar el caso que someterá a la autorización del titular.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En ambos procedimientos, el titular de la dependencia, entidad o ayuntamiento emitirá un acuerdo en el que autorice el procedimiento de invitación restringida por excepción a la licitación pública. En este acuerdo, se determinarán los plazos en que se realizarán cada una de las etapas.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Articulo 86.-</w:t>
      </w:r>
      <w:r w:rsidRPr="007968B8">
        <w:rPr>
          <w:rFonts w:ascii="Palatino Linotype" w:eastAsia="Palatino Linotype" w:hAnsi="Palatino Linotype" w:cs="Palatino Linotype"/>
          <w:i/>
          <w:iCs/>
        </w:rPr>
        <w:t xml:space="preserve"> En función de las características de los trabajos a realizar y a sus requerimientos de ejecución, las dependencias, entidades o ayuntamientos determinarán las características de experiencia, capacidad técnica y solvencia que deben reunir las personas que se invitarán al procedimiento de adjudicación.</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Las dependencias, entidades y ayuntamientos seleccionarán del catálogo de contratistas, que opere la Secretaría del Ramo, a cuando menos tres </w:t>
      </w:r>
      <w:r w:rsidRPr="007968B8">
        <w:rPr>
          <w:rFonts w:ascii="Palatino Linotype" w:eastAsia="Palatino Linotype" w:hAnsi="Palatino Linotype" w:cs="Palatino Linotype"/>
          <w:i/>
          <w:iCs/>
        </w:rPr>
        <w:lastRenderedPageBreak/>
        <w:t xml:space="preserve">personas que serán invitadas a presentar propuestas; asimismo, formularán los oficios de invitación que contendrán: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w:t>
      </w:r>
      <w:r w:rsidRPr="007968B8">
        <w:rPr>
          <w:rFonts w:ascii="Palatino Linotype" w:eastAsia="Palatino Linotype" w:hAnsi="Palatino Linotype" w:cs="Palatino Linotype"/>
          <w:i/>
          <w:iCs/>
        </w:rPr>
        <w:t xml:space="preserve">. El nombre del convocante;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II.</w:t>
      </w:r>
      <w:r w:rsidRPr="007968B8">
        <w:rPr>
          <w:rFonts w:ascii="Palatino Linotype" w:eastAsia="Palatino Linotype" w:hAnsi="Palatino Linotype" w:cs="Palatino Linotype"/>
          <w:i/>
          <w:iCs/>
        </w:rPr>
        <w:t xml:space="preserve"> El nombre y la ubicación de la obra o servicio;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III.</w:t>
      </w:r>
      <w:r w:rsidRPr="007968B8">
        <w:rPr>
          <w:rFonts w:ascii="Palatino Linotype" w:eastAsia="Palatino Linotype" w:hAnsi="Palatino Linotype" w:cs="Palatino Linotype"/>
          <w:i/>
          <w:iCs/>
        </w:rPr>
        <w:t xml:space="preserve"> El nombre y domicilio del invitado y la referencia a su clave de registro en el catálogo de contratistas;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IV</w:t>
      </w:r>
      <w:r w:rsidRPr="007968B8">
        <w:rPr>
          <w:rFonts w:ascii="Palatino Linotype" w:eastAsia="Palatino Linotype" w:hAnsi="Palatino Linotype" w:cs="Palatino Linotype"/>
          <w:i/>
          <w:iCs/>
        </w:rPr>
        <w:t xml:space="preserve">. La invitación expresa y el señalamiento de las fechas previstas para las etapas del procedimiento;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w:t>
      </w:r>
      <w:r w:rsidRPr="007968B8">
        <w:rPr>
          <w:rFonts w:ascii="Palatino Linotype" w:eastAsia="Palatino Linotype" w:hAnsi="Palatino Linotype" w:cs="Palatino Linotype"/>
          <w:i/>
          <w:iCs/>
        </w:rPr>
        <w:t xml:space="preserve">. La indicación de que se anexan las bases de la invitación;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w:t>
      </w:r>
      <w:r w:rsidRPr="007968B8">
        <w:rPr>
          <w:rFonts w:ascii="Palatino Linotype" w:eastAsia="Palatino Linotype" w:hAnsi="Palatino Linotype" w:cs="Palatino Linotype"/>
          <w:i/>
          <w:iCs/>
        </w:rPr>
        <w:t xml:space="preserve">. Nombre y firma del servidor público responsable del proceso;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VII</w:t>
      </w:r>
      <w:r w:rsidRPr="007968B8">
        <w:rPr>
          <w:rFonts w:ascii="Palatino Linotype" w:eastAsia="Palatino Linotype" w:hAnsi="Palatino Linotype" w:cs="Palatino Linotype"/>
          <w:i/>
          <w:iCs/>
        </w:rPr>
        <w:t xml:space="preserve">. El origen de los recursos para la realización de la obra o servicio; y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VIII.</w:t>
      </w:r>
      <w:r w:rsidRPr="007968B8">
        <w:rPr>
          <w:rFonts w:ascii="Palatino Linotype" w:eastAsia="Palatino Linotype" w:hAnsi="Palatino Linotype" w:cs="Palatino Linotype"/>
          <w:i/>
          <w:iCs/>
        </w:rPr>
        <w:t xml:space="preserve"> El plazo de ejecución de los trabajos, indicando la fecha estimada de inicio de los mismos.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Articulo 87.-</w:t>
      </w:r>
      <w:r w:rsidRPr="007968B8">
        <w:rPr>
          <w:rFonts w:ascii="Palatino Linotype" w:eastAsia="Palatino Linotype" w:hAnsi="Palatino Linotype" w:cs="Palatino Linotype"/>
          <w:i/>
          <w:iCs/>
        </w:rPr>
        <w:t xml:space="preserve"> </w:t>
      </w:r>
      <w:r w:rsidRPr="007968B8">
        <w:rPr>
          <w:rFonts w:ascii="Palatino Linotype" w:eastAsia="Palatino Linotype" w:hAnsi="Palatino Linotype" w:cs="Palatino Linotype"/>
          <w:b/>
          <w:bCs/>
          <w:i/>
          <w:iCs/>
        </w:rPr>
        <w:t>El procedimiento de invitación restringida seguirá los mismos pasos que el de licitación pública salvo la publicación de la convocatoria</w:t>
      </w:r>
      <w:r w:rsidRPr="007968B8">
        <w:rPr>
          <w:rFonts w:ascii="Palatino Linotype" w:eastAsia="Palatino Linotype" w:hAnsi="Palatino Linotype" w:cs="Palatino Linotype"/>
          <w:i/>
          <w:iCs/>
        </w:rPr>
        <w:t>, misma que se sustituye por la invitación señalada en el artículo anterior.</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Artículo 88.-</w:t>
      </w:r>
      <w:r w:rsidRPr="007968B8">
        <w:rPr>
          <w:rFonts w:ascii="Palatino Linotype" w:eastAsia="Palatino Linotype" w:hAnsi="Palatino Linotype" w:cs="Palatino Linotype"/>
          <w:i/>
          <w:iCs/>
        </w:rPr>
        <w:t xml:space="preserve"> Si la dependencia, entidad o ayuntamiento necesita llevar a cabo un procedimiento de adjudicación directa, salvo que las obras o servicios a contratar no rebasen los montos establecidos por el Presupuesto de Egresos del Gobierno del Estado de México del ejercicio correspondiente y cuenta con Comité Interno de Obra Pública, se solicitará a ese órgano colegiado el dictamen de procedencia del procedimiento de adjudicación directa; para ello, la unidad ejecutora de obra pública o servicio integrará y presentará el caso conforme se señalo en el procedimiento de invitación restringida.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Cuando la dependencia, entidad o ayuntamiento no cuente con Comité Interno de Obra Pública, la unidad ejecutora de obra pública deberá integrar el caso que someterá a la autorización del titular.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lastRenderedPageBreak/>
        <w:t>Artículo 89.</w:t>
      </w:r>
      <w:r w:rsidRPr="007968B8">
        <w:rPr>
          <w:rFonts w:ascii="Palatino Linotype" w:eastAsia="Palatino Linotype" w:hAnsi="Palatino Linotype" w:cs="Palatino Linotype"/>
          <w:i/>
          <w:iCs/>
        </w:rPr>
        <w:t>- El titular de la dependencia, entidad o ayuntamiento emitirá un acuerdo en el que autorice el procedimiento de adjudicación directa.</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Articulo 91</w:t>
      </w:r>
      <w:r w:rsidRPr="007968B8">
        <w:rPr>
          <w:rFonts w:ascii="Palatino Linotype" w:eastAsia="Palatino Linotype" w:hAnsi="Palatino Linotype" w:cs="Palatino Linotype"/>
          <w:i/>
          <w:iCs/>
        </w:rPr>
        <w:t>.- El convocante recibirá de la persona invitada la documentación de su propuesta para su evaluación la revisará y, en su caso, procederá a formular el contrato correspondiente.”</w:t>
      </w:r>
    </w:p>
    <w:p w:rsidR="006D5D3E" w:rsidRPr="007968B8" w:rsidRDefault="006D5D3E">
      <w:pPr>
        <w:spacing w:before="120" w:after="120"/>
        <w:ind w:left="1134" w:right="1134"/>
        <w:jc w:val="both"/>
        <w:rPr>
          <w:rFonts w:ascii="Palatino Linotype" w:eastAsia="Palatino Linotype" w:hAnsi="Palatino Linotype" w:cs="Palatino Linotype"/>
          <w:i/>
          <w:iCs/>
        </w:rPr>
      </w:pPr>
    </w:p>
    <w:p w:rsidR="006D5D3E" w:rsidRPr="007968B8" w:rsidRDefault="00D97976">
      <w:pPr>
        <w:numPr>
          <w:ilvl w:val="0"/>
          <w:numId w:val="9"/>
        </w:numPr>
        <w:pBdr>
          <w:top w:val="nil"/>
          <w:left w:val="nil"/>
          <w:bottom w:val="nil"/>
          <w:right w:val="nil"/>
          <w:between w:val="nil"/>
        </w:pBdr>
        <w:spacing w:before="240" w:after="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Relativo al procedimiento de contratación, el artículo 12.38 del Libro Décimo Segundo del Código Administrativo de la entidad, dispone que la adjudicación de la obra o servicios relacionados con la misma obligará a la dependencia, entidad o ayuntamiento y a la persona en que hubiere recaído, a suscribir el contrato respectivo dentro de los diez días hábiles siguientes al de la notificación del fallo, por lo que los contratos de obra pública y servicios relacionados con la misma, deben contener, como mínimo los requisitos que establece el artículo 104 del Reglamento del Libro Décimo Segundo del Código Administrativo, a saber:</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w:t>
      </w:r>
      <w:r w:rsidRPr="007968B8">
        <w:rPr>
          <w:rFonts w:ascii="Palatino Linotype" w:eastAsia="Palatino Linotype" w:hAnsi="Palatino Linotype" w:cs="Palatino Linotype"/>
          <w:i/>
          <w:iCs/>
        </w:rPr>
        <w:t xml:space="preserve">. La autorización presupuestal para cubrir el compromiso derivado del contrato y sus anexos;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II</w:t>
      </w:r>
      <w:r w:rsidRPr="007968B8">
        <w:rPr>
          <w:rFonts w:ascii="Palatino Linotype" w:eastAsia="Palatino Linotype" w:hAnsi="Palatino Linotype" w:cs="Palatino Linotype"/>
          <w:i/>
          <w:iCs/>
        </w:rPr>
        <w:t>. La indicación del procedimiento conforme al cual se adjudicó el contrato;</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III.</w:t>
      </w:r>
      <w:r w:rsidRPr="007968B8">
        <w:rPr>
          <w:rFonts w:ascii="Palatino Linotype" w:eastAsia="Palatino Linotype" w:hAnsi="Palatino Linotype" w:cs="Palatino Linotype"/>
          <w:i/>
          <w:iCs/>
        </w:rPr>
        <w:t xml:space="preserve"> La descripción pormenorizada de los trabajos que se deban ejecutar, debiendo acompañar los proyectos, planos, especificaciones, programas y presupuestos como parte integrante del contrato en el caso de las obras; tratándose de servicios, los términos de referencia;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IV</w:t>
      </w:r>
      <w:r w:rsidRPr="007968B8">
        <w:rPr>
          <w:rFonts w:ascii="Palatino Linotype" w:eastAsia="Palatino Linotype" w:hAnsi="Palatino Linotype" w:cs="Palatino Linotype"/>
          <w:i/>
          <w:iCs/>
        </w:rPr>
        <w:t xml:space="preserve">. </w:t>
      </w:r>
      <w:r w:rsidRPr="007968B8">
        <w:rPr>
          <w:rFonts w:ascii="Palatino Linotype" w:eastAsia="Palatino Linotype" w:hAnsi="Palatino Linotype" w:cs="Palatino Linotype"/>
          <w:b/>
          <w:bCs/>
          <w:i/>
          <w:iCs/>
        </w:rPr>
        <w:t>El precio a pagar por los trabajos objeto del contrato</w:t>
      </w:r>
      <w:r w:rsidRPr="007968B8">
        <w:rPr>
          <w:rFonts w:ascii="Palatino Linotype" w:eastAsia="Palatino Linotype" w:hAnsi="Palatino Linotype" w:cs="Palatino Linotype"/>
          <w:i/>
          <w:iCs/>
        </w:rPr>
        <w:t xml:space="preserve">. En el caso de contratos mixtos, la parte y el monto que se cubrirá sobre la base de precios unitarios y la correspondiente a precio alzado;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lastRenderedPageBreak/>
        <w:t>V</w:t>
      </w:r>
      <w:r w:rsidRPr="007968B8">
        <w:rPr>
          <w:rFonts w:ascii="Palatino Linotype" w:eastAsia="Palatino Linotype" w:hAnsi="Palatino Linotype" w:cs="Palatino Linotype"/>
          <w:i/>
          <w:iCs/>
        </w:rPr>
        <w:t xml:space="preserve">. </w:t>
      </w:r>
      <w:r w:rsidRPr="007968B8">
        <w:rPr>
          <w:rFonts w:ascii="Palatino Linotype" w:eastAsia="Palatino Linotype" w:hAnsi="Palatino Linotype" w:cs="Palatino Linotype"/>
          <w:b/>
          <w:bCs/>
          <w:i/>
          <w:iCs/>
        </w:rPr>
        <w:t>El plazo de ejecución de los trabajos</w:t>
      </w:r>
      <w:r w:rsidRPr="007968B8">
        <w:rPr>
          <w:rFonts w:ascii="Palatino Linotype" w:eastAsia="Palatino Linotype" w:hAnsi="Palatino Linotype" w:cs="Palatino Linotype"/>
          <w:i/>
          <w:iCs/>
        </w:rPr>
        <w:t xml:space="preserve"> determinado en días naturales, indicando la fecha de inicio y término de los mismos, así como el plazo para la recepción física de los trabajos y la elaboración del finiquito, los cuales deben ser establecidos de acuerdo con las características, complejidad y magnitud de los trabajos;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w:t>
      </w:r>
      <w:r w:rsidRPr="007968B8">
        <w:rPr>
          <w:rFonts w:ascii="Palatino Linotype" w:eastAsia="Palatino Linotype" w:hAnsi="Palatino Linotype" w:cs="Palatino Linotype"/>
          <w:i/>
          <w:iCs/>
        </w:rPr>
        <w:t xml:space="preserve">. Porcentajes, número y fechas de las exhibiciones y amortización de los anticipos que se otorguen;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VII</w:t>
      </w:r>
      <w:r w:rsidRPr="007968B8">
        <w:rPr>
          <w:rFonts w:ascii="Palatino Linotype" w:eastAsia="Palatino Linotype" w:hAnsi="Palatino Linotype" w:cs="Palatino Linotype"/>
          <w:i/>
          <w:iCs/>
        </w:rPr>
        <w:t>. Forma y términos de garantizar la correcta inversión de los anticipos y el cumplimiento del contrato;</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VIII</w:t>
      </w:r>
      <w:r w:rsidRPr="007968B8">
        <w:rPr>
          <w:rFonts w:ascii="Palatino Linotype" w:eastAsia="Palatino Linotype" w:hAnsi="Palatino Linotype" w:cs="Palatino Linotype"/>
          <w:i/>
          <w:iCs/>
        </w:rPr>
        <w:t xml:space="preserve">. </w:t>
      </w:r>
      <w:r w:rsidRPr="007968B8">
        <w:rPr>
          <w:rFonts w:ascii="Palatino Linotype" w:eastAsia="Palatino Linotype" w:hAnsi="Palatino Linotype" w:cs="Palatino Linotype"/>
          <w:b/>
          <w:bCs/>
          <w:i/>
          <w:iCs/>
        </w:rPr>
        <w:t>Plazos, forma y lugar de pago de las estimaciones de trabajos ejecutados y, cuando corresponda, de los ajustes de costos;</w:t>
      </w:r>
      <w:r w:rsidRPr="007968B8">
        <w:rPr>
          <w:rFonts w:ascii="Palatino Linotype" w:eastAsia="Palatino Linotype" w:hAnsi="Palatino Linotype" w:cs="Palatino Linotype"/>
          <w:i/>
          <w:iCs/>
        </w:rPr>
        <w:t xml:space="preserve">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IX.</w:t>
      </w:r>
      <w:r w:rsidRPr="007968B8">
        <w:rPr>
          <w:rFonts w:ascii="Palatino Linotype" w:eastAsia="Palatino Linotype" w:hAnsi="Palatino Linotype" w:cs="Palatino Linotype"/>
          <w:i/>
          <w:iCs/>
        </w:rPr>
        <w:t xml:space="preserve"> Penas convencionales por atraso en la ejecución de los trabajos por causas imputables a los contratistas, determinadas únicamente en función del incumplimiento al programa convenido, las que en ningún caso podrán ser superiores, en su conjunto, al monto de la garantía de cumplimiento. El contratante deberá establecer los términos, forma y porcentajes para aplicar las penas convencionales;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X</w:t>
      </w:r>
      <w:r w:rsidRPr="007968B8">
        <w:rPr>
          <w:rFonts w:ascii="Palatino Linotype" w:eastAsia="Palatino Linotype" w:hAnsi="Palatino Linotype" w:cs="Palatino Linotype"/>
          <w:i/>
          <w:iCs/>
        </w:rPr>
        <w:t xml:space="preserve">. Términos en que el contratista, en su caso, reintegrará las cantidades que hubiere recibido en exceso por la contratación o durante la ejecución de los trabajos, para lo cual se utilizará el procedimiento que se establezca;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XI</w:t>
      </w:r>
      <w:r w:rsidRPr="007968B8">
        <w:rPr>
          <w:rFonts w:ascii="Palatino Linotype" w:eastAsia="Palatino Linotype" w:hAnsi="Palatino Linotype" w:cs="Palatino Linotype"/>
          <w:i/>
          <w:iCs/>
        </w:rPr>
        <w:t xml:space="preserve">. Procedimiento de ajuste de costos que deberá ser el determinado desde las bases de la licitación por el convocante, el cual deberá regir durante la vigencia del contrato;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XII</w:t>
      </w:r>
      <w:r w:rsidRPr="007968B8">
        <w:rPr>
          <w:rFonts w:ascii="Palatino Linotype" w:eastAsia="Palatino Linotype" w:hAnsi="Palatino Linotype" w:cs="Palatino Linotype"/>
          <w:i/>
          <w:iCs/>
        </w:rPr>
        <w:t xml:space="preserve">. Causales y procedimiento mediante los cuales el contratante podrá dar por rescindido el contrato en los términos de este Reglamento;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 xml:space="preserve">XIII. </w:t>
      </w:r>
      <w:r w:rsidRPr="007968B8">
        <w:rPr>
          <w:rFonts w:ascii="Palatino Linotype" w:eastAsia="Palatino Linotype" w:hAnsi="Palatino Linotype" w:cs="Palatino Linotype"/>
          <w:i/>
          <w:iCs/>
        </w:rPr>
        <w:t>Los procedimientos mediante los cuales las partes resolverán, entre sí, las discrepancias futuras y previsibles sobre problemas específicos de carácter técnico y administrativo;</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lastRenderedPageBreak/>
        <w:t>XIV</w:t>
      </w:r>
      <w:r w:rsidRPr="007968B8">
        <w:rPr>
          <w:rFonts w:ascii="Palatino Linotype" w:eastAsia="Palatino Linotype" w:hAnsi="Palatino Linotype" w:cs="Palatino Linotype"/>
          <w:i/>
          <w:iCs/>
        </w:rPr>
        <w:t xml:space="preserve">. Señalamiento del domicilio en el Estado para oír y recibir notificaciones; y </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 xml:space="preserve">XV. </w:t>
      </w:r>
      <w:r w:rsidRPr="007968B8">
        <w:rPr>
          <w:rFonts w:ascii="Palatino Linotype" w:eastAsia="Palatino Linotype" w:hAnsi="Palatino Linotype" w:cs="Palatino Linotype"/>
          <w:i/>
          <w:iCs/>
        </w:rPr>
        <w:t xml:space="preserve">Manifestación de renuncia expresa al fuero que les pudiera corresponder en función de su domicilio presente o futuro en el caso de que no se encuentre en el Estado de México. </w:t>
      </w:r>
    </w:p>
    <w:p w:rsidR="006D5D3E" w:rsidRPr="007968B8" w:rsidRDefault="006D5D3E">
      <w:pPr>
        <w:spacing w:before="240" w:after="240"/>
        <w:ind w:left="1134" w:right="1134"/>
        <w:jc w:val="both"/>
        <w:rPr>
          <w:rFonts w:ascii="Palatino Linotype" w:eastAsia="Palatino Linotype" w:hAnsi="Palatino Linotype" w:cs="Palatino Linotype"/>
          <w:i/>
          <w:iCs/>
        </w:rPr>
      </w:pPr>
    </w:p>
    <w:p w:rsidR="006D5D3E" w:rsidRPr="007968B8" w:rsidRDefault="00D97976">
      <w:pPr>
        <w:numPr>
          <w:ilvl w:val="0"/>
          <w:numId w:val="9"/>
        </w:numPr>
        <w:pBdr>
          <w:top w:val="nil"/>
          <w:left w:val="nil"/>
          <w:bottom w:val="nil"/>
          <w:right w:val="nil"/>
          <w:between w:val="nil"/>
        </w:pBdr>
        <w:spacing w:before="240" w:after="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El contrato deberá firmarse dentro de los diez días hábiles siguientes a la notificación del fallo. Se deberá entregar al contratista una copia del contrato firmado; para los efectos del Libro Décimo Segundo y su Reglamento, el contrato, sus anexos y la bitácora son los instrumentos que establecen los derechos y obligaciones de las partes, posteriormente el contratante enviará a la Secretaría del Ramo y a la Contraloría un informe de los contratos formalizados por excepción a la licitación pública durante el mes inmediato anterior, dentro de los cinco primeros días hábiles de cada mes. De la misma manera, lo harán los ayuntamientos que en esas modalidades contraten obra pública o servicios con cargo total o parcial a los recursos estatales.</w:t>
      </w:r>
    </w:p>
    <w:p w:rsidR="006D5D3E" w:rsidRPr="007968B8" w:rsidRDefault="00D97976">
      <w:pPr>
        <w:numPr>
          <w:ilvl w:val="0"/>
          <w:numId w:val="9"/>
        </w:numPr>
        <w:pBdr>
          <w:top w:val="nil"/>
          <w:left w:val="nil"/>
          <w:bottom w:val="nil"/>
          <w:right w:val="nil"/>
          <w:between w:val="nil"/>
        </w:pBdr>
        <w:spacing w:before="240" w:after="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Finalmente, por lo que se refiere a la recepción de los trabajos, los artículos 230, 231, 232, 233 y 234 del Reglamento del Libro Décimo Segundo del Código Administrativo disponen lo siguiente:</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“Artículo 230.-</w:t>
      </w:r>
      <w:r w:rsidRPr="007968B8">
        <w:rPr>
          <w:rFonts w:ascii="Palatino Linotype" w:eastAsia="Palatino Linotype" w:hAnsi="Palatino Linotype" w:cs="Palatino Linotype"/>
          <w:i/>
          <w:iCs/>
        </w:rPr>
        <w:t xml:space="preserve"> </w:t>
      </w:r>
      <w:r w:rsidRPr="007968B8">
        <w:rPr>
          <w:rFonts w:ascii="Palatino Linotype" w:eastAsia="Palatino Linotype" w:hAnsi="Palatino Linotype" w:cs="Palatino Linotype"/>
          <w:b/>
          <w:bCs/>
          <w:i/>
          <w:iCs/>
        </w:rPr>
        <w:t>Para iniciar el procedimiento de recepción de los trabajos, el contratista deberá notificar al contratante la terminación de los mismos mediante la bitácora y por escrito, anexando los documentos de soporte que incluye una relación de las estimaciones o de gastos aprobados, monto ejercido y créditos a favor o en contra</w:t>
      </w:r>
      <w:r w:rsidRPr="007968B8">
        <w:rPr>
          <w:rFonts w:ascii="Palatino Linotype" w:eastAsia="Palatino Linotype" w:hAnsi="Palatino Linotype" w:cs="Palatino Linotype"/>
          <w:i/>
          <w:iCs/>
        </w:rPr>
        <w:t xml:space="preserve">. Artículo 231.- </w:t>
      </w:r>
      <w:r w:rsidRPr="007968B8">
        <w:rPr>
          <w:rFonts w:ascii="Palatino Linotype" w:eastAsia="Palatino Linotype" w:hAnsi="Palatino Linotype" w:cs="Palatino Linotype"/>
          <w:b/>
          <w:bCs/>
          <w:i/>
          <w:iCs/>
        </w:rPr>
        <w:t xml:space="preserve">Si, durante la verificación de los trabajos, el contratante observa deficiencias, deberá solicitar al </w:t>
      </w:r>
      <w:r w:rsidRPr="007968B8">
        <w:rPr>
          <w:rFonts w:ascii="Palatino Linotype" w:eastAsia="Palatino Linotype" w:hAnsi="Palatino Linotype" w:cs="Palatino Linotype"/>
          <w:b/>
          <w:bCs/>
          <w:i/>
          <w:iCs/>
        </w:rPr>
        <w:lastRenderedPageBreak/>
        <w:t>contratista que realice las correcciones o reparaciones conforme a lo establecido en el contrato</w:t>
      </w:r>
      <w:r w:rsidRPr="007968B8">
        <w:rPr>
          <w:rFonts w:ascii="Palatino Linotype" w:eastAsia="Palatino Linotype" w:hAnsi="Palatino Linotype" w:cs="Palatino Linotype"/>
          <w:i/>
          <w:iCs/>
        </w:rPr>
        <w:t xml:space="preserve">. En este caso, el plazo de verificación de los trabajos, pactado en el contrato, se podrá ampliar por el periodo que acuerden las partes para la reparación de las deficiencias. Lo anterior, sin perjuicio de que el contratante opte por la rescisión del contrato.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Artículo 232</w:t>
      </w:r>
      <w:r w:rsidRPr="007968B8">
        <w:rPr>
          <w:rFonts w:ascii="Palatino Linotype" w:eastAsia="Palatino Linotype" w:hAnsi="Palatino Linotype" w:cs="Palatino Linotype"/>
          <w:i/>
          <w:iCs/>
        </w:rPr>
        <w:t xml:space="preserve">.- </w:t>
      </w:r>
      <w:r w:rsidRPr="007968B8">
        <w:rPr>
          <w:rFonts w:ascii="Palatino Linotype" w:eastAsia="Palatino Linotype" w:hAnsi="Palatino Linotype" w:cs="Palatino Linotype"/>
          <w:b/>
          <w:bCs/>
          <w:i/>
          <w:iCs/>
        </w:rPr>
        <w:t>En la fecha señalada, el contratante recibirá físicamente los trabajos y levantará el acta correspondiente</w:t>
      </w:r>
      <w:r w:rsidRPr="007968B8">
        <w:rPr>
          <w:rFonts w:ascii="Palatino Linotype" w:eastAsia="Palatino Linotype" w:hAnsi="Palatino Linotype" w:cs="Palatino Linotype"/>
          <w:i/>
          <w:iCs/>
        </w:rPr>
        <w:t xml:space="preserve">, que contendrá: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w:t>
      </w:r>
      <w:r w:rsidRPr="007968B8">
        <w:rPr>
          <w:rFonts w:ascii="Palatino Linotype" w:eastAsia="Palatino Linotype" w:hAnsi="Palatino Linotype" w:cs="Palatino Linotype"/>
          <w:i/>
          <w:iCs/>
        </w:rPr>
        <w:t xml:space="preserve">. Lugar, fecha y hora en que se levante;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II</w:t>
      </w:r>
      <w:r w:rsidRPr="007968B8">
        <w:rPr>
          <w:rFonts w:ascii="Palatino Linotype" w:eastAsia="Palatino Linotype" w:hAnsi="Palatino Linotype" w:cs="Palatino Linotype"/>
          <w:i/>
          <w:iCs/>
        </w:rPr>
        <w:t xml:space="preserve">. Nombre y firma del residente de obra y, en su caso, del supervisor de los trabajos y del superintendente de construcción;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III</w:t>
      </w:r>
      <w:r w:rsidRPr="007968B8">
        <w:rPr>
          <w:rFonts w:ascii="Palatino Linotype" w:eastAsia="Palatino Linotype" w:hAnsi="Palatino Linotype" w:cs="Palatino Linotype"/>
          <w:i/>
          <w:iCs/>
        </w:rPr>
        <w:t xml:space="preserve">. Nombre y firma de los representantes de las Secretarías del Ramo y de Finanzas, de la Contraloría y del área responsable de operar la obra pública que se recibe;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IV</w:t>
      </w:r>
      <w:r w:rsidRPr="007968B8">
        <w:rPr>
          <w:rFonts w:ascii="Palatino Linotype" w:eastAsia="Palatino Linotype" w:hAnsi="Palatino Linotype" w:cs="Palatino Linotype"/>
          <w:i/>
          <w:iCs/>
        </w:rPr>
        <w:t xml:space="preserve">. Descripción de los trabajos que se reciben;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w:t>
      </w:r>
      <w:r w:rsidRPr="007968B8">
        <w:rPr>
          <w:rFonts w:ascii="Palatino Linotype" w:eastAsia="Palatino Linotype" w:hAnsi="Palatino Linotype" w:cs="Palatino Linotype"/>
          <w:i/>
          <w:iCs/>
        </w:rPr>
        <w:t xml:space="preserve">. Importe contractual, incluyendo el de los convenios modificatorios;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w:t>
      </w:r>
      <w:r w:rsidRPr="007968B8">
        <w:rPr>
          <w:rFonts w:ascii="Palatino Linotype" w:eastAsia="Palatino Linotype" w:hAnsi="Palatino Linotype" w:cs="Palatino Linotype"/>
          <w:i/>
          <w:iCs/>
        </w:rPr>
        <w:t xml:space="preserve">. Periodo de ejecución de los trabajos, precisando las fechas de inicio y terminación contractual y el plazo en que realmente se ejecutaron, incluyendo los convenios;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VII</w:t>
      </w:r>
      <w:r w:rsidRPr="007968B8">
        <w:rPr>
          <w:rFonts w:ascii="Palatino Linotype" w:eastAsia="Palatino Linotype" w:hAnsi="Palatino Linotype" w:cs="Palatino Linotype"/>
          <w:i/>
          <w:iCs/>
        </w:rPr>
        <w:t>. Relación de las estimaciones pagadas y por pagar;</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VIII</w:t>
      </w:r>
      <w:r w:rsidRPr="007968B8">
        <w:rPr>
          <w:rFonts w:ascii="Palatino Linotype" w:eastAsia="Palatino Linotype" w:hAnsi="Palatino Linotype" w:cs="Palatino Linotype"/>
          <w:i/>
          <w:iCs/>
        </w:rPr>
        <w:t xml:space="preserve">. Declaración de las partes en que conste la entrega de los planos actualizados de la construcción final, así como los manuales e instructivos de operación y mantenimiento y los certificados de garantía de calidad y de servicio de los bienes instalados; y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IX</w:t>
      </w:r>
      <w:r w:rsidRPr="007968B8">
        <w:rPr>
          <w:rFonts w:ascii="Palatino Linotype" w:eastAsia="Palatino Linotype" w:hAnsi="Palatino Linotype" w:cs="Palatino Linotype"/>
          <w:i/>
          <w:iCs/>
        </w:rPr>
        <w:t>. Constancia de que el archivo de documentos derivados de la realización de los trabajos fue entregado a la residencia de obra o a la supervisión por parte del contratista.</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Artículo 233.-</w:t>
      </w:r>
      <w:r w:rsidRPr="007968B8">
        <w:rPr>
          <w:rFonts w:ascii="Palatino Linotype" w:eastAsia="Palatino Linotype" w:hAnsi="Palatino Linotype" w:cs="Palatino Linotype"/>
          <w:i/>
          <w:iCs/>
        </w:rPr>
        <w:t xml:space="preserve"> El contratante podrá efectuar recepciones parciales de los trabajos sin estar concluida la totalidad de la obra, cuando considere que hay trabajos terminados cuyos espacios pueden utilizarse y requieren </w:t>
      </w:r>
      <w:r w:rsidRPr="007968B8">
        <w:rPr>
          <w:rFonts w:ascii="Palatino Linotype" w:eastAsia="Palatino Linotype" w:hAnsi="Palatino Linotype" w:cs="Palatino Linotype"/>
          <w:i/>
          <w:iCs/>
        </w:rPr>
        <w:lastRenderedPageBreak/>
        <w:t>conservación. Para ello, levantará un acta que se apegará a lo previsto en el artículo anterior.</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Artículo 234.-</w:t>
      </w:r>
      <w:r w:rsidRPr="007968B8">
        <w:rPr>
          <w:rFonts w:ascii="Palatino Linotype" w:eastAsia="Palatino Linotype" w:hAnsi="Palatino Linotype" w:cs="Palatino Linotype"/>
          <w:i/>
          <w:iCs/>
        </w:rPr>
        <w:t xml:space="preserve"> Para dar por terminados, parcial o totalmente, los derechos y obligaciones asumidos por las partes en un contrato de obras o servicios, el contratante deberá elaborar el finiquito correspondiente, </w:t>
      </w:r>
      <w:r w:rsidRPr="007968B8">
        <w:rPr>
          <w:rFonts w:ascii="Palatino Linotype" w:eastAsia="Palatino Linotype" w:hAnsi="Palatino Linotype" w:cs="Palatino Linotype"/>
          <w:b/>
          <w:bCs/>
          <w:i/>
          <w:iCs/>
        </w:rPr>
        <w:t>anexando el acta de recepción física de los trabajos</w:t>
      </w:r>
      <w:r w:rsidRPr="007968B8">
        <w:rPr>
          <w:rFonts w:ascii="Palatino Linotype" w:eastAsia="Palatino Linotype" w:hAnsi="Palatino Linotype" w:cs="Palatino Linotype"/>
          <w:i/>
          <w:iCs/>
        </w:rPr>
        <w:t xml:space="preserve">.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Elaborado este finiquito, el contratante dará por terminado el contrato, quedando subsistentes las acciones que se deriven del finiquito y la garantía de defectos y vicios ocultos señalada en el libro en el capítulo quinto de la ejecución Después de su formalización, el contratista no podrá presentar reclamación alguna de pago.”</w:t>
      </w:r>
    </w:p>
    <w:p w:rsidR="006D5D3E" w:rsidRPr="007968B8" w:rsidRDefault="006D5D3E">
      <w:pPr>
        <w:spacing w:before="120" w:after="120"/>
        <w:ind w:left="1134" w:right="1134"/>
        <w:jc w:val="both"/>
        <w:rPr>
          <w:rFonts w:ascii="Palatino Linotype" w:eastAsia="Palatino Linotype" w:hAnsi="Palatino Linotype" w:cs="Palatino Linotype"/>
          <w:i/>
          <w:iCs/>
        </w:rPr>
      </w:pPr>
    </w:p>
    <w:p w:rsidR="006D5D3E" w:rsidRPr="007968B8" w:rsidRDefault="00D97976">
      <w:pPr>
        <w:numPr>
          <w:ilvl w:val="0"/>
          <w:numId w:val="9"/>
        </w:numPr>
        <w:pBdr>
          <w:top w:val="nil"/>
          <w:left w:val="nil"/>
          <w:bottom w:val="nil"/>
          <w:right w:val="nil"/>
          <w:between w:val="nil"/>
        </w:pBdr>
        <w:spacing w:before="240" w:after="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Por otro lado, el artículo 214 del Reglamento del Libro Décimo Segundo, establece que la ejecución de los trabajos deberá realizarse en el orden y tiempo previstos en los programas pactados en el contrato, al respecto, las atribuciones de la Contraloría Municipal, el Libro Décimo Segundo dispone lo siguiente:</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“Artículo 271</w:t>
      </w:r>
      <w:r w:rsidRPr="007968B8">
        <w:rPr>
          <w:rFonts w:ascii="Palatino Linotype" w:eastAsia="Palatino Linotype" w:hAnsi="Palatino Linotype" w:cs="Palatino Linotype"/>
          <w:i/>
          <w:iCs/>
        </w:rPr>
        <w:t xml:space="preserve">.- Las dependencias, entidades y ayuntamientos, podrán suspender temporal o definitivamente, en todo o en parte, las obras que realicen por administración directa, por razones de interés general o por cualquier causa justificada, mediante acuerdo del mismo servidor público que autorizó su realización.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Tratándose de suspensión definitiva de la obra, se deberá levantar acta circunstanciada, donde se haga constar el estado en que se encuentran los trabajos y las razones de la suspensión definitiva.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Las suspensiones temporales o definitivas que realicen las dependencias y entidades deberán comunicarse a la Secretaría del Ramo, a la Contraloría y, en el caso de las entidades, a la dependencia coordinadora de sector, dentro de los diez días naturales siguientes a la fecha en que se emita el acuerdo de suspensión.</w:t>
      </w:r>
    </w:p>
    <w:p w:rsidR="006D5D3E" w:rsidRPr="007968B8" w:rsidRDefault="00D97976">
      <w:pPr>
        <w:spacing w:before="120" w:after="120"/>
        <w:ind w:left="1134" w:right="1134"/>
        <w:jc w:val="both"/>
        <w:rPr>
          <w:rFonts w:ascii="Palatino Linotype" w:eastAsia="Palatino Linotype" w:hAnsi="Palatino Linotype" w:cs="Palatino Linotype"/>
          <w:b/>
          <w:bCs/>
          <w:i/>
          <w:iCs/>
        </w:rPr>
      </w:pPr>
      <w:r w:rsidRPr="007968B8">
        <w:rPr>
          <w:rFonts w:ascii="Palatino Linotype" w:eastAsia="Palatino Linotype" w:hAnsi="Palatino Linotype" w:cs="Palatino Linotype"/>
          <w:b/>
          <w:bCs/>
          <w:i/>
          <w:iCs/>
        </w:rPr>
        <w:lastRenderedPageBreak/>
        <w:t>Artículo 272.- La Contraloría, en las dependencias, entidades y ayuntamientos</w:t>
      </w:r>
      <w:r w:rsidRPr="007968B8">
        <w:rPr>
          <w:rFonts w:ascii="Palatino Linotype" w:eastAsia="Palatino Linotype" w:hAnsi="Palatino Linotype" w:cs="Palatino Linotype"/>
          <w:i/>
          <w:iCs/>
        </w:rPr>
        <w:t xml:space="preserve">, previo a la ejecución de los trabajos por administración directa, </w:t>
      </w:r>
      <w:r w:rsidRPr="007968B8">
        <w:rPr>
          <w:rFonts w:ascii="Palatino Linotype" w:eastAsia="Palatino Linotype" w:hAnsi="Palatino Linotype" w:cs="Palatino Linotype"/>
          <w:b/>
          <w:bCs/>
          <w:i/>
          <w:iCs/>
        </w:rPr>
        <w:t>verificará que se cuente con el presupuesto correspondiente y los programas de ejecución, de utilización de recursos humanos</w:t>
      </w:r>
      <w:r w:rsidRPr="007968B8">
        <w:rPr>
          <w:rFonts w:ascii="Palatino Linotype" w:eastAsia="Palatino Linotype" w:hAnsi="Palatino Linotype" w:cs="Palatino Linotype"/>
          <w:i/>
          <w:iCs/>
        </w:rPr>
        <w:t xml:space="preserve"> y, en su caso, de utilización de maquinaria y equipo de construcción. Asimismo, en el ejercicio de sus atribuciones </w:t>
      </w:r>
      <w:r w:rsidRPr="007968B8">
        <w:rPr>
          <w:rFonts w:ascii="Palatino Linotype" w:eastAsia="Palatino Linotype" w:hAnsi="Palatino Linotype" w:cs="Palatino Linotype"/>
          <w:b/>
          <w:bCs/>
          <w:i/>
          <w:iCs/>
        </w:rPr>
        <w:t>estará atenta al desarrollo de la obra, a su entrega-recepción y en su caso, suspensión.</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Artículo 276</w:t>
      </w:r>
      <w:r w:rsidRPr="007968B8">
        <w:rPr>
          <w:rFonts w:ascii="Palatino Linotype" w:eastAsia="Palatino Linotype" w:hAnsi="Palatino Linotype" w:cs="Palatino Linotype"/>
          <w:i/>
          <w:iCs/>
        </w:rPr>
        <w:t xml:space="preserve">.- La Contraloría llevará a cabo el seguimiento de la obra pública y servicios que realicen las dependencias, entidades y ayuntamientos en su caso. El seguimiento abarcará: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w:t>
      </w:r>
      <w:r w:rsidRPr="007968B8">
        <w:rPr>
          <w:rFonts w:ascii="Palatino Linotype" w:eastAsia="Palatino Linotype" w:hAnsi="Palatino Linotype" w:cs="Palatino Linotype"/>
          <w:i/>
          <w:iCs/>
        </w:rPr>
        <w:t xml:space="preserve"> La Planeación;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II</w:t>
      </w:r>
      <w:r w:rsidRPr="007968B8">
        <w:rPr>
          <w:rFonts w:ascii="Palatino Linotype" w:eastAsia="Palatino Linotype" w:hAnsi="Palatino Linotype" w:cs="Palatino Linotype"/>
          <w:i/>
          <w:iCs/>
        </w:rPr>
        <w:t xml:space="preserve">. La Programación y presupuestación;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III.</w:t>
      </w:r>
      <w:r w:rsidRPr="007968B8">
        <w:rPr>
          <w:rFonts w:ascii="Palatino Linotype" w:eastAsia="Palatino Linotype" w:hAnsi="Palatino Linotype" w:cs="Palatino Linotype"/>
          <w:i/>
          <w:iCs/>
        </w:rPr>
        <w:t xml:space="preserve"> La licitación pública;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IV.</w:t>
      </w:r>
      <w:r w:rsidRPr="007968B8">
        <w:rPr>
          <w:rFonts w:ascii="Palatino Linotype" w:eastAsia="Palatino Linotype" w:hAnsi="Palatino Linotype" w:cs="Palatino Linotype"/>
          <w:i/>
          <w:iCs/>
        </w:rPr>
        <w:t xml:space="preserve"> La invitación restringida;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V</w:t>
      </w:r>
      <w:r w:rsidRPr="007968B8">
        <w:rPr>
          <w:rFonts w:ascii="Palatino Linotype" w:eastAsia="Palatino Linotype" w:hAnsi="Palatino Linotype" w:cs="Palatino Linotype"/>
          <w:i/>
          <w:iCs/>
        </w:rPr>
        <w:t xml:space="preserve">. La adjudicación directa; </w:t>
      </w:r>
    </w:p>
    <w:p w:rsidR="006D5D3E" w:rsidRPr="007968B8" w:rsidRDefault="00D97976">
      <w:pPr>
        <w:spacing w:before="120" w:after="120"/>
        <w:ind w:left="1134" w:right="1134"/>
        <w:jc w:val="both"/>
        <w:rPr>
          <w:rFonts w:ascii="Palatino Linotype" w:eastAsia="Palatino Linotype" w:hAnsi="Palatino Linotype" w:cs="Palatino Linotype"/>
          <w:b/>
          <w:bCs/>
          <w:i/>
          <w:iCs/>
        </w:rPr>
      </w:pPr>
      <w:r w:rsidRPr="007968B8">
        <w:rPr>
          <w:rFonts w:ascii="Palatino Linotype" w:eastAsia="Palatino Linotype" w:hAnsi="Palatino Linotype" w:cs="Palatino Linotype"/>
          <w:b/>
          <w:bCs/>
          <w:i/>
          <w:iCs/>
        </w:rPr>
        <w:t xml:space="preserve">VI. La contratación; </w:t>
      </w:r>
    </w:p>
    <w:p w:rsidR="006D5D3E" w:rsidRPr="007968B8" w:rsidRDefault="00D97976">
      <w:pPr>
        <w:spacing w:before="120" w:after="120"/>
        <w:ind w:left="1134" w:right="1134"/>
        <w:jc w:val="both"/>
        <w:rPr>
          <w:rFonts w:ascii="Palatino Linotype" w:eastAsia="Palatino Linotype" w:hAnsi="Palatino Linotype" w:cs="Palatino Linotype"/>
          <w:b/>
          <w:bCs/>
          <w:i/>
          <w:iCs/>
        </w:rPr>
      </w:pPr>
      <w:r w:rsidRPr="007968B8">
        <w:rPr>
          <w:rFonts w:ascii="Palatino Linotype" w:eastAsia="Palatino Linotype" w:hAnsi="Palatino Linotype" w:cs="Palatino Linotype"/>
          <w:b/>
          <w:bCs/>
          <w:i/>
          <w:iCs/>
        </w:rPr>
        <w:t xml:space="preserve">VII. La ejecución; </w:t>
      </w:r>
    </w:p>
    <w:p w:rsidR="006D5D3E" w:rsidRPr="007968B8" w:rsidRDefault="00D97976">
      <w:pPr>
        <w:spacing w:before="120" w:after="120"/>
        <w:ind w:left="1134" w:right="1134"/>
        <w:jc w:val="both"/>
        <w:rPr>
          <w:rFonts w:ascii="Palatino Linotype" w:eastAsia="Palatino Linotype" w:hAnsi="Palatino Linotype" w:cs="Palatino Linotype"/>
          <w:b/>
          <w:bCs/>
          <w:i/>
          <w:iCs/>
        </w:rPr>
      </w:pPr>
      <w:r w:rsidRPr="007968B8">
        <w:rPr>
          <w:rFonts w:ascii="Palatino Linotype" w:eastAsia="Palatino Linotype" w:hAnsi="Palatino Linotype" w:cs="Palatino Linotype"/>
          <w:b/>
          <w:bCs/>
          <w:i/>
          <w:iCs/>
        </w:rPr>
        <w:t xml:space="preserve">VIII. La recepción y finiquito.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La Contraloría realizará las visitas, inspecciones, auditorias y supervisiones que considere necesarias. Podrá solicitar a los servidores públicos y a los contratistas los datos e informes relacionados con las obras y servicios objeto de dichas visitas, inspecciones, auditorias y supervisiones.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La Contraloría llevará el registro de las personas físicas o jurídicas que se encuentren en cualquiera de los supuestos a que se refieren las fracciones III, IV y VI del artículo 12.48 del Libro y lo dará a conocer a las dependencias, entidades y ayuntamientos por los medios que determine y recibirá de éstas la información correspondiente para la integración y difusión de dicho registro.</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lastRenderedPageBreak/>
        <w:t>Artículo 277</w:t>
      </w:r>
      <w:r w:rsidRPr="007968B8">
        <w:rPr>
          <w:rFonts w:ascii="Palatino Linotype" w:eastAsia="Palatino Linotype" w:hAnsi="Palatino Linotype" w:cs="Palatino Linotype"/>
          <w:i/>
          <w:iCs/>
        </w:rPr>
        <w:t xml:space="preserve">.- En el ejercicio de sus atribuciones, la Contraloría tiene la facultad de verificar que la realización de las obras públicas y los servicios se efectúen con apego a lo establecido en el Libro, este Reglamento, las disposiciones legales aplicables y conforme a los programas y presupuestos autorizados. </w:t>
      </w:r>
    </w:p>
    <w:p w:rsidR="006D5D3E" w:rsidRPr="007968B8" w:rsidRDefault="00D97976">
      <w:pPr>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Artículo 278</w:t>
      </w:r>
      <w:r w:rsidRPr="007968B8">
        <w:rPr>
          <w:rFonts w:ascii="Palatino Linotype" w:eastAsia="Palatino Linotype" w:hAnsi="Palatino Linotype" w:cs="Palatino Linotype"/>
          <w:i/>
          <w:iCs/>
        </w:rPr>
        <w:t>.- Cuando la Contraloría tenga conocimiento de que una dependencia, entidad o ayuntamiento no se hubiere apegado a las disposiciones legales aplicables, actuará conforme a los manuales y procedimientos que norman su actuación.”</w:t>
      </w:r>
    </w:p>
    <w:p w:rsidR="006D5D3E" w:rsidRPr="007968B8" w:rsidRDefault="006D5D3E">
      <w:pPr>
        <w:spacing w:before="120" w:after="120"/>
        <w:ind w:left="1134" w:right="1134"/>
        <w:jc w:val="both"/>
        <w:rPr>
          <w:rFonts w:ascii="Palatino Linotype" w:eastAsia="Palatino Linotype" w:hAnsi="Palatino Linotype" w:cs="Palatino Linotype"/>
          <w:i/>
          <w:iCs/>
        </w:rPr>
      </w:pPr>
    </w:p>
    <w:p w:rsidR="006D5D3E" w:rsidRPr="007968B8" w:rsidRDefault="00D97976">
      <w:pPr>
        <w:numPr>
          <w:ilvl w:val="0"/>
          <w:numId w:val="9"/>
        </w:numPr>
        <w:pBdr>
          <w:top w:val="nil"/>
          <w:left w:val="nil"/>
          <w:bottom w:val="nil"/>
          <w:right w:val="nil"/>
          <w:between w:val="nil"/>
        </w:pBdr>
        <w:spacing w:before="240" w:after="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 xml:space="preserve">Así mismo y  de conformidad con el </w:t>
      </w:r>
      <w:r w:rsidRPr="007968B8">
        <w:rPr>
          <w:rFonts w:ascii="Palatino Linotype" w:eastAsia="Palatino Linotype" w:hAnsi="Palatino Linotype" w:cs="Palatino Linotype"/>
          <w:i/>
          <w:iCs/>
          <w:color w:val="000000"/>
        </w:rPr>
        <w:t>ACUERDO DEL SECRETARIO DE INFRAESTRUCTURA POR EL QUE SE ESTABLECE EL ÍNDICE DE EXPEDIENTE ÚNICO DE OBRA PÚBLICA E INSTRUCTIVOS DE LLENADO EN LAS MODALIDADES DE ADJUDICACIÓN DIRECTA, INVITACIÓN RESTRINGIDA Y LICITACIÓN PÚBLICA</w:t>
      </w:r>
      <w:r w:rsidRPr="007968B8">
        <w:rPr>
          <w:rFonts w:ascii="Palatino Linotype" w:eastAsia="Palatino Linotype" w:hAnsi="Palatino Linotype" w:cs="Palatino Linotype"/>
          <w:color w:val="000000"/>
        </w:rPr>
        <w:t>, mediante el cual se establecen los índices de Expedientes Únicos de Obra e instructivos de llenado, en las modalidades de Adjudicación Directa, Invitación Restringida y Licitación Pública, para la integración del expediente único de obra pública que para tal efecto integran las dependencias, entidades, ayuntamientos y tribunales administrativos que ejecuten obra pública, los expedientes de Adjudicación Directa, Invitación Restringida y Licitación Pública, se integran de la siguiente manera:</w:t>
      </w:r>
    </w:p>
    <w:p w:rsidR="006D5D3E" w:rsidRPr="007968B8" w:rsidRDefault="00D97976">
      <w:pPr>
        <w:spacing w:before="240" w:after="240" w:line="360" w:lineRule="auto"/>
        <w:jc w:val="center"/>
        <w:rPr>
          <w:rFonts w:ascii="Palatino Linotype" w:eastAsia="Palatino Linotype" w:hAnsi="Palatino Linotype" w:cs="Palatino Linotype"/>
        </w:rPr>
      </w:pPr>
      <w:r w:rsidRPr="007968B8">
        <w:rPr>
          <w:rFonts w:ascii="Palatino Linotype" w:eastAsia="Palatino Linotype" w:hAnsi="Palatino Linotype" w:cs="Palatino Linotype"/>
          <w:noProof/>
        </w:rPr>
        <w:lastRenderedPageBreak/>
        <w:drawing>
          <wp:inline distT="0" distB="0" distL="0" distR="0">
            <wp:extent cx="3548551" cy="3986847"/>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b="23111"/>
                    <a:stretch>
                      <a:fillRect/>
                    </a:stretch>
                  </pic:blipFill>
                  <pic:spPr>
                    <a:xfrm>
                      <a:off x="0" y="0"/>
                      <a:ext cx="3548551" cy="3986847"/>
                    </a:xfrm>
                    <a:prstGeom prst="rect">
                      <a:avLst/>
                    </a:prstGeom>
                    <a:ln/>
                  </pic:spPr>
                </pic:pic>
              </a:graphicData>
            </a:graphic>
          </wp:inline>
        </w:drawing>
      </w:r>
    </w:p>
    <w:p w:rsidR="006D5D3E" w:rsidRPr="007968B8" w:rsidRDefault="00D97976">
      <w:pPr>
        <w:spacing w:before="240" w:after="240" w:line="360" w:lineRule="auto"/>
        <w:jc w:val="center"/>
        <w:rPr>
          <w:rFonts w:ascii="Palatino Linotype" w:eastAsia="Palatino Linotype" w:hAnsi="Palatino Linotype" w:cs="Palatino Linotype"/>
        </w:rPr>
      </w:pPr>
      <w:r w:rsidRPr="007968B8">
        <w:rPr>
          <w:rFonts w:ascii="Palatino Linotype" w:eastAsia="Palatino Linotype" w:hAnsi="Palatino Linotype" w:cs="Palatino Linotype"/>
          <w:noProof/>
        </w:rPr>
        <w:lastRenderedPageBreak/>
        <w:drawing>
          <wp:inline distT="0" distB="0" distL="0" distR="0">
            <wp:extent cx="3646281" cy="1096264"/>
            <wp:effectExtent l="0" t="0" r="0" b="0"/>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t="76157" b="475"/>
                    <a:stretch>
                      <a:fillRect/>
                    </a:stretch>
                  </pic:blipFill>
                  <pic:spPr>
                    <a:xfrm>
                      <a:off x="0" y="0"/>
                      <a:ext cx="3646281" cy="1096264"/>
                    </a:xfrm>
                    <a:prstGeom prst="rect">
                      <a:avLst/>
                    </a:prstGeom>
                    <a:ln/>
                  </pic:spPr>
                </pic:pic>
              </a:graphicData>
            </a:graphic>
          </wp:inline>
        </w:drawing>
      </w:r>
      <w:r w:rsidRPr="007968B8">
        <w:rPr>
          <w:rFonts w:ascii="Palatino Linotype" w:eastAsia="Palatino Linotype" w:hAnsi="Palatino Linotype" w:cs="Palatino Linotype"/>
          <w:noProof/>
        </w:rPr>
        <w:drawing>
          <wp:inline distT="0" distB="0" distL="0" distR="0">
            <wp:extent cx="3610022" cy="1963495"/>
            <wp:effectExtent l="0" t="0" r="0" b="0"/>
            <wp:docPr id="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3610022" cy="1963495"/>
                    </a:xfrm>
                    <a:prstGeom prst="rect">
                      <a:avLst/>
                    </a:prstGeom>
                    <a:ln/>
                  </pic:spPr>
                </pic:pic>
              </a:graphicData>
            </a:graphic>
          </wp:inline>
        </w:drawing>
      </w:r>
      <w:r w:rsidRPr="007968B8">
        <w:rPr>
          <w:rFonts w:ascii="Palatino Linotype" w:eastAsia="Palatino Linotype" w:hAnsi="Palatino Linotype" w:cs="Palatino Linotype"/>
          <w:noProof/>
        </w:rPr>
        <w:drawing>
          <wp:inline distT="0" distB="0" distL="0" distR="0">
            <wp:extent cx="3619289" cy="1885632"/>
            <wp:effectExtent l="0" t="0" r="0" b="0"/>
            <wp:docPr id="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b="58360"/>
                    <a:stretch>
                      <a:fillRect/>
                    </a:stretch>
                  </pic:blipFill>
                  <pic:spPr>
                    <a:xfrm>
                      <a:off x="0" y="0"/>
                      <a:ext cx="3619289" cy="1885632"/>
                    </a:xfrm>
                    <a:prstGeom prst="rect">
                      <a:avLst/>
                    </a:prstGeom>
                    <a:ln/>
                  </pic:spPr>
                </pic:pic>
              </a:graphicData>
            </a:graphic>
          </wp:inline>
        </w:drawing>
      </w:r>
    </w:p>
    <w:p w:rsidR="006D5D3E" w:rsidRPr="007968B8" w:rsidRDefault="00D97976">
      <w:pPr>
        <w:spacing w:before="240" w:after="240" w:line="360" w:lineRule="auto"/>
        <w:jc w:val="center"/>
        <w:rPr>
          <w:rFonts w:ascii="Palatino Linotype" w:eastAsia="Palatino Linotype" w:hAnsi="Palatino Linotype" w:cs="Palatino Linotype"/>
        </w:rPr>
      </w:pPr>
      <w:r w:rsidRPr="007968B8">
        <w:rPr>
          <w:rFonts w:ascii="Palatino Linotype" w:eastAsia="Palatino Linotype" w:hAnsi="Palatino Linotype" w:cs="Palatino Linotype"/>
          <w:noProof/>
        </w:rPr>
        <w:lastRenderedPageBreak/>
        <w:drawing>
          <wp:inline distT="0" distB="0" distL="0" distR="0">
            <wp:extent cx="3542817" cy="2645077"/>
            <wp:effectExtent l="0" t="0" r="0" b="0"/>
            <wp:docPr id="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t="41030" b="-702"/>
                    <a:stretch>
                      <a:fillRect/>
                    </a:stretch>
                  </pic:blipFill>
                  <pic:spPr>
                    <a:xfrm>
                      <a:off x="0" y="0"/>
                      <a:ext cx="3542817" cy="2645077"/>
                    </a:xfrm>
                    <a:prstGeom prst="rect">
                      <a:avLst/>
                    </a:prstGeom>
                    <a:ln/>
                  </pic:spPr>
                </pic:pic>
              </a:graphicData>
            </a:graphic>
          </wp:inline>
        </w:drawing>
      </w:r>
      <w:r w:rsidRPr="007968B8">
        <w:rPr>
          <w:rFonts w:ascii="Palatino Linotype" w:eastAsia="Palatino Linotype" w:hAnsi="Palatino Linotype" w:cs="Palatino Linotype"/>
          <w:noProof/>
        </w:rPr>
        <w:drawing>
          <wp:inline distT="0" distB="0" distL="0" distR="0">
            <wp:extent cx="3532458" cy="2079939"/>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t="12348"/>
                    <a:stretch>
                      <a:fillRect/>
                    </a:stretch>
                  </pic:blipFill>
                  <pic:spPr>
                    <a:xfrm>
                      <a:off x="0" y="0"/>
                      <a:ext cx="3532458" cy="2079939"/>
                    </a:xfrm>
                    <a:prstGeom prst="rect">
                      <a:avLst/>
                    </a:prstGeom>
                    <a:ln/>
                  </pic:spPr>
                </pic:pic>
              </a:graphicData>
            </a:graphic>
          </wp:inline>
        </w:drawing>
      </w:r>
    </w:p>
    <w:p w:rsidR="006D5D3E" w:rsidRPr="007968B8" w:rsidRDefault="00D97976">
      <w:pPr>
        <w:spacing w:before="240" w:after="240" w:line="360" w:lineRule="auto"/>
        <w:jc w:val="center"/>
        <w:rPr>
          <w:rFonts w:ascii="Palatino Linotype" w:eastAsia="Palatino Linotype" w:hAnsi="Palatino Linotype" w:cs="Palatino Linotype"/>
        </w:rPr>
      </w:pPr>
      <w:r w:rsidRPr="007968B8">
        <w:rPr>
          <w:rFonts w:ascii="Palatino Linotype" w:eastAsia="Palatino Linotype" w:hAnsi="Palatino Linotype" w:cs="Palatino Linotype"/>
          <w:noProof/>
        </w:rPr>
        <w:lastRenderedPageBreak/>
        <w:drawing>
          <wp:inline distT="0" distB="0" distL="0" distR="0">
            <wp:extent cx="3646076" cy="2256211"/>
            <wp:effectExtent l="0" t="0" r="0" b="0"/>
            <wp:docPr id="6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3646076" cy="2256211"/>
                    </a:xfrm>
                    <a:prstGeom prst="rect">
                      <a:avLst/>
                    </a:prstGeom>
                    <a:ln/>
                  </pic:spPr>
                </pic:pic>
              </a:graphicData>
            </a:graphic>
          </wp:inline>
        </w:drawing>
      </w:r>
      <w:r w:rsidRPr="007968B8">
        <w:rPr>
          <w:rFonts w:ascii="Palatino Linotype" w:eastAsia="Palatino Linotype" w:hAnsi="Palatino Linotype" w:cs="Palatino Linotype"/>
          <w:noProof/>
        </w:rPr>
        <w:drawing>
          <wp:inline distT="0" distB="0" distL="0" distR="0">
            <wp:extent cx="3698548" cy="3183281"/>
            <wp:effectExtent l="0" t="0" r="0" b="0"/>
            <wp:docPr id="6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t="-1" b="34968"/>
                    <a:stretch>
                      <a:fillRect/>
                    </a:stretch>
                  </pic:blipFill>
                  <pic:spPr>
                    <a:xfrm>
                      <a:off x="0" y="0"/>
                      <a:ext cx="3698548" cy="3183281"/>
                    </a:xfrm>
                    <a:prstGeom prst="rect">
                      <a:avLst/>
                    </a:prstGeom>
                    <a:ln/>
                  </pic:spPr>
                </pic:pic>
              </a:graphicData>
            </a:graphic>
          </wp:inline>
        </w:drawing>
      </w:r>
    </w:p>
    <w:p w:rsidR="006D5D3E" w:rsidRPr="007968B8" w:rsidRDefault="00D97976">
      <w:pPr>
        <w:spacing w:before="240" w:after="240" w:line="360" w:lineRule="auto"/>
        <w:jc w:val="center"/>
        <w:rPr>
          <w:rFonts w:ascii="Palatino Linotype" w:eastAsia="Palatino Linotype" w:hAnsi="Palatino Linotype" w:cs="Palatino Linotype"/>
        </w:rPr>
      </w:pPr>
      <w:r w:rsidRPr="007968B8">
        <w:rPr>
          <w:rFonts w:ascii="Palatino Linotype" w:eastAsia="Palatino Linotype" w:hAnsi="Palatino Linotype" w:cs="Palatino Linotype"/>
          <w:noProof/>
        </w:rPr>
        <w:lastRenderedPageBreak/>
        <w:drawing>
          <wp:inline distT="0" distB="0" distL="0" distR="0">
            <wp:extent cx="3638767" cy="1697543"/>
            <wp:effectExtent l="0" t="0" r="0" b="0"/>
            <wp:docPr id="6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t="64120" b="629"/>
                    <a:stretch>
                      <a:fillRect/>
                    </a:stretch>
                  </pic:blipFill>
                  <pic:spPr>
                    <a:xfrm>
                      <a:off x="0" y="0"/>
                      <a:ext cx="3638767" cy="1697543"/>
                    </a:xfrm>
                    <a:prstGeom prst="rect">
                      <a:avLst/>
                    </a:prstGeom>
                    <a:ln/>
                  </pic:spPr>
                </pic:pic>
              </a:graphicData>
            </a:graphic>
          </wp:inline>
        </w:drawing>
      </w:r>
    </w:p>
    <w:p w:rsidR="006D5D3E" w:rsidRPr="007968B8" w:rsidRDefault="00D97976">
      <w:pPr>
        <w:spacing w:before="240" w:after="240" w:line="360" w:lineRule="auto"/>
        <w:ind w:right="-709"/>
        <w:jc w:val="both"/>
        <w:rPr>
          <w:rFonts w:ascii="Palatino Linotype" w:eastAsia="Palatino Linotype" w:hAnsi="Palatino Linotype" w:cs="Palatino Linotype"/>
        </w:rPr>
      </w:pPr>
      <w:r w:rsidRPr="007968B8">
        <w:rPr>
          <w:rFonts w:ascii="Palatino Linotype" w:eastAsia="Palatino Linotype" w:hAnsi="Palatino Linotype" w:cs="Palatino Linotype"/>
        </w:rPr>
        <w:t xml:space="preserve">De donde se advierte que los expedientes únicos de obra pública, en las modalidades de adjudicación directa, invitación restringida y licitación pública, incluyen diversos documentos, entre los que se encuentra </w:t>
      </w:r>
      <w:r w:rsidRPr="007968B8">
        <w:rPr>
          <w:rFonts w:ascii="Palatino Linotype" w:eastAsia="Palatino Linotype" w:hAnsi="Palatino Linotype" w:cs="Palatino Linotype"/>
          <w:i/>
          <w:iCs/>
        </w:rPr>
        <w:t>el oficio de autorización de recursos y dictamen de procedencia; la evaluación de la propuesta; el contrato: las garantías de cumplimiento de contrato; la bitácora de obra o servicios; el acta de recepción de los trabajos y el acta de entrega a la instancia encargada de su operación</w:t>
      </w:r>
      <w:r w:rsidRPr="007968B8">
        <w:rPr>
          <w:rFonts w:ascii="Palatino Linotype" w:eastAsia="Palatino Linotype" w:hAnsi="Palatino Linotype" w:cs="Palatino Linotype"/>
          <w:b/>
          <w:bCs/>
        </w:rPr>
        <w:t>.</w:t>
      </w:r>
      <w:r w:rsidRPr="007968B8">
        <w:rPr>
          <w:rFonts w:ascii="Palatino Linotype" w:eastAsia="Palatino Linotype" w:hAnsi="Palatino Linotype" w:cs="Palatino Linotype"/>
        </w:rPr>
        <w:t xml:space="preserve"> </w:t>
      </w:r>
    </w:p>
    <w:p w:rsidR="006D5D3E" w:rsidRPr="007968B8" w:rsidRDefault="00D97976">
      <w:pPr>
        <w:numPr>
          <w:ilvl w:val="0"/>
          <w:numId w:val="9"/>
        </w:numPr>
        <w:pBdr>
          <w:top w:val="nil"/>
          <w:left w:val="nil"/>
          <w:bottom w:val="nil"/>
          <w:right w:val="nil"/>
          <w:between w:val="nil"/>
        </w:pBdr>
        <w:spacing w:before="240" w:after="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Además, no debe perderse de vista que el artículo 92, fracción XIX de la Ley de Transparencia y Acceso a la Información Pública del Estado de México y Municipios, , los Sujetos Obligados deben poner a disposición del público de manera constante y actualizada, 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por tratarse de una obligación de transparencia:</w:t>
      </w:r>
    </w:p>
    <w:p w:rsidR="006D5D3E" w:rsidRPr="007968B8" w:rsidRDefault="00D97976">
      <w:pPr>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w:t>
      </w:r>
      <w:r w:rsidRPr="007968B8">
        <w:rPr>
          <w:rFonts w:ascii="Palatino Linotype" w:eastAsia="Palatino Linotype" w:hAnsi="Palatino Linotype" w:cs="Palatino Linotype"/>
          <w:b/>
          <w:bCs/>
          <w:i/>
          <w:iCs/>
        </w:rPr>
        <w:t>Artículo 92</w:t>
      </w:r>
      <w:r w:rsidRPr="007968B8">
        <w:rPr>
          <w:rFonts w:ascii="Palatino Linotype" w:eastAsia="Palatino Linotype" w:hAnsi="Palatino Linotype" w:cs="Palatino Linotype"/>
          <w:i/>
          <w:iC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lastRenderedPageBreak/>
        <w:t>(…)</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b/>
          <w:bCs/>
          <w:i/>
          <w:iCs/>
        </w:rPr>
        <w:t>XXIX.</w:t>
      </w:r>
      <w:r w:rsidRPr="007968B8">
        <w:rPr>
          <w:rFonts w:ascii="Palatino Linotype" w:eastAsia="Palatino Linotype" w:hAnsi="Palatino Linotype" w:cs="Palatino Linotype"/>
          <w:i/>
          <w:iCs/>
        </w:rPr>
        <w:t xml:space="preserve"> La </w:t>
      </w:r>
      <w:r w:rsidRPr="007968B8">
        <w:rPr>
          <w:rFonts w:ascii="Palatino Linotype" w:eastAsia="Palatino Linotype" w:hAnsi="Palatino Linotype" w:cs="Palatino Linotype"/>
          <w:b/>
          <w:bCs/>
          <w:i/>
          <w:iCs/>
        </w:rPr>
        <w:t xml:space="preserve">información sobre los procesos y resultados </w:t>
      </w:r>
      <w:r w:rsidRPr="007968B8">
        <w:rPr>
          <w:rFonts w:ascii="Palatino Linotype" w:eastAsia="Palatino Linotype" w:hAnsi="Palatino Linotype" w:cs="Palatino Linotype"/>
          <w:b/>
          <w:bCs/>
          <w:i/>
          <w:iCs/>
          <w:u w:val="single"/>
        </w:rPr>
        <w:t>sobre procedimientos de adjudicación directa, invitación restringida y licitación de cualquier naturaleza</w:t>
      </w:r>
      <w:r w:rsidRPr="007968B8">
        <w:rPr>
          <w:rFonts w:ascii="Palatino Linotype" w:eastAsia="Palatino Linotype" w:hAnsi="Palatino Linotype" w:cs="Palatino Linotype"/>
          <w:i/>
          <w:iCs/>
          <w:u w:val="single"/>
        </w:rPr>
        <w:t xml:space="preserve">, </w:t>
      </w:r>
      <w:r w:rsidRPr="007968B8">
        <w:rPr>
          <w:rFonts w:ascii="Palatino Linotype" w:eastAsia="Palatino Linotype" w:hAnsi="Palatino Linotype" w:cs="Palatino Linotype"/>
          <w:b/>
          <w:bCs/>
          <w:i/>
          <w:iCs/>
        </w:rPr>
        <w:t>incluyendo la versión pública</w:t>
      </w:r>
      <w:r w:rsidRPr="007968B8">
        <w:rPr>
          <w:rFonts w:ascii="Palatino Linotype" w:eastAsia="Palatino Linotype" w:hAnsi="Palatino Linotype" w:cs="Palatino Linotype"/>
          <w:i/>
          <w:iCs/>
        </w:rPr>
        <w:t xml:space="preserve"> del expediente respectivo y </w:t>
      </w:r>
      <w:r w:rsidRPr="007968B8">
        <w:rPr>
          <w:rFonts w:ascii="Palatino Linotype" w:eastAsia="Palatino Linotype" w:hAnsi="Palatino Linotype" w:cs="Palatino Linotype"/>
          <w:b/>
          <w:bCs/>
          <w:i/>
          <w:iCs/>
        </w:rPr>
        <w:t>de los contratos celebrados</w:t>
      </w:r>
      <w:r w:rsidRPr="007968B8">
        <w:rPr>
          <w:rFonts w:ascii="Palatino Linotype" w:eastAsia="Palatino Linotype" w:hAnsi="Palatino Linotype" w:cs="Palatino Linotype"/>
          <w:i/>
          <w:iCs/>
        </w:rPr>
        <w:t>, que deberán contener, por los menos, lo siguiente:</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a) De licitaciones públicas o procedimientos de invitación restringida:</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1) La convocatoria o invitación emitida, así como los fundamentos legales aplicados para llevarla a cabo;</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2) Los nombres de los participantes o invitados;</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3) El nombre del ganador y las razones que lo justifican;</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4) El área solicitante y la responsable de su ejecución;</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5) Las convocatorias e invitaciones emitidas; </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6) Los dictámenes y fallo de adjudicación;</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7) El contrato y, en su caso, sus anexos; </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8) Los mecanismos de vigilancia y supervisión, incluyendo en su caso, los estudios de impacto urbano y ambiental, según corresponda;</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9) La partida presupuestal, de conformidad con el clasificador por objeto del gasto, en el caso de ser aplicable; </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10) Origen de los recursos especificando si son federales, estatales o municipales, así como el tipo de fondo de participación o aportación respectiva;</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11) Los convenios modificatorios que, en su caso, sean firmados, precisando el objeto y la fecha de celebración;</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12) Los informes de avance físico y financiero sobre las obras o servicios contratados; </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13) El convenio de terminación; </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14) El finiquito.</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b) De las adjudicaciones directas: </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lastRenderedPageBreak/>
        <w:t xml:space="preserve">1) La propuesta enviada por el participante; </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2) Los motivos y fundamentos legales aplicados para llevarla a cabo;</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3) La autorización del ejercicio de la opción; </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4) En su caso, las cotizaciones consideradas, especificando los nombres de los proveedores y sus montos; </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5) El nombre de la persona física o jurídica colectiva adjudicada; </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6) La unidad administrativa solicitante y la responsable de su ejecución; </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7) El número, fecha, el monto del contrato y el plazo de entrega o de ejecución de los servicios u obra; </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8) Los mecanismos de vigilancia y supervisión, incluyendo, en su caso, los estudios de impacto urbano y ambiental, según corresponda; </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9) Los informes de avance sobre las obras o servicios contratados; </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10) El convenio de terminación; y </w:t>
      </w:r>
    </w:p>
    <w:p w:rsidR="006D5D3E" w:rsidRPr="007968B8" w:rsidRDefault="00D97976">
      <w:pPr>
        <w:tabs>
          <w:tab w:val="left" w:pos="426"/>
        </w:tabs>
        <w:spacing w:before="120" w:after="12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11) El finiquito;”</w:t>
      </w:r>
    </w:p>
    <w:p w:rsidR="006D5D3E" w:rsidRPr="007968B8" w:rsidRDefault="00D97976">
      <w:pPr>
        <w:numPr>
          <w:ilvl w:val="0"/>
          <w:numId w:val="9"/>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De lo expuesto, se advierte que, los Sujetos Obligados deberán poner a disposición del público la información relativa a procesos y resultados sobre procedimientos de adjudicación directa, invitación restringida y licitación de cualquier naturaleza, donde se incluya, en versión pública, el expediente respectivo y los contratos celebrados que, para el caso en particular, los expedientes deberán contener:</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        </w:t>
      </w:r>
      <w:r w:rsidRPr="007968B8">
        <w:rPr>
          <w:rFonts w:ascii="Palatino Linotype" w:eastAsia="Palatino Linotype" w:hAnsi="Palatino Linotype" w:cs="Palatino Linotype"/>
          <w:b/>
          <w:bCs/>
          <w:i/>
          <w:iCs/>
        </w:rPr>
        <w:t xml:space="preserve">Licitación pública: </w:t>
      </w:r>
      <w:r w:rsidRPr="007968B8">
        <w:rPr>
          <w:rFonts w:ascii="Palatino Linotype" w:eastAsia="Palatino Linotype" w:hAnsi="Palatino Linotype" w:cs="Palatino Linotype"/>
          <w:i/>
          <w:iCs/>
        </w:rPr>
        <w:t xml:space="preserve">convocatoria y fundamentos legales aplicables para llevarla a cabo, nombre de los participantes, nombre del ganador y razones, área solicitante y responsable de su ejecución, convocatorias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w:t>
      </w:r>
      <w:r w:rsidRPr="007968B8">
        <w:rPr>
          <w:rFonts w:ascii="Palatino Linotype" w:eastAsia="Palatino Linotype" w:hAnsi="Palatino Linotype" w:cs="Palatino Linotype"/>
          <w:i/>
          <w:iCs/>
        </w:rPr>
        <w:lastRenderedPageBreak/>
        <w:t>aportación respectiva, convenios modificatorios, informes de avances, convenio de terminación y finiquito.</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        </w:t>
      </w:r>
      <w:r w:rsidRPr="007968B8">
        <w:rPr>
          <w:rFonts w:ascii="Palatino Linotype" w:eastAsia="Palatino Linotype" w:hAnsi="Palatino Linotype" w:cs="Palatino Linotype"/>
          <w:b/>
          <w:bCs/>
          <w:i/>
          <w:iCs/>
        </w:rPr>
        <w:t xml:space="preserve">Invitación restringida: </w:t>
      </w:r>
      <w:r w:rsidRPr="007968B8">
        <w:rPr>
          <w:rFonts w:ascii="Palatino Linotype" w:eastAsia="Palatino Linotype" w:hAnsi="Palatino Linotype" w:cs="Palatino Linotype"/>
          <w:i/>
          <w:iCs/>
        </w:rPr>
        <w:t>invitación emitida y fundamentos legales aplicables para llevarla a cabo, nombre de los o invitados, nombre del ganador y razones, área solicitante y responsable de su ejecución, invitaciones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rsidR="006D5D3E" w:rsidRPr="007968B8" w:rsidRDefault="00D97976">
      <w:pPr>
        <w:spacing w:before="240" w:after="240"/>
        <w:ind w:left="1134" w:right="1134"/>
        <w:jc w:val="both"/>
        <w:rPr>
          <w:rFonts w:ascii="Palatino Linotype" w:eastAsia="Palatino Linotype" w:hAnsi="Palatino Linotype" w:cs="Palatino Linotype"/>
          <w:i/>
          <w:iCs/>
        </w:rPr>
      </w:pPr>
      <w:r w:rsidRPr="007968B8">
        <w:rPr>
          <w:rFonts w:ascii="Palatino Linotype" w:eastAsia="Palatino Linotype" w:hAnsi="Palatino Linotype" w:cs="Palatino Linotype"/>
          <w:i/>
          <w:iCs/>
        </w:rPr>
        <w:t xml:space="preserve">●        </w:t>
      </w:r>
      <w:r w:rsidRPr="007968B8">
        <w:rPr>
          <w:rFonts w:ascii="Palatino Linotype" w:eastAsia="Palatino Linotype" w:hAnsi="Palatino Linotype" w:cs="Palatino Linotype"/>
          <w:b/>
          <w:bCs/>
          <w:i/>
          <w:iCs/>
        </w:rPr>
        <w:t xml:space="preserve">Adjudicaciones directas: </w:t>
      </w:r>
      <w:r w:rsidRPr="007968B8">
        <w:rPr>
          <w:rFonts w:ascii="Palatino Linotype" w:eastAsia="Palatino Linotype" w:hAnsi="Palatino Linotype" w:cs="Palatino Linotype"/>
          <w:i/>
          <w:iCs/>
        </w:rPr>
        <w:t xml:space="preserve">Propuestas enviadas por el participante, motivos y fundamentos legales, autorización del ejercicio de la opción, cotizaciones consideradas, nombre de persona física o jurídica adjudicada, número, fecha, monto del contrato, plazo de entrega o ejecución, mecanismos de vigilancia y supervisión, informes de avance sobre las obras o servicios, convenio de terminación y finiquito. </w:t>
      </w:r>
    </w:p>
    <w:p w:rsidR="006D5D3E" w:rsidRPr="007968B8" w:rsidRDefault="006D5D3E">
      <w:pPr>
        <w:spacing w:before="240" w:after="240"/>
        <w:ind w:left="1134" w:right="1134"/>
        <w:jc w:val="both"/>
        <w:rPr>
          <w:rFonts w:ascii="Palatino Linotype" w:eastAsia="Palatino Linotype" w:hAnsi="Palatino Linotype" w:cs="Palatino Linotype"/>
          <w:i/>
          <w:iCs/>
        </w:rPr>
      </w:pPr>
    </w:p>
    <w:p w:rsidR="006D5D3E" w:rsidRDefault="00D97976">
      <w:pPr>
        <w:numPr>
          <w:ilvl w:val="0"/>
          <w:numId w:val="9"/>
        </w:numPr>
        <w:pBdr>
          <w:top w:val="nil"/>
          <w:left w:val="nil"/>
          <w:bottom w:val="nil"/>
          <w:right w:val="nil"/>
          <w:between w:val="nil"/>
        </w:pBdr>
        <w:spacing w:before="240" w:line="360" w:lineRule="auto"/>
        <w:ind w:left="0" w:right="-709"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 xml:space="preserve">Por consiguiente y de acuerdo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para el cumplimiento de la obligación de transparencia señalada en el artículo 70  fracción XXVIII de la Ley General de Transparencia y Acceso a la Información Pública, vigentes a la fecha de la solicitud, los sujetos obligados deben publicar información sobre los actos, </w:t>
      </w:r>
      <w:r w:rsidRPr="007968B8">
        <w:rPr>
          <w:rFonts w:ascii="Palatino Linotype" w:eastAsia="Palatino Linotype" w:hAnsi="Palatino Linotype" w:cs="Palatino Linotype"/>
          <w:i/>
          <w:iCs/>
          <w:color w:val="000000"/>
        </w:rPr>
        <w:t xml:space="preserve">contratos y convenios celebrados, misma que debe presentarse en una base de datos en la que cada registro se hará por tipo de </w:t>
      </w:r>
      <w:r w:rsidRPr="007968B8">
        <w:rPr>
          <w:rFonts w:ascii="Palatino Linotype" w:eastAsia="Palatino Linotype" w:hAnsi="Palatino Linotype" w:cs="Palatino Linotype"/>
          <w:i/>
          <w:iCs/>
          <w:color w:val="000000"/>
        </w:rPr>
        <w:lastRenderedPageBreak/>
        <w:t xml:space="preserve">procedimiento, ya sea licitación pública, invitación restringida o adjudicación directa, </w:t>
      </w:r>
      <w:r w:rsidRPr="007968B8">
        <w:rPr>
          <w:rFonts w:ascii="Palatino Linotype" w:eastAsia="Palatino Linotype" w:hAnsi="Palatino Linotype" w:cs="Palatino Linotype"/>
          <w:color w:val="000000"/>
        </w:rPr>
        <w:t>especificando para cada tipo de procedimiento la materia, pudiendo ser obra pública, servicios relacionados con obra pública, arrendamiento, 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rsidR="007968B8" w:rsidRPr="007968B8" w:rsidRDefault="007968B8" w:rsidP="007968B8">
      <w:pPr>
        <w:pBdr>
          <w:top w:val="nil"/>
          <w:left w:val="nil"/>
          <w:bottom w:val="nil"/>
          <w:right w:val="nil"/>
          <w:between w:val="nil"/>
        </w:pBdr>
        <w:spacing w:before="240" w:line="360" w:lineRule="auto"/>
        <w:ind w:right="-709"/>
        <w:jc w:val="both"/>
        <w:rPr>
          <w:rFonts w:ascii="Palatino Linotype" w:eastAsia="Palatino Linotype" w:hAnsi="Palatino Linotype" w:cs="Palatino Linotype"/>
          <w:color w:val="000000"/>
        </w:rPr>
      </w:pPr>
    </w:p>
    <w:p w:rsidR="006D5D3E" w:rsidRPr="007968B8" w:rsidRDefault="00D97976">
      <w:pPr>
        <w:keepNext/>
        <w:keepLines/>
        <w:numPr>
          <w:ilvl w:val="0"/>
          <w:numId w:val="9"/>
        </w:numPr>
        <w:pBdr>
          <w:top w:val="nil"/>
          <w:left w:val="nil"/>
          <w:bottom w:val="nil"/>
          <w:right w:val="nil"/>
          <w:between w:val="nil"/>
        </w:pBdr>
        <w:spacing w:after="160" w:line="360" w:lineRule="auto"/>
        <w:ind w:left="0" w:right="-787"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Por lo expuesto, se tiene que los motivos de inconformidad hechos valer por el Recurrente devienen fundados, resultando procedente MODIFICAR la respuesta proporcionada por el Sujeto Obligado  y ORDENAR la entrega de los documentos que den cuenta respecto del bacheo realizado en la carretera Villa Victoria – El Oro referido en respuesta:</w:t>
      </w:r>
    </w:p>
    <w:p w:rsidR="006D5D3E" w:rsidRPr="007968B8" w:rsidRDefault="00D97976">
      <w:pPr>
        <w:tabs>
          <w:tab w:val="left" w:pos="8080"/>
        </w:tabs>
        <w:spacing w:line="276" w:lineRule="auto"/>
        <w:ind w:left="1134" w:right="709"/>
        <w:jc w:val="both"/>
        <w:rPr>
          <w:rFonts w:ascii="Palatino Linotype" w:eastAsia="Palatino Linotype" w:hAnsi="Palatino Linotype" w:cs="Palatino Linotype"/>
        </w:rPr>
      </w:pPr>
      <w:r w:rsidRPr="007968B8">
        <w:rPr>
          <w:rFonts w:ascii="Palatino Linotype" w:eastAsia="Palatino Linotype" w:hAnsi="Palatino Linotype" w:cs="Palatino Linotype"/>
        </w:rPr>
        <w:t>1. Tiempo utilizado para la realización de la obra</w:t>
      </w:r>
    </w:p>
    <w:p w:rsidR="006D5D3E" w:rsidRPr="007968B8" w:rsidRDefault="00D97976">
      <w:pPr>
        <w:tabs>
          <w:tab w:val="left" w:pos="8080"/>
        </w:tabs>
        <w:spacing w:line="276" w:lineRule="auto"/>
        <w:ind w:left="1134" w:right="709"/>
        <w:jc w:val="both"/>
        <w:rPr>
          <w:rFonts w:ascii="Palatino Linotype" w:eastAsia="Palatino Linotype" w:hAnsi="Palatino Linotype" w:cs="Palatino Linotype"/>
        </w:rPr>
      </w:pPr>
      <w:r w:rsidRPr="007968B8">
        <w:rPr>
          <w:rFonts w:ascii="Palatino Linotype" w:eastAsia="Palatino Linotype" w:hAnsi="Palatino Linotype" w:cs="Palatino Linotype"/>
        </w:rPr>
        <w:t>2. Metros cuadrados que fueron bacheados</w:t>
      </w:r>
    </w:p>
    <w:p w:rsidR="006D5D3E" w:rsidRPr="007968B8" w:rsidRDefault="00D97976">
      <w:pPr>
        <w:tabs>
          <w:tab w:val="left" w:pos="8080"/>
        </w:tabs>
        <w:spacing w:line="276" w:lineRule="auto"/>
        <w:ind w:left="1134" w:right="709"/>
        <w:jc w:val="both"/>
        <w:rPr>
          <w:rFonts w:ascii="Palatino Linotype" w:eastAsia="Palatino Linotype" w:hAnsi="Palatino Linotype" w:cs="Palatino Linotype"/>
        </w:rPr>
      </w:pPr>
      <w:r w:rsidRPr="007968B8">
        <w:rPr>
          <w:rFonts w:ascii="Palatino Linotype" w:eastAsia="Palatino Linotype" w:hAnsi="Palatino Linotype" w:cs="Palatino Linotype"/>
        </w:rPr>
        <w:t>3. La planeación de las tareas de bacheo en otras calles al veinte de agosto de dos mil veinticinco.</w:t>
      </w:r>
    </w:p>
    <w:p w:rsidR="006D5D3E" w:rsidRPr="007968B8" w:rsidRDefault="006D5D3E">
      <w:pPr>
        <w:keepNext/>
        <w:keepLines/>
        <w:spacing w:after="160" w:line="360" w:lineRule="auto"/>
        <w:ind w:right="-787"/>
        <w:jc w:val="both"/>
        <w:rPr>
          <w:rFonts w:ascii="Palatino Linotype" w:eastAsia="Palatino Linotype" w:hAnsi="Palatino Linotype" w:cs="Palatino Linotype"/>
          <w:color w:val="000000"/>
        </w:rPr>
      </w:pPr>
    </w:p>
    <w:p w:rsidR="006D5D3E" w:rsidRDefault="00D97976">
      <w:pPr>
        <w:numPr>
          <w:ilvl w:val="0"/>
          <w:numId w:val="1"/>
        </w:numPr>
        <w:spacing w:line="360" w:lineRule="auto"/>
        <w:ind w:left="0" w:right="-851" w:firstLine="0"/>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 xml:space="preserve">Por lo anteriormente expuesto y fundado, este </w:t>
      </w:r>
      <w:r w:rsidRPr="007968B8">
        <w:rPr>
          <w:rFonts w:ascii="Palatino Linotype" w:eastAsia="Palatino Linotype" w:hAnsi="Palatino Linotype" w:cs="Palatino Linotype"/>
          <w:b/>
          <w:bCs/>
          <w:color w:val="000000"/>
        </w:rPr>
        <w:t>ÓRGANO GARANTE</w:t>
      </w:r>
      <w:r w:rsidRPr="007968B8">
        <w:rPr>
          <w:rFonts w:ascii="Palatino Linotype" w:eastAsia="Palatino Linotype" w:hAnsi="Palatino Linotype" w:cs="Palatino Linotype"/>
          <w:color w:val="000000"/>
        </w:rPr>
        <w:t xml:space="preserve"> emite los siguientes:</w:t>
      </w:r>
      <w:r w:rsidR="007968B8">
        <w:rPr>
          <w:rFonts w:ascii="Palatino Linotype" w:eastAsia="Palatino Linotype" w:hAnsi="Palatino Linotype" w:cs="Palatino Linotype"/>
          <w:color w:val="000000"/>
        </w:rPr>
        <w:t xml:space="preserve"> ---------------------------------------------------------------------------------------------------------------</w:t>
      </w:r>
    </w:p>
    <w:p w:rsidR="007968B8" w:rsidRDefault="007968B8" w:rsidP="007968B8">
      <w:pPr>
        <w:spacing w:line="360" w:lineRule="auto"/>
        <w:ind w:right="-851"/>
        <w:jc w:val="both"/>
        <w:rPr>
          <w:rFonts w:ascii="Palatino Linotype" w:eastAsia="Palatino Linotype" w:hAnsi="Palatino Linotype" w:cs="Palatino Linotype"/>
          <w:color w:val="000000"/>
        </w:rPr>
      </w:pPr>
    </w:p>
    <w:p w:rsidR="007968B8" w:rsidRPr="007968B8" w:rsidRDefault="007968B8" w:rsidP="007968B8">
      <w:pPr>
        <w:spacing w:line="360" w:lineRule="auto"/>
        <w:ind w:right="-851"/>
        <w:jc w:val="both"/>
        <w:rPr>
          <w:rFonts w:ascii="Palatino Linotype" w:eastAsia="Palatino Linotype" w:hAnsi="Palatino Linotype" w:cs="Palatino Linotype"/>
          <w:color w:val="000000"/>
        </w:rPr>
      </w:pPr>
    </w:p>
    <w:p w:rsidR="006D5D3E" w:rsidRPr="007968B8" w:rsidRDefault="006D5D3E">
      <w:pPr>
        <w:pBdr>
          <w:top w:val="nil"/>
          <w:left w:val="nil"/>
          <w:bottom w:val="nil"/>
          <w:right w:val="nil"/>
          <w:between w:val="nil"/>
        </w:pBdr>
        <w:ind w:left="720" w:right="-787"/>
        <w:rPr>
          <w:rFonts w:ascii="Palatino Linotype" w:eastAsia="Palatino Linotype" w:hAnsi="Palatino Linotype" w:cs="Palatino Linotype"/>
          <w:color w:val="000000"/>
        </w:rPr>
      </w:pPr>
    </w:p>
    <w:p w:rsidR="006D5D3E" w:rsidRPr="007968B8" w:rsidRDefault="00D97976">
      <w:pPr>
        <w:pStyle w:val="Ttulo1"/>
        <w:spacing w:before="0" w:line="360" w:lineRule="auto"/>
        <w:ind w:right="-787"/>
        <w:jc w:val="center"/>
        <w:rPr>
          <w:rFonts w:ascii="Palatino Linotype" w:eastAsia="Palatino Linotype" w:hAnsi="Palatino Linotype" w:cs="Palatino Linotype"/>
          <w:b/>
          <w:bCs/>
          <w:color w:val="000000"/>
          <w:sz w:val="24"/>
          <w:szCs w:val="24"/>
        </w:rPr>
      </w:pPr>
      <w:r w:rsidRPr="007968B8">
        <w:rPr>
          <w:rFonts w:ascii="Palatino Linotype" w:eastAsia="Palatino Linotype" w:hAnsi="Palatino Linotype" w:cs="Palatino Linotype"/>
          <w:b/>
          <w:bCs/>
          <w:color w:val="000000"/>
          <w:sz w:val="24"/>
          <w:szCs w:val="24"/>
        </w:rPr>
        <w:lastRenderedPageBreak/>
        <w:t>R E S O L U T I V O S</w:t>
      </w:r>
    </w:p>
    <w:p w:rsidR="006D5D3E" w:rsidRPr="007968B8" w:rsidRDefault="006D5D3E"/>
    <w:p w:rsidR="006D5D3E" w:rsidRPr="007968B8" w:rsidRDefault="00D97976">
      <w:pPr>
        <w:spacing w:line="360" w:lineRule="auto"/>
        <w:ind w:right="-709"/>
        <w:jc w:val="both"/>
        <w:rPr>
          <w:rFonts w:ascii="Palatino Linotype" w:eastAsia="Palatino Linotype" w:hAnsi="Palatino Linotype" w:cs="Palatino Linotype"/>
        </w:rPr>
      </w:pPr>
      <w:r w:rsidRPr="007968B8">
        <w:rPr>
          <w:rFonts w:ascii="Palatino Linotype" w:eastAsia="Palatino Linotype" w:hAnsi="Palatino Linotype" w:cs="Palatino Linotype"/>
          <w:b/>
          <w:bCs/>
        </w:rPr>
        <w:t>PRIMERO</w:t>
      </w:r>
      <w:r w:rsidRPr="007968B8">
        <w:rPr>
          <w:rFonts w:ascii="Palatino Linotype" w:eastAsia="Palatino Linotype" w:hAnsi="Palatino Linotype" w:cs="Palatino Linotype"/>
        </w:rPr>
        <w:t>.</w:t>
      </w:r>
      <w:r w:rsidRPr="007968B8">
        <w:rPr>
          <w:rFonts w:ascii="Palatino Linotype" w:eastAsia="Palatino Linotype" w:hAnsi="Palatino Linotype" w:cs="Palatino Linotype"/>
          <w:b/>
          <w:bCs/>
        </w:rPr>
        <w:t xml:space="preserve"> </w:t>
      </w:r>
      <w:r w:rsidRPr="007968B8">
        <w:rPr>
          <w:rFonts w:ascii="Palatino Linotype" w:eastAsia="Palatino Linotype" w:hAnsi="Palatino Linotype" w:cs="Palatino Linotype"/>
        </w:rPr>
        <w:t>Resultan fundadas las</w:t>
      </w:r>
      <w:r w:rsidRPr="007968B8">
        <w:rPr>
          <w:rFonts w:ascii="Palatino Linotype" w:eastAsia="Palatino Linotype" w:hAnsi="Palatino Linotype" w:cs="Palatino Linotype"/>
          <w:b/>
          <w:bCs/>
        </w:rPr>
        <w:t xml:space="preserve"> </w:t>
      </w:r>
      <w:r w:rsidRPr="007968B8">
        <w:rPr>
          <w:rFonts w:ascii="Palatino Linotype" w:eastAsia="Palatino Linotype" w:hAnsi="Palatino Linotype" w:cs="Palatino Linotype"/>
        </w:rPr>
        <w:t xml:space="preserve">razones o motivos de inconformidad hechos valer en el Recurso de Revisión </w:t>
      </w:r>
      <w:r w:rsidRPr="007968B8">
        <w:rPr>
          <w:rFonts w:ascii="Palatino Linotype" w:eastAsia="Palatino Linotype" w:hAnsi="Palatino Linotype" w:cs="Palatino Linotype"/>
          <w:b/>
          <w:bCs/>
        </w:rPr>
        <w:t>11213/INFOEM/IP/RR/2025</w:t>
      </w:r>
      <w:r w:rsidRPr="007968B8">
        <w:rPr>
          <w:rFonts w:ascii="Palatino Linotype" w:eastAsia="Palatino Linotype" w:hAnsi="Palatino Linotype" w:cs="Palatino Linotype"/>
        </w:rPr>
        <w:t xml:space="preserve">,  </w:t>
      </w:r>
      <w:r w:rsidRPr="007968B8">
        <w:rPr>
          <w:rFonts w:ascii="Palatino Linotype" w:eastAsia="Palatino Linotype" w:hAnsi="Palatino Linotype" w:cs="Palatino Linotype"/>
          <w:b/>
          <w:bCs/>
        </w:rPr>
        <w:t xml:space="preserve"> </w:t>
      </w:r>
      <w:r w:rsidRPr="007968B8">
        <w:rPr>
          <w:rFonts w:ascii="Palatino Linotype" w:eastAsia="Palatino Linotype" w:hAnsi="Palatino Linotype" w:cs="Palatino Linotype"/>
        </w:rPr>
        <w:t xml:space="preserve">por lo que se </w:t>
      </w:r>
      <w:r w:rsidRPr="007968B8">
        <w:rPr>
          <w:rFonts w:ascii="Palatino Linotype" w:eastAsia="Palatino Linotype" w:hAnsi="Palatino Linotype" w:cs="Palatino Linotype"/>
          <w:b/>
          <w:bCs/>
        </w:rPr>
        <w:t xml:space="preserve">MODIFICA </w:t>
      </w:r>
      <w:r w:rsidRPr="007968B8">
        <w:rPr>
          <w:rFonts w:ascii="Palatino Linotype" w:eastAsia="Palatino Linotype" w:hAnsi="Palatino Linotype" w:cs="Palatino Linotype"/>
        </w:rPr>
        <w:t xml:space="preserve">la respuesta del </w:t>
      </w:r>
      <w:r w:rsidRPr="007968B8">
        <w:rPr>
          <w:rFonts w:ascii="Palatino Linotype" w:eastAsia="Palatino Linotype" w:hAnsi="Palatino Linotype" w:cs="Palatino Linotype"/>
          <w:b/>
          <w:bCs/>
        </w:rPr>
        <w:t xml:space="preserve">SUJETO OBLIGADO </w:t>
      </w:r>
      <w:r w:rsidRPr="007968B8">
        <w:rPr>
          <w:rFonts w:ascii="Palatino Linotype" w:eastAsia="Palatino Linotype" w:hAnsi="Palatino Linotype" w:cs="Palatino Linotype"/>
        </w:rPr>
        <w:t xml:space="preserve">en la solicitud de información </w:t>
      </w:r>
      <w:r w:rsidRPr="007968B8">
        <w:rPr>
          <w:rFonts w:ascii="Palatino Linotype" w:eastAsia="Palatino Linotype" w:hAnsi="Palatino Linotype" w:cs="Palatino Linotype"/>
          <w:b/>
          <w:bCs/>
        </w:rPr>
        <w:t xml:space="preserve">00184/JOSERIN/IP/2025, </w:t>
      </w:r>
      <w:r w:rsidRPr="007968B8">
        <w:rPr>
          <w:rFonts w:ascii="Palatino Linotype" w:eastAsia="Palatino Linotype" w:hAnsi="Palatino Linotype" w:cs="Palatino Linotype"/>
        </w:rPr>
        <w:t xml:space="preserve">en términos del </w:t>
      </w:r>
      <w:r w:rsidRPr="007968B8">
        <w:rPr>
          <w:rFonts w:ascii="Palatino Linotype" w:eastAsia="Palatino Linotype" w:hAnsi="Palatino Linotype" w:cs="Palatino Linotype"/>
          <w:b/>
          <w:bCs/>
        </w:rPr>
        <w:t xml:space="preserve">Considerando Cuarto </w:t>
      </w:r>
      <w:r w:rsidRPr="007968B8">
        <w:rPr>
          <w:rFonts w:ascii="Palatino Linotype" w:eastAsia="Palatino Linotype" w:hAnsi="Palatino Linotype" w:cs="Palatino Linotype"/>
        </w:rPr>
        <w:t>de la presente resolución.</w:t>
      </w:r>
    </w:p>
    <w:p w:rsidR="006D5D3E" w:rsidRPr="007968B8" w:rsidRDefault="006D5D3E">
      <w:pPr>
        <w:spacing w:line="360" w:lineRule="auto"/>
        <w:ind w:right="-709"/>
        <w:jc w:val="both"/>
        <w:rPr>
          <w:rFonts w:ascii="Palatino Linotype" w:eastAsia="Palatino Linotype" w:hAnsi="Palatino Linotype" w:cs="Palatino Linotype"/>
        </w:rPr>
      </w:pPr>
    </w:p>
    <w:p w:rsidR="006D5D3E" w:rsidRPr="007968B8" w:rsidRDefault="00D97976">
      <w:pPr>
        <w:spacing w:line="360" w:lineRule="auto"/>
        <w:ind w:right="-709"/>
        <w:jc w:val="both"/>
        <w:rPr>
          <w:rFonts w:ascii="Palatino Linotype" w:eastAsia="Palatino Linotype" w:hAnsi="Palatino Linotype" w:cs="Palatino Linotype"/>
          <w:color w:val="000000"/>
        </w:rPr>
      </w:pPr>
      <w:bookmarkStart w:id="10" w:name="_heading=h.1ksv4uv" w:colFirst="0" w:colLast="0"/>
      <w:bookmarkEnd w:id="10"/>
      <w:r w:rsidRPr="007968B8">
        <w:rPr>
          <w:rFonts w:ascii="Palatino Linotype" w:eastAsia="Palatino Linotype" w:hAnsi="Palatino Linotype" w:cs="Palatino Linotype"/>
          <w:b/>
          <w:bCs/>
        </w:rPr>
        <w:t>SEGUNDO.</w:t>
      </w:r>
      <w:r w:rsidRPr="007968B8">
        <w:rPr>
          <w:rFonts w:ascii="Palatino Linotype" w:eastAsia="Palatino Linotype" w:hAnsi="Palatino Linotype" w:cs="Palatino Linotype"/>
          <w:color w:val="2E75B5"/>
        </w:rPr>
        <w:t xml:space="preserve"> </w:t>
      </w:r>
      <w:r w:rsidRPr="007968B8">
        <w:rPr>
          <w:rFonts w:ascii="Palatino Linotype" w:eastAsia="Palatino Linotype" w:hAnsi="Palatino Linotype" w:cs="Palatino Linotype"/>
          <w:color w:val="000000"/>
        </w:rPr>
        <w:t xml:space="preserve">Se </w:t>
      </w:r>
      <w:r w:rsidRPr="007968B8">
        <w:rPr>
          <w:rFonts w:ascii="Palatino Linotype" w:eastAsia="Palatino Linotype" w:hAnsi="Palatino Linotype" w:cs="Palatino Linotype"/>
          <w:b/>
          <w:bCs/>
          <w:color w:val="000000"/>
        </w:rPr>
        <w:t xml:space="preserve">ORDENA </w:t>
      </w:r>
      <w:r w:rsidRPr="007968B8">
        <w:rPr>
          <w:rFonts w:ascii="Palatino Linotype" w:eastAsia="Palatino Linotype" w:hAnsi="Palatino Linotype" w:cs="Palatino Linotype"/>
          <w:color w:val="000000"/>
        </w:rPr>
        <w:t xml:space="preserve">al </w:t>
      </w:r>
      <w:r w:rsidRPr="007968B8">
        <w:rPr>
          <w:rFonts w:ascii="Palatino Linotype" w:eastAsia="Palatino Linotype" w:hAnsi="Palatino Linotype" w:cs="Palatino Linotype"/>
          <w:b/>
          <w:bCs/>
          <w:color w:val="000000"/>
        </w:rPr>
        <w:t xml:space="preserve">SUJETO OBLIGADO, </w:t>
      </w:r>
      <w:r w:rsidRPr="007968B8">
        <w:rPr>
          <w:rFonts w:ascii="Palatino Linotype" w:eastAsia="Palatino Linotype" w:hAnsi="Palatino Linotype" w:cs="Palatino Linotype"/>
          <w:color w:val="000000"/>
        </w:rPr>
        <w:t xml:space="preserve">a efecto de entregar vía Sistema de Acceso a la Información Mexiquense </w:t>
      </w:r>
      <w:r w:rsidRPr="007968B8">
        <w:rPr>
          <w:rFonts w:ascii="Palatino Linotype" w:eastAsia="Palatino Linotype" w:hAnsi="Palatino Linotype" w:cs="Palatino Linotype"/>
          <w:b/>
          <w:bCs/>
          <w:color w:val="000000"/>
        </w:rPr>
        <w:t>(SAIMEX)</w:t>
      </w:r>
      <w:r w:rsidRPr="007968B8">
        <w:rPr>
          <w:rFonts w:ascii="Palatino Linotype" w:eastAsia="Palatino Linotype" w:hAnsi="Palatino Linotype" w:cs="Palatino Linotype"/>
          <w:color w:val="000000"/>
        </w:rPr>
        <w:t xml:space="preserve">, de ser procedente en versión pública respecto del bacheo realizado en la carretera Villa Victoria – El Oro referido en respuesta el documento </w:t>
      </w:r>
      <w:r w:rsidRPr="007968B8">
        <w:rPr>
          <w:rFonts w:ascii="Palatino Linotype" w:eastAsia="Palatino Linotype" w:hAnsi="Palatino Linotype" w:cs="Palatino Linotype"/>
        </w:rPr>
        <w:t>en donde conste</w:t>
      </w:r>
      <w:r w:rsidRPr="007968B8">
        <w:rPr>
          <w:rFonts w:ascii="Palatino Linotype" w:eastAsia="Palatino Linotype" w:hAnsi="Palatino Linotype" w:cs="Palatino Linotype"/>
          <w:color w:val="000000"/>
        </w:rPr>
        <w:t>:</w:t>
      </w:r>
    </w:p>
    <w:p w:rsidR="006D5D3E" w:rsidRPr="007968B8" w:rsidRDefault="00D97976">
      <w:pPr>
        <w:tabs>
          <w:tab w:val="left" w:pos="8080"/>
        </w:tabs>
        <w:spacing w:line="276" w:lineRule="auto"/>
        <w:ind w:left="1134" w:right="709"/>
        <w:jc w:val="both"/>
        <w:rPr>
          <w:rFonts w:ascii="Palatino Linotype" w:eastAsia="Palatino Linotype" w:hAnsi="Palatino Linotype" w:cs="Palatino Linotype"/>
          <w:color w:val="000000"/>
        </w:rPr>
      </w:pPr>
      <w:bookmarkStart w:id="11" w:name="_heading=h.lnxbz9" w:colFirst="0" w:colLast="0"/>
      <w:bookmarkEnd w:id="11"/>
      <w:r w:rsidRPr="007968B8">
        <w:rPr>
          <w:rFonts w:ascii="Palatino Linotype" w:eastAsia="Palatino Linotype" w:hAnsi="Palatino Linotype" w:cs="Palatino Linotype"/>
          <w:color w:val="000000"/>
        </w:rPr>
        <w:t>1. Tiempo utilizado para la realización de la obra</w:t>
      </w:r>
    </w:p>
    <w:p w:rsidR="006D5D3E" w:rsidRPr="007968B8" w:rsidRDefault="00D97976">
      <w:pPr>
        <w:tabs>
          <w:tab w:val="left" w:pos="8080"/>
        </w:tabs>
        <w:spacing w:line="276" w:lineRule="auto"/>
        <w:ind w:left="1134" w:right="709"/>
        <w:jc w:val="both"/>
        <w:rPr>
          <w:rFonts w:ascii="Palatino Linotype" w:eastAsia="Palatino Linotype" w:hAnsi="Palatino Linotype" w:cs="Palatino Linotype"/>
          <w:color w:val="000000"/>
        </w:rPr>
      </w:pPr>
      <w:r w:rsidRPr="007968B8">
        <w:rPr>
          <w:rFonts w:ascii="Palatino Linotype" w:eastAsia="Palatino Linotype" w:hAnsi="Palatino Linotype" w:cs="Palatino Linotype"/>
          <w:color w:val="000000"/>
        </w:rPr>
        <w:t>2. Metros cuadrados que fueron bacheados</w:t>
      </w:r>
    </w:p>
    <w:p w:rsidR="006D5D3E" w:rsidRPr="007968B8" w:rsidRDefault="00D97976">
      <w:pPr>
        <w:tabs>
          <w:tab w:val="left" w:pos="8080"/>
        </w:tabs>
        <w:spacing w:line="276" w:lineRule="auto"/>
        <w:ind w:left="1134" w:right="709"/>
        <w:jc w:val="both"/>
        <w:rPr>
          <w:rFonts w:ascii="Palatino Linotype" w:eastAsia="Palatino Linotype" w:hAnsi="Palatino Linotype" w:cs="Palatino Linotype"/>
        </w:rPr>
      </w:pPr>
      <w:r w:rsidRPr="007968B8">
        <w:rPr>
          <w:rFonts w:ascii="Palatino Linotype" w:eastAsia="Palatino Linotype" w:hAnsi="Palatino Linotype" w:cs="Palatino Linotype"/>
          <w:color w:val="000000"/>
        </w:rPr>
        <w:t xml:space="preserve">3. </w:t>
      </w:r>
      <w:r w:rsidRPr="007968B8">
        <w:rPr>
          <w:rFonts w:ascii="Palatino Linotype" w:eastAsia="Palatino Linotype" w:hAnsi="Palatino Linotype" w:cs="Palatino Linotype"/>
        </w:rPr>
        <w:t>La planeación de las tareas de bacheo en otras calles al veinte de agosto de dos mil veinticinco.</w:t>
      </w:r>
    </w:p>
    <w:p w:rsidR="006D5D3E" w:rsidRPr="007968B8" w:rsidRDefault="006D5D3E">
      <w:pPr>
        <w:tabs>
          <w:tab w:val="left" w:pos="8080"/>
        </w:tabs>
        <w:spacing w:line="276" w:lineRule="auto"/>
        <w:ind w:left="1134" w:right="709"/>
        <w:jc w:val="both"/>
        <w:rPr>
          <w:rFonts w:ascii="Palatino Linotype" w:eastAsia="Palatino Linotype" w:hAnsi="Palatino Linotype" w:cs="Palatino Linotype"/>
        </w:rPr>
      </w:pPr>
    </w:p>
    <w:p w:rsidR="006D5D3E" w:rsidRPr="007968B8" w:rsidRDefault="00D97976">
      <w:pPr>
        <w:tabs>
          <w:tab w:val="left" w:pos="8080"/>
        </w:tabs>
        <w:spacing w:line="276" w:lineRule="auto"/>
        <w:ind w:left="1134" w:right="709"/>
        <w:jc w:val="both"/>
        <w:rPr>
          <w:rFonts w:ascii="Palatino Linotype" w:eastAsia="Palatino Linotype" w:hAnsi="Palatino Linotype" w:cs="Palatino Linotype"/>
          <w:b/>
          <w:bCs/>
        </w:rPr>
      </w:pPr>
      <w:r w:rsidRPr="007968B8">
        <w:rPr>
          <w:rFonts w:ascii="Palatino Linotype" w:eastAsia="Palatino Linotype" w:hAnsi="Palatino Linotype" w:cs="Palatino Linotype"/>
        </w:rPr>
        <w:t xml:space="preserve">Para efectos de lo anterior, de ser procedente,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7968B8">
        <w:rPr>
          <w:rFonts w:ascii="Palatino Linotype" w:eastAsia="Palatino Linotype" w:hAnsi="Palatino Linotype" w:cs="Palatino Linotype"/>
          <w:b/>
          <w:bCs/>
        </w:rPr>
        <w:t>RECURRENTE.</w:t>
      </w:r>
    </w:p>
    <w:p w:rsidR="006D5D3E" w:rsidRPr="007968B8" w:rsidRDefault="006D5D3E">
      <w:pPr>
        <w:tabs>
          <w:tab w:val="left" w:pos="8080"/>
        </w:tabs>
        <w:spacing w:line="276" w:lineRule="auto"/>
        <w:ind w:left="1134" w:right="709"/>
        <w:jc w:val="both"/>
        <w:rPr>
          <w:rFonts w:ascii="Palatino Linotype" w:eastAsia="Palatino Linotype" w:hAnsi="Palatino Linotype" w:cs="Palatino Linotype"/>
        </w:rPr>
      </w:pPr>
    </w:p>
    <w:p w:rsidR="006D5D3E" w:rsidRPr="007968B8" w:rsidRDefault="00D97976">
      <w:pPr>
        <w:spacing w:line="276" w:lineRule="auto"/>
        <w:ind w:left="1134" w:right="709"/>
        <w:jc w:val="both"/>
        <w:rPr>
          <w:i/>
          <w:iCs/>
        </w:rPr>
      </w:pPr>
      <w:r w:rsidRPr="007968B8">
        <w:rPr>
          <w:rFonts w:ascii="Palatino Linotype" w:eastAsia="Palatino Linotype" w:hAnsi="Palatino Linotype" w:cs="Palatino Linotype"/>
          <w:i/>
          <w:iCs/>
        </w:rPr>
        <w:t xml:space="preserve">Para el caso en que no se cuente con la información relativa al punto 3, bastará con que así se haga del conocimiento a </w:t>
      </w:r>
      <w:r w:rsidRPr="007968B8">
        <w:rPr>
          <w:rFonts w:ascii="Palatino Linotype" w:eastAsia="Palatino Linotype" w:hAnsi="Palatino Linotype" w:cs="Palatino Linotype"/>
          <w:b/>
          <w:bCs/>
          <w:i/>
          <w:iCs/>
        </w:rPr>
        <w:t xml:space="preserve">LA PARTE RECURRENTE </w:t>
      </w:r>
      <w:r w:rsidRPr="007968B8">
        <w:rPr>
          <w:rFonts w:ascii="Palatino Linotype" w:eastAsia="Palatino Linotype" w:hAnsi="Palatino Linotype" w:cs="Palatino Linotype"/>
          <w:i/>
          <w:iCs/>
        </w:rPr>
        <w:t xml:space="preserve">en </w:t>
      </w:r>
      <w:r w:rsidRPr="007968B8">
        <w:rPr>
          <w:rFonts w:ascii="Palatino Linotype" w:eastAsia="Palatino Linotype" w:hAnsi="Palatino Linotype" w:cs="Palatino Linotype"/>
          <w:i/>
          <w:iCs/>
        </w:rPr>
        <w:lastRenderedPageBreak/>
        <w:t>términos de lo que establece el artículo 19 segundo párrafo de la Ley de Transparencia Local.</w:t>
      </w:r>
    </w:p>
    <w:p w:rsidR="006D5D3E" w:rsidRPr="007968B8" w:rsidRDefault="006D5D3E">
      <w:pPr>
        <w:tabs>
          <w:tab w:val="left" w:pos="8080"/>
        </w:tabs>
        <w:spacing w:line="276" w:lineRule="auto"/>
        <w:ind w:left="1134" w:right="709"/>
        <w:jc w:val="both"/>
        <w:rPr>
          <w:rFonts w:ascii="Palatino Linotype" w:eastAsia="Palatino Linotype" w:hAnsi="Palatino Linotype" w:cs="Palatino Linotype"/>
          <w:b/>
          <w:bCs/>
          <w:i/>
          <w:iCs/>
          <w:color w:val="000000"/>
        </w:rPr>
      </w:pPr>
    </w:p>
    <w:p w:rsidR="006D5D3E" w:rsidRPr="007968B8" w:rsidRDefault="006D5D3E">
      <w:pPr>
        <w:tabs>
          <w:tab w:val="left" w:pos="8080"/>
        </w:tabs>
        <w:spacing w:line="360" w:lineRule="auto"/>
        <w:ind w:right="-787"/>
        <w:jc w:val="both"/>
        <w:rPr>
          <w:rFonts w:ascii="Palatino Linotype" w:eastAsia="Palatino Linotype" w:hAnsi="Palatino Linotype" w:cs="Palatino Linotype"/>
        </w:rPr>
      </w:pPr>
    </w:p>
    <w:p w:rsidR="006D5D3E" w:rsidRPr="007968B8" w:rsidRDefault="00D97976">
      <w:pPr>
        <w:tabs>
          <w:tab w:val="left" w:pos="8080"/>
        </w:tabs>
        <w:spacing w:line="360" w:lineRule="auto"/>
        <w:ind w:right="-787"/>
        <w:jc w:val="both"/>
        <w:rPr>
          <w:rFonts w:ascii="Palatino Linotype" w:eastAsia="Palatino Linotype" w:hAnsi="Palatino Linotype" w:cs="Palatino Linotype"/>
          <w:color w:val="222222"/>
        </w:rPr>
      </w:pPr>
      <w:r w:rsidRPr="007968B8">
        <w:rPr>
          <w:rFonts w:ascii="Palatino Linotype" w:eastAsia="Palatino Linotype" w:hAnsi="Palatino Linotype" w:cs="Palatino Linotype"/>
          <w:b/>
          <w:bCs/>
        </w:rPr>
        <w:t xml:space="preserve">TERCERO. </w:t>
      </w:r>
      <w:r w:rsidRPr="007968B8">
        <w:rPr>
          <w:rFonts w:ascii="Palatino Linotype" w:eastAsia="Palatino Linotype" w:hAnsi="Palatino Linotype" w:cs="Palatino Linotype"/>
          <w:color w:val="222222"/>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7968B8">
        <w:rPr>
          <w:rFonts w:ascii="Palatino Linotype" w:eastAsia="Palatino Linotype" w:hAnsi="Palatino Linotype" w:cs="Palatino Linotype"/>
          <w:b/>
          <w:bCs/>
          <w:color w:val="222222"/>
        </w:rPr>
        <w:t xml:space="preserve">dé cumplimiento a lo ordenado dentro del plazo de diez días hábiles, </w:t>
      </w:r>
      <w:r w:rsidRPr="007968B8">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6D5D3E" w:rsidRPr="007968B8" w:rsidRDefault="006D5D3E">
      <w:pPr>
        <w:tabs>
          <w:tab w:val="left" w:pos="8080"/>
        </w:tabs>
        <w:spacing w:line="360" w:lineRule="auto"/>
        <w:ind w:right="-787"/>
        <w:jc w:val="both"/>
        <w:rPr>
          <w:rFonts w:ascii="Palatino Linotype" w:eastAsia="Palatino Linotype" w:hAnsi="Palatino Linotype" w:cs="Palatino Linotype"/>
          <w:color w:val="222222"/>
        </w:rPr>
      </w:pPr>
    </w:p>
    <w:p w:rsidR="006D5D3E" w:rsidRPr="007968B8" w:rsidRDefault="00D97976">
      <w:pPr>
        <w:spacing w:line="360" w:lineRule="auto"/>
        <w:ind w:right="-787"/>
        <w:jc w:val="both"/>
        <w:rPr>
          <w:rFonts w:ascii="Palatino Linotype" w:eastAsia="Palatino Linotype" w:hAnsi="Palatino Linotype" w:cs="Palatino Linotype"/>
        </w:rPr>
      </w:pPr>
      <w:r w:rsidRPr="007968B8">
        <w:rPr>
          <w:rFonts w:ascii="Palatino Linotype" w:eastAsia="Palatino Linotype" w:hAnsi="Palatino Linotype" w:cs="Palatino Linotype"/>
          <w:b/>
          <w:bCs/>
        </w:rPr>
        <w:t xml:space="preserve">CUARTO. </w:t>
      </w:r>
      <w:r w:rsidRPr="007968B8">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7968B8">
        <w:rPr>
          <w:rFonts w:ascii="Palatino Linotype" w:eastAsia="Palatino Linotype" w:hAnsi="Palatino Linotype" w:cs="Palatino Linotype"/>
          <w:b/>
          <w:bCs/>
        </w:rPr>
        <w:t>SUJETO OBLIGADO</w:t>
      </w:r>
      <w:r w:rsidRPr="007968B8">
        <w:rPr>
          <w:rFonts w:ascii="Palatino Linotype" w:eastAsia="Palatino Linotype" w:hAnsi="Palatino Linotype" w:cs="Palatino Linotype"/>
        </w:rPr>
        <w:t xml:space="preserve"> de manera fundada y motivada, podrá solicitar una ampliación de plazo para el cumplimiento de la presente resolución.</w:t>
      </w:r>
    </w:p>
    <w:p w:rsidR="006D5D3E" w:rsidRPr="007968B8" w:rsidRDefault="006D5D3E">
      <w:pPr>
        <w:spacing w:line="360" w:lineRule="auto"/>
        <w:ind w:right="-787"/>
        <w:jc w:val="both"/>
        <w:rPr>
          <w:rFonts w:ascii="Palatino Linotype" w:eastAsia="Palatino Linotype" w:hAnsi="Palatino Linotype" w:cs="Palatino Linotype"/>
        </w:rPr>
      </w:pPr>
    </w:p>
    <w:p w:rsidR="006D5D3E" w:rsidRPr="007968B8" w:rsidRDefault="00D97976">
      <w:pPr>
        <w:spacing w:line="360" w:lineRule="auto"/>
        <w:ind w:right="-787"/>
        <w:jc w:val="both"/>
        <w:rPr>
          <w:rFonts w:ascii="Palatino Linotype" w:eastAsia="Palatino Linotype" w:hAnsi="Palatino Linotype" w:cs="Palatino Linotype"/>
        </w:rPr>
      </w:pPr>
      <w:bookmarkStart w:id="12" w:name="_heading=h.2jxsxqh" w:colFirst="0" w:colLast="0"/>
      <w:bookmarkEnd w:id="12"/>
      <w:r w:rsidRPr="007968B8">
        <w:rPr>
          <w:rFonts w:ascii="Palatino Linotype" w:eastAsia="Palatino Linotype" w:hAnsi="Palatino Linotype" w:cs="Palatino Linotype"/>
          <w:b/>
          <w:bCs/>
        </w:rPr>
        <w:t xml:space="preserve">QUINTO. </w:t>
      </w:r>
      <w:r w:rsidRPr="007968B8">
        <w:rPr>
          <w:rFonts w:ascii="Palatino Linotype" w:eastAsia="Palatino Linotype" w:hAnsi="Palatino Linotype" w:cs="Palatino Linotype"/>
        </w:rPr>
        <w:t xml:space="preserve">Notifíquese a </w:t>
      </w:r>
      <w:r w:rsidRPr="007968B8">
        <w:rPr>
          <w:rFonts w:ascii="Palatino Linotype" w:eastAsia="Palatino Linotype" w:hAnsi="Palatino Linotype" w:cs="Palatino Linotype"/>
          <w:b/>
          <w:bCs/>
        </w:rPr>
        <w:t>EL RECURRENTE</w:t>
      </w:r>
      <w:r w:rsidRPr="007968B8">
        <w:rPr>
          <w:rFonts w:ascii="Palatino Linotype" w:eastAsia="Palatino Linotype" w:hAnsi="Palatino Linotype" w:cs="Palatino Linotype"/>
        </w:rPr>
        <w:t xml:space="preserve"> la presente resolución, vía SAIMEX.</w:t>
      </w:r>
    </w:p>
    <w:p w:rsidR="006D5D3E" w:rsidRPr="007968B8" w:rsidRDefault="006D5D3E">
      <w:pPr>
        <w:shd w:val="clear" w:color="auto" w:fill="FFFFFF"/>
        <w:spacing w:line="360" w:lineRule="auto"/>
        <w:jc w:val="both"/>
        <w:rPr>
          <w:rFonts w:ascii="Palatino Linotype" w:eastAsia="Palatino Linotype" w:hAnsi="Palatino Linotype" w:cs="Palatino Linotype"/>
          <w:b/>
          <w:bCs/>
        </w:rPr>
      </w:pPr>
    </w:p>
    <w:p w:rsidR="006D5D3E" w:rsidRPr="007968B8" w:rsidRDefault="00D97976">
      <w:pPr>
        <w:spacing w:line="360" w:lineRule="auto"/>
        <w:ind w:right="-787"/>
        <w:jc w:val="both"/>
        <w:rPr>
          <w:rFonts w:ascii="Palatino Linotype" w:eastAsia="Palatino Linotype" w:hAnsi="Palatino Linotype" w:cs="Palatino Linotype"/>
        </w:rPr>
      </w:pPr>
      <w:r w:rsidRPr="007968B8">
        <w:rPr>
          <w:rFonts w:ascii="Palatino Linotype" w:eastAsia="Palatino Linotype" w:hAnsi="Palatino Linotype" w:cs="Palatino Linotype"/>
          <w:b/>
          <w:bCs/>
        </w:rPr>
        <w:t xml:space="preserve">SEXTO. </w:t>
      </w:r>
      <w:r w:rsidRPr="007968B8">
        <w:rPr>
          <w:rFonts w:ascii="Palatino Linotype" w:eastAsia="Palatino Linotype" w:hAnsi="Palatino Linotype" w:cs="Palatino Linotype"/>
        </w:rPr>
        <w:t xml:space="preserve">Se hace del conocimiento del </w:t>
      </w:r>
      <w:r w:rsidRPr="007968B8">
        <w:rPr>
          <w:rFonts w:ascii="Palatino Linotype" w:eastAsia="Palatino Linotype" w:hAnsi="Palatino Linotype" w:cs="Palatino Linotype"/>
          <w:b/>
          <w:bCs/>
        </w:rPr>
        <w:t>RECURRENTE</w:t>
      </w:r>
      <w:r w:rsidRPr="007968B8">
        <w:rPr>
          <w:rFonts w:ascii="Palatino Linotype" w:eastAsia="Palatino Linotype" w:hAnsi="Palatino Linotype" w:cs="Palatino Linotype"/>
        </w:rPr>
        <w:t xml:space="preserve"> que, de conformidad con lo establecido en el artículo 196 de la Ley de Transparencia y Acceso a la Información Pública del Estado de </w:t>
      </w:r>
      <w:r w:rsidRPr="007968B8">
        <w:rPr>
          <w:rFonts w:ascii="Palatino Linotype" w:eastAsia="Palatino Linotype" w:hAnsi="Palatino Linotype" w:cs="Palatino Linotype"/>
        </w:rPr>
        <w:lastRenderedPageBreak/>
        <w:t>México y Municipios, en caso de que considere que la resolución le cause algún perjuicio podrá impugnarla vía juicio de amparo en los términos de las leyes aplicables.</w:t>
      </w:r>
    </w:p>
    <w:p w:rsidR="006D5D3E" w:rsidRPr="007968B8" w:rsidRDefault="006D5D3E">
      <w:pPr>
        <w:shd w:val="clear" w:color="auto" w:fill="FFFFFF"/>
        <w:spacing w:line="360" w:lineRule="auto"/>
        <w:jc w:val="both"/>
        <w:rPr>
          <w:rFonts w:ascii="Palatino Linotype" w:eastAsia="Palatino Linotype" w:hAnsi="Palatino Linotype" w:cs="Palatino Linotype"/>
        </w:rPr>
      </w:pPr>
    </w:p>
    <w:p w:rsidR="00E21CAD" w:rsidRPr="007968B8" w:rsidRDefault="00E21CAD" w:rsidP="00E21CAD">
      <w:pPr>
        <w:spacing w:before="240" w:after="240" w:line="360" w:lineRule="auto"/>
        <w:ind w:firstLine="1"/>
        <w:jc w:val="both"/>
        <w:rPr>
          <w:rFonts w:ascii="Palatino Linotype" w:hAnsi="Palatino Linotype"/>
        </w:rPr>
      </w:pPr>
      <w:bookmarkStart w:id="13" w:name="_Hlk99014733"/>
      <w:r w:rsidRPr="007968B8">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(05) DE FEBRERO DE DOS MIL VEINTISÉIS, ANTE EL SECRETARIO TÉCNICO DEL PLENO </w:t>
      </w:r>
      <w:r w:rsidRPr="007968B8">
        <w:rPr>
          <w:rFonts w:ascii="Palatino Linotype" w:hAnsi="Palatino Linotype" w:cs="Palatino Linotype"/>
          <w:color w:val="000000" w:themeColor="text1"/>
        </w:rPr>
        <w:t>ALEXIS TAPIA RAMÍREZ.</w:t>
      </w:r>
    </w:p>
    <w:bookmarkEnd w:id="13"/>
    <w:p w:rsidR="006D5D3E" w:rsidRPr="007968B8" w:rsidRDefault="006D5D3E">
      <w:pPr>
        <w:spacing w:before="240" w:after="240" w:line="360" w:lineRule="auto"/>
        <w:ind w:right="-787"/>
        <w:jc w:val="both"/>
        <w:rPr>
          <w:rFonts w:ascii="Palatino Linotype" w:eastAsia="Palatino Linotype" w:hAnsi="Palatino Linotype" w:cs="Palatino Linotype"/>
        </w:rPr>
      </w:pPr>
    </w:p>
    <w:p w:rsidR="006D5D3E" w:rsidRPr="007968B8" w:rsidRDefault="006D5D3E">
      <w:pPr>
        <w:spacing w:before="240" w:after="240" w:line="360" w:lineRule="auto"/>
        <w:ind w:right="-787"/>
        <w:jc w:val="both"/>
        <w:rPr>
          <w:rFonts w:ascii="Palatino Linotype" w:eastAsia="Palatino Linotype" w:hAnsi="Palatino Linotype" w:cs="Palatino Linotype"/>
        </w:rPr>
      </w:pPr>
    </w:p>
    <w:p w:rsidR="006D5D3E" w:rsidRPr="007968B8" w:rsidRDefault="006D5D3E">
      <w:pPr>
        <w:spacing w:before="240" w:after="240" w:line="360" w:lineRule="auto"/>
        <w:ind w:right="-787"/>
        <w:jc w:val="both"/>
        <w:rPr>
          <w:rFonts w:ascii="Palatino Linotype" w:eastAsia="Palatino Linotype" w:hAnsi="Palatino Linotype" w:cs="Palatino Linotype"/>
        </w:rPr>
      </w:pPr>
    </w:p>
    <w:p w:rsidR="006D5D3E" w:rsidRPr="007968B8" w:rsidRDefault="006D5D3E">
      <w:pPr>
        <w:spacing w:line="360" w:lineRule="auto"/>
        <w:ind w:right="-787"/>
        <w:jc w:val="both"/>
        <w:rPr>
          <w:rFonts w:ascii="Palatino Linotype" w:eastAsia="Palatino Linotype" w:hAnsi="Palatino Linotype" w:cs="Palatino Linotype"/>
        </w:rPr>
      </w:pPr>
    </w:p>
    <w:p w:rsidR="006D5D3E" w:rsidRPr="007968B8" w:rsidRDefault="006D5D3E">
      <w:pPr>
        <w:keepNext/>
        <w:keepLines/>
        <w:spacing w:after="240" w:line="360" w:lineRule="auto"/>
        <w:ind w:right="-787"/>
        <w:rPr>
          <w:rFonts w:ascii="Palatino Linotype" w:eastAsia="Palatino Linotype" w:hAnsi="Palatino Linotype" w:cs="Palatino Linotype"/>
        </w:rPr>
      </w:pPr>
    </w:p>
    <w:p w:rsidR="006D5D3E" w:rsidRPr="007968B8" w:rsidRDefault="006D5D3E">
      <w:pPr>
        <w:ind w:right="-787"/>
        <w:rPr>
          <w:rFonts w:ascii="Palatino Linotype" w:eastAsia="Palatino Linotype" w:hAnsi="Palatino Linotype" w:cs="Palatino Linotype"/>
        </w:rPr>
      </w:pPr>
    </w:p>
    <w:p w:rsidR="006D5D3E" w:rsidRPr="007968B8" w:rsidRDefault="006D5D3E">
      <w:pPr>
        <w:ind w:right="-787"/>
        <w:rPr>
          <w:rFonts w:ascii="Palatino Linotype" w:eastAsia="Palatino Linotype" w:hAnsi="Palatino Linotype" w:cs="Palatino Linotype"/>
        </w:rPr>
      </w:pPr>
    </w:p>
    <w:p w:rsidR="006D5D3E" w:rsidRPr="007968B8" w:rsidRDefault="006D5D3E">
      <w:pPr>
        <w:rPr>
          <w:rFonts w:ascii="Palatino Linotype" w:eastAsia="Palatino Linotype" w:hAnsi="Palatino Linotype" w:cs="Palatino Linotype"/>
        </w:rPr>
      </w:pPr>
    </w:p>
    <w:p w:rsidR="006D5D3E" w:rsidRPr="007968B8" w:rsidRDefault="006D5D3E">
      <w:pPr>
        <w:rPr>
          <w:rFonts w:ascii="Palatino Linotype" w:eastAsia="Palatino Linotype" w:hAnsi="Palatino Linotype" w:cs="Palatino Linotype"/>
        </w:rPr>
      </w:pPr>
    </w:p>
    <w:p w:rsidR="006D5D3E" w:rsidRPr="007968B8" w:rsidRDefault="006D5D3E">
      <w:pPr>
        <w:rPr>
          <w:rFonts w:ascii="Palatino Linotype" w:eastAsia="Palatino Linotype" w:hAnsi="Palatino Linotype" w:cs="Palatino Linotype"/>
        </w:rPr>
      </w:pPr>
    </w:p>
    <w:p w:rsidR="006D5D3E" w:rsidRPr="007968B8" w:rsidRDefault="006D5D3E">
      <w:pPr>
        <w:rPr>
          <w:rFonts w:ascii="Palatino Linotype" w:eastAsia="Palatino Linotype" w:hAnsi="Palatino Linotype" w:cs="Palatino Linotype"/>
        </w:rPr>
      </w:pPr>
    </w:p>
    <w:p w:rsidR="006D5D3E" w:rsidRPr="007968B8" w:rsidRDefault="006D5D3E">
      <w:pPr>
        <w:rPr>
          <w:rFonts w:ascii="Palatino Linotype" w:eastAsia="Palatino Linotype" w:hAnsi="Palatino Linotype" w:cs="Palatino Linotype"/>
        </w:rPr>
      </w:pPr>
    </w:p>
    <w:sectPr w:rsidR="006D5D3E" w:rsidRPr="007968B8" w:rsidSect="007968B8">
      <w:headerReference w:type="default" r:id="rId23"/>
      <w:footerReference w:type="default" r:id="rId24"/>
      <w:headerReference w:type="first" r:id="rId25"/>
      <w:footerReference w:type="first" r:id="rId26"/>
      <w:pgSz w:w="12240" w:h="15840"/>
      <w:pgMar w:top="2410" w:right="1325"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521" w:rsidRDefault="00D50521">
      <w:r>
        <w:separator/>
      </w:r>
    </w:p>
  </w:endnote>
  <w:endnote w:type="continuationSeparator" w:id="0">
    <w:p w:rsidR="00D50521" w:rsidRDefault="00D50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E6311995-40FC-436E-838E-1C2EC6598991}"/>
    <w:embedBold r:id="rId2" w:fontKey="{50AAEA37-B087-4422-9593-5F527F428B1F}"/>
    <w:embedItalic r:id="rId3" w:fontKey="{14D29A97-F196-43F9-BE94-3F81AB063647}"/>
    <w:embedBoldItalic r:id="rId4" w:fontKey="{1108EFD9-177C-48FC-9AEE-FA1B21A1E3DB}"/>
  </w:font>
  <w:font w:name="Noto Sans Symbols">
    <w:altName w:val="Times New Roman"/>
    <w:charset w:val="00"/>
    <w:family w:val="auto"/>
    <w:pitch w:val="default"/>
    <w:embedRegular r:id="rId5" w:fontKey="{ED5A2952-64A3-4725-A400-E8606B802B7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A2362B11-27CE-4053-AA97-C435AD99C3BA}"/>
    <w:embedItalic r:id="rId7" w:fontKey="{DCF71F60-20A6-4DAE-B528-BA63B8EDEA40}"/>
  </w:font>
  <w:font w:name="Calibri Light">
    <w:panose1 w:val="020F0302020204030204"/>
    <w:charset w:val="00"/>
    <w:family w:val="swiss"/>
    <w:pitch w:val="variable"/>
    <w:sig w:usb0="E4002EFF" w:usb1="C200247B" w:usb2="00000009" w:usb3="00000000" w:csb0="000001FF" w:csb1="00000000"/>
    <w:embedRegular r:id="rId8" w:fontKey="{030EE518-76A4-493C-8FE2-746AAA4AF54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9" w:fontKey="{1DA111B1-3C76-4260-A057-1E57238DA3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D3E" w:rsidRPr="007968B8" w:rsidRDefault="00D97976">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2"/>
      </w:rPr>
    </w:pPr>
    <w:r w:rsidRPr="007968B8">
      <w:rPr>
        <w:rFonts w:ascii="Palatino Linotype" w:eastAsia="Arial" w:hAnsi="Palatino Linotype" w:cs="Arial"/>
        <w:b/>
        <w:bCs/>
        <w:color w:val="000000"/>
        <w:sz w:val="22"/>
        <w:szCs w:val="22"/>
      </w:rPr>
      <w:t xml:space="preserve">Página </w:t>
    </w:r>
    <w:r w:rsidRPr="007968B8">
      <w:rPr>
        <w:rFonts w:ascii="Palatino Linotype" w:eastAsia="Arial" w:hAnsi="Palatino Linotype" w:cs="Arial"/>
        <w:b/>
        <w:bCs/>
        <w:color w:val="000000"/>
        <w:sz w:val="22"/>
        <w:szCs w:val="22"/>
      </w:rPr>
      <w:fldChar w:fldCharType="begin"/>
    </w:r>
    <w:r w:rsidRPr="007968B8">
      <w:rPr>
        <w:rFonts w:ascii="Palatino Linotype" w:eastAsia="Arial" w:hAnsi="Palatino Linotype" w:cs="Arial"/>
        <w:b/>
        <w:bCs/>
        <w:color w:val="000000"/>
        <w:sz w:val="22"/>
        <w:szCs w:val="22"/>
      </w:rPr>
      <w:instrText>PAGE</w:instrText>
    </w:r>
    <w:r w:rsidRPr="007968B8">
      <w:rPr>
        <w:rFonts w:ascii="Palatino Linotype" w:eastAsia="Arial" w:hAnsi="Palatino Linotype" w:cs="Arial"/>
        <w:b/>
        <w:bCs/>
        <w:color w:val="000000"/>
        <w:sz w:val="22"/>
        <w:szCs w:val="22"/>
      </w:rPr>
      <w:fldChar w:fldCharType="separate"/>
    </w:r>
    <w:r w:rsidR="000E462E">
      <w:rPr>
        <w:rFonts w:ascii="Palatino Linotype" w:eastAsia="Arial" w:hAnsi="Palatino Linotype" w:cs="Arial"/>
        <w:b/>
        <w:bCs/>
        <w:noProof/>
        <w:color w:val="000000"/>
        <w:sz w:val="22"/>
        <w:szCs w:val="22"/>
      </w:rPr>
      <w:t>21</w:t>
    </w:r>
    <w:r w:rsidRPr="007968B8">
      <w:rPr>
        <w:rFonts w:ascii="Palatino Linotype" w:eastAsia="Arial" w:hAnsi="Palatino Linotype" w:cs="Arial"/>
        <w:b/>
        <w:bCs/>
        <w:color w:val="000000"/>
        <w:sz w:val="22"/>
        <w:szCs w:val="22"/>
      </w:rPr>
      <w:fldChar w:fldCharType="end"/>
    </w:r>
    <w:r w:rsidRPr="007968B8">
      <w:rPr>
        <w:rFonts w:ascii="Palatino Linotype" w:eastAsia="Arial" w:hAnsi="Palatino Linotype" w:cs="Arial"/>
        <w:b/>
        <w:color w:val="000000"/>
        <w:sz w:val="22"/>
        <w:szCs w:val="22"/>
      </w:rPr>
      <w:t xml:space="preserve"> de</w:t>
    </w:r>
    <w:r w:rsidRPr="007968B8">
      <w:rPr>
        <w:rFonts w:ascii="Palatino Linotype" w:eastAsia="Arial" w:hAnsi="Palatino Linotype" w:cs="Arial"/>
        <w:color w:val="000000"/>
        <w:sz w:val="22"/>
        <w:szCs w:val="22"/>
      </w:rPr>
      <w:t xml:space="preserve"> </w:t>
    </w:r>
    <w:r w:rsidRPr="007968B8">
      <w:rPr>
        <w:rFonts w:ascii="Palatino Linotype" w:eastAsia="Arial" w:hAnsi="Palatino Linotype" w:cs="Arial"/>
        <w:b/>
        <w:bCs/>
        <w:color w:val="000000"/>
        <w:sz w:val="22"/>
        <w:szCs w:val="22"/>
      </w:rPr>
      <w:fldChar w:fldCharType="begin"/>
    </w:r>
    <w:r w:rsidRPr="007968B8">
      <w:rPr>
        <w:rFonts w:ascii="Palatino Linotype" w:eastAsia="Arial" w:hAnsi="Palatino Linotype" w:cs="Arial"/>
        <w:b/>
        <w:bCs/>
        <w:color w:val="000000"/>
        <w:sz w:val="22"/>
        <w:szCs w:val="22"/>
      </w:rPr>
      <w:instrText>NUMPAGES</w:instrText>
    </w:r>
    <w:r w:rsidRPr="007968B8">
      <w:rPr>
        <w:rFonts w:ascii="Palatino Linotype" w:eastAsia="Arial" w:hAnsi="Palatino Linotype" w:cs="Arial"/>
        <w:b/>
        <w:bCs/>
        <w:color w:val="000000"/>
        <w:sz w:val="22"/>
        <w:szCs w:val="22"/>
      </w:rPr>
      <w:fldChar w:fldCharType="separate"/>
    </w:r>
    <w:r w:rsidR="000E462E">
      <w:rPr>
        <w:rFonts w:ascii="Palatino Linotype" w:eastAsia="Arial" w:hAnsi="Palatino Linotype" w:cs="Arial"/>
        <w:b/>
        <w:bCs/>
        <w:noProof/>
        <w:color w:val="000000"/>
        <w:sz w:val="22"/>
        <w:szCs w:val="22"/>
      </w:rPr>
      <w:t>62</w:t>
    </w:r>
    <w:r w:rsidRPr="007968B8">
      <w:rPr>
        <w:rFonts w:ascii="Palatino Linotype" w:eastAsia="Arial" w:hAnsi="Palatino Linotype" w:cs="Arial"/>
        <w:b/>
        <w:bCs/>
        <w:color w:val="000000"/>
        <w:sz w:val="22"/>
        <w:szCs w:val="22"/>
      </w:rPr>
      <w:fldChar w:fldCharType="end"/>
    </w:r>
  </w:p>
  <w:p w:rsidR="006D5D3E" w:rsidRDefault="006D5D3E">
    <w:pPr>
      <w:pBdr>
        <w:top w:val="nil"/>
        <w:left w:val="nil"/>
        <w:bottom w:val="nil"/>
        <w:right w:val="nil"/>
        <w:between w:val="nil"/>
      </w:pBdr>
      <w:tabs>
        <w:tab w:val="center" w:pos="4252"/>
        <w:tab w:val="right" w:pos="8504"/>
      </w:tabs>
      <w:rPr>
        <w:color w:val="000000"/>
      </w:rPr>
    </w:pPr>
  </w:p>
  <w:p w:rsidR="006D5D3E" w:rsidRDefault="006D5D3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D3E" w:rsidRPr="007968B8" w:rsidRDefault="00D97976">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7968B8">
      <w:rPr>
        <w:rFonts w:ascii="Palatino Linotype" w:eastAsia="Arial" w:hAnsi="Palatino Linotype" w:cs="Arial"/>
        <w:b/>
        <w:bCs/>
        <w:color w:val="000000"/>
        <w:sz w:val="22"/>
        <w:szCs w:val="20"/>
      </w:rPr>
      <w:t xml:space="preserve">Página </w:t>
    </w:r>
    <w:r w:rsidRPr="007968B8">
      <w:rPr>
        <w:rFonts w:ascii="Palatino Linotype" w:eastAsia="Arial" w:hAnsi="Palatino Linotype" w:cs="Arial"/>
        <w:b/>
        <w:bCs/>
        <w:color w:val="000000"/>
        <w:sz w:val="22"/>
        <w:szCs w:val="20"/>
      </w:rPr>
      <w:fldChar w:fldCharType="begin"/>
    </w:r>
    <w:r w:rsidRPr="007968B8">
      <w:rPr>
        <w:rFonts w:ascii="Palatino Linotype" w:eastAsia="Arial" w:hAnsi="Palatino Linotype" w:cs="Arial"/>
        <w:b/>
        <w:bCs/>
        <w:color w:val="000000"/>
        <w:sz w:val="22"/>
        <w:szCs w:val="20"/>
      </w:rPr>
      <w:instrText>PAGE</w:instrText>
    </w:r>
    <w:r w:rsidRPr="007968B8">
      <w:rPr>
        <w:rFonts w:ascii="Palatino Linotype" w:eastAsia="Arial" w:hAnsi="Palatino Linotype" w:cs="Arial"/>
        <w:b/>
        <w:bCs/>
        <w:color w:val="000000"/>
        <w:sz w:val="22"/>
        <w:szCs w:val="20"/>
      </w:rPr>
      <w:fldChar w:fldCharType="separate"/>
    </w:r>
    <w:r w:rsidR="000E462E">
      <w:rPr>
        <w:rFonts w:ascii="Palatino Linotype" w:eastAsia="Arial" w:hAnsi="Palatino Linotype" w:cs="Arial"/>
        <w:b/>
        <w:bCs/>
        <w:noProof/>
        <w:color w:val="000000"/>
        <w:sz w:val="22"/>
        <w:szCs w:val="20"/>
      </w:rPr>
      <w:t>1</w:t>
    </w:r>
    <w:r w:rsidRPr="007968B8">
      <w:rPr>
        <w:rFonts w:ascii="Palatino Linotype" w:eastAsia="Arial" w:hAnsi="Palatino Linotype" w:cs="Arial"/>
        <w:b/>
        <w:bCs/>
        <w:color w:val="000000"/>
        <w:sz w:val="22"/>
        <w:szCs w:val="20"/>
      </w:rPr>
      <w:fldChar w:fldCharType="end"/>
    </w:r>
    <w:r w:rsidRPr="007968B8">
      <w:rPr>
        <w:rFonts w:ascii="Palatino Linotype" w:eastAsia="Arial" w:hAnsi="Palatino Linotype" w:cs="Arial"/>
        <w:color w:val="000000"/>
        <w:sz w:val="22"/>
        <w:szCs w:val="20"/>
      </w:rPr>
      <w:t xml:space="preserve"> de </w:t>
    </w:r>
    <w:r w:rsidRPr="007968B8">
      <w:rPr>
        <w:rFonts w:ascii="Palatino Linotype" w:eastAsia="Arial" w:hAnsi="Palatino Linotype" w:cs="Arial"/>
        <w:b/>
        <w:bCs/>
        <w:color w:val="000000"/>
        <w:sz w:val="22"/>
        <w:szCs w:val="20"/>
      </w:rPr>
      <w:fldChar w:fldCharType="begin"/>
    </w:r>
    <w:r w:rsidRPr="007968B8">
      <w:rPr>
        <w:rFonts w:ascii="Palatino Linotype" w:eastAsia="Arial" w:hAnsi="Palatino Linotype" w:cs="Arial"/>
        <w:b/>
        <w:bCs/>
        <w:color w:val="000000"/>
        <w:sz w:val="22"/>
        <w:szCs w:val="20"/>
      </w:rPr>
      <w:instrText>NUMPAGES</w:instrText>
    </w:r>
    <w:r w:rsidRPr="007968B8">
      <w:rPr>
        <w:rFonts w:ascii="Palatino Linotype" w:eastAsia="Arial" w:hAnsi="Palatino Linotype" w:cs="Arial"/>
        <w:b/>
        <w:bCs/>
        <w:color w:val="000000"/>
        <w:sz w:val="22"/>
        <w:szCs w:val="20"/>
      </w:rPr>
      <w:fldChar w:fldCharType="separate"/>
    </w:r>
    <w:r w:rsidR="000E462E">
      <w:rPr>
        <w:rFonts w:ascii="Palatino Linotype" w:eastAsia="Arial" w:hAnsi="Palatino Linotype" w:cs="Arial"/>
        <w:b/>
        <w:bCs/>
        <w:noProof/>
        <w:color w:val="000000"/>
        <w:sz w:val="22"/>
        <w:szCs w:val="20"/>
      </w:rPr>
      <w:t>62</w:t>
    </w:r>
    <w:r w:rsidRPr="007968B8">
      <w:rPr>
        <w:rFonts w:ascii="Palatino Linotype" w:eastAsia="Arial" w:hAnsi="Palatino Linotype" w:cs="Arial"/>
        <w:b/>
        <w:bCs/>
        <w:color w:val="000000"/>
        <w:sz w:val="22"/>
        <w:szCs w:val="20"/>
      </w:rPr>
      <w:fldChar w:fldCharType="end"/>
    </w:r>
  </w:p>
  <w:p w:rsidR="006D5D3E" w:rsidRDefault="006D5D3E">
    <w:pPr>
      <w:pBdr>
        <w:top w:val="nil"/>
        <w:left w:val="nil"/>
        <w:bottom w:val="nil"/>
        <w:right w:val="nil"/>
        <w:between w:val="nil"/>
      </w:pBdr>
      <w:tabs>
        <w:tab w:val="center" w:pos="4252"/>
        <w:tab w:val="right" w:pos="8504"/>
      </w:tabs>
      <w:rPr>
        <w:rFonts w:ascii="Calibri" w:eastAsia="Calibri" w:hAnsi="Calibri" w:cs="Calibri"/>
        <w:color w:val="000000"/>
      </w:rPr>
    </w:pPr>
  </w:p>
  <w:p w:rsidR="004E3119" w:rsidRDefault="004E311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521" w:rsidRDefault="00D50521">
      <w:r>
        <w:separator/>
      </w:r>
    </w:p>
  </w:footnote>
  <w:footnote w:type="continuationSeparator" w:id="0">
    <w:p w:rsidR="00D50521" w:rsidRDefault="00D50521">
      <w:r>
        <w:continuationSeparator/>
      </w:r>
    </w:p>
  </w:footnote>
  <w:footnote w:id="1">
    <w:p w:rsidR="006D5D3E" w:rsidRDefault="00D9797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6D5D3E" w:rsidRDefault="00D9797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6D5D3E" w:rsidRDefault="00D9797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6D5D3E" w:rsidRDefault="00D9797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7714" w:type="dxa"/>
      <w:tblInd w:w="2410" w:type="dxa"/>
      <w:tblLayout w:type="fixed"/>
      <w:tblLook w:val="0400" w:firstRow="0" w:lastRow="0" w:firstColumn="0" w:lastColumn="0" w:noHBand="0" w:noVBand="1"/>
    </w:tblPr>
    <w:tblGrid>
      <w:gridCol w:w="3178"/>
      <w:gridCol w:w="4536"/>
    </w:tblGrid>
    <w:tr w:rsidR="006D5D3E" w:rsidTr="007968B8">
      <w:tc>
        <w:tcPr>
          <w:tcW w:w="3178" w:type="dxa"/>
          <w:vAlign w:val="center"/>
        </w:tcPr>
        <w:p w:rsidR="006D5D3E" w:rsidRPr="007968B8" w:rsidRDefault="00D97976">
          <w:pPr>
            <w:ind w:left="377"/>
            <w:rPr>
              <w:rFonts w:ascii="Palatino Linotype" w:eastAsia="Palatino Linotype" w:hAnsi="Palatino Linotype" w:cs="Palatino Linotype"/>
              <w:b/>
              <w:bCs/>
            </w:rPr>
          </w:pPr>
          <w:r w:rsidRPr="007968B8">
            <w:rPr>
              <w:rFonts w:ascii="Palatino Linotype" w:eastAsia="Palatino Linotype" w:hAnsi="Palatino Linotype" w:cs="Palatino Linotype"/>
              <w:b/>
              <w:bCs/>
            </w:rPr>
            <w:t>Recurso de Revisión:</w:t>
          </w:r>
        </w:p>
      </w:tc>
      <w:tc>
        <w:tcPr>
          <w:tcW w:w="4536" w:type="dxa"/>
          <w:vAlign w:val="center"/>
        </w:tcPr>
        <w:p w:rsidR="006D5D3E" w:rsidRPr="007968B8" w:rsidRDefault="00D97976">
          <w:pPr>
            <w:ind w:right="-1093"/>
            <w:jc w:val="both"/>
            <w:rPr>
              <w:rFonts w:ascii="Palatino Linotype" w:eastAsia="Palatino Linotype" w:hAnsi="Palatino Linotype" w:cs="Palatino Linotype"/>
              <w:bCs/>
            </w:rPr>
          </w:pPr>
          <w:r w:rsidRPr="007968B8">
            <w:rPr>
              <w:rFonts w:ascii="Palatino Linotype" w:eastAsia="Palatino Linotype" w:hAnsi="Palatino Linotype" w:cs="Palatino Linotype"/>
              <w:bCs/>
              <w:color w:val="000000"/>
            </w:rPr>
            <w:t xml:space="preserve">11213/INFOEM/IP/RR/2025 </w:t>
          </w:r>
        </w:p>
      </w:tc>
    </w:tr>
    <w:tr w:rsidR="006D5D3E" w:rsidTr="007968B8">
      <w:trPr>
        <w:trHeight w:val="228"/>
      </w:trPr>
      <w:tc>
        <w:tcPr>
          <w:tcW w:w="3178" w:type="dxa"/>
          <w:vAlign w:val="center"/>
        </w:tcPr>
        <w:p w:rsidR="006D5D3E" w:rsidRPr="007968B8" w:rsidRDefault="00D97976">
          <w:pPr>
            <w:ind w:left="377"/>
            <w:rPr>
              <w:rFonts w:ascii="Palatino Linotype" w:eastAsia="Palatino Linotype" w:hAnsi="Palatino Linotype" w:cs="Palatino Linotype"/>
              <w:b/>
              <w:bCs/>
            </w:rPr>
          </w:pPr>
          <w:r w:rsidRPr="007968B8">
            <w:rPr>
              <w:rFonts w:ascii="Palatino Linotype" w:eastAsia="Palatino Linotype" w:hAnsi="Palatino Linotype" w:cs="Palatino Linotype"/>
              <w:b/>
              <w:bCs/>
            </w:rPr>
            <w:t>Sujeto Obligado:</w:t>
          </w:r>
        </w:p>
      </w:tc>
      <w:tc>
        <w:tcPr>
          <w:tcW w:w="4536" w:type="dxa"/>
          <w:shd w:val="clear" w:color="auto" w:fill="auto"/>
          <w:vAlign w:val="center"/>
        </w:tcPr>
        <w:p w:rsidR="006D5D3E" w:rsidRPr="007968B8" w:rsidRDefault="00D97976">
          <w:pPr>
            <w:ind w:right="-108"/>
            <w:rPr>
              <w:rFonts w:ascii="Palatino Linotype" w:eastAsia="Palatino Linotype" w:hAnsi="Palatino Linotype" w:cs="Palatino Linotype"/>
              <w:color w:val="000000"/>
            </w:rPr>
          </w:pPr>
          <w:r w:rsidRPr="007968B8">
            <w:rPr>
              <w:rFonts w:ascii="Palatino Linotype" w:eastAsia="Palatino Linotype" w:hAnsi="Palatino Linotype" w:cs="Palatino Linotype"/>
              <w:bCs/>
            </w:rPr>
            <w:t>Ayuntamiento de San José del Rincón</w:t>
          </w:r>
        </w:p>
      </w:tc>
    </w:tr>
    <w:tr w:rsidR="006D5D3E" w:rsidTr="007968B8">
      <w:tc>
        <w:tcPr>
          <w:tcW w:w="3178" w:type="dxa"/>
          <w:vAlign w:val="center"/>
        </w:tcPr>
        <w:p w:rsidR="006D5D3E" w:rsidRPr="007968B8" w:rsidRDefault="00D97976">
          <w:pPr>
            <w:ind w:left="377"/>
            <w:rPr>
              <w:rFonts w:ascii="Palatino Linotype" w:eastAsia="Palatino Linotype" w:hAnsi="Palatino Linotype" w:cs="Palatino Linotype"/>
              <w:b/>
              <w:bCs/>
            </w:rPr>
          </w:pPr>
          <w:r w:rsidRPr="007968B8">
            <w:rPr>
              <w:rFonts w:ascii="Palatino Linotype" w:eastAsia="Palatino Linotype" w:hAnsi="Palatino Linotype" w:cs="Palatino Linotype"/>
              <w:b/>
              <w:bCs/>
            </w:rPr>
            <w:t>Comisionada Ponente:</w:t>
          </w:r>
        </w:p>
      </w:tc>
      <w:tc>
        <w:tcPr>
          <w:tcW w:w="4536" w:type="dxa"/>
          <w:vAlign w:val="center"/>
        </w:tcPr>
        <w:p w:rsidR="006D5D3E" w:rsidRPr="007968B8" w:rsidRDefault="00D97976">
          <w:pPr>
            <w:ind w:right="-1093"/>
            <w:jc w:val="both"/>
            <w:rPr>
              <w:rFonts w:ascii="Palatino Linotype" w:eastAsia="Palatino Linotype" w:hAnsi="Palatino Linotype" w:cs="Palatino Linotype"/>
              <w:bCs/>
            </w:rPr>
          </w:pPr>
          <w:r w:rsidRPr="007968B8">
            <w:rPr>
              <w:rFonts w:ascii="Palatino Linotype" w:eastAsia="Palatino Linotype" w:hAnsi="Palatino Linotype" w:cs="Palatino Linotype"/>
              <w:bCs/>
            </w:rPr>
            <w:t>María del Rosario Mejía Ayala</w:t>
          </w:r>
        </w:p>
      </w:tc>
    </w:tr>
  </w:tbl>
  <w:p w:rsidR="006D5D3E" w:rsidRDefault="007968B8">
    <w:pPr>
      <w:pBdr>
        <w:top w:val="nil"/>
        <w:left w:val="nil"/>
        <w:bottom w:val="nil"/>
        <w:right w:val="nil"/>
        <w:between w:val="nil"/>
      </w:pBdr>
      <w:tabs>
        <w:tab w:val="center" w:pos="4252"/>
        <w:tab w:val="right" w:pos="8504"/>
        <w:tab w:val="left" w:pos="3233"/>
      </w:tabs>
      <w:rPr>
        <w:rFonts w:ascii="Calibri" w:eastAsia="Calibri" w:hAnsi="Calibri" w:cs="Calibri"/>
        <w:color w:val="000000"/>
      </w:rPr>
    </w:pPr>
    <w:r w:rsidRPr="007968B8">
      <w:rPr>
        <w:noProof/>
      </w:rPr>
      <w:drawing>
        <wp:anchor distT="0" distB="0" distL="0" distR="0" simplePos="0" relativeHeight="251658240" behindDoc="1" locked="0" layoutInCell="1" hidden="0" allowOverlap="1">
          <wp:simplePos x="0" y="0"/>
          <wp:positionH relativeFrom="page">
            <wp:align>left</wp:align>
          </wp:positionH>
          <wp:positionV relativeFrom="paragraph">
            <wp:posOffset>-1185545</wp:posOffset>
          </wp:positionV>
          <wp:extent cx="7813085" cy="10170000"/>
          <wp:effectExtent l="0" t="0" r="0" b="3175"/>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r w:rsidR="00D97976">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4"/>
      <w:tblW w:w="7654" w:type="dxa"/>
      <w:tblInd w:w="2268" w:type="dxa"/>
      <w:tblLayout w:type="fixed"/>
      <w:tblLook w:val="0400" w:firstRow="0" w:lastRow="0" w:firstColumn="0" w:lastColumn="0" w:noHBand="0" w:noVBand="1"/>
    </w:tblPr>
    <w:tblGrid>
      <w:gridCol w:w="3402"/>
      <w:gridCol w:w="4252"/>
    </w:tblGrid>
    <w:tr w:rsidR="006D5D3E" w:rsidTr="007968B8">
      <w:trPr>
        <w:trHeight w:val="227"/>
      </w:trPr>
      <w:tc>
        <w:tcPr>
          <w:tcW w:w="3402" w:type="dxa"/>
          <w:vAlign w:val="center"/>
        </w:tcPr>
        <w:p w:rsidR="006D5D3E" w:rsidRPr="007968B8" w:rsidRDefault="00D97976">
          <w:pPr>
            <w:jc w:val="right"/>
            <w:rPr>
              <w:rFonts w:ascii="Palatino Linotype" w:eastAsia="Palatino Linotype" w:hAnsi="Palatino Linotype" w:cs="Palatino Linotype"/>
              <w:b/>
              <w:bCs/>
              <w:szCs w:val="22"/>
            </w:rPr>
          </w:pPr>
          <w:r w:rsidRPr="007968B8">
            <w:rPr>
              <w:rFonts w:ascii="Calibri" w:eastAsia="Calibri" w:hAnsi="Calibri" w:cs="Calibri"/>
              <w:color w:val="000000"/>
            </w:rPr>
            <w:t xml:space="preserve">   </w:t>
          </w:r>
          <w:r w:rsidR="007968B8" w:rsidRPr="007968B8">
            <w:rPr>
              <w:rFonts w:ascii="Calibri" w:eastAsia="Calibri" w:hAnsi="Calibri" w:cs="Calibri"/>
              <w:color w:val="000000"/>
            </w:rPr>
            <w:t xml:space="preserve">        </w:t>
          </w:r>
          <w:r w:rsidRPr="007968B8">
            <w:rPr>
              <w:rFonts w:ascii="Palatino Linotype" w:eastAsia="Palatino Linotype" w:hAnsi="Palatino Linotype" w:cs="Palatino Linotype"/>
              <w:b/>
              <w:bCs/>
              <w:szCs w:val="22"/>
            </w:rPr>
            <w:t>Recurso de Revisión:</w:t>
          </w:r>
        </w:p>
      </w:tc>
      <w:tc>
        <w:tcPr>
          <w:tcW w:w="4252" w:type="dxa"/>
          <w:vAlign w:val="center"/>
        </w:tcPr>
        <w:p w:rsidR="006D5D3E" w:rsidRPr="007968B8" w:rsidRDefault="00D97976" w:rsidP="007968B8">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szCs w:val="22"/>
              <w:highlight w:val="green"/>
            </w:rPr>
          </w:pPr>
          <w:r w:rsidRPr="007968B8">
            <w:rPr>
              <w:rFonts w:ascii="Palatino Linotype" w:eastAsia="Palatino Linotype" w:hAnsi="Palatino Linotype" w:cs="Palatino Linotype"/>
              <w:bCs/>
              <w:color w:val="000000"/>
              <w:szCs w:val="22"/>
            </w:rPr>
            <w:t xml:space="preserve">11213/INFOEM/IP/RR/2025 </w:t>
          </w:r>
        </w:p>
      </w:tc>
    </w:tr>
    <w:tr w:rsidR="006D5D3E" w:rsidTr="007968B8">
      <w:trPr>
        <w:trHeight w:val="242"/>
      </w:trPr>
      <w:tc>
        <w:tcPr>
          <w:tcW w:w="3402" w:type="dxa"/>
          <w:vAlign w:val="center"/>
        </w:tcPr>
        <w:p w:rsidR="006D5D3E" w:rsidRPr="007968B8" w:rsidRDefault="00D97976">
          <w:pPr>
            <w:jc w:val="right"/>
            <w:rPr>
              <w:rFonts w:ascii="Palatino Linotype" w:eastAsia="Palatino Linotype" w:hAnsi="Palatino Linotype" w:cs="Palatino Linotype"/>
              <w:b/>
              <w:bCs/>
              <w:szCs w:val="22"/>
            </w:rPr>
          </w:pPr>
          <w:r w:rsidRPr="007968B8">
            <w:rPr>
              <w:rFonts w:ascii="Palatino Linotype" w:eastAsia="Palatino Linotype" w:hAnsi="Palatino Linotype" w:cs="Palatino Linotype"/>
              <w:b/>
              <w:bCs/>
              <w:szCs w:val="22"/>
            </w:rPr>
            <w:t>Recurrente:</w:t>
          </w:r>
        </w:p>
      </w:tc>
      <w:tc>
        <w:tcPr>
          <w:tcW w:w="4252" w:type="dxa"/>
        </w:tcPr>
        <w:p w:rsidR="006D5D3E" w:rsidRPr="007968B8" w:rsidRDefault="000E462E" w:rsidP="007968B8">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Cs/>
              <w:szCs w:val="22"/>
              <w:highlight w:val="green"/>
            </w:rPr>
          </w:pPr>
          <w:r>
            <w:rPr>
              <w:rFonts w:ascii="Palatino Linotype" w:eastAsia="Palatino Linotype" w:hAnsi="Palatino Linotype" w:cs="Palatino Linotype"/>
              <w:bCs/>
              <w:szCs w:val="22"/>
            </w:rPr>
            <w:t>XXXX</w:t>
          </w:r>
        </w:p>
      </w:tc>
    </w:tr>
    <w:tr w:rsidR="006D5D3E" w:rsidTr="007968B8">
      <w:trPr>
        <w:trHeight w:val="342"/>
      </w:trPr>
      <w:tc>
        <w:tcPr>
          <w:tcW w:w="3402" w:type="dxa"/>
          <w:vAlign w:val="center"/>
        </w:tcPr>
        <w:p w:rsidR="006D5D3E" w:rsidRPr="007968B8" w:rsidRDefault="00D97976">
          <w:pPr>
            <w:jc w:val="right"/>
            <w:rPr>
              <w:rFonts w:ascii="Palatino Linotype" w:eastAsia="Palatino Linotype" w:hAnsi="Palatino Linotype" w:cs="Palatino Linotype"/>
              <w:b/>
              <w:bCs/>
              <w:szCs w:val="22"/>
            </w:rPr>
          </w:pPr>
          <w:r w:rsidRPr="007968B8">
            <w:rPr>
              <w:rFonts w:ascii="Palatino Linotype" w:eastAsia="Palatino Linotype" w:hAnsi="Palatino Linotype" w:cs="Palatino Linotype"/>
              <w:b/>
              <w:bCs/>
              <w:szCs w:val="22"/>
            </w:rPr>
            <w:t>Sujeto Obligado:</w:t>
          </w:r>
        </w:p>
      </w:tc>
      <w:tc>
        <w:tcPr>
          <w:tcW w:w="4252" w:type="dxa"/>
          <w:vAlign w:val="center"/>
        </w:tcPr>
        <w:p w:rsidR="006D5D3E" w:rsidRPr="007968B8" w:rsidRDefault="00D97976" w:rsidP="007968B8">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szCs w:val="22"/>
              <w:highlight w:val="green"/>
            </w:rPr>
          </w:pPr>
          <w:r w:rsidRPr="007968B8">
            <w:rPr>
              <w:rFonts w:ascii="Palatino Linotype" w:eastAsia="Palatino Linotype" w:hAnsi="Palatino Linotype" w:cs="Palatino Linotype"/>
              <w:bCs/>
              <w:szCs w:val="22"/>
            </w:rPr>
            <w:t>Ayuntamiento de San José del Rincón</w:t>
          </w:r>
        </w:p>
      </w:tc>
    </w:tr>
    <w:tr w:rsidR="006D5D3E" w:rsidTr="007968B8">
      <w:trPr>
        <w:trHeight w:val="342"/>
      </w:trPr>
      <w:tc>
        <w:tcPr>
          <w:tcW w:w="3402" w:type="dxa"/>
          <w:vAlign w:val="center"/>
        </w:tcPr>
        <w:p w:rsidR="006D5D3E" w:rsidRPr="007968B8" w:rsidRDefault="00D97976">
          <w:pPr>
            <w:jc w:val="right"/>
            <w:rPr>
              <w:rFonts w:ascii="Palatino Linotype" w:eastAsia="Palatino Linotype" w:hAnsi="Palatino Linotype" w:cs="Palatino Linotype"/>
              <w:b/>
              <w:bCs/>
              <w:szCs w:val="22"/>
            </w:rPr>
          </w:pPr>
          <w:r w:rsidRPr="007968B8">
            <w:rPr>
              <w:rFonts w:ascii="Palatino Linotype" w:eastAsia="Palatino Linotype" w:hAnsi="Palatino Linotype" w:cs="Palatino Linotype"/>
              <w:b/>
              <w:bCs/>
              <w:szCs w:val="22"/>
            </w:rPr>
            <w:t>Comisionada Ponente:</w:t>
          </w:r>
        </w:p>
      </w:tc>
      <w:tc>
        <w:tcPr>
          <w:tcW w:w="4252" w:type="dxa"/>
          <w:vAlign w:val="center"/>
        </w:tcPr>
        <w:p w:rsidR="006D5D3E" w:rsidRPr="007968B8" w:rsidRDefault="00D97976" w:rsidP="007968B8">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szCs w:val="22"/>
            </w:rPr>
          </w:pPr>
          <w:r w:rsidRPr="007968B8">
            <w:rPr>
              <w:rFonts w:ascii="Palatino Linotype" w:eastAsia="Palatino Linotype" w:hAnsi="Palatino Linotype" w:cs="Palatino Linotype"/>
              <w:bCs/>
              <w:color w:val="000000"/>
              <w:szCs w:val="22"/>
            </w:rPr>
            <w:t>María del Rosario Mejía Ayala</w:t>
          </w:r>
        </w:p>
      </w:tc>
    </w:tr>
  </w:tbl>
  <w:p w:rsidR="006D5D3E" w:rsidRDefault="007968B8">
    <w:pPr>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0" distR="0" simplePos="0" relativeHeight="251659264" behindDoc="1" locked="0" layoutInCell="1" hidden="0" allowOverlap="1">
          <wp:simplePos x="0" y="0"/>
          <wp:positionH relativeFrom="column">
            <wp:posOffset>-887490</wp:posOffset>
          </wp:positionH>
          <wp:positionV relativeFrom="paragraph">
            <wp:posOffset>-1267077</wp:posOffset>
          </wp:positionV>
          <wp:extent cx="7813085" cy="10170000"/>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C60DF"/>
    <w:multiLevelType w:val="multilevel"/>
    <w:tmpl w:val="37345850"/>
    <w:lvl w:ilvl="0">
      <w:start w:val="35"/>
      <w:numFmt w:val="decimal"/>
      <w:pStyle w:val="Listaconvietas"/>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4F79C3"/>
    <w:multiLevelType w:val="multilevel"/>
    <w:tmpl w:val="21F28A16"/>
    <w:lvl w:ilvl="0">
      <w:start w:val="5"/>
      <w:numFmt w:val="decimal"/>
      <w:lvlText w:val="%1."/>
      <w:lvlJc w:val="left"/>
      <w:pPr>
        <w:ind w:left="2204" w:hanging="360"/>
      </w:pPr>
      <w:rPr>
        <w:rFonts w:ascii="Palatino Linotype" w:eastAsia="Palatino Linotype" w:hAnsi="Palatino Linotype" w:cs="Palatino Linotype"/>
        <w:b/>
        <w:bCs/>
        <w:i w:val="0"/>
        <w:iCs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4406BA1"/>
    <w:multiLevelType w:val="multilevel"/>
    <w:tmpl w:val="8736B13E"/>
    <w:lvl w:ilvl="0">
      <w:start w:val="4"/>
      <w:numFmt w:val="decimal"/>
      <w:lvlText w:val="%1."/>
      <w:lvlJc w:val="left"/>
      <w:pPr>
        <w:ind w:left="928" w:hanging="360"/>
      </w:pPr>
      <w:rPr>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6C21090"/>
    <w:multiLevelType w:val="multilevel"/>
    <w:tmpl w:val="0B1EBB9E"/>
    <w:lvl w:ilvl="0">
      <w:start w:val="6"/>
      <w:numFmt w:val="decimal"/>
      <w:lvlText w:val="%1."/>
      <w:lvlJc w:val="left"/>
      <w:pPr>
        <w:ind w:left="1495" w:hanging="360"/>
      </w:pPr>
      <w:rPr>
        <w:rFonts w:ascii="Palatino Linotype" w:eastAsia="Palatino Linotype" w:hAnsi="Palatino Linotype" w:cs="Palatino Linotype"/>
        <w:b/>
        <w:bCs/>
        <w:i w:val="0"/>
        <w:iCs w:val="0"/>
        <w:color w:val="000000"/>
        <w:sz w:val="24"/>
        <w:szCs w:val="24"/>
      </w:rPr>
    </w:lvl>
    <w:lvl w:ilvl="1">
      <w:start w:val="1"/>
      <w:numFmt w:val="decimal"/>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075C93"/>
    <w:multiLevelType w:val="multilevel"/>
    <w:tmpl w:val="793C71C2"/>
    <w:lvl w:ilvl="0">
      <w:start w:val="63"/>
      <w:numFmt w:val="decimal"/>
      <w:lvlText w:val="%1."/>
      <w:lvlJc w:val="left"/>
      <w:pPr>
        <w:ind w:left="928"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8D74F35"/>
    <w:multiLevelType w:val="multilevel"/>
    <w:tmpl w:val="BA9C6652"/>
    <w:lvl w:ilvl="0">
      <w:start w:val="10"/>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22A6CBB"/>
    <w:multiLevelType w:val="multilevel"/>
    <w:tmpl w:val="0B46B94C"/>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7" w15:restartNumberingAfterBreak="0">
    <w:nsid w:val="52887431"/>
    <w:multiLevelType w:val="multilevel"/>
    <w:tmpl w:val="BFC0B518"/>
    <w:lvl w:ilvl="0">
      <w:start w:val="3"/>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FC3003B"/>
    <w:multiLevelType w:val="hybridMultilevel"/>
    <w:tmpl w:val="93524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BBD759C"/>
    <w:multiLevelType w:val="multilevel"/>
    <w:tmpl w:val="7F88EE5A"/>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0" w15:restartNumberingAfterBreak="0">
    <w:nsid w:val="6F794EB2"/>
    <w:multiLevelType w:val="multilevel"/>
    <w:tmpl w:val="87BCD6C8"/>
    <w:lvl w:ilvl="0">
      <w:start w:val="9"/>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20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97016F6"/>
    <w:multiLevelType w:val="multilevel"/>
    <w:tmpl w:val="3CE8FABC"/>
    <w:lvl w:ilvl="0">
      <w:start w:val="1"/>
      <w:numFmt w:val="decimal"/>
      <w:lvlText w:val="%1."/>
      <w:lvlJc w:val="left"/>
      <w:pPr>
        <w:ind w:left="928" w:hanging="360"/>
      </w:pPr>
      <w:rPr>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7"/>
  </w:num>
  <w:num w:numId="3">
    <w:abstractNumId w:val="11"/>
  </w:num>
  <w:num w:numId="4">
    <w:abstractNumId w:val="6"/>
  </w:num>
  <w:num w:numId="5">
    <w:abstractNumId w:val="3"/>
  </w:num>
  <w:num w:numId="6">
    <w:abstractNumId w:val="1"/>
  </w:num>
  <w:num w:numId="7">
    <w:abstractNumId w:val="10"/>
  </w:num>
  <w:num w:numId="8">
    <w:abstractNumId w:val="2"/>
  </w:num>
  <w:num w:numId="9">
    <w:abstractNumId w:val="0"/>
  </w:num>
  <w:num w:numId="10">
    <w:abstractNumId w:val="5"/>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D3E"/>
    <w:rsid w:val="000E462E"/>
    <w:rsid w:val="00371C82"/>
    <w:rsid w:val="004E3119"/>
    <w:rsid w:val="00593594"/>
    <w:rsid w:val="006D5D3E"/>
    <w:rsid w:val="007968B8"/>
    <w:rsid w:val="007E78C0"/>
    <w:rsid w:val="00D50521"/>
    <w:rsid w:val="00D97976"/>
    <w:rsid w:val="00E21C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54FE877-9775-4EF4-8D5B-C6C0E2EA5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character" w:customStyle="1" w:styleId="Ttulo1Car">
    <w:name w:val="Título 1 Car"/>
    <w:basedOn w:val="Fuentedeprrafopredeter"/>
    <w:uiPriority w:val="9"/>
    <w:rsid w:val="00BE0BA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BE0BA7"/>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E0BA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E0BA7"/>
    <w:rPr>
      <w:rFonts w:ascii="Times New Roman" w:eastAsia="Times New Roman" w:hAnsi="Times New Roman" w:cs="Times New Roman"/>
      <w:sz w:val="24"/>
      <w:szCs w:val="24"/>
      <w:lang w:eastAsia="es-MX"/>
    </w:rPr>
  </w:style>
  <w:style w:type="table" w:styleId="Tabladecuadrcula4">
    <w:name w:val="Grid Table 4"/>
    <w:basedOn w:val="Tablanormal"/>
    <w:uiPriority w:val="49"/>
    <w:rsid w:val="00BE0BA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BE0BA7"/>
    <w:pPr>
      <w:tabs>
        <w:tab w:val="center" w:pos="4419"/>
        <w:tab w:val="right" w:pos="8838"/>
      </w:tabs>
    </w:pPr>
  </w:style>
  <w:style w:type="character" w:customStyle="1" w:styleId="EncabezadoCar">
    <w:name w:val="Encabezado Car"/>
    <w:basedOn w:val="Fuentedeprrafopredeter"/>
    <w:link w:val="Encabezado"/>
    <w:uiPriority w:val="99"/>
    <w:rsid w:val="00BE0BA7"/>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BE0BA7"/>
    <w:pPr>
      <w:tabs>
        <w:tab w:val="center" w:pos="4419"/>
        <w:tab w:val="right" w:pos="8838"/>
      </w:tabs>
    </w:pPr>
  </w:style>
  <w:style w:type="character" w:customStyle="1" w:styleId="PiedepginaCar">
    <w:name w:val="Pie de página Car"/>
    <w:basedOn w:val="Fuentedeprrafopredeter"/>
    <w:link w:val="Piedepgina"/>
    <w:uiPriority w:val="99"/>
    <w:rsid w:val="00BE0BA7"/>
    <w:rPr>
      <w:rFonts w:ascii="Times New Roman" w:eastAsia="Times New Roman" w:hAnsi="Times New Roman" w:cs="Times New Roman"/>
      <w:sz w:val="24"/>
      <w:szCs w:val="24"/>
      <w:lang w:eastAsia="es-MX"/>
    </w:rPr>
  </w:style>
  <w:style w:type="paragraph" w:styleId="Listaconvietas">
    <w:name w:val="List Bullet"/>
    <w:basedOn w:val="Normal"/>
    <w:uiPriority w:val="99"/>
    <w:unhideWhenUsed/>
    <w:rsid w:val="009E7B61"/>
    <w:pPr>
      <w:numPr>
        <w:numId w:val="9"/>
      </w:numPr>
      <w:contextualSpacing/>
    </w:pPr>
    <w:rPr>
      <w:lang w:val="es-ES"/>
    </w:rPr>
  </w:style>
  <w:style w:type="paragraph" w:styleId="Sinespaciado">
    <w:name w:val="No Spacing"/>
    <w:aliases w:val="Francesa,INAI"/>
    <w:link w:val="SinespaciadoCar"/>
    <w:uiPriority w:val="1"/>
    <w:qFormat/>
    <w:rsid w:val="00436063"/>
  </w:style>
  <w:style w:type="character" w:customStyle="1" w:styleId="SinespaciadoCar">
    <w:name w:val="Sin espaciado Car"/>
    <w:aliases w:val="Francesa Car,INAI Car"/>
    <w:link w:val="Sinespaciado"/>
    <w:uiPriority w:val="1"/>
    <w:locked/>
    <w:rsid w:val="00436063"/>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styleId="Tablaconcuadrcula">
    <w:name w:val="Table Grid"/>
    <w:basedOn w:val="Tablanormal"/>
    <w:uiPriority w:val="39"/>
    <w:rsid w:val="00634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63456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object">
    <w:name w:val="object"/>
    <w:basedOn w:val="Fuentedeprrafopredeter"/>
    <w:rsid w:val="00B02514"/>
  </w:style>
  <w:style w:type="character" w:styleId="Hipervnculo">
    <w:name w:val="Hyperlink"/>
    <w:basedOn w:val="Fuentedeprrafopredeter"/>
    <w:uiPriority w:val="99"/>
    <w:semiHidden/>
    <w:unhideWhenUsed/>
    <w:rsid w:val="00B02514"/>
    <w:rPr>
      <w:color w:val="0000FF"/>
      <w:u w:val="single"/>
    </w:rPr>
  </w:style>
  <w:style w:type="paragraph" w:customStyle="1" w:styleId="Citas">
    <w:name w:val="Citas"/>
    <w:basedOn w:val="Normal"/>
    <w:qFormat/>
    <w:rsid w:val="002146DD"/>
    <w:pPr>
      <w:spacing w:before="240" w:after="160" w:line="360" w:lineRule="auto"/>
      <w:ind w:left="851" w:right="851"/>
      <w:jc w:val="both"/>
    </w:pPr>
    <w:rPr>
      <w:rFonts w:ascii="Palatino Linotype" w:eastAsiaTheme="minorHAnsi" w:hAnsi="Palatino Linotype" w:cs="Arial"/>
      <w:i/>
      <w:sz w:val="22"/>
      <w:szCs w:val="22"/>
      <w:lang w:eastAsia="en-US"/>
    </w:rPr>
  </w:style>
  <w:style w:type="paragraph" w:styleId="Textonotaalfinal">
    <w:name w:val="endnote text"/>
    <w:basedOn w:val="Normal"/>
    <w:link w:val="TextonotaalfinalCar"/>
    <w:uiPriority w:val="99"/>
    <w:semiHidden/>
    <w:unhideWhenUsed/>
    <w:rsid w:val="00A052F9"/>
    <w:rPr>
      <w:sz w:val="20"/>
      <w:szCs w:val="20"/>
    </w:rPr>
  </w:style>
  <w:style w:type="character" w:customStyle="1" w:styleId="TextonotaalfinalCar">
    <w:name w:val="Texto nota al final Car"/>
    <w:basedOn w:val="Fuentedeprrafopredeter"/>
    <w:link w:val="Textonotaalfinal"/>
    <w:uiPriority w:val="99"/>
    <w:semiHidden/>
    <w:rsid w:val="00A052F9"/>
    <w:rPr>
      <w:sz w:val="20"/>
      <w:szCs w:val="20"/>
    </w:rPr>
  </w:style>
  <w:style w:type="character" w:styleId="Refdenotaalfinal">
    <w:name w:val="endnote reference"/>
    <w:basedOn w:val="Fuentedeprrafopredeter"/>
    <w:uiPriority w:val="99"/>
    <w:semiHidden/>
    <w:unhideWhenUsed/>
    <w:rsid w:val="00A052F9"/>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052F9"/>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052F9"/>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052F9"/>
    <w:rPr>
      <w:vertAlign w:val="superscript"/>
    </w:rPr>
  </w:style>
  <w:style w:type="paragraph" w:customStyle="1" w:styleId="Default">
    <w:name w:val="Default"/>
    <w:qFormat/>
    <w:rsid w:val="003B0450"/>
    <w:pPr>
      <w:autoSpaceDE w:val="0"/>
      <w:autoSpaceDN w:val="0"/>
      <w:adjustRightInd w:val="0"/>
    </w:pPr>
    <w:rPr>
      <w:rFonts w:ascii="Arial" w:hAnsi="Arial" w:cs="Arial"/>
      <w:color w:val="000000"/>
    </w:rPr>
  </w:style>
  <w:style w:type="character" w:customStyle="1" w:styleId="PuestoCar">
    <w:name w:val="Puesto Car"/>
    <w:aliases w:val="Cita textual Car"/>
    <w:basedOn w:val="Fuentedeprrafopredeter"/>
    <w:uiPriority w:val="10"/>
    <w:rsid w:val="00520828"/>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0"/>
    <w:tblPr>
      <w:tblStyleRowBandSize w:val="1"/>
      <w:tblStyleColBandSize w:val="1"/>
      <w:tblCellMar>
        <w:top w:w="0" w:type="dxa"/>
        <w:left w:w="108" w:type="dxa"/>
        <w:bottom w:w="0" w:type="dxa"/>
        <w:right w:w="108" w:type="dxa"/>
      </w:tblCellMar>
    </w:tblPr>
    <w:tblStylePr w:type="firstRow">
      <w:rPr>
        <w:b/>
        <w:bCs/>
        <w:smallCaps/>
      </w:rPr>
      <w:tblPr/>
      <w:tcPr>
        <w:tcBorders>
          <w:bottom w:val="single" w:sz="4" w:space="0" w:color="7F7F7F"/>
        </w:tcBorders>
      </w:tcPr>
    </w:tblStylePr>
    <w:tblStylePr w:type="lastRow">
      <w:rPr>
        <w:b/>
        <w:bCs/>
        <w:smallCaps/>
      </w:rPr>
      <w:tblPr/>
      <w:tcPr>
        <w:tcBorders>
          <w:top w:val="nil"/>
        </w:tcBorders>
      </w:tcPr>
    </w:tblStylePr>
    <w:tblStylePr w:type="firstCol">
      <w:rPr>
        <w:b/>
        <w:bCs/>
        <w:smallCaps/>
      </w:rPr>
      <w:tblPr/>
      <w:tcPr>
        <w:tcBorders>
          <w:right w:val="single" w:sz="4" w:space="0" w:color="7F7F7F"/>
        </w:tcBorders>
      </w:tcPr>
    </w:tblStylePr>
    <w:tblStylePr w:type="lastCol">
      <w:rPr>
        <w:b/>
        <w:bCs/>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IcW0dE1cB+rruwmH8zwtbBdXug==">CgMxLjAyDmgucW9xeTd4b3NzaHpuMghoLnR5amN3dDIJaC4zZHk2dmttMgloLjF0M2g1c2YyCWguNGQzNG9nODIJaC4yczhleW8xMgloLjE3ZHA4dnUyCWguMjZpbjFyZzIOaC42cGduODZqMnhsYjcyCGgubG54Yno5MgloLjFrc3Y0dXYyCGgubG54Yno5MgloLjJqeHN4cWg4AHIhMXY0S1Z0Yk8xNV8yaHUtVVlOUFJaNHlvVGJ1WDBoVXZn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62</Pages>
  <Words>12920</Words>
  <Characters>71061</Characters>
  <Application>Microsoft Office Word</Application>
  <DocSecurity>0</DocSecurity>
  <Lines>592</Lines>
  <Paragraphs>167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83814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6</cp:revision>
  <cp:lastPrinted>2026-02-09T17:42:00Z</cp:lastPrinted>
  <dcterms:created xsi:type="dcterms:W3CDTF">2026-01-28T18:40:00Z</dcterms:created>
  <dcterms:modified xsi:type="dcterms:W3CDTF">2026-02-17T00:16:00Z</dcterms:modified>
</cp:coreProperties>
</file>