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7611F" w14:textId="02B70039" w:rsidR="00D55E4A" w:rsidRPr="00C36F96" w:rsidRDefault="00AD18E2" w:rsidP="00AD18E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36F9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22331" w:rsidRPr="00C36F96">
        <w:rPr>
          <w:rFonts w:ascii="Palatino Linotype" w:eastAsia="Times New Roman" w:hAnsi="Palatino Linotype" w:cs="Arial"/>
          <w:color w:val="000000"/>
          <w:sz w:val="24"/>
          <w:szCs w:val="24"/>
          <w:lang w:eastAsia="es-MX"/>
        </w:rPr>
        <w:t xml:space="preserve">veinte de mayo de dos mil veintiséis. </w:t>
      </w:r>
      <w:r w:rsidR="007813A4" w:rsidRPr="00C36F96">
        <w:rPr>
          <w:rFonts w:ascii="Palatino Linotype" w:eastAsia="Times New Roman" w:hAnsi="Palatino Linotype" w:cs="Arial"/>
          <w:color w:val="000000"/>
          <w:sz w:val="24"/>
          <w:szCs w:val="24"/>
          <w:lang w:eastAsia="es-MX"/>
        </w:rPr>
        <w:t xml:space="preserve"> </w:t>
      </w:r>
    </w:p>
    <w:p w14:paraId="562AAEB1" w14:textId="78F36CA3" w:rsidR="00422331" w:rsidRPr="00C36F96" w:rsidRDefault="00D55E4A" w:rsidP="00D55E4A">
      <w:pPr>
        <w:tabs>
          <w:tab w:val="left" w:pos="1701"/>
        </w:tabs>
        <w:spacing w:before="240" w:line="360" w:lineRule="auto"/>
        <w:jc w:val="both"/>
        <w:rPr>
          <w:rFonts w:ascii="Palatino Linotype" w:hAnsi="Palatino Linotype" w:cs="Arial"/>
          <w:sz w:val="24"/>
          <w:lang w:eastAsia="es-MX"/>
        </w:rPr>
      </w:pPr>
      <w:r w:rsidRPr="00C36F96">
        <w:rPr>
          <w:rFonts w:ascii="Palatino Linotype" w:hAnsi="Palatino Linotype" w:cs="Arial"/>
          <w:b/>
          <w:sz w:val="24"/>
        </w:rPr>
        <w:t>VISTO</w:t>
      </w:r>
      <w:r w:rsidRPr="00C36F96">
        <w:rPr>
          <w:rFonts w:ascii="Palatino Linotype" w:hAnsi="Palatino Linotype" w:cs="Arial"/>
          <w:sz w:val="24"/>
        </w:rPr>
        <w:t xml:space="preserve"> el expediente electrónico formado con motivo del recurso de revisión número </w:t>
      </w:r>
      <w:bookmarkStart w:id="1" w:name="_GoBack"/>
      <w:r w:rsidR="00422331" w:rsidRPr="00C36F96">
        <w:rPr>
          <w:rFonts w:ascii="Palatino Linotype" w:hAnsi="Palatino Linotype" w:cs="Arial"/>
          <w:b/>
          <w:bCs/>
          <w:sz w:val="24"/>
          <w:lang w:eastAsia="es-MX"/>
        </w:rPr>
        <w:t>04040</w:t>
      </w:r>
      <w:r w:rsidRPr="00C36F96">
        <w:rPr>
          <w:rFonts w:ascii="Palatino Linotype" w:hAnsi="Palatino Linotype" w:cs="Arial"/>
          <w:b/>
          <w:bCs/>
          <w:sz w:val="24"/>
          <w:lang w:eastAsia="es-MX"/>
        </w:rPr>
        <w:t>/INFOEM/IP/RR/202</w:t>
      </w:r>
      <w:r w:rsidR="00422331" w:rsidRPr="00C36F96">
        <w:rPr>
          <w:rFonts w:ascii="Palatino Linotype" w:hAnsi="Palatino Linotype" w:cs="Arial"/>
          <w:b/>
          <w:bCs/>
          <w:sz w:val="24"/>
          <w:lang w:eastAsia="es-MX"/>
        </w:rPr>
        <w:t>6</w:t>
      </w:r>
      <w:bookmarkEnd w:id="1"/>
      <w:r w:rsidRPr="00C36F96">
        <w:rPr>
          <w:rFonts w:ascii="Palatino Linotype" w:hAnsi="Palatino Linotype" w:cs="Arial"/>
          <w:b/>
          <w:bCs/>
          <w:sz w:val="24"/>
          <w:lang w:eastAsia="es-MX"/>
        </w:rPr>
        <w:t xml:space="preserve">, </w:t>
      </w:r>
      <w:r w:rsidRPr="00C36F96">
        <w:rPr>
          <w:rFonts w:ascii="Palatino Linotype" w:hAnsi="Palatino Linotype" w:cs="Arial"/>
          <w:sz w:val="24"/>
          <w:lang w:eastAsia="es-MX"/>
        </w:rPr>
        <w:t xml:space="preserve">interpuesto por </w:t>
      </w:r>
      <w:r w:rsidR="00422331" w:rsidRPr="00C36F96">
        <w:rPr>
          <w:rFonts w:ascii="Palatino Linotype" w:hAnsi="Palatino Linotype" w:cs="Arial"/>
          <w:sz w:val="24"/>
          <w:lang w:eastAsia="es-MX"/>
        </w:rPr>
        <w:t xml:space="preserve">el </w:t>
      </w:r>
      <w:r w:rsidR="00422331" w:rsidRPr="00C36F96">
        <w:rPr>
          <w:rFonts w:ascii="Palatino Linotype" w:hAnsi="Palatino Linotype" w:cs="Arial"/>
          <w:b/>
          <w:bCs/>
          <w:sz w:val="24"/>
          <w:lang w:eastAsia="es-MX"/>
        </w:rPr>
        <w:t xml:space="preserve">C. </w:t>
      </w:r>
      <w:r w:rsidR="00B36F16">
        <w:rPr>
          <w:rFonts w:ascii="Palatino Linotype" w:hAnsi="Palatino Linotype" w:cs="Arial"/>
          <w:b/>
          <w:bCs/>
          <w:sz w:val="24"/>
          <w:lang w:eastAsia="es-MX"/>
        </w:rPr>
        <w:t>xxxxxxxxx</w:t>
      </w:r>
      <w:r w:rsidR="00422331" w:rsidRPr="00C36F96">
        <w:rPr>
          <w:rFonts w:ascii="Palatino Linotype" w:hAnsi="Palatino Linotype" w:cs="Arial"/>
          <w:b/>
          <w:bCs/>
          <w:sz w:val="24"/>
          <w:lang w:eastAsia="es-MX"/>
        </w:rPr>
        <w:t xml:space="preserve">, </w:t>
      </w:r>
      <w:r w:rsidR="00422331" w:rsidRPr="00C36F96">
        <w:rPr>
          <w:rFonts w:ascii="Palatino Linotype" w:hAnsi="Palatino Linotype" w:cs="Arial"/>
          <w:sz w:val="24"/>
          <w:lang w:eastAsia="es-MX"/>
        </w:rPr>
        <w:t xml:space="preserve">en lo sucesivo </w:t>
      </w:r>
      <w:r w:rsidR="00422331" w:rsidRPr="00C36F96">
        <w:rPr>
          <w:rFonts w:ascii="Palatino Linotype" w:hAnsi="Palatino Linotype" w:cs="Arial"/>
          <w:b/>
          <w:bCs/>
          <w:sz w:val="24"/>
          <w:lang w:eastAsia="es-MX"/>
        </w:rPr>
        <w:t xml:space="preserve">El Recurrente, </w:t>
      </w:r>
      <w:r w:rsidR="00422331" w:rsidRPr="00C36F96">
        <w:rPr>
          <w:rFonts w:ascii="Palatino Linotype" w:hAnsi="Palatino Linotype" w:cs="Arial"/>
          <w:sz w:val="24"/>
          <w:lang w:eastAsia="es-MX"/>
        </w:rPr>
        <w:t xml:space="preserve">en contra de la respuesta del </w:t>
      </w:r>
      <w:r w:rsidR="00422331" w:rsidRPr="00C36F96">
        <w:rPr>
          <w:rFonts w:ascii="Palatino Linotype" w:hAnsi="Palatino Linotype" w:cs="Arial"/>
          <w:b/>
          <w:bCs/>
          <w:sz w:val="24"/>
          <w:lang w:eastAsia="es-MX"/>
        </w:rPr>
        <w:t xml:space="preserve">Ayuntamiento de Jiquipilco, </w:t>
      </w:r>
      <w:r w:rsidR="00422331" w:rsidRPr="00C36F96">
        <w:rPr>
          <w:rFonts w:ascii="Palatino Linotype" w:hAnsi="Palatino Linotype" w:cs="Arial"/>
          <w:sz w:val="24"/>
          <w:lang w:eastAsia="es-MX"/>
        </w:rPr>
        <w:t xml:space="preserve">en lo subsecuente </w:t>
      </w:r>
      <w:r w:rsidR="00422331" w:rsidRPr="00C36F96">
        <w:rPr>
          <w:rFonts w:ascii="Palatino Linotype" w:hAnsi="Palatino Linotype" w:cs="Arial"/>
          <w:b/>
          <w:bCs/>
          <w:sz w:val="24"/>
          <w:lang w:eastAsia="es-MX"/>
        </w:rPr>
        <w:t xml:space="preserve">El Sujeto Obligado, </w:t>
      </w:r>
      <w:r w:rsidR="00422331" w:rsidRPr="00C36F96">
        <w:rPr>
          <w:rFonts w:ascii="Palatino Linotype" w:hAnsi="Palatino Linotype" w:cs="Arial"/>
          <w:sz w:val="24"/>
          <w:lang w:eastAsia="es-MX"/>
        </w:rPr>
        <w:t xml:space="preserve">se procede a dictar la presente resolución. </w:t>
      </w:r>
    </w:p>
    <w:p w14:paraId="4D22AE8B" w14:textId="77777777" w:rsidR="00422331" w:rsidRPr="00C36F96" w:rsidRDefault="00422331" w:rsidP="00D55E4A">
      <w:pPr>
        <w:tabs>
          <w:tab w:val="left" w:pos="1701"/>
        </w:tabs>
        <w:spacing w:before="240" w:line="360" w:lineRule="auto"/>
        <w:jc w:val="both"/>
        <w:rPr>
          <w:rFonts w:ascii="Palatino Linotype" w:hAnsi="Palatino Linotype" w:cs="Arial"/>
          <w:sz w:val="24"/>
          <w:lang w:eastAsia="es-MX"/>
        </w:rPr>
      </w:pPr>
    </w:p>
    <w:p w14:paraId="351B0250" w14:textId="77777777" w:rsidR="00D55E4A" w:rsidRPr="00C36F96" w:rsidRDefault="00D55E4A" w:rsidP="00D55E4A">
      <w:pPr>
        <w:spacing w:before="240" w:after="240" w:line="360" w:lineRule="auto"/>
        <w:jc w:val="center"/>
        <w:rPr>
          <w:rFonts w:ascii="Palatino Linotype" w:hAnsi="Palatino Linotype"/>
          <w:b/>
          <w:sz w:val="28"/>
        </w:rPr>
      </w:pPr>
      <w:r w:rsidRPr="00C36F96">
        <w:rPr>
          <w:rFonts w:ascii="Palatino Linotype" w:hAnsi="Palatino Linotype"/>
          <w:b/>
          <w:sz w:val="28"/>
        </w:rPr>
        <w:t>A N T E C E D E N T E S   D E L   A S U N T O</w:t>
      </w:r>
    </w:p>
    <w:p w14:paraId="6834758D" w14:textId="77777777" w:rsidR="00D55E4A" w:rsidRPr="00C36F96" w:rsidRDefault="00D55E4A" w:rsidP="00D55E4A">
      <w:pPr>
        <w:spacing w:before="240" w:after="240" w:line="360" w:lineRule="auto"/>
        <w:jc w:val="both"/>
        <w:rPr>
          <w:rFonts w:ascii="Palatino Linotype" w:hAnsi="Palatino Linotype"/>
        </w:rPr>
      </w:pPr>
      <w:r w:rsidRPr="00C36F96">
        <w:rPr>
          <w:rFonts w:ascii="Palatino Linotype" w:hAnsi="Palatino Linotype" w:cs="Arial"/>
          <w:b/>
          <w:sz w:val="28"/>
        </w:rPr>
        <w:t>PRIMERO.</w:t>
      </w:r>
      <w:r w:rsidRPr="00C36F96">
        <w:rPr>
          <w:rFonts w:ascii="Palatino Linotype" w:hAnsi="Palatino Linotype" w:cs="Arial"/>
        </w:rPr>
        <w:t xml:space="preserve"> </w:t>
      </w:r>
      <w:r w:rsidRPr="00C36F96">
        <w:rPr>
          <w:rFonts w:ascii="Palatino Linotype" w:hAnsi="Palatino Linotype"/>
          <w:b/>
          <w:sz w:val="28"/>
          <w:szCs w:val="28"/>
        </w:rPr>
        <w:t>De la Solicitud de Información.</w:t>
      </w:r>
    </w:p>
    <w:p w14:paraId="375B2103" w14:textId="03C9FD25" w:rsidR="00422331" w:rsidRPr="00C36F96" w:rsidRDefault="00D55E4A" w:rsidP="00D55E4A">
      <w:pPr>
        <w:spacing w:before="240" w:line="360" w:lineRule="auto"/>
        <w:jc w:val="both"/>
        <w:rPr>
          <w:rFonts w:ascii="Palatino Linotype" w:hAnsi="Palatino Linotype" w:cs="Arial"/>
          <w:sz w:val="24"/>
        </w:rPr>
      </w:pPr>
      <w:r w:rsidRPr="00C36F96">
        <w:rPr>
          <w:rFonts w:ascii="Palatino Linotype" w:hAnsi="Palatino Linotype" w:cs="Arial"/>
          <w:sz w:val="24"/>
        </w:rPr>
        <w:t xml:space="preserve">Con fecha </w:t>
      </w:r>
      <w:r w:rsidR="00422331" w:rsidRPr="00C36F96">
        <w:rPr>
          <w:rFonts w:ascii="Palatino Linotype" w:hAnsi="Palatino Linotype" w:cs="Arial"/>
          <w:b/>
          <w:bCs/>
          <w:sz w:val="24"/>
        </w:rPr>
        <w:t xml:space="preserve">seis de marzo de dos mil veintiséis, El Recurrente, </w:t>
      </w:r>
      <w:r w:rsidR="00422331" w:rsidRPr="00C36F96">
        <w:rPr>
          <w:rFonts w:ascii="Palatino Linotype" w:hAnsi="Palatino Linotype" w:cs="Arial"/>
          <w:sz w:val="24"/>
        </w:rPr>
        <w:t>presentó a través del Sistema de Acceso a la Información Mexiquense (</w:t>
      </w:r>
      <w:r w:rsidR="00422331" w:rsidRPr="00C36F96">
        <w:rPr>
          <w:rFonts w:ascii="Palatino Linotype" w:hAnsi="Palatino Linotype" w:cs="Arial"/>
          <w:b/>
          <w:sz w:val="24"/>
        </w:rPr>
        <w:t>SAIMEX)</w:t>
      </w:r>
      <w:r w:rsidR="00422331" w:rsidRPr="00C36F96">
        <w:rPr>
          <w:rFonts w:ascii="Palatino Linotype" w:hAnsi="Palatino Linotype" w:cs="Arial"/>
          <w:sz w:val="24"/>
        </w:rPr>
        <w:t xml:space="preserve"> ante </w:t>
      </w:r>
      <w:r w:rsidR="00422331" w:rsidRPr="00C36F96">
        <w:rPr>
          <w:rFonts w:ascii="Palatino Linotype" w:hAnsi="Palatino Linotype" w:cs="Arial"/>
          <w:b/>
          <w:sz w:val="24"/>
        </w:rPr>
        <w:t>El Sujeto Obligado</w:t>
      </w:r>
      <w:r w:rsidR="00422331" w:rsidRPr="00C36F96">
        <w:rPr>
          <w:rFonts w:ascii="Palatino Linotype" w:hAnsi="Palatino Linotype" w:cs="Arial"/>
          <w:sz w:val="24"/>
        </w:rPr>
        <w:t xml:space="preserve">, solicitud de acceso a la información pública, registrada bajo el número de expediente </w:t>
      </w:r>
      <w:r w:rsidR="00422331" w:rsidRPr="00C36F96">
        <w:rPr>
          <w:rFonts w:ascii="Palatino Linotype" w:hAnsi="Palatino Linotype" w:cs="Arial"/>
          <w:b/>
          <w:bCs/>
          <w:sz w:val="24"/>
        </w:rPr>
        <w:t xml:space="preserve">00043/JIQUIPIL/IP/2026, </w:t>
      </w:r>
      <w:r w:rsidR="00422331" w:rsidRPr="00C36F96">
        <w:rPr>
          <w:rFonts w:ascii="Palatino Linotype" w:hAnsi="Palatino Linotype" w:cs="Arial"/>
          <w:sz w:val="24"/>
        </w:rPr>
        <w:t>mediante la cual solicitó información en el tenor siguiente:</w:t>
      </w:r>
    </w:p>
    <w:p w14:paraId="0461FD28" w14:textId="49144E29" w:rsidR="00422331" w:rsidRPr="00C36F96" w:rsidRDefault="00422331" w:rsidP="00422331">
      <w:pPr>
        <w:pStyle w:val="Citas"/>
        <w:rPr>
          <w:b/>
          <w:bCs/>
        </w:rPr>
      </w:pPr>
      <w:r w:rsidRPr="00C36F96">
        <w:t xml:space="preserve">“Requiero el presupuesto aprobado para la Feria del Pulque 2026. Los contratos firmados con todos los que se van a presentar de acuerdo a su programa, y todos los documentos relativos a los expedientes generados generados para los procedimientos de adjudicación para su contratación, desde propuestas, presupuestos cualquiero minimo documento generado para la contratación de todas las personas que se van a presentar en dicha venta. Todos los bienes que se compraron para el desarrollo de la feria, tales como premios, reconocimientos que se van a otorgar. Los contratos que se </w:t>
      </w:r>
      <w:r w:rsidRPr="00C36F96">
        <w:lastRenderedPageBreak/>
        <w:t xml:space="preserve">celebraron con las personas fisicas o morales que instlarán los juegos mecánicos. Los documentos en los que conste cuánto se cobrará a los comerciantes o locatarios que se instalaran durante la Feria, mismos que deben coincidir con los de su conclusión, porque van a ser eequeridos, cada peso público que se gaste en la fería va a tener el ojo público. los comprobantes de transferencia que se han realizado como adelanto para comprometer a los artistas que se van a presentar, daremos vista al SAT para que se fiscalice cada peso del erario público de Jiquipilco” </w:t>
      </w:r>
      <w:r w:rsidRPr="00C36F96">
        <w:rPr>
          <w:b/>
          <w:bCs/>
        </w:rPr>
        <w:t>(Sic)</w:t>
      </w:r>
    </w:p>
    <w:p w14:paraId="7EFF2E19" w14:textId="77777777" w:rsidR="00D55E4A" w:rsidRPr="00C36F96" w:rsidRDefault="00D55E4A" w:rsidP="00D55E4A">
      <w:pPr>
        <w:spacing w:before="240" w:line="360" w:lineRule="auto"/>
        <w:ind w:right="850"/>
        <w:jc w:val="both"/>
        <w:rPr>
          <w:rFonts w:ascii="Palatino Linotype" w:eastAsia="Times New Roman" w:hAnsi="Palatino Linotype" w:cs="Times New Roman"/>
          <w:sz w:val="24"/>
          <w:szCs w:val="24"/>
          <w:lang w:eastAsia="es-ES"/>
        </w:rPr>
      </w:pPr>
      <w:r w:rsidRPr="00C36F96">
        <w:rPr>
          <w:rFonts w:ascii="Palatino Linotype" w:eastAsia="Times New Roman" w:hAnsi="Palatino Linotype" w:cs="Times New Roman"/>
          <w:b/>
          <w:sz w:val="24"/>
          <w:szCs w:val="24"/>
          <w:lang w:eastAsia="es-ES"/>
        </w:rPr>
        <w:t>Modalidad de entrega:</w:t>
      </w:r>
      <w:r w:rsidRPr="00C36F96">
        <w:rPr>
          <w:rFonts w:ascii="Palatino Linotype" w:eastAsia="Times New Roman" w:hAnsi="Palatino Linotype" w:cs="Times New Roman"/>
          <w:sz w:val="24"/>
          <w:szCs w:val="24"/>
          <w:lang w:eastAsia="es-ES"/>
        </w:rPr>
        <w:t xml:space="preserve"> A través del SAIMEX </w:t>
      </w:r>
    </w:p>
    <w:p w14:paraId="1E987A9B" w14:textId="77777777" w:rsidR="00D55E4A" w:rsidRPr="00C36F96" w:rsidRDefault="00D55E4A" w:rsidP="00D55E4A">
      <w:pPr>
        <w:spacing w:before="240" w:line="360" w:lineRule="auto"/>
        <w:ind w:right="850"/>
        <w:jc w:val="both"/>
        <w:rPr>
          <w:rFonts w:ascii="Palatino Linotype" w:eastAsia="Times New Roman" w:hAnsi="Palatino Linotype" w:cs="Times New Roman"/>
          <w:sz w:val="24"/>
          <w:szCs w:val="24"/>
          <w:lang w:eastAsia="es-ES"/>
        </w:rPr>
      </w:pPr>
    </w:p>
    <w:p w14:paraId="0BAB93A5" w14:textId="77777777" w:rsidR="00422331" w:rsidRPr="00C36F96" w:rsidRDefault="00422331" w:rsidP="00422331">
      <w:pPr>
        <w:spacing w:before="240" w:line="360" w:lineRule="auto"/>
        <w:ind w:right="850"/>
        <w:jc w:val="both"/>
        <w:rPr>
          <w:rFonts w:ascii="Palatino Linotype" w:hAnsi="Palatino Linotype" w:cs="Arial"/>
          <w:b/>
          <w:sz w:val="28"/>
        </w:rPr>
      </w:pPr>
      <w:r w:rsidRPr="00C36F96">
        <w:rPr>
          <w:rFonts w:ascii="Palatino Linotype" w:hAnsi="Palatino Linotype" w:cs="Arial"/>
          <w:b/>
          <w:sz w:val="28"/>
        </w:rPr>
        <w:t xml:space="preserve">SEGUNDO. De la prórroga del Sujeto Obligado. </w:t>
      </w:r>
    </w:p>
    <w:p w14:paraId="504BC7F1" w14:textId="11A6E5B9" w:rsidR="00422331" w:rsidRPr="00C36F96" w:rsidRDefault="00422331" w:rsidP="00422331">
      <w:pPr>
        <w:spacing w:before="240" w:line="360" w:lineRule="auto"/>
        <w:jc w:val="both"/>
        <w:rPr>
          <w:rFonts w:ascii="Palatino Linotype" w:hAnsi="Palatino Linotype" w:cs="Arial"/>
          <w:b/>
          <w:bCs/>
          <w:sz w:val="24"/>
          <w:szCs w:val="24"/>
        </w:rPr>
      </w:pPr>
      <w:r w:rsidRPr="00C36F96">
        <w:rPr>
          <w:rFonts w:ascii="Palatino Linotype" w:hAnsi="Palatino Linotype" w:cs="Arial"/>
          <w:sz w:val="24"/>
          <w:szCs w:val="24"/>
        </w:rPr>
        <w:t xml:space="preserve">De las constancias que obran en el expediente electrónico del recurso de revisión </w:t>
      </w:r>
      <w:r w:rsidRPr="00C36F96">
        <w:rPr>
          <w:rFonts w:ascii="Palatino Linotype" w:hAnsi="Palatino Linotype" w:cs="Arial"/>
          <w:b/>
          <w:bCs/>
          <w:sz w:val="24"/>
          <w:szCs w:val="24"/>
        </w:rPr>
        <w:t xml:space="preserve">04040/INFOEM/IP/RR/2026, </w:t>
      </w:r>
      <w:r w:rsidRPr="00C36F96">
        <w:rPr>
          <w:rFonts w:ascii="Palatino Linotype" w:hAnsi="Palatino Linotype" w:cs="Arial"/>
          <w:sz w:val="24"/>
          <w:szCs w:val="24"/>
        </w:rPr>
        <w:t xml:space="preserve">se advierte que en fecha </w:t>
      </w:r>
      <w:r w:rsidRPr="00C36F96">
        <w:rPr>
          <w:rFonts w:ascii="Palatino Linotype" w:hAnsi="Palatino Linotype" w:cs="Arial"/>
          <w:b/>
          <w:bCs/>
          <w:sz w:val="24"/>
          <w:szCs w:val="24"/>
        </w:rPr>
        <w:t xml:space="preserve">veintisiete de marzo de </w:t>
      </w:r>
      <w:r w:rsidR="001166FB" w:rsidRPr="00C36F96">
        <w:rPr>
          <w:rFonts w:ascii="Palatino Linotype" w:hAnsi="Palatino Linotype" w:cs="Arial"/>
          <w:b/>
          <w:bCs/>
          <w:sz w:val="24"/>
          <w:szCs w:val="24"/>
        </w:rPr>
        <w:t xml:space="preserve">dos mil veintiséis, El Sujeto Obligado </w:t>
      </w:r>
      <w:r w:rsidRPr="00C36F96">
        <w:rPr>
          <w:rFonts w:ascii="Palatino Linotype" w:hAnsi="Palatino Linotype" w:cs="Arial"/>
          <w:sz w:val="24"/>
          <w:szCs w:val="24"/>
        </w:rPr>
        <w:t xml:space="preserve">solicitó prórroga de siete días para recabar la información solicitada y dar cumplimiento a lo requerido por </w:t>
      </w:r>
      <w:r w:rsidRPr="00C36F96">
        <w:rPr>
          <w:rFonts w:ascii="Palatino Linotype" w:hAnsi="Palatino Linotype" w:cs="Arial"/>
          <w:b/>
          <w:bCs/>
          <w:sz w:val="24"/>
          <w:szCs w:val="24"/>
        </w:rPr>
        <w:t xml:space="preserve">El Recurrente, </w:t>
      </w:r>
      <w:r w:rsidRPr="00C36F96">
        <w:rPr>
          <w:rFonts w:ascii="Palatino Linotype" w:hAnsi="Palatino Linotype" w:cs="Arial"/>
          <w:sz w:val="24"/>
          <w:szCs w:val="24"/>
        </w:rPr>
        <w:t xml:space="preserve">advirtiendo que dicha prórroga </w:t>
      </w:r>
      <w:r w:rsidRPr="00C36F96">
        <w:rPr>
          <w:rFonts w:ascii="Palatino Linotype" w:hAnsi="Palatino Linotype" w:cs="Arial"/>
          <w:b/>
          <w:bCs/>
          <w:sz w:val="24"/>
          <w:szCs w:val="24"/>
        </w:rPr>
        <w:t>NO</w:t>
      </w:r>
      <w:r w:rsidRPr="00C36F96">
        <w:rPr>
          <w:rFonts w:ascii="Palatino Linotype" w:hAnsi="Palatino Linotype" w:cs="Arial"/>
          <w:sz w:val="24"/>
          <w:szCs w:val="24"/>
        </w:rPr>
        <w:t xml:space="preserve"> cumple con lo </w:t>
      </w:r>
      <w:r w:rsidRPr="00C36F96">
        <w:rPr>
          <w:rFonts w:ascii="Palatino Linotype" w:hAnsi="Palatino Linotype"/>
          <w:sz w:val="24"/>
          <w:szCs w:val="24"/>
        </w:rPr>
        <w:t xml:space="preserve">establecido en el artículo 49, fracción II, así como en el artículo 163 segundo párrafo, de la </w:t>
      </w:r>
      <w:r w:rsidRPr="00C36F96">
        <w:rPr>
          <w:rFonts w:ascii="Palatino Linotype" w:hAnsi="Palatino Linotype" w:cs="Arial"/>
          <w:sz w:val="24"/>
          <w:szCs w:val="24"/>
        </w:rPr>
        <w:t>Ley de Transparencia y Acceso a la Información Pública del Estado de México y Municipios.</w:t>
      </w:r>
    </w:p>
    <w:p w14:paraId="5899EA09" w14:textId="77777777" w:rsidR="00422331" w:rsidRPr="00C36F96" w:rsidRDefault="00422331" w:rsidP="00D55E4A">
      <w:pPr>
        <w:spacing w:before="240" w:line="360" w:lineRule="auto"/>
        <w:ind w:right="850"/>
        <w:jc w:val="both"/>
        <w:rPr>
          <w:rFonts w:ascii="Palatino Linotype" w:eastAsia="Times New Roman" w:hAnsi="Palatino Linotype" w:cs="Times New Roman"/>
          <w:sz w:val="24"/>
          <w:szCs w:val="24"/>
          <w:lang w:eastAsia="es-ES"/>
        </w:rPr>
      </w:pPr>
    </w:p>
    <w:p w14:paraId="5AA45A28" w14:textId="3393AB4E" w:rsidR="00D55E4A" w:rsidRPr="00C36F96" w:rsidRDefault="001166FB" w:rsidP="00D55E4A">
      <w:pPr>
        <w:spacing w:before="240" w:line="360" w:lineRule="auto"/>
        <w:jc w:val="both"/>
        <w:rPr>
          <w:rFonts w:ascii="Palatino Linotype" w:hAnsi="Palatino Linotype" w:cs="Arial"/>
          <w:b/>
          <w:sz w:val="28"/>
        </w:rPr>
      </w:pPr>
      <w:r w:rsidRPr="00C36F96">
        <w:rPr>
          <w:rFonts w:ascii="Palatino Linotype" w:hAnsi="Palatino Linotype" w:cs="Arial"/>
          <w:b/>
          <w:sz w:val="28"/>
        </w:rPr>
        <w:t>TERCERO</w:t>
      </w:r>
      <w:r w:rsidR="00D55E4A" w:rsidRPr="00C36F96">
        <w:rPr>
          <w:rFonts w:ascii="Palatino Linotype" w:hAnsi="Palatino Linotype" w:cs="Arial"/>
          <w:b/>
          <w:sz w:val="28"/>
        </w:rPr>
        <w:t xml:space="preserve">. </w:t>
      </w:r>
      <w:r w:rsidR="00D55E4A" w:rsidRPr="00C36F96">
        <w:rPr>
          <w:rFonts w:ascii="Palatino Linotype" w:hAnsi="Palatino Linotype" w:cs="Arial"/>
          <w:b/>
          <w:sz w:val="28"/>
          <w:szCs w:val="20"/>
        </w:rPr>
        <w:t>De la respuesta del Sujeto Obligado.</w:t>
      </w:r>
    </w:p>
    <w:p w14:paraId="7C88AA1D" w14:textId="7246D1A3" w:rsidR="001166FB" w:rsidRPr="00C36F96" w:rsidRDefault="00D55E4A" w:rsidP="00D55E4A">
      <w:pPr>
        <w:spacing w:before="240" w:line="360" w:lineRule="auto"/>
        <w:jc w:val="both"/>
        <w:rPr>
          <w:rFonts w:ascii="Palatino Linotype" w:hAnsi="Palatino Linotype" w:cs="Arial"/>
          <w:sz w:val="24"/>
          <w:szCs w:val="24"/>
        </w:rPr>
      </w:pPr>
      <w:r w:rsidRPr="00C36F96">
        <w:rPr>
          <w:rFonts w:ascii="Palatino Linotype" w:hAnsi="Palatino Linotype" w:cs="Arial"/>
          <w:sz w:val="24"/>
          <w:szCs w:val="24"/>
        </w:rPr>
        <w:lastRenderedPageBreak/>
        <w:t xml:space="preserve">En el expediente electrónico </w:t>
      </w:r>
      <w:r w:rsidRPr="00C36F96">
        <w:rPr>
          <w:rFonts w:ascii="Palatino Linotype" w:hAnsi="Palatino Linotype" w:cs="Arial"/>
          <w:b/>
          <w:sz w:val="24"/>
          <w:szCs w:val="24"/>
        </w:rPr>
        <w:t>SAIMEX</w:t>
      </w:r>
      <w:r w:rsidRPr="00C36F96">
        <w:rPr>
          <w:rFonts w:ascii="Palatino Linotype" w:hAnsi="Palatino Linotype" w:cs="Arial"/>
          <w:sz w:val="24"/>
          <w:szCs w:val="24"/>
        </w:rPr>
        <w:t xml:space="preserve">, se aprecia que el </w:t>
      </w:r>
      <w:r w:rsidR="001166FB" w:rsidRPr="00C36F96">
        <w:rPr>
          <w:rFonts w:ascii="Palatino Linotype" w:hAnsi="Palatino Linotype" w:cs="Arial"/>
          <w:b/>
          <w:bCs/>
          <w:sz w:val="24"/>
          <w:szCs w:val="24"/>
        </w:rPr>
        <w:t xml:space="preserve">quince de abril de dos mil veintiséis, El Sujeto Obligado </w:t>
      </w:r>
      <w:r w:rsidR="007813A4" w:rsidRPr="00C36F96">
        <w:rPr>
          <w:rFonts w:ascii="Palatino Linotype" w:hAnsi="Palatino Linotype" w:cs="Arial"/>
          <w:sz w:val="24"/>
          <w:szCs w:val="24"/>
        </w:rPr>
        <w:t xml:space="preserve">dio respuesta a la solicitud de información </w:t>
      </w:r>
      <w:r w:rsidR="001166FB" w:rsidRPr="00C36F96">
        <w:rPr>
          <w:rFonts w:ascii="Palatino Linotype" w:hAnsi="Palatino Linotype" w:cs="Arial"/>
          <w:b/>
          <w:bCs/>
          <w:sz w:val="24"/>
          <w:szCs w:val="24"/>
        </w:rPr>
        <w:t xml:space="preserve">00043/JIQUIPIL/IP/2026, </w:t>
      </w:r>
      <w:r w:rsidR="001166FB" w:rsidRPr="00C36F96">
        <w:rPr>
          <w:rFonts w:ascii="Palatino Linotype" w:hAnsi="Palatino Linotype" w:cs="Arial"/>
          <w:sz w:val="24"/>
          <w:szCs w:val="24"/>
        </w:rPr>
        <w:t>resulta de nuestro interés lo siguiente:</w:t>
      </w:r>
    </w:p>
    <w:p w14:paraId="77012A3C" w14:textId="4ACB8164" w:rsidR="001166FB" w:rsidRPr="00C36F96" w:rsidRDefault="001166FB" w:rsidP="001166FB">
      <w:pPr>
        <w:pStyle w:val="Citas"/>
      </w:pPr>
      <w:r w:rsidRPr="00C36F96">
        <w:t>“En respuesta a la solicitud recibida, nos permitimos hacer de su conocimiento que con fundamento en el artículo 53, Fracciones: II, V y VI de la Ley de Transparencia y Acceso a la Información Pública del Estado de México y Municipios, le contestamos que:</w:t>
      </w:r>
    </w:p>
    <w:p w14:paraId="2D4561B2" w14:textId="20AF38DE" w:rsidR="001166FB" w:rsidRPr="00C36F96" w:rsidRDefault="001166FB" w:rsidP="001166FB">
      <w:pPr>
        <w:pStyle w:val="Citas"/>
        <w:rPr>
          <w:b/>
          <w:bCs/>
        </w:rPr>
      </w:pPr>
      <w:r w:rsidRPr="00C36F96">
        <w:t xml:space="preserve">Se entrega información proporcionada por los servidores públicos habilitados (Desarrollo Economico, Licitaciones, Admnistración, Adquisiciones, y Tesorería Municipal)” </w:t>
      </w:r>
      <w:r w:rsidRPr="00C36F96">
        <w:rPr>
          <w:b/>
          <w:bCs/>
        </w:rPr>
        <w:t>(Sic)</w:t>
      </w:r>
    </w:p>
    <w:p w14:paraId="08E1428E" w14:textId="7DD2C150" w:rsidR="00D55E4A" w:rsidRPr="00C36F96" w:rsidRDefault="00D55E4A" w:rsidP="00D55E4A">
      <w:pPr>
        <w:spacing w:before="240" w:line="360" w:lineRule="auto"/>
        <w:jc w:val="both"/>
        <w:rPr>
          <w:rFonts w:ascii="Palatino Linotype" w:hAnsi="Palatino Linotype" w:cs="Arial"/>
          <w:sz w:val="24"/>
          <w:szCs w:val="24"/>
        </w:rPr>
      </w:pPr>
      <w:r w:rsidRPr="00C36F96">
        <w:rPr>
          <w:rFonts w:ascii="Palatino Linotype" w:hAnsi="Palatino Linotype" w:cs="Arial"/>
          <w:sz w:val="24"/>
          <w:szCs w:val="24"/>
        </w:rPr>
        <w:t xml:space="preserve">De manera complementaria, </w:t>
      </w:r>
      <w:r w:rsidRPr="00C36F96">
        <w:rPr>
          <w:rFonts w:ascii="Palatino Linotype" w:hAnsi="Palatino Linotype" w:cs="Arial"/>
          <w:b/>
          <w:bCs/>
          <w:sz w:val="24"/>
          <w:szCs w:val="24"/>
        </w:rPr>
        <w:t xml:space="preserve">El Sujeto Obligado </w:t>
      </w:r>
      <w:r w:rsidRPr="00C36F96">
        <w:rPr>
          <w:rFonts w:ascii="Palatino Linotype" w:hAnsi="Palatino Linotype" w:cs="Arial"/>
          <w:sz w:val="24"/>
          <w:szCs w:val="24"/>
        </w:rPr>
        <w:t xml:space="preserve">adjuntó </w:t>
      </w:r>
      <w:r w:rsidR="007813A4" w:rsidRPr="00C36F96">
        <w:rPr>
          <w:rFonts w:ascii="Palatino Linotype" w:hAnsi="Palatino Linotype" w:cs="Arial"/>
          <w:sz w:val="24"/>
          <w:szCs w:val="24"/>
        </w:rPr>
        <w:t xml:space="preserve">los documentos electrónicos </w:t>
      </w:r>
      <w:r w:rsidR="007813A4" w:rsidRPr="00C36F96">
        <w:rPr>
          <w:rFonts w:ascii="Palatino Linotype" w:hAnsi="Palatino Linotype" w:cs="Arial"/>
          <w:b/>
          <w:bCs/>
          <w:sz w:val="24"/>
          <w:szCs w:val="24"/>
        </w:rPr>
        <w:t>“</w:t>
      </w:r>
      <w:r w:rsidR="001166FB" w:rsidRPr="00C36F96">
        <w:rPr>
          <w:rFonts w:ascii="Palatino Linotype" w:hAnsi="Palatino Linotype" w:cs="Arial"/>
          <w:b/>
          <w:bCs/>
          <w:sz w:val="24"/>
          <w:szCs w:val="24"/>
        </w:rPr>
        <w:t xml:space="preserve">TURNO 43.pdf”, “Respuesta CLP012.pdf”, “OFICIO 11 CA.pdf”, “OFICIO DA068 2026.pdf” </w:t>
      </w:r>
      <w:r w:rsidR="001166FB" w:rsidRPr="00C36F96">
        <w:rPr>
          <w:rFonts w:ascii="Palatino Linotype" w:hAnsi="Palatino Linotype" w:cs="Arial"/>
          <w:sz w:val="24"/>
          <w:szCs w:val="24"/>
        </w:rPr>
        <w:t xml:space="preserve">y </w:t>
      </w:r>
      <w:r w:rsidR="001166FB" w:rsidRPr="00C36F96">
        <w:rPr>
          <w:rFonts w:ascii="Palatino Linotype" w:hAnsi="Palatino Linotype" w:cs="Arial"/>
          <w:b/>
          <w:bCs/>
          <w:sz w:val="24"/>
          <w:szCs w:val="24"/>
        </w:rPr>
        <w:t xml:space="preserve">“solicitud 0043.pdf”, </w:t>
      </w:r>
      <w:r w:rsidR="007813A4" w:rsidRPr="00C36F96">
        <w:rPr>
          <w:rFonts w:ascii="Palatino Linotype" w:hAnsi="Palatino Linotype" w:cs="Arial"/>
          <w:sz w:val="24"/>
          <w:szCs w:val="24"/>
        </w:rPr>
        <w:t xml:space="preserve">cuyo contenido se tiene por </w:t>
      </w:r>
      <w:r w:rsidRPr="00C36F96">
        <w:rPr>
          <w:rFonts w:ascii="Palatino Linotype" w:hAnsi="Palatino Linotype" w:cs="Arial"/>
          <w:sz w:val="24"/>
          <w:szCs w:val="24"/>
        </w:rPr>
        <w:t xml:space="preserve">reproducido como si a la letra se insertase en virtud de que serán materia de análisis en el considerando respectivo. </w:t>
      </w:r>
    </w:p>
    <w:p w14:paraId="44C3070B" w14:textId="77777777" w:rsidR="00D55E4A" w:rsidRPr="00C36F96" w:rsidRDefault="00D55E4A" w:rsidP="00D55E4A">
      <w:pPr>
        <w:spacing w:before="240" w:line="360" w:lineRule="auto"/>
        <w:jc w:val="both"/>
        <w:rPr>
          <w:rFonts w:ascii="Palatino Linotype" w:hAnsi="Palatino Linotype" w:cs="Arial"/>
          <w:sz w:val="24"/>
          <w:szCs w:val="24"/>
        </w:rPr>
      </w:pPr>
    </w:p>
    <w:p w14:paraId="08F21973" w14:textId="4C0D8991" w:rsidR="00D55E4A" w:rsidRPr="00C36F96" w:rsidRDefault="001166FB" w:rsidP="00D55E4A">
      <w:pPr>
        <w:spacing w:before="240" w:line="360" w:lineRule="auto"/>
        <w:jc w:val="both"/>
        <w:rPr>
          <w:rFonts w:ascii="Palatino Linotype" w:hAnsi="Palatino Linotype" w:cs="Arial"/>
          <w:b/>
          <w:sz w:val="28"/>
        </w:rPr>
      </w:pPr>
      <w:r w:rsidRPr="00C36F96">
        <w:rPr>
          <w:rFonts w:ascii="Palatino Linotype" w:hAnsi="Palatino Linotype" w:cs="Arial"/>
          <w:b/>
          <w:sz w:val="28"/>
        </w:rPr>
        <w:t>CUARTO</w:t>
      </w:r>
      <w:r w:rsidR="00D55E4A" w:rsidRPr="00C36F96">
        <w:rPr>
          <w:rFonts w:ascii="Palatino Linotype" w:hAnsi="Palatino Linotype" w:cs="Arial"/>
          <w:b/>
          <w:sz w:val="28"/>
        </w:rPr>
        <w:t xml:space="preserve">. </w:t>
      </w:r>
      <w:r w:rsidR="00D55E4A" w:rsidRPr="00C36F96">
        <w:rPr>
          <w:rFonts w:ascii="Palatino Linotype" w:hAnsi="Palatino Linotype"/>
          <w:b/>
          <w:sz w:val="28"/>
        </w:rPr>
        <w:t>Del recurso de revisión.</w:t>
      </w:r>
    </w:p>
    <w:p w14:paraId="353CA442" w14:textId="5627C75B" w:rsidR="007813A4" w:rsidRPr="00C36F96" w:rsidRDefault="00D55E4A" w:rsidP="00D55E4A">
      <w:pPr>
        <w:spacing w:before="240" w:line="360" w:lineRule="auto"/>
        <w:jc w:val="both"/>
        <w:rPr>
          <w:rFonts w:ascii="Palatino Linotype" w:hAnsi="Palatino Linotype" w:cs="Arial"/>
          <w:bCs/>
          <w:sz w:val="24"/>
          <w:szCs w:val="24"/>
        </w:rPr>
      </w:pPr>
      <w:r w:rsidRPr="00C36F96">
        <w:rPr>
          <w:rFonts w:ascii="Palatino Linotype" w:hAnsi="Palatino Linotype" w:cs="Arial"/>
          <w:sz w:val="24"/>
          <w:szCs w:val="24"/>
        </w:rPr>
        <w:t xml:space="preserve">Inconforme con la respuesta notificada por </w:t>
      </w:r>
      <w:r w:rsidRPr="00C36F96">
        <w:rPr>
          <w:rFonts w:ascii="Palatino Linotype" w:hAnsi="Palatino Linotype" w:cs="Arial"/>
          <w:b/>
          <w:sz w:val="24"/>
          <w:szCs w:val="24"/>
        </w:rPr>
        <w:t xml:space="preserve">El Sujeto Obligado, </w:t>
      </w:r>
      <w:r w:rsidR="001166FB" w:rsidRPr="00C36F96">
        <w:rPr>
          <w:rFonts w:ascii="Palatino Linotype" w:hAnsi="Palatino Linotype" w:cs="Arial"/>
          <w:b/>
          <w:sz w:val="24"/>
          <w:szCs w:val="24"/>
        </w:rPr>
        <w:t>El</w:t>
      </w:r>
      <w:r w:rsidRPr="00C36F96">
        <w:rPr>
          <w:rFonts w:ascii="Palatino Linotype" w:hAnsi="Palatino Linotype" w:cs="Arial"/>
          <w:b/>
          <w:sz w:val="24"/>
          <w:szCs w:val="24"/>
        </w:rPr>
        <w:t xml:space="preserve"> Recurrente </w:t>
      </w:r>
      <w:r w:rsidRPr="00C36F96">
        <w:rPr>
          <w:rFonts w:ascii="Palatino Linotype" w:hAnsi="Palatino Linotype" w:cs="Arial"/>
          <w:bCs/>
          <w:sz w:val="24"/>
          <w:szCs w:val="24"/>
        </w:rPr>
        <w:t>interpuso el recurso de revisión, en fecha</w:t>
      </w:r>
      <w:r w:rsidR="001A67C5" w:rsidRPr="00C36F96">
        <w:rPr>
          <w:rFonts w:ascii="Palatino Linotype" w:hAnsi="Palatino Linotype" w:cs="Arial"/>
          <w:bCs/>
          <w:sz w:val="24"/>
          <w:szCs w:val="24"/>
        </w:rPr>
        <w:t xml:space="preserve"> </w:t>
      </w:r>
      <w:r w:rsidR="001166FB" w:rsidRPr="00C36F96">
        <w:rPr>
          <w:rFonts w:ascii="Palatino Linotype" w:hAnsi="Palatino Linotype" w:cs="Arial"/>
          <w:b/>
          <w:sz w:val="24"/>
          <w:szCs w:val="24"/>
        </w:rPr>
        <w:t xml:space="preserve">dieciocho de abril de dos mil veintiséis, </w:t>
      </w:r>
      <w:r w:rsidR="001166FB" w:rsidRPr="00C36F96">
        <w:rPr>
          <w:rFonts w:ascii="Palatino Linotype" w:hAnsi="Palatino Linotype" w:cs="Arial"/>
          <w:bCs/>
          <w:sz w:val="24"/>
          <w:szCs w:val="24"/>
        </w:rPr>
        <w:t xml:space="preserve">el cual fue registrado en el sistema electrónico con el expediente </w:t>
      </w:r>
      <w:r w:rsidR="001166FB" w:rsidRPr="00C36F96">
        <w:rPr>
          <w:rFonts w:ascii="Palatino Linotype" w:hAnsi="Palatino Linotype" w:cs="Arial"/>
          <w:b/>
          <w:sz w:val="24"/>
          <w:szCs w:val="24"/>
        </w:rPr>
        <w:t xml:space="preserve">04040/INFOEM/IP/RR/2026, </w:t>
      </w:r>
      <w:r w:rsidR="00F914FF" w:rsidRPr="00C36F96">
        <w:rPr>
          <w:rFonts w:ascii="Palatino Linotype" w:hAnsi="Palatino Linotype" w:cs="Arial"/>
          <w:bCs/>
          <w:sz w:val="24"/>
          <w:szCs w:val="24"/>
        </w:rPr>
        <w:t xml:space="preserve">en el cual arguye las siguientes manifestaciones: </w:t>
      </w:r>
    </w:p>
    <w:p w14:paraId="512BB593" w14:textId="77777777" w:rsidR="00D55E4A" w:rsidRPr="00C36F96" w:rsidRDefault="00D55E4A" w:rsidP="00D55E4A">
      <w:pPr>
        <w:spacing w:before="240" w:line="360" w:lineRule="auto"/>
        <w:jc w:val="both"/>
        <w:rPr>
          <w:rFonts w:ascii="Palatino Linotype" w:hAnsi="Palatino Linotype" w:cs="Arial"/>
          <w:b/>
          <w:sz w:val="24"/>
        </w:rPr>
      </w:pPr>
      <w:r w:rsidRPr="00C36F96">
        <w:rPr>
          <w:rFonts w:ascii="Palatino Linotype" w:hAnsi="Palatino Linotype" w:cs="Arial"/>
          <w:b/>
          <w:sz w:val="24"/>
        </w:rPr>
        <w:lastRenderedPageBreak/>
        <w:t>Acto Impugnado:</w:t>
      </w:r>
    </w:p>
    <w:p w14:paraId="14E1B952" w14:textId="0B0C4394" w:rsidR="00D55E4A" w:rsidRPr="00C36F96" w:rsidRDefault="00D55E4A" w:rsidP="00D55E4A">
      <w:pPr>
        <w:pStyle w:val="Citas"/>
        <w:rPr>
          <w:b/>
          <w:bCs/>
          <w:sz w:val="24"/>
        </w:rPr>
      </w:pPr>
      <w:r w:rsidRPr="00C36F96">
        <w:t>“</w:t>
      </w:r>
      <w:r w:rsidR="007D5E19" w:rsidRPr="00C36F96">
        <w:t>La respuesta integral emitida por el Ayuntamiento de Jiquipilco, Estado de México, recaída a la solicitud de información pública con folio 00043/JIQUIPIL/IP/2026, así como la notificación de prórroga de fecha veintisiete de marzo de dos mil veintiséis y los oficios emitidos por diversas áreas del sujeto obligado con motivo de dicha solicitud, en la medida en que mediante esa actuación se entregó información de manera parcial, se omitió responder de fondo diversos extremos de la solicitud, se pretendió requerir aclaración de manera extemporánea por unidades administrativas distintas de la Unidad de Transparencia y no se emitieron los acuerdos de inexistencia correspondientes respecto de documentación que se dijo no encontrada. También se impugnan, por su relación directa con la respuesta, los oficios DA/JIQ/2026-068, CA/JIQ/2026-011 y CLP/JIQ/2026-012, mediante los cuales la Dirección de Administración, la Coordinación de Adquisiciones Públicas y la Coordinación de Licitaciones Públicas, respectivamente, no entregaron la información solicitada y, en su lugar, pretendieron requerir mayor claridad en términos del artículo 159 de la Ley de Transparencia y Acceso a la Información Pública del Estado de México y Municipios, pese a que dichos oficios fueron emitidos fuera del plazo legal para requerir aclaración y por áreas que no son la Unidad de Transparencia. Asimismo, se impugna la respuesta emitida por Tesorería Municipal, que sólo proporcionó un monto global de presupuesto y afirmó no haber localizado documentación sobre transferencias, sin acompañar el acuerdo de inexistencia correspondiente, así como la respuesta de la Dirección de Desarrollo Económico, que únicamente remitió una relación de giros o productos con montos, sin colmar el alcance real de lo solicitado respecto de comerciantes o locatarios</w:t>
      </w:r>
      <w:r w:rsidRPr="00C36F96">
        <w:t xml:space="preserve">” </w:t>
      </w:r>
      <w:r w:rsidRPr="00C36F96">
        <w:rPr>
          <w:b/>
          <w:bCs/>
        </w:rPr>
        <w:t>(Sic)</w:t>
      </w:r>
    </w:p>
    <w:p w14:paraId="3B0D6F1D" w14:textId="77777777" w:rsidR="007D5E19" w:rsidRPr="00C36F96" w:rsidRDefault="007D5E19" w:rsidP="00D55E4A">
      <w:pPr>
        <w:spacing w:before="240" w:line="360" w:lineRule="auto"/>
        <w:jc w:val="both"/>
        <w:rPr>
          <w:rFonts w:ascii="Palatino Linotype" w:hAnsi="Palatino Linotype" w:cs="Arial"/>
          <w:b/>
          <w:sz w:val="24"/>
        </w:rPr>
      </w:pPr>
    </w:p>
    <w:p w14:paraId="328F4E5D" w14:textId="480676EE" w:rsidR="00D55E4A" w:rsidRPr="00C36F96" w:rsidRDefault="00D55E4A" w:rsidP="00D55E4A">
      <w:pPr>
        <w:spacing w:before="240" w:line="360" w:lineRule="auto"/>
        <w:jc w:val="both"/>
        <w:rPr>
          <w:rFonts w:ascii="Palatino Linotype" w:hAnsi="Palatino Linotype" w:cs="Arial"/>
          <w:sz w:val="24"/>
        </w:rPr>
      </w:pPr>
      <w:r w:rsidRPr="00C36F96">
        <w:rPr>
          <w:rFonts w:ascii="Palatino Linotype" w:hAnsi="Palatino Linotype" w:cs="Arial"/>
          <w:b/>
          <w:sz w:val="24"/>
        </w:rPr>
        <w:lastRenderedPageBreak/>
        <w:t>Razones o Motivos de Inconformidad</w:t>
      </w:r>
      <w:r w:rsidRPr="00C36F96">
        <w:rPr>
          <w:rFonts w:ascii="Palatino Linotype" w:hAnsi="Palatino Linotype" w:cs="Arial"/>
          <w:sz w:val="24"/>
        </w:rPr>
        <w:t xml:space="preserve">: </w:t>
      </w:r>
    </w:p>
    <w:p w14:paraId="3EBE1BE1" w14:textId="0B01F003" w:rsidR="00D55E4A" w:rsidRPr="00C36F96" w:rsidRDefault="00D55E4A" w:rsidP="00D55E4A">
      <w:pPr>
        <w:pStyle w:val="Citas"/>
        <w:rPr>
          <w:b/>
          <w:bCs/>
        </w:rPr>
      </w:pPr>
      <w:r w:rsidRPr="00C36F96">
        <w:t>“</w:t>
      </w:r>
      <w:r w:rsidR="007D5E19" w:rsidRPr="00C36F96">
        <w:t xml:space="preserve">PRIMERO. De conformidad con los artículos 176, 178, 179 y 180 de la Ley de Transparencia y Acceso a la Información Pública del Estado de México y Municipios, el presente recurso es procedente porque la respuesta impugnada actualiza, al menos, los supuestos de entrega incompleta de información, respuesta que no corresponde con lo solicitado y falta, deficiencia o insuficiencia de fundamentación y motivación. La inconformidad no recae sobre un aspecto aislado, sino sobre una respuesta integralmente deficiente que no satisface el derecho humano de acceso a la información pública. SEGUNDO. La solicitud de información fue clara desde su presentación. No se pidió información genérica ni indeterminada. Se requirió: el presupuesto aprobado para la Feria del Pulque 2026; los contratos firmados con todas las personas que se presentarían conforme al programa; todos los documentos relativos a los expedientes generados para los procedimientos de adjudicación para su contratación, desde propuestas, presupuestos y cualquier documento mínimo generado; todos los bienes comprados para el desarrollo de la feria, como premios o reconocimientos; los contratos celebrados con personas físicas o morales que instalarían juegos mecánicos; los documentos en los que constara cuánto se cobraría a comerciantes o locatarios que se instalarían durante la feria; y los comprobantes de transferencia realizados como adelanto para comprometer a los artistas que se presentarían. Por tanto, la autoridad estaba obligada a responder de fondo cada uno de esos extremos. TERCERO. A pesar de que la solicitud fue suficientemente clara, diversas áreas del Ayuntamiento pretendieron, de manera improcedente, sustituir la respuesta de fondo con oficios en los que pidieron “más claridad” a la solicitud. Así ocurrió con la Dirección de Administración mediante el oficio DA/JIQ/2026-068 de fecha 15 de abril de 2026, con la Coordinación de Adquisiciones Públicas mediante el oficio CA/JIQ/2026-011 de fecha 15 de abril de </w:t>
      </w:r>
      <w:r w:rsidR="007D5E19" w:rsidRPr="00C36F96">
        <w:lastRenderedPageBreak/>
        <w:t xml:space="preserve">2026 y con la Coordinación de Licitaciones Públicas mediante el oficio CLP/JIQ/2026-012 de fecha 7 de abril de 2026. En todos esos oficios se invocó el artículo 159 de la ley local para sostener que la solicitud no era clara o expedita, pero ninguno de ellos entregó la información pedida ni precisó concretamente qué elemento de la solicitud impedía localizar los documentos. CUARTO. Esos supuestos requerimientos de aclaración son ilegales por una doble razón. En primer lugar, porque el artículo 159 de la ley local faculta a la Unidad de Transparencia, por una sola vez y dentro del plazo que no puede exceder de cinco días hábiles contados a partir de la presentación de la solicitud, para requerir al solicitante cuando los detalles proporcionados para localizar los documentos resulten insuficientes, incompletos o erróneos. Aquí la solicitud fue presentada el 6 de marzo de 2026, por lo que cualquier requerimiento de aclaración debía formularse dentro de ese plazo inicial. Sin embargo, los oficios de Licitaciones Públicas, Administración y Adquisiciones fueron emitidos el 7 y 15 de abril de 2026, es decir, fuera del plazo legal y después de vencido incluso el término ordinario de respuesta. QUINTO. En segundo lugar, esos requerimientos también son improcedentes porque no fueron emitidos por la Unidad de Transparencia, sino por áreas administrativas sustantivas. La ley no autoriza que cada área requerida, de manera autónoma y extemporánea, cuestione la claridad de la solicitud para dejar de responder. El eventual requerimiento de aclaración es una facultad excepcional de la Unidad de Transparencia, con temporalidad estricta y efectos procesales definidos. Permitir que las áreas sustantivas emitan oficios tardíos para pedir “más claridad” vaciaría de contenido el artículo 159 y convertiría la obligación de responder en una salida evasiva permanente. SEXTO. Además, esos oficios no satisfacen ni siquiera el estándar mínimo de motivación. Se limitan a transcribir el artículo 159 y a sostener, de manera genérica, que la información solicitada no es clara o expedita, o que se </w:t>
      </w:r>
      <w:r w:rsidR="007D5E19" w:rsidRPr="00C36F96">
        <w:lastRenderedPageBreak/>
        <w:t xml:space="preserve">requiere más claridad para brindar atención de la manera más accesible y sencilla posible. No identifican qué punto concreto de la solicitud es ambiguo; no señalan qué dato específico faltaría para localizar contratos, expedientes, presupuestos, compras, cobros o transferencias; y tampoco distinguen entre cada uno de los rubros solicitados. Es decir, no explican por qué una solicitud que identifica claramente el evento, el ejercicio fiscal, el tipo de documentos y el objeto de cada requerimiento no podía ser atendida. Por ello, esos oficios no pueden considerarse requerimientos válidos de aclaración, sino meras respuestas evasivas. SÉPTIMO. La respuesta de Tesorería Municipal también es incompleta. Mediante oficio de fecha 15 de abril de 2026, esa área únicamente informó que el presupuesto aprobado para la Feria del Pulque 2026 fue de $12,000,000.00, y añadió que, después de la búsqueda correspondiente en archivos físicos y digitales, no se encontraron documentales referentes a transferencias por concepto de adelanto para comprometer a artistas. Sin embargo, fuera de ese monto global y de esa simple afirmación, Tesorería no respondió de fondo sobre el resto de la información que, razonablemente, puede obrar en su ámbito de competencia, ni acompañó el acuerdo de inexistencia correspondiente respecto de la documentación de transferencias que dijo no encontrar. OCTAVO. Esa respuesta de Tesorería es ilegal porque, si efectivamente no localizó comprobantes de transferencias o documentación relacionada con adelantos a artistas, no bastaba con afirmarlo en un oficio simple. Conforme a los artículos 18 y 19 de la Ley de Transparencia y Acceso a la Información Pública del Estado de México y Municipios, cuando la información debió generarse, poseerse o administrarse y no se encuentra, debe emitirse el correspondiente acuerdo de inexistencia, debidamente fundado y motivado, a través del Comité de Transparencia. Aquí no se entregó ese acuerdo. Por ello, la respuesta no satisface el deber legal de documentar ni el estándar de exhaustividad que rige el acceso a la </w:t>
      </w:r>
      <w:r w:rsidR="007D5E19" w:rsidRPr="00C36F96">
        <w:lastRenderedPageBreak/>
        <w:t xml:space="preserve">información pública. NOVENO. La respuesta de la Dirección de Desarrollo Económico también es insuficiente. Mediante el oficio de fecha 25 de marzo de 2026, esa área remitió un archivo en Excel con una relación de giros o productos y una columna titulada “total a pagar”, correspondiente a diversos comerciantes o locatarios. Sin embargo, la solicitud no pidió únicamente una relación genérica de montos. Se pidieron los documentos en los que constara cuánto se cobraría a los comerciantes o locatarios que se instalarían durante la feria, precisando además que esos datos debían coincidir con los de su conclusión. En consecuencia, no bastaba una simple tabla de conceptos y montos; debieron entregarse los documentos soporte del cobro, de la autorización, de la asignación de espacios y, en su caso, de la conclusión correspondiente. La tabla aislada no colma el pedimento. DÉCIMO. La insuficiencia de la respuesta se agrava porque los rubros medulares de la solicitud quedaron sin respuesta material. No se entregaron los contratos firmados con quienes se presentarían en la feria; no se entregaron los expedientes de adjudicación para su contratación, desde propuestas, presupuestos y demás documentos generados; no se entregó la documentación relativa a bienes comprados para el desarrollo de la feria, como premios o reconocimientos; y no se entregaron los contratos celebrados con las personas físicas o morales que instalarían juegos mecánicos. En lugar de responder esos puntos, las áreas competentes emitieron oficios extemporáneos e inválidos pidiendo “más claridad”. Esa conducta no puede equipararse a una respuesta; constituye, materialmente, una omisión de entrega respecto de los extremos centrales de la solicitud. DÉCIMO PRIMERO. También debe impugnarse la prórroga. La notificación de fecha 27 de marzo de 2026 únicamente señaló, de forma genérica, que después de un análisis a la petición de ampliación de plazo se consideraron procedentes las razones para poder entregar la información de manera correcta y que dicha ampliación fue aprobada en la Vigésima </w:t>
      </w:r>
      <w:r w:rsidR="007D5E19" w:rsidRPr="00C36F96">
        <w:lastRenderedPageBreak/>
        <w:t>Sesión Extraordinaria del Comité de Transparencia, en el acuerdo 0024/CTJ/20EXT.ORD/2026. Sin embargo, al expediente notificado sólo se acompañó esa notificación genérica, mas no el acta o resolución del Comité de Transparencia mediante la cual se hubiera fundado y motivado de manera completa la prórroga. Por ello, la ampliación de plazo también carece de soporte documental suficiente frente al solicitante. DÉCIMO SEGUNDO. En consecuencia, la respuesta impugnada actualiza una entrega parcial e insuficiente de información, así como una serie de omisiones de pronunciamiento y de entrega que lesionan directamente el derecho de acceso a la información pública. La solicitud fue clara; la autoridad contaba con elementos suficientes para localizar la documentación; y, en vez de emitir una respuesta exhaustiva, optó por fragmentar la contestación, entregar datos sueltos, omitir documentos centrales y sostener requerimientos de aclaración extemporáneos e improcedentes. DÉCIMO TERCERO. Por tanto, lo procedente es revocar la respuesta impugnada y ordenar al Ayuntamiento de Jiquipilco emitir una nueva respuesta de fondo, exhaustiva y congruente, que atienda cada uno de los rubros solicitados; deje sin efectos los supuestos requerimientos de aclaración extemporáneos formulados por Administración, Adquisiciones Públicas y Licitaciones Públicas; entregue los contratos, expedientes, compras, cobros, soportes y demás documentación pedida; y, en caso de no localizar alguno de esos documentos, emita los acuerdos de inexistencia correspondientes, debidamente fundados y motivados. Asimismo, debe darse vista a la contraloría competente, en términos del artículo 190 de la Ley de Transparencia y Acceso a la Información Pública del Estado de México y Municipios, por la emisión de respuestas evasivas y por la omisión de documentar adecuadamente la inexistencia de información que, en principio, debió obrar en poder del sujeto obligado</w:t>
      </w:r>
      <w:r w:rsidRPr="00C36F96">
        <w:t xml:space="preserve">” </w:t>
      </w:r>
      <w:r w:rsidRPr="00C36F96">
        <w:rPr>
          <w:b/>
          <w:bCs/>
        </w:rPr>
        <w:t>(Sic)</w:t>
      </w:r>
    </w:p>
    <w:p w14:paraId="6684FC35" w14:textId="77777777" w:rsidR="00F914FF" w:rsidRPr="00C36F96" w:rsidRDefault="00F914FF" w:rsidP="00F914FF">
      <w:pPr>
        <w:pStyle w:val="Citas"/>
        <w:ind w:left="0"/>
        <w:rPr>
          <w:b/>
        </w:rPr>
      </w:pPr>
    </w:p>
    <w:p w14:paraId="2513D2F8" w14:textId="622F11C1" w:rsidR="00D55E4A" w:rsidRPr="00C36F96" w:rsidRDefault="007D5E19" w:rsidP="00D55E4A">
      <w:pPr>
        <w:spacing w:before="240" w:line="360" w:lineRule="auto"/>
        <w:jc w:val="both"/>
        <w:rPr>
          <w:rFonts w:ascii="Palatino Linotype" w:hAnsi="Palatino Linotype" w:cs="Arial"/>
          <w:b/>
          <w:sz w:val="24"/>
          <w:szCs w:val="24"/>
        </w:rPr>
      </w:pPr>
      <w:r w:rsidRPr="00C36F96">
        <w:rPr>
          <w:rFonts w:ascii="Palatino Linotype" w:hAnsi="Palatino Linotype" w:cs="Arial"/>
          <w:b/>
          <w:sz w:val="28"/>
        </w:rPr>
        <w:lastRenderedPageBreak/>
        <w:t>QUINTO</w:t>
      </w:r>
      <w:r w:rsidR="00D55E4A" w:rsidRPr="00C36F96">
        <w:rPr>
          <w:rFonts w:ascii="Palatino Linotype" w:hAnsi="Palatino Linotype" w:cs="Arial"/>
          <w:b/>
          <w:sz w:val="24"/>
          <w:szCs w:val="24"/>
        </w:rPr>
        <w:t xml:space="preserve">. </w:t>
      </w:r>
      <w:r w:rsidR="00D55E4A" w:rsidRPr="00C36F96">
        <w:rPr>
          <w:rFonts w:ascii="Palatino Linotype" w:hAnsi="Palatino Linotype" w:cs="Arial"/>
          <w:b/>
          <w:sz w:val="28"/>
          <w:szCs w:val="28"/>
        </w:rPr>
        <w:t>Del turno del recurso de revisión.</w:t>
      </w:r>
    </w:p>
    <w:p w14:paraId="04912F97" w14:textId="05279A2D" w:rsidR="00D55E4A" w:rsidRPr="00C36F96" w:rsidRDefault="00D55E4A" w:rsidP="00D55E4A">
      <w:pPr>
        <w:spacing w:before="240" w:line="360" w:lineRule="auto"/>
        <w:jc w:val="both"/>
        <w:rPr>
          <w:rFonts w:ascii="Palatino Linotype" w:hAnsi="Palatino Linotype" w:cs="Arial"/>
          <w:sz w:val="24"/>
          <w:szCs w:val="24"/>
        </w:rPr>
      </w:pPr>
      <w:r w:rsidRPr="00C36F96">
        <w:rPr>
          <w:rFonts w:ascii="Palatino Linotype" w:hAnsi="Palatino Linotype" w:cs="Arial"/>
          <w:sz w:val="24"/>
          <w:szCs w:val="24"/>
        </w:rPr>
        <w:t xml:space="preserve">Medio de impugnación que le fue turnado al Comisionado </w:t>
      </w:r>
      <w:r w:rsidRPr="00C36F96">
        <w:rPr>
          <w:rFonts w:ascii="Palatino Linotype" w:hAnsi="Palatino Linotype" w:cs="Arial"/>
          <w:b/>
          <w:sz w:val="24"/>
          <w:szCs w:val="24"/>
        </w:rPr>
        <w:t>José Martínez Vilchis</w:t>
      </w:r>
      <w:r w:rsidRPr="00C36F96">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7D5E19" w:rsidRPr="00C36F96">
        <w:rPr>
          <w:rFonts w:ascii="Palatino Linotype" w:hAnsi="Palatino Linotype" w:cs="Arial"/>
          <w:b/>
          <w:bCs/>
          <w:sz w:val="24"/>
          <w:szCs w:val="24"/>
        </w:rPr>
        <w:t xml:space="preserve">veintiuno de abril de dos mil veintiséis, </w:t>
      </w:r>
      <w:r w:rsidRPr="00C36F96">
        <w:rPr>
          <w:rFonts w:ascii="Palatino Linotype" w:hAnsi="Palatino Linotype" w:cs="Arial"/>
          <w:sz w:val="24"/>
          <w:szCs w:val="24"/>
        </w:rPr>
        <w:t>determinándose en él, un plazo de siete días para que las partes manifestaran lo que a su derecho corresponda en términos del numeral ya citado.</w:t>
      </w:r>
    </w:p>
    <w:p w14:paraId="50DB6FDF" w14:textId="77777777" w:rsidR="00D55E4A" w:rsidRPr="00C36F96" w:rsidRDefault="00D55E4A" w:rsidP="00D55E4A">
      <w:pPr>
        <w:spacing w:before="240" w:line="360" w:lineRule="auto"/>
        <w:jc w:val="both"/>
        <w:rPr>
          <w:rFonts w:ascii="Palatino Linotype" w:hAnsi="Palatino Linotype" w:cs="Arial"/>
          <w:sz w:val="24"/>
          <w:szCs w:val="24"/>
        </w:rPr>
      </w:pPr>
    </w:p>
    <w:p w14:paraId="0D5FAAD0" w14:textId="34CCA5BE" w:rsidR="00D55E4A" w:rsidRPr="00C36F96" w:rsidRDefault="007D5E19" w:rsidP="00D55E4A">
      <w:pPr>
        <w:spacing w:before="240" w:line="360" w:lineRule="auto"/>
        <w:jc w:val="both"/>
        <w:rPr>
          <w:rFonts w:ascii="Palatino Linotype" w:hAnsi="Palatino Linotype" w:cs="Arial"/>
          <w:b/>
          <w:sz w:val="24"/>
          <w:szCs w:val="24"/>
        </w:rPr>
      </w:pPr>
      <w:r w:rsidRPr="00C36F96">
        <w:rPr>
          <w:rFonts w:ascii="Palatino Linotype" w:hAnsi="Palatino Linotype" w:cs="Arial"/>
          <w:b/>
          <w:sz w:val="28"/>
        </w:rPr>
        <w:t>SEXTO</w:t>
      </w:r>
      <w:r w:rsidR="00D55E4A" w:rsidRPr="00C36F96">
        <w:rPr>
          <w:rFonts w:ascii="Palatino Linotype" w:hAnsi="Palatino Linotype" w:cs="Arial"/>
          <w:b/>
          <w:sz w:val="24"/>
          <w:szCs w:val="24"/>
        </w:rPr>
        <w:t xml:space="preserve">. </w:t>
      </w:r>
      <w:r w:rsidR="00D55E4A" w:rsidRPr="00C36F96">
        <w:rPr>
          <w:rFonts w:ascii="Palatino Linotype" w:hAnsi="Palatino Linotype" w:cs="Arial"/>
          <w:b/>
          <w:sz w:val="28"/>
          <w:szCs w:val="28"/>
        </w:rPr>
        <w:t>De la etapa de instrucción.</w:t>
      </w:r>
    </w:p>
    <w:p w14:paraId="0C36603D" w14:textId="147E80E5" w:rsidR="007D5E19" w:rsidRPr="00C36F96" w:rsidRDefault="00D55E4A" w:rsidP="00D55E4A">
      <w:pPr>
        <w:spacing w:before="240" w:line="360" w:lineRule="auto"/>
        <w:jc w:val="both"/>
        <w:rPr>
          <w:rFonts w:ascii="Palatino Linotype" w:hAnsi="Palatino Linotype" w:cs="Arial"/>
          <w:b/>
          <w:bCs/>
          <w:sz w:val="24"/>
          <w:szCs w:val="24"/>
        </w:rPr>
      </w:pPr>
      <w:r w:rsidRPr="00C36F96">
        <w:rPr>
          <w:rFonts w:ascii="Palatino Linotype" w:hAnsi="Palatino Linotype" w:cs="Arial"/>
          <w:sz w:val="24"/>
          <w:szCs w:val="24"/>
        </w:rPr>
        <w:t xml:space="preserve">Así, una vez transcurrido el término legal referido, </w:t>
      </w:r>
      <w:r w:rsidRPr="00C36F96">
        <w:rPr>
          <w:rFonts w:ascii="Palatino Linotype" w:hAnsi="Palatino Linotype" w:cs="Arial"/>
          <w:b/>
          <w:bCs/>
          <w:sz w:val="24"/>
          <w:szCs w:val="24"/>
        </w:rPr>
        <w:t>El Sujeto Obligado</w:t>
      </w:r>
      <w:r w:rsidR="007D5E19" w:rsidRPr="00C36F96">
        <w:rPr>
          <w:rFonts w:ascii="Palatino Linotype" w:hAnsi="Palatino Linotype" w:cs="Arial"/>
          <w:b/>
          <w:bCs/>
          <w:sz w:val="24"/>
          <w:szCs w:val="24"/>
        </w:rPr>
        <w:t xml:space="preserve"> </w:t>
      </w:r>
      <w:r w:rsidR="007D5E19" w:rsidRPr="00C36F96">
        <w:rPr>
          <w:rFonts w:ascii="Palatino Linotype" w:hAnsi="Palatino Linotype" w:cs="Arial"/>
          <w:sz w:val="24"/>
          <w:szCs w:val="24"/>
        </w:rPr>
        <w:t xml:space="preserve">fue omiso en rendir su informe justificado. En contraste, </w:t>
      </w:r>
      <w:r w:rsidR="007D5E19" w:rsidRPr="00C36F96">
        <w:rPr>
          <w:rFonts w:ascii="Palatino Linotype" w:hAnsi="Palatino Linotype" w:cs="Arial"/>
          <w:b/>
          <w:bCs/>
          <w:sz w:val="24"/>
          <w:szCs w:val="24"/>
        </w:rPr>
        <w:t xml:space="preserve">El Recurrente </w:t>
      </w:r>
      <w:r w:rsidR="007D5E19" w:rsidRPr="00C36F96">
        <w:rPr>
          <w:rFonts w:ascii="Palatino Linotype" w:hAnsi="Palatino Linotype" w:cs="Arial"/>
          <w:sz w:val="24"/>
          <w:szCs w:val="24"/>
        </w:rPr>
        <w:t xml:space="preserve">rindió las manifestaciones estimadas pertinentes en fecha </w:t>
      </w:r>
      <w:r w:rsidR="007D5E19" w:rsidRPr="00C36F96">
        <w:rPr>
          <w:rFonts w:ascii="Palatino Linotype" w:hAnsi="Palatino Linotype" w:cs="Arial"/>
          <w:b/>
          <w:bCs/>
          <w:sz w:val="24"/>
          <w:szCs w:val="24"/>
        </w:rPr>
        <w:t xml:space="preserve">veintidós de abril de los corrientes. </w:t>
      </w:r>
    </w:p>
    <w:p w14:paraId="723B5F5F" w14:textId="4F56EBE4" w:rsidR="00D55E4A" w:rsidRPr="00C36F96" w:rsidRDefault="00D55E4A" w:rsidP="00D55E4A">
      <w:pPr>
        <w:spacing w:before="240" w:line="360" w:lineRule="auto"/>
        <w:jc w:val="both"/>
        <w:rPr>
          <w:rFonts w:ascii="Palatino Linotype" w:hAnsi="Palatino Linotype" w:cs="Arial"/>
          <w:sz w:val="24"/>
          <w:szCs w:val="24"/>
        </w:rPr>
      </w:pPr>
      <w:r w:rsidRPr="00C36F96">
        <w:rPr>
          <w:rFonts w:ascii="Palatino Linotype" w:hAnsi="Palatino Linotype" w:cs="Arial"/>
          <w:bCs/>
          <w:sz w:val="24"/>
          <w:szCs w:val="24"/>
        </w:rPr>
        <w:t xml:space="preserve">Por lo cual se decretó el cierre de instrucción con fecha </w:t>
      </w:r>
      <w:r w:rsidR="007D5E19" w:rsidRPr="00C36F96">
        <w:rPr>
          <w:rFonts w:ascii="Palatino Linotype" w:hAnsi="Palatino Linotype" w:cs="Arial"/>
          <w:b/>
          <w:sz w:val="24"/>
          <w:szCs w:val="24"/>
        </w:rPr>
        <w:t xml:space="preserve">seis de mayo de dos mil veintiséis, </w:t>
      </w:r>
      <w:r w:rsidR="007D5E19" w:rsidRPr="00C36F96">
        <w:rPr>
          <w:rFonts w:ascii="Palatino Linotype" w:hAnsi="Palatino Linotype" w:cs="Arial"/>
          <w:bCs/>
          <w:sz w:val="24"/>
          <w:szCs w:val="24"/>
        </w:rPr>
        <w:t>e</w:t>
      </w:r>
      <w:r w:rsidRPr="00C36F96">
        <w:rPr>
          <w:rFonts w:ascii="Palatino Linotype" w:hAnsi="Palatino Linotype" w:cs="Arial"/>
          <w:bCs/>
          <w:sz w:val="24"/>
          <w:szCs w:val="24"/>
        </w:rPr>
        <w:t>n</w:t>
      </w:r>
      <w:r w:rsidRPr="00C36F96">
        <w:rPr>
          <w:rFonts w:ascii="Palatino Linotype" w:hAnsi="Palatino Linotype" w:cs="Arial"/>
          <w:sz w:val="24"/>
          <w:szCs w:val="24"/>
        </w:rPr>
        <w:t xml:space="preserve"> términos del artículo 185 Fracción VI de la Ley de Transparencia y Acceso a la Información Pública del Estado de México y Municipios, iniciando el término legal para dictar resolución definitiva del asunto.</w:t>
      </w:r>
    </w:p>
    <w:p w14:paraId="4660B8F3" w14:textId="77777777" w:rsidR="001A67C5" w:rsidRPr="00C36F96" w:rsidRDefault="001A67C5" w:rsidP="00D55E4A">
      <w:pPr>
        <w:spacing w:before="240" w:line="360" w:lineRule="auto"/>
        <w:jc w:val="center"/>
        <w:rPr>
          <w:rFonts w:ascii="Palatino Linotype" w:hAnsi="Palatino Linotype" w:cs="Arial"/>
          <w:b/>
          <w:sz w:val="24"/>
        </w:rPr>
      </w:pPr>
    </w:p>
    <w:p w14:paraId="6AC6C628" w14:textId="4B1D8413" w:rsidR="00D55E4A" w:rsidRPr="00C36F96" w:rsidRDefault="00D55E4A" w:rsidP="00D55E4A">
      <w:pPr>
        <w:spacing w:before="240" w:line="360" w:lineRule="auto"/>
        <w:jc w:val="center"/>
        <w:rPr>
          <w:rFonts w:ascii="Palatino Linotype" w:hAnsi="Palatino Linotype" w:cs="Arial"/>
          <w:b/>
          <w:sz w:val="24"/>
        </w:rPr>
      </w:pPr>
      <w:r w:rsidRPr="00C36F96">
        <w:rPr>
          <w:rFonts w:ascii="Palatino Linotype" w:hAnsi="Palatino Linotype" w:cs="Arial"/>
          <w:b/>
          <w:sz w:val="24"/>
        </w:rPr>
        <w:t xml:space="preserve">C O N S I D E R A N D O </w:t>
      </w:r>
    </w:p>
    <w:p w14:paraId="66ACD61A" w14:textId="77777777" w:rsidR="00D55E4A" w:rsidRPr="00C36F96" w:rsidRDefault="00D55E4A" w:rsidP="00D55E4A">
      <w:pPr>
        <w:spacing w:before="240" w:line="360" w:lineRule="auto"/>
        <w:jc w:val="both"/>
        <w:rPr>
          <w:rFonts w:ascii="Palatino Linotype" w:hAnsi="Palatino Linotype" w:cs="Arial"/>
          <w:sz w:val="24"/>
        </w:rPr>
      </w:pPr>
      <w:r w:rsidRPr="00C36F96">
        <w:rPr>
          <w:rFonts w:ascii="Palatino Linotype" w:hAnsi="Palatino Linotype" w:cs="Arial"/>
          <w:b/>
          <w:sz w:val="28"/>
        </w:rPr>
        <w:t>PRIMERO.</w:t>
      </w:r>
      <w:r w:rsidRPr="00C36F96">
        <w:rPr>
          <w:rFonts w:ascii="Palatino Linotype" w:hAnsi="Palatino Linotype" w:cs="Arial"/>
          <w:b/>
        </w:rPr>
        <w:t xml:space="preserve"> </w:t>
      </w:r>
      <w:r w:rsidRPr="00C36F96">
        <w:rPr>
          <w:rFonts w:ascii="Palatino Linotype" w:hAnsi="Palatino Linotype" w:cs="Arial"/>
          <w:b/>
          <w:sz w:val="28"/>
          <w:szCs w:val="28"/>
        </w:rPr>
        <w:t>De la competencia</w:t>
      </w:r>
      <w:r w:rsidRPr="00C36F96">
        <w:rPr>
          <w:rFonts w:ascii="Palatino Linotype" w:hAnsi="Palatino Linotype" w:cs="Arial"/>
          <w:sz w:val="28"/>
          <w:szCs w:val="28"/>
        </w:rPr>
        <w:t>.</w:t>
      </w:r>
    </w:p>
    <w:p w14:paraId="0F9EA11A" w14:textId="77777777" w:rsidR="00D55E4A" w:rsidRPr="00C36F96" w:rsidRDefault="00D55E4A" w:rsidP="00D55E4A">
      <w:pPr>
        <w:spacing w:line="360" w:lineRule="auto"/>
        <w:jc w:val="both"/>
        <w:rPr>
          <w:rFonts w:ascii="Palatino Linotype" w:hAnsi="Palatino Linotype"/>
          <w:sz w:val="24"/>
          <w:szCs w:val="24"/>
        </w:rPr>
      </w:pPr>
      <w:r w:rsidRPr="00C36F96">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3972D5F" w14:textId="77777777" w:rsidR="00D55E4A" w:rsidRPr="00C36F96" w:rsidRDefault="00D55E4A" w:rsidP="00D55E4A">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69B487ED" w14:textId="77777777" w:rsidR="00D55E4A" w:rsidRPr="00C36F96" w:rsidRDefault="00D55E4A" w:rsidP="00D55E4A">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36F96">
        <w:rPr>
          <w:rFonts w:ascii="Palatino Linotype" w:hAnsi="Palatino Linotype" w:cs="Arial"/>
          <w:b/>
          <w:sz w:val="28"/>
          <w:lang w:val="es-MX"/>
        </w:rPr>
        <w:t>SEGUNDO</w:t>
      </w:r>
      <w:r w:rsidRPr="00C36F96">
        <w:rPr>
          <w:rFonts w:ascii="Palatino Linotype" w:hAnsi="Palatino Linotype" w:cs="Arial"/>
          <w:b/>
          <w:lang w:val="es-MX"/>
        </w:rPr>
        <w:t xml:space="preserve">. </w:t>
      </w:r>
      <w:r w:rsidRPr="00C36F96">
        <w:rPr>
          <w:rFonts w:ascii="Palatino Linotype" w:hAnsi="Palatino Linotype" w:cs="Arial"/>
          <w:b/>
          <w:sz w:val="28"/>
          <w:szCs w:val="28"/>
          <w:lang w:val="es-MX"/>
        </w:rPr>
        <w:t>Sobre los alcances del recurso de revisión.</w:t>
      </w:r>
      <w:r w:rsidRPr="00C36F96">
        <w:rPr>
          <w:rFonts w:ascii="Palatino Linotype" w:hAnsi="Palatino Linotype" w:cs="Arial"/>
          <w:b/>
          <w:lang w:val="es-MX"/>
        </w:rPr>
        <w:t xml:space="preserve"> </w:t>
      </w:r>
    </w:p>
    <w:p w14:paraId="4DCF76F3" w14:textId="77777777" w:rsidR="00D55E4A" w:rsidRPr="00C36F96"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C36F96">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1318AD" w14:textId="77777777" w:rsidR="00D55E4A" w:rsidRPr="00C36F96"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B420779" w14:textId="77777777" w:rsidR="007D5E19" w:rsidRPr="00C36F96" w:rsidRDefault="007D5E19" w:rsidP="007D5E19">
      <w:pPr>
        <w:spacing w:after="0" w:line="360" w:lineRule="auto"/>
        <w:jc w:val="both"/>
        <w:rPr>
          <w:rFonts w:ascii="Palatino Linotype" w:eastAsia="Times New Roman" w:hAnsi="Palatino Linotype" w:cs="Times New Roman"/>
          <w:sz w:val="24"/>
          <w:szCs w:val="24"/>
          <w:lang w:eastAsia="es-ES"/>
        </w:rPr>
      </w:pPr>
      <w:r w:rsidRPr="00C36F96">
        <w:rPr>
          <w:rFonts w:ascii="Palatino Linotype" w:hAnsi="Palatino Linotype" w:cs="Arial"/>
          <w:b/>
          <w:sz w:val="28"/>
        </w:rPr>
        <w:t xml:space="preserve">TERCERO. Cuestiones de previo y especial pronunciamiento. </w:t>
      </w:r>
      <w:r w:rsidRPr="00C36F96">
        <w:rPr>
          <w:rFonts w:ascii="Palatino Linotype" w:eastAsia="Times New Roman" w:hAnsi="Palatino Linotype" w:cs="Times New Roman"/>
          <w:sz w:val="24"/>
          <w:szCs w:val="24"/>
          <w:lang w:eastAsia="es-ES"/>
        </w:rPr>
        <w:t xml:space="preserve"> </w:t>
      </w:r>
    </w:p>
    <w:p w14:paraId="7F256EF7" w14:textId="47F4E4EF" w:rsidR="007D5E19" w:rsidRPr="00C36F96" w:rsidRDefault="007D5E19" w:rsidP="007D5E19">
      <w:pPr>
        <w:spacing w:after="0" w:line="360" w:lineRule="auto"/>
        <w:jc w:val="both"/>
        <w:rPr>
          <w:rFonts w:ascii="Palatino Linotype" w:hAnsi="Palatino Linotype" w:cs="Arial"/>
          <w:sz w:val="24"/>
        </w:rPr>
      </w:pPr>
      <w:r w:rsidRPr="00C36F96">
        <w:rPr>
          <w:rFonts w:ascii="Palatino Linotype" w:hAnsi="Palatino Linotype"/>
          <w:sz w:val="24"/>
          <w:szCs w:val="24"/>
        </w:rPr>
        <w:lastRenderedPageBreak/>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C36F96">
        <w:rPr>
          <w:rFonts w:ascii="Palatino Linotype" w:hAnsi="Palatino Linotype"/>
          <w:b/>
          <w:sz w:val="24"/>
          <w:szCs w:val="24"/>
        </w:rPr>
        <w:t>Recurrente,</w:t>
      </w:r>
      <w:r w:rsidRPr="00C36F96">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B36F16">
        <w:rPr>
          <w:rFonts w:ascii="Palatino Linotype" w:hAnsi="Palatino Linotype"/>
          <w:b/>
          <w:bCs/>
          <w:sz w:val="24"/>
          <w:szCs w:val="24"/>
        </w:rPr>
        <w:t>xxxxxxxxx</w:t>
      </w:r>
      <w:r w:rsidRPr="00C36F96">
        <w:rPr>
          <w:rFonts w:ascii="Palatino Linotype" w:hAnsi="Palatino Linotype"/>
          <w:b/>
          <w:bCs/>
          <w:sz w:val="24"/>
          <w:szCs w:val="24"/>
        </w:rPr>
        <w:t xml:space="preserve">, </w:t>
      </w:r>
      <w:r w:rsidRPr="00C36F96">
        <w:rPr>
          <w:rFonts w:ascii="Palatino Linotype" w:hAnsi="Palatino Linotype"/>
          <w:sz w:val="24"/>
          <w:szCs w:val="24"/>
        </w:rPr>
        <w:t xml:space="preserve">del cual no se colige que </w:t>
      </w:r>
      <w:r w:rsidRPr="00C36F96">
        <w:rPr>
          <w:rFonts w:ascii="Palatino Linotype" w:hAnsi="Palatino Linotype" w:cs="Arial"/>
          <w:sz w:val="24"/>
        </w:rPr>
        <w:t>corresponda al nombre de una persona.</w:t>
      </w:r>
    </w:p>
    <w:p w14:paraId="5A1EFAE8" w14:textId="77777777" w:rsidR="007D5E19" w:rsidRPr="00C36F96" w:rsidRDefault="007D5E19" w:rsidP="007D5E19">
      <w:pPr>
        <w:spacing w:after="0" w:line="360" w:lineRule="auto"/>
        <w:jc w:val="both"/>
        <w:rPr>
          <w:rFonts w:ascii="Palatino Linotype" w:hAnsi="Palatino Linotype"/>
          <w:sz w:val="24"/>
          <w:szCs w:val="24"/>
        </w:rPr>
      </w:pPr>
    </w:p>
    <w:p w14:paraId="718C75D0" w14:textId="77777777"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cs="Arial"/>
        </w:rPr>
      </w:pPr>
      <w:r w:rsidRPr="00C36F96">
        <w:rPr>
          <w:rFonts w:ascii="Palatino Linotype" w:hAnsi="Palatino Linotype" w:cs="Arial"/>
        </w:rPr>
        <w:t xml:space="preserve">Esta Ponencia considera importante abordar el análisis de los requisitos de procedibilidad de los recursos de revisión, así el artículo 180 de la </w:t>
      </w:r>
      <w:r w:rsidRPr="00C36F96">
        <w:rPr>
          <w:rFonts w:ascii="Palatino Linotype" w:hAnsi="Palatino Linotype" w:cs="Arial"/>
          <w:lang w:eastAsia="es-MX"/>
        </w:rPr>
        <w:t xml:space="preserve">Ley de Transparencia y Acceso a la Información Pública del Estado de México y Municipios, que </w:t>
      </w:r>
      <w:r w:rsidRPr="00C36F96">
        <w:rPr>
          <w:rFonts w:ascii="Palatino Linotype" w:hAnsi="Palatino Linotype" w:cs="Arial"/>
        </w:rPr>
        <w:t>establece lo siguiente:</w:t>
      </w:r>
    </w:p>
    <w:p w14:paraId="34909D1B" w14:textId="77777777" w:rsidR="007D5E19" w:rsidRPr="00C36F96" w:rsidRDefault="007D5E19" w:rsidP="007D5E19">
      <w:pPr>
        <w:spacing w:before="240" w:line="360" w:lineRule="auto"/>
        <w:ind w:left="851" w:right="851"/>
        <w:jc w:val="both"/>
        <w:rPr>
          <w:rFonts w:ascii="Palatino Linotype" w:hAnsi="Palatino Linotype"/>
          <w:b/>
          <w:i/>
        </w:rPr>
      </w:pPr>
      <w:r w:rsidRPr="00C36F96">
        <w:rPr>
          <w:rFonts w:ascii="Palatino Linotype" w:hAnsi="Palatino Linotype"/>
          <w:i/>
        </w:rPr>
        <w:t>“</w:t>
      </w:r>
      <w:r w:rsidRPr="00C36F96">
        <w:rPr>
          <w:rFonts w:ascii="Palatino Linotype" w:hAnsi="Palatino Linotype"/>
          <w:b/>
          <w:i/>
        </w:rPr>
        <w:t xml:space="preserve">Artículo 180. </w:t>
      </w:r>
      <w:r w:rsidRPr="00C36F96">
        <w:rPr>
          <w:rFonts w:ascii="Palatino Linotype" w:hAnsi="Palatino Linotype"/>
          <w:i/>
        </w:rPr>
        <w:t xml:space="preserve">El </w:t>
      </w:r>
      <w:r w:rsidRPr="00C36F96">
        <w:rPr>
          <w:rFonts w:ascii="Palatino Linotype" w:hAnsi="Palatino Linotype" w:cs="Arial"/>
          <w:i/>
        </w:rPr>
        <w:t>recurso</w:t>
      </w:r>
      <w:r w:rsidRPr="00C36F96">
        <w:rPr>
          <w:rFonts w:ascii="Palatino Linotype" w:hAnsi="Palatino Linotype"/>
          <w:i/>
        </w:rPr>
        <w:t xml:space="preserve"> </w:t>
      </w:r>
      <w:r w:rsidRPr="00C36F96">
        <w:rPr>
          <w:rFonts w:ascii="Palatino Linotype" w:hAnsi="Palatino Linotype" w:cs="Arial"/>
          <w:i/>
          <w:lang w:eastAsia="es-MX"/>
        </w:rPr>
        <w:t>de</w:t>
      </w:r>
      <w:r w:rsidRPr="00C36F96">
        <w:rPr>
          <w:rFonts w:ascii="Palatino Linotype" w:hAnsi="Palatino Linotype"/>
          <w:i/>
        </w:rPr>
        <w:t xml:space="preserve"> revisión contendrá:</w:t>
      </w:r>
      <w:r w:rsidRPr="00C36F96">
        <w:rPr>
          <w:rFonts w:ascii="Palatino Linotype" w:hAnsi="Palatino Linotype"/>
          <w:b/>
          <w:i/>
        </w:rPr>
        <w:t xml:space="preserve"> </w:t>
      </w:r>
    </w:p>
    <w:p w14:paraId="2AE7E80E" w14:textId="77777777" w:rsidR="007D5E19" w:rsidRPr="00C36F96" w:rsidRDefault="007D5E19" w:rsidP="007D5E19">
      <w:pPr>
        <w:spacing w:before="240" w:line="360" w:lineRule="auto"/>
        <w:ind w:left="851" w:right="851"/>
        <w:jc w:val="both"/>
        <w:rPr>
          <w:rFonts w:ascii="Palatino Linotype" w:hAnsi="Palatino Linotype"/>
          <w:b/>
          <w:i/>
        </w:rPr>
      </w:pPr>
      <w:r w:rsidRPr="00C36F96">
        <w:rPr>
          <w:rFonts w:ascii="Palatino Linotype" w:hAnsi="Palatino Linotype"/>
          <w:b/>
          <w:i/>
        </w:rPr>
        <w:t xml:space="preserve">I. </w:t>
      </w:r>
      <w:r w:rsidRPr="00C36F96">
        <w:rPr>
          <w:rFonts w:ascii="Palatino Linotype" w:hAnsi="Palatino Linotype"/>
          <w:i/>
        </w:rPr>
        <w:t xml:space="preserve">El sujeto obligado ante </w:t>
      </w:r>
      <w:r w:rsidRPr="00C36F96">
        <w:rPr>
          <w:rFonts w:ascii="Palatino Linotype" w:hAnsi="Palatino Linotype" w:cs="Arial"/>
          <w:i/>
        </w:rPr>
        <w:t>la</w:t>
      </w:r>
      <w:r w:rsidRPr="00C36F96">
        <w:rPr>
          <w:rFonts w:ascii="Palatino Linotype" w:hAnsi="Palatino Linotype"/>
          <w:i/>
        </w:rPr>
        <w:t xml:space="preserve"> cual </w:t>
      </w:r>
      <w:r w:rsidRPr="00C36F96">
        <w:rPr>
          <w:rFonts w:ascii="Palatino Linotype" w:hAnsi="Palatino Linotype" w:cs="Arial"/>
          <w:i/>
          <w:lang w:eastAsia="es-MX"/>
        </w:rPr>
        <w:t>se</w:t>
      </w:r>
      <w:r w:rsidRPr="00C36F96">
        <w:rPr>
          <w:rFonts w:ascii="Palatino Linotype" w:hAnsi="Palatino Linotype"/>
          <w:i/>
        </w:rPr>
        <w:t xml:space="preserve"> presentó la solicitud;</w:t>
      </w:r>
      <w:r w:rsidRPr="00C36F96">
        <w:rPr>
          <w:rFonts w:ascii="Palatino Linotype" w:hAnsi="Palatino Linotype"/>
          <w:b/>
          <w:i/>
        </w:rPr>
        <w:t xml:space="preserve"> </w:t>
      </w:r>
    </w:p>
    <w:p w14:paraId="1DBE335C" w14:textId="77777777" w:rsidR="007D5E19" w:rsidRPr="00C36F96" w:rsidRDefault="007D5E19" w:rsidP="007D5E19">
      <w:pPr>
        <w:spacing w:before="240" w:line="360" w:lineRule="auto"/>
        <w:ind w:left="851" w:right="851"/>
        <w:jc w:val="both"/>
        <w:rPr>
          <w:rFonts w:ascii="Palatino Linotype" w:hAnsi="Palatino Linotype"/>
          <w:b/>
          <w:i/>
        </w:rPr>
      </w:pPr>
      <w:r w:rsidRPr="00C36F96">
        <w:rPr>
          <w:rFonts w:ascii="Palatino Linotype" w:hAnsi="Palatino Linotype"/>
          <w:b/>
          <w:i/>
        </w:rPr>
        <w:t xml:space="preserve">II. </w:t>
      </w:r>
      <w:r w:rsidRPr="00C36F96">
        <w:rPr>
          <w:rFonts w:ascii="Palatino Linotype" w:hAnsi="Palatino Linotype"/>
          <w:b/>
          <w:i/>
          <w:u w:val="single"/>
        </w:rPr>
        <w:t xml:space="preserve">El nombre del solicitante </w:t>
      </w:r>
      <w:r w:rsidRPr="00C36F96">
        <w:rPr>
          <w:rFonts w:ascii="Palatino Linotype" w:hAnsi="Palatino Linotype" w:cs="Arial"/>
          <w:b/>
          <w:i/>
          <w:u w:val="single"/>
          <w:lang w:eastAsia="es-MX"/>
        </w:rPr>
        <w:t>que</w:t>
      </w:r>
      <w:r w:rsidRPr="00C36F96">
        <w:rPr>
          <w:rFonts w:ascii="Palatino Linotype" w:hAnsi="Palatino Linotype"/>
          <w:b/>
          <w:i/>
          <w:u w:val="single"/>
        </w:rPr>
        <w:t xml:space="preserve"> recurre</w:t>
      </w:r>
      <w:r w:rsidRPr="00C36F96">
        <w:rPr>
          <w:rFonts w:ascii="Palatino Linotype" w:hAnsi="Palatino Linotype"/>
          <w:b/>
          <w:i/>
        </w:rPr>
        <w:t xml:space="preserve"> </w:t>
      </w:r>
      <w:r w:rsidRPr="00C36F96">
        <w:rPr>
          <w:rFonts w:ascii="Palatino Linotype" w:hAnsi="Palatino Linotype"/>
          <w:i/>
        </w:rPr>
        <w:t>o de su representante y, en su caso, del tercero interesado, así como la dirección o medio que señale para recibir notificaciones;</w:t>
      </w:r>
      <w:r w:rsidRPr="00C36F96">
        <w:rPr>
          <w:rFonts w:ascii="Palatino Linotype" w:hAnsi="Palatino Linotype"/>
          <w:b/>
          <w:i/>
        </w:rPr>
        <w:t xml:space="preserve"> </w:t>
      </w:r>
    </w:p>
    <w:p w14:paraId="24C514D5" w14:textId="77777777" w:rsidR="007D5E19" w:rsidRPr="00C36F96" w:rsidRDefault="007D5E19" w:rsidP="007D5E19">
      <w:pPr>
        <w:spacing w:before="240" w:line="360" w:lineRule="auto"/>
        <w:ind w:left="851" w:right="851"/>
        <w:rPr>
          <w:rFonts w:ascii="Palatino Linotype" w:hAnsi="Palatino Linotype"/>
          <w:i/>
        </w:rPr>
      </w:pPr>
      <w:r w:rsidRPr="00C36F96">
        <w:rPr>
          <w:rFonts w:ascii="Palatino Linotype" w:hAnsi="Palatino Linotype"/>
          <w:b/>
          <w:i/>
        </w:rPr>
        <w:t>(…)” [Sic]</w:t>
      </w:r>
    </w:p>
    <w:p w14:paraId="7B75A128" w14:textId="77777777"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rPr>
      </w:pPr>
    </w:p>
    <w:p w14:paraId="37BD0300" w14:textId="1FFF3EF5"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rPr>
      </w:pPr>
      <w:r w:rsidRPr="00C36F96">
        <w:rPr>
          <w:rFonts w:ascii="Palatino Linotype" w:hAnsi="Palatino Linotype"/>
        </w:rPr>
        <w:lastRenderedPageBreak/>
        <w:t xml:space="preserve">En principio, de una interpretación del artículo transcrito se observan los requisitos que </w:t>
      </w:r>
      <w:r w:rsidRPr="00C36F96">
        <w:rPr>
          <w:rFonts w:ascii="Palatino Linotype" w:hAnsi="Palatino Linotype" w:cs="Arial"/>
        </w:rPr>
        <w:t>deberán</w:t>
      </w:r>
      <w:r w:rsidRPr="00C36F96">
        <w:rPr>
          <w:rFonts w:ascii="Palatino Linotype" w:hAnsi="Palatino Linotype"/>
        </w:rPr>
        <w:t xml:space="preserve"> contener los recursos de revisión; sobre el particular, de la revisión del expediente electrónico del </w:t>
      </w:r>
      <w:r w:rsidRPr="00C36F96">
        <w:rPr>
          <w:rFonts w:ascii="Palatino Linotype" w:hAnsi="Palatino Linotype"/>
          <w:b/>
        </w:rPr>
        <w:t>SAIMEX</w:t>
      </w:r>
      <w:r w:rsidRPr="00C36F96">
        <w:rPr>
          <w:rFonts w:ascii="Palatino Linotype" w:hAnsi="Palatino Linotype"/>
        </w:rPr>
        <w:t xml:space="preserve"> se desprende que el solicitante y ahora Recurrente, en ejercicio de su derecho de acceso a la información pública, no proporcionó un nombre para que </w:t>
      </w:r>
      <w:r w:rsidRPr="00C36F96">
        <w:rPr>
          <w:rFonts w:ascii="Palatino Linotype" w:hAnsi="Palatino Linotype" w:cs="Arial"/>
        </w:rPr>
        <w:t>sea</w:t>
      </w:r>
      <w:r w:rsidRPr="00C36F96">
        <w:rPr>
          <w:rFonts w:ascii="Palatino Linotype" w:hAnsi="Palatino Linotype"/>
        </w:rPr>
        <w:t xml:space="preserve"> identificado, ya que indicó en el apartado de </w:t>
      </w:r>
      <w:r w:rsidRPr="00C36F96">
        <w:rPr>
          <w:rFonts w:ascii="Palatino Linotype" w:hAnsi="Palatino Linotype"/>
          <w:b/>
        </w:rPr>
        <w:t>“DATOS DEL SOLICITANTE”,</w:t>
      </w:r>
      <w:r w:rsidRPr="00C36F96">
        <w:rPr>
          <w:rFonts w:ascii="Palatino Linotype" w:hAnsi="Palatino Linotype"/>
        </w:rPr>
        <w:t xml:space="preserve"> el nombre de </w:t>
      </w:r>
      <w:r w:rsidRPr="00C36F96">
        <w:rPr>
          <w:rFonts w:ascii="Palatino Linotype" w:hAnsi="Palatino Linotype" w:cs="Arial"/>
          <w:b/>
        </w:rPr>
        <w:t xml:space="preserve">C. </w:t>
      </w:r>
      <w:r w:rsidR="00B36F16">
        <w:rPr>
          <w:rFonts w:ascii="Palatino Linotype" w:hAnsi="Palatino Linotype"/>
          <w:b/>
          <w:bCs/>
        </w:rPr>
        <w:t>xxxxxxxxxx</w:t>
      </w:r>
      <w:r w:rsidRPr="00C36F96">
        <w:rPr>
          <w:rFonts w:ascii="Palatino Linotype" w:hAnsi="Palatino Linotype" w:cs="Arial"/>
          <w:b/>
          <w:bCs/>
        </w:rPr>
        <w:t xml:space="preserve">, </w:t>
      </w:r>
      <w:r w:rsidRPr="00C36F96">
        <w:rPr>
          <w:rFonts w:ascii="Palatino Linotype" w:hAnsi="Palatino Linotype" w:cs="Arial"/>
          <w:bCs/>
        </w:rPr>
        <w:t xml:space="preserve">por lo que </w:t>
      </w:r>
      <w:r w:rsidRPr="00C36F96">
        <w:rPr>
          <w:rFonts w:ascii="Palatino Linotype" w:hAnsi="Palatino Linotype"/>
        </w:rPr>
        <w:t>no tiene certeza sobre su identidad, lo que en estricto sentido, no se colmarían los requisitos establecidos en el citado artículo 180 de la Ley de Transparencia.</w:t>
      </w:r>
    </w:p>
    <w:p w14:paraId="6928E5BF" w14:textId="77777777"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rPr>
      </w:pPr>
    </w:p>
    <w:p w14:paraId="6102CCEA" w14:textId="77777777"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cs="Arial"/>
        </w:rPr>
      </w:pPr>
      <w:r w:rsidRPr="00C36F96">
        <w:rPr>
          <w:rFonts w:ascii="Palatino Linotype" w:hAnsi="Palatino Linotype"/>
        </w:rPr>
        <w:t xml:space="preserve">No obstante lo anterior, debe destacarse que el artículo 15 de </w:t>
      </w:r>
      <w:r w:rsidRPr="00C36F96">
        <w:rPr>
          <w:rFonts w:ascii="Palatino Linotype" w:hAnsi="Palatino Linotype" w:cs="Arial"/>
          <w:lang w:eastAsia="es-MX"/>
        </w:rPr>
        <w:t xml:space="preserve">Ley de Transparencia y Acceso a la </w:t>
      </w:r>
      <w:r w:rsidRPr="00C36F96">
        <w:rPr>
          <w:rFonts w:ascii="Palatino Linotype" w:hAnsi="Palatino Linotype" w:cs="Arial"/>
        </w:rPr>
        <w:t>Información</w:t>
      </w:r>
      <w:r w:rsidRPr="00C36F96">
        <w:rPr>
          <w:rFonts w:ascii="Palatino Linotype" w:hAnsi="Palatino Linotype" w:cs="Arial"/>
          <w:lang w:eastAsia="es-MX"/>
        </w:rPr>
        <w:t xml:space="preserve"> Pública del Estado de México y Municipios </w:t>
      </w:r>
      <w:r w:rsidRPr="00C36F96">
        <w:rPr>
          <w:rFonts w:ascii="Palatino Linotype" w:hAnsi="Palatino Linotype" w:cs="Arial"/>
          <w:iCs/>
        </w:rPr>
        <w:t xml:space="preserve">prevé que, </w:t>
      </w:r>
      <w:r w:rsidRPr="00C36F96">
        <w:rPr>
          <w:rFonts w:ascii="Palatino Linotype" w:hAnsi="Palatino Linotype"/>
        </w:rPr>
        <w:t xml:space="preserve">toda persona tendrá acceso a la información </w:t>
      </w:r>
      <w:r w:rsidRPr="00C36F96">
        <w:rPr>
          <w:rFonts w:ascii="Palatino Linotype" w:hAnsi="Palatino Linotype" w:cs="Arial"/>
        </w:rPr>
        <w:t xml:space="preserve">sin necesidad de acreditar interés alguno o justificar su utilización, de lo que se infiere que para el </w:t>
      </w:r>
      <w:r w:rsidRPr="00C36F96">
        <w:rPr>
          <w:rFonts w:ascii="Palatino Linotype" w:hAnsi="Palatino Linotype"/>
        </w:rPr>
        <w:t>ejercicio</w:t>
      </w:r>
      <w:r w:rsidRPr="00C36F96">
        <w:rPr>
          <w:rFonts w:ascii="Palatino Linotype" w:hAnsi="Palatino Linotype" w:cs="Arial"/>
        </w:rPr>
        <w:t xml:space="preserve"> del derecho de acceso a la información pública, el nombre no es un requisito </w:t>
      </w:r>
      <w:r w:rsidRPr="00C36F96">
        <w:rPr>
          <w:rFonts w:ascii="Palatino Linotype" w:hAnsi="Palatino Linotype" w:cs="Arial"/>
          <w:i/>
        </w:rPr>
        <w:t>sine qua non</w:t>
      </w:r>
      <w:r w:rsidRPr="00C36F96">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437C28DD" w14:textId="77777777" w:rsidR="007D5E19" w:rsidRPr="00C36F96" w:rsidRDefault="007D5E19" w:rsidP="007D5E19">
      <w:pPr>
        <w:pStyle w:val="Prrafodelista"/>
        <w:widowControl w:val="0"/>
        <w:autoSpaceDE w:val="0"/>
        <w:autoSpaceDN w:val="0"/>
        <w:adjustRightInd w:val="0"/>
        <w:ind w:left="0"/>
        <w:jc w:val="both"/>
        <w:rPr>
          <w:rFonts w:ascii="Palatino Linotype" w:hAnsi="Palatino Linotype"/>
        </w:rPr>
      </w:pPr>
    </w:p>
    <w:p w14:paraId="0D3889CB" w14:textId="77777777" w:rsidR="007D5E19" w:rsidRPr="00C36F96" w:rsidRDefault="007D5E19" w:rsidP="007D5E19">
      <w:pPr>
        <w:pStyle w:val="Prrafodelista"/>
        <w:widowControl w:val="0"/>
        <w:autoSpaceDE w:val="0"/>
        <w:autoSpaceDN w:val="0"/>
        <w:adjustRightInd w:val="0"/>
        <w:spacing w:line="360" w:lineRule="auto"/>
        <w:ind w:left="0"/>
        <w:jc w:val="both"/>
        <w:rPr>
          <w:rFonts w:ascii="Palatino Linotype" w:hAnsi="Palatino Linotype"/>
        </w:rPr>
      </w:pPr>
      <w:r w:rsidRPr="00C36F96">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C36F96">
        <w:rPr>
          <w:rFonts w:ascii="Palatino Linotype" w:hAnsi="Palatino Linotype" w:cs="Arial"/>
        </w:rPr>
        <w:t>derecho</w:t>
      </w:r>
      <w:r w:rsidRPr="00C36F96">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w:t>
      </w:r>
      <w:r w:rsidRPr="00C36F96">
        <w:rPr>
          <w:rFonts w:ascii="Palatino Linotype" w:hAnsi="Palatino Linotype"/>
        </w:rPr>
        <w:lastRenderedPageBreak/>
        <w:t>certeza sobre su identidad.</w:t>
      </w:r>
    </w:p>
    <w:p w14:paraId="660C1F39" w14:textId="77777777" w:rsidR="007D5E19" w:rsidRPr="00C36F96" w:rsidRDefault="007D5E19" w:rsidP="00D55E4A">
      <w:pPr>
        <w:tabs>
          <w:tab w:val="left" w:pos="709"/>
        </w:tabs>
        <w:spacing w:before="240" w:line="360" w:lineRule="auto"/>
        <w:ind w:right="51"/>
        <w:jc w:val="both"/>
        <w:rPr>
          <w:rFonts w:ascii="Palatino Linotype" w:hAnsi="Palatino Linotype"/>
          <w:b/>
          <w:sz w:val="28"/>
          <w:szCs w:val="28"/>
        </w:rPr>
      </w:pPr>
    </w:p>
    <w:p w14:paraId="5D7145B1" w14:textId="645683D3" w:rsidR="00D55E4A" w:rsidRPr="00C36F96" w:rsidRDefault="00D55E4A" w:rsidP="00D55E4A">
      <w:pPr>
        <w:tabs>
          <w:tab w:val="left" w:pos="709"/>
        </w:tabs>
        <w:spacing w:before="240" w:line="360" w:lineRule="auto"/>
        <w:ind w:right="51"/>
        <w:jc w:val="both"/>
        <w:rPr>
          <w:rFonts w:ascii="Palatino Linotype" w:hAnsi="Palatino Linotype"/>
          <w:b/>
          <w:sz w:val="28"/>
          <w:szCs w:val="28"/>
        </w:rPr>
      </w:pPr>
      <w:r w:rsidRPr="00C36F96">
        <w:rPr>
          <w:rFonts w:ascii="Palatino Linotype" w:hAnsi="Palatino Linotype"/>
          <w:b/>
          <w:sz w:val="28"/>
          <w:szCs w:val="28"/>
        </w:rPr>
        <w:t xml:space="preserve">CUARTO. Estudio y resolución del asunto </w:t>
      </w:r>
      <w:r w:rsidRPr="00C36F96">
        <w:rPr>
          <w:rFonts w:ascii="Palatino Linotype" w:hAnsi="Palatino Linotype"/>
          <w:b/>
          <w:sz w:val="28"/>
          <w:szCs w:val="28"/>
        </w:rPr>
        <w:tab/>
      </w:r>
    </w:p>
    <w:p w14:paraId="5D8B8345" w14:textId="77777777" w:rsidR="00D55E4A" w:rsidRPr="00C36F96"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C36F96">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C37E474" w14:textId="77777777" w:rsidR="00D55E4A" w:rsidRPr="00C36F96" w:rsidRDefault="00D55E4A" w:rsidP="00D55E4A">
      <w:pPr>
        <w:spacing w:after="0" w:line="360" w:lineRule="auto"/>
        <w:jc w:val="both"/>
        <w:rPr>
          <w:rFonts w:ascii="Palatino Linotype" w:eastAsia="Times New Roman" w:hAnsi="Palatino Linotype" w:cs="Times New Roman"/>
          <w:sz w:val="24"/>
          <w:szCs w:val="24"/>
          <w:lang w:eastAsia="es-ES"/>
        </w:rPr>
      </w:pPr>
      <w:r w:rsidRPr="00C36F96">
        <w:rPr>
          <w:rFonts w:ascii="Palatino Linotype" w:hAnsi="Palatino Linotype" w:cs="Arial"/>
          <w:sz w:val="24"/>
          <w:szCs w:val="24"/>
        </w:rPr>
        <w:t xml:space="preserve">En este tenor, es necesario subrayar que </w:t>
      </w:r>
      <w:r w:rsidRPr="00C36F96">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7440FAF"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b/>
          <w:i/>
          <w:lang w:eastAsia="es-ES"/>
        </w:rPr>
        <w:t>“Artículo 4.</w:t>
      </w:r>
      <w:r w:rsidRPr="00C36F96">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91A6260"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w:t>
      </w:r>
      <w:r w:rsidRPr="00C36F96">
        <w:rPr>
          <w:rFonts w:ascii="Palatino Linotype" w:eastAsia="Times New Roman" w:hAnsi="Palatino Linotype" w:cs="Times New Roman"/>
          <w:i/>
          <w:lang w:eastAsia="es-ES"/>
        </w:rPr>
        <w:lastRenderedPageBreak/>
        <w:t>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43CC062"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9AD62B1"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b/>
          <w:i/>
          <w:lang w:eastAsia="es-ES"/>
        </w:rPr>
        <w:t>Artículo 12.</w:t>
      </w:r>
      <w:r w:rsidRPr="00C36F96">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BAFFA23"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91C08C0"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w:t>
      </w:r>
    </w:p>
    <w:p w14:paraId="2388874B" w14:textId="77777777" w:rsidR="00D55E4A" w:rsidRPr="00C36F96" w:rsidRDefault="00D55E4A" w:rsidP="00D55E4A">
      <w:pPr>
        <w:spacing w:before="240" w:line="360" w:lineRule="auto"/>
        <w:ind w:left="851" w:right="851"/>
        <w:jc w:val="both"/>
        <w:rPr>
          <w:rFonts w:ascii="Palatino Linotype" w:eastAsia="Times New Roman" w:hAnsi="Palatino Linotype" w:cs="Times New Roman"/>
          <w:b/>
          <w:i/>
          <w:lang w:eastAsia="es-ES"/>
        </w:rPr>
      </w:pPr>
      <w:r w:rsidRPr="00C36F96">
        <w:rPr>
          <w:rFonts w:ascii="Palatino Linotype" w:eastAsia="Times New Roman" w:hAnsi="Palatino Linotype" w:cs="Times New Roman"/>
          <w:b/>
          <w:i/>
          <w:lang w:eastAsia="es-ES"/>
        </w:rPr>
        <w:t xml:space="preserve">Artículo 24. </w:t>
      </w:r>
    </w:p>
    <w:p w14:paraId="47BAFE0B"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w:t>
      </w:r>
    </w:p>
    <w:p w14:paraId="6BB0D5DE"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A0998BC"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i/>
          <w:lang w:eastAsia="es-ES"/>
        </w:rPr>
        <w:t>(…)</w:t>
      </w:r>
    </w:p>
    <w:p w14:paraId="5D35647F" w14:textId="77777777" w:rsidR="00D55E4A" w:rsidRPr="00C36F96" w:rsidRDefault="00D55E4A" w:rsidP="00D55E4A">
      <w:pPr>
        <w:spacing w:before="240" w:line="360" w:lineRule="auto"/>
        <w:ind w:left="851" w:right="851"/>
        <w:jc w:val="both"/>
        <w:rPr>
          <w:rFonts w:ascii="Palatino Linotype" w:eastAsia="Times New Roman" w:hAnsi="Palatino Linotype" w:cs="Times New Roman"/>
          <w:i/>
          <w:lang w:eastAsia="es-ES"/>
        </w:rPr>
      </w:pPr>
      <w:r w:rsidRPr="00C36F96">
        <w:rPr>
          <w:rFonts w:ascii="Palatino Linotype" w:eastAsia="Times New Roman" w:hAnsi="Palatino Linotype" w:cs="Times New Roman"/>
          <w:b/>
          <w:i/>
          <w:lang w:eastAsia="es-ES"/>
        </w:rPr>
        <w:lastRenderedPageBreak/>
        <w:t>Artículo 160.</w:t>
      </w:r>
      <w:r w:rsidRPr="00C36F96">
        <w:rPr>
          <w:rFonts w:ascii="Palatino Linotype" w:eastAsia="Times New Roman" w:hAnsi="Palatino Linotype" w:cs="Times New Roman"/>
          <w:i/>
          <w:lang w:eastAsia="es-ES"/>
        </w:rPr>
        <w:t xml:space="preserve"> Los sujetos obligados deberán otorgar acceso a los documentos que se </w:t>
      </w:r>
      <w:r w:rsidRPr="00C36F96">
        <w:rPr>
          <w:rFonts w:ascii="Palatino Linotype" w:eastAsia="Times New Roman" w:hAnsi="Palatino Linotype" w:cs="Times New Roman"/>
          <w:b/>
          <w:i/>
          <w:lang w:eastAsia="es-ES"/>
        </w:rPr>
        <w:t xml:space="preserve"> </w:t>
      </w:r>
      <w:r w:rsidRPr="00C36F96">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45D543F" w14:textId="77777777" w:rsidR="00D55E4A" w:rsidRPr="00C36F96" w:rsidRDefault="00D55E4A" w:rsidP="00D55E4A">
      <w:pPr>
        <w:spacing w:before="240" w:line="360" w:lineRule="auto"/>
        <w:ind w:left="851" w:right="851"/>
        <w:jc w:val="both"/>
        <w:rPr>
          <w:rFonts w:ascii="Palatino Linotype" w:eastAsia="Times New Roman" w:hAnsi="Palatino Linotype" w:cs="Times New Roman"/>
          <w:b/>
          <w:i/>
          <w:lang w:eastAsia="es-ES"/>
        </w:rPr>
      </w:pPr>
      <w:r w:rsidRPr="00C36F96">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36F96">
        <w:rPr>
          <w:rFonts w:ascii="Palatino Linotype" w:eastAsia="Times New Roman" w:hAnsi="Palatino Linotype" w:cs="Times New Roman"/>
          <w:b/>
          <w:i/>
          <w:lang w:eastAsia="es-ES"/>
        </w:rPr>
        <w:t>[Sic]</w:t>
      </w:r>
    </w:p>
    <w:p w14:paraId="6B75D53E" w14:textId="77777777" w:rsidR="00D55E4A" w:rsidRPr="00C36F96" w:rsidRDefault="00D55E4A" w:rsidP="00D55E4A">
      <w:pPr>
        <w:spacing w:after="0" w:line="360" w:lineRule="auto"/>
        <w:jc w:val="both"/>
        <w:rPr>
          <w:rFonts w:ascii="Palatino Linotype" w:eastAsia="Times New Roman" w:hAnsi="Palatino Linotype" w:cs="Times New Roman"/>
          <w:sz w:val="24"/>
          <w:szCs w:val="24"/>
          <w:lang w:eastAsia="es-ES"/>
        </w:rPr>
      </w:pPr>
    </w:p>
    <w:p w14:paraId="22829BFE" w14:textId="77777777" w:rsidR="00D55E4A" w:rsidRPr="00C36F96" w:rsidRDefault="00D55E4A" w:rsidP="00D55E4A">
      <w:pPr>
        <w:spacing w:after="0" w:line="360" w:lineRule="auto"/>
        <w:jc w:val="both"/>
        <w:rPr>
          <w:rFonts w:ascii="Palatino Linotype" w:eastAsia="Times New Roman" w:hAnsi="Palatino Linotype" w:cs="Times New Roman"/>
          <w:sz w:val="24"/>
          <w:szCs w:val="24"/>
          <w:lang w:eastAsia="es-ES"/>
        </w:rPr>
      </w:pPr>
      <w:r w:rsidRPr="00C36F96">
        <w:rPr>
          <w:rFonts w:ascii="Palatino Linotype" w:eastAsia="Times New Roman" w:hAnsi="Palatino Linotype" w:cs="Times New Roman"/>
          <w:sz w:val="24"/>
          <w:szCs w:val="24"/>
          <w:lang w:eastAsia="es-ES"/>
        </w:rPr>
        <w:t xml:space="preserve">Así que la obligación de los </w:t>
      </w:r>
      <w:r w:rsidRPr="00C36F96">
        <w:rPr>
          <w:rFonts w:ascii="Palatino Linotype" w:eastAsia="Times New Roman" w:hAnsi="Palatino Linotype" w:cs="Times New Roman"/>
          <w:b/>
          <w:sz w:val="24"/>
          <w:szCs w:val="24"/>
          <w:lang w:eastAsia="es-ES"/>
        </w:rPr>
        <w:t>Sujetos Obligados</w:t>
      </w:r>
      <w:r w:rsidRPr="00C36F96">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36F96">
        <w:rPr>
          <w:rFonts w:ascii="Palatino Linotype" w:eastAsia="Times New Roman" w:hAnsi="Palatino Linotype" w:cs="Times New Roman"/>
          <w:bCs/>
          <w:sz w:val="24"/>
          <w:szCs w:val="24"/>
          <w:lang w:eastAsia="es-ES"/>
        </w:rPr>
        <w:t>de la Ley local en la materia, que se reproduce de la siguiente forma</w:t>
      </w:r>
      <w:r w:rsidRPr="00C36F96">
        <w:rPr>
          <w:rFonts w:ascii="Palatino Linotype" w:eastAsia="Times New Roman" w:hAnsi="Palatino Linotype" w:cs="Times New Roman"/>
          <w:sz w:val="24"/>
          <w:szCs w:val="24"/>
          <w:lang w:eastAsia="es-ES"/>
        </w:rPr>
        <w:t>:</w:t>
      </w:r>
    </w:p>
    <w:p w14:paraId="07A72B7B" w14:textId="77777777" w:rsidR="00D55E4A" w:rsidRPr="00C36F96" w:rsidRDefault="00D55E4A" w:rsidP="00D55E4A">
      <w:pPr>
        <w:spacing w:before="240" w:line="360" w:lineRule="auto"/>
        <w:ind w:left="851" w:right="851"/>
        <w:jc w:val="both"/>
        <w:rPr>
          <w:rFonts w:ascii="Palatino Linotype" w:eastAsia="Times New Roman" w:hAnsi="Palatino Linotype" w:cs="Arial"/>
          <w:b/>
          <w:i/>
          <w:lang w:eastAsia="es-ES"/>
        </w:rPr>
      </w:pPr>
      <w:r w:rsidRPr="00C36F96">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36F96">
        <w:rPr>
          <w:rFonts w:ascii="Palatino Linotype" w:eastAsia="Times New Roman" w:hAnsi="Palatino Linotype" w:cs="Arial"/>
          <w:b/>
          <w:i/>
          <w:lang w:eastAsia="es-ES"/>
        </w:rPr>
        <w:t>[Sic]</w:t>
      </w:r>
    </w:p>
    <w:p w14:paraId="578199D7" w14:textId="77777777" w:rsidR="007D5E19" w:rsidRPr="00C36F96" w:rsidRDefault="007D5E19" w:rsidP="000C7274">
      <w:pPr>
        <w:autoSpaceDE w:val="0"/>
        <w:autoSpaceDN w:val="0"/>
        <w:adjustRightInd w:val="0"/>
        <w:spacing w:before="240" w:line="360" w:lineRule="auto"/>
        <w:jc w:val="both"/>
        <w:rPr>
          <w:rFonts w:ascii="Palatino Linotype" w:hAnsi="Palatino Linotype" w:cs="Arial"/>
          <w:sz w:val="24"/>
          <w:szCs w:val="24"/>
        </w:rPr>
      </w:pPr>
    </w:p>
    <w:p w14:paraId="772695EC" w14:textId="4F674E7B" w:rsidR="00F914FF" w:rsidRPr="00C36F96" w:rsidRDefault="001A67C5" w:rsidP="000C7274">
      <w:pPr>
        <w:autoSpaceDE w:val="0"/>
        <w:autoSpaceDN w:val="0"/>
        <w:adjustRightInd w:val="0"/>
        <w:spacing w:before="240" w:line="360" w:lineRule="auto"/>
        <w:jc w:val="both"/>
        <w:rPr>
          <w:rFonts w:ascii="Palatino Linotype" w:hAnsi="Palatino Linotype" w:cs="Arial"/>
          <w:sz w:val="24"/>
          <w:szCs w:val="24"/>
        </w:rPr>
      </w:pPr>
      <w:r w:rsidRPr="00C36F96">
        <w:rPr>
          <w:rFonts w:ascii="Palatino Linotype" w:hAnsi="Palatino Linotype" w:cs="Arial"/>
          <w:sz w:val="24"/>
          <w:szCs w:val="24"/>
        </w:rPr>
        <w:t>E</w:t>
      </w:r>
      <w:r w:rsidR="000C7274" w:rsidRPr="00C36F96">
        <w:rPr>
          <w:rFonts w:ascii="Palatino Linotype" w:hAnsi="Palatino Linotype" w:cs="Arial"/>
          <w:sz w:val="24"/>
          <w:szCs w:val="24"/>
        </w:rPr>
        <w:t>n una aproximación inicial, con relación a la</w:t>
      </w:r>
      <w:r w:rsidRPr="00C36F96">
        <w:rPr>
          <w:rFonts w:ascii="Palatino Linotype" w:hAnsi="Palatino Linotype" w:cs="Arial"/>
          <w:sz w:val="24"/>
          <w:szCs w:val="24"/>
        </w:rPr>
        <w:t xml:space="preserve"> solicitud de información </w:t>
      </w:r>
      <w:r w:rsidR="007D5E19" w:rsidRPr="00C36F96">
        <w:rPr>
          <w:rFonts w:ascii="Palatino Linotype" w:hAnsi="Palatino Linotype" w:cs="Arial"/>
          <w:b/>
          <w:bCs/>
          <w:sz w:val="24"/>
          <w:szCs w:val="24"/>
        </w:rPr>
        <w:t>00043/JIQUIPIL/IP/2026</w:t>
      </w:r>
      <w:r w:rsidR="00F914FF" w:rsidRPr="00C36F96">
        <w:rPr>
          <w:rFonts w:ascii="Palatino Linotype" w:hAnsi="Palatino Linotype" w:cs="Arial"/>
          <w:b/>
          <w:bCs/>
          <w:sz w:val="24"/>
          <w:szCs w:val="24"/>
        </w:rPr>
        <w:t xml:space="preserve">, </w:t>
      </w:r>
      <w:r w:rsidR="00F914FF" w:rsidRPr="00C36F96">
        <w:rPr>
          <w:rFonts w:ascii="Palatino Linotype" w:hAnsi="Palatino Linotype" w:cs="Arial"/>
          <w:sz w:val="24"/>
          <w:szCs w:val="24"/>
        </w:rPr>
        <w:t xml:space="preserve">se desprenden las siguientes consideraciones: </w:t>
      </w:r>
    </w:p>
    <w:p w14:paraId="3F2C558D" w14:textId="77777777" w:rsidR="000C7274" w:rsidRPr="00C36F96" w:rsidRDefault="000C7274">
      <w:pPr>
        <w:pStyle w:val="Prrafodelista"/>
        <w:numPr>
          <w:ilvl w:val="0"/>
          <w:numId w:val="1"/>
        </w:numPr>
        <w:autoSpaceDE w:val="0"/>
        <w:autoSpaceDN w:val="0"/>
        <w:adjustRightInd w:val="0"/>
        <w:spacing w:before="240" w:line="360" w:lineRule="auto"/>
        <w:jc w:val="both"/>
        <w:rPr>
          <w:rFonts w:ascii="Palatino Linotype" w:hAnsi="Palatino Linotype" w:cs="Arial"/>
        </w:rPr>
      </w:pPr>
      <w:r w:rsidRPr="00C36F96">
        <w:rPr>
          <w:rFonts w:ascii="Palatino Linotype" w:hAnsi="Palatino Linotype" w:cs="Arial"/>
        </w:rPr>
        <w:t xml:space="preserve">Que el derecho de acceso a la información pública estriba en la prerrogativa de carácter constitucional que reconoce la potestad de los ciudadanos para solicitar </w:t>
      </w:r>
      <w:r w:rsidRPr="00C36F96">
        <w:rPr>
          <w:rFonts w:ascii="Palatino Linotype" w:hAnsi="Palatino Linotype" w:cs="Arial"/>
        </w:rPr>
        <w:lastRenderedPageBreak/>
        <w:t xml:space="preserve">soportes documentales generados, poseídos o administrados por los </w:t>
      </w:r>
      <w:r w:rsidRPr="00C36F96">
        <w:rPr>
          <w:rFonts w:ascii="Palatino Linotype" w:hAnsi="Palatino Linotype" w:cs="Arial"/>
          <w:b/>
          <w:bCs/>
        </w:rPr>
        <w:t xml:space="preserve">Sujetos Obligados. </w:t>
      </w:r>
    </w:p>
    <w:p w14:paraId="48EC660F" w14:textId="77777777" w:rsidR="001A67C5" w:rsidRPr="00C36F96" w:rsidRDefault="001A67C5" w:rsidP="001A67C5">
      <w:pPr>
        <w:pStyle w:val="Prrafodelista"/>
        <w:autoSpaceDE w:val="0"/>
        <w:autoSpaceDN w:val="0"/>
        <w:adjustRightInd w:val="0"/>
        <w:spacing w:before="240" w:line="360" w:lineRule="auto"/>
        <w:ind w:left="720"/>
        <w:jc w:val="both"/>
        <w:rPr>
          <w:rFonts w:ascii="Palatino Linotype" w:hAnsi="Palatino Linotype" w:cs="Arial"/>
        </w:rPr>
      </w:pPr>
    </w:p>
    <w:p w14:paraId="6C070B69" w14:textId="5FBF0BD7" w:rsidR="007D5E19" w:rsidRPr="00C36F96" w:rsidRDefault="00B97286" w:rsidP="0016652A">
      <w:pPr>
        <w:pStyle w:val="Prrafodelista"/>
        <w:numPr>
          <w:ilvl w:val="0"/>
          <w:numId w:val="1"/>
        </w:numPr>
        <w:autoSpaceDE w:val="0"/>
        <w:autoSpaceDN w:val="0"/>
        <w:adjustRightInd w:val="0"/>
        <w:spacing w:before="240" w:line="360" w:lineRule="auto"/>
        <w:jc w:val="both"/>
        <w:rPr>
          <w:rFonts w:ascii="Palatino Linotype" w:hAnsi="Palatino Linotype"/>
          <w:b/>
          <w:bCs/>
          <w:color w:val="000000"/>
        </w:rPr>
      </w:pPr>
      <w:r w:rsidRPr="00C36F96">
        <w:rPr>
          <w:rFonts w:ascii="Palatino Linotype" w:hAnsi="Palatino Linotype" w:cs="Arial"/>
        </w:rPr>
        <w:t>Que,</w:t>
      </w:r>
      <w:r w:rsidR="00B7280E" w:rsidRPr="00C36F96">
        <w:rPr>
          <w:rFonts w:ascii="Palatino Linotype" w:hAnsi="Palatino Linotype" w:cs="Arial"/>
        </w:rPr>
        <w:t xml:space="preserve"> </w:t>
      </w:r>
      <w:r w:rsidR="00E50179" w:rsidRPr="00C36F96">
        <w:rPr>
          <w:rFonts w:ascii="Palatino Linotype" w:hAnsi="Palatino Linotype" w:cs="Arial"/>
        </w:rPr>
        <w:t>mediante la</w:t>
      </w:r>
      <w:r w:rsidR="00F914FF" w:rsidRPr="00C36F96">
        <w:rPr>
          <w:rFonts w:ascii="Palatino Linotype" w:hAnsi="Palatino Linotype" w:cs="Arial"/>
        </w:rPr>
        <w:t xml:space="preserve"> solicitud de información, fue</w:t>
      </w:r>
      <w:r w:rsidR="007D5E19" w:rsidRPr="00C36F96">
        <w:rPr>
          <w:rFonts w:ascii="Palatino Linotype" w:hAnsi="Palatino Linotype" w:cs="Arial"/>
        </w:rPr>
        <w:t xml:space="preserve">ron formulados </w:t>
      </w:r>
      <w:r w:rsidR="007D5E19" w:rsidRPr="00C36F96">
        <w:rPr>
          <w:rFonts w:ascii="Palatino Linotype" w:hAnsi="Palatino Linotype" w:cs="Arial"/>
          <w:b/>
          <w:bCs/>
        </w:rPr>
        <w:t xml:space="preserve">7 -siete- </w:t>
      </w:r>
      <w:r w:rsidR="007D5E19" w:rsidRPr="00C36F96">
        <w:rPr>
          <w:rFonts w:ascii="Palatino Linotype" w:hAnsi="Palatino Linotype" w:cs="Arial"/>
        </w:rPr>
        <w:t xml:space="preserve">requerimientos respecto de los cuales no fue fijado </w:t>
      </w:r>
      <w:r w:rsidR="00F914FF" w:rsidRPr="00C36F96">
        <w:rPr>
          <w:rFonts w:ascii="Palatino Linotype" w:hAnsi="Palatino Linotype" w:cs="Arial"/>
        </w:rPr>
        <w:t xml:space="preserve">parámetro de inicio y conclusión para efectos de búsqueda de la información, resultando procedente delimitar la temporalidad a la fecha en que se ejerció el derecho de acceso a la información pública, es decir, al </w:t>
      </w:r>
      <w:r w:rsidR="007D5E19" w:rsidRPr="00C36F96">
        <w:rPr>
          <w:rFonts w:ascii="Palatino Linotype" w:hAnsi="Palatino Linotype" w:cs="Arial"/>
        </w:rPr>
        <w:t xml:space="preserve">seis de marzo de dos mil veintiséis. </w:t>
      </w:r>
    </w:p>
    <w:p w14:paraId="654DA577" w14:textId="77777777" w:rsidR="007D5E19" w:rsidRPr="00C36F96" w:rsidRDefault="007D5E19" w:rsidP="007D5E19">
      <w:pPr>
        <w:pStyle w:val="Prrafodelista"/>
        <w:rPr>
          <w:rFonts w:ascii="Palatino Linotype" w:hAnsi="Palatino Linotype" w:cs="Arial"/>
        </w:rPr>
      </w:pPr>
    </w:p>
    <w:p w14:paraId="3A8019EF" w14:textId="77777777" w:rsidR="00F914FF" w:rsidRPr="00C36F96" w:rsidRDefault="00F914FF" w:rsidP="00F914FF">
      <w:pPr>
        <w:pStyle w:val="Prrafodelista"/>
        <w:rPr>
          <w:rFonts w:ascii="Palatino Linotype" w:hAnsi="Palatino Linotype" w:cs="Arial"/>
        </w:rPr>
      </w:pPr>
    </w:p>
    <w:p w14:paraId="178141BD" w14:textId="1020CE4B" w:rsidR="00BE5B67" w:rsidRPr="00C36F96" w:rsidRDefault="00BE5B67" w:rsidP="009A3C4D">
      <w:pPr>
        <w:pStyle w:val="Prrafodelista"/>
        <w:numPr>
          <w:ilvl w:val="0"/>
          <w:numId w:val="15"/>
        </w:numPr>
        <w:spacing w:before="240" w:line="360" w:lineRule="auto"/>
        <w:jc w:val="both"/>
        <w:rPr>
          <w:rFonts w:ascii="Palatino Linotype" w:hAnsi="Palatino Linotype"/>
          <w:lang w:val="es-MX"/>
        </w:rPr>
      </w:pPr>
      <w:r w:rsidRPr="00C36F96">
        <w:rPr>
          <w:rFonts w:ascii="Palatino Linotype" w:hAnsi="Palatino Linotype"/>
          <w:lang w:val="es-MX"/>
        </w:rPr>
        <w:t xml:space="preserve">Que el requerimiento identificado con el numeral </w:t>
      </w:r>
      <w:r w:rsidRPr="00C36F96">
        <w:rPr>
          <w:rFonts w:ascii="Palatino Linotype" w:hAnsi="Palatino Linotype"/>
          <w:b/>
          <w:bCs/>
          <w:lang w:val="es-MX"/>
        </w:rPr>
        <w:t xml:space="preserve">7 -siete- </w:t>
      </w:r>
      <w:r w:rsidRPr="00C36F96">
        <w:rPr>
          <w:rFonts w:ascii="Palatino Linotype" w:hAnsi="Palatino Linotype"/>
          <w:lang w:val="es-MX"/>
        </w:rPr>
        <w:t xml:space="preserve">debe de ser interpretado </w:t>
      </w:r>
      <w:r w:rsidR="006B4AC0" w:rsidRPr="00C36F96">
        <w:rPr>
          <w:rFonts w:ascii="Palatino Linotype" w:hAnsi="Palatino Linotype"/>
          <w:lang w:val="es-MX"/>
        </w:rPr>
        <w:t xml:space="preserve">a la literalidad al haber </w:t>
      </w:r>
      <w:r w:rsidR="00EA2B16" w:rsidRPr="00C36F96">
        <w:rPr>
          <w:rFonts w:ascii="Palatino Linotype" w:hAnsi="Palatino Linotype"/>
          <w:lang w:val="es-MX"/>
        </w:rPr>
        <w:t>solicitado</w:t>
      </w:r>
      <w:r w:rsidR="006B4AC0" w:rsidRPr="00C36F96">
        <w:rPr>
          <w:rFonts w:ascii="Palatino Linotype" w:hAnsi="Palatino Linotype"/>
          <w:lang w:val="es-MX"/>
        </w:rPr>
        <w:t xml:space="preserve"> información respecto de un concepto en específico. </w:t>
      </w:r>
    </w:p>
    <w:p w14:paraId="16C7FED9" w14:textId="77777777" w:rsidR="00BE5B67" w:rsidRPr="00C36F96" w:rsidRDefault="00BE5B67" w:rsidP="00BE5B67">
      <w:pPr>
        <w:pStyle w:val="Prrafodelista"/>
        <w:spacing w:before="240" w:line="360" w:lineRule="auto"/>
        <w:ind w:left="720"/>
        <w:jc w:val="both"/>
        <w:rPr>
          <w:rFonts w:ascii="Palatino Linotype" w:hAnsi="Palatino Linotype"/>
          <w:lang w:val="es-MX"/>
        </w:rPr>
      </w:pPr>
    </w:p>
    <w:p w14:paraId="7806D530" w14:textId="554A1E82" w:rsidR="007D5E19" w:rsidRPr="00C36F96" w:rsidRDefault="007D5E19" w:rsidP="009A3C4D">
      <w:pPr>
        <w:pStyle w:val="Prrafodelista"/>
        <w:numPr>
          <w:ilvl w:val="0"/>
          <w:numId w:val="15"/>
        </w:numPr>
        <w:spacing w:before="240" w:line="360" w:lineRule="auto"/>
        <w:jc w:val="both"/>
        <w:rPr>
          <w:rFonts w:ascii="Palatino Linotype" w:hAnsi="Palatino Linotype"/>
          <w:lang w:val="es-MX"/>
        </w:rPr>
      </w:pPr>
      <w:r w:rsidRPr="00C36F96">
        <w:rPr>
          <w:rFonts w:ascii="Palatino Linotype" w:hAnsi="Palatino Linotype" w:cs="Arial"/>
        </w:rPr>
        <w:t xml:space="preserve">Que con relación a los puntos </w:t>
      </w:r>
      <w:r w:rsidRPr="00C36F96">
        <w:rPr>
          <w:rFonts w:ascii="Palatino Linotype" w:hAnsi="Palatino Linotype" w:cs="Arial"/>
          <w:b/>
          <w:bCs/>
        </w:rPr>
        <w:t>1, 3, 4, 6</w:t>
      </w:r>
      <w:r w:rsidRPr="00C36F96">
        <w:rPr>
          <w:rFonts w:ascii="Palatino Linotype" w:hAnsi="Palatino Linotype" w:cs="Arial"/>
        </w:rPr>
        <w:t xml:space="preserve"> y </w:t>
      </w:r>
      <w:r w:rsidRPr="00C36F96">
        <w:rPr>
          <w:rFonts w:ascii="Palatino Linotype" w:hAnsi="Palatino Linotype" w:cs="Arial"/>
          <w:b/>
          <w:bCs/>
        </w:rPr>
        <w:t xml:space="preserve">7  </w:t>
      </w:r>
      <w:r w:rsidRPr="00C36F96">
        <w:rPr>
          <w:rFonts w:ascii="Palatino Linotype" w:hAnsi="Palatino Linotype" w:cs="Arial"/>
          <w:lang w:val="es-MX"/>
        </w:rPr>
        <w:t xml:space="preserve">se destaca que </w:t>
      </w:r>
      <w:r w:rsidRPr="00C36F96">
        <w:rPr>
          <w:rFonts w:ascii="Palatino Linotype" w:hAnsi="Palatino Linotype" w:cs="Arial"/>
        </w:rPr>
        <w:t xml:space="preserve">cuando </w:t>
      </w:r>
      <w:r w:rsidRPr="00C36F96">
        <w:rPr>
          <w:rFonts w:ascii="Palatino Linotype" w:hAnsi="Palatino Linotype" w:cs="Arial"/>
          <w:lang w:val="es-MX"/>
        </w:rPr>
        <w:t xml:space="preserve">los particulares no identifican de forma </w:t>
      </w:r>
      <w:r w:rsidRPr="00C36F96">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C36F96">
        <w:rPr>
          <w:rFonts w:ascii="Palatino Linotype" w:hAnsi="Palatino Linotype"/>
          <w:b/>
          <w:bCs/>
          <w:lang w:val="es-MX"/>
        </w:rPr>
        <w:t xml:space="preserve">16/17 </w:t>
      </w:r>
      <w:r w:rsidRPr="00C36F96">
        <w:rPr>
          <w:rFonts w:ascii="Palatino Linotype" w:hAnsi="Palatino Linotype"/>
          <w:lang w:val="es-MX"/>
        </w:rPr>
        <w:t>cuyo rubro y texto disponen a la literalidad lo siguiente:</w:t>
      </w:r>
    </w:p>
    <w:p w14:paraId="392D8F1E" w14:textId="208DC74B" w:rsidR="007D5E19" w:rsidRPr="00C36F96" w:rsidRDefault="007D5E19" w:rsidP="007D5E19">
      <w:pPr>
        <w:pStyle w:val="Citas"/>
        <w:jc w:val="center"/>
        <w:rPr>
          <w:b/>
          <w:bCs/>
          <w:sz w:val="24"/>
          <w:szCs w:val="24"/>
        </w:rPr>
      </w:pPr>
      <w:r w:rsidRPr="00C36F96">
        <w:rPr>
          <w:b/>
          <w:bCs/>
          <w:sz w:val="24"/>
          <w:szCs w:val="24"/>
        </w:rPr>
        <w:t>“EXPRESIÓN DOCUMENTAL.</w:t>
      </w:r>
    </w:p>
    <w:p w14:paraId="23D85555" w14:textId="77777777" w:rsidR="007D5E19" w:rsidRPr="00C36F96" w:rsidRDefault="007D5E19" w:rsidP="007D5E19">
      <w:pPr>
        <w:pStyle w:val="Citas"/>
        <w:rPr>
          <w:szCs w:val="24"/>
        </w:rPr>
      </w:pPr>
      <w:r w:rsidRPr="00C36F96">
        <w:rPr>
          <w:bCs/>
          <w:szCs w:val="24"/>
        </w:rPr>
        <w:lastRenderedPageBreak/>
        <w:t>Cuando</w:t>
      </w:r>
      <w:r w:rsidRPr="00C36F96">
        <w:t xml:space="preserve"> los particulares presenten solicitudes de acceso a la información sin identificar de forma precisa la documentación que pudiera contener la información de su interés, </w:t>
      </w:r>
      <w:r w:rsidRPr="00C36F96">
        <w:rPr>
          <w:szCs w:val="24"/>
        </w:rPr>
        <w:t>o bien, la solicitud constituya una consulta,</w:t>
      </w:r>
      <w:r w:rsidRPr="00C36F96">
        <w:t xml:space="preserve"> pero la respuesta pudiera obrar en algún documento en poder de los sujetos obligados, éstos deben dar a dichas solicitudes una interpretación que les otorgue una expresión documental. </w:t>
      </w:r>
    </w:p>
    <w:p w14:paraId="3D4E52C7" w14:textId="77777777" w:rsidR="007D5E19" w:rsidRPr="00C36F96" w:rsidRDefault="007D5E19" w:rsidP="007D5E19">
      <w:pPr>
        <w:pStyle w:val="Citas"/>
        <w:rPr>
          <w:b/>
        </w:rPr>
      </w:pPr>
      <w:r w:rsidRPr="00C36F96">
        <w:rPr>
          <w:b/>
        </w:rPr>
        <w:t>Precedentes:</w:t>
      </w:r>
    </w:p>
    <w:p w14:paraId="00CA7F47" w14:textId="77777777" w:rsidR="007D5E19" w:rsidRPr="00C36F96" w:rsidRDefault="007D5E19" w:rsidP="007D5E19">
      <w:pPr>
        <w:pStyle w:val="Citas"/>
        <w:numPr>
          <w:ilvl w:val="0"/>
          <w:numId w:val="14"/>
        </w:numPr>
        <w:rPr>
          <w:color w:val="000000"/>
        </w:rPr>
      </w:pPr>
      <w:r w:rsidRPr="00C36F96">
        <w:t xml:space="preserve">Acceso a la información pública. RRA 0774/16. Sesión del 31 de agosto de 2016. Votación por unanimidad. </w:t>
      </w:r>
      <w:r w:rsidRPr="00C36F96">
        <w:rPr>
          <w:rFonts w:eastAsia="Arial"/>
        </w:rPr>
        <w:t>Sin votos disidentes o particulares.</w:t>
      </w:r>
      <w:r w:rsidRPr="00C36F96">
        <w:t xml:space="preserve"> Secretaría de Salud. Comisionada Ponente María Patricia Kurczyn Villalobos.</w:t>
      </w:r>
    </w:p>
    <w:p w14:paraId="7381783E" w14:textId="77777777" w:rsidR="007D5E19" w:rsidRPr="00C36F96" w:rsidRDefault="007D5E19" w:rsidP="007D5E19">
      <w:pPr>
        <w:pStyle w:val="Citas"/>
        <w:numPr>
          <w:ilvl w:val="0"/>
          <w:numId w:val="14"/>
        </w:numPr>
        <w:rPr>
          <w:color w:val="000000"/>
        </w:rPr>
      </w:pPr>
      <w:r w:rsidRPr="00C36F96">
        <w:t xml:space="preserve">Acceso a la información pública. RRA 0143/17. Sesión del 22 de febrero de 2017. Votación por unanimidad. </w:t>
      </w:r>
      <w:r w:rsidRPr="00C36F96">
        <w:rPr>
          <w:rFonts w:eastAsia="Arial"/>
        </w:rPr>
        <w:t>Sin votos disidentes o particulares.</w:t>
      </w:r>
      <w:r w:rsidRPr="00C36F96">
        <w:t xml:space="preserve"> Universidad Autónoma Agraria Antonio Narro. Comisionado Ponente Oscar Mauricio Guerra Ford. </w:t>
      </w:r>
    </w:p>
    <w:p w14:paraId="48EEDE3B" w14:textId="77777777" w:rsidR="007D5E19" w:rsidRPr="00C36F96" w:rsidRDefault="007D5E19" w:rsidP="007D5E19">
      <w:pPr>
        <w:pStyle w:val="Citas"/>
        <w:numPr>
          <w:ilvl w:val="0"/>
          <w:numId w:val="14"/>
        </w:numPr>
        <w:rPr>
          <w:color w:val="000000"/>
        </w:rPr>
      </w:pPr>
      <w:r w:rsidRPr="00C36F96">
        <w:t xml:space="preserve">Acceso a la información pública. RRA 0540/17. Sesión del 08 de marzo del 2017. Votación por unanimidad. </w:t>
      </w:r>
      <w:r w:rsidRPr="00C36F96">
        <w:rPr>
          <w:rFonts w:eastAsia="Arial"/>
        </w:rPr>
        <w:t>Sin votos disidentes o particulares.</w:t>
      </w:r>
      <w:r w:rsidRPr="00C36F96">
        <w:t xml:space="preserve"> Secretaría de Economía. Comisionado Ponente Francisco Javier Acuña Llamas. “ </w:t>
      </w:r>
      <w:r w:rsidRPr="00C36F96">
        <w:rPr>
          <w:b/>
          <w:bCs/>
        </w:rPr>
        <w:t>(Sic)</w:t>
      </w:r>
    </w:p>
    <w:p w14:paraId="163797E2" w14:textId="77777777" w:rsidR="007D5E19" w:rsidRPr="00C36F96" w:rsidRDefault="007D5E19" w:rsidP="000C7274">
      <w:pPr>
        <w:spacing w:before="240" w:line="360" w:lineRule="auto"/>
        <w:jc w:val="both"/>
        <w:rPr>
          <w:rFonts w:ascii="Palatino Linotype" w:hAnsi="Palatino Linotype"/>
          <w:sz w:val="24"/>
          <w:szCs w:val="24"/>
        </w:rPr>
      </w:pPr>
    </w:p>
    <w:p w14:paraId="596F6439" w14:textId="143D7ED6" w:rsidR="000C7274" w:rsidRPr="00C36F96" w:rsidRDefault="000C7274" w:rsidP="000C7274">
      <w:pPr>
        <w:spacing w:before="240" w:line="360" w:lineRule="auto"/>
        <w:jc w:val="both"/>
        <w:rPr>
          <w:rFonts w:ascii="Palatino Linotype" w:hAnsi="Palatino Linotype"/>
          <w:sz w:val="24"/>
          <w:szCs w:val="24"/>
        </w:rPr>
      </w:pPr>
      <w:r w:rsidRPr="00C36F96">
        <w:rPr>
          <w:rFonts w:ascii="Palatino Linotype" w:hAnsi="Palatino Linotype"/>
          <w:sz w:val="24"/>
          <w:szCs w:val="24"/>
        </w:rPr>
        <w:t xml:space="preserve">Dichas precisiones, con fundamento en los artículos 13 y 181 cuarto párrafo de la Ley en materia, los cuales a la letra rezan: </w:t>
      </w:r>
    </w:p>
    <w:p w14:paraId="2164CF40" w14:textId="77777777" w:rsidR="000C7274" w:rsidRPr="00C36F96" w:rsidRDefault="000C7274" w:rsidP="000C7274">
      <w:pPr>
        <w:pStyle w:val="Citas"/>
      </w:pPr>
      <w:r w:rsidRPr="00C36F96">
        <w:rPr>
          <w:b/>
          <w:bCs/>
        </w:rPr>
        <w:lastRenderedPageBreak/>
        <w:t xml:space="preserve">“Artículo 13. </w:t>
      </w:r>
      <w:r w:rsidRPr="00C36F96">
        <w:t>El Instituto, en el ámbito de sus atribuciones, deberá suplir cualquier deficiencia para garantizar el ejercicio del derecho de acceso a la información.</w:t>
      </w:r>
    </w:p>
    <w:p w14:paraId="336F9D59" w14:textId="77777777" w:rsidR="000C7274" w:rsidRPr="00C36F96" w:rsidRDefault="000C7274" w:rsidP="000C7274">
      <w:pPr>
        <w:pStyle w:val="Citas"/>
        <w:rPr>
          <w:b/>
        </w:rPr>
      </w:pPr>
      <w:r w:rsidRPr="00C36F96">
        <w:rPr>
          <w:b/>
        </w:rPr>
        <w:t xml:space="preserve">Artículo 181. … </w:t>
      </w:r>
    </w:p>
    <w:p w14:paraId="5BF423AA" w14:textId="77777777" w:rsidR="000C7274" w:rsidRPr="00C36F96" w:rsidRDefault="000C7274" w:rsidP="000C7274">
      <w:pPr>
        <w:pStyle w:val="Citas"/>
        <w:rPr>
          <w:b/>
        </w:rPr>
      </w:pPr>
      <w:r w:rsidRPr="00C36F96">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C36F96">
        <w:rPr>
          <w:b/>
        </w:rPr>
        <w:t>[Sic]</w:t>
      </w:r>
    </w:p>
    <w:p w14:paraId="70CF4044" w14:textId="77777777" w:rsidR="00BE5B67" w:rsidRPr="00C36F96" w:rsidRDefault="00BE5B67" w:rsidP="000C7274">
      <w:pPr>
        <w:spacing w:before="240" w:line="360" w:lineRule="auto"/>
        <w:jc w:val="both"/>
        <w:rPr>
          <w:rFonts w:ascii="Palatino Linotype" w:hAnsi="Palatino Linotype"/>
          <w:sz w:val="24"/>
          <w:szCs w:val="24"/>
        </w:rPr>
      </w:pPr>
    </w:p>
    <w:p w14:paraId="39AE35CD" w14:textId="1300F9F9" w:rsidR="000C7274" w:rsidRPr="00C36F96" w:rsidRDefault="000C7274" w:rsidP="000C7274">
      <w:pPr>
        <w:spacing w:before="240" w:line="360" w:lineRule="auto"/>
        <w:jc w:val="both"/>
        <w:rPr>
          <w:rFonts w:ascii="Palatino Linotype" w:hAnsi="Palatino Linotype"/>
          <w:sz w:val="24"/>
          <w:szCs w:val="24"/>
        </w:rPr>
      </w:pPr>
      <w:r w:rsidRPr="00C36F96">
        <w:rPr>
          <w:rFonts w:ascii="Palatino Linotype" w:hAnsi="Palatino Linotype"/>
          <w:sz w:val="24"/>
          <w:szCs w:val="24"/>
        </w:rPr>
        <w:t xml:space="preserve">Bajo estas líneas argumentativas, al retomar y delimitar los requerimientos formulados por </w:t>
      </w:r>
      <w:r w:rsidR="00CF3836" w:rsidRPr="00C36F96">
        <w:rPr>
          <w:rFonts w:ascii="Palatino Linotype" w:hAnsi="Palatino Linotype"/>
          <w:sz w:val="24"/>
          <w:szCs w:val="24"/>
        </w:rPr>
        <w:t>el</w:t>
      </w:r>
      <w:r w:rsidRPr="00C36F96">
        <w:rPr>
          <w:rFonts w:ascii="Palatino Linotype" w:hAnsi="Palatino Linotype"/>
          <w:sz w:val="24"/>
          <w:szCs w:val="24"/>
        </w:rPr>
        <w:t xml:space="preserve"> ahora </w:t>
      </w:r>
      <w:r w:rsidRPr="00C36F96">
        <w:rPr>
          <w:rFonts w:ascii="Palatino Linotype" w:hAnsi="Palatino Linotype"/>
          <w:b/>
          <w:bCs/>
          <w:sz w:val="24"/>
          <w:szCs w:val="24"/>
        </w:rPr>
        <w:t xml:space="preserve">Recurrente, </w:t>
      </w:r>
      <w:r w:rsidRPr="00C36F96">
        <w:rPr>
          <w:rFonts w:ascii="Palatino Linotype" w:hAnsi="Palatino Linotype"/>
          <w:sz w:val="24"/>
          <w:szCs w:val="24"/>
        </w:rPr>
        <w:t xml:space="preserve">de manera objetiva se precisa que versa en conocer la siguiente información: </w:t>
      </w:r>
    </w:p>
    <w:p w14:paraId="62C93F53" w14:textId="2DE08480" w:rsidR="007D5E19" w:rsidRPr="00C36F96" w:rsidRDefault="007D5E19" w:rsidP="000C7274">
      <w:pPr>
        <w:spacing w:before="240" w:line="360" w:lineRule="auto"/>
        <w:jc w:val="both"/>
        <w:rPr>
          <w:rFonts w:ascii="Palatino Linotype" w:hAnsi="Palatino Linotype"/>
          <w:b/>
          <w:bCs/>
          <w:sz w:val="24"/>
          <w:szCs w:val="24"/>
        </w:rPr>
      </w:pPr>
      <w:r w:rsidRPr="00C36F96">
        <w:rPr>
          <w:rFonts w:ascii="Palatino Linotype" w:hAnsi="Palatino Linotype"/>
          <w:b/>
          <w:bCs/>
          <w:sz w:val="24"/>
          <w:szCs w:val="24"/>
        </w:rPr>
        <w:t xml:space="preserve">De la feria del pulque 2026 </w:t>
      </w:r>
    </w:p>
    <w:p w14:paraId="56283E3F" w14:textId="082B4397" w:rsidR="00EF036B" w:rsidRPr="00C36F96" w:rsidRDefault="007D5E19">
      <w:pPr>
        <w:pStyle w:val="Prrafodelista"/>
        <w:numPr>
          <w:ilvl w:val="0"/>
          <w:numId w:val="2"/>
        </w:numPr>
        <w:spacing w:before="240" w:line="360" w:lineRule="auto"/>
        <w:jc w:val="both"/>
        <w:rPr>
          <w:rFonts w:ascii="Palatino Linotype" w:hAnsi="Palatino Linotype"/>
          <w:b/>
          <w:bCs/>
        </w:rPr>
      </w:pPr>
      <w:bookmarkStart w:id="2" w:name="_Hlk177220801"/>
      <w:r w:rsidRPr="00C36F96">
        <w:rPr>
          <w:rFonts w:ascii="Palatino Linotype" w:hAnsi="Palatino Linotype"/>
        </w:rPr>
        <w:t xml:space="preserve">El o los documentos donde conste el presupuesto aprobado, al seis de marzo de dos mil veintiséis. </w:t>
      </w:r>
    </w:p>
    <w:p w14:paraId="0B433FA9" w14:textId="0453D9F2" w:rsidR="007D5E19" w:rsidRPr="00C36F96" w:rsidRDefault="007D5E1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t xml:space="preserve">Contratos firmados con </w:t>
      </w:r>
      <w:r w:rsidR="00B729E9" w:rsidRPr="00C36F96">
        <w:rPr>
          <w:rFonts w:ascii="Palatino Linotype" w:hAnsi="Palatino Linotype"/>
        </w:rPr>
        <w:t xml:space="preserve">motivo de presentaciones previstas en el programa, al seis de marzo de dos mil veintiséis. </w:t>
      </w:r>
    </w:p>
    <w:p w14:paraId="744C4D7D" w14:textId="08135FB5" w:rsidR="00B729E9" w:rsidRPr="00C36F96" w:rsidRDefault="00B729E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t xml:space="preserve">El o los documentos vinculados con adjudicaciones y/o equivalente (propuestas, presupuesto, otros) respecto de la contratación de personas que se van a presentar en el evento, al seis de marzo de dos mil veintiséis. </w:t>
      </w:r>
    </w:p>
    <w:p w14:paraId="69ECA7F0" w14:textId="2A0606E4" w:rsidR="00B729E9" w:rsidRPr="00C36F96" w:rsidRDefault="00B729E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lastRenderedPageBreak/>
        <w:t xml:space="preserve">El o los documentos donde consten los bienes que se compraron para el desarrollo de la feria, tales como premios o reconocimientos, al seis de marzo de dos mil veintiséis. </w:t>
      </w:r>
    </w:p>
    <w:p w14:paraId="5BC2F7EE" w14:textId="76673814" w:rsidR="00B729E9" w:rsidRPr="00C36F96" w:rsidRDefault="00B729E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t xml:space="preserve">Contratos celebrados con personas físicas o morales para la instalación de juegos mecánicos, al seis de marzo de dos mil veintiséis. </w:t>
      </w:r>
    </w:p>
    <w:p w14:paraId="43B28256" w14:textId="315AE168" w:rsidR="00B729E9" w:rsidRPr="00C36F96" w:rsidRDefault="00B729E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t xml:space="preserve">El o los documentos donde consten las cuotas a comerciantes o locatarios que se instalarán durante el evento, al seis de marzo de dos mil veintiséis. </w:t>
      </w:r>
    </w:p>
    <w:p w14:paraId="15947802" w14:textId="1C9FDC21" w:rsidR="00B729E9" w:rsidRPr="00C36F96" w:rsidRDefault="00B729E9">
      <w:pPr>
        <w:pStyle w:val="Prrafodelista"/>
        <w:numPr>
          <w:ilvl w:val="0"/>
          <w:numId w:val="2"/>
        </w:numPr>
        <w:spacing w:before="240" w:line="360" w:lineRule="auto"/>
        <w:jc w:val="both"/>
        <w:rPr>
          <w:rFonts w:ascii="Palatino Linotype" w:hAnsi="Palatino Linotype"/>
        </w:rPr>
      </w:pPr>
      <w:r w:rsidRPr="00C36F96">
        <w:rPr>
          <w:rFonts w:ascii="Palatino Linotype" w:hAnsi="Palatino Linotype"/>
        </w:rPr>
        <w:t>Comprobantes de transferencias realizadas como adelanto para comprometer la participación de artistas</w:t>
      </w:r>
      <w:r w:rsidR="006B4AC0" w:rsidRPr="00C36F96">
        <w:rPr>
          <w:rFonts w:ascii="Palatino Linotype" w:hAnsi="Palatino Linotype"/>
        </w:rPr>
        <w:t>,</w:t>
      </w:r>
      <w:r w:rsidRPr="00C36F96">
        <w:rPr>
          <w:rFonts w:ascii="Palatino Linotype" w:hAnsi="Palatino Linotype"/>
        </w:rPr>
        <w:t xml:space="preserve"> al seis de marzo de dos mil veintiséis. </w:t>
      </w:r>
    </w:p>
    <w:bookmarkEnd w:id="2"/>
    <w:p w14:paraId="1EA5AF7D" w14:textId="44C3C54F" w:rsidR="00BE5B67" w:rsidRPr="00C36F96" w:rsidRDefault="00BE5B67" w:rsidP="00CA4158">
      <w:pPr>
        <w:spacing w:after="0" w:line="360" w:lineRule="auto"/>
        <w:jc w:val="both"/>
        <w:rPr>
          <w:rFonts w:ascii="Palatino Linotype" w:hAnsi="Palatino Linotype" w:cs="Arial"/>
          <w:sz w:val="24"/>
          <w:szCs w:val="24"/>
          <w:lang w:val="es-ES"/>
        </w:rPr>
      </w:pPr>
    </w:p>
    <w:p w14:paraId="6A9632B7" w14:textId="14937628" w:rsidR="00B7701B" w:rsidRPr="00C36F96" w:rsidRDefault="00BE5B67" w:rsidP="00CA4158">
      <w:pPr>
        <w:spacing w:after="0" w:line="360" w:lineRule="auto"/>
        <w:jc w:val="both"/>
        <w:rPr>
          <w:rFonts w:ascii="Palatino Linotype" w:hAnsi="Palatino Linotype" w:cs="Arial"/>
          <w:sz w:val="24"/>
          <w:szCs w:val="24"/>
        </w:rPr>
      </w:pPr>
      <w:r w:rsidRPr="00C36F96">
        <w:rPr>
          <w:rFonts w:ascii="Palatino Linotype" w:hAnsi="Palatino Linotype" w:cs="Arial"/>
          <w:noProof/>
          <w:sz w:val="24"/>
          <w:szCs w:val="24"/>
          <w:lang w:eastAsia="es-MX"/>
        </w:rPr>
        <mc:AlternateContent>
          <mc:Choice Requires="wps">
            <w:drawing>
              <wp:anchor distT="0" distB="0" distL="114300" distR="114300" simplePos="0" relativeHeight="251836415" behindDoc="0" locked="0" layoutInCell="1" allowOverlap="1" wp14:anchorId="04548BDC" wp14:editId="12A70E00">
                <wp:simplePos x="0" y="0"/>
                <wp:positionH relativeFrom="column">
                  <wp:posOffset>-90170</wp:posOffset>
                </wp:positionH>
                <wp:positionV relativeFrom="paragraph">
                  <wp:posOffset>1118235</wp:posOffset>
                </wp:positionV>
                <wp:extent cx="5595257" cy="2775857"/>
                <wp:effectExtent l="0" t="0" r="24765" b="24765"/>
                <wp:wrapNone/>
                <wp:docPr id="1886975000" name="Conector recto 7"/>
                <wp:cNvGraphicFramePr/>
                <a:graphic xmlns:a="http://schemas.openxmlformats.org/drawingml/2006/main">
                  <a:graphicData uri="http://schemas.microsoft.com/office/word/2010/wordprocessingShape">
                    <wps:wsp>
                      <wps:cNvCnPr/>
                      <wps:spPr>
                        <a:xfrm>
                          <a:off x="0" y="0"/>
                          <a:ext cx="5595257" cy="27758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16DC325" id="Conector recto 7" o:spid="_x0000_s1026" style="position:absolute;z-index:251836415;visibility:visible;mso-wrap-style:square;mso-wrap-distance-left:9pt;mso-wrap-distance-top:0;mso-wrap-distance-right:9pt;mso-wrap-distance-bottom:0;mso-position-horizontal:absolute;mso-position-horizontal-relative:text;mso-position-vertical:absolute;mso-position-vertical-relative:text" from="-7.1pt,88.05pt" to="433.4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L5oQEAAJoDAAAOAAAAZHJzL2Uyb0RvYy54bWysU8Fu2zAMvRfYPwi6L3YCeGmNOD202C5D&#10;W3TrB6gyFQuQREHSYufvSymJM6wDhg27yKLE98j3RG9uJ2vYHkLU6Dq+XNScgZPYa7fr+Mv3zx+v&#10;OYtJuF4YdNDxA0R+u/1wtRl9Cysc0PQQGJG42I6+40NKvq2qKAewIi7Qg6NLhcGKRGHYVX0QI7Fb&#10;U63q+lM1Yuh9QAkx0un98ZJvC79SINOjUhESMx2n3lJZQ1lf81ptN6LdBeEHLU9tiH/owgrtqOhM&#10;dS+SYD+CfkdltQwYUaWFRFuhUlpC0UBqlvUvar4NwkPRQuZEP9sU/x+tfNjfuadANow+ttE/haxi&#10;UsHmL/XHpmLWYTYLpsQkHTbNTbNq1pxJulut1801BcRTXeA+xPQF0LK86bjRLqsRrdh/jemYek4h&#10;3KWBsksHAznZuGdQTPdUclnQZTbgzgS2F/SqQkpwaXkqXbIzTGljZmD9Z+ApP0OhzM3fgGdEqYwu&#10;zWCrHYbfVU/TuWV1zD87cNSdLXjF/lCeplhDA1DMPQ1rnrCf4wK//FLbNwAAAP//AwBQSwMEFAAG&#10;AAgAAAAhAIQ6gx7iAAAACwEAAA8AAABkcnMvZG93bnJldi54bWxMj1FLwzAUhd8F/0O4gm9b2ipx&#10;1qZjDMQ5kLFNmI9ZE9tqc1OSbO3+vdcnfbycj3O+W8xH27Gz8aF1KCGdJsAMVk63WEt43z9PZsBC&#10;VKhV59BIuJgA8/L6qlC5dgNuzXkXa0YlGHIloYmxzzkPVWOsClPXG6Ts03mrIp2+5tqrgcptx7Mk&#10;EdyqFmmhUb1ZNqb63p2shDe/Wi0X68sXbj7scMjWh83r+CLl7c24eAIWzRj/YPjVJ3UoyenoTqgD&#10;6yRM0vuMUAoeRAqMiJkQj8COEkR6lwEvC/7/h/IHAAD//wMAUEsBAi0AFAAGAAgAAAAhALaDOJL+&#10;AAAA4QEAABMAAAAAAAAAAAAAAAAAAAAAAFtDb250ZW50X1R5cGVzXS54bWxQSwECLQAUAAYACAAA&#10;ACEAOP0h/9YAAACUAQAACwAAAAAAAAAAAAAAAAAvAQAAX3JlbHMvLnJlbHNQSwECLQAUAAYACAAA&#10;ACEAU9yi+aEBAACaAwAADgAAAAAAAAAAAAAAAAAuAgAAZHJzL2Uyb0RvYy54bWxQSwECLQAUAAYA&#10;CAAAACEAhDqDHuIAAAALAQAADwAAAAAAAAAAAAAAAAD7AwAAZHJzL2Rvd25yZXYueG1sUEsFBgAA&#10;AAAEAAQA8wAAAAoFAAAAAA==&#10;" strokecolor="#5b9bd5 [3204]" strokeweight=".5pt">
                <v:stroke joinstyle="miter"/>
              </v:line>
            </w:pict>
          </mc:Fallback>
        </mc:AlternateContent>
      </w:r>
      <w:r w:rsidR="00E50179" w:rsidRPr="00C36F96">
        <w:rPr>
          <w:rFonts w:ascii="Palatino Linotype" w:hAnsi="Palatino Linotype" w:cs="Arial"/>
          <w:sz w:val="24"/>
          <w:szCs w:val="24"/>
        </w:rPr>
        <w:t>U</w:t>
      </w:r>
      <w:r w:rsidR="00415FC1" w:rsidRPr="00C36F96">
        <w:rPr>
          <w:rFonts w:ascii="Palatino Linotype" w:hAnsi="Palatino Linotype" w:cs="Arial"/>
          <w:sz w:val="24"/>
          <w:szCs w:val="24"/>
        </w:rPr>
        <w:t>na vez precisado lo anterior</w:t>
      </w:r>
      <w:r w:rsidR="00CA4158" w:rsidRPr="00C36F96">
        <w:rPr>
          <w:rFonts w:ascii="Palatino Linotype" w:hAnsi="Palatino Linotype" w:cs="Arial"/>
          <w:sz w:val="24"/>
          <w:szCs w:val="24"/>
        </w:rPr>
        <w:t xml:space="preserve">, a efecto de identificar las unidades administrativas competentes se traen a colación </w:t>
      </w:r>
      <w:r w:rsidR="00CA4158" w:rsidRPr="00C36F96">
        <w:rPr>
          <w:rFonts w:ascii="Palatino Linotype" w:hAnsi="Palatino Linotype"/>
          <w:sz w:val="24"/>
          <w:szCs w:val="24"/>
        </w:rPr>
        <w:t xml:space="preserve">las siguientes imágenes ilustrativas, correspondientes al organigrama del </w:t>
      </w:r>
      <w:r w:rsidR="00CA4158" w:rsidRPr="00C36F96">
        <w:rPr>
          <w:rFonts w:ascii="Palatino Linotype" w:hAnsi="Palatino Linotype"/>
          <w:b/>
          <w:bCs/>
          <w:sz w:val="24"/>
          <w:szCs w:val="24"/>
        </w:rPr>
        <w:t>Sujeto Obligado</w:t>
      </w:r>
      <w:r w:rsidR="006C1237" w:rsidRPr="00C36F96">
        <w:rPr>
          <w:rFonts w:ascii="Palatino Linotype" w:hAnsi="Palatino Linotype"/>
          <w:b/>
          <w:bCs/>
          <w:sz w:val="24"/>
          <w:szCs w:val="24"/>
        </w:rPr>
        <w:t xml:space="preserve">: </w:t>
      </w:r>
    </w:p>
    <w:p w14:paraId="7452FA1F" w14:textId="31A56371" w:rsidR="00415FC1" w:rsidRPr="00C36F96" w:rsidRDefault="00BE5B67" w:rsidP="003F094C">
      <w:pPr>
        <w:spacing w:after="0" w:line="360" w:lineRule="auto"/>
        <w:jc w:val="both"/>
        <w:rPr>
          <w:rFonts w:ascii="Palatino Linotype" w:hAnsi="Palatino Linotype" w:cs="Arial"/>
          <w:sz w:val="24"/>
          <w:szCs w:val="24"/>
        </w:rPr>
      </w:pPr>
      <w:r w:rsidRPr="00C36F96">
        <w:rPr>
          <w:rFonts w:ascii="Palatino Linotype" w:hAnsi="Palatino Linotype" w:cs="Arial"/>
          <w:noProof/>
          <w:lang w:eastAsia="es-MX"/>
        </w:rPr>
        <w:lastRenderedPageBreak/>
        <w:drawing>
          <wp:anchor distT="0" distB="0" distL="114300" distR="114300" simplePos="0" relativeHeight="251825151" behindDoc="0" locked="0" layoutInCell="1" allowOverlap="1" wp14:anchorId="669FA128" wp14:editId="56871C9B">
            <wp:simplePos x="0" y="0"/>
            <wp:positionH relativeFrom="page">
              <wp:posOffset>1009650</wp:posOffset>
            </wp:positionH>
            <wp:positionV relativeFrom="paragraph">
              <wp:posOffset>3816350</wp:posOffset>
            </wp:positionV>
            <wp:extent cx="5760720" cy="3448050"/>
            <wp:effectExtent l="19050" t="19050" r="11430" b="19050"/>
            <wp:wrapThrough wrapText="bothSides">
              <wp:wrapPolygon edited="0">
                <wp:start x="-71" y="-119"/>
                <wp:lineTo x="-71" y="21600"/>
                <wp:lineTo x="21571" y="21600"/>
                <wp:lineTo x="21571" y="-119"/>
                <wp:lineTo x="-71" y="-119"/>
              </wp:wrapPolygon>
            </wp:wrapThrough>
            <wp:docPr id="712295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9512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48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36F96">
        <w:rPr>
          <w:rFonts w:ascii="Palatino Linotype" w:hAnsi="Palatino Linotype" w:cs="Arial"/>
          <w:noProof/>
          <w:lang w:eastAsia="es-MX"/>
        </w:rPr>
        <mc:AlternateContent>
          <mc:Choice Requires="wps">
            <w:drawing>
              <wp:anchor distT="0" distB="0" distL="114300" distR="114300" simplePos="0" relativeHeight="251826175" behindDoc="0" locked="0" layoutInCell="1" allowOverlap="1" wp14:anchorId="552E2538" wp14:editId="19306F13">
                <wp:simplePos x="0" y="0"/>
                <wp:positionH relativeFrom="column">
                  <wp:posOffset>993775</wp:posOffset>
                </wp:positionH>
                <wp:positionV relativeFrom="paragraph">
                  <wp:posOffset>4023995</wp:posOffset>
                </wp:positionV>
                <wp:extent cx="1009650" cy="197485"/>
                <wp:effectExtent l="0" t="0" r="19050" b="12065"/>
                <wp:wrapNone/>
                <wp:docPr id="2056086362" name="Rectángulo 3"/>
                <wp:cNvGraphicFramePr/>
                <a:graphic xmlns:a="http://schemas.openxmlformats.org/drawingml/2006/main">
                  <a:graphicData uri="http://schemas.microsoft.com/office/word/2010/wordprocessingShape">
                    <wps:wsp>
                      <wps:cNvSpPr/>
                      <wps:spPr>
                        <a:xfrm>
                          <a:off x="0" y="0"/>
                          <a:ext cx="1009650" cy="19748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677ECFB" id="Rectángulo 3" o:spid="_x0000_s1026" style="position:absolute;margin-left:78.25pt;margin-top:316.85pt;width:79.5pt;height:15.55pt;z-index:2518261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dIfwIAAF8FAAAOAAAAZHJzL2Uyb0RvYy54bWysVEtv2zAMvg/YfxB0X20HSR9BnSLoYxhQ&#10;tMHaoWdFlmIBsqhJSpzs14+SHwm6YodhPsiSSH4kP5G8vtk3muyE8wpMSYuznBJhOFTKbEr64/Xh&#10;yyUlPjBTMQ1GlPQgPL1ZfP503dq5mEANuhKOIIjx89aWtA7BzrPM81o0zJ+BFQaFElzDAh7dJqsc&#10;axG90dkkz8+zFlxlHXDhPd7edUK6SPhSCh6epfQiEF1SjC2k1aV1Hddscc3mG8dsrXgfBvuHKBqm&#10;DDodoe5YYGTr1B9QjeIOPMhwxqHJQErFRcoBsynyd9m81MyKlAuS4+1Ik/9/sPxp92JXDmlorZ97&#10;3MYs9tI18Y/xkX0i6zCSJfaBcLws8vzqfIaccpQVVxfTy1lkMztaW+fDVwENiZuSOnyMxBHbPfrQ&#10;qQ4q0ZmBB6V1ehBt4oUHrap4lw5us77VjuwYvuT9fY5f7+5EDZ1H0+yYS9qFgxYRQ5vvQhJVYfST&#10;FEkqMzHCMs6FCUUnqlklOm/F7MRZLMxokTJNgBFZYpQjdg8waHYgA3aXd68fTUWq0tE4/1tgnfFo&#10;kTyDCaNxowy4jwA0ZtV77vQHkjpqIktrqA4rRxx0PeItf1D4bo/MhxVz2BT41Njo4RkXqaEtKfQ7&#10;Smpwvz66j/pYqyilpMUmK6n/uWVOUKK/Gaziq2I6jV2ZDtPZxQQP7lSyPpWYbXML+PoFjhTL0zbq&#10;Bz1spYPmDefBMnpFETMcfZeUBzccbkPX/DhRuFgukxp2omXh0bxYHsEjq7EuX/dvzNm+eAOW/RMM&#10;Dcnm72q4042WBpbbAFKlAj/y2vONXZwKp584cUycnpPWcS4ufgMAAP//AwBQSwMEFAAGAAgAAAAh&#10;AFMcWSHgAAAACwEAAA8AAABkcnMvZG93bnJldi54bWxMj81OwzAQhO9IvIO1SNyo04aYKsSpAKn0&#10;UImftg/gxksciO3Idtrw9iwnOM7sp9mZajXZnp0wxM47CfNZBgxd43XnWgmH/fpmCSwm5bTqvUMJ&#10;3xhhVV9eVKrU/uze8bRLLaMQF0slwaQ0lJzHxqBVceYHdHT78MGqRDK0XAd1pnDb80WWCW5V5+iD&#10;UQM+GWy+dqOV8LKJz5tPMS62mQoCX9fmrdg+Snl9NT3cA0s4pT8YfutTdaip09GPTkfWky5EQagE&#10;ked3wIjI5wU5R3LE7RJ4XfH/G+ofAAAA//8DAFBLAQItABQABgAIAAAAIQC2gziS/gAAAOEBAAAT&#10;AAAAAAAAAAAAAAAAAAAAAABbQ29udGVudF9UeXBlc10ueG1sUEsBAi0AFAAGAAgAAAAhADj9If/W&#10;AAAAlAEAAAsAAAAAAAAAAAAAAAAALwEAAF9yZWxzLy5yZWxzUEsBAi0AFAAGAAgAAAAhANZZR0h/&#10;AgAAXwUAAA4AAAAAAAAAAAAAAAAALgIAAGRycy9lMm9Eb2MueG1sUEsBAi0AFAAGAAgAAAAhAFMc&#10;WSHgAAAACwEAAA8AAAAAAAAAAAAAAAAA2QQAAGRycy9kb3ducmV2LnhtbFBLBQYAAAAABAAEAPMA&#10;AADmBQAAAAA=&#10;" filled="f" strokecolor="#e00" strokeweight="1pt"/>
            </w:pict>
          </mc:Fallback>
        </mc:AlternateContent>
      </w:r>
      <w:r w:rsidRPr="00C36F96">
        <w:rPr>
          <w:rFonts w:ascii="Palatino Linotype" w:hAnsi="Palatino Linotype" w:cs="Arial"/>
          <w:noProof/>
          <w:lang w:eastAsia="es-MX"/>
        </w:rPr>
        <mc:AlternateContent>
          <mc:Choice Requires="wps">
            <w:drawing>
              <wp:anchor distT="0" distB="0" distL="114300" distR="114300" simplePos="0" relativeHeight="251828223" behindDoc="0" locked="0" layoutInCell="1" allowOverlap="1" wp14:anchorId="60A29A84" wp14:editId="588FA16B">
                <wp:simplePos x="0" y="0"/>
                <wp:positionH relativeFrom="column">
                  <wp:posOffset>1151255</wp:posOffset>
                </wp:positionH>
                <wp:positionV relativeFrom="paragraph">
                  <wp:posOffset>4836160</wp:posOffset>
                </wp:positionV>
                <wp:extent cx="1262380" cy="231775"/>
                <wp:effectExtent l="0" t="0" r="13970" b="15875"/>
                <wp:wrapNone/>
                <wp:docPr id="1010241011" name="Rectángulo 3"/>
                <wp:cNvGraphicFramePr/>
                <a:graphic xmlns:a="http://schemas.openxmlformats.org/drawingml/2006/main">
                  <a:graphicData uri="http://schemas.microsoft.com/office/word/2010/wordprocessingShape">
                    <wps:wsp>
                      <wps:cNvSpPr/>
                      <wps:spPr>
                        <a:xfrm>
                          <a:off x="0" y="0"/>
                          <a:ext cx="1262380" cy="23177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1A026B" id="Rectángulo 3" o:spid="_x0000_s1026" style="position:absolute;margin-left:90.65pt;margin-top:380.8pt;width:99.4pt;height:18.25pt;z-index:25182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V7fgIAAF8FAAAOAAAAZHJzL2Uyb0RvYy54bWysVEtv2zAMvg/YfxB0Xx27zwV1iqCPYUDR&#10;Fm2HnhVZig3IokYpr/36UfIjQVfsMMwHWRLJj+QnkpdX29awtULfgC15fjThTFkJVWOXJf/xevfl&#10;gjMfhK2EAatKvlOeX80+f7rcuKkqoAZTKWQEYv1040peh+CmWeZlrVrhj8ApS0IN2IpAR1xmFYoN&#10;obcmKyaTs2wDWDkEqbyn25tOyGcJX2slw6PWXgVmSk6xhbRiWhdxzWaXYrpE4epG9mGIf4iiFY0l&#10;pyPUjQiCrbD5A6ptJIIHHY4ktBlo3UiVcqBs8sm7bF5q4VTKhcjxbqTJ/z9Y+bB+cU9INGycn3ra&#10;xiy2Gtv4p/jYNpG1G8lS28AkXebFWXF8QZxKkhXH+fn5aWQz21s79OGbgpbFTcmRHiNxJNb3PnSq&#10;g0p0ZuGuMSY9iLHxwoNpqniXDrhcXBtka0EveXs7oa93d6BGzqNpts8l7cLOqIhh7LPSrKko+iJF&#10;kspMjbBCSmVD3olqUanOW3564CwWZrRImSbAiKwpyhG7Bxg0O5ABu8u714+mKlXpaDz5W2Cd8WiR&#10;PIMNo3HbWMCPAAxl1Xvu9AeSOmoiSwuodk/IELoe8U7eNfRu98KHJ4HUFPTU1OjhkRZtYFNy6Hec&#10;1YC/PrqP+lSrJOVsQ01Wcv9zJVBxZr5bquKv+clJ7Mp0ODk9L+iAh5LFocSu2mug189ppDiZtlE/&#10;mGGrEdo3mgfz6JVEwkryXXIZcDhch675aaJINZ8nNepEJ8K9fXEygkdWY12+bt8Eur54A5X9AwwN&#10;KabvarjTjZYW5qsAukkFvue155u6OBVOP3HimDg8J639XJz9BgAA//8DAFBLAwQUAAYACAAAACEA&#10;zujj4uAAAAALAQAADwAAAGRycy9kb3ducmV2LnhtbEyPwU7DMAyG70i8Q2QkbiztJkJXmk6ANHaY&#10;NGDjAbLWtIXGqZJ0K2+POcHxtz/9/lysJtuLE/rQOdKQzhIQSJWrO2o0vB/WNxmIEA3VpneEGr4x&#10;wKq8vChMXrszveFpHxvBJRRyo6GNccilDFWL1oSZG5B49+G8NZGjb2TtzZnLbS/nSaKkNR3xhdYM&#10;+NRi9bUfrYbdJjxvPtU43ybGK3xZt6+320etr6+mh3sQEaf4B8OvPqtDyU5HN1IdRM85SxeMarhT&#10;qQLBxCJLUhBHniyzFGRZyP8/lD8AAAD//wMAUEsBAi0AFAAGAAgAAAAhALaDOJL+AAAA4QEAABMA&#10;AAAAAAAAAAAAAAAAAAAAAFtDb250ZW50X1R5cGVzXS54bWxQSwECLQAUAAYACAAAACEAOP0h/9YA&#10;AACUAQAACwAAAAAAAAAAAAAAAAAvAQAAX3JlbHMvLnJlbHNQSwECLQAUAAYACAAAACEAXcDle34C&#10;AABfBQAADgAAAAAAAAAAAAAAAAAuAgAAZHJzL2Uyb0RvYy54bWxQSwECLQAUAAYACAAAACEAzujj&#10;4uAAAAALAQAADwAAAAAAAAAAAAAAAADYBAAAZHJzL2Rvd25yZXYueG1sUEsFBgAAAAAEAAQA8wAA&#10;AOUFAAAAAA==&#10;" filled="f" strokecolor="#e00" strokeweight="1pt"/>
            </w:pict>
          </mc:Fallback>
        </mc:AlternateContent>
      </w:r>
      <w:r w:rsidRPr="00C36F96">
        <w:rPr>
          <w:rFonts w:ascii="Palatino Linotype" w:hAnsi="Palatino Linotype" w:cs="Arial"/>
          <w:noProof/>
          <w:lang w:eastAsia="es-MX"/>
        </w:rPr>
        <mc:AlternateContent>
          <mc:Choice Requires="wps">
            <w:drawing>
              <wp:anchor distT="0" distB="0" distL="114300" distR="114300" simplePos="0" relativeHeight="251830271" behindDoc="0" locked="0" layoutInCell="1" allowOverlap="1" wp14:anchorId="5B4BB821" wp14:editId="04749411">
                <wp:simplePos x="0" y="0"/>
                <wp:positionH relativeFrom="column">
                  <wp:posOffset>1191895</wp:posOffset>
                </wp:positionH>
                <wp:positionV relativeFrom="paragraph">
                  <wp:posOffset>6904298</wp:posOffset>
                </wp:positionV>
                <wp:extent cx="1473958" cy="197892"/>
                <wp:effectExtent l="0" t="0" r="12065" b="12065"/>
                <wp:wrapNone/>
                <wp:docPr id="235789542" name="Rectángulo 3"/>
                <wp:cNvGraphicFramePr/>
                <a:graphic xmlns:a="http://schemas.openxmlformats.org/drawingml/2006/main">
                  <a:graphicData uri="http://schemas.microsoft.com/office/word/2010/wordprocessingShape">
                    <wps:wsp>
                      <wps:cNvSpPr/>
                      <wps:spPr>
                        <a:xfrm>
                          <a:off x="0" y="0"/>
                          <a:ext cx="1473958" cy="19789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DF54137" id="Rectángulo 3" o:spid="_x0000_s1026" style="position:absolute;margin-left:93.85pt;margin-top:543.65pt;width:116.05pt;height:15.6pt;z-index:251830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6PWfwIAAF8FAAAOAAAAZHJzL2Uyb0RvYy54bWysVEtv2zAMvg/YfxB0Xx1n6doEdYqgj2FA&#10;0QZrh54VWYoNyKJGKa/9+lHyI0FX7DDMB1kSyY/kJ5JX1/vGsK1CX4MteH424kxZCWVt1wX/8XL/&#10;6ZIzH4QthQGrCn5Qnl/PP3642rmZGkMFplTICMT62c4VvArBzbLMy0o1wp+BU5aEGrARgY64zkoU&#10;O0JvTDYejb5kO8DSIUjlPd3etkI+T/haKxmetPYqMFNwii2kFdO6ims2vxKzNQpX1bILQ/xDFI2o&#10;LTkdoG5FEGyD9R9QTS0RPOhwJqHJQOtaqpQDZZOP3mTzXAmnUi5EjncDTf7/wcrH7bNbItGwc37m&#10;aRuz2Gts4p/iY/tE1mEgS+0Dk3SZTy4+T8/peSXJ8unF5XQc2cyO1g59+KqgYXFTcKTHSByJ7YMP&#10;rWqvEp1ZuK+NSQ9ibLzwYOoy3qUDrlc3BtlW0Eve3Y3o69ydqJHzaJodc0m7cDAqYhj7XWlWlxT9&#10;OEWSykwNsEJKZUPeiipRqtZbfn7iLBZmtEiZJsCIrCnKAbsD6DVbkB67zbvTj6YqVelgPPpbYK3x&#10;YJE8gw2DcVNbwPcADGXVeW71e5JaaiJLKygPS2QIbY94J+9rercH4cNSIDUFtQ81eniiRRvYFRy6&#10;HWcV4K/37qM+1SpJOdtRkxXc/9wIVJyZb5aqeJpPJrEr02FyfjGmA55KVqcSu2lugF4/p5HiZNpG&#10;/WD6rUZoXmkeLKJXEgkryXfBZcD+cBPa5qeJItVikdSoE50ID/bZyQgeWY11+bJ/Fei64g1U9o/Q&#10;N6SYvanhVjdaWlhsAug6FfiR145v6uJUON3EiWPi9Jy0jnNx/hsAAP//AwBQSwMEFAAGAAgAAAAh&#10;AP+5zKbiAAAADQEAAA8AAABkcnMvZG93bnJldi54bWxMj8FOwzAQRO9I/IO1SNyonUKTEOJUgFR6&#10;qARt4QPcZIkDsR3ZThv+vssJbju7o9k35XIyPTuiD52zEpKZAIa2dk1nWwkf76ubHFiIyjaqdxYl&#10;/GCAZXV5UaqicSe7w+M+toxCbCiUBB3jUHAeao1GhZkb0NLt03mjIknf8sarE4Wbns+FSLlRnaUP&#10;Wg34rLH+3o9Gwus6vKy/0nG+Ecqn+LbS28XmScrrq+nxAVjEKf6Z4Ref0KEipoMbbRNYTzrPMrLS&#10;IPLsFhhZ7pJ7anOgVZLkC+BVyf+3qM4AAAD//wMAUEsBAi0AFAAGAAgAAAAhALaDOJL+AAAA4QEA&#10;ABMAAAAAAAAAAAAAAAAAAAAAAFtDb250ZW50X1R5cGVzXS54bWxQSwECLQAUAAYACAAAACEAOP0h&#10;/9YAAACUAQAACwAAAAAAAAAAAAAAAAAvAQAAX3JlbHMvLnJlbHNQSwECLQAUAAYACAAAACEALN+j&#10;1n8CAABfBQAADgAAAAAAAAAAAAAAAAAuAgAAZHJzL2Uyb0RvYy54bWxQSwECLQAUAAYACAAAACEA&#10;/7nMpuIAAAANAQAADwAAAAAAAAAAAAAAAADZBAAAZHJzL2Rvd25yZXYueG1sUEsFBgAAAAAEAAQA&#10;8wAAAOgFAAAAAA==&#10;" filled="f" strokecolor="#e00" strokeweight="1pt"/>
            </w:pict>
          </mc:Fallback>
        </mc:AlternateContent>
      </w:r>
      <w:r w:rsidRPr="00C36F96">
        <w:rPr>
          <w:rFonts w:ascii="Palatino Linotype" w:hAnsi="Palatino Linotype" w:cs="Arial"/>
          <w:noProof/>
          <w:lang w:eastAsia="es-MX"/>
        </w:rPr>
        <w:drawing>
          <wp:anchor distT="0" distB="0" distL="114300" distR="114300" simplePos="0" relativeHeight="251824127" behindDoc="0" locked="0" layoutInCell="1" allowOverlap="1" wp14:anchorId="21DF2601" wp14:editId="4D94CB9A">
            <wp:simplePos x="0" y="0"/>
            <wp:positionH relativeFrom="page">
              <wp:align>center</wp:align>
            </wp:positionH>
            <wp:positionV relativeFrom="paragraph">
              <wp:posOffset>19339</wp:posOffset>
            </wp:positionV>
            <wp:extent cx="5760720" cy="3448050"/>
            <wp:effectExtent l="19050" t="19050" r="11430" b="19050"/>
            <wp:wrapThrough wrapText="bothSides">
              <wp:wrapPolygon edited="0">
                <wp:start x="-71" y="-119"/>
                <wp:lineTo x="-71" y="21600"/>
                <wp:lineTo x="21571" y="21600"/>
                <wp:lineTo x="21571" y="-119"/>
                <wp:lineTo x="-71" y="-119"/>
              </wp:wrapPolygon>
            </wp:wrapThrough>
            <wp:docPr id="1400632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323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48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88C9DE" w14:textId="2DE33767" w:rsidR="00095C26" w:rsidRPr="00C36F96" w:rsidRDefault="00B27F33" w:rsidP="00B27F33">
      <w:pPr>
        <w:pStyle w:val="Prrafodelista"/>
        <w:autoSpaceDE w:val="0"/>
        <w:autoSpaceDN w:val="0"/>
        <w:adjustRightInd w:val="0"/>
        <w:spacing w:before="240" w:after="160" w:line="360" w:lineRule="auto"/>
        <w:ind w:left="0"/>
        <w:jc w:val="both"/>
        <w:rPr>
          <w:rFonts w:ascii="Palatino Linotype" w:hAnsi="Palatino Linotype" w:cs="Arial"/>
        </w:rPr>
      </w:pPr>
      <w:r w:rsidRPr="00C36F96">
        <w:rPr>
          <w:rFonts w:ascii="Palatino Linotype" w:hAnsi="Palatino Linotype" w:cs="Arial"/>
        </w:rPr>
        <w:lastRenderedPageBreak/>
        <w:t xml:space="preserve">De lo expuesto con anterioridad, se desprende que </w:t>
      </w:r>
      <w:r w:rsidRPr="00C36F96">
        <w:rPr>
          <w:rFonts w:ascii="Palatino Linotype" w:hAnsi="Palatino Linotype" w:cs="Arial"/>
          <w:b/>
          <w:bCs/>
        </w:rPr>
        <w:t xml:space="preserve">El Sujeto Obligado </w:t>
      </w:r>
      <w:r w:rsidRPr="00C36F96">
        <w:rPr>
          <w:rFonts w:ascii="Palatino Linotype" w:hAnsi="Palatino Linotype" w:cs="Arial"/>
        </w:rPr>
        <w:t xml:space="preserve">se auxilia de diversas Direcciones, Subdirecciones, Departamentos y Unidades Administrativas para cumplir con sus fines y objetivos, resultando de nuestro más amplio interés </w:t>
      </w:r>
      <w:r w:rsidR="004975F9" w:rsidRPr="00C36F96">
        <w:rPr>
          <w:rFonts w:ascii="Palatino Linotype" w:hAnsi="Palatino Linotype" w:cs="Arial"/>
        </w:rPr>
        <w:t xml:space="preserve">la </w:t>
      </w:r>
      <w:r w:rsidR="003E79E7" w:rsidRPr="00C36F96">
        <w:rPr>
          <w:rFonts w:ascii="Palatino Linotype" w:hAnsi="Palatino Linotype" w:cs="Arial"/>
        </w:rPr>
        <w:t xml:space="preserve">tesorería, dirección de administración, así como la dirección de desarrollo económico. </w:t>
      </w:r>
      <w:r w:rsidR="00095C26" w:rsidRPr="00C36F96">
        <w:rPr>
          <w:rFonts w:ascii="Palatino Linotype" w:hAnsi="Palatino Linotype" w:cs="Arial"/>
        </w:rPr>
        <w:t xml:space="preserve"> </w:t>
      </w:r>
    </w:p>
    <w:p w14:paraId="7B788E59" w14:textId="3147C83E" w:rsidR="003E79E7" w:rsidRPr="00C36F96" w:rsidRDefault="006C1237" w:rsidP="003E79E7">
      <w:pPr>
        <w:pStyle w:val="Sinespaciado"/>
        <w:spacing w:line="360" w:lineRule="auto"/>
        <w:jc w:val="both"/>
        <w:rPr>
          <w:rFonts w:ascii="Palatino Linotype" w:hAnsi="Palatino Linotype" w:cs="Arial"/>
        </w:rPr>
      </w:pPr>
      <w:r w:rsidRPr="00C36F96">
        <w:rPr>
          <w:rFonts w:ascii="Palatino Linotype" w:hAnsi="Palatino Linotype" w:cs="Arial"/>
        </w:rPr>
        <w:t>En virtud de lo anterior, para delimitar las fronteras conceptuales de la</w:t>
      </w:r>
      <w:r w:rsidR="004975F9" w:rsidRPr="00C36F96">
        <w:rPr>
          <w:rFonts w:ascii="Palatino Linotype" w:hAnsi="Palatino Linotype" w:cs="Arial"/>
        </w:rPr>
        <w:t>s</w:t>
      </w:r>
      <w:r w:rsidRPr="00C36F96">
        <w:rPr>
          <w:rFonts w:ascii="Palatino Linotype" w:hAnsi="Palatino Linotype" w:cs="Arial"/>
        </w:rPr>
        <w:t xml:space="preserve"> unidad</w:t>
      </w:r>
      <w:r w:rsidR="004975F9" w:rsidRPr="00C36F96">
        <w:rPr>
          <w:rFonts w:ascii="Palatino Linotype" w:hAnsi="Palatino Linotype" w:cs="Arial"/>
        </w:rPr>
        <w:t>es</w:t>
      </w:r>
      <w:r w:rsidRPr="00C36F96">
        <w:rPr>
          <w:rFonts w:ascii="Palatino Linotype" w:hAnsi="Palatino Linotype" w:cs="Arial"/>
        </w:rPr>
        <w:t xml:space="preserve"> administrativa</w:t>
      </w:r>
      <w:r w:rsidR="004975F9" w:rsidRPr="00C36F96">
        <w:rPr>
          <w:rFonts w:ascii="Palatino Linotype" w:hAnsi="Palatino Linotype" w:cs="Arial"/>
        </w:rPr>
        <w:t>s</w:t>
      </w:r>
      <w:r w:rsidRPr="00C36F96">
        <w:rPr>
          <w:rFonts w:ascii="Palatino Linotype" w:hAnsi="Palatino Linotype" w:cs="Arial"/>
        </w:rPr>
        <w:t xml:space="preserve"> en cita, resulta oportuno traer a colación </w:t>
      </w:r>
      <w:r w:rsidR="003E79E7" w:rsidRPr="00C36F96">
        <w:rPr>
          <w:rFonts w:ascii="Palatino Linotype" w:hAnsi="Palatino Linotype" w:cs="Arial"/>
        </w:rPr>
        <w:t xml:space="preserve">el artículo 95 de la Ley Orgánica Municipal del Estado de México; </w:t>
      </w:r>
      <w:r w:rsidR="007F2A58" w:rsidRPr="00C36F96">
        <w:rPr>
          <w:rFonts w:ascii="Palatino Linotype" w:hAnsi="Palatino Linotype" w:cs="Arial"/>
        </w:rPr>
        <w:t xml:space="preserve"> </w:t>
      </w:r>
      <w:r w:rsidR="003E79E7" w:rsidRPr="00C36F96">
        <w:rPr>
          <w:rFonts w:ascii="Palatino Linotype" w:hAnsi="Palatino Linotype" w:cs="Arial"/>
        </w:rPr>
        <w:t xml:space="preserve">numerales </w:t>
      </w:r>
      <w:r w:rsidR="003E79E7" w:rsidRPr="00C36F96">
        <w:rPr>
          <w:rFonts w:ascii="Palatino Linotype" w:hAnsi="Palatino Linotype"/>
          <w:iCs/>
        </w:rPr>
        <w:t xml:space="preserve">174, 179, 180 y 193 del Bando municipal de Jiquipilco; artículos 26, 27 de la Ley de contratación pública del Estado de México; así como los numerales 43, 54, 67, 90, 94, del Reglamento de la ley de contratación pública del Estado de México y Municipios, porciones normativas que disponen a la literalidad lo siguiente: </w:t>
      </w:r>
    </w:p>
    <w:p w14:paraId="4BEF1CDA" w14:textId="77777777" w:rsidR="003E79E7" w:rsidRPr="00C36F96" w:rsidRDefault="003E79E7" w:rsidP="003E79E7">
      <w:pPr>
        <w:pStyle w:val="Citas"/>
        <w:jc w:val="center"/>
        <w:rPr>
          <w:b/>
          <w:bCs/>
          <w:i w:val="0"/>
          <w:iCs/>
        </w:rPr>
      </w:pPr>
      <w:r w:rsidRPr="00C36F96">
        <w:rPr>
          <w:b/>
          <w:bCs/>
          <w:i w:val="0"/>
          <w:iCs/>
        </w:rPr>
        <w:t>LEY ORGÁNICA MUNICIPAL DEL ESTADO DE MÉXICO</w:t>
      </w:r>
    </w:p>
    <w:p w14:paraId="2F32BD8C" w14:textId="77777777" w:rsidR="003E79E7" w:rsidRPr="00C36F96" w:rsidRDefault="003E79E7" w:rsidP="003E79E7">
      <w:pPr>
        <w:pStyle w:val="Citas"/>
        <w:rPr>
          <w:b/>
          <w:bCs/>
          <w:u w:val="single"/>
        </w:rPr>
      </w:pPr>
      <w:r w:rsidRPr="00C36F96">
        <w:t>“</w:t>
      </w:r>
      <w:r w:rsidRPr="00C36F96">
        <w:rPr>
          <w:b/>
          <w:bCs/>
          <w:u w:val="single"/>
        </w:rPr>
        <w:t>Artículo 95.- Son atribuciones del tesorero municipal:</w:t>
      </w:r>
    </w:p>
    <w:p w14:paraId="489E8258" w14:textId="77777777" w:rsidR="003E79E7" w:rsidRPr="00C36F96" w:rsidRDefault="003E79E7" w:rsidP="003E79E7">
      <w:pPr>
        <w:pStyle w:val="Citas"/>
      </w:pPr>
      <w:r w:rsidRPr="00C36F96">
        <w:t>I. Administrar la hacienda pública municipal, de conformidad con las disposiciones legales aplicables;</w:t>
      </w:r>
    </w:p>
    <w:p w14:paraId="03FB45AF" w14:textId="77777777" w:rsidR="003E79E7" w:rsidRPr="00C36F96" w:rsidRDefault="003E79E7" w:rsidP="003E79E7">
      <w:pPr>
        <w:pStyle w:val="Citas"/>
      </w:pPr>
      <w:r w:rsidRPr="00C36F96">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59AD0AA3" w14:textId="77777777" w:rsidR="003E79E7" w:rsidRPr="00C36F96" w:rsidRDefault="003E79E7" w:rsidP="003E79E7">
      <w:pPr>
        <w:pStyle w:val="Citas"/>
      </w:pPr>
      <w:r w:rsidRPr="00C36F96">
        <w:t>(…)</w:t>
      </w:r>
    </w:p>
    <w:p w14:paraId="5E7DF4AB" w14:textId="77777777" w:rsidR="003E79E7" w:rsidRPr="00C36F96" w:rsidRDefault="003E79E7" w:rsidP="003E79E7">
      <w:pPr>
        <w:pStyle w:val="Citas"/>
      </w:pPr>
      <w:r w:rsidRPr="00C36F96">
        <w:t>IV. Llevar los registros contables, financieros y administrativos de los ingresos, egresos, e inventarios;</w:t>
      </w:r>
    </w:p>
    <w:p w14:paraId="21201BB7" w14:textId="77777777" w:rsidR="003E79E7" w:rsidRPr="00C36F96" w:rsidRDefault="003E79E7" w:rsidP="003E79E7">
      <w:pPr>
        <w:pStyle w:val="Citas"/>
        <w:rPr>
          <w:b/>
          <w:bCs/>
        </w:rPr>
      </w:pPr>
      <w:r w:rsidRPr="00C36F96">
        <w:lastRenderedPageBreak/>
        <w:t xml:space="preserve">(…)” </w:t>
      </w:r>
      <w:r w:rsidRPr="00C36F96">
        <w:rPr>
          <w:b/>
          <w:bCs/>
        </w:rPr>
        <w:t>(Sic)</w:t>
      </w:r>
    </w:p>
    <w:p w14:paraId="0B7BB3F5" w14:textId="77777777" w:rsidR="003E79E7" w:rsidRPr="00C36F96" w:rsidRDefault="003E79E7" w:rsidP="007F2A58">
      <w:pPr>
        <w:pStyle w:val="Sinespaciado"/>
        <w:spacing w:line="360" w:lineRule="auto"/>
        <w:jc w:val="both"/>
        <w:rPr>
          <w:rFonts w:ascii="Palatino Linotype" w:hAnsi="Palatino Linotype" w:cs="Arial"/>
        </w:rPr>
      </w:pPr>
    </w:p>
    <w:p w14:paraId="79407CBD" w14:textId="42A5C138" w:rsidR="003E79E7" w:rsidRPr="00C36F96" w:rsidRDefault="004F002A" w:rsidP="004F002A">
      <w:pPr>
        <w:pStyle w:val="Citas"/>
        <w:jc w:val="center"/>
        <w:rPr>
          <w:b/>
          <w:bCs/>
          <w:i w:val="0"/>
          <w:iCs/>
        </w:rPr>
      </w:pPr>
      <w:r w:rsidRPr="00C36F96">
        <w:rPr>
          <w:b/>
          <w:bCs/>
          <w:i w:val="0"/>
          <w:iCs/>
        </w:rPr>
        <w:t>BANDO MUNICIPAL DE JIQUIPILCO</w:t>
      </w:r>
    </w:p>
    <w:p w14:paraId="7D95B763" w14:textId="0877F145" w:rsidR="003E79E7" w:rsidRPr="00C36F96" w:rsidRDefault="004F002A" w:rsidP="003E79E7">
      <w:pPr>
        <w:pStyle w:val="Citas"/>
      </w:pPr>
      <w:r w:rsidRPr="00C36F96">
        <w:t>“</w:t>
      </w:r>
      <w:r w:rsidR="003E79E7" w:rsidRPr="00C36F96">
        <w:t>ARTÍCULO 174. La Dirección de Administración es la dependencia responsable de supervisar los</w:t>
      </w:r>
      <w:r w:rsidRPr="00C36F96">
        <w:t xml:space="preserve"> </w:t>
      </w:r>
      <w:r w:rsidR="003E79E7" w:rsidRPr="00C36F96">
        <w:t>recursos humanos, materiales, técnicos y servicios generales que se proporcionan a las diferentes áreas</w:t>
      </w:r>
      <w:r w:rsidRPr="00C36F96">
        <w:t xml:space="preserve"> </w:t>
      </w:r>
      <w:r w:rsidR="003E79E7" w:rsidRPr="00C36F96">
        <w:t>de la Administración Pública Municipal para garantizar su administración de manera eficiente y eficaz y</w:t>
      </w:r>
      <w:r w:rsidRPr="00C36F96">
        <w:t xml:space="preserve"> </w:t>
      </w:r>
      <w:r w:rsidR="003E79E7" w:rsidRPr="00C36F96">
        <w:t>que los programas, metas y proyectos se realicen en las mejores condiciones optimizando la adquisición,</w:t>
      </w:r>
      <w:r w:rsidRPr="00C36F96">
        <w:t xml:space="preserve"> </w:t>
      </w:r>
      <w:r w:rsidR="003E79E7" w:rsidRPr="00C36F96">
        <w:t>control y uso racional de los mismos; para el logro de dichos fines en coordinación con el Órgano Interno</w:t>
      </w:r>
      <w:r w:rsidRPr="00C36F96">
        <w:t xml:space="preserve"> </w:t>
      </w:r>
      <w:r w:rsidR="003E79E7" w:rsidRPr="00C36F96">
        <w:t>de Control se proveerán los materiales y servicios a las diversas unidades administrativas.</w:t>
      </w:r>
    </w:p>
    <w:p w14:paraId="3E97C572" w14:textId="12A3AD30" w:rsidR="003E79E7" w:rsidRPr="00C36F96" w:rsidRDefault="003E79E7" w:rsidP="003E79E7">
      <w:pPr>
        <w:pStyle w:val="Citas"/>
      </w:pPr>
      <w:r w:rsidRPr="00C36F96">
        <w:t>ARTÍCULO 179. La Coordinación de licitaciones públicas es la encargada de realizar el proceso</w:t>
      </w:r>
      <w:r w:rsidR="004F002A" w:rsidRPr="00C36F96">
        <w:t xml:space="preserve"> </w:t>
      </w:r>
      <w:r w:rsidRPr="00C36F96">
        <w:t>administrativo transparente mediante el cual se convoca la participación de personas jurídico colectivo</w:t>
      </w:r>
      <w:r w:rsidR="004F002A" w:rsidRPr="00C36F96">
        <w:t xml:space="preserve"> </w:t>
      </w:r>
      <w:r w:rsidRPr="00C36F96">
        <w:t>y físicas a presentar propuestas con el objetivo de contratar bienes y servicios.</w:t>
      </w:r>
    </w:p>
    <w:p w14:paraId="12F14775" w14:textId="740CEE31" w:rsidR="003E79E7" w:rsidRPr="00C36F96" w:rsidRDefault="003E79E7" w:rsidP="003E79E7">
      <w:pPr>
        <w:pStyle w:val="Citas"/>
      </w:pPr>
      <w:r w:rsidRPr="00C36F96">
        <w:t>ARTÍCULO 180. Son funciones de esta Coordinación las que le faculta la Ley de Contratación Pública</w:t>
      </w:r>
      <w:r w:rsidR="004F002A" w:rsidRPr="00C36F96">
        <w:t xml:space="preserve"> </w:t>
      </w:r>
      <w:r w:rsidRPr="00C36F96">
        <w:t>del Estado de México y Municipios, y su reglamento.</w:t>
      </w:r>
    </w:p>
    <w:p w14:paraId="75B1C6B1" w14:textId="24D49F33" w:rsidR="003E79E7" w:rsidRPr="00C36F96" w:rsidRDefault="003E79E7" w:rsidP="003E79E7">
      <w:pPr>
        <w:pStyle w:val="Citas"/>
      </w:pPr>
      <w:r w:rsidRPr="00C36F96">
        <w:t>a) Desarrollar los procedimientos de adjudicaciones directas, invitación restringida y licitaciones</w:t>
      </w:r>
      <w:r w:rsidR="004F002A" w:rsidRPr="00C36F96">
        <w:t xml:space="preserve"> </w:t>
      </w:r>
      <w:r w:rsidRPr="00C36F96">
        <w:t>públicas de las adquisiciones y servicios, así como los acuerdos de acciones que se llevarán a</w:t>
      </w:r>
      <w:r w:rsidR="004F002A" w:rsidRPr="00C36F96">
        <w:t xml:space="preserve"> </w:t>
      </w:r>
      <w:r w:rsidRPr="00C36F96">
        <w:t>cabo para su cumplimiento;</w:t>
      </w:r>
    </w:p>
    <w:p w14:paraId="4020594E" w14:textId="0BEC2785" w:rsidR="003E79E7" w:rsidRPr="00C36F96" w:rsidRDefault="003E79E7" w:rsidP="003E79E7">
      <w:pPr>
        <w:pStyle w:val="Citas"/>
      </w:pPr>
      <w:r w:rsidRPr="00C36F96">
        <w:t>b) Elaborar contratos de adquisiciones y servicios; y</w:t>
      </w:r>
      <w:r w:rsidR="004F002A" w:rsidRPr="00C36F96">
        <w:t xml:space="preserve"> </w:t>
      </w:r>
    </w:p>
    <w:p w14:paraId="21CEEC51" w14:textId="340ED97B" w:rsidR="003E79E7" w:rsidRPr="00C36F96" w:rsidRDefault="003E79E7" w:rsidP="003E79E7">
      <w:pPr>
        <w:pStyle w:val="Citas"/>
      </w:pPr>
      <w:r w:rsidRPr="00C36F96">
        <w:t>c) Las demás que determine el Director de Administración.</w:t>
      </w:r>
    </w:p>
    <w:p w14:paraId="40EF3821" w14:textId="450424BB" w:rsidR="003E79E7" w:rsidRPr="00C36F96" w:rsidRDefault="003E79E7" w:rsidP="003E79E7">
      <w:pPr>
        <w:pStyle w:val="Citas"/>
        <w:rPr>
          <w:b/>
          <w:bCs/>
        </w:rPr>
      </w:pPr>
      <w:r w:rsidRPr="00C36F96">
        <w:lastRenderedPageBreak/>
        <w:t>ARTÍCULO 193. La Dirección de Desarrollo Económico es la responsable de promover, fomentar y</w:t>
      </w:r>
      <w:r w:rsidR="004F002A" w:rsidRPr="00C36F96">
        <w:t xml:space="preserve"> </w:t>
      </w:r>
      <w:r w:rsidRPr="00C36F96">
        <w:t>regular el desarrollo de las actividades que tengan por objeto extraer, producir, transformar, comercializar</w:t>
      </w:r>
      <w:r w:rsidR="004F002A" w:rsidRPr="00C36F96">
        <w:t xml:space="preserve"> </w:t>
      </w:r>
      <w:r w:rsidRPr="00C36F96">
        <w:t>recursos, bienes y servicios, en coordinación con las demás dependencias y organismos auxiliares de la</w:t>
      </w:r>
      <w:r w:rsidR="004F002A" w:rsidRPr="00C36F96">
        <w:t xml:space="preserve"> </w:t>
      </w:r>
      <w:r w:rsidRPr="00C36F96">
        <w:t>Administración Pública Federal y Estatal conforme a este Bando Municipal y demás leyes en la materia</w:t>
      </w:r>
      <w:r w:rsidR="004F002A" w:rsidRPr="00C36F96">
        <w:t xml:space="preserve">” </w:t>
      </w:r>
      <w:r w:rsidR="004F002A" w:rsidRPr="00C36F96">
        <w:rPr>
          <w:b/>
          <w:bCs/>
        </w:rPr>
        <w:t xml:space="preserve">(Sic) </w:t>
      </w:r>
    </w:p>
    <w:p w14:paraId="5CF7FDFE" w14:textId="77777777" w:rsidR="00087197" w:rsidRPr="00C36F96" w:rsidRDefault="00087197" w:rsidP="00CC3A2A">
      <w:pPr>
        <w:pStyle w:val="Sinespaciado"/>
        <w:spacing w:line="360" w:lineRule="auto"/>
        <w:jc w:val="both"/>
        <w:rPr>
          <w:rFonts w:ascii="Palatino Linotype" w:hAnsi="Palatino Linotype" w:cs="Arial"/>
        </w:rPr>
      </w:pPr>
    </w:p>
    <w:p w14:paraId="334DD59D" w14:textId="77777777" w:rsidR="007F2A58" w:rsidRPr="00C36F96" w:rsidRDefault="007F2A58" w:rsidP="007F2A58">
      <w:pPr>
        <w:spacing w:after="0" w:line="360" w:lineRule="auto"/>
        <w:jc w:val="center"/>
        <w:rPr>
          <w:rFonts w:ascii="Palatino Linotype" w:hAnsi="Palatino Linotype" w:cs="Arial"/>
          <w:b/>
          <w:iCs/>
          <w:color w:val="000000"/>
          <w:lang w:val="es-ES_tradnl"/>
        </w:rPr>
      </w:pPr>
      <w:bookmarkStart w:id="3" w:name="_Hlk214450351"/>
      <w:r w:rsidRPr="00C36F96">
        <w:rPr>
          <w:rFonts w:ascii="Palatino Linotype" w:hAnsi="Palatino Linotype" w:cs="Arial"/>
          <w:b/>
          <w:iCs/>
          <w:color w:val="000000"/>
          <w:lang w:val="es-ES_tradnl"/>
        </w:rPr>
        <w:t>LEY DE CONTRATACIÓN PÚBLICA DEL ESTADO DE MÉXICO</w:t>
      </w:r>
    </w:p>
    <w:p w14:paraId="4C08B80F"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“Artículo 26.- Las adquisiciones, arrendamientos y servicios se adjudicarán a través de licitaciones públicas, mediante convocatoria pública. </w:t>
      </w:r>
    </w:p>
    <w:p w14:paraId="0589F0FE"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17EEF613" w14:textId="77777777" w:rsidR="007F2A58" w:rsidRPr="00C36F96" w:rsidRDefault="007F2A58" w:rsidP="007F2A58">
      <w:pPr>
        <w:pStyle w:val="Prrafodelista"/>
        <w:numPr>
          <w:ilvl w:val="0"/>
          <w:numId w:val="7"/>
        </w:numPr>
        <w:spacing w:before="240" w:after="160" w:line="360" w:lineRule="auto"/>
        <w:ind w:left="851" w:right="851" w:firstLine="0"/>
        <w:jc w:val="both"/>
        <w:rPr>
          <w:rFonts w:ascii="Palatino Linotype" w:hAnsi="Palatino Linotype"/>
          <w:i/>
          <w:sz w:val="22"/>
          <w:szCs w:val="22"/>
        </w:rPr>
      </w:pPr>
      <w:r w:rsidRPr="00C36F96">
        <w:rPr>
          <w:rFonts w:ascii="Palatino Linotype" w:hAnsi="Palatino Linotype"/>
          <w:i/>
          <w:sz w:val="22"/>
          <w:szCs w:val="22"/>
        </w:rPr>
        <w:t>Invitación restringida.</w:t>
      </w:r>
    </w:p>
    <w:p w14:paraId="4562FA6A" w14:textId="77777777" w:rsidR="007F2A58" w:rsidRPr="00C36F96" w:rsidRDefault="007F2A58" w:rsidP="007F2A58">
      <w:pPr>
        <w:pStyle w:val="Prrafodelista"/>
        <w:numPr>
          <w:ilvl w:val="0"/>
          <w:numId w:val="7"/>
        </w:numPr>
        <w:spacing w:before="240" w:after="160" w:line="360" w:lineRule="auto"/>
        <w:ind w:left="851" w:right="851" w:firstLine="0"/>
        <w:jc w:val="both"/>
        <w:rPr>
          <w:rFonts w:ascii="Palatino Linotype" w:hAnsi="Palatino Linotype" w:cs="Arial"/>
          <w:b/>
          <w:i/>
          <w:color w:val="000000"/>
          <w:sz w:val="22"/>
          <w:szCs w:val="22"/>
          <w:lang w:val="es-ES_tradnl"/>
        </w:rPr>
      </w:pPr>
      <w:r w:rsidRPr="00C36F96">
        <w:rPr>
          <w:rFonts w:ascii="Palatino Linotype" w:hAnsi="Palatino Linotype"/>
          <w:i/>
          <w:sz w:val="22"/>
          <w:szCs w:val="22"/>
        </w:rPr>
        <w:t xml:space="preserve"> Adjudicación directa.” </w:t>
      </w:r>
      <w:r w:rsidRPr="00C36F96">
        <w:rPr>
          <w:rFonts w:ascii="Palatino Linotype" w:hAnsi="Palatino Linotype"/>
          <w:b/>
          <w:i/>
          <w:sz w:val="22"/>
          <w:szCs w:val="22"/>
        </w:rPr>
        <w:t>(Sic)</w:t>
      </w:r>
    </w:p>
    <w:p w14:paraId="42A88C0C" w14:textId="77777777" w:rsidR="007F2A58" w:rsidRPr="00C36F96" w:rsidRDefault="007F2A58" w:rsidP="007F2A58">
      <w:pPr>
        <w:spacing w:before="240" w:line="360" w:lineRule="auto"/>
        <w:ind w:left="851" w:right="851"/>
        <w:jc w:val="center"/>
        <w:rPr>
          <w:rFonts w:ascii="Palatino Linotype" w:hAnsi="Palatino Linotype"/>
          <w:b/>
          <w:iCs/>
        </w:rPr>
      </w:pPr>
    </w:p>
    <w:p w14:paraId="49C3B4A3" w14:textId="3977C40A" w:rsidR="007F2A58" w:rsidRPr="00C36F96" w:rsidRDefault="007F2A58" w:rsidP="007F2A58">
      <w:pPr>
        <w:spacing w:before="240" w:line="360" w:lineRule="auto"/>
        <w:ind w:left="851" w:right="851"/>
        <w:jc w:val="center"/>
        <w:rPr>
          <w:rFonts w:ascii="Palatino Linotype" w:hAnsi="Palatino Linotype"/>
          <w:b/>
          <w:iCs/>
        </w:rPr>
      </w:pPr>
      <w:r w:rsidRPr="00C36F96">
        <w:rPr>
          <w:rFonts w:ascii="Palatino Linotype" w:hAnsi="Palatino Linotype"/>
          <w:b/>
          <w:iCs/>
        </w:rPr>
        <w:t>REGLAMENTO DE LA LEY DE CONTRATACIÓN PÚBLICA DEL ESTADO DE MÉXICO Y MUNICIPIOS</w:t>
      </w:r>
    </w:p>
    <w:p w14:paraId="73F5A2E3"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33445922" w14:textId="77777777" w:rsidR="007F2A58" w:rsidRPr="00C36F96" w:rsidRDefault="007F2A58" w:rsidP="007F2A58">
      <w:pPr>
        <w:pStyle w:val="Citas"/>
      </w:pPr>
      <w:r w:rsidRPr="00C36F96">
        <w:lastRenderedPageBreak/>
        <w:t xml:space="preserve">Artículo 54.- Además de las establecidas en la Ley, el Comité de Arrendamientos, Adquisiciones de Inmuebles y Enajenaciones tendrá las siguientes funciones: </w:t>
      </w:r>
    </w:p>
    <w:p w14:paraId="601C2FD0" w14:textId="77777777" w:rsidR="007F2A58" w:rsidRPr="00C36F96" w:rsidRDefault="007F2A58" w:rsidP="007F2A58">
      <w:pPr>
        <w:pStyle w:val="Citas"/>
      </w:pPr>
      <w:r w:rsidRPr="00C36F96">
        <w:t xml:space="preserve">I. Expedir su manual de operación; </w:t>
      </w:r>
    </w:p>
    <w:p w14:paraId="34631CD3" w14:textId="77777777" w:rsidR="007F2A58" w:rsidRPr="00C36F96" w:rsidRDefault="007F2A58" w:rsidP="007F2A58">
      <w:pPr>
        <w:pStyle w:val="Citas"/>
      </w:pPr>
      <w:r w:rsidRPr="00C36F96">
        <w:t xml:space="preserve">II. Revisar y validar el programa anual de arrendamiento; así como formular las observaciones y recomendaciones que estimen convenientes; </w:t>
      </w:r>
    </w:p>
    <w:p w14:paraId="59559175" w14:textId="77777777" w:rsidR="007F2A58" w:rsidRPr="00C36F96" w:rsidRDefault="007F2A58" w:rsidP="007F2A58">
      <w:pPr>
        <w:pStyle w:val="Citas"/>
      </w:pPr>
      <w:r w:rsidRPr="00C36F96">
        <w:t xml:space="preserve">III. Analizar la documentación de los actos relacionados con arrendamiento, adquisiciones de inmuebles y enajenaciones de muebles e inmuebles, y emitir la opinión correspondiente; </w:t>
      </w:r>
    </w:p>
    <w:p w14:paraId="42BA284B" w14:textId="77777777" w:rsidR="007F2A58" w:rsidRPr="00C36F96" w:rsidRDefault="007F2A58" w:rsidP="007F2A58">
      <w:pPr>
        <w:pStyle w:val="Citas"/>
      </w:pPr>
      <w:r w:rsidRPr="00C36F96">
        <w:t xml:space="preserve">IV. Dictaminar sobre las solicitudes para adquirir inmuebles, arrendamientos y subarrendamientos; </w:t>
      </w:r>
    </w:p>
    <w:p w14:paraId="7AA8A992" w14:textId="77777777" w:rsidR="007F2A58" w:rsidRPr="00C36F96" w:rsidRDefault="007F2A58" w:rsidP="007F2A58">
      <w:pPr>
        <w:pStyle w:val="Citas"/>
      </w:pPr>
      <w:r w:rsidRPr="00C36F96">
        <w:t xml:space="preserve">V. Dictaminar sobre las propuestas de enajenación de bienes muebles e inmuebles; </w:t>
      </w:r>
    </w:p>
    <w:p w14:paraId="337E4E8F" w14:textId="77777777" w:rsidR="007F2A58" w:rsidRPr="00C36F96" w:rsidRDefault="007F2A58" w:rsidP="007F2A58">
      <w:pPr>
        <w:pStyle w:val="Citas"/>
      </w:pPr>
      <w:r w:rsidRPr="00C36F96">
        <w:t xml:space="preserve">VI. Solicitar asesoría técnica a las cámaras de comercio, industria de la construcción, de empresas inmobiliarias y colegios de profesionales o de las confederaciones que las agrupan; </w:t>
      </w:r>
    </w:p>
    <w:p w14:paraId="0F989BFE" w14:textId="77777777" w:rsidR="007F2A58" w:rsidRPr="00C36F96" w:rsidRDefault="007F2A58" w:rsidP="007F2A58">
      <w:pPr>
        <w:pStyle w:val="Citas"/>
      </w:pPr>
      <w:r w:rsidRPr="00C36F96">
        <w:t xml:space="preserve">VII. Implementar acciones y emitir acuerdos que considere necesarios para el mejoramiento del procedimiento para arrendamiento, adquisiciones de inmuebles y enajenaciones de muebles e inmuebles; </w:t>
      </w:r>
    </w:p>
    <w:p w14:paraId="6CA52328" w14:textId="77777777" w:rsidR="007F2A58" w:rsidRPr="00C36F96" w:rsidRDefault="007F2A58" w:rsidP="007F2A58">
      <w:pPr>
        <w:pStyle w:val="Citas"/>
      </w:pPr>
      <w:r w:rsidRPr="00C36F96">
        <w:t>VIII. Evaluar las propuestas o posturas que se presenten en los procedimientos de licitación pública, subasta pública, invitación restringida o adjudicación directa;</w:t>
      </w:r>
    </w:p>
    <w:p w14:paraId="1642A51A" w14:textId="77777777" w:rsidR="007F2A58" w:rsidRPr="00C36F96" w:rsidRDefault="007F2A58" w:rsidP="007F2A58">
      <w:pPr>
        <w:pStyle w:val="Citas"/>
      </w:pPr>
      <w:r w:rsidRPr="00C36F96">
        <w:t xml:space="preserve"> IX. Emitir los dictámenes de adjudicación, que servirán para la emisión del fallo en los arrendamientos, adquisiciones de inmuebles y enajenaciones; </w:t>
      </w:r>
    </w:p>
    <w:p w14:paraId="15C49BC2" w14:textId="77777777" w:rsidR="007F2A58" w:rsidRPr="00C36F96" w:rsidRDefault="007F2A58" w:rsidP="007F2A58">
      <w:pPr>
        <w:pStyle w:val="Citas"/>
      </w:pPr>
      <w:r w:rsidRPr="00C36F96">
        <w:lastRenderedPageBreak/>
        <w:t xml:space="preserve">X. Crear subcomités y grupos de trabajo de orden administrativo y técnico que considere necesarios para el desarrollo de sus funciones; y </w:t>
      </w:r>
    </w:p>
    <w:p w14:paraId="329815A1" w14:textId="77777777" w:rsidR="007F2A58" w:rsidRPr="00C36F96" w:rsidRDefault="007F2A58" w:rsidP="007F2A58">
      <w:pPr>
        <w:pStyle w:val="Citas"/>
        <w:rPr>
          <w:b/>
        </w:rPr>
      </w:pPr>
      <w:r w:rsidRPr="00C36F96">
        <w:t>XI. Las demás que sean necesarias para el cumplimiento de sus funciones.</w:t>
      </w:r>
    </w:p>
    <w:p w14:paraId="0F828527" w14:textId="77777777" w:rsidR="007F2A58" w:rsidRPr="00C36F96" w:rsidRDefault="007F2A58" w:rsidP="007F2A58">
      <w:pPr>
        <w:pStyle w:val="Citas"/>
      </w:pPr>
      <w:bookmarkStart w:id="4" w:name="_Hlk152082571"/>
      <w:r w:rsidRPr="00C36F96">
        <w:t xml:space="preserve">Artículo 67.- El procedimiento de licitación pública comprende las siguientes fases: </w:t>
      </w:r>
    </w:p>
    <w:p w14:paraId="1D3ADD78" w14:textId="77777777" w:rsidR="007F2A58" w:rsidRPr="00C36F96" w:rsidRDefault="007F2A58" w:rsidP="007F2A58">
      <w:pPr>
        <w:pStyle w:val="Citas"/>
      </w:pPr>
      <w:r w:rsidRPr="00C36F96">
        <w:t>I. Publicación de la convocatoria;</w:t>
      </w:r>
    </w:p>
    <w:p w14:paraId="764F1630" w14:textId="77777777" w:rsidR="007F2A58" w:rsidRPr="00C36F96" w:rsidRDefault="007F2A58" w:rsidP="007F2A58">
      <w:pPr>
        <w:pStyle w:val="Citas"/>
      </w:pPr>
      <w:r w:rsidRPr="00C36F96">
        <w:t xml:space="preserve"> II. Venta de las bases de licitación;</w:t>
      </w:r>
    </w:p>
    <w:p w14:paraId="53132839" w14:textId="77777777" w:rsidR="007F2A58" w:rsidRPr="00C36F96" w:rsidRDefault="007F2A58" w:rsidP="007F2A58">
      <w:pPr>
        <w:pStyle w:val="Citas"/>
      </w:pPr>
      <w:r w:rsidRPr="00C36F96">
        <w:t xml:space="preserve"> III. Visita, en su caso, al sitio donde se vayan a suministrar los bienes o a prestar los servicios;</w:t>
      </w:r>
    </w:p>
    <w:p w14:paraId="20FAE50E" w14:textId="77777777" w:rsidR="007F2A58" w:rsidRPr="00C36F96" w:rsidRDefault="007F2A58" w:rsidP="007F2A58">
      <w:pPr>
        <w:pStyle w:val="Citas"/>
      </w:pPr>
      <w:r w:rsidRPr="00C36F96">
        <w:t xml:space="preserve"> IV. Junta de aclaraciones, en su caso; </w:t>
      </w:r>
    </w:p>
    <w:p w14:paraId="54321577" w14:textId="77777777" w:rsidR="007F2A58" w:rsidRPr="00C36F96" w:rsidRDefault="007F2A58" w:rsidP="007F2A58">
      <w:pPr>
        <w:pStyle w:val="Citas"/>
      </w:pPr>
      <w:r w:rsidRPr="00C36F96">
        <w:t xml:space="preserve">V. Acto de presentación y apertura de propuestas; </w:t>
      </w:r>
    </w:p>
    <w:p w14:paraId="206E45BB" w14:textId="77777777" w:rsidR="007F2A58" w:rsidRPr="00C36F96" w:rsidRDefault="007F2A58" w:rsidP="007F2A58">
      <w:pPr>
        <w:pStyle w:val="Citas"/>
      </w:pPr>
      <w:r w:rsidRPr="00C36F96">
        <w:t xml:space="preserve">VI. Análisis y evaluación de propuestas; </w:t>
      </w:r>
    </w:p>
    <w:p w14:paraId="4175E60F" w14:textId="77777777" w:rsidR="007F2A58" w:rsidRPr="00C36F96" w:rsidRDefault="007F2A58" w:rsidP="007F2A58">
      <w:pPr>
        <w:pStyle w:val="Citas"/>
      </w:pPr>
      <w:r w:rsidRPr="00C36F96">
        <w:t xml:space="preserve">VII.Dictamen de adjudicación; </w:t>
      </w:r>
    </w:p>
    <w:p w14:paraId="6307A018" w14:textId="77777777" w:rsidR="007F2A58" w:rsidRPr="00C36F96" w:rsidRDefault="007F2A58" w:rsidP="007F2A58">
      <w:pPr>
        <w:pStyle w:val="Citas"/>
      </w:pPr>
      <w:r w:rsidRPr="00C36F96">
        <w:t xml:space="preserve">VIII. Fallo; </w:t>
      </w:r>
    </w:p>
    <w:p w14:paraId="36959FF9" w14:textId="77777777" w:rsidR="007F2A58" w:rsidRPr="00C36F96" w:rsidRDefault="007F2A58" w:rsidP="007F2A58">
      <w:pPr>
        <w:pStyle w:val="Citas"/>
      </w:pPr>
      <w:r w:rsidRPr="00C36F96">
        <w:t xml:space="preserve">IX. Suscripción del contrato; y </w:t>
      </w:r>
    </w:p>
    <w:p w14:paraId="2526D279" w14:textId="77777777" w:rsidR="007F2A58" w:rsidRPr="00C36F96" w:rsidRDefault="007F2A58" w:rsidP="007F2A58">
      <w:pPr>
        <w:pStyle w:val="Citas"/>
      </w:pPr>
      <w:r w:rsidRPr="00C36F96">
        <w:t>X. Suministro de los bienes o inicio de la prestación del servicio.</w:t>
      </w:r>
    </w:p>
    <w:p w14:paraId="5D653C94" w14:textId="77777777" w:rsidR="007F2A58" w:rsidRPr="00C36F96" w:rsidRDefault="007F2A58" w:rsidP="007F2A58">
      <w:pPr>
        <w:pStyle w:val="Citas"/>
      </w:pPr>
      <w:r w:rsidRPr="00C36F96">
        <w:t xml:space="preserve">Artículo 90.- En el procedimiento de invitación restringida se deberá observar lo siguiente: </w:t>
      </w:r>
    </w:p>
    <w:p w14:paraId="0FD1E4B1" w14:textId="77777777" w:rsidR="007F2A58" w:rsidRPr="00C36F96" w:rsidRDefault="007F2A58" w:rsidP="007F2A58">
      <w:pPr>
        <w:pStyle w:val="Citas"/>
      </w:pPr>
      <w:r w:rsidRPr="00C36F96">
        <w:t xml:space="preserve">I. Se invitará a un mínimo de tres personas seleccionadas de entre las que se encuentren inscritas en el catálogo de proveedores y de prestadores de servicios. Se </w:t>
      </w:r>
      <w:r w:rsidRPr="00C36F96">
        <w:lastRenderedPageBreak/>
        <w:t xml:space="preserve">podrá invitar a personas que no se encuentren inscritas, cuando en el giro correspondiente del catálogo de proveedores y prestadores de servicios no exista el registro mínimo de personas requeridas para tal modalidad; </w:t>
      </w:r>
    </w:p>
    <w:p w14:paraId="023F1580" w14:textId="77777777" w:rsidR="007F2A58" w:rsidRPr="00C36F96" w:rsidRDefault="007F2A58" w:rsidP="007F2A58">
      <w:pPr>
        <w:pStyle w:val="Citas"/>
      </w:pPr>
      <w:r w:rsidRPr="00C36F96">
        <w:t xml:space="preserve">II. Las bases de la invitación restringida indicarán los aspectos de la adquisición o contratación; y </w:t>
      </w:r>
    </w:p>
    <w:p w14:paraId="49286FA5" w14:textId="77777777" w:rsidR="007F2A58" w:rsidRPr="00C36F96" w:rsidRDefault="007F2A58" w:rsidP="007F2A58">
      <w:pPr>
        <w:pStyle w:val="Citas"/>
      </w:pPr>
      <w:r w:rsidRPr="00C36F96">
        <w:t>III. Serán aplicables, en lo conducente, las disposiciones de la licitación pública</w:t>
      </w:r>
    </w:p>
    <w:p w14:paraId="2F4FE3DD" w14:textId="77777777" w:rsidR="007F2A58" w:rsidRPr="00C36F96" w:rsidRDefault="007F2A58" w:rsidP="007F2A58">
      <w:pPr>
        <w:pStyle w:val="Citas"/>
      </w:pPr>
      <w:r w:rsidRPr="00C36F96">
        <w:t xml:space="preserve">Artículo 94.- En el procedimiento de adjudicación directa se observará lo siguiente: </w:t>
      </w:r>
    </w:p>
    <w:p w14:paraId="26E55460" w14:textId="77777777" w:rsidR="007F2A58" w:rsidRPr="00C36F96" w:rsidRDefault="007F2A58" w:rsidP="007F2A58">
      <w:pPr>
        <w:pStyle w:val="Citas"/>
      </w:pPr>
      <w:r w:rsidRPr="00C36F96">
        <w:t xml:space="preserve">I.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 </w:t>
      </w:r>
    </w:p>
    <w:p w14:paraId="46E2BE77" w14:textId="77777777" w:rsidR="007F2A58" w:rsidRPr="00C36F96" w:rsidRDefault="007F2A58" w:rsidP="007F2A58">
      <w:pPr>
        <w:pStyle w:val="Citas"/>
      </w:pPr>
      <w:r w:rsidRPr="00C36F96">
        <w:t xml:space="preserve">II. Se considerará a la persona que atendiendo al bien o servicio que se pretenda adquirir o contratar, pueda suministrarlo o prestarlo en las mejores condiciones disponibles en cuanto a precio, calidad, financiamiento, oportunidad y demás circunstancias pertinentes; </w:t>
      </w:r>
    </w:p>
    <w:p w14:paraId="03B1C209" w14:textId="77777777" w:rsidR="007F2A58" w:rsidRPr="00C36F96" w:rsidRDefault="007F2A58" w:rsidP="007F2A58">
      <w:pPr>
        <w:pStyle w:val="Citas"/>
      </w:pPr>
      <w:r w:rsidRPr="00C36F96">
        <w:t xml:space="preserve">III. La solicitud de participación contendrá, como mínimo, la descripción y cantidad de los bienes o servicios requeridos, lugar, plazo de entrega o duración del servicio y forma de pago; </w:t>
      </w:r>
    </w:p>
    <w:p w14:paraId="556D8ED6" w14:textId="77777777" w:rsidR="007F2A58" w:rsidRPr="00C36F96" w:rsidRDefault="007F2A58" w:rsidP="007F2A58">
      <w:pPr>
        <w:pStyle w:val="Citas"/>
      </w:pPr>
      <w:r w:rsidRPr="00C36F96">
        <w:t xml:space="preserve">IV. La solicitud de participación deberá señalar el día, hora y lugar en que tendrá verificativo el acto de presentación y apertura de ofertas; </w:t>
      </w:r>
    </w:p>
    <w:p w14:paraId="670D9117" w14:textId="77777777" w:rsidR="007F2A58" w:rsidRPr="00C36F96" w:rsidRDefault="007F2A58" w:rsidP="007F2A58">
      <w:pPr>
        <w:pStyle w:val="Citas"/>
      </w:pPr>
      <w:r w:rsidRPr="00C36F96">
        <w:lastRenderedPageBreak/>
        <w:t xml:space="preserve">V. Atendiendo a la naturaleza de los bienes o servicios, la convocante podrá optar entre celebrar o no junta de aclaraciones, en términos de lo dispuesto por este Reglamento; </w:t>
      </w:r>
    </w:p>
    <w:p w14:paraId="0E840809" w14:textId="77777777" w:rsidR="007F2A58" w:rsidRPr="00C36F96" w:rsidRDefault="007F2A58" w:rsidP="007F2A58">
      <w:pPr>
        <w:pStyle w:val="Citas"/>
      </w:pPr>
      <w:r w:rsidRPr="00C36F96">
        <w:t xml:space="preserve">VI. El servidor público designado por la convocante será el responsable de llevar a cabo el acto de presentación y apertura de propuestas; </w:t>
      </w:r>
    </w:p>
    <w:p w14:paraId="7A34EB3A" w14:textId="77777777" w:rsidR="007F2A58" w:rsidRPr="00C36F96" w:rsidRDefault="007F2A58" w:rsidP="007F2A58">
      <w:pPr>
        <w:pStyle w:val="Citas"/>
      </w:pPr>
      <w:r w:rsidRPr="00C36F96">
        <w:t xml:space="preserve">VII. Se observarán, en lo conducente, las disposiciones relativas a la contraoferta; y </w:t>
      </w:r>
    </w:p>
    <w:p w14:paraId="5B31057B" w14:textId="77777777" w:rsidR="007F2A58" w:rsidRPr="00C36F96" w:rsidRDefault="007F2A58" w:rsidP="007F2A58">
      <w:pPr>
        <w:pStyle w:val="Citas"/>
      </w:pPr>
      <w:r w:rsidRPr="00C36F96">
        <w:t xml:space="preserve">VIII. El comité será responsable de emitir el dictamen de adjudicación que servirá de base para el fallo de adjudicación; correspondiendo a la convocante emitir dicho fallo, quien lo hará del conocimiento de los licitantes. </w:t>
      </w:r>
    </w:p>
    <w:p w14:paraId="02AC31CE" w14:textId="77777777" w:rsidR="007F2A58" w:rsidRPr="00C36F96" w:rsidRDefault="007F2A58" w:rsidP="007F2A58">
      <w:pPr>
        <w:pStyle w:val="Citas"/>
        <w:rPr>
          <w:b/>
          <w:bCs/>
        </w:rPr>
      </w:pPr>
      <w:r w:rsidRPr="00C36F96">
        <w:t xml:space="preserve">Los actos referidos en los incisos anteriores deberán documentarse en el acta correspondiente y publicarse en el sistema COMPRAMEX” </w:t>
      </w:r>
      <w:r w:rsidRPr="00C36F96">
        <w:rPr>
          <w:b/>
          <w:bCs/>
        </w:rPr>
        <w:t>(Sic)</w:t>
      </w:r>
    </w:p>
    <w:bookmarkEnd w:id="3"/>
    <w:bookmarkEnd w:id="4"/>
    <w:p w14:paraId="22FF5174" w14:textId="77777777" w:rsidR="007F2A58" w:rsidRPr="00C36F96" w:rsidRDefault="007F2A58" w:rsidP="007F2A58">
      <w:pPr>
        <w:spacing w:before="240" w:line="360" w:lineRule="auto"/>
        <w:jc w:val="both"/>
        <w:rPr>
          <w:rFonts w:ascii="Palatino Linotype" w:hAnsi="Palatino Linotype"/>
          <w:sz w:val="24"/>
          <w:szCs w:val="24"/>
        </w:rPr>
      </w:pPr>
    </w:p>
    <w:p w14:paraId="37E489AA" w14:textId="0580EF92" w:rsidR="007F2A58" w:rsidRPr="00C36F96" w:rsidRDefault="007F2A58" w:rsidP="007F2A58">
      <w:pPr>
        <w:spacing w:before="240" w:line="360" w:lineRule="auto"/>
        <w:jc w:val="both"/>
        <w:rPr>
          <w:rFonts w:ascii="Palatino Linotype" w:hAnsi="Palatino Linotype"/>
          <w:sz w:val="24"/>
          <w:szCs w:val="24"/>
        </w:rPr>
      </w:pPr>
      <w:r w:rsidRPr="00C36F96">
        <w:rPr>
          <w:rFonts w:ascii="Palatino Linotype" w:hAnsi="Palatino Linotype"/>
          <w:sz w:val="24"/>
          <w:szCs w:val="24"/>
        </w:rPr>
        <w:t xml:space="preserve">En función de lo planteado, </w:t>
      </w:r>
      <w:r w:rsidR="00434F72" w:rsidRPr="00C36F96">
        <w:rPr>
          <w:rFonts w:ascii="Palatino Linotype" w:hAnsi="Palatino Linotype"/>
          <w:sz w:val="24"/>
          <w:szCs w:val="24"/>
        </w:rPr>
        <w:t>las unidades administrativas referidas con antelación regulan</w:t>
      </w:r>
      <w:r w:rsidRPr="00C36F96">
        <w:rPr>
          <w:rFonts w:ascii="Palatino Linotype" w:hAnsi="Palatino Linotype"/>
          <w:sz w:val="24"/>
          <w:szCs w:val="24"/>
        </w:rPr>
        <w:t xml:space="preserve"> diversas aristas tales como: </w:t>
      </w:r>
    </w:p>
    <w:p w14:paraId="558203EA" w14:textId="77777777" w:rsidR="007F2A58" w:rsidRPr="00C36F96" w:rsidRDefault="007F2A58" w:rsidP="007F2A58">
      <w:pPr>
        <w:pStyle w:val="Prrafodelista"/>
        <w:numPr>
          <w:ilvl w:val="0"/>
          <w:numId w:val="9"/>
        </w:numPr>
        <w:spacing w:before="240" w:line="360" w:lineRule="auto"/>
        <w:jc w:val="both"/>
        <w:rPr>
          <w:rFonts w:ascii="Palatino Linotype" w:hAnsi="Palatino Linotype"/>
        </w:rPr>
      </w:pPr>
      <w:r w:rsidRPr="00C36F96">
        <w:rPr>
          <w:rFonts w:ascii="Palatino Linotype" w:hAnsi="Palatino Linotype"/>
        </w:rPr>
        <w:t>Procedimientos adquisitivos mediante comité</w:t>
      </w:r>
    </w:p>
    <w:p w14:paraId="77DD1AF2" w14:textId="77777777" w:rsidR="007F2A58" w:rsidRPr="00C36F96" w:rsidRDefault="007F2A58" w:rsidP="007F2A58">
      <w:pPr>
        <w:pStyle w:val="Prrafodelista"/>
        <w:numPr>
          <w:ilvl w:val="0"/>
          <w:numId w:val="9"/>
        </w:numPr>
        <w:spacing w:before="240" w:line="360" w:lineRule="auto"/>
        <w:jc w:val="both"/>
        <w:rPr>
          <w:rFonts w:ascii="Palatino Linotype" w:hAnsi="Palatino Linotype"/>
        </w:rPr>
      </w:pPr>
      <w:r w:rsidRPr="00C36F96">
        <w:rPr>
          <w:rFonts w:ascii="Palatino Linotype" w:hAnsi="Palatino Linotype"/>
        </w:rPr>
        <w:t>Celebración de contratos con proveedores</w:t>
      </w:r>
    </w:p>
    <w:p w14:paraId="785FA82D" w14:textId="77777777" w:rsidR="007F2A58" w:rsidRPr="00C36F96" w:rsidRDefault="007F2A58" w:rsidP="007F2A58">
      <w:pPr>
        <w:pStyle w:val="Prrafodelista"/>
        <w:numPr>
          <w:ilvl w:val="0"/>
          <w:numId w:val="9"/>
        </w:numPr>
        <w:spacing w:before="240" w:line="360" w:lineRule="auto"/>
        <w:jc w:val="both"/>
        <w:rPr>
          <w:rFonts w:ascii="Palatino Linotype" w:hAnsi="Palatino Linotype"/>
        </w:rPr>
      </w:pPr>
      <w:r w:rsidRPr="00C36F96">
        <w:rPr>
          <w:rFonts w:ascii="Palatino Linotype" w:hAnsi="Palatino Linotype"/>
        </w:rPr>
        <w:t>Coordinar el ejercicio del presupuesto</w:t>
      </w:r>
    </w:p>
    <w:p w14:paraId="70BB2F7F" w14:textId="1D08CAF5" w:rsidR="004F002A" w:rsidRPr="00C36F96" w:rsidRDefault="004F002A" w:rsidP="007F2A58">
      <w:pPr>
        <w:pStyle w:val="Prrafodelista"/>
        <w:numPr>
          <w:ilvl w:val="0"/>
          <w:numId w:val="9"/>
        </w:numPr>
        <w:spacing w:before="240" w:line="360" w:lineRule="auto"/>
        <w:jc w:val="both"/>
        <w:rPr>
          <w:rFonts w:ascii="Palatino Linotype" w:hAnsi="Palatino Linotype"/>
        </w:rPr>
      </w:pPr>
      <w:r w:rsidRPr="00C36F96">
        <w:rPr>
          <w:rFonts w:ascii="Palatino Linotype" w:hAnsi="Palatino Linotype"/>
        </w:rPr>
        <w:t>Promover, fomentar y regular las actividades económicas municipales</w:t>
      </w:r>
    </w:p>
    <w:p w14:paraId="59AAA0B6" w14:textId="77777777" w:rsidR="007F2A58" w:rsidRPr="00C36F96" w:rsidRDefault="007F2A58" w:rsidP="007F2A58">
      <w:pPr>
        <w:pStyle w:val="Prrafodelista"/>
        <w:numPr>
          <w:ilvl w:val="0"/>
          <w:numId w:val="9"/>
        </w:numPr>
        <w:spacing w:before="240" w:line="360" w:lineRule="auto"/>
        <w:jc w:val="both"/>
        <w:rPr>
          <w:rFonts w:ascii="Palatino Linotype" w:hAnsi="Palatino Linotype"/>
        </w:rPr>
      </w:pPr>
      <w:r w:rsidRPr="00C36F96">
        <w:rPr>
          <w:rFonts w:ascii="Palatino Linotype" w:hAnsi="Palatino Linotype"/>
        </w:rPr>
        <w:t xml:space="preserve">Otros. </w:t>
      </w:r>
    </w:p>
    <w:p w14:paraId="57DC32A7" w14:textId="77777777" w:rsidR="00087197" w:rsidRPr="00C36F96" w:rsidRDefault="00087197" w:rsidP="00CC3A2A">
      <w:pPr>
        <w:pStyle w:val="Sinespaciado"/>
        <w:spacing w:line="360" w:lineRule="auto"/>
        <w:jc w:val="both"/>
        <w:rPr>
          <w:rFonts w:ascii="Palatino Linotype" w:hAnsi="Palatino Linotype" w:cs="Arial"/>
        </w:rPr>
      </w:pPr>
    </w:p>
    <w:p w14:paraId="5C18EFFF" w14:textId="77777777" w:rsidR="007F2A58" w:rsidRPr="00C36F96" w:rsidRDefault="007F2A58" w:rsidP="007F2A58">
      <w:pPr>
        <w:spacing w:before="240" w:line="360" w:lineRule="auto"/>
        <w:jc w:val="both"/>
        <w:rPr>
          <w:rFonts w:ascii="Palatino Linotype" w:hAnsi="Palatino Linotype"/>
          <w:bCs/>
          <w:sz w:val="24"/>
          <w:szCs w:val="24"/>
        </w:rPr>
      </w:pPr>
      <w:bookmarkStart w:id="5" w:name="_Hlk211524377"/>
      <w:r w:rsidRPr="00C36F96">
        <w:rPr>
          <w:rFonts w:ascii="Palatino Linotype" w:hAnsi="Palatino Linotype" w:cs="Arial"/>
          <w:sz w:val="24"/>
          <w:szCs w:val="24"/>
        </w:rPr>
        <w:lastRenderedPageBreak/>
        <w:t xml:space="preserve">Por otra parte, es óbice mencionar que la información requerida estriba parcialmente en las obligaciones en las obligaciones de transparencia común, lo anterior con fundamento </w:t>
      </w:r>
      <w:r w:rsidRPr="00C36F96">
        <w:rPr>
          <w:rFonts w:ascii="Palatino Linotype" w:hAnsi="Palatino Linotype"/>
          <w:bCs/>
          <w:sz w:val="24"/>
          <w:szCs w:val="24"/>
        </w:rPr>
        <w:t>en los artículos 24, fracción XII, 92, fracción XXIX de la Ley de Transparencia y Acceso a la Información Pública del Estado de México y Municipios, porciones normativas que disponen a la literalidad lo siguiente:</w:t>
      </w:r>
    </w:p>
    <w:p w14:paraId="43BC038C"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“Artículo 24. Para el cumplimiento de los objetivos de esta Ley, los sujetos obligados deberán cumplir con las siguientes obligaciones, según corresponda, de acuerdo a su naturaleza:</w:t>
      </w:r>
    </w:p>
    <w:p w14:paraId="1EE0D9A5"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w:t>
      </w:r>
    </w:p>
    <w:p w14:paraId="330A42DE" w14:textId="77777777" w:rsidR="007F2A58" w:rsidRPr="00C36F96" w:rsidRDefault="007F2A58" w:rsidP="007F2A58">
      <w:pPr>
        <w:spacing w:before="240" w:line="360" w:lineRule="auto"/>
        <w:ind w:left="851" w:right="851"/>
        <w:jc w:val="both"/>
        <w:rPr>
          <w:rFonts w:ascii="Palatino Linotype" w:hAnsi="Palatino Linotype"/>
          <w:bCs/>
          <w:i/>
        </w:rPr>
      </w:pPr>
      <w:r w:rsidRPr="00C36F96">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2BB413C5" w14:textId="77777777" w:rsidR="007F2A58" w:rsidRPr="00C36F96" w:rsidRDefault="007F2A58" w:rsidP="007F2A58">
      <w:pPr>
        <w:spacing w:before="240" w:line="360" w:lineRule="auto"/>
        <w:ind w:left="851" w:right="851"/>
        <w:jc w:val="both"/>
        <w:rPr>
          <w:rFonts w:ascii="Palatino Linotype" w:hAnsi="Palatino Linotype"/>
          <w:bCs/>
          <w:i/>
        </w:rPr>
      </w:pPr>
      <w:r w:rsidRPr="00C36F96">
        <w:rPr>
          <w:rFonts w:ascii="Palatino Linotype" w:hAnsi="Palatino Linotype"/>
          <w:bCs/>
          <w:i/>
        </w:rPr>
        <w:t>(…)</w:t>
      </w:r>
    </w:p>
    <w:p w14:paraId="36672D3B" w14:textId="77777777" w:rsidR="007F2A58" w:rsidRPr="00C36F96" w:rsidRDefault="007F2A58" w:rsidP="007F2A58">
      <w:pPr>
        <w:spacing w:before="240" w:line="360" w:lineRule="auto"/>
        <w:ind w:left="851" w:right="851"/>
        <w:jc w:val="both"/>
        <w:rPr>
          <w:rFonts w:ascii="Palatino Linotype" w:hAnsi="Palatino Linotype"/>
          <w:bCs/>
          <w:sz w:val="24"/>
          <w:szCs w:val="24"/>
        </w:rPr>
      </w:pPr>
      <w:r w:rsidRPr="00C36F96">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F3F00E8" w14:textId="77777777" w:rsidR="007F2A58" w:rsidRPr="00C36F96" w:rsidRDefault="007F2A58" w:rsidP="007F2A58">
      <w:pPr>
        <w:pStyle w:val="Citas"/>
      </w:pPr>
      <w:r w:rsidRPr="00C36F96">
        <w:t>(…)</w:t>
      </w:r>
    </w:p>
    <w:bookmarkEnd w:id="5"/>
    <w:p w14:paraId="1F12A145" w14:textId="77777777" w:rsidR="007F2A58" w:rsidRPr="00C36F96" w:rsidRDefault="007F2A58" w:rsidP="007F2A58">
      <w:pPr>
        <w:spacing w:before="240" w:line="360" w:lineRule="auto"/>
        <w:ind w:left="851" w:right="851"/>
        <w:jc w:val="both"/>
        <w:rPr>
          <w:rFonts w:ascii="Palatino Linotype" w:hAnsi="Palatino Linotype"/>
          <w:b/>
          <w:i/>
          <w:u w:val="single"/>
        </w:rPr>
      </w:pPr>
      <w:r w:rsidRPr="00C36F96">
        <w:rPr>
          <w:rFonts w:ascii="Palatino Linotype" w:hAnsi="Palatino Linotype"/>
          <w:b/>
          <w:i/>
          <w:u w:val="single"/>
        </w:rPr>
        <w:t xml:space="preserve">XXIX. La información sobre los procesos y resultados sobre procedimientos de adjudicación directa, invitación restringida y licitación de cualquier </w:t>
      </w:r>
      <w:r w:rsidRPr="00C36F96">
        <w:rPr>
          <w:rFonts w:ascii="Palatino Linotype" w:hAnsi="Palatino Linotype"/>
          <w:b/>
          <w:i/>
          <w:u w:val="single"/>
        </w:rPr>
        <w:lastRenderedPageBreak/>
        <w:t>naturaleza, incluyendo la versión pública del expediente respectivo y de los contratos celebrados, que deberán contener, por los menos, lo siguiente:</w:t>
      </w:r>
    </w:p>
    <w:p w14:paraId="28C19781" w14:textId="77777777" w:rsidR="007F2A58" w:rsidRPr="00C36F96" w:rsidRDefault="007F2A58" w:rsidP="007F2A58">
      <w:pPr>
        <w:spacing w:before="240" w:line="360" w:lineRule="auto"/>
        <w:ind w:left="851" w:right="851"/>
        <w:jc w:val="both"/>
        <w:rPr>
          <w:rFonts w:ascii="Palatino Linotype" w:hAnsi="Palatino Linotype"/>
          <w:b/>
          <w:bCs/>
          <w:i/>
          <w:u w:val="single"/>
        </w:rPr>
      </w:pPr>
      <w:r w:rsidRPr="00C36F96">
        <w:rPr>
          <w:rFonts w:ascii="Palatino Linotype" w:hAnsi="Palatino Linotype"/>
          <w:b/>
          <w:bCs/>
          <w:i/>
          <w:u w:val="single"/>
        </w:rPr>
        <w:t xml:space="preserve">a) De licitaciones públicas o procedimientos de invitación restringida: </w:t>
      </w:r>
    </w:p>
    <w:p w14:paraId="25DDF5A0"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1) La convocatoria o invitación emitida, así como los fundamentos legales aplicados para llevarla a cabo; </w:t>
      </w:r>
    </w:p>
    <w:p w14:paraId="4F24B2B9"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2) Los nombres de los participantes o invitados; </w:t>
      </w:r>
    </w:p>
    <w:p w14:paraId="4DE93481"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3) El nombre del ganador y las razones que lo justifican; </w:t>
      </w:r>
    </w:p>
    <w:p w14:paraId="069015C7"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4) El área solicitante y la responsable de su ejecución; </w:t>
      </w:r>
    </w:p>
    <w:p w14:paraId="60A02FC2"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5) Las convocatorias e invitaciones emitidas; </w:t>
      </w:r>
    </w:p>
    <w:p w14:paraId="7C5515B7"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6) Los dictámenes y fallo de adjudicación; </w:t>
      </w:r>
    </w:p>
    <w:p w14:paraId="672F116D" w14:textId="77777777" w:rsidR="007F2A58" w:rsidRPr="00C36F96" w:rsidRDefault="007F2A58" w:rsidP="007F2A58">
      <w:pPr>
        <w:spacing w:before="240" w:line="360" w:lineRule="auto"/>
        <w:ind w:left="851" w:right="851"/>
        <w:jc w:val="both"/>
        <w:rPr>
          <w:rFonts w:ascii="Palatino Linotype" w:hAnsi="Palatino Linotype"/>
          <w:b/>
          <w:bCs/>
          <w:i/>
          <w:u w:val="single"/>
        </w:rPr>
      </w:pPr>
      <w:r w:rsidRPr="00C36F96">
        <w:rPr>
          <w:rFonts w:ascii="Palatino Linotype" w:hAnsi="Palatino Linotype"/>
          <w:b/>
          <w:bCs/>
          <w:i/>
          <w:u w:val="single"/>
        </w:rPr>
        <w:t xml:space="preserve">7) El contrato y, en su caso, sus anexos; </w:t>
      </w:r>
    </w:p>
    <w:p w14:paraId="13BC7DDC"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8) Los mecanismos de vigilancia y supervisión, incluyendo en su caso, los estudios de impacto urbano y ambiental, según corresponda; </w:t>
      </w:r>
    </w:p>
    <w:p w14:paraId="41350CAE"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9) La partida presupuestal, de conformidad con el clasificador por objeto del gasto, en el caso de ser aplicable; </w:t>
      </w:r>
    </w:p>
    <w:p w14:paraId="2B344C0C"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10) Origen de los recursos especificando si son federales, estatales o municipales, así como el tipo de fondo de participación o aportación respectiva; </w:t>
      </w:r>
    </w:p>
    <w:p w14:paraId="1056443A" w14:textId="77777777" w:rsidR="007F2A58" w:rsidRPr="00C36F96" w:rsidRDefault="007F2A58" w:rsidP="007F2A58">
      <w:pPr>
        <w:spacing w:before="240" w:line="360" w:lineRule="auto"/>
        <w:ind w:left="851" w:right="851"/>
        <w:jc w:val="both"/>
        <w:rPr>
          <w:rFonts w:ascii="Palatino Linotype" w:hAnsi="Palatino Linotype"/>
          <w:b/>
          <w:bCs/>
          <w:i/>
          <w:u w:val="single"/>
        </w:rPr>
      </w:pPr>
      <w:r w:rsidRPr="00C36F96">
        <w:rPr>
          <w:rFonts w:ascii="Palatino Linotype" w:hAnsi="Palatino Linotype"/>
          <w:b/>
          <w:bCs/>
          <w:i/>
          <w:u w:val="single"/>
        </w:rPr>
        <w:t>11) Los convenios modificatorios que, en su caso, sean firmados, precisando el objeto y la fecha de celebración;</w:t>
      </w:r>
    </w:p>
    <w:p w14:paraId="58840CB5"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lastRenderedPageBreak/>
        <w:t xml:space="preserve"> 12) Los informes de avance físico y financiero sobre las obras o servicios contratados; 13) El convenio de terminación; y </w:t>
      </w:r>
    </w:p>
    <w:p w14:paraId="5CE858F7"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14) El finiquito. </w:t>
      </w:r>
    </w:p>
    <w:p w14:paraId="58A9D412" w14:textId="77777777" w:rsidR="007F2A58" w:rsidRPr="00C36F96" w:rsidRDefault="007F2A58" w:rsidP="007F2A58">
      <w:pPr>
        <w:spacing w:before="240" w:line="360" w:lineRule="auto"/>
        <w:ind w:left="851" w:right="851"/>
        <w:jc w:val="both"/>
        <w:rPr>
          <w:rFonts w:ascii="Palatino Linotype" w:hAnsi="Palatino Linotype"/>
          <w:b/>
          <w:i/>
          <w:u w:val="single"/>
        </w:rPr>
      </w:pPr>
      <w:r w:rsidRPr="00C36F96">
        <w:rPr>
          <w:rFonts w:ascii="Palatino Linotype" w:hAnsi="Palatino Linotype"/>
          <w:b/>
          <w:i/>
          <w:u w:val="single"/>
        </w:rPr>
        <w:t xml:space="preserve">b) De las adjudicaciones directas: </w:t>
      </w:r>
    </w:p>
    <w:p w14:paraId="0639964D"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1) La propuesta enviada por el participante; </w:t>
      </w:r>
    </w:p>
    <w:p w14:paraId="6A47C0B1"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2) Los motivos y fundamentos legales aplicados para llevarla a cabo; </w:t>
      </w:r>
    </w:p>
    <w:p w14:paraId="5DB83365"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3) La autorización del ejercicio de la opción; </w:t>
      </w:r>
    </w:p>
    <w:p w14:paraId="7E989582"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4) En su caso, las cotizaciones consideradas, especificando los nombres de los proveedores y sus montos; </w:t>
      </w:r>
    </w:p>
    <w:p w14:paraId="3EACAB0A"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5) El nombre de la persona física o jurídica colectiva adjudicada; </w:t>
      </w:r>
    </w:p>
    <w:p w14:paraId="012A8091"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6) La unidad administrativa solicitante y la responsable de su ejecución; </w:t>
      </w:r>
    </w:p>
    <w:p w14:paraId="5692FDA9"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7) El número, fecha, el monto del contrato y el plazo de entrega o de ejecución de los servicios u obra; </w:t>
      </w:r>
    </w:p>
    <w:p w14:paraId="601A2512"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8) Los mecanismos de vigilancia y supervisión, incluyendo, en su caso, los estudios de impacto urbano y ambiental, según corresponda; </w:t>
      </w:r>
    </w:p>
    <w:p w14:paraId="660CFF53"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9) Los informes de avance sobre las obras o servicios contratados; </w:t>
      </w:r>
    </w:p>
    <w:p w14:paraId="1BAC008D"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 xml:space="preserve">10) El convenio de terminación; y </w:t>
      </w:r>
    </w:p>
    <w:p w14:paraId="309DDC31" w14:textId="77777777" w:rsidR="007F2A58" w:rsidRPr="00C36F96" w:rsidRDefault="007F2A58" w:rsidP="007F2A58">
      <w:pPr>
        <w:spacing w:before="240" w:line="360" w:lineRule="auto"/>
        <w:ind w:left="851" w:right="851"/>
        <w:jc w:val="both"/>
        <w:rPr>
          <w:rFonts w:ascii="Palatino Linotype" w:hAnsi="Palatino Linotype"/>
          <w:i/>
        </w:rPr>
      </w:pPr>
      <w:r w:rsidRPr="00C36F96">
        <w:rPr>
          <w:rFonts w:ascii="Palatino Linotype" w:hAnsi="Palatino Linotype"/>
          <w:i/>
        </w:rPr>
        <w:t>11) El finiquito.</w:t>
      </w:r>
    </w:p>
    <w:p w14:paraId="33151BC5" w14:textId="2A90A277" w:rsidR="007F2A58" w:rsidRPr="00C36F96" w:rsidRDefault="007F2A58" w:rsidP="007F2A58">
      <w:pPr>
        <w:pStyle w:val="Citas"/>
        <w:ind w:left="0" w:right="0"/>
        <w:rPr>
          <w:i w:val="0"/>
          <w:iCs/>
          <w:sz w:val="24"/>
          <w:szCs w:val="24"/>
        </w:rPr>
      </w:pPr>
    </w:p>
    <w:p w14:paraId="445DB0AC" w14:textId="465A1B23" w:rsidR="00B27191" w:rsidRPr="00C36F96" w:rsidRDefault="007F2A58" w:rsidP="007F2A58">
      <w:pPr>
        <w:pStyle w:val="Citas"/>
        <w:ind w:left="0" w:right="0"/>
        <w:rPr>
          <w:rFonts w:eastAsia="Arial Unicode MS"/>
          <w:i w:val="0"/>
          <w:iCs/>
          <w:sz w:val="24"/>
          <w:szCs w:val="24"/>
        </w:rPr>
      </w:pPr>
      <w:bookmarkStart w:id="6" w:name="_Hlk211524466"/>
      <w:r w:rsidRPr="00C36F96">
        <w:rPr>
          <w:rFonts w:eastAsia="MS Mincho" w:cs="Tahoma"/>
          <w:i w:val="0"/>
          <w:iCs/>
          <w:sz w:val="24"/>
          <w:szCs w:val="24"/>
        </w:rPr>
        <w:lastRenderedPageBreak/>
        <w:t xml:space="preserve">Así </w:t>
      </w:r>
      <w:r w:rsidRPr="00C36F96">
        <w:rPr>
          <w:rFonts w:eastAsia="Arial Unicode MS"/>
          <w:i w:val="0"/>
          <w:iCs/>
          <w:sz w:val="24"/>
          <w:szCs w:val="24"/>
        </w:rPr>
        <w:t xml:space="preserve">el artículo 92 fracción </w:t>
      </w:r>
      <w:r w:rsidRPr="00C36F96">
        <w:rPr>
          <w:bCs/>
          <w:i w:val="0"/>
          <w:iCs/>
          <w:sz w:val="24"/>
          <w:szCs w:val="24"/>
        </w:rPr>
        <w:t xml:space="preserve">XXIX de la Ley de Transparencia y Acceso a la Información Pública del Estado de México y Municipios </w:t>
      </w:r>
      <w:r w:rsidRPr="00C36F96">
        <w:rPr>
          <w:rFonts w:eastAsia="Arial Unicode MS"/>
          <w:i w:val="0"/>
          <w:iCs/>
          <w:sz w:val="24"/>
          <w:szCs w:val="24"/>
        </w:rPr>
        <w:t>señala que la información requerida respecto de</w:t>
      </w:r>
      <w:r w:rsidR="00B27191" w:rsidRPr="00C36F96">
        <w:rPr>
          <w:rFonts w:eastAsia="Arial Unicode MS"/>
          <w:i w:val="0"/>
          <w:iCs/>
          <w:sz w:val="24"/>
          <w:szCs w:val="24"/>
        </w:rPr>
        <w:t xml:space="preserve"> </w:t>
      </w:r>
      <w:r w:rsidR="004F002A" w:rsidRPr="00C36F96">
        <w:rPr>
          <w:rFonts w:eastAsia="Arial Unicode MS"/>
          <w:i w:val="0"/>
          <w:iCs/>
          <w:sz w:val="24"/>
          <w:szCs w:val="24"/>
        </w:rPr>
        <w:t xml:space="preserve">licitaciones, contratos, propuestas constituyen una </w:t>
      </w:r>
      <w:r w:rsidR="00B27191" w:rsidRPr="00C36F96">
        <w:rPr>
          <w:rFonts w:eastAsia="Arial Unicode MS"/>
          <w:i w:val="0"/>
          <w:iCs/>
          <w:sz w:val="24"/>
          <w:szCs w:val="24"/>
        </w:rPr>
        <w:t xml:space="preserve">obligación de transparencia común. </w:t>
      </w:r>
    </w:p>
    <w:bookmarkEnd w:id="6"/>
    <w:p w14:paraId="48473821" w14:textId="6B4686EA" w:rsidR="004F002A" w:rsidRPr="00C36F96" w:rsidRDefault="004F002A" w:rsidP="004F002A">
      <w:pPr>
        <w:autoSpaceDE w:val="0"/>
        <w:autoSpaceDN w:val="0"/>
        <w:adjustRightInd w:val="0"/>
        <w:spacing w:before="240" w:line="360" w:lineRule="auto"/>
        <w:jc w:val="both"/>
        <w:rPr>
          <w:rFonts w:ascii="Palatino Linotype" w:hAnsi="Palatino Linotype" w:cs="Arial"/>
          <w:bCs/>
          <w:sz w:val="24"/>
          <w:szCs w:val="24"/>
        </w:rPr>
      </w:pPr>
      <w:r w:rsidRPr="00C36F96">
        <w:rPr>
          <w:rFonts w:ascii="Palatino Linotype" w:hAnsi="Palatino Linotype" w:cs="Arial"/>
          <w:bCs/>
          <w:sz w:val="24"/>
          <w:szCs w:val="24"/>
        </w:rPr>
        <w:t>De manera complementaria, esta Ponencia Resolutora procedió a consultar información difundida en medios electrónicos, misma que puede ser consultada ingresando a la siguiente liga electrónica:</w:t>
      </w:r>
    </w:p>
    <w:p w14:paraId="4BBD85AD" w14:textId="38A14B1D" w:rsidR="004F002A" w:rsidRPr="00C36F96" w:rsidRDefault="00CD76DD"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hyperlink r:id="rId10" w:history="1">
        <w:r w:rsidR="004F002A" w:rsidRPr="00C36F96">
          <w:rPr>
            <w:rStyle w:val="Hipervnculo"/>
            <w:rFonts w:ascii="Palatino Linotype" w:hAnsi="Palatino Linotype" w:cs="Arial"/>
            <w:lang w:val="es-MX"/>
          </w:rPr>
          <w:t>https://oem.com.mx/elsoldetoluca/local/feria-del-pulque-2026-en-jiquipilco-fechas-artistas-confirmados-y-mas-de-50-productores-de-pulque-28712418</w:t>
        </w:r>
      </w:hyperlink>
      <w:r w:rsidR="004F002A" w:rsidRPr="00C36F96">
        <w:rPr>
          <w:rFonts w:ascii="Palatino Linotype" w:hAnsi="Palatino Linotype" w:cs="Arial"/>
          <w:lang w:val="es-MX"/>
        </w:rPr>
        <w:t xml:space="preserve"> </w:t>
      </w:r>
    </w:p>
    <w:p w14:paraId="5560F9DB" w14:textId="3B6E4C74" w:rsidR="004F002A" w:rsidRPr="00C36F96" w:rsidRDefault="00CD76DD"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hyperlink r:id="rId11" w:history="1">
        <w:r w:rsidR="004F002A" w:rsidRPr="00C36F96">
          <w:rPr>
            <w:rStyle w:val="Hipervnculo"/>
            <w:rFonts w:ascii="Palatino Linotype" w:hAnsi="Palatino Linotype" w:cs="Arial"/>
            <w:lang w:val="es-MX"/>
          </w:rPr>
          <w:t>https://jiquipilco.gob.mx/files/progra20261.pdf</w:t>
        </w:r>
      </w:hyperlink>
      <w:r w:rsidR="004F002A" w:rsidRPr="00C36F96">
        <w:rPr>
          <w:rFonts w:ascii="Palatino Linotype" w:hAnsi="Palatino Linotype" w:cs="Arial"/>
          <w:lang w:val="es-MX"/>
        </w:rPr>
        <w:t xml:space="preserve"> </w:t>
      </w:r>
    </w:p>
    <w:p w14:paraId="5820E6CA" w14:textId="1177D9A2" w:rsidR="004F002A" w:rsidRPr="00C36F96" w:rsidRDefault="00BE5B67"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C36F96">
        <w:rPr>
          <w:rFonts w:ascii="Palatino Linotype" w:hAnsi="Palatino Linotype" w:cs="Arial"/>
          <w:noProof/>
          <w:lang w:val="es-MX" w:eastAsia="es-MX"/>
        </w:rPr>
        <w:drawing>
          <wp:anchor distT="0" distB="0" distL="114300" distR="114300" simplePos="0" relativeHeight="251831295" behindDoc="0" locked="0" layoutInCell="1" allowOverlap="1" wp14:anchorId="42F1872F" wp14:editId="3DE4C703">
            <wp:simplePos x="0" y="0"/>
            <wp:positionH relativeFrom="margin">
              <wp:align>center</wp:align>
            </wp:positionH>
            <wp:positionV relativeFrom="paragraph">
              <wp:posOffset>317500</wp:posOffset>
            </wp:positionV>
            <wp:extent cx="4781550" cy="3364230"/>
            <wp:effectExtent l="19050" t="19050" r="19050" b="26670"/>
            <wp:wrapThrough wrapText="bothSides">
              <wp:wrapPolygon edited="0">
                <wp:start x="-86" y="-122"/>
                <wp:lineTo x="-86" y="21649"/>
                <wp:lineTo x="21600" y="21649"/>
                <wp:lineTo x="21600" y="-122"/>
                <wp:lineTo x="-86" y="-122"/>
              </wp:wrapPolygon>
            </wp:wrapThrough>
            <wp:docPr id="1862500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00129" name=""/>
                    <pic:cNvPicPr/>
                  </pic:nvPicPr>
                  <pic:blipFill>
                    <a:blip r:embed="rId12">
                      <a:extLst>
                        <a:ext uri="{28A0092B-C50C-407E-A947-70E740481C1C}">
                          <a14:useLocalDpi xmlns:a14="http://schemas.microsoft.com/office/drawing/2010/main" val="0"/>
                        </a:ext>
                      </a:extLst>
                    </a:blip>
                    <a:stretch>
                      <a:fillRect/>
                    </a:stretch>
                  </pic:blipFill>
                  <pic:spPr>
                    <a:xfrm>
                      <a:off x="0" y="0"/>
                      <a:ext cx="4781550" cy="33642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2F7676A" w14:textId="71A77CA1" w:rsidR="004F002A" w:rsidRPr="00C36F96" w:rsidRDefault="004F002A"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D6304BA" w14:textId="74B7BA31" w:rsidR="004F002A" w:rsidRPr="00C36F96" w:rsidRDefault="004F002A"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C36F96">
        <w:rPr>
          <w:rFonts w:ascii="Palatino Linotype" w:hAnsi="Palatino Linotype" w:cs="Arial"/>
          <w:noProof/>
          <w:lang w:val="es-MX" w:eastAsia="es-MX"/>
        </w:rPr>
        <w:lastRenderedPageBreak/>
        <w:drawing>
          <wp:anchor distT="0" distB="0" distL="114300" distR="114300" simplePos="0" relativeHeight="251832319" behindDoc="0" locked="0" layoutInCell="1" allowOverlap="1" wp14:anchorId="0D770CD1" wp14:editId="425C8E5A">
            <wp:simplePos x="0" y="0"/>
            <wp:positionH relativeFrom="margin">
              <wp:align>center</wp:align>
            </wp:positionH>
            <wp:positionV relativeFrom="paragraph">
              <wp:posOffset>19050</wp:posOffset>
            </wp:positionV>
            <wp:extent cx="5160645" cy="7528560"/>
            <wp:effectExtent l="19050" t="19050" r="20955" b="15240"/>
            <wp:wrapThrough wrapText="bothSides">
              <wp:wrapPolygon edited="0">
                <wp:start x="-80" y="-55"/>
                <wp:lineTo x="-80" y="21589"/>
                <wp:lineTo x="21608" y="21589"/>
                <wp:lineTo x="21608" y="-55"/>
                <wp:lineTo x="-80" y="-55"/>
              </wp:wrapPolygon>
            </wp:wrapThrough>
            <wp:docPr id="1123583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83433" name=""/>
                    <pic:cNvPicPr/>
                  </pic:nvPicPr>
                  <pic:blipFill>
                    <a:blip r:embed="rId13">
                      <a:extLst>
                        <a:ext uri="{28A0092B-C50C-407E-A947-70E740481C1C}">
                          <a14:useLocalDpi xmlns:a14="http://schemas.microsoft.com/office/drawing/2010/main" val="0"/>
                        </a:ext>
                      </a:extLst>
                    </a:blip>
                    <a:stretch>
                      <a:fillRect/>
                    </a:stretch>
                  </pic:blipFill>
                  <pic:spPr>
                    <a:xfrm>
                      <a:off x="0" y="0"/>
                      <a:ext cx="5160645" cy="75285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19D46DE" w14:textId="558550F0" w:rsidR="00545657" w:rsidRPr="00C36F96" w:rsidRDefault="00545657" w:rsidP="00545657">
      <w:pPr>
        <w:pStyle w:val="Citas"/>
        <w:ind w:left="0" w:right="0"/>
        <w:rPr>
          <w:b/>
          <w:bCs/>
          <w:i w:val="0"/>
          <w:sz w:val="24"/>
          <w:szCs w:val="24"/>
        </w:rPr>
      </w:pPr>
      <w:r w:rsidRPr="00C36F96">
        <w:rPr>
          <w:i w:val="0"/>
          <w:sz w:val="24"/>
          <w:szCs w:val="24"/>
        </w:rPr>
        <w:lastRenderedPageBreak/>
        <w:t xml:space="preserve">Dominio electrónico en el cual, en síntesis, se da cuenta respecto de la celebración de la celebración de la 16° edición de la Expo Feria Pulque 2026, misma que fue celebrada del 14 al 22 de marzo de dos mil veintiséis (previo a la formulación de la solicitud de información </w:t>
      </w:r>
      <w:r w:rsidRPr="00C36F96">
        <w:rPr>
          <w:b/>
          <w:bCs/>
          <w:i w:val="0"/>
          <w:sz w:val="24"/>
          <w:szCs w:val="24"/>
        </w:rPr>
        <w:t xml:space="preserve">00043/JIQUIPIL/IP/2026). </w:t>
      </w:r>
    </w:p>
    <w:p w14:paraId="55D20A2B" w14:textId="77777777" w:rsidR="00545657" w:rsidRPr="00C36F96" w:rsidRDefault="00545657" w:rsidP="00545657">
      <w:pPr>
        <w:spacing w:line="360" w:lineRule="auto"/>
        <w:contextualSpacing/>
        <w:jc w:val="both"/>
        <w:rPr>
          <w:rFonts w:ascii="Palatino Linotype" w:hAnsi="Palatino Linotype"/>
          <w:sz w:val="24"/>
        </w:rPr>
      </w:pPr>
      <w:r w:rsidRPr="00C36F96">
        <w:rPr>
          <w:rFonts w:ascii="Palatino Linotype" w:hAnsi="Palatino Linotype"/>
          <w:sz w:val="24"/>
        </w:rPr>
        <w:t>Es importante mencionar que, la información precisada con anterioridad es referente a notas periodísticas, por lo que es de precisarse que, en el caso concreto, las notas periodísticas y los argumentos vertidos en párrafos que preceden, si bien es cierto, carecen de valor probatorio, también lo es que arrojan indicios sobre los hechos a los que se refieren.</w:t>
      </w:r>
    </w:p>
    <w:p w14:paraId="75DCEC1C" w14:textId="77777777" w:rsidR="00545657" w:rsidRPr="00C36F96" w:rsidRDefault="00545657" w:rsidP="00545657">
      <w:pPr>
        <w:spacing w:line="360" w:lineRule="auto"/>
        <w:contextualSpacing/>
        <w:jc w:val="both"/>
        <w:rPr>
          <w:rFonts w:ascii="Palatino Linotype" w:hAnsi="Palatino Linotype"/>
          <w:sz w:val="24"/>
        </w:rPr>
      </w:pPr>
    </w:p>
    <w:p w14:paraId="375ADBDE" w14:textId="77777777" w:rsidR="00545657" w:rsidRPr="00C36F96" w:rsidRDefault="00545657" w:rsidP="00545657">
      <w:pPr>
        <w:spacing w:line="360" w:lineRule="auto"/>
        <w:contextualSpacing/>
        <w:jc w:val="both"/>
        <w:rPr>
          <w:rFonts w:ascii="Palatino Linotype" w:hAnsi="Palatino Linotype"/>
          <w:sz w:val="24"/>
        </w:rPr>
      </w:pPr>
      <w:r w:rsidRPr="00C36F96">
        <w:rPr>
          <w:rFonts w:ascii="Palatino Linotype" w:hAnsi="Palatino Linotype"/>
          <w:sz w:val="24"/>
        </w:rPr>
        <w:t>Sirve de apoyo a lo anteriormente señalado, la Jurisprudencia emitida por la Sala Superior de la Suprema Corte de Justicia de la Nación, Tercera Época</w:t>
      </w:r>
      <w:r w:rsidRPr="00C36F96">
        <w:rPr>
          <w:rStyle w:val="Refdenotaalpie"/>
          <w:rFonts w:ascii="Palatino Linotype" w:hAnsi="Palatino Linotype"/>
          <w:sz w:val="24"/>
        </w:rPr>
        <w:footnoteReference w:id="1"/>
      </w:r>
      <w:r w:rsidRPr="00C36F96">
        <w:rPr>
          <w:rFonts w:ascii="Palatino Linotype" w:hAnsi="Palatino Linotype"/>
          <w:sz w:val="24"/>
        </w:rPr>
        <w:t>, que se muestra a continuación:</w:t>
      </w:r>
    </w:p>
    <w:p w14:paraId="33B1AA7E" w14:textId="77777777" w:rsidR="00545657" w:rsidRPr="00C36F96" w:rsidRDefault="00545657" w:rsidP="00545657">
      <w:pPr>
        <w:pStyle w:val="Citas"/>
        <w:rPr>
          <w:b/>
        </w:rPr>
      </w:pPr>
      <w:r w:rsidRPr="00C36F96">
        <w:rPr>
          <w:b/>
        </w:rPr>
        <w:t xml:space="preserve">“NOTAS PERIODÍSTICAS. ELEMENTOS PARA DETERMINAR SU FUERZA INDICIARIA. </w:t>
      </w:r>
    </w:p>
    <w:p w14:paraId="41E66B41" w14:textId="77777777" w:rsidR="00545657" w:rsidRPr="00C36F96" w:rsidRDefault="00545657" w:rsidP="00545657">
      <w:pPr>
        <w:pStyle w:val="Citas"/>
        <w:rPr>
          <w:rFonts w:eastAsia="Times New Roman"/>
          <w:b/>
          <w:bCs/>
          <w:sz w:val="24"/>
          <w:szCs w:val="24"/>
          <w:lang w:eastAsia="es-MX"/>
        </w:rPr>
      </w:pPr>
      <w:r w:rsidRPr="00C36F96">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w:t>
      </w:r>
      <w:r w:rsidRPr="00C36F96">
        <w:lastRenderedPageBreak/>
        <w:t xml:space="preserve">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sidRPr="00C36F96">
        <w:rPr>
          <w:b/>
          <w:bCs/>
        </w:rPr>
        <w:t>(Sic)</w:t>
      </w:r>
    </w:p>
    <w:p w14:paraId="7F76F996" w14:textId="77777777" w:rsidR="00545657" w:rsidRPr="00C36F96" w:rsidRDefault="00545657" w:rsidP="00545657">
      <w:pPr>
        <w:pStyle w:val="Citas"/>
        <w:ind w:left="0" w:right="0"/>
        <w:rPr>
          <w:i w:val="0"/>
          <w:iCs/>
          <w:sz w:val="24"/>
          <w:szCs w:val="24"/>
        </w:rPr>
      </w:pPr>
    </w:p>
    <w:p w14:paraId="3FAD8164" w14:textId="767EF481" w:rsidR="00545657" w:rsidRPr="00C36F96" w:rsidRDefault="00545657" w:rsidP="00545657">
      <w:pPr>
        <w:pStyle w:val="Citas"/>
        <w:ind w:left="0" w:right="0"/>
        <w:rPr>
          <w:i w:val="0"/>
          <w:iCs/>
          <w:sz w:val="24"/>
          <w:szCs w:val="24"/>
        </w:rPr>
      </w:pPr>
      <w:r w:rsidRPr="00C36F96">
        <w:rPr>
          <w:i w:val="0"/>
          <w:iCs/>
          <w:sz w:val="24"/>
          <w:szCs w:val="24"/>
        </w:rPr>
        <w:t xml:space="preserve">Debe señalarse,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E49BEED" w14:textId="77777777" w:rsidR="00545657" w:rsidRPr="00C36F96" w:rsidRDefault="00545657" w:rsidP="00545657">
      <w:pPr>
        <w:pStyle w:val="Citas"/>
      </w:pPr>
      <w:r w:rsidRPr="00C36F96">
        <w:t xml:space="preserve">“Artículo 18. Los sujetos obligados deberán documentar todo acto que derive del ejercicio de sus facultades, competencias o funciones, considerando desde su origen la eventual publicidad y reutilización de la información que generen. </w:t>
      </w:r>
    </w:p>
    <w:p w14:paraId="6E2E95FC" w14:textId="77777777" w:rsidR="00545657" w:rsidRPr="00C36F96" w:rsidRDefault="00545657" w:rsidP="00545657">
      <w:pPr>
        <w:pStyle w:val="Citas"/>
      </w:pPr>
      <w:r w:rsidRPr="00C36F96">
        <w:t xml:space="preserve">Artículo 19. Se presume que la información debe existir si se refiere a las facultades, competencias y funciones que los ordenamientos jurídicos aplicables otorgan a los sujetos obligados. </w:t>
      </w:r>
    </w:p>
    <w:p w14:paraId="0C3CE98C" w14:textId="77777777" w:rsidR="00545657" w:rsidRPr="00C36F96" w:rsidRDefault="00545657" w:rsidP="00545657">
      <w:pPr>
        <w:pStyle w:val="Citas"/>
      </w:pPr>
      <w:r w:rsidRPr="00C36F96">
        <w:t xml:space="preserve">En los casos en que ciertas facultades, competencias o funciones no se hayan ejercido, se debe motivar la respuesta en función de las causas que motiven tal circunstancia. </w:t>
      </w:r>
    </w:p>
    <w:p w14:paraId="17D86339" w14:textId="77777777" w:rsidR="00545657" w:rsidRPr="00C36F96" w:rsidRDefault="00545657" w:rsidP="00545657">
      <w:pPr>
        <w:pStyle w:val="Citas"/>
        <w:rPr>
          <w:b/>
          <w:bCs/>
          <w:sz w:val="24"/>
          <w:szCs w:val="24"/>
        </w:rPr>
      </w:pPr>
      <w:r w:rsidRPr="00C36F96">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C36F96">
        <w:rPr>
          <w:b/>
          <w:bCs/>
        </w:rPr>
        <w:t>(Sic)</w:t>
      </w:r>
    </w:p>
    <w:p w14:paraId="7A016E19" w14:textId="77777777" w:rsidR="004F002A" w:rsidRPr="00C36F96" w:rsidRDefault="004F002A"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66EF5B8" w14:textId="28AAF1C6" w:rsidR="004F002A" w:rsidRPr="00C36F96" w:rsidRDefault="00FD7050"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C36F96">
        <w:rPr>
          <w:rFonts w:ascii="Palatino Linotype" w:hAnsi="Palatino Linotype" w:cs="Arial"/>
          <w:lang w:val="es-MX"/>
        </w:rPr>
        <w:t xml:space="preserve">Una vez sentado lo anterior, como se mencionó en el antecedente </w:t>
      </w:r>
      <w:r w:rsidR="00383AD7" w:rsidRPr="00C36F96">
        <w:rPr>
          <w:rFonts w:ascii="Palatino Linotype" w:hAnsi="Palatino Linotype" w:cs="Arial"/>
          <w:lang w:val="es-MX"/>
        </w:rPr>
        <w:t>tercero</w:t>
      </w:r>
      <w:r w:rsidRPr="00C36F96">
        <w:rPr>
          <w:rFonts w:ascii="Palatino Linotype" w:hAnsi="Palatino Linotype" w:cs="Arial"/>
          <w:lang w:val="es-MX"/>
        </w:rPr>
        <w:t xml:space="preserve">, </w:t>
      </w:r>
      <w:r w:rsidRPr="00C36F96">
        <w:rPr>
          <w:rFonts w:ascii="Palatino Linotype" w:hAnsi="Palatino Linotype" w:cs="Arial"/>
          <w:b/>
          <w:bCs/>
          <w:lang w:val="es-MX"/>
        </w:rPr>
        <w:t xml:space="preserve">El Sujeto Obligado </w:t>
      </w:r>
      <w:r w:rsidRPr="00C36F96">
        <w:rPr>
          <w:rFonts w:ascii="Palatino Linotype" w:hAnsi="Palatino Linotype" w:cs="Arial"/>
          <w:lang w:val="es-MX"/>
        </w:rPr>
        <w:t>en fecha</w:t>
      </w:r>
      <w:r w:rsidR="00FA6BFB" w:rsidRPr="00C36F96">
        <w:rPr>
          <w:rFonts w:ascii="Palatino Linotype" w:hAnsi="Palatino Linotype" w:cs="Arial"/>
          <w:lang w:val="es-MX"/>
        </w:rPr>
        <w:t xml:space="preserve"> </w:t>
      </w:r>
      <w:r w:rsidR="00383AD7" w:rsidRPr="00C36F96">
        <w:rPr>
          <w:rFonts w:ascii="Palatino Linotype" w:hAnsi="Palatino Linotype" w:cs="Arial"/>
          <w:b/>
          <w:bCs/>
          <w:lang w:val="es-MX"/>
        </w:rPr>
        <w:t xml:space="preserve">quince de abril de dos mil veintiséis, </w:t>
      </w:r>
      <w:r w:rsidR="00383AD7" w:rsidRPr="00C36F96">
        <w:rPr>
          <w:rFonts w:ascii="Palatino Linotype" w:hAnsi="Palatino Linotype" w:cs="Arial"/>
          <w:lang w:val="es-MX"/>
        </w:rPr>
        <w:t>rindió su respuesta a la solicitud de información en los siguientes términos:</w:t>
      </w:r>
    </w:p>
    <w:p w14:paraId="524C094F" w14:textId="4C4E7FCE" w:rsidR="00383AD7" w:rsidRPr="00C36F96" w:rsidRDefault="00383AD7" w:rsidP="00383AD7">
      <w:pPr>
        <w:pStyle w:val="Prrafodelista"/>
        <w:numPr>
          <w:ilvl w:val="0"/>
          <w:numId w:val="16"/>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b/>
          <w:bCs/>
          <w:lang w:val="es-MX"/>
        </w:rPr>
        <w:t>“</w:t>
      </w:r>
      <w:r w:rsidRPr="00C36F96">
        <w:rPr>
          <w:rFonts w:ascii="Palatino Linotype" w:hAnsi="Palatino Linotype" w:cs="Arial"/>
          <w:b/>
          <w:bCs/>
        </w:rPr>
        <w:t xml:space="preserve">TURNO 43.pdf”: </w:t>
      </w:r>
      <w:r w:rsidRPr="00C36F96">
        <w:rPr>
          <w:rFonts w:ascii="Palatino Linotype" w:hAnsi="Palatino Linotype" w:cs="Arial"/>
        </w:rPr>
        <w:t xml:space="preserve">Compila lo siguiente: </w:t>
      </w:r>
    </w:p>
    <w:p w14:paraId="24F47200" w14:textId="58985363" w:rsidR="00383AD7" w:rsidRPr="00C36F96" w:rsidRDefault="00383AD7" w:rsidP="00383AD7">
      <w:pPr>
        <w:pStyle w:val="Prrafodelista"/>
        <w:numPr>
          <w:ilvl w:val="0"/>
          <w:numId w:val="17"/>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rPr>
        <w:t xml:space="preserve">Oficio número </w:t>
      </w:r>
      <w:r w:rsidRPr="00C36F96">
        <w:rPr>
          <w:rFonts w:ascii="Palatino Linotype" w:hAnsi="Palatino Linotype" w:cs="Arial"/>
          <w:b/>
          <w:bCs/>
        </w:rPr>
        <w:t xml:space="preserve">DDE/062/01/2026 </w:t>
      </w:r>
      <w:r w:rsidRPr="00C36F96">
        <w:rPr>
          <w:rFonts w:ascii="Palatino Linotype" w:hAnsi="Palatino Linotype" w:cs="Arial"/>
        </w:rPr>
        <w:t xml:space="preserve">signado por el director de desarrollo económico, dirigido a la titular de la unidad de transparencia, de fecha veinticinco de marzo de dos mil veintiséis, en referencia al punto 6 (cuotas a comerciantes o locatarios que se instalarían durante el evento) remite documento ad hoc que refleja número progresivo, giro / producto, total a pagar. Sirve de sustento la siguiente imagen ilustrativa: </w:t>
      </w:r>
    </w:p>
    <w:p w14:paraId="05A0C5A5" w14:textId="5A3AD0BF"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r w:rsidRPr="00C36F96">
        <w:rPr>
          <w:rFonts w:ascii="Palatino Linotype" w:hAnsi="Palatino Linotype" w:cs="Arial"/>
          <w:b/>
          <w:bCs/>
          <w:noProof/>
          <w:lang w:eastAsia="es-MX"/>
        </w:rPr>
        <mc:AlternateContent>
          <mc:Choice Requires="wps">
            <w:drawing>
              <wp:anchor distT="0" distB="0" distL="114300" distR="114300" simplePos="0" relativeHeight="251833343" behindDoc="0" locked="0" layoutInCell="1" allowOverlap="1" wp14:anchorId="1D6705A2" wp14:editId="0C40CB57">
                <wp:simplePos x="0" y="0"/>
                <wp:positionH relativeFrom="column">
                  <wp:posOffset>-41044</wp:posOffset>
                </wp:positionH>
                <wp:positionV relativeFrom="paragraph">
                  <wp:posOffset>78393</wp:posOffset>
                </wp:positionV>
                <wp:extent cx="5728854" cy="2306781"/>
                <wp:effectExtent l="0" t="0" r="24765" b="36830"/>
                <wp:wrapNone/>
                <wp:docPr id="410341969" name="Conector recto 5"/>
                <wp:cNvGraphicFramePr/>
                <a:graphic xmlns:a="http://schemas.openxmlformats.org/drawingml/2006/main">
                  <a:graphicData uri="http://schemas.microsoft.com/office/word/2010/wordprocessingShape">
                    <wps:wsp>
                      <wps:cNvCnPr/>
                      <wps:spPr>
                        <a:xfrm>
                          <a:off x="0" y="0"/>
                          <a:ext cx="5728854" cy="23067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412B280" id="Conector recto 5" o:spid="_x0000_s1026" style="position:absolute;z-index:251833343;visibility:visible;mso-wrap-style:square;mso-wrap-distance-left:9pt;mso-wrap-distance-top:0;mso-wrap-distance-right:9pt;mso-wrap-distance-bottom:0;mso-position-horizontal:absolute;mso-position-horizontal-relative:text;mso-position-vertical:absolute;mso-position-vertical-relative:text" from="-3.25pt,6.15pt" to="447.85pt,1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WoQEAAJoDAAAOAAAAZHJzL2Uyb0RvYy54bWysU01PGzEQvSPxHyzfm92EAtEqGw4geqla&#10;VOgPMN5x1pLtscYmu/n3tZ1kU0GlCsRl1h/vzcx7nl3djNawLVDQ6Fo+n9WcgZPYabdp+e+n+y9L&#10;zkIUrhMGHbR8B4HfrM/PVoNvYIE9mg6IpSQuNINveR+jb6oqyB6sCDP04NKlQrIipi1tqo7EkLJb&#10;Uy3q+qoakDpPKCGEdHq3v+Trkl8pkPGnUgEiMy1PvcUSqcTnHKv1SjQbEr7X8tCG+EAXVmiXik6p&#10;7kQU7IX0m1RWS8KAKs4k2gqV0hKKhqRmXr9S89gLD0VLMif4yabweWnlj+2te6Bkw+BDE/wDZRWj&#10;Ipu/qT82FrN2k1kwRibT4eX1Yrm8/MqZTHeLi/rqejnPdlYnuqcQvwFalhctN9plNaIR2+8h7qFH&#10;SOKdGiiruDOQwcb9AsV0l0rOC7vMBtwaYluRXlVICS4eSxd0piltzESs/0884DMVyty8hzwxSmV0&#10;cSJb7ZD+VT2Ox5bVHn90YK87W/CM3a48TbEmDUAx9zCsecL+3hf66Zda/wEAAP//AwBQSwMEFAAG&#10;AAgAAAAhAMNxhGXiAAAACQEAAA8AAABkcnMvZG93bnJldi54bWxMj0FLw0AQhe+C/2EZwVu7MSVp&#10;jdmUUhBrQYpVqMdtdkyi2dmQ3Tbpv3c86fHNe7z3Tb4cbSvO2PvGkYK7aQQCqXSmoUrB+9vjZAHC&#10;B01Gt45QwQU9LIvrq1xnxg30iud9qASXkM+0gjqELpPSlzVa7aeuQ2Lv0/VWB5Z9JU2vBy63rYyj&#10;KJVWN8QLte5wXWP5vT9ZBS/9ZrNebS9ftPuwwyHeHnbP45NStzfj6gFEwDH8heEXn9GhYKajO5Hx&#10;olUwSRNO8j2egWB/cZ/MQRwVzOZJCrLI5f8Pih8AAAD//wMAUEsBAi0AFAAGAAgAAAAhALaDOJL+&#10;AAAA4QEAABMAAAAAAAAAAAAAAAAAAAAAAFtDb250ZW50X1R5cGVzXS54bWxQSwECLQAUAAYACAAA&#10;ACEAOP0h/9YAAACUAQAACwAAAAAAAAAAAAAAAAAvAQAAX3JlbHMvLnJlbHNQSwECLQAUAAYACAAA&#10;ACEABBvg1qEBAACaAwAADgAAAAAAAAAAAAAAAAAuAgAAZHJzL2Uyb0RvYy54bWxQSwECLQAUAAYA&#10;CAAAACEAw3GEZeIAAAAJAQAADwAAAAAAAAAAAAAAAAD7AwAAZHJzL2Rvd25yZXYueG1sUEsFBgAA&#10;AAAEAAQA8wAAAAoFAAAAAA==&#10;" strokecolor="#5b9bd5 [3204]" strokeweight=".5pt">
                <v:stroke joinstyle="miter"/>
              </v:line>
            </w:pict>
          </mc:Fallback>
        </mc:AlternateContent>
      </w:r>
    </w:p>
    <w:p w14:paraId="1ECE20CC" w14:textId="77777777"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p>
    <w:p w14:paraId="272E1386" w14:textId="77777777"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p>
    <w:p w14:paraId="4A29C8D2" w14:textId="77777777"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p>
    <w:p w14:paraId="4DDD2084" w14:textId="77777777"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p>
    <w:p w14:paraId="2890CF64" w14:textId="5FA61571" w:rsidR="00383AD7" w:rsidRPr="00C36F96" w:rsidRDefault="00383AD7" w:rsidP="00383AD7">
      <w:pPr>
        <w:autoSpaceDE w:val="0"/>
        <w:autoSpaceDN w:val="0"/>
        <w:adjustRightInd w:val="0"/>
        <w:spacing w:before="240" w:line="360" w:lineRule="auto"/>
        <w:jc w:val="both"/>
        <w:rPr>
          <w:rFonts w:ascii="Palatino Linotype" w:hAnsi="Palatino Linotype" w:cs="Arial"/>
          <w:b/>
          <w:bCs/>
        </w:rPr>
      </w:pPr>
      <w:r w:rsidRPr="00C36F96">
        <w:rPr>
          <w:rFonts w:ascii="Palatino Linotype" w:hAnsi="Palatino Linotype" w:cs="Arial"/>
          <w:b/>
          <w:bCs/>
          <w:noProof/>
          <w:lang w:eastAsia="es-MX"/>
        </w:rPr>
        <w:lastRenderedPageBreak/>
        <w:drawing>
          <wp:anchor distT="0" distB="0" distL="114300" distR="114300" simplePos="0" relativeHeight="251834367" behindDoc="0" locked="0" layoutInCell="1" allowOverlap="1" wp14:anchorId="0191779B" wp14:editId="754F46D9">
            <wp:simplePos x="0" y="0"/>
            <wp:positionH relativeFrom="column">
              <wp:posOffset>19570</wp:posOffset>
            </wp:positionH>
            <wp:positionV relativeFrom="paragraph">
              <wp:posOffset>19165</wp:posOffset>
            </wp:positionV>
            <wp:extent cx="5760720" cy="7489825"/>
            <wp:effectExtent l="19050" t="19050" r="11430" b="15875"/>
            <wp:wrapThrough wrapText="bothSides">
              <wp:wrapPolygon edited="0">
                <wp:start x="-71" y="-55"/>
                <wp:lineTo x="-71" y="21591"/>
                <wp:lineTo x="21571" y="21591"/>
                <wp:lineTo x="21571" y="-55"/>
                <wp:lineTo x="-71" y="-55"/>
              </wp:wrapPolygon>
            </wp:wrapThrough>
            <wp:docPr id="205639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9358"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7489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066B751" w14:textId="7C647EA9" w:rsidR="00383AD7" w:rsidRPr="00C36F96" w:rsidRDefault="00383AD7" w:rsidP="00383AD7">
      <w:pPr>
        <w:pStyle w:val="Prrafodelista"/>
        <w:numPr>
          <w:ilvl w:val="0"/>
          <w:numId w:val="16"/>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b/>
          <w:bCs/>
        </w:rPr>
        <w:lastRenderedPageBreak/>
        <w:t xml:space="preserve">“Respuesta CLP012.pdf”: </w:t>
      </w:r>
      <w:r w:rsidRPr="00C36F96">
        <w:rPr>
          <w:rFonts w:ascii="Palatino Linotype" w:hAnsi="Palatino Linotype" w:cs="Arial"/>
        </w:rPr>
        <w:t xml:space="preserve">Oficio número </w:t>
      </w:r>
      <w:r w:rsidRPr="00C36F96">
        <w:rPr>
          <w:rFonts w:ascii="Palatino Linotype" w:hAnsi="Palatino Linotype" w:cs="Arial"/>
          <w:b/>
          <w:bCs/>
        </w:rPr>
        <w:t xml:space="preserve">CLP/JIQ/2026-012 </w:t>
      </w:r>
      <w:r w:rsidRPr="00C36F96">
        <w:rPr>
          <w:rFonts w:ascii="Palatino Linotype" w:hAnsi="Palatino Linotype" w:cs="Arial"/>
        </w:rPr>
        <w:t xml:space="preserve">signado por el </w:t>
      </w:r>
      <w:r w:rsidR="009C54FC" w:rsidRPr="00C36F96">
        <w:rPr>
          <w:rFonts w:ascii="Palatino Linotype" w:hAnsi="Palatino Linotype" w:cs="Arial"/>
        </w:rPr>
        <w:t>coordinador de licitaciones públicas, dirigido a la titular de la unidad de transparencia, de fecha siete de abril de dos mil veintiséis, resulta de nuestro interés el siguiente extracto:</w:t>
      </w:r>
    </w:p>
    <w:p w14:paraId="02FBFA9D" w14:textId="5B481B99" w:rsidR="009C54FC" w:rsidRPr="00C36F96" w:rsidRDefault="009C54FC" w:rsidP="009C54FC">
      <w:pPr>
        <w:pStyle w:val="Prrafodelista"/>
        <w:autoSpaceDE w:val="0"/>
        <w:autoSpaceDN w:val="0"/>
        <w:adjustRightInd w:val="0"/>
        <w:spacing w:before="240" w:after="160" w:line="360" w:lineRule="auto"/>
        <w:ind w:left="720"/>
        <w:jc w:val="both"/>
        <w:rPr>
          <w:rFonts w:ascii="Palatino Linotype" w:hAnsi="Palatino Linotype" w:cs="Arial"/>
          <w:b/>
          <w:bCs/>
          <w:i/>
          <w:iCs/>
          <w:lang w:val="es-MX"/>
        </w:rPr>
      </w:pPr>
      <w:r w:rsidRPr="00C36F96">
        <w:rPr>
          <w:rFonts w:ascii="Palatino Linotype" w:hAnsi="Palatino Linotype" w:cs="Arial"/>
          <w:i/>
          <w:iCs/>
        </w:rPr>
        <w:t xml:space="preserve">“… se le solicita más claridad en la solicitud de información, para así poder brindarle la atención de la manera más clara, accesible y sencilla posible, lo anterior para garantizar la transparencia pública” </w:t>
      </w:r>
      <w:r w:rsidRPr="00C36F96">
        <w:rPr>
          <w:rFonts w:ascii="Palatino Linotype" w:hAnsi="Palatino Linotype" w:cs="Arial"/>
          <w:b/>
          <w:bCs/>
          <w:i/>
          <w:iCs/>
        </w:rPr>
        <w:t xml:space="preserve">(Sic) </w:t>
      </w:r>
    </w:p>
    <w:p w14:paraId="28E90A12" w14:textId="77777777" w:rsidR="00383AD7" w:rsidRPr="00C36F96" w:rsidRDefault="00383AD7" w:rsidP="00383AD7">
      <w:pPr>
        <w:pStyle w:val="Prrafodelista"/>
        <w:autoSpaceDE w:val="0"/>
        <w:autoSpaceDN w:val="0"/>
        <w:adjustRightInd w:val="0"/>
        <w:spacing w:before="240" w:after="160" w:line="360" w:lineRule="auto"/>
        <w:ind w:left="720"/>
        <w:jc w:val="both"/>
        <w:rPr>
          <w:rFonts w:ascii="Palatino Linotype" w:hAnsi="Palatino Linotype" w:cs="Arial"/>
          <w:b/>
          <w:bCs/>
          <w:lang w:val="es-MX"/>
        </w:rPr>
      </w:pPr>
    </w:p>
    <w:p w14:paraId="13A24D30" w14:textId="25C0D505" w:rsidR="00383AD7" w:rsidRPr="00C36F96" w:rsidRDefault="00383AD7" w:rsidP="00383AD7">
      <w:pPr>
        <w:pStyle w:val="Prrafodelista"/>
        <w:numPr>
          <w:ilvl w:val="0"/>
          <w:numId w:val="16"/>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b/>
          <w:bCs/>
        </w:rPr>
        <w:t>“OFICIO 11 CA.pdf”</w:t>
      </w:r>
      <w:r w:rsidR="009C54FC" w:rsidRPr="00C36F96">
        <w:rPr>
          <w:rFonts w:ascii="Palatino Linotype" w:hAnsi="Palatino Linotype" w:cs="Arial"/>
          <w:b/>
          <w:bCs/>
        </w:rPr>
        <w:t xml:space="preserve">: </w:t>
      </w:r>
      <w:r w:rsidR="009C54FC" w:rsidRPr="00C36F96">
        <w:rPr>
          <w:rFonts w:ascii="Palatino Linotype" w:hAnsi="Palatino Linotype" w:cs="Arial"/>
        </w:rPr>
        <w:t xml:space="preserve">Oficio número </w:t>
      </w:r>
      <w:r w:rsidR="009C54FC" w:rsidRPr="00C36F96">
        <w:rPr>
          <w:rFonts w:ascii="Palatino Linotype" w:hAnsi="Palatino Linotype" w:cs="Arial"/>
          <w:b/>
          <w:bCs/>
        </w:rPr>
        <w:t xml:space="preserve">CA/JIQ/2026-011 </w:t>
      </w:r>
      <w:r w:rsidR="009C54FC" w:rsidRPr="00C36F96">
        <w:rPr>
          <w:rFonts w:ascii="Palatino Linotype" w:hAnsi="Palatino Linotype" w:cs="Arial"/>
        </w:rPr>
        <w:t>signado por la coordinadora de adquisiciones públicas, dirigido a la titular de la unidad de transparencia, de fecha quince de abril de dos mil veintiséis, resulta de nuestro interés el siguiente extracto:</w:t>
      </w:r>
    </w:p>
    <w:p w14:paraId="5BC90680" w14:textId="113A5465" w:rsidR="009C54FC" w:rsidRPr="00C36F96" w:rsidRDefault="009C54FC" w:rsidP="009C54FC">
      <w:pPr>
        <w:pStyle w:val="Prrafodelista"/>
        <w:autoSpaceDE w:val="0"/>
        <w:autoSpaceDN w:val="0"/>
        <w:adjustRightInd w:val="0"/>
        <w:spacing w:before="240" w:after="160" w:line="360" w:lineRule="auto"/>
        <w:ind w:left="720"/>
        <w:jc w:val="both"/>
        <w:rPr>
          <w:rFonts w:ascii="Palatino Linotype" w:hAnsi="Palatino Linotype" w:cs="Arial"/>
          <w:b/>
          <w:bCs/>
          <w:i/>
          <w:iCs/>
        </w:rPr>
      </w:pPr>
      <w:r w:rsidRPr="00C36F96">
        <w:rPr>
          <w:rFonts w:ascii="Palatino Linotype" w:hAnsi="Palatino Linotype" w:cs="Arial"/>
          <w:i/>
          <w:iCs/>
        </w:rPr>
        <w:t xml:space="preserve">“… se le solicita más claridad en la solicitud de información, para así poder brindarle la atención de la manera más clara, accesible y sencilla posible, lo anterior para garantizar la transparencia pública” </w:t>
      </w:r>
      <w:r w:rsidRPr="00C36F96">
        <w:rPr>
          <w:rFonts w:ascii="Palatino Linotype" w:hAnsi="Palatino Linotype" w:cs="Arial"/>
          <w:b/>
          <w:bCs/>
          <w:i/>
          <w:iCs/>
        </w:rPr>
        <w:t xml:space="preserve">(Sic) </w:t>
      </w:r>
    </w:p>
    <w:p w14:paraId="599E6B77" w14:textId="77777777" w:rsidR="009C54FC" w:rsidRPr="00C36F96" w:rsidRDefault="009C54FC" w:rsidP="009C54FC">
      <w:pPr>
        <w:autoSpaceDE w:val="0"/>
        <w:autoSpaceDN w:val="0"/>
        <w:adjustRightInd w:val="0"/>
        <w:spacing w:before="240" w:line="360" w:lineRule="auto"/>
        <w:jc w:val="both"/>
        <w:rPr>
          <w:rFonts w:ascii="Palatino Linotype" w:hAnsi="Palatino Linotype" w:cs="Arial"/>
          <w:b/>
          <w:bCs/>
          <w:i/>
          <w:iCs/>
        </w:rPr>
      </w:pPr>
    </w:p>
    <w:p w14:paraId="2261E89D" w14:textId="01A01A0F" w:rsidR="00383AD7" w:rsidRPr="00C36F96" w:rsidRDefault="00383AD7" w:rsidP="00383AD7">
      <w:pPr>
        <w:pStyle w:val="Prrafodelista"/>
        <w:numPr>
          <w:ilvl w:val="0"/>
          <w:numId w:val="16"/>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b/>
          <w:bCs/>
        </w:rPr>
        <w:t>“OFICIO DA068 2026.pdf”</w:t>
      </w:r>
      <w:r w:rsidR="009C54FC" w:rsidRPr="00C36F96">
        <w:rPr>
          <w:rFonts w:ascii="Palatino Linotype" w:hAnsi="Palatino Linotype" w:cs="Arial"/>
          <w:b/>
          <w:bCs/>
        </w:rPr>
        <w:t xml:space="preserve">: </w:t>
      </w:r>
      <w:r w:rsidR="009C54FC" w:rsidRPr="00C36F96">
        <w:rPr>
          <w:rFonts w:ascii="Palatino Linotype" w:hAnsi="Palatino Linotype" w:cs="Arial"/>
        </w:rPr>
        <w:t xml:space="preserve">Oficio número </w:t>
      </w:r>
      <w:r w:rsidR="009C54FC" w:rsidRPr="00C36F96">
        <w:rPr>
          <w:rFonts w:ascii="Palatino Linotype" w:hAnsi="Palatino Linotype" w:cs="Arial"/>
          <w:b/>
          <w:bCs/>
        </w:rPr>
        <w:t xml:space="preserve">DA/JIQ/2026-068 </w:t>
      </w:r>
      <w:r w:rsidR="009C54FC" w:rsidRPr="00C36F96">
        <w:rPr>
          <w:rFonts w:ascii="Palatino Linotype" w:hAnsi="Palatino Linotype" w:cs="Arial"/>
        </w:rPr>
        <w:t>signado por la directora de administración y presidenta del comité de adquisiciones y servicios, dirigido a la titular de la unidad de transparencia, de fecha quince de abril de dos mil veintiséis, resulta de nuestro interés el siguiente extracto:</w:t>
      </w:r>
    </w:p>
    <w:p w14:paraId="07DDE4DC" w14:textId="50A329B4" w:rsidR="009C54FC" w:rsidRPr="00C36F96" w:rsidRDefault="009C54FC" w:rsidP="009C54FC">
      <w:pPr>
        <w:pStyle w:val="Prrafodelista"/>
        <w:autoSpaceDE w:val="0"/>
        <w:autoSpaceDN w:val="0"/>
        <w:adjustRightInd w:val="0"/>
        <w:spacing w:before="240" w:after="160" w:line="360" w:lineRule="auto"/>
        <w:ind w:left="720"/>
        <w:jc w:val="both"/>
        <w:rPr>
          <w:rFonts w:ascii="Palatino Linotype" w:hAnsi="Palatino Linotype" w:cs="Arial"/>
          <w:b/>
          <w:bCs/>
          <w:i/>
          <w:iCs/>
        </w:rPr>
      </w:pPr>
      <w:r w:rsidRPr="00C36F96">
        <w:rPr>
          <w:rFonts w:ascii="Palatino Linotype" w:hAnsi="Palatino Linotype" w:cs="Arial"/>
          <w:i/>
          <w:iCs/>
        </w:rPr>
        <w:lastRenderedPageBreak/>
        <w:t xml:space="preserve">“…se le solicita más claridad en la solicitud de información, para así poder brindarle la atención de la manera más clara, accesible y sencilla posible, lo anterior para garantizar la transparencia pública” </w:t>
      </w:r>
      <w:r w:rsidRPr="00C36F96">
        <w:rPr>
          <w:rFonts w:ascii="Palatino Linotype" w:hAnsi="Palatino Linotype" w:cs="Arial"/>
          <w:b/>
          <w:bCs/>
          <w:i/>
          <w:iCs/>
        </w:rPr>
        <w:t xml:space="preserve">(Sic) </w:t>
      </w:r>
    </w:p>
    <w:p w14:paraId="41A39A0D" w14:textId="77777777" w:rsidR="009C54FC" w:rsidRPr="00C36F96" w:rsidRDefault="009C54FC" w:rsidP="009C54FC">
      <w:pPr>
        <w:autoSpaceDE w:val="0"/>
        <w:autoSpaceDN w:val="0"/>
        <w:adjustRightInd w:val="0"/>
        <w:spacing w:before="240" w:line="360" w:lineRule="auto"/>
        <w:jc w:val="both"/>
        <w:rPr>
          <w:rFonts w:ascii="Palatino Linotype" w:hAnsi="Palatino Linotype" w:cs="Arial"/>
          <w:b/>
          <w:bCs/>
          <w:i/>
          <w:iCs/>
        </w:rPr>
      </w:pPr>
    </w:p>
    <w:tbl>
      <w:tblPr>
        <w:tblStyle w:val="Tablaconcuadrcula"/>
        <w:tblpPr w:leftFromText="141" w:rightFromText="141" w:vertAnchor="text" w:horzAnchor="page" w:tblpX="2511" w:tblpY="2619"/>
        <w:tblW w:w="8274" w:type="dxa"/>
        <w:tblLook w:val="04A0" w:firstRow="1" w:lastRow="0" w:firstColumn="1" w:lastColumn="0" w:noHBand="0" w:noVBand="1"/>
      </w:tblPr>
      <w:tblGrid>
        <w:gridCol w:w="4815"/>
        <w:gridCol w:w="3459"/>
      </w:tblGrid>
      <w:tr w:rsidR="00204F95" w:rsidRPr="00C36F96" w14:paraId="793C10E1" w14:textId="77777777" w:rsidTr="00204F95">
        <w:trPr>
          <w:trHeight w:val="1080"/>
        </w:trPr>
        <w:tc>
          <w:tcPr>
            <w:tcW w:w="4815" w:type="dxa"/>
          </w:tcPr>
          <w:p w14:paraId="5CE16BF2" w14:textId="7FA1FC23" w:rsidR="00204F95" w:rsidRPr="00C36F96" w:rsidRDefault="00204F95" w:rsidP="00204F95">
            <w:pPr>
              <w:autoSpaceDE w:val="0"/>
              <w:autoSpaceDN w:val="0"/>
              <w:adjustRightInd w:val="0"/>
              <w:spacing w:before="240" w:after="160" w:line="360" w:lineRule="auto"/>
              <w:jc w:val="both"/>
              <w:rPr>
                <w:rFonts w:ascii="Palatino Linotype" w:hAnsi="Palatino Linotype" w:cs="Arial"/>
                <w:b/>
                <w:bCs/>
                <w:i/>
                <w:iCs/>
              </w:rPr>
            </w:pPr>
            <w:r w:rsidRPr="00C36F96">
              <w:rPr>
                <w:rFonts w:ascii="Palatino Linotype" w:hAnsi="Palatino Linotype" w:cs="Arial"/>
                <w:i/>
                <w:iCs/>
              </w:rPr>
              <w:t>“Presupuesto aprobado para la feria del pulque 2026</w:t>
            </w:r>
          </w:p>
        </w:tc>
        <w:tc>
          <w:tcPr>
            <w:tcW w:w="3459" w:type="dxa"/>
          </w:tcPr>
          <w:p w14:paraId="4EF71DB9" w14:textId="77777777" w:rsidR="00204F95" w:rsidRPr="00C36F96" w:rsidRDefault="00204F95" w:rsidP="00204F95">
            <w:pPr>
              <w:autoSpaceDE w:val="0"/>
              <w:autoSpaceDN w:val="0"/>
              <w:adjustRightInd w:val="0"/>
              <w:spacing w:before="240" w:line="360" w:lineRule="auto"/>
              <w:jc w:val="center"/>
              <w:rPr>
                <w:rFonts w:ascii="Palatino Linotype" w:hAnsi="Palatino Linotype" w:cs="Arial"/>
                <w:b/>
                <w:bCs/>
                <w:i/>
                <w:iCs/>
              </w:rPr>
            </w:pPr>
            <w:r w:rsidRPr="00C36F96">
              <w:rPr>
                <w:rFonts w:ascii="Palatino Linotype" w:hAnsi="Palatino Linotype" w:cs="Arial"/>
                <w:b/>
                <w:bCs/>
                <w:i/>
                <w:iCs/>
              </w:rPr>
              <w:t>$12,000,000.00</w:t>
            </w:r>
          </w:p>
        </w:tc>
      </w:tr>
    </w:tbl>
    <w:p w14:paraId="35BC1813" w14:textId="0034B474" w:rsidR="00383AD7" w:rsidRPr="00C36F96" w:rsidRDefault="00383AD7" w:rsidP="00383AD7">
      <w:pPr>
        <w:pStyle w:val="Prrafodelista"/>
        <w:numPr>
          <w:ilvl w:val="0"/>
          <w:numId w:val="16"/>
        </w:numPr>
        <w:autoSpaceDE w:val="0"/>
        <w:autoSpaceDN w:val="0"/>
        <w:adjustRightInd w:val="0"/>
        <w:spacing w:before="240" w:after="160" w:line="360" w:lineRule="auto"/>
        <w:jc w:val="both"/>
        <w:rPr>
          <w:rFonts w:ascii="Palatino Linotype" w:hAnsi="Palatino Linotype" w:cs="Arial"/>
          <w:b/>
          <w:bCs/>
          <w:lang w:val="es-MX"/>
        </w:rPr>
      </w:pPr>
      <w:r w:rsidRPr="00C36F96">
        <w:rPr>
          <w:rFonts w:ascii="Palatino Linotype" w:hAnsi="Palatino Linotype" w:cs="Arial"/>
        </w:rPr>
        <w:t xml:space="preserve"> </w:t>
      </w:r>
      <w:r w:rsidRPr="00C36F96">
        <w:rPr>
          <w:rFonts w:ascii="Palatino Linotype" w:hAnsi="Palatino Linotype" w:cs="Arial"/>
          <w:b/>
          <w:bCs/>
        </w:rPr>
        <w:t>“solicitud 0043.pdf”</w:t>
      </w:r>
      <w:r w:rsidR="009C54FC" w:rsidRPr="00C36F96">
        <w:rPr>
          <w:rFonts w:ascii="Palatino Linotype" w:hAnsi="Palatino Linotype" w:cs="Arial"/>
          <w:b/>
          <w:bCs/>
        </w:rPr>
        <w:t xml:space="preserve">: </w:t>
      </w:r>
      <w:r w:rsidR="009C54FC" w:rsidRPr="00C36F96">
        <w:rPr>
          <w:rFonts w:ascii="Palatino Linotype" w:hAnsi="Palatino Linotype" w:cs="Arial"/>
        </w:rPr>
        <w:t xml:space="preserve">Oficio número </w:t>
      </w:r>
      <w:r w:rsidR="009C54FC" w:rsidRPr="00C36F96">
        <w:rPr>
          <w:rFonts w:ascii="Palatino Linotype" w:hAnsi="Palatino Linotype" w:cs="Arial"/>
          <w:b/>
          <w:bCs/>
        </w:rPr>
        <w:t xml:space="preserve">TMJ/CAM/033/2026 </w:t>
      </w:r>
      <w:r w:rsidR="009C54FC" w:rsidRPr="00C36F96">
        <w:rPr>
          <w:rFonts w:ascii="Palatino Linotype" w:hAnsi="Palatino Linotype" w:cs="Arial"/>
        </w:rPr>
        <w:t>signado por el tesorero, dirigido a la coordinadora de la unidad de transparencia, de fecha quince de abril de dos mil veintiséis, resulta de nuestro interés el siguiente extracto:</w:t>
      </w:r>
    </w:p>
    <w:p w14:paraId="6FDE5C83" w14:textId="77777777" w:rsidR="00204F95" w:rsidRPr="00C36F96" w:rsidRDefault="00204F95" w:rsidP="00204F95">
      <w:pPr>
        <w:pStyle w:val="Citas"/>
      </w:pPr>
    </w:p>
    <w:p w14:paraId="60DE6E06" w14:textId="28BD6427" w:rsidR="009C54FC" w:rsidRPr="00C36F96" w:rsidRDefault="00204F95" w:rsidP="00204F95">
      <w:pPr>
        <w:pStyle w:val="Citas"/>
        <w:ind w:right="0"/>
        <w:rPr>
          <w:b/>
          <w:bCs/>
        </w:rPr>
      </w:pPr>
      <w:r w:rsidRPr="00C36F96">
        <w:t xml:space="preserve">Se hace mención que después de hacer la búsqueda correspondiente en los archivos físicos y digitales no se encontraron documentales en esta Tesorería Municipal que refieran transferencias por concepto de adelanto para comprometer a los artistas que se presentaron a la feria del pulque, por tanto, se remite la información pertinente, respecto al presupuesto” </w:t>
      </w:r>
      <w:r w:rsidRPr="00C36F96">
        <w:rPr>
          <w:b/>
          <w:bCs/>
        </w:rPr>
        <w:t xml:space="preserve">(Sic) </w:t>
      </w:r>
    </w:p>
    <w:p w14:paraId="51AE8C41" w14:textId="77777777" w:rsidR="009C54FC" w:rsidRPr="00C36F96" w:rsidRDefault="009C54FC" w:rsidP="009C54FC">
      <w:pPr>
        <w:autoSpaceDE w:val="0"/>
        <w:autoSpaceDN w:val="0"/>
        <w:adjustRightInd w:val="0"/>
        <w:spacing w:before="240" w:line="360" w:lineRule="auto"/>
        <w:jc w:val="both"/>
        <w:rPr>
          <w:rFonts w:ascii="Palatino Linotype" w:hAnsi="Palatino Linotype" w:cs="Arial"/>
          <w:b/>
          <w:bCs/>
        </w:rPr>
      </w:pPr>
    </w:p>
    <w:p w14:paraId="37D03E95" w14:textId="08088252" w:rsidR="00B27191" w:rsidRPr="00C36F96" w:rsidRDefault="00204F95" w:rsidP="0020194E">
      <w:pPr>
        <w:pStyle w:val="Prrafodelista"/>
        <w:autoSpaceDE w:val="0"/>
        <w:autoSpaceDN w:val="0"/>
        <w:adjustRightInd w:val="0"/>
        <w:spacing w:before="240" w:after="160" w:line="360" w:lineRule="auto"/>
        <w:ind w:left="0"/>
        <w:jc w:val="both"/>
        <w:rPr>
          <w:rFonts w:ascii="Palatino Linotype" w:hAnsi="Palatino Linotype" w:cs="Arial"/>
          <w:lang w:val="es-ES_tradnl"/>
        </w:rPr>
      </w:pPr>
      <w:r w:rsidRPr="00C36F96">
        <w:rPr>
          <w:rFonts w:ascii="Palatino Linotype" w:hAnsi="Palatino Linotype" w:cs="Arial"/>
          <w:lang w:val="es-ES_tradnl"/>
        </w:rPr>
        <w:t>Con base en lo anteriormente expuesto, se arriba a las siguientes inferencias:</w:t>
      </w:r>
    </w:p>
    <w:p w14:paraId="3B0B1846" w14:textId="636A69B1" w:rsidR="00204F95" w:rsidRPr="00C36F96" w:rsidRDefault="00204F95" w:rsidP="0020194E">
      <w:pPr>
        <w:pStyle w:val="Prrafodelista"/>
        <w:autoSpaceDE w:val="0"/>
        <w:autoSpaceDN w:val="0"/>
        <w:adjustRightInd w:val="0"/>
        <w:spacing w:before="240" w:after="160" w:line="360" w:lineRule="auto"/>
        <w:ind w:left="0"/>
        <w:jc w:val="both"/>
        <w:rPr>
          <w:rFonts w:ascii="Palatino Linotype" w:hAnsi="Palatino Linotype" w:cs="Arial"/>
          <w:lang w:val="es-ES_tradnl"/>
        </w:rPr>
      </w:pPr>
    </w:p>
    <w:p w14:paraId="5FD245C0" w14:textId="77777777" w:rsidR="00204F95" w:rsidRPr="00C36F96" w:rsidRDefault="00204F95" w:rsidP="0020194E">
      <w:pPr>
        <w:pStyle w:val="Prrafodelista"/>
        <w:autoSpaceDE w:val="0"/>
        <w:autoSpaceDN w:val="0"/>
        <w:adjustRightInd w:val="0"/>
        <w:spacing w:before="240" w:after="160" w:line="360" w:lineRule="auto"/>
        <w:ind w:left="0"/>
        <w:jc w:val="both"/>
        <w:rPr>
          <w:rFonts w:ascii="Palatino Linotype" w:hAnsi="Palatino Linotype" w:cs="Arial"/>
          <w:lang w:val="es-ES_tradnl"/>
        </w:rPr>
      </w:pPr>
    </w:p>
    <w:tbl>
      <w:tblPr>
        <w:tblStyle w:val="Tablaconcuadrcula"/>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4252"/>
        <w:gridCol w:w="1555"/>
      </w:tblGrid>
      <w:tr w:rsidR="00204F95" w:rsidRPr="00C36F96" w14:paraId="0F5B55F9" w14:textId="77777777" w:rsidTr="00BE5B67">
        <w:tc>
          <w:tcPr>
            <w:tcW w:w="3114" w:type="dxa"/>
            <w:tcBorders>
              <w:right w:val="single" w:sz="8" w:space="0" w:color="FFFFFF" w:themeColor="background1"/>
            </w:tcBorders>
            <w:shd w:val="clear" w:color="auto" w:fill="000000" w:themeFill="text1"/>
          </w:tcPr>
          <w:p w14:paraId="2555F15C" w14:textId="5249D67E" w:rsidR="00204F95" w:rsidRPr="00C36F96" w:rsidRDefault="00BE5B67" w:rsidP="00702A61">
            <w:pPr>
              <w:jc w:val="both"/>
              <w:rPr>
                <w:rFonts w:ascii="Palatino Linotype" w:hAnsi="Palatino Linotype"/>
                <w:b/>
                <w:bCs/>
                <w:sz w:val="20"/>
                <w:szCs w:val="20"/>
              </w:rPr>
            </w:pPr>
            <w:r w:rsidRPr="00C36F96">
              <w:rPr>
                <w:rFonts w:ascii="Palatino Linotype" w:hAnsi="Palatino Linotype"/>
                <w:b/>
                <w:bCs/>
                <w:sz w:val="20"/>
                <w:szCs w:val="20"/>
              </w:rPr>
              <w:lastRenderedPageBreak/>
              <w:t>SOLICITUD DE INFORMACIÓN 00043/JIQUIPIL/IP/2026</w:t>
            </w:r>
          </w:p>
          <w:p w14:paraId="6D192CA9" w14:textId="77777777" w:rsidR="00204F95" w:rsidRPr="00C36F96" w:rsidRDefault="00204F95" w:rsidP="007E4253">
            <w:pPr>
              <w:rPr>
                <w:rFonts w:ascii="Palatino Linotype" w:hAnsi="Palatino Linotype"/>
                <w:b/>
                <w:bCs/>
                <w:sz w:val="20"/>
                <w:szCs w:val="20"/>
              </w:rPr>
            </w:pPr>
          </w:p>
          <w:p w14:paraId="79D35237" w14:textId="74A66ABB" w:rsidR="00204F95" w:rsidRPr="00C36F96" w:rsidRDefault="00BE5B67" w:rsidP="007E4253">
            <w:pPr>
              <w:spacing w:before="240"/>
              <w:jc w:val="both"/>
              <w:rPr>
                <w:rFonts w:ascii="Palatino Linotype" w:hAnsi="Palatino Linotype"/>
                <w:b/>
                <w:bCs/>
                <w:sz w:val="20"/>
                <w:szCs w:val="20"/>
              </w:rPr>
            </w:pPr>
            <w:r w:rsidRPr="00C36F96">
              <w:rPr>
                <w:rFonts w:ascii="Palatino Linotype" w:hAnsi="Palatino Linotype"/>
                <w:b/>
                <w:bCs/>
                <w:sz w:val="20"/>
                <w:szCs w:val="20"/>
              </w:rPr>
              <w:t>DE LA FERIA DE PULQUE 2026</w:t>
            </w:r>
          </w:p>
          <w:p w14:paraId="3B060DE1" w14:textId="77777777" w:rsidR="00204F95" w:rsidRPr="00C36F96" w:rsidRDefault="00204F95" w:rsidP="007E4253">
            <w:pPr>
              <w:rPr>
                <w:rFonts w:ascii="Palatino Linotype" w:hAnsi="Palatino Linotype"/>
                <w:b/>
                <w:bCs/>
                <w:sz w:val="20"/>
                <w:szCs w:val="20"/>
              </w:rPr>
            </w:pPr>
          </w:p>
        </w:tc>
        <w:tc>
          <w:tcPr>
            <w:tcW w:w="4252" w:type="dxa"/>
            <w:tcBorders>
              <w:left w:val="single" w:sz="8" w:space="0" w:color="FFFFFF" w:themeColor="background1"/>
              <w:right w:val="single" w:sz="8" w:space="0" w:color="FFFFFF" w:themeColor="background1"/>
            </w:tcBorders>
            <w:shd w:val="clear" w:color="auto" w:fill="000000" w:themeFill="text1"/>
            <w:vAlign w:val="center"/>
          </w:tcPr>
          <w:p w14:paraId="724F3AFD" w14:textId="16055847" w:rsidR="00204F95" w:rsidRPr="00C36F96" w:rsidRDefault="00BE5B67" w:rsidP="007E4253">
            <w:pPr>
              <w:jc w:val="center"/>
              <w:rPr>
                <w:rFonts w:ascii="Palatino Linotype" w:hAnsi="Palatino Linotype"/>
                <w:b/>
                <w:bCs/>
                <w:sz w:val="20"/>
                <w:szCs w:val="20"/>
              </w:rPr>
            </w:pPr>
            <w:r w:rsidRPr="00C36F96">
              <w:rPr>
                <w:rFonts w:ascii="Palatino Linotype" w:hAnsi="Palatino Linotype"/>
                <w:b/>
                <w:bCs/>
                <w:sz w:val="20"/>
                <w:szCs w:val="20"/>
              </w:rPr>
              <w:t>RESPUESTA</w:t>
            </w:r>
          </w:p>
        </w:tc>
        <w:tc>
          <w:tcPr>
            <w:tcW w:w="1555" w:type="dxa"/>
            <w:tcBorders>
              <w:left w:val="single" w:sz="8" w:space="0" w:color="FFFFFF" w:themeColor="background1"/>
            </w:tcBorders>
            <w:shd w:val="clear" w:color="auto" w:fill="000000" w:themeFill="text1"/>
            <w:vAlign w:val="center"/>
          </w:tcPr>
          <w:p w14:paraId="6496FC56" w14:textId="5112944B" w:rsidR="00204F95" w:rsidRPr="00C36F96" w:rsidRDefault="00BE5B67" w:rsidP="007E4253">
            <w:pPr>
              <w:jc w:val="center"/>
              <w:rPr>
                <w:rFonts w:ascii="Palatino Linotype" w:hAnsi="Palatino Linotype"/>
                <w:b/>
                <w:bCs/>
                <w:sz w:val="20"/>
                <w:szCs w:val="20"/>
              </w:rPr>
            </w:pPr>
            <w:r w:rsidRPr="00C36F96">
              <w:rPr>
                <w:rFonts w:ascii="Palatino Linotype" w:hAnsi="Palatino Linotype"/>
                <w:b/>
                <w:bCs/>
                <w:sz w:val="20"/>
                <w:szCs w:val="20"/>
              </w:rPr>
              <w:t>COLMA</w:t>
            </w:r>
          </w:p>
        </w:tc>
      </w:tr>
      <w:tr w:rsidR="00204F95" w:rsidRPr="00C36F96" w14:paraId="1E0895A5" w14:textId="77777777" w:rsidTr="00BE5B67">
        <w:tc>
          <w:tcPr>
            <w:tcW w:w="3114" w:type="dxa"/>
          </w:tcPr>
          <w:p w14:paraId="386B5A27" w14:textId="2F31A776" w:rsidR="00204F95" w:rsidRPr="00C36F96" w:rsidRDefault="00204F95" w:rsidP="00BE5B67">
            <w:pPr>
              <w:pStyle w:val="Prrafodelista"/>
              <w:numPr>
                <w:ilvl w:val="0"/>
                <w:numId w:val="21"/>
              </w:numPr>
              <w:spacing w:before="240"/>
              <w:jc w:val="both"/>
              <w:rPr>
                <w:rFonts w:ascii="Palatino Linotype" w:hAnsi="Palatino Linotype"/>
                <w:b/>
                <w:bCs/>
                <w:sz w:val="22"/>
                <w:szCs w:val="22"/>
              </w:rPr>
            </w:pPr>
            <w:r w:rsidRPr="00C36F96">
              <w:rPr>
                <w:rFonts w:ascii="Palatino Linotype" w:hAnsi="Palatino Linotype"/>
                <w:sz w:val="22"/>
                <w:szCs w:val="22"/>
              </w:rPr>
              <w:t>El o los documentos donde conste el presupuesto aprobado, al seis de marzo de dos mil veintiséis.</w:t>
            </w:r>
          </w:p>
          <w:p w14:paraId="506F948E" w14:textId="77777777" w:rsidR="00204F95" w:rsidRPr="00C36F96" w:rsidRDefault="00204F95" w:rsidP="00BE5B67">
            <w:pPr>
              <w:jc w:val="both"/>
              <w:rPr>
                <w:rFonts w:ascii="Palatino Linotype" w:hAnsi="Palatino Linotype"/>
              </w:rPr>
            </w:pPr>
          </w:p>
        </w:tc>
        <w:tc>
          <w:tcPr>
            <w:tcW w:w="4252" w:type="dxa"/>
            <w:vAlign w:val="center"/>
          </w:tcPr>
          <w:p w14:paraId="4484FD5B" w14:textId="2C07D48B" w:rsidR="00204F95" w:rsidRPr="00C36F96" w:rsidRDefault="00BE5B67" w:rsidP="00BE5B67">
            <w:pPr>
              <w:jc w:val="both"/>
              <w:rPr>
                <w:rFonts w:ascii="Palatino Linotype" w:hAnsi="Palatino Linotype"/>
              </w:rPr>
            </w:pPr>
            <w:r w:rsidRPr="00C36F96">
              <w:rPr>
                <w:rFonts w:ascii="Palatino Linotype" w:hAnsi="Palatino Linotype"/>
              </w:rPr>
              <w:t>Tesorero municipal refiere un presupuesto de $12,000,000.00</w:t>
            </w:r>
          </w:p>
        </w:tc>
        <w:tc>
          <w:tcPr>
            <w:tcW w:w="1555" w:type="dxa"/>
            <w:vAlign w:val="center"/>
          </w:tcPr>
          <w:p w14:paraId="3CF85603" w14:textId="7AD0AA8D" w:rsidR="00204F95" w:rsidRPr="00C36F96" w:rsidRDefault="00BE5B67" w:rsidP="007E4253">
            <w:pPr>
              <w:jc w:val="center"/>
              <w:rPr>
                <w:rFonts w:ascii="Palatino Linotype" w:hAnsi="Palatino Linotype"/>
              </w:rPr>
            </w:pPr>
            <w:r w:rsidRPr="00C36F96">
              <w:rPr>
                <w:rFonts w:ascii="Palatino Linotype" w:hAnsi="Palatino Linotype"/>
              </w:rPr>
              <w:t>Sí</w:t>
            </w:r>
          </w:p>
        </w:tc>
      </w:tr>
      <w:tr w:rsidR="00204F95" w:rsidRPr="00C36F96" w14:paraId="3E2EBAF6" w14:textId="77777777" w:rsidTr="00BE5B67">
        <w:tc>
          <w:tcPr>
            <w:tcW w:w="3114" w:type="dxa"/>
          </w:tcPr>
          <w:p w14:paraId="55474C9D" w14:textId="1EF22D90" w:rsidR="00204F95" w:rsidRPr="00C36F96" w:rsidRDefault="00204F95" w:rsidP="00BE5B67">
            <w:pPr>
              <w:pStyle w:val="Prrafodelista"/>
              <w:numPr>
                <w:ilvl w:val="0"/>
                <w:numId w:val="21"/>
              </w:numPr>
              <w:spacing w:before="240"/>
              <w:jc w:val="both"/>
              <w:rPr>
                <w:rFonts w:ascii="Palatino Linotype" w:hAnsi="Palatino Linotype"/>
                <w:sz w:val="22"/>
                <w:szCs w:val="22"/>
              </w:rPr>
            </w:pPr>
            <w:r w:rsidRPr="00C36F96">
              <w:rPr>
                <w:rFonts w:ascii="Palatino Linotype" w:hAnsi="Palatino Linotype"/>
                <w:sz w:val="22"/>
                <w:szCs w:val="22"/>
              </w:rPr>
              <w:t>Contratos firmados con motivo de presentaciones previstas en el programa, al seis de marzo de dos mil veintiséis.</w:t>
            </w:r>
          </w:p>
          <w:p w14:paraId="20027E1C" w14:textId="77777777" w:rsidR="00204F95" w:rsidRPr="00C36F96" w:rsidRDefault="00204F95" w:rsidP="00BE5B67">
            <w:pPr>
              <w:jc w:val="both"/>
              <w:rPr>
                <w:rFonts w:ascii="Palatino Linotype" w:hAnsi="Palatino Linotype"/>
              </w:rPr>
            </w:pPr>
          </w:p>
        </w:tc>
        <w:tc>
          <w:tcPr>
            <w:tcW w:w="4252" w:type="dxa"/>
            <w:vAlign w:val="center"/>
          </w:tcPr>
          <w:p w14:paraId="1AACAF3F" w14:textId="0CB3898C" w:rsidR="00204F95" w:rsidRPr="00C36F96" w:rsidRDefault="00BE5B67" w:rsidP="00BE5B67">
            <w:pPr>
              <w:jc w:val="center"/>
              <w:rPr>
                <w:rFonts w:ascii="Palatino Linotype" w:hAnsi="Palatino Linotype"/>
              </w:rPr>
            </w:pPr>
            <w:r w:rsidRPr="00C36F96">
              <w:rPr>
                <w:rFonts w:ascii="Palatino Linotype" w:hAnsi="Palatino Linotype"/>
              </w:rPr>
              <w:t>Facultad de aclaración</w:t>
            </w:r>
          </w:p>
        </w:tc>
        <w:tc>
          <w:tcPr>
            <w:tcW w:w="1555" w:type="dxa"/>
            <w:vAlign w:val="center"/>
          </w:tcPr>
          <w:p w14:paraId="6DCBCAC4" w14:textId="23EFDFCD" w:rsidR="00204F95" w:rsidRPr="00C36F96" w:rsidRDefault="00BE5B67" w:rsidP="007E4253">
            <w:pPr>
              <w:jc w:val="center"/>
              <w:rPr>
                <w:rFonts w:ascii="Palatino Linotype" w:hAnsi="Palatino Linotype"/>
              </w:rPr>
            </w:pPr>
            <w:r w:rsidRPr="00C36F96">
              <w:rPr>
                <w:rFonts w:ascii="Palatino Linotype" w:hAnsi="Palatino Linotype"/>
              </w:rPr>
              <w:t>No</w:t>
            </w:r>
          </w:p>
        </w:tc>
      </w:tr>
      <w:tr w:rsidR="00204F95" w:rsidRPr="00C36F96" w14:paraId="55A69F92" w14:textId="77777777" w:rsidTr="00BE5B67">
        <w:tc>
          <w:tcPr>
            <w:tcW w:w="3114" w:type="dxa"/>
          </w:tcPr>
          <w:p w14:paraId="60432B42" w14:textId="4BCAC308" w:rsidR="00204F95" w:rsidRPr="00C36F96" w:rsidRDefault="00204F95" w:rsidP="00BE5B67">
            <w:pPr>
              <w:pStyle w:val="Prrafodelista"/>
              <w:numPr>
                <w:ilvl w:val="0"/>
                <w:numId w:val="21"/>
              </w:numPr>
              <w:spacing w:before="240"/>
              <w:jc w:val="both"/>
              <w:rPr>
                <w:rFonts w:ascii="Palatino Linotype" w:hAnsi="Palatino Linotype"/>
                <w:sz w:val="22"/>
                <w:szCs w:val="22"/>
              </w:rPr>
            </w:pPr>
            <w:r w:rsidRPr="00C36F96">
              <w:rPr>
                <w:rFonts w:ascii="Palatino Linotype" w:hAnsi="Palatino Linotype"/>
                <w:sz w:val="22"/>
                <w:szCs w:val="22"/>
              </w:rPr>
              <w:t>El o los documentos vinculados con adjudicaciones y/o equivalente (propuestas, presupuesto, otros) respecto de la contratación de personas que se van a presentar en el evento, al seis de marzo de dos mil veintiséis.</w:t>
            </w:r>
          </w:p>
          <w:p w14:paraId="76477CCD" w14:textId="77777777" w:rsidR="00204F95" w:rsidRPr="00C36F96" w:rsidRDefault="00204F95" w:rsidP="00BE5B67">
            <w:pPr>
              <w:jc w:val="both"/>
              <w:rPr>
                <w:rFonts w:ascii="Palatino Linotype" w:hAnsi="Palatino Linotype"/>
              </w:rPr>
            </w:pPr>
          </w:p>
        </w:tc>
        <w:tc>
          <w:tcPr>
            <w:tcW w:w="4252" w:type="dxa"/>
            <w:vAlign w:val="center"/>
          </w:tcPr>
          <w:p w14:paraId="2F8BBB16" w14:textId="16D84D58" w:rsidR="00204F95" w:rsidRPr="00C36F96" w:rsidRDefault="00BE5B67" w:rsidP="00BE5B67">
            <w:pPr>
              <w:jc w:val="center"/>
              <w:rPr>
                <w:rFonts w:ascii="Palatino Linotype" w:hAnsi="Palatino Linotype"/>
              </w:rPr>
            </w:pPr>
            <w:r w:rsidRPr="00C36F96">
              <w:rPr>
                <w:rFonts w:ascii="Palatino Linotype" w:hAnsi="Palatino Linotype"/>
              </w:rPr>
              <w:t>Facultad de aclaración</w:t>
            </w:r>
          </w:p>
        </w:tc>
        <w:tc>
          <w:tcPr>
            <w:tcW w:w="1555" w:type="dxa"/>
            <w:vAlign w:val="center"/>
          </w:tcPr>
          <w:p w14:paraId="1E950327" w14:textId="5E215BE1" w:rsidR="00204F95" w:rsidRPr="00C36F96" w:rsidRDefault="00BE5B67" w:rsidP="007E4253">
            <w:pPr>
              <w:jc w:val="center"/>
              <w:rPr>
                <w:rFonts w:ascii="Palatino Linotype" w:hAnsi="Palatino Linotype"/>
              </w:rPr>
            </w:pPr>
            <w:r w:rsidRPr="00C36F96">
              <w:rPr>
                <w:rFonts w:ascii="Palatino Linotype" w:hAnsi="Palatino Linotype"/>
              </w:rPr>
              <w:t>No</w:t>
            </w:r>
          </w:p>
        </w:tc>
      </w:tr>
      <w:tr w:rsidR="00204F95" w:rsidRPr="00C36F96" w14:paraId="0B2718E4" w14:textId="77777777" w:rsidTr="00BE5B67">
        <w:tc>
          <w:tcPr>
            <w:tcW w:w="3114" w:type="dxa"/>
          </w:tcPr>
          <w:p w14:paraId="2E89214D" w14:textId="3CA8DBF4" w:rsidR="00204F95" w:rsidRPr="00C36F96" w:rsidRDefault="00204F95" w:rsidP="00BE5B67">
            <w:pPr>
              <w:pStyle w:val="Prrafodelista"/>
              <w:numPr>
                <w:ilvl w:val="0"/>
                <w:numId w:val="21"/>
              </w:numPr>
              <w:spacing w:before="240"/>
              <w:jc w:val="both"/>
              <w:rPr>
                <w:rFonts w:ascii="Palatino Linotype" w:hAnsi="Palatino Linotype"/>
                <w:sz w:val="22"/>
                <w:szCs w:val="22"/>
              </w:rPr>
            </w:pPr>
            <w:r w:rsidRPr="00C36F96">
              <w:rPr>
                <w:rFonts w:ascii="Palatino Linotype" w:hAnsi="Palatino Linotype"/>
                <w:sz w:val="22"/>
                <w:szCs w:val="22"/>
              </w:rPr>
              <w:lastRenderedPageBreak/>
              <w:t>El o los documentos donde consten los bienes que se compraron para el desarrollo de la feria, tales como premios o reconocimientos, al seis de marzo de dos mil veintiséis.</w:t>
            </w:r>
          </w:p>
          <w:p w14:paraId="04921BE9" w14:textId="77777777" w:rsidR="00204F95" w:rsidRPr="00C36F96" w:rsidRDefault="00204F95" w:rsidP="00BE5B67">
            <w:pPr>
              <w:jc w:val="both"/>
              <w:rPr>
                <w:rFonts w:ascii="Palatino Linotype" w:hAnsi="Palatino Linotype"/>
              </w:rPr>
            </w:pPr>
          </w:p>
        </w:tc>
        <w:tc>
          <w:tcPr>
            <w:tcW w:w="4252" w:type="dxa"/>
            <w:vAlign w:val="center"/>
          </w:tcPr>
          <w:p w14:paraId="32AAF3C5" w14:textId="40CEABD2" w:rsidR="00204F95" w:rsidRPr="00C36F96" w:rsidRDefault="00BE5B67" w:rsidP="00BE5B67">
            <w:pPr>
              <w:jc w:val="center"/>
              <w:rPr>
                <w:rFonts w:ascii="Palatino Linotype" w:hAnsi="Palatino Linotype"/>
              </w:rPr>
            </w:pPr>
            <w:r w:rsidRPr="00C36F96">
              <w:rPr>
                <w:rFonts w:ascii="Palatino Linotype" w:hAnsi="Palatino Linotype"/>
              </w:rPr>
              <w:t>Facultad de aclaración</w:t>
            </w:r>
          </w:p>
        </w:tc>
        <w:tc>
          <w:tcPr>
            <w:tcW w:w="1555" w:type="dxa"/>
            <w:vAlign w:val="center"/>
          </w:tcPr>
          <w:p w14:paraId="635691E0" w14:textId="17BE68FA" w:rsidR="00204F95" w:rsidRPr="00C36F96" w:rsidRDefault="00BE5B67" w:rsidP="007E4253">
            <w:pPr>
              <w:jc w:val="center"/>
              <w:rPr>
                <w:rFonts w:ascii="Palatino Linotype" w:hAnsi="Palatino Linotype"/>
              </w:rPr>
            </w:pPr>
            <w:r w:rsidRPr="00C36F96">
              <w:rPr>
                <w:rFonts w:ascii="Palatino Linotype" w:hAnsi="Palatino Linotype"/>
              </w:rPr>
              <w:t>No</w:t>
            </w:r>
          </w:p>
        </w:tc>
      </w:tr>
      <w:tr w:rsidR="00204F95" w:rsidRPr="00C36F96" w14:paraId="3ADFD1BC" w14:textId="77777777" w:rsidTr="00BE5B67">
        <w:tc>
          <w:tcPr>
            <w:tcW w:w="3114" w:type="dxa"/>
          </w:tcPr>
          <w:p w14:paraId="0A05AB67" w14:textId="350AF582" w:rsidR="00204F95" w:rsidRPr="00C36F96" w:rsidRDefault="00204F95" w:rsidP="00BE5B67">
            <w:pPr>
              <w:pStyle w:val="Prrafodelista"/>
              <w:numPr>
                <w:ilvl w:val="0"/>
                <w:numId w:val="21"/>
              </w:numPr>
              <w:spacing w:before="240"/>
              <w:jc w:val="both"/>
              <w:rPr>
                <w:rFonts w:ascii="Palatino Linotype" w:hAnsi="Palatino Linotype"/>
                <w:sz w:val="22"/>
                <w:szCs w:val="22"/>
              </w:rPr>
            </w:pPr>
            <w:r w:rsidRPr="00C36F96">
              <w:rPr>
                <w:rFonts w:ascii="Palatino Linotype" w:hAnsi="Palatino Linotype"/>
                <w:sz w:val="22"/>
                <w:szCs w:val="22"/>
              </w:rPr>
              <w:t>Contratos celebrados con personas físicas o morales para la instalación de juegos mecánicos, al seis de marzo de dos mil veintiséis.</w:t>
            </w:r>
          </w:p>
          <w:p w14:paraId="78E9E412" w14:textId="77777777" w:rsidR="00204F95" w:rsidRPr="00C36F96" w:rsidRDefault="00204F95" w:rsidP="00BE5B67">
            <w:pPr>
              <w:jc w:val="both"/>
              <w:rPr>
                <w:rFonts w:ascii="Palatino Linotype" w:hAnsi="Palatino Linotype"/>
              </w:rPr>
            </w:pPr>
          </w:p>
        </w:tc>
        <w:tc>
          <w:tcPr>
            <w:tcW w:w="4252" w:type="dxa"/>
            <w:vAlign w:val="center"/>
          </w:tcPr>
          <w:p w14:paraId="3FDF7EA6" w14:textId="50CFE3B3" w:rsidR="00204F95" w:rsidRPr="00C36F96" w:rsidRDefault="00BE5B67" w:rsidP="00BE5B67">
            <w:pPr>
              <w:jc w:val="center"/>
              <w:rPr>
                <w:rFonts w:ascii="Palatino Linotype" w:hAnsi="Palatino Linotype"/>
              </w:rPr>
            </w:pPr>
            <w:r w:rsidRPr="00C36F96">
              <w:rPr>
                <w:rFonts w:ascii="Palatino Linotype" w:hAnsi="Palatino Linotype"/>
              </w:rPr>
              <w:t>Facultad de aclaración</w:t>
            </w:r>
          </w:p>
        </w:tc>
        <w:tc>
          <w:tcPr>
            <w:tcW w:w="1555" w:type="dxa"/>
            <w:vAlign w:val="center"/>
          </w:tcPr>
          <w:p w14:paraId="7C0A86BC" w14:textId="625BE491" w:rsidR="00204F95" w:rsidRPr="00C36F96" w:rsidRDefault="00BE5B67" w:rsidP="007E4253">
            <w:pPr>
              <w:jc w:val="center"/>
              <w:rPr>
                <w:rFonts w:ascii="Palatino Linotype" w:hAnsi="Palatino Linotype"/>
              </w:rPr>
            </w:pPr>
            <w:r w:rsidRPr="00C36F96">
              <w:rPr>
                <w:rFonts w:ascii="Palatino Linotype" w:hAnsi="Palatino Linotype"/>
              </w:rPr>
              <w:t>No</w:t>
            </w:r>
          </w:p>
        </w:tc>
      </w:tr>
      <w:tr w:rsidR="00204F95" w:rsidRPr="00C36F96" w14:paraId="3C97380F" w14:textId="77777777" w:rsidTr="00BE5B67">
        <w:tc>
          <w:tcPr>
            <w:tcW w:w="3114" w:type="dxa"/>
          </w:tcPr>
          <w:p w14:paraId="2E4C652D" w14:textId="00795C37" w:rsidR="00204F95" w:rsidRPr="00C36F96" w:rsidRDefault="00204F95" w:rsidP="00BE5B67">
            <w:pPr>
              <w:pStyle w:val="Prrafodelista"/>
              <w:numPr>
                <w:ilvl w:val="0"/>
                <w:numId w:val="21"/>
              </w:numPr>
              <w:spacing w:before="240"/>
              <w:jc w:val="both"/>
              <w:rPr>
                <w:rFonts w:ascii="Palatino Linotype" w:hAnsi="Palatino Linotype"/>
                <w:sz w:val="22"/>
                <w:szCs w:val="22"/>
              </w:rPr>
            </w:pPr>
            <w:r w:rsidRPr="00C36F96">
              <w:rPr>
                <w:rFonts w:ascii="Palatino Linotype" w:hAnsi="Palatino Linotype"/>
                <w:sz w:val="22"/>
                <w:szCs w:val="22"/>
              </w:rPr>
              <w:t>El o los documentos donde consten las cuotas a comerciantes o locatarios que se instalarán durante el evento, al seis de marzo de dos mil veintiséis.</w:t>
            </w:r>
          </w:p>
          <w:p w14:paraId="733EF5E8" w14:textId="77777777" w:rsidR="00204F95" w:rsidRPr="00C36F96" w:rsidRDefault="00204F95" w:rsidP="00BE5B67">
            <w:pPr>
              <w:jc w:val="both"/>
              <w:rPr>
                <w:rFonts w:ascii="Palatino Linotype" w:hAnsi="Palatino Linotype"/>
              </w:rPr>
            </w:pPr>
          </w:p>
        </w:tc>
        <w:tc>
          <w:tcPr>
            <w:tcW w:w="4252" w:type="dxa"/>
            <w:vAlign w:val="center"/>
          </w:tcPr>
          <w:p w14:paraId="516CAC28" w14:textId="6EBD9686" w:rsidR="00204F95" w:rsidRPr="00C36F96" w:rsidRDefault="00BE5B67" w:rsidP="007E4253">
            <w:pPr>
              <w:jc w:val="both"/>
              <w:rPr>
                <w:rFonts w:ascii="Palatino Linotype" w:hAnsi="Palatino Linotype"/>
              </w:rPr>
            </w:pPr>
            <w:r w:rsidRPr="00C36F96">
              <w:rPr>
                <w:rFonts w:ascii="Palatino Linotype" w:hAnsi="Palatino Linotype"/>
              </w:rPr>
              <w:t xml:space="preserve">Director de desarrollo económico remite documento ad hoc con giro / producto y total a pagar </w:t>
            </w:r>
          </w:p>
        </w:tc>
        <w:tc>
          <w:tcPr>
            <w:tcW w:w="1555" w:type="dxa"/>
            <w:vAlign w:val="center"/>
          </w:tcPr>
          <w:p w14:paraId="51156381" w14:textId="322B8C37" w:rsidR="00204F95" w:rsidRPr="00C36F96" w:rsidRDefault="00BE5B67" w:rsidP="007E4253">
            <w:pPr>
              <w:jc w:val="center"/>
              <w:rPr>
                <w:rFonts w:ascii="Palatino Linotype" w:hAnsi="Palatino Linotype"/>
              </w:rPr>
            </w:pPr>
            <w:r w:rsidRPr="00C36F96">
              <w:rPr>
                <w:rFonts w:ascii="Palatino Linotype" w:hAnsi="Palatino Linotype"/>
              </w:rPr>
              <w:t>Sí</w:t>
            </w:r>
          </w:p>
        </w:tc>
      </w:tr>
      <w:tr w:rsidR="00204F95" w:rsidRPr="00C36F96" w14:paraId="133014BA" w14:textId="77777777" w:rsidTr="006B4AC0">
        <w:tc>
          <w:tcPr>
            <w:tcW w:w="3114" w:type="dxa"/>
          </w:tcPr>
          <w:p w14:paraId="2E06626A" w14:textId="4F02C507" w:rsidR="00204F95" w:rsidRPr="00C36F96" w:rsidRDefault="00204F95" w:rsidP="006B4AC0">
            <w:pPr>
              <w:pStyle w:val="Prrafodelista"/>
              <w:numPr>
                <w:ilvl w:val="0"/>
                <w:numId w:val="21"/>
              </w:numPr>
              <w:spacing w:before="240"/>
              <w:jc w:val="both"/>
              <w:rPr>
                <w:rFonts w:ascii="Palatino Linotype" w:hAnsi="Palatino Linotype"/>
              </w:rPr>
            </w:pPr>
            <w:r w:rsidRPr="00C36F96">
              <w:rPr>
                <w:rFonts w:ascii="Palatino Linotype" w:hAnsi="Palatino Linotype"/>
                <w:sz w:val="22"/>
                <w:szCs w:val="22"/>
              </w:rPr>
              <w:t>Comprobantes de transferencias realizadas como adelanto para comprometer la participación de artistas</w:t>
            </w:r>
            <w:r w:rsidR="006B4AC0" w:rsidRPr="00C36F96">
              <w:rPr>
                <w:rFonts w:ascii="Palatino Linotype" w:hAnsi="Palatino Linotype"/>
                <w:sz w:val="22"/>
                <w:szCs w:val="22"/>
              </w:rPr>
              <w:t xml:space="preserve">, </w:t>
            </w:r>
            <w:r w:rsidRPr="00C36F96">
              <w:rPr>
                <w:rFonts w:ascii="Palatino Linotype" w:hAnsi="Palatino Linotype"/>
                <w:sz w:val="22"/>
                <w:szCs w:val="22"/>
              </w:rPr>
              <w:t>al seis de marzo de dos mil veintiséis.</w:t>
            </w:r>
          </w:p>
        </w:tc>
        <w:tc>
          <w:tcPr>
            <w:tcW w:w="4252" w:type="dxa"/>
            <w:vAlign w:val="center"/>
          </w:tcPr>
          <w:p w14:paraId="30346156" w14:textId="2192F7BB" w:rsidR="00204F95" w:rsidRPr="00C36F96" w:rsidRDefault="00BE5B67" w:rsidP="006B4AC0">
            <w:pPr>
              <w:jc w:val="both"/>
              <w:rPr>
                <w:rFonts w:ascii="Palatino Linotype" w:hAnsi="Palatino Linotype"/>
              </w:rPr>
            </w:pPr>
            <w:r w:rsidRPr="00C36F96">
              <w:rPr>
                <w:rFonts w:ascii="Palatino Linotype" w:hAnsi="Palatino Linotype"/>
              </w:rPr>
              <w:t xml:space="preserve">Tesorero municipal refiere que no se han realizado pagos por concepto de </w:t>
            </w:r>
            <w:r w:rsidRPr="00C36F96">
              <w:rPr>
                <w:rFonts w:ascii="Palatino Linotype" w:hAnsi="Palatino Linotype"/>
                <w:i/>
                <w:iCs/>
              </w:rPr>
              <w:t>“adelanto para comprometer a artistas”.</w:t>
            </w:r>
          </w:p>
          <w:p w14:paraId="2FF3540B" w14:textId="77777777" w:rsidR="006B4AC0" w:rsidRPr="00C36F96" w:rsidRDefault="006B4AC0" w:rsidP="006B4AC0">
            <w:pPr>
              <w:jc w:val="center"/>
              <w:rPr>
                <w:rFonts w:ascii="Palatino Linotype" w:hAnsi="Palatino Linotype"/>
              </w:rPr>
            </w:pPr>
          </w:p>
          <w:p w14:paraId="45FA59CB" w14:textId="65071627" w:rsidR="00BE5B67" w:rsidRPr="00C36F96" w:rsidRDefault="00BE5B67" w:rsidP="006B4AC0">
            <w:pPr>
              <w:jc w:val="center"/>
              <w:rPr>
                <w:rFonts w:ascii="Palatino Linotype" w:hAnsi="Palatino Linotype"/>
                <w:i/>
                <w:iCs/>
              </w:rPr>
            </w:pPr>
          </w:p>
        </w:tc>
        <w:tc>
          <w:tcPr>
            <w:tcW w:w="1555" w:type="dxa"/>
            <w:vAlign w:val="center"/>
          </w:tcPr>
          <w:p w14:paraId="3053A00E" w14:textId="0B6F01C1" w:rsidR="00204F95" w:rsidRPr="00C36F96" w:rsidRDefault="006B4AC0" w:rsidP="007E4253">
            <w:pPr>
              <w:jc w:val="center"/>
              <w:rPr>
                <w:rFonts w:ascii="Palatino Linotype" w:hAnsi="Palatino Linotype"/>
              </w:rPr>
            </w:pPr>
            <w:r w:rsidRPr="00C36F96">
              <w:rPr>
                <w:rFonts w:ascii="Palatino Linotype" w:hAnsi="Palatino Linotype"/>
              </w:rPr>
              <w:t>Sí</w:t>
            </w:r>
          </w:p>
        </w:tc>
      </w:tr>
    </w:tbl>
    <w:p w14:paraId="64561136" w14:textId="05432B17" w:rsidR="00A245CF" w:rsidRPr="00C36F96" w:rsidRDefault="0007739D" w:rsidP="00A245CF">
      <w:pPr>
        <w:pStyle w:val="Prrafodelista"/>
        <w:tabs>
          <w:tab w:val="left" w:pos="2460"/>
        </w:tabs>
        <w:autoSpaceDE w:val="0"/>
        <w:autoSpaceDN w:val="0"/>
        <w:adjustRightInd w:val="0"/>
        <w:spacing w:before="240" w:after="160" w:line="360" w:lineRule="auto"/>
        <w:ind w:left="0"/>
        <w:jc w:val="both"/>
        <w:rPr>
          <w:rFonts w:ascii="Palatino Linotype" w:hAnsi="Palatino Linotype" w:cs="Arial"/>
          <w:color w:val="000000"/>
          <w:lang w:val="es-ES_tradnl"/>
        </w:rPr>
      </w:pPr>
      <w:r w:rsidRPr="00C36F96">
        <w:rPr>
          <w:rFonts w:ascii="Palatino Linotype" w:hAnsi="Palatino Linotype"/>
          <w:bCs/>
          <w:lang w:val="es-MX"/>
        </w:rPr>
        <w:lastRenderedPageBreak/>
        <w:t xml:space="preserve">Con base en lo anteriormente expuesto, </w:t>
      </w:r>
      <w:r w:rsidR="00A245CF" w:rsidRPr="00C36F96">
        <w:rPr>
          <w:rFonts w:ascii="Palatino Linotype" w:hAnsi="Palatino Linotype"/>
          <w:bCs/>
          <w:lang w:val="es-MX"/>
        </w:rPr>
        <w:t xml:space="preserve">respecto de los requerimientos </w:t>
      </w:r>
      <w:r w:rsidR="002B1179" w:rsidRPr="00C36F96">
        <w:rPr>
          <w:rFonts w:ascii="Palatino Linotype" w:hAnsi="Palatino Linotype"/>
          <w:b/>
          <w:lang w:val="es-MX"/>
        </w:rPr>
        <w:t>1</w:t>
      </w:r>
      <w:r w:rsidR="00BE5B67" w:rsidRPr="00C36F96">
        <w:rPr>
          <w:rFonts w:ascii="Palatino Linotype" w:hAnsi="Palatino Linotype"/>
          <w:b/>
          <w:lang w:val="es-MX"/>
        </w:rPr>
        <w:t xml:space="preserve"> y 6</w:t>
      </w:r>
      <w:r w:rsidR="00A245CF" w:rsidRPr="00C36F96">
        <w:rPr>
          <w:rFonts w:ascii="Palatino Linotype" w:hAnsi="Palatino Linotype"/>
          <w:b/>
          <w:lang w:val="es-MX"/>
        </w:rPr>
        <w:t xml:space="preserve">, </w:t>
      </w:r>
      <w:r w:rsidR="00A245CF" w:rsidRPr="00C36F96">
        <w:rPr>
          <w:rFonts w:ascii="Palatino Linotype" w:hAnsi="Palatino Linotype"/>
          <w:bCs/>
          <w:lang w:val="es-MX"/>
        </w:rPr>
        <w:t xml:space="preserve">se destaca que </w:t>
      </w:r>
      <w:r w:rsidR="00A245CF" w:rsidRPr="00C36F96">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00A245CF" w:rsidRPr="00C36F96">
        <w:rPr>
          <w:rFonts w:ascii="Palatino Linotype" w:hAnsi="Palatino Linotype" w:cs="Arial"/>
          <w:b/>
          <w:bCs/>
          <w:color w:val="000000"/>
          <w:lang w:val="es-ES_tradnl"/>
        </w:rPr>
        <w:t xml:space="preserve">Sujetos Obligados, </w:t>
      </w:r>
      <w:r w:rsidR="00A245CF" w:rsidRPr="00C36F96">
        <w:rPr>
          <w:rFonts w:ascii="Palatino Linotype" w:hAnsi="Palatino Linotype" w:cs="Arial"/>
          <w:color w:val="000000"/>
          <w:lang w:val="es-ES_tradnl"/>
        </w:rPr>
        <w:t>por cuanto hace a su:</w:t>
      </w:r>
    </w:p>
    <w:p w14:paraId="54DF28DF" w14:textId="77777777" w:rsidR="00A245CF" w:rsidRPr="00C36F96" w:rsidRDefault="00A245CF" w:rsidP="00A245CF">
      <w:pPr>
        <w:pStyle w:val="Prrafodelista"/>
        <w:numPr>
          <w:ilvl w:val="0"/>
          <w:numId w:val="22"/>
        </w:numPr>
        <w:autoSpaceDE w:val="0"/>
        <w:autoSpaceDN w:val="0"/>
        <w:adjustRightInd w:val="0"/>
        <w:spacing w:before="240" w:after="160" w:line="360" w:lineRule="auto"/>
        <w:jc w:val="both"/>
        <w:rPr>
          <w:rFonts w:ascii="Palatino Linotype" w:hAnsi="Palatino Linotype"/>
        </w:rPr>
      </w:pPr>
      <w:r w:rsidRPr="00C36F96">
        <w:rPr>
          <w:rFonts w:ascii="Palatino Linotype" w:hAnsi="Palatino Linotype"/>
        </w:rPr>
        <w:t>Volumen</w:t>
      </w:r>
    </w:p>
    <w:p w14:paraId="102FCE34" w14:textId="77777777" w:rsidR="00A245CF" w:rsidRPr="00C36F96" w:rsidRDefault="00A245CF" w:rsidP="00A245CF">
      <w:pPr>
        <w:pStyle w:val="Prrafodelista"/>
        <w:numPr>
          <w:ilvl w:val="0"/>
          <w:numId w:val="22"/>
        </w:numPr>
        <w:autoSpaceDE w:val="0"/>
        <w:autoSpaceDN w:val="0"/>
        <w:adjustRightInd w:val="0"/>
        <w:spacing w:before="240" w:after="160" w:line="360" w:lineRule="auto"/>
        <w:jc w:val="both"/>
        <w:rPr>
          <w:rFonts w:ascii="Palatino Linotype" w:hAnsi="Palatino Linotype"/>
          <w:b/>
          <w:bCs/>
          <w:u w:val="single"/>
        </w:rPr>
      </w:pPr>
      <w:r w:rsidRPr="00C36F96">
        <w:rPr>
          <w:rFonts w:ascii="Palatino Linotype" w:hAnsi="Palatino Linotype"/>
          <w:b/>
          <w:bCs/>
          <w:u w:val="single"/>
        </w:rPr>
        <w:t>Contenido</w:t>
      </w:r>
    </w:p>
    <w:p w14:paraId="1506568B" w14:textId="77777777" w:rsidR="00A245CF" w:rsidRPr="00C36F96" w:rsidRDefault="00A245CF" w:rsidP="00A245CF">
      <w:pPr>
        <w:pStyle w:val="Prrafodelista"/>
        <w:numPr>
          <w:ilvl w:val="0"/>
          <w:numId w:val="22"/>
        </w:numPr>
        <w:spacing w:line="360" w:lineRule="auto"/>
        <w:jc w:val="both"/>
        <w:rPr>
          <w:rFonts w:ascii="Palatino Linotype" w:hAnsi="Palatino Linotype" w:cs="Arial"/>
          <w:color w:val="000000"/>
          <w:lang w:val="es-ES_tradnl"/>
        </w:rPr>
      </w:pPr>
      <w:r w:rsidRPr="00C36F96">
        <w:rPr>
          <w:rFonts w:ascii="Palatino Linotype" w:hAnsi="Palatino Linotype"/>
        </w:rPr>
        <w:t>Extensión</w:t>
      </w:r>
    </w:p>
    <w:p w14:paraId="2F32C812" w14:textId="77777777" w:rsidR="00A245CF" w:rsidRPr="00C36F96" w:rsidRDefault="00A245CF" w:rsidP="00A245CF">
      <w:pPr>
        <w:spacing w:after="0" w:line="360" w:lineRule="auto"/>
        <w:jc w:val="both"/>
        <w:rPr>
          <w:rFonts w:ascii="Palatino Linotype" w:hAnsi="Palatino Linotype" w:cs="Arial"/>
          <w:color w:val="000000"/>
          <w:sz w:val="24"/>
          <w:szCs w:val="24"/>
          <w:lang w:val="es-ES_tradnl"/>
        </w:rPr>
      </w:pPr>
    </w:p>
    <w:p w14:paraId="4A322F82" w14:textId="77777777" w:rsidR="00A245CF" w:rsidRPr="00C36F96" w:rsidRDefault="00A245CF" w:rsidP="00A245CF">
      <w:pPr>
        <w:spacing w:after="0" w:line="360" w:lineRule="auto"/>
        <w:jc w:val="both"/>
        <w:rPr>
          <w:rFonts w:ascii="Palatino Linotype" w:hAnsi="Palatino Linotype"/>
          <w:iCs/>
          <w:sz w:val="24"/>
          <w:szCs w:val="24"/>
        </w:rPr>
      </w:pPr>
      <w:r w:rsidRPr="00C36F96">
        <w:rPr>
          <w:rFonts w:ascii="Palatino Linotype" w:hAnsi="Palatino Linotype" w:cs="Arial"/>
          <w:color w:val="000000"/>
          <w:sz w:val="24"/>
          <w:szCs w:val="24"/>
          <w:lang w:val="es-ES_tradnl"/>
        </w:rPr>
        <w:t xml:space="preserve">De manera complementaria, </w:t>
      </w:r>
      <w:r w:rsidRPr="00C36F96">
        <w:rPr>
          <w:rFonts w:ascii="Palatino Linotype" w:hAnsi="Palatino Linotype"/>
          <w:sz w:val="24"/>
          <w:szCs w:val="24"/>
        </w:rPr>
        <w:t>se arriba a la premisa de que el derecho</w:t>
      </w:r>
      <w:r w:rsidRPr="00C36F96">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20EA693D" w14:textId="77777777" w:rsidR="00A245CF" w:rsidRPr="00C36F96" w:rsidRDefault="00A245CF" w:rsidP="00A245CF">
      <w:pPr>
        <w:spacing w:after="0" w:line="360" w:lineRule="auto"/>
        <w:jc w:val="both"/>
        <w:rPr>
          <w:rFonts w:ascii="Palatino Linotype" w:hAnsi="Palatino Linotype"/>
          <w:i/>
          <w:iCs/>
          <w:sz w:val="24"/>
          <w:szCs w:val="24"/>
        </w:rPr>
      </w:pPr>
    </w:p>
    <w:p w14:paraId="02556752" w14:textId="77777777" w:rsidR="00A245CF" w:rsidRPr="00C36F96" w:rsidRDefault="00A245CF" w:rsidP="00A245CF">
      <w:pPr>
        <w:spacing w:line="360" w:lineRule="auto"/>
        <w:jc w:val="both"/>
        <w:rPr>
          <w:sz w:val="24"/>
          <w:szCs w:val="24"/>
          <w:lang w:val="es-ES_tradnl"/>
        </w:rPr>
      </w:pPr>
      <w:r w:rsidRPr="00C36F96">
        <w:rPr>
          <w:rFonts w:ascii="Palatino Linotype" w:hAnsi="Palatino Linotype"/>
          <w:iCs/>
          <w:sz w:val="24"/>
          <w:szCs w:val="24"/>
        </w:rPr>
        <w:t xml:space="preserve">Robustece lo anterior, el criterio </w:t>
      </w:r>
      <w:r w:rsidRPr="00C36F96">
        <w:rPr>
          <w:rFonts w:ascii="Palatino Linotype" w:hAnsi="Palatino Linotype" w:cs="Arial"/>
          <w:color w:val="000000"/>
          <w:sz w:val="24"/>
          <w:szCs w:val="24"/>
          <w:lang w:val="es-ES_tradnl"/>
        </w:rPr>
        <w:t xml:space="preserve">03-17, emitido por </w:t>
      </w:r>
      <w:r w:rsidRPr="00C36F96">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21696725" w14:textId="77777777" w:rsidR="00A245CF" w:rsidRPr="00C36F96" w:rsidRDefault="00A245CF" w:rsidP="00A245CF">
      <w:pPr>
        <w:pStyle w:val="Citas"/>
        <w:rPr>
          <w:b/>
          <w:spacing w:val="18"/>
        </w:rPr>
      </w:pPr>
      <w:r w:rsidRPr="00C36F96">
        <w:rPr>
          <w:b/>
        </w:rPr>
        <w:t xml:space="preserve">“NO EXISTE OBLIGACIÓN DE ELABORAR </w:t>
      </w:r>
      <w:r w:rsidRPr="00C36F96">
        <w:rPr>
          <w:b/>
          <w:spacing w:val="-3"/>
        </w:rPr>
        <w:t>D</w:t>
      </w:r>
      <w:r w:rsidRPr="00C36F96">
        <w:rPr>
          <w:b/>
        </w:rPr>
        <w:t>OCUM</w:t>
      </w:r>
      <w:r w:rsidRPr="00C36F96">
        <w:rPr>
          <w:b/>
          <w:spacing w:val="1"/>
        </w:rPr>
        <w:t>E</w:t>
      </w:r>
      <w:r w:rsidRPr="00C36F96">
        <w:rPr>
          <w:b/>
        </w:rPr>
        <w:t>N</w:t>
      </w:r>
      <w:r w:rsidRPr="00C36F96">
        <w:rPr>
          <w:b/>
          <w:spacing w:val="-1"/>
        </w:rPr>
        <w:t>T</w:t>
      </w:r>
      <w:r w:rsidRPr="00C36F96">
        <w:rPr>
          <w:b/>
        </w:rPr>
        <w:t>OS</w:t>
      </w:r>
      <w:r w:rsidRPr="00C36F96">
        <w:rPr>
          <w:b/>
          <w:spacing w:val="14"/>
        </w:rPr>
        <w:t xml:space="preserve"> </w:t>
      </w:r>
      <w:r w:rsidRPr="00C36F96">
        <w:rPr>
          <w:b/>
          <w:spacing w:val="-1"/>
        </w:rPr>
        <w:t xml:space="preserve">AD </w:t>
      </w:r>
      <w:r w:rsidRPr="00C36F96">
        <w:rPr>
          <w:b/>
        </w:rPr>
        <w:t>HOC</w:t>
      </w:r>
      <w:r w:rsidRPr="00C36F96">
        <w:rPr>
          <w:b/>
          <w:spacing w:val="11"/>
        </w:rPr>
        <w:t xml:space="preserve"> </w:t>
      </w:r>
      <w:r w:rsidRPr="00C36F96">
        <w:rPr>
          <w:b/>
        </w:rPr>
        <w:t>PARA</w:t>
      </w:r>
      <w:r w:rsidRPr="00C36F96">
        <w:rPr>
          <w:b/>
          <w:spacing w:val="10"/>
        </w:rPr>
        <w:t xml:space="preserve"> </w:t>
      </w:r>
      <w:r w:rsidRPr="00C36F96">
        <w:rPr>
          <w:b/>
        </w:rPr>
        <w:t>ATENDER LAS SOL</w:t>
      </w:r>
      <w:r w:rsidRPr="00C36F96">
        <w:rPr>
          <w:b/>
          <w:spacing w:val="-2"/>
        </w:rPr>
        <w:t>I</w:t>
      </w:r>
      <w:r w:rsidRPr="00C36F96">
        <w:rPr>
          <w:b/>
          <w:spacing w:val="1"/>
        </w:rPr>
        <w:t>C</w:t>
      </w:r>
      <w:r w:rsidRPr="00C36F96">
        <w:rPr>
          <w:b/>
        </w:rPr>
        <w:t>ITUDES</w:t>
      </w:r>
      <w:r w:rsidRPr="00C36F96">
        <w:rPr>
          <w:b/>
          <w:spacing w:val="10"/>
        </w:rPr>
        <w:t xml:space="preserve"> </w:t>
      </w:r>
      <w:r w:rsidRPr="00C36F96">
        <w:rPr>
          <w:b/>
        </w:rPr>
        <w:t>DE</w:t>
      </w:r>
      <w:r w:rsidRPr="00C36F96">
        <w:rPr>
          <w:b/>
          <w:spacing w:val="9"/>
        </w:rPr>
        <w:t xml:space="preserve"> </w:t>
      </w:r>
      <w:r w:rsidRPr="00C36F96">
        <w:rPr>
          <w:b/>
          <w:spacing w:val="1"/>
        </w:rPr>
        <w:t>AC</w:t>
      </w:r>
      <w:r w:rsidRPr="00C36F96">
        <w:rPr>
          <w:b/>
          <w:spacing w:val="-1"/>
        </w:rPr>
        <w:t>C</w:t>
      </w:r>
      <w:r w:rsidRPr="00C36F96">
        <w:rPr>
          <w:b/>
          <w:spacing w:val="1"/>
        </w:rPr>
        <w:t>ES</w:t>
      </w:r>
      <w:r w:rsidRPr="00C36F96">
        <w:rPr>
          <w:b/>
        </w:rPr>
        <w:t>O</w:t>
      </w:r>
      <w:r w:rsidRPr="00C36F96">
        <w:rPr>
          <w:b/>
          <w:spacing w:val="11"/>
        </w:rPr>
        <w:t xml:space="preserve"> </w:t>
      </w:r>
      <w:r w:rsidRPr="00C36F96">
        <w:rPr>
          <w:b/>
        </w:rPr>
        <w:t>A</w:t>
      </w:r>
      <w:r w:rsidRPr="00C36F96">
        <w:rPr>
          <w:b/>
          <w:spacing w:val="9"/>
        </w:rPr>
        <w:t xml:space="preserve"> </w:t>
      </w:r>
      <w:r w:rsidRPr="00C36F96">
        <w:rPr>
          <w:b/>
        </w:rPr>
        <w:t>LA</w:t>
      </w:r>
      <w:r w:rsidRPr="00C36F96">
        <w:rPr>
          <w:b/>
          <w:spacing w:val="10"/>
        </w:rPr>
        <w:t xml:space="preserve"> </w:t>
      </w:r>
      <w:r w:rsidRPr="00C36F96">
        <w:rPr>
          <w:b/>
        </w:rPr>
        <w:t>INFORMA</w:t>
      </w:r>
      <w:r w:rsidRPr="00C36F96">
        <w:rPr>
          <w:b/>
          <w:spacing w:val="1"/>
        </w:rPr>
        <w:t>C</w:t>
      </w:r>
      <w:r w:rsidRPr="00C36F96">
        <w:rPr>
          <w:b/>
        </w:rPr>
        <w:t>IÓ</w:t>
      </w:r>
      <w:r w:rsidRPr="00C36F96">
        <w:rPr>
          <w:b/>
          <w:spacing w:val="-2"/>
        </w:rPr>
        <w:t>N</w:t>
      </w:r>
      <w:r w:rsidRPr="00C36F96">
        <w:rPr>
          <w:b/>
        </w:rPr>
        <w:t>.</w:t>
      </w:r>
      <w:r w:rsidRPr="00C36F96">
        <w:rPr>
          <w:b/>
          <w:spacing w:val="18"/>
        </w:rPr>
        <w:t xml:space="preserve"> </w:t>
      </w:r>
    </w:p>
    <w:p w14:paraId="63A6AC51" w14:textId="77777777" w:rsidR="00A245CF" w:rsidRPr="00C36F96" w:rsidRDefault="00A245CF" w:rsidP="00A245CF">
      <w:pPr>
        <w:pStyle w:val="Citas"/>
      </w:pPr>
      <w:r w:rsidRPr="00C36F96">
        <w:rPr>
          <w:spacing w:val="18"/>
        </w:rPr>
        <w:t>L</w:t>
      </w:r>
      <w:r w:rsidRPr="00C36F96">
        <w:rPr>
          <w:spacing w:val="-1"/>
        </w:rPr>
        <w:t xml:space="preserve">os </w:t>
      </w:r>
      <w:r w:rsidRPr="00C36F96">
        <w:rPr>
          <w:spacing w:val="1"/>
        </w:rPr>
        <w:t>a</w:t>
      </w:r>
      <w:r w:rsidRPr="00C36F96">
        <w:t>rt</w:t>
      </w:r>
      <w:r w:rsidRPr="00C36F96">
        <w:rPr>
          <w:spacing w:val="-2"/>
        </w:rPr>
        <w:t>í</w:t>
      </w:r>
      <w:r w:rsidRPr="00C36F96">
        <w:t>c</w:t>
      </w:r>
      <w:r w:rsidRPr="00C36F96">
        <w:rPr>
          <w:spacing w:val="1"/>
        </w:rPr>
        <w:t>u</w:t>
      </w:r>
      <w:r w:rsidRPr="00C36F96">
        <w:t>los</w:t>
      </w:r>
      <w:r w:rsidRPr="00C36F96">
        <w:rPr>
          <w:spacing w:val="8"/>
        </w:rPr>
        <w:t xml:space="preserve"> 129 </w:t>
      </w:r>
      <w:r w:rsidRPr="00C36F96">
        <w:rPr>
          <w:spacing w:val="1"/>
        </w:rPr>
        <w:t>d</w:t>
      </w:r>
      <w:r w:rsidRPr="00C36F96">
        <w:t>e</w:t>
      </w:r>
      <w:r w:rsidRPr="00C36F96">
        <w:rPr>
          <w:spacing w:val="9"/>
        </w:rPr>
        <w:t xml:space="preserve"> </w:t>
      </w:r>
      <w:r w:rsidRPr="00C36F96">
        <w:t>la</w:t>
      </w:r>
      <w:r w:rsidRPr="00C36F96">
        <w:rPr>
          <w:spacing w:val="10"/>
        </w:rPr>
        <w:t xml:space="preserve"> </w:t>
      </w:r>
      <w:r w:rsidRPr="00C36F96">
        <w:rPr>
          <w:spacing w:val="-1"/>
        </w:rPr>
        <w:t>L</w:t>
      </w:r>
      <w:r w:rsidRPr="00C36F96">
        <w:rPr>
          <w:spacing w:val="1"/>
        </w:rPr>
        <w:t>e</w:t>
      </w:r>
      <w:r w:rsidRPr="00C36F96">
        <w:t>y</w:t>
      </w:r>
      <w:r w:rsidRPr="00C36F96">
        <w:rPr>
          <w:spacing w:val="8"/>
        </w:rPr>
        <w:t xml:space="preserve"> </w:t>
      </w:r>
      <w:r w:rsidRPr="00C36F96">
        <w:t>General</w:t>
      </w:r>
      <w:r w:rsidRPr="00C36F96">
        <w:rPr>
          <w:spacing w:val="10"/>
        </w:rPr>
        <w:t xml:space="preserve"> </w:t>
      </w:r>
      <w:r w:rsidRPr="00C36F96">
        <w:rPr>
          <w:spacing w:val="-1"/>
        </w:rPr>
        <w:t>d</w:t>
      </w:r>
      <w:r w:rsidRPr="00C36F96">
        <w:t>e</w:t>
      </w:r>
      <w:r w:rsidRPr="00C36F96">
        <w:rPr>
          <w:spacing w:val="9"/>
        </w:rPr>
        <w:t xml:space="preserve"> </w:t>
      </w:r>
      <w:r w:rsidRPr="00C36F96">
        <w:rPr>
          <w:spacing w:val="2"/>
        </w:rPr>
        <w:t>T</w:t>
      </w:r>
      <w:r w:rsidRPr="00C36F96">
        <w:t>r</w:t>
      </w:r>
      <w:r w:rsidRPr="00C36F96">
        <w:rPr>
          <w:spacing w:val="-2"/>
        </w:rPr>
        <w:t>a</w:t>
      </w:r>
      <w:r w:rsidRPr="00C36F96">
        <w:rPr>
          <w:spacing w:val="1"/>
        </w:rPr>
        <w:t>n</w:t>
      </w:r>
      <w:r w:rsidRPr="00C36F96">
        <w:t>s</w:t>
      </w:r>
      <w:r w:rsidRPr="00C36F96">
        <w:rPr>
          <w:spacing w:val="1"/>
        </w:rPr>
        <w:t>pa</w:t>
      </w:r>
      <w:r w:rsidRPr="00C36F96">
        <w:t>r</w:t>
      </w:r>
      <w:r w:rsidRPr="00C36F96">
        <w:rPr>
          <w:spacing w:val="-2"/>
        </w:rPr>
        <w:t>e</w:t>
      </w:r>
      <w:r w:rsidRPr="00C36F96">
        <w:rPr>
          <w:spacing w:val="1"/>
        </w:rPr>
        <w:t>n</w:t>
      </w:r>
      <w:r w:rsidRPr="00C36F96">
        <w:t>cia y Acc</w:t>
      </w:r>
      <w:r w:rsidRPr="00C36F96">
        <w:rPr>
          <w:spacing w:val="1"/>
        </w:rPr>
        <w:t>e</w:t>
      </w:r>
      <w:r w:rsidRPr="00C36F96">
        <w:t>so</w:t>
      </w:r>
      <w:r w:rsidRPr="00C36F96">
        <w:rPr>
          <w:spacing w:val="3"/>
        </w:rPr>
        <w:t xml:space="preserve"> </w:t>
      </w:r>
      <w:r w:rsidRPr="00C36F96">
        <w:t>a</w:t>
      </w:r>
      <w:r w:rsidRPr="00C36F96">
        <w:rPr>
          <w:spacing w:val="1"/>
        </w:rPr>
        <w:t xml:space="preserve"> </w:t>
      </w:r>
      <w:r w:rsidRPr="00C36F96">
        <w:t>la I</w:t>
      </w:r>
      <w:r w:rsidRPr="00C36F96">
        <w:rPr>
          <w:spacing w:val="-1"/>
        </w:rPr>
        <w:t>n</w:t>
      </w:r>
      <w:r w:rsidRPr="00C36F96">
        <w:t>f</w:t>
      </w:r>
      <w:r w:rsidRPr="00C36F96">
        <w:rPr>
          <w:spacing w:val="1"/>
        </w:rPr>
        <w:t>o</w:t>
      </w:r>
      <w:r w:rsidRPr="00C36F96">
        <w:rPr>
          <w:spacing w:val="-3"/>
        </w:rPr>
        <w:t>r</w:t>
      </w:r>
      <w:r w:rsidRPr="00C36F96">
        <w:rPr>
          <w:spacing w:val="1"/>
        </w:rPr>
        <w:t>ma</w:t>
      </w:r>
      <w:r w:rsidRPr="00C36F96">
        <w:t>ci</w:t>
      </w:r>
      <w:r w:rsidRPr="00C36F96">
        <w:rPr>
          <w:spacing w:val="-2"/>
        </w:rPr>
        <w:t>ó</w:t>
      </w:r>
      <w:r w:rsidRPr="00C36F96">
        <w:t>n</w:t>
      </w:r>
      <w:r w:rsidRPr="00C36F96">
        <w:rPr>
          <w:spacing w:val="6"/>
        </w:rPr>
        <w:t xml:space="preserve"> </w:t>
      </w:r>
      <w:r w:rsidRPr="00C36F96">
        <w:rPr>
          <w:spacing w:val="-2"/>
        </w:rPr>
        <w:t>P</w:t>
      </w:r>
      <w:r w:rsidRPr="00C36F96">
        <w:rPr>
          <w:spacing w:val="1"/>
        </w:rPr>
        <w:t>úb</w:t>
      </w:r>
      <w:r w:rsidRPr="00C36F96">
        <w:t>l</w:t>
      </w:r>
      <w:r w:rsidRPr="00C36F96">
        <w:rPr>
          <w:spacing w:val="-1"/>
        </w:rPr>
        <w:t>i</w:t>
      </w:r>
      <w:r w:rsidRPr="00C36F96">
        <w:t xml:space="preserve">ca y </w:t>
      </w:r>
      <w:r w:rsidRPr="00C36F96">
        <w:rPr>
          <w:spacing w:val="8"/>
        </w:rPr>
        <w:t xml:space="preserve">130, párrafo cuarto, </w:t>
      </w:r>
      <w:r w:rsidRPr="00C36F96">
        <w:rPr>
          <w:spacing w:val="1"/>
        </w:rPr>
        <w:t>d</w:t>
      </w:r>
      <w:r w:rsidRPr="00C36F96">
        <w:t>e</w:t>
      </w:r>
      <w:r w:rsidRPr="00C36F96">
        <w:rPr>
          <w:spacing w:val="9"/>
        </w:rPr>
        <w:t xml:space="preserve"> </w:t>
      </w:r>
      <w:r w:rsidRPr="00C36F96">
        <w:t>la</w:t>
      </w:r>
      <w:r w:rsidRPr="00C36F96">
        <w:rPr>
          <w:spacing w:val="10"/>
        </w:rPr>
        <w:t xml:space="preserve"> </w:t>
      </w:r>
      <w:r w:rsidRPr="00C36F96">
        <w:rPr>
          <w:spacing w:val="-1"/>
        </w:rPr>
        <w:t>L</w:t>
      </w:r>
      <w:r w:rsidRPr="00C36F96">
        <w:rPr>
          <w:spacing w:val="1"/>
        </w:rPr>
        <w:t>e</w:t>
      </w:r>
      <w:r w:rsidRPr="00C36F96">
        <w:t>y</w:t>
      </w:r>
      <w:r w:rsidRPr="00C36F96">
        <w:rPr>
          <w:spacing w:val="8"/>
        </w:rPr>
        <w:t xml:space="preserve"> </w:t>
      </w:r>
      <w:r w:rsidRPr="00C36F96">
        <w:t>Fe</w:t>
      </w:r>
      <w:r w:rsidRPr="00C36F96">
        <w:rPr>
          <w:spacing w:val="1"/>
        </w:rPr>
        <w:t>de</w:t>
      </w:r>
      <w:r w:rsidRPr="00C36F96">
        <w:t>ral</w:t>
      </w:r>
      <w:r w:rsidRPr="00C36F96">
        <w:rPr>
          <w:spacing w:val="10"/>
        </w:rPr>
        <w:t xml:space="preserve"> </w:t>
      </w:r>
      <w:r w:rsidRPr="00C36F96">
        <w:rPr>
          <w:spacing w:val="-1"/>
        </w:rPr>
        <w:t>d</w:t>
      </w:r>
      <w:r w:rsidRPr="00C36F96">
        <w:t>e</w:t>
      </w:r>
      <w:r w:rsidRPr="00C36F96">
        <w:rPr>
          <w:spacing w:val="9"/>
        </w:rPr>
        <w:t xml:space="preserve"> </w:t>
      </w:r>
      <w:r w:rsidRPr="00C36F96">
        <w:rPr>
          <w:spacing w:val="2"/>
        </w:rPr>
        <w:t>T</w:t>
      </w:r>
      <w:r w:rsidRPr="00C36F96">
        <w:t>r</w:t>
      </w:r>
      <w:r w:rsidRPr="00C36F96">
        <w:rPr>
          <w:spacing w:val="-2"/>
        </w:rPr>
        <w:t>a</w:t>
      </w:r>
      <w:r w:rsidRPr="00C36F96">
        <w:rPr>
          <w:spacing w:val="1"/>
        </w:rPr>
        <w:t>n</w:t>
      </w:r>
      <w:r w:rsidRPr="00C36F96">
        <w:t>s</w:t>
      </w:r>
      <w:r w:rsidRPr="00C36F96">
        <w:rPr>
          <w:spacing w:val="1"/>
        </w:rPr>
        <w:t>pa</w:t>
      </w:r>
      <w:r w:rsidRPr="00C36F96">
        <w:t>r</w:t>
      </w:r>
      <w:r w:rsidRPr="00C36F96">
        <w:rPr>
          <w:spacing w:val="-2"/>
        </w:rPr>
        <w:t>e</w:t>
      </w:r>
      <w:r w:rsidRPr="00C36F96">
        <w:rPr>
          <w:spacing w:val="1"/>
        </w:rPr>
        <w:t>n</w:t>
      </w:r>
      <w:r w:rsidRPr="00C36F96">
        <w:t>cia y Acc</w:t>
      </w:r>
      <w:r w:rsidRPr="00C36F96">
        <w:rPr>
          <w:spacing w:val="1"/>
        </w:rPr>
        <w:t>e</w:t>
      </w:r>
      <w:r w:rsidRPr="00C36F96">
        <w:t>so</w:t>
      </w:r>
      <w:r w:rsidRPr="00C36F96">
        <w:rPr>
          <w:spacing w:val="3"/>
        </w:rPr>
        <w:t xml:space="preserve"> </w:t>
      </w:r>
      <w:r w:rsidRPr="00C36F96">
        <w:t>a</w:t>
      </w:r>
      <w:r w:rsidRPr="00C36F96">
        <w:rPr>
          <w:spacing w:val="1"/>
        </w:rPr>
        <w:t xml:space="preserve"> </w:t>
      </w:r>
      <w:r w:rsidRPr="00C36F96">
        <w:t>la I</w:t>
      </w:r>
      <w:r w:rsidRPr="00C36F96">
        <w:rPr>
          <w:spacing w:val="-1"/>
        </w:rPr>
        <w:t>n</w:t>
      </w:r>
      <w:r w:rsidRPr="00C36F96">
        <w:t>f</w:t>
      </w:r>
      <w:r w:rsidRPr="00C36F96">
        <w:rPr>
          <w:spacing w:val="1"/>
        </w:rPr>
        <w:t>o</w:t>
      </w:r>
      <w:r w:rsidRPr="00C36F96">
        <w:rPr>
          <w:spacing w:val="-3"/>
        </w:rPr>
        <w:t>r</w:t>
      </w:r>
      <w:r w:rsidRPr="00C36F96">
        <w:rPr>
          <w:spacing w:val="1"/>
        </w:rPr>
        <w:t>ma</w:t>
      </w:r>
      <w:r w:rsidRPr="00C36F96">
        <w:t>ci</w:t>
      </w:r>
      <w:r w:rsidRPr="00C36F96">
        <w:rPr>
          <w:spacing w:val="-2"/>
        </w:rPr>
        <w:t>ó</w:t>
      </w:r>
      <w:r w:rsidRPr="00C36F96">
        <w:t>n</w:t>
      </w:r>
      <w:r w:rsidRPr="00C36F96">
        <w:rPr>
          <w:spacing w:val="6"/>
        </w:rPr>
        <w:t xml:space="preserve"> </w:t>
      </w:r>
      <w:r w:rsidRPr="00C36F96">
        <w:rPr>
          <w:spacing w:val="-2"/>
        </w:rPr>
        <w:t>P</w:t>
      </w:r>
      <w:r w:rsidRPr="00C36F96">
        <w:rPr>
          <w:spacing w:val="1"/>
        </w:rPr>
        <w:t>úb</w:t>
      </w:r>
      <w:r w:rsidRPr="00C36F96">
        <w:t>l</w:t>
      </w:r>
      <w:r w:rsidRPr="00C36F96">
        <w:rPr>
          <w:spacing w:val="-1"/>
        </w:rPr>
        <w:t>i</w:t>
      </w:r>
      <w:r w:rsidRPr="00C36F96">
        <w:t xml:space="preserve">ca, </w:t>
      </w:r>
      <w:r w:rsidRPr="00C36F96">
        <w:rPr>
          <w:spacing w:val="-1"/>
        </w:rPr>
        <w:t>señalan</w:t>
      </w:r>
      <w:r w:rsidRPr="00C36F96">
        <w:rPr>
          <w:spacing w:val="1"/>
        </w:rPr>
        <w:t xml:space="preserve"> </w:t>
      </w:r>
      <w:r w:rsidRPr="00C36F96">
        <w:rPr>
          <w:spacing w:val="-1"/>
        </w:rPr>
        <w:t>q</w:t>
      </w:r>
      <w:r w:rsidRPr="00C36F96">
        <w:rPr>
          <w:spacing w:val="1"/>
        </w:rPr>
        <w:t>u</w:t>
      </w:r>
      <w:r w:rsidRPr="00C36F96">
        <w:t xml:space="preserve">e los sujetos obligados deberán otorgar acceso a los </w:t>
      </w:r>
      <w:r w:rsidRPr="00C36F96">
        <w:lastRenderedPageBreak/>
        <w:t>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C36F96">
        <w:rPr>
          <w:spacing w:val="-1"/>
        </w:rPr>
        <w:t xml:space="preserve"> sin necesidad de</w:t>
      </w:r>
      <w:r w:rsidRPr="00C36F96">
        <w:rPr>
          <w:spacing w:val="1"/>
        </w:rPr>
        <w:t xml:space="preserve"> e</w:t>
      </w:r>
      <w:r w:rsidRPr="00C36F96">
        <w:t>la</w:t>
      </w:r>
      <w:r w:rsidRPr="00C36F96">
        <w:rPr>
          <w:spacing w:val="1"/>
        </w:rPr>
        <w:t>bo</w:t>
      </w:r>
      <w:r w:rsidRPr="00C36F96">
        <w:t xml:space="preserve">rar </w:t>
      </w:r>
      <w:r w:rsidRPr="00C36F96">
        <w:rPr>
          <w:spacing w:val="1"/>
        </w:rPr>
        <w:t>do</w:t>
      </w:r>
      <w:r w:rsidRPr="00C36F96">
        <w:rPr>
          <w:spacing w:val="-2"/>
        </w:rPr>
        <w:t>c</w:t>
      </w:r>
      <w:r w:rsidRPr="00C36F96">
        <w:rPr>
          <w:spacing w:val="1"/>
        </w:rPr>
        <w:t>u</w:t>
      </w:r>
      <w:r w:rsidRPr="00C36F96">
        <w:rPr>
          <w:spacing w:val="-1"/>
        </w:rPr>
        <w:t>m</w:t>
      </w:r>
      <w:r w:rsidRPr="00C36F96">
        <w:rPr>
          <w:spacing w:val="1"/>
        </w:rPr>
        <w:t>en</w:t>
      </w:r>
      <w:r w:rsidRPr="00C36F96">
        <w:rPr>
          <w:spacing w:val="-2"/>
        </w:rPr>
        <w:t>t</w:t>
      </w:r>
      <w:r w:rsidRPr="00C36F96">
        <w:rPr>
          <w:spacing w:val="1"/>
        </w:rPr>
        <w:t>o</w:t>
      </w:r>
      <w:r w:rsidRPr="00C36F96">
        <w:t>s</w:t>
      </w:r>
      <w:r w:rsidRPr="00C36F96">
        <w:rPr>
          <w:spacing w:val="3"/>
        </w:rPr>
        <w:t xml:space="preserve"> </w:t>
      </w:r>
      <w:r w:rsidRPr="00C36F96">
        <w:rPr>
          <w:spacing w:val="1"/>
        </w:rPr>
        <w:t>a</w:t>
      </w:r>
      <w:r w:rsidRPr="00C36F96">
        <w:t>d</w:t>
      </w:r>
      <w:r w:rsidRPr="00C36F96">
        <w:rPr>
          <w:spacing w:val="1"/>
        </w:rPr>
        <w:t xml:space="preserve"> ho</w:t>
      </w:r>
      <w:r w:rsidRPr="00C36F96">
        <w:t>c</w:t>
      </w:r>
      <w:r w:rsidRPr="00C36F96">
        <w:rPr>
          <w:spacing w:val="2"/>
        </w:rPr>
        <w:t xml:space="preserve"> </w:t>
      </w:r>
      <w:r w:rsidRPr="00C36F96">
        <w:rPr>
          <w:spacing w:val="1"/>
        </w:rPr>
        <w:t>pa</w:t>
      </w:r>
      <w:r w:rsidRPr="00C36F96">
        <w:t xml:space="preserve">ra </w:t>
      </w:r>
      <w:r w:rsidRPr="00C36F96">
        <w:rPr>
          <w:spacing w:val="1"/>
        </w:rPr>
        <w:t>a</w:t>
      </w:r>
      <w:r w:rsidRPr="00C36F96">
        <w:t>t</w:t>
      </w:r>
      <w:r w:rsidRPr="00C36F96">
        <w:rPr>
          <w:spacing w:val="-1"/>
        </w:rPr>
        <w:t>e</w:t>
      </w:r>
      <w:r w:rsidRPr="00C36F96">
        <w:rPr>
          <w:spacing w:val="1"/>
        </w:rPr>
        <w:t>n</w:t>
      </w:r>
      <w:r w:rsidRPr="00C36F96">
        <w:rPr>
          <w:spacing w:val="-1"/>
        </w:rPr>
        <w:t>d</w:t>
      </w:r>
      <w:r w:rsidRPr="00C36F96">
        <w:rPr>
          <w:spacing w:val="1"/>
        </w:rPr>
        <w:t>e</w:t>
      </w:r>
      <w:r w:rsidRPr="00C36F96">
        <w:t>r</w:t>
      </w:r>
      <w:r w:rsidRPr="00C36F96">
        <w:rPr>
          <w:spacing w:val="2"/>
        </w:rPr>
        <w:t xml:space="preserve"> </w:t>
      </w:r>
      <w:r w:rsidRPr="00C36F96">
        <w:t>l</w:t>
      </w:r>
      <w:r w:rsidRPr="00C36F96">
        <w:rPr>
          <w:spacing w:val="-2"/>
        </w:rPr>
        <w:t>a</w:t>
      </w:r>
      <w:r w:rsidRPr="00C36F96">
        <w:t>s</w:t>
      </w:r>
      <w:r w:rsidRPr="00C36F96">
        <w:rPr>
          <w:spacing w:val="2"/>
        </w:rPr>
        <w:t xml:space="preserve"> </w:t>
      </w:r>
      <w:r w:rsidRPr="00C36F96">
        <w:t>s</w:t>
      </w:r>
      <w:r w:rsidRPr="00C36F96">
        <w:rPr>
          <w:spacing w:val="1"/>
        </w:rPr>
        <w:t>o</w:t>
      </w:r>
      <w:r w:rsidRPr="00C36F96">
        <w:t>l</w:t>
      </w:r>
      <w:r w:rsidRPr="00C36F96">
        <w:rPr>
          <w:spacing w:val="-1"/>
        </w:rPr>
        <w:t>i</w:t>
      </w:r>
      <w:r w:rsidRPr="00C36F96">
        <w:t>cit</w:t>
      </w:r>
      <w:r w:rsidRPr="00C36F96">
        <w:rPr>
          <w:spacing w:val="1"/>
        </w:rPr>
        <w:t>ude</w:t>
      </w:r>
      <w:r w:rsidRPr="00C36F96">
        <w:t>s</w:t>
      </w:r>
      <w:r w:rsidRPr="00C36F96">
        <w:rPr>
          <w:spacing w:val="4"/>
        </w:rPr>
        <w:t xml:space="preserve"> </w:t>
      </w:r>
      <w:r w:rsidRPr="00C36F96">
        <w:rPr>
          <w:spacing w:val="-1"/>
        </w:rPr>
        <w:t>d</w:t>
      </w:r>
      <w:r w:rsidRPr="00C36F96">
        <w:t>e</w:t>
      </w:r>
      <w:r w:rsidRPr="00C36F96">
        <w:rPr>
          <w:spacing w:val="3"/>
        </w:rPr>
        <w:t xml:space="preserve"> </w:t>
      </w:r>
      <w:r w:rsidRPr="00C36F96">
        <w:t>i</w:t>
      </w:r>
      <w:r w:rsidRPr="00C36F96">
        <w:rPr>
          <w:spacing w:val="-2"/>
        </w:rPr>
        <w:t>n</w:t>
      </w:r>
      <w:r w:rsidRPr="00C36F96">
        <w:t>f</w:t>
      </w:r>
      <w:r w:rsidRPr="00C36F96">
        <w:rPr>
          <w:spacing w:val="1"/>
        </w:rPr>
        <w:t>o</w:t>
      </w:r>
      <w:r w:rsidRPr="00C36F96">
        <w:t>r</w:t>
      </w:r>
      <w:r w:rsidRPr="00C36F96">
        <w:rPr>
          <w:spacing w:val="-1"/>
        </w:rPr>
        <w:t>m</w:t>
      </w:r>
      <w:r w:rsidRPr="00C36F96">
        <w:rPr>
          <w:spacing w:val="1"/>
        </w:rPr>
        <w:t>a</w:t>
      </w:r>
      <w:r w:rsidRPr="00C36F96">
        <w:t>ció</w:t>
      </w:r>
      <w:r w:rsidRPr="00C36F96">
        <w:rPr>
          <w:spacing w:val="1"/>
        </w:rPr>
        <w:t>n</w:t>
      </w:r>
      <w:r w:rsidRPr="00C36F96">
        <w:t>.</w:t>
      </w:r>
    </w:p>
    <w:p w14:paraId="0C2D80E9" w14:textId="77777777" w:rsidR="00A245CF" w:rsidRPr="00C36F96" w:rsidRDefault="00A245CF" w:rsidP="00A245CF">
      <w:pPr>
        <w:pStyle w:val="Citas"/>
        <w:rPr>
          <w:b/>
        </w:rPr>
      </w:pPr>
      <w:r w:rsidRPr="00C36F96">
        <w:rPr>
          <w:b/>
        </w:rPr>
        <w:t>Resoluciones:</w:t>
      </w:r>
    </w:p>
    <w:p w14:paraId="48B72A2F" w14:textId="77777777" w:rsidR="00A245CF" w:rsidRPr="00C36F96" w:rsidRDefault="00A245CF" w:rsidP="00A245CF">
      <w:pPr>
        <w:pStyle w:val="Citas"/>
      </w:pPr>
      <w:r w:rsidRPr="00C36F96">
        <w:rPr>
          <w:b/>
        </w:rPr>
        <w:t>RRA 0050/16.</w:t>
      </w:r>
      <w:r w:rsidRPr="00C36F96">
        <w:t xml:space="preserve"> Instituto Nacional para la Evaluación de la Educación. 13 julio de 2016. Por unanimidad. Comisionado Ponente: Francisco Javier Acuña Llamas.</w:t>
      </w:r>
    </w:p>
    <w:p w14:paraId="35DA281D" w14:textId="77777777" w:rsidR="00A245CF" w:rsidRPr="00C36F96" w:rsidRDefault="00A245CF" w:rsidP="00A245CF">
      <w:pPr>
        <w:pStyle w:val="Citas"/>
        <w:rPr>
          <w:rFonts w:ascii="Times New Roman" w:hAnsi="Times New Roman" w:cs="Times New Roman"/>
        </w:rPr>
      </w:pPr>
      <w:r w:rsidRPr="00C36F96">
        <w:rPr>
          <w:b/>
        </w:rPr>
        <w:t xml:space="preserve">RRA 0310/16. </w:t>
      </w:r>
      <w:r w:rsidRPr="00C36F96">
        <w:t>Instituto Nacional de Transparencia, Acceso a la Información y Protección de Datos Personales. 10 de agosto de 2016. Por unanimidad. Comisionada Ponente. Areli Cano Guadiana.</w:t>
      </w:r>
    </w:p>
    <w:p w14:paraId="0D41AE9D" w14:textId="77777777" w:rsidR="00A245CF" w:rsidRPr="00C36F96" w:rsidRDefault="00A245CF" w:rsidP="00A245CF">
      <w:pPr>
        <w:pStyle w:val="Citas"/>
        <w:rPr>
          <w:b/>
        </w:rPr>
      </w:pPr>
      <w:r w:rsidRPr="00C36F96">
        <w:rPr>
          <w:b/>
        </w:rPr>
        <w:t xml:space="preserve">RRA 1889/16. </w:t>
      </w:r>
      <w:r w:rsidRPr="00C36F96">
        <w:t xml:space="preserve">Secretaría de Hacienda y Crédito Público. 05 de octubre de 2016. Por unanimidad. Comisionada Ponente. Ximena Puente de la Mora” </w:t>
      </w:r>
      <w:r w:rsidRPr="00C36F96">
        <w:rPr>
          <w:b/>
        </w:rPr>
        <w:t>[Sic]</w:t>
      </w:r>
    </w:p>
    <w:p w14:paraId="3AB7173C" w14:textId="77777777" w:rsidR="00BE5B67" w:rsidRPr="00C36F96" w:rsidRDefault="00BE5B67" w:rsidP="0007739D">
      <w:pPr>
        <w:pStyle w:val="Prrafodelista"/>
        <w:tabs>
          <w:tab w:val="left" w:pos="2460"/>
        </w:tabs>
        <w:autoSpaceDE w:val="0"/>
        <w:autoSpaceDN w:val="0"/>
        <w:adjustRightInd w:val="0"/>
        <w:spacing w:before="240" w:after="160" w:line="360" w:lineRule="auto"/>
        <w:ind w:left="0"/>
        <w:jc w:val="both"/>
        <w:rPr>
          <w:rFonts w:ascii="Palatino Linotype" w:hAnsi="Palatino Linotype"/>
          <w:b/>
          <w:lang w:val="es-MX"/>
        </w:rPr>
      </w:pPr>
    </w:p>
    <w:p w14:paraId="1E80EB7A" w14:textId="1C0F07CB" w:rsidR="00BE5B67" w:rsidRPr="00C36F96" w:rsidRDefault="00A245CF" w:rsidP="0007739D">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C36F96">
        <w:rPr>
          <w:rFonts w:ascii="Palatino Linotype" w:hAnsi="Palatino Linotype"/>
          <w:bCs/>
          <w:lang w:val="es-MX"/>
        </w:rPr>
        <w:t xml:space="preserve">Visto de esta forma, los puntos </w:t>
      </w:r>
      <w:r w:rsidRPr="00C36F96">
        <w:rPr>
          <w:rFonts w:ascii="Palatino Linotype" w:hAnsi="Palatino Linotype"/>
          <w:b/>
          <w:lang w:val="es-MX"/>
        </w:rPr>
        <w:t xml:space="preserve">1 y 6 </w:t>
      </w:r>
      <w:r w:rsidRPr="00C36F96">
        <w:rPr>
          <w:rFonts w:ascii="Palatino Linotype" w:hAnsi="Palatino Linotype"/>
          <w:bCs/>
          <w:lang w:val="es-MX"/>
        </w:rPr>
        <w:t xml:space="preserve">se tienen por atendidos al haber hecho entrega de la información requerida. </w:t>
      </w:r>
    </w:p>
    <w:p w14:paraId="54389684" w14:textId="77777777" w:rsidR="00702A61" w:rsidRPr="00C36F96" w:rsidRDefault="00A245CF" w:rsidP="00702A61">
      <w:pPr>
        <w:spacing w:after="240" w:line="360" w:lineRule="auto"/>
        <w:jc w:val="both"/>
        <w:rPr>
          <w:rFonts w:ascii="Palatino Linotype" w:hAnsi="Palatino Linotype" w:cs="Arial"/>
          <w:color w:val="000000"/>
          <w:sz w:val="24"/>
          <w:szCs w:val="24"/>
          <w:lang w:val="es-ES_tradnl"/>
        </w:rPr>
      </w:pPr>
      <w:r w:rsidRPr="00C36F96">
        <w:rPr>
          <w:rFonts w:ascii="Palatino Linotype" w:hAnsi="Palatino Linotype"/>
          <w:bCs/>
          <w:sz w:val="24"/>
          <w:szCs w:val="24"/>
        </w:rPr>
        <w:t xml:space="preserve">Por cuanto hace a los puntos </w:t>
      </w:r>
      <w:r w:rsidRPr="00C36F96">
        <w:rPr>
          <w:rFonts w:ascii="Palatino Linotype" w:hAnsi="Palatino Linotype"/>
          <w:b/>
          <w:sz w:val="24"/>
          <w:szCs w:val="24"/>
        </w:rPr>
        <w:t xml:space="preserve">2, 3, 4 </w:t>
      </w:r>
      <w:r w:rsidRPr="00C36F96">
        <w:rPr>
          <w:rFonts w:ascii="Palatino Linotype" w:hAnsi="Palatino Linotype"/>
          <w:bCs/>
          <w:sz w:val="24"/>
          <w:szCs w:val="24"/>
        </w:rPr>
        <w:t xml:space="preserve">y </w:t>
      </w:r>
      <w:r w:rsidRPr="00C36F96">
        <w:rPr>
          <w:rFonts w:ascii="Palatino Linotype" w:hAnsi="Palatino Linotype"/>
          <w:b/>
          <w:sz w:val="24"/>
          <w:szCs w:val="24"/>
        </w:rPr>
        <w:t>5</w:t>
      </w:r>
      <w:r w:rsidR="00702A61" w:rsidRPr="00C36F96">
        <w:rPr>
          <w:rFonts w:ascii="Palatino Linotype" w:hAnsi="Palatino Linotype"/>
          <w:b/>
          <w:sz w:val="24"/>
          <w:szCs w:val="24"/>
        </w:rPr>
        <w:t xml:space="preserve">, </w:t>
      </w:r>
      <w:r w:rsidR="00702A61" w:rsidRPr="00C36F96">
        <w:rPr>
          <w:rFonts w:ascii="Palatino Linotype" w:hAnsi="Palatino Linotype" w:cs="Arial"/>
          <w:color w:val="000000"/>
          <w:sz w:val="24"/>
          <w:szCs w:val="24"/>
          <w:lang w:val="es-ES_tradnl"/>
        </w:rPr>
        <w:t xml:space="preserve">resulta oportuno mencionar que la facultad de aclaración se trata de una atribución reservada a los </w:t>
      </w:r>
      <w:r w:rsidR="00702A61" w:rsidRPr="00C36F96">
        <w:rPr>
          <w:rFonts w:ascii="Palatino Linotype" w:hAnsi="Palatino Linotype" w:cs="Arial"/>
          <w:b/>
          <w:bCs/>
          <w:color w:val="000000"/>
          <w:sz w:val="24"/>
          <w:szCs w:val="24"/>
          <w:lang w:val="es-ES_tradnl"/>
        </w:rPr>
        <w:t xml:space="preserve">Sujetos Obligados </w:t>
      </w:r>
      <w:r w:rsidR="00702A61" w:rsidRPr="00C36F96">
        <w:rPr>
          <w:rFonts w:ascii="Palatino Linotype" w:hAnsi="Palatino Linotype" w:cs="Arial"/>
          <w:color w:val="000000"/>
          <w:sz w:val="24"/>
          <w:szCs w:val="24"/>
          <w:lang w:val="es-ES_tradnl"/>
        </w:rPr>
        <w:t>para requerir a los particulares:</w:t>
      </w:r>
    </w:p>
    <w:p w14:paraId="19F31FB8" w14:textId="77777777" w:rsidR="00702A61" w:rsidRPr="00C36F96" w:rsidRDefault="00702A61" w:rsidP="00702A61">
      <w:pPr>
        <w:pStyle w:val="Prrafodelista"/>
        <w:numPr>
          <w:ilvl w:val="0"/>
          <w:numId w:val="18"/>
        </w:numPr>
        <w:autoSpaceDE w:val="0"/>
        <w:autoSpaceDN w:val="0"/>
        <w:adjustRightInd w:val="0"/>
        <w:jc w:val="both"/>
        <w:rPr>
          <w:rFonts w:ascii="Palatino Linotype" w:hAnsi="Palatino Linotype"/>
        </w:rPr>
      </w:pPr>
      <w:bookmarkStart w:id="7" w:name="_Hlk212047563"/>
      <w:r w:rsidRPr="00C36F96">
        <w:rPr>
          <w:rFonts w:ascii="Palatino Linotype" w:hAnsi="Palatino Linotype"/>
        </w:rPr>
        <w:t>Hacer comprensibles los requerimientos ambiguos</w:t>
      </w:r>
    </w:p>
    <w:p w14:paraId="1F14A08D" w14:textId="77777777" w:rsidR="00702A61" w:rsidRPr="00C36F96" w:rsidRDefault="00702A61" w:rsidP="00702A61">
      <w:pPr>
        <w:pStyle w:val="Prrafodelista"/>
        <w:autoSpaceDE w:val="0"/>
        <w:autoSpaceDN w:val="0"/>
        <w:adjustRightInd w:val="0"/>
        <w:ind w:left="720"/>
        <w:jc w:val="both"/>
        <w:rPr>
          <w:rFonts w:ascii="Palatino Linotype" w:hAnsi="Palatino Linotype"/>
        </w:rPr>
      </w:pPr>
    </w:p>
    <w:p w14:paraId="755FF85E" w14:textId="77777777" w:rsidR="00702A61" w:rsidRPr="00C36F96" w:rsidRDefault="00702A61" w:rsidP="00702A61">
      <w:pPr>
        <w:pStyle w:val="Prrafodelista"/>
        <w:numPr>
          <w:ilvl w:val="0"/>
          <w:numId w:val="18"/>
        </w:numPr>
        <w:autoSpaceDE w:val="0"/>
        <w:autoSpaceDN w:val="0"/>
        <w:adjustRightInd w:val="0"/>
        <w:jc w:val="both"/>
        <w:rPr>
          <w:rFonts w:ascii="Palatino Linotype" w:hAnsi="Palatino Linotype"/>
        </w:rPr>
      </w:pPr>
      <w:r w:rsidRPr="00C36F96">
        <w:rPr>
          <w:rFonts w:ascii="Palatino Linotype" w:hAnsi="Palatino Linotype"/>
        </w:rPr>
        <w:t>Rectificar las solicitudes contradictorias</w:t>
      </w:r>
    </w:p>
    <w:p w14:paraId="7DC8225C" w14:textId="77777777" w:rsidR="00702A61" w:rsidRPr="00C36F96" w:rsidRDefault="00702A61" w:rsidP="00702A61">
      <w:pPr>
        <w:pStyle w:val="Prrafodelista"/>
        <w:rPr>
          <w:rFonts w:ascii="Palatino Linotype" w:hAnsi="Palatino Linotype"/>
        </w:rPr>
      </w:pPr>
    </w:p>
    <w:p w14:paraId="01DB1923" w14:textId="77777777" w:rsidR="00702A61" w:rsidRPr="00C36F96" w:rsidRDefault="00702A61" w:rsidP="00702A61">
      <w:pPr>
        <w:pStyle w:val="Prrafodelista"/>
        <w:numPr>
          <w:ilvl w:val="0"/>
          <w:numId w:val="18"/>
        </w:numPr>
        <w:autoSpaceDE w:val="0"/>
        <w:autoSpaceDN w:val="0"/>
        <w:adjustRightInd w:val="0"/>
        <w:jc w:val="both"/>
        <w:rPr>
          <w:rFonts w:ascii="Palatino Linotype" w:hAnsi="Palatino Linotype"/>
        </w:rPr>
      </w:pPr>
      <w:r w:rsidRPr="00C36F96">
        <w:rPr>
          <w:rFonts w:ascii="Palatino Linotype" w:hAnsi="Palatino Linotype"/>
        </w:rPr>
        <w:t>Explicar los conceptos oscuros</w:t>
      </w:r>
    </w:p>
    <w:p w14:paraId="4D6014FA" w14:textId="77777777" w:rsidR="00702A61" w:rsidRPr="00C36F96" w:rsidRDefault="00702A61" w:rsidP="00702A61">
      <w:pPr>
        <w:pStyle w:val="Prrafodelista"/>
        <w:rPr>
          <w:rFonts w:ascii="Palatino Linotype" w:hAnsi="Palatino Linotype"/>
        </w:rPr>
      </w:pPr>
    </w:p>
    <w:p w14:paraId="7A119CAD" w14:textId="77777777" w:rsidR="00702A61" w:rsidRPr="00C36F96" w:rsidRDefault="00702A61" w:rsidP="00702A61">
      <w:pPr>
        <w:pStyle w:val="Prrafodelista"/>
        <w:numPr>
          <w:ilvl w:val="0"/>
          <w:numId w:val="18"/>
        </w:numPr>
        <w:autoSpaceDE w:val="0"/>
        <w:autoSpaceDN w:val="0"/>
        <w:adjustRightInd w:val="0"/>
        <w:jc w:val="both"/>
        <w:rPr>
          <w:rFonts w:ascii="Palatino Linotype" w:hAnsi="Palatino Linotype"/>
        </w:rPr>
      </w:pPr>
      <w:r w:rsidRPr="00C36F96">
        <w:rPr>
          <w:rFonts w:ascii="Palatino Linotype" w:hAnsi="Palatino Linotype"/>
        </w:rPr>
        <w:t>Complementar, corregir o ampliar los datos proporcionados</w:t>
      </w:r>
    </w:p>
    <w:p w14:paraId="10B4923C" w14:textId="77777777" w:rsidR="00702A61" w:rsidRPr="00C36F96" w:rsidRDefault="00702A61" w:rsidP="00702A61">
      <w:pPr>
        <w:pStyle w:val="Prrafodelista"/>
        <w:rPr>
          <w:rFonts w:ascii="Palatino Linotype" w:hAnsi="Palatino Linotype"/>
        </w:rPr>
      </w:pPr>
    </w:p>
    <w:p w14:paraId="7A5AC529" w14:textId="77777777" w:rsidR="00702A61" w:rsidRPr="00C36F96" w:rsidRDefault="00702A61" w:rsidP="00702A61">
      <w:pPr>
        <w:pStyle w:val="Prrafodelista"/>
        <w:numPr>
          <w:ilvl w:val="0"/>
          <w:numId w:val="18"/>
        </w:numPr>
        <w:autoSpaceDE w:val="0"/>
        <w:autoSpaceDN w:val="0"/>
        <w:adjustRightInd w:val="0"/>
        <w:jc w:val="both"/>
        <w:rPr>
          <w:rFonts w:ascii="Palatino Linotype" w:hAnsi="Palatino Linotype"/>
        </w:rPr>
      </w:pPr>
      <w:r w:rsidRPr="00C36F96">
        <w:rPr>
          <w:rFonts w:ascii="Palatino Linotype" w:hAnsi="Palatino Linotype"/>
        </w:rPr>
        <w:t>Precisar uno o varios requerimientos de información</w:t>
      </w:r>
    </w:p>
    <w:p w14:paraId="074AAD09" w14:textId="77777777" w:rsidR="00702A61" w:rsidRPr="00C36F96" w:rsidRDefault="00702A61" w:rsidP="00702A61">
      <w:pPr>
        <w:pStyle w:val="Prrafodelista"/>
        <w:rPr>
          <w:rFonts w:ascii="Palatino Linotype" w:hAnsi="Palatino Linotype"/>
        </w:rPr>
      </w:pPr>
    </w:p>
    <w:p w14:paraId="56DCDE8D" w14:textId="77777777" w:rsidR="00702A61" w:rsidRPr="00C36F96" w:rsidRDefault="00702A61" w:rsidP="00702A61">
      <w:pPr>
        <w:pStyle w:val="Prrafodelista"/>
        <w:numPr>
          <w:ilvl w:val="0"/>
          <w:numId w:val="18"/>
        </w:numPr>
        <w:spacing w:after="240" w:line="360" w:lineRule="auto"/>
        <w:jc w:val="both"/>
        <w:rPr>
          <w:rFonts w:ascii="Palatino Linotype" w:hAnsi="Palatino Linotype"/>
        </w:rPr>
      </w:pPr>
      <w:r w:rsidRPr="00C36F96">
        <w:rPr>
          <w:rFonts w:ascii="Palatino Linotype" w:hAnsi="Palatino Linotype"/>
        </w:rPr>
        <w:t>Subsanar omisiones y corregir errores o defectos</w:t>
      </w:r>
      <w:bookmarkEnd w:id="7"/>
      <w:r w:rsidRPr="00C36F96">
        <w:rPr>
          <w:rFonts w:ascii="Palatino Linotype" w:hAnsi="Palatino Linotype"/>
        </w:rPr>
        <w:t>.</w:t>
      </w:r>
    </w:p>
    <w:p w14:paraId="68FC3D55" w14:textId="77777777" w:rsidR="00702A61" w:rsidRPr="00C36F96" w:rsidRDefault="00702A61" w:rsidP="00702A61">
      <w:pPr>
        <w:spacing w:after="240" w:line="360" w:lineRule="auto"/>
        <w:jc w:val="both"/>
        <w:rPr>
          <w:rFonts w:ascii="Palatino Linotype" w:hAnsi="Palatino Linotype" w:cs="Arial"/>
          <w:color w:val="000000"/>
          <w:sz w:val="24"/>
          <w:lang w:val="es-ES_tradnl"/>
        </w:rPr>
      </w:pPr>
    </w:p>
    <w:p w14:paraId="3BA143BD" w14:textId="2AE3F9E0" w:rsidR="00A245CF" w:rsidRPr="00C36F96" w:rsidRDefault="00702A61" w:rsidP="00702A61">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C36F96">
        <w:rPr>
          <w:rFonts w:ascii="Palatino Linotype" w:hAnsi="Palatino Linotype" w:cs="Arial"/>
          <w:color w:val="000000"/>
          <w:lang w:val="es-ES_tradnl"/>
        </w:rPr>
        <w:t xml:space="preserve">Luego entonces, en el caso en particular no se estima procedente o justificado ejercer dicha atribución, por otra </w:t>
      </w:r>
      <w:r w:rsidR="003F0BB4" w:rsidRPr="00C36F96">
        <w:rPr>
          <w:rFonts w:ascii="Palatino Linotype" w:hAnsi="Palatino Linotype" w:cs="Arial"/>
          <w:color w:val="000000"/>
          <w:lang w:val="es-ES_tradnl"/>
        </w:rPr>
        <w:t>parte,</w:t>
      </w:r>
      <w:r w:rsidRPr="00C36F96">
        <w:rPr>
          <w:rFonts w:ascii="Palatino Linotype" w:hAnsi="Palatino Linotype" w:cs="Arial"/>
          <w:color w:val="000000"/>
          <w:lang w:val="es-ES_tradnl"/>
        </w:rPr>
        <w:t xml:space="preserve"> </w:t>
      </w:r>
      <w:r w:rsidRPr="00C36F96">
        <w:rPr>
          <w:rFonts w:ascii="Palatino Linotype" w:hAnsi="Palatino Linotype" w:cs="Arial"/>
        </w:rPr>
        <w:t xml:space="preserve">la solicitud de aclaración formulada por el </w:t>
      </w:r>
      <w:r w:rsidRPr="00C36F96">
        <w:rPr>
          <w:rFonts w:ascii="Palatino Linotype" w:hAnsi="Palatino Linotype" w:cs="Arial"/>
          <w:b/>
        </w:rPr>
        <w:t xml:space="preserve">Sujeto Obligado </w:t>
      </w:r>
      <w:r w:rsidRPr="00C36F96">
        <w:rPr>
          <w:rFonts w:ascii="Palatino Linotype" w:hAnsi="Palatino Linotype" w:cs="Arial"/>
          <w:bCs/>
        </w:rPr>
        <w:t xml:space="preserve">no atendió el </w:t>
      </w:r>
      <w:r w:rsidRPr="00C36F96">
        <w:rPr>
          <w:rFonts w:ascii="Palatino Linotype" w:hAnsi="Palatino Linotype" w:cs="Arial"/>
        </w:rPr>
        <w:t xml:space="preserve">criterio de oportunidad previsto en el numeral 159 de la Ley de Transparencia </w:t>
      </w:r>
      <w:r w:rsidRPr="00C36F96">
        <w:rPr>
          <w:rFonts w:ascii="Palatino Linotype" w:hAnsi="Palatino Linotype" w:cs="Arial"/>
          <w:b/>
        </w:rPr>
        <w:t xml:space="preserve">–máximo cinco días hábiles contados a partir de la presentación de la solicitud-. </w:t>
      </w:r>
      <w:r w:rsidRPr="00C36F96">
        <w:rPr>
          <w:rFonts w:ascii="Palatino Linotype" w:hAnsi="Palatino Linotype" w:cs="Arial"/>
          <w:color w:val="000000"/>
          <w:lang w:val="es-ES_tradnl"/>
        </w:rPr>
        <w:t xml:space="preserve">Visto de esta forma, los puntos </w:t>
      </w:r>
      <w:r w:rsidRPr="00C36F96">
        <w:rPr>
          <w:rFonts w:ascii="Palatino Linotype" w:hAnsi="Palatino Linotype"/>
          <w:b/>
          <w:lang w:val="es-MX"/>
        </w:rPr>
        <w:t xml:space="preserve">2, 3, 4 </w:t>
      </w:r>
      <w:r w:rsidRPr="00C36F96">
        <w:rPr>
          <w:rFonts w:ascii="Palatino Linotype" w:hAnsi="Palatino Linotype"/>
          <w:bCs/>
          <w:lang w:val="es-MX"/>
        </w:rPr>
        <w:t xml:space="preserve">y </w:t>
      </w:r>
      <w:r w:rsidRPr="00C36F96">
        <w:rPr>
          <w:rFonts w:ascii="Palatino Linotype" w:hAnsi="Palatino Linotype"/>
          <w:b/>
          <w:lang w:val="es-MX"/>
        </w:rPr>
        <w:t xml:space="preserve">5 </w:t>
      </w:r>
      <w:r w:rsidRPr="00C36F96">
        <w:rPr>
          <w:rFonts w:ascii="Palatino Linotype" w:hAnsi="Palatino Linotype"/>
          <w:bCs/>
          <w:lang w:val="es-MX"/>
        </w:rPr>
        <w:t>no se tienen por colmados.</w:t>
      </w:r>
    </w:p>
    <w:p w14:paraId="15F344CC" w14:textId="55B7639D" w:rsidR="00702A61" w:rsidRPr="00C36F96" w:rsidRDefault="00702A61" w:rsidP="00702A61">
      <w:pPr>
        <w:pStyle w:val="Prrafodelista"/>
        <w:tabs>
          <w:tab w:val="left" w:pos="2460"/>
        </w:tabs>
        <w:autoSpaceDE w:val="0"/>
        <w:autoSpaceDN w:val="0"/>
        <w:adjustRightInd w:val="0"/>
        <w:spacing w:before="240" w:after="160" w:line="360" w:lineRule="auto"/>
        <w:ind w:left="0"/>
        <w:jc w:val="both"/>
        <w:rPr>
          <w:rFonts w:ascii="Palatino Linotype" w:hAnsi="Palatino Linotype"/>
          <w:bCs/>
          <w:i/>
          <w:iCs/>
          <w:lang w:val="es-MX"/>
        </w:rPr>
      </w:pPr>
      <w:r w:rsidRPr="00C36F96">
        <w:rPr>
          <w:rFonts w:ascii="Palatino Linotype" w:hAnsi="Palatino Linotype"/>
          <w:bCs/>
          <w:lang w:val="es-MX"/>
        </w:rPr>
        <w:t xml:space="preserve">Finalmente, en referencia al punto </w:t>
      </w:r>
      <w:r w:rsidRPr="00C36F96">
        <w:rPr>
          <w:rFonts w:ascii="Palatino Linotype" w:hAnsi="Palatino Linotype"/>
          <w:b/>
          <w:lang w:val="es-MX"/>
        </w:rPr>
        <w:t xml:space="preserve">7, </w:t>
      </w:r>
      <w:r w:rsidRPr="00C36F96">
        <w:rPr>
          <w:rFonts w:ascii="Palatino Linotype" w:hAnsi="Palatino Linotype"/>
          <w:bCs/>
          <w:lang w:val="es-MX"/>
        </w:rPr>
        <w:t xml:space="preserve">se tiene por </w:t>
      </w:r>
      <w:r w:rsidR="00EA2B16" w:rsidRPr="00C36F96">
        <w:rPr>
          <w:rFonts w:ascii="Palatino Linotype" w:hAnsi="Palatino Linotype"/>
          <w:bCs/>
          <w:lang w:val="es-MX"/>
        </w:rPr>
        <w:t>colmado</w:t>
      </w:r>
      <w:r w:rsidRPr="00C36F96">
        <w:rPr>
          <w:rFonts w:ascii="Palatino Linotype" w:hAnsi="Palatino Linotype"/>
          <w:bCs/>
          <w:lang w:val="es-MX"/>
        </w:rPr>
        <w:t xml:space="preserve">, bajo la consideración de que el servidor público habilitado clarificó que en sus archivos no obran soportes documentales vinculados con el pago por el concepto de </w:t>
      </w:r>
      <w:r w:rsidRPr="00C36F96">
        <w:rPr>
          <w:rFonts w:ascii="Palatino Linotype" w:hAnsi="Palatino Linotype"/>
          <w:bCs/>
          <w:i/>
          <w:iCs/>
          <w:lang w:val="es-MX"/>
        </w:rPr>
        <w:t xml:space="preserve">“adelanto para comprometer a artistas”. </w:t>
      </w:r>
    </w:p>
    <w:p w14:paraId="6BC2A6E4" w14:textId="77777777" w:rsidR="00702A61" w:rsidRPr="00C36F96" w:rsidRDefault="00702A61" w:rsidP="00702A61">
      <w:pPr>
        <w:autoSpaceDE w:val="0"/>
        <w:autoSpaceDN w:val="0"/>
        <w:adjustRightInd w:val="0"/>
        <w:spacing w:before="240" w:line="360" w:lineRule="auto"/>
        <w:jc w:val="both"/>
        <w:rPr>
          <w:rFonts w:ascii="Palatino Linotype" w:hAnsi="Palatino Linotype" w:cs="Arial"/>
          <w:color w:val="222222"/>
          <w:sz w:val="24"/>
          <w:szCs w:val="24"/>
          <w:lang w:eastAsia="es-MX"/>
        </w:rPr>
      </w:pPr>
      <w:r w:rsidRPr="00C36F96">
        <w:rPr>
          <w:rFonts w:ascii="Palatino Linotype" w:hAnsi="Palatino Linotype"/>
          <w:sz w:val="24"/>
          <w:szCs w:val="24"/>
        </w:rPr>
        <w:t xml:space="preserve">Siendo las cosas así, </w:t>
      </w:r>
      <w:r w:rsidRPr="00C36F96">
        <w:rPr>
          <w:rFonts w:ascii="Palatino Linotype" w:hAnsi="Palatino Linotype" w:cs="Arial"/>
          <w:noProof/>
          <w:color w:val="000000"/>
          <w:sz w:val="24"/>
          <w:szCs w:val="24"/>
          <w:lang w:val="es-ES" w:eastAsia="es-MX"/>
        </w:rPr>
        <w:t>resulta</w:t>
      </w:r>
      <w:r w:rsidRPr="00C36F96">
        <w:rPr>
          <w:rFonts w:ascii="Palatino Linotype" w:hAnsi="Palatino Linotype" w:cs="Arial"/>
          <w:noProof/>
          <w:color w:val="000000"/>
          <w:sz w:val="24"/>
          <w:lang w:val="es-ES" w:eastAsia="es-MX"/>
        </w:rPr>
        <w:t xml:space="preserve"> obice señalar que </w:t>
      </w:r>
      <w:r w:rsidRPr="00C36F96">
        <w:rPr>
          <w:rFonts w:ascii="Palatino Linotype" w:hAnsi="Palatino Linotype"/>
          <w:sz w:val="24"/>
          <w:szCs w:val="24"/>
        </w:rPr>
        <w:t xml:space="preserve">el Pleno del Órgano Garante local ha sostenido que, </w:t>
      </w:r>
      <w:r w:rsidRPr="00C36F96">
        <w:rPr>
          <w:rFonts w:ascii="Palatino Linotype" w:hAnsi="Palatino Linotype"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C36F96">
        <w:rPr>
          <w:rFonts w:ascii="Palatino Linotype" w:hAnsi="Palatino Linotype" w:cs="Arial"/>
          <w:color w:val="222222"/>
          <w:sz w:val="24"/>
          <w:szCs w:val="24"/>
        </w:rPr>
        <w:t>:</w:t>
      </w:r>
    </w:p>
    <w:p w14:paraId="2589724A" w14:textId="77777777" w:rsidR="00702A61" w:rsidRPr="00C36F96" w:rsidRDefault="00702A61" w:rsidP="00702A61">
      <w:pPr>
        <w:pStyle w:val="Prrafodelista"/>
        <w:spacing w:before="240" w:line="360" w:lineRule="auto"/>
        <w:ind w:left="720" w:right="851"/>
        <w:jc w:val="both"/>
        <w:rPr>
          <w:rFonts w:ascii="Arial" w:hAnsi="Arial" w:cs="Arial"/>
          <w:color w:val="222222"/>
        </w:rPr>
      </w:pPr>
      <w:r w:rsidRPr="00C36F96">
        <w:rPr>
          <w:rFonts w:ascii="Palatino Linotype" w:hAnsi="Palatino Linotype" w:cs="Arial"/>
          <w:color w:val="222222"/>
        </w:rPr>
        <w:lastRenderedPageBreak/>
        <w:t> </w:t>
      </w:r>
      <w:r w:rsidRPr="00C36F96">
        <w:rPr>
          <w:rFonts w:ascii="Palatino Linotype" w:hAnsi="Palatino Linotype" w:cs="Arial"/>
          <w:b/>
          <w:bCs/>
          <w:i/>
          <w:iCs/>
          <w:color w:val="222222"/>
        </w:rPr>
        <w:t>“HECHOS NEGATIVOS, NO SON SUSCEPTIBLES DE DEMOSTRACION.</w:t>
      </w:r>
    </w:p>
    <w:p w14:paraId="24F2454B" w14:textId="77777777" w:rsidR="00702A61" w:rsidRPr="00C36F96" w:rsidRDefault="00702A61" w:rsidP="00702A61">
      <w:pPr>
        <w:pStyle w:val="Prrafodelista"/>
        <w:spacing w:before="240" w:line="360" w:lineRule="auto"/>
        <w:ind w:left="720" w:right="851"/>
        <w:jc w:val="both"/>
        <w:rPr>
          <w:rFonts w:ascii="Palatino Linotype" w:hAnsi="Palatino Linotype" w:cs="Arial"/>
          <w:i/>
          <w:iCs/>
          <w:color w:val="222222"/>
        </w:rPr>
      </w:pPr>
      <w:r w:rsidRPr="00C36F96">
        <w:rPr>
          <w:rFonts w:ascii="Palatino Linotype" w:hAnsi="Palatino Linotype" w:cs="Arial"/>
          <w:i/>
          <w:iCs/>
          <w:color w:val="222222"/>
        </w:rPr>
        <w:t xml:space="preserve">Tratándose de un hecho negativo, el Juez no tiene por qué invocar prueba alguna de la que se desprenda, ya que es bien sabido que esta clase de hechos no son susceptibles de demostración.” </w:t>
      </w:r>
      <w:r w:rsidRPr="00C36F96">
        <w:rPr>
          <w:rFonts w:ascii="Palatino Linotype" w:hAnsi="Palatino Linotype" w:cs="Arial"/>
          <w:b/>
          <w:i/>
          <w:iCs/>
          <w:color w:val="222222"/>
        </w:rPr>
        <w:t>[Sic]</w:t>
      </w:r>
    </w:p>
    <w:p w14:paraId="2E55DA32" w14:textId="77777777" w:rsidR="00702A61" w:rsidRPr="00C36F96" w:rsidRDefault="00702A61" w:rsidP="00702A61">
      <w:pPr>
        <w:pStyle w:val="Prrafodelista"/>
        <w:tabs>
          <w:tab w:val="left" w:pos="2460"/>
        </w:tabs>
        <w:autoSpaceDE w:val="0"/>
        <w:autoSpaceDN w:val="0"/>
        <w:adjustRightInd w:val="0"/>
        <w:spacing w:before="240" w:after="160" w:line="360" w:lineRule="auto"/>
        <w:ind w:left="0"/>
        <w:jc w:val="both"/>
        <w:rPr>
          <w:rFonts w:ascii="Palatino Linotype" w:hAnsi="Palatino Linotype"/>
          <w:bCs/>
          <w:i/>
          <w:iCs/>
          <w:lang w:val="es-MX"/>
        </w:rPr>
      </w:pPr>
    </w:p>
    <w:p w14:paraId="4BE37596" w14:textId="525CE39A" w:rsidR="00702A61" w:rsidRPr="00C36F96" w:rsidRDefault="00702A61" w:rsidP="00702A61">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C36F96">
        <w:rPr>
          <w:rFonts w:ascii="Palatino Linotype" w:hAnsi="Palatino Linotype"/>
          <w:bCs/>
          <w:lang w:val="es-MX"/>
        </w:rPr>
        <w:t xml:space="preserve">En las generalizaciones anteriores, el requerimiento identificado con el punto </w:t>
      </w:r>
      <w:r w:rsidRPr="00C36F96">
        <w:rPr>
          <w:rFonts w:ascii="Palatino Linotype" w:hAnsi="Palatino Linotype"/>
          <w:b/>
          <w:lang w:val="es-MX"/>
        </w:rPr>
        <w:t xml:space="preserve">7 </w:t>
      </w:r>
      <w:r w:rsidRPr="00C36F96">
        <w:rPr>
          <w:rFonts w:ascii="Palatino Linotype" w:hAnsi="Palatino Linotype"/>
          <w:bCs/>
          <w:lang w:val="es-MX"/>
        </w:rPr>
        <w:t xml:space="preserve">fue atendido </w:t>
      </w:r>
      <w:r w:rsidR="006B4AC0" w:rsidRPr="00C36F96">
        <w:rPr>
          <w:rFonts w:ascii="Palatino Linotype" w:hAnsi="Palatino Linotype"/>
          <w:bCs/>
          <w:lang w:val="es-MX"/>
        </w:rPr>
        <w:t xml:space="preserve">por </w:t>
      </w:r>
      <w:r w:rsidR="006B4AC0" w:rsidRPr="00C36F96">
        <w:rPr>
          <w:rFonts w:ascii="Palatino Linotype" w:hAnsi="Palatino Linotype"/>
          <w:b/>
          <w:lang w:val="es-MX"/>
        </w:rPr>
        <w:t xml:space="preserve">El Sujeto Obligado. </w:t>
      </w:r>
      <w:r w:rsidRPr="00C36F96">
        <w:rPr>
          <w:rFonts w:ascii="Palatino Linotype" w:hAnsi="Palatino Linotype"/>
          <w:bCs/>
          <w:lang w:val="es-MX"/>
        </w:rPr>
        <w:t xml:space="preserve"> </w:t>
      </w:r>
    </w:p>
    <w:p w14:paraId="316D8080" w14:textId="24380C46" w:rsidR="00702A61" w:rsidRPr="00C36F96" w:rsidRDefault="00702A61" w:rsidP="00702A61">
      <w:pPr>
        <w:spacing w:after="0" w:line="360" w:lineRule="auto"/>
        <w:jc w:val="both"/>
        <w:rPr>
          <w:rFonts w:ascii="Palatino Linotype" w:hAnsi="Palatino Linotype"/>
          <w:bCs/>
          <w:sz w:val="24"/>
          <w:szCs w:val="24"/>
        </w:rPr>
      </w:pPr>
      <w:r w:rsidRPr="00C36F96">
        <w:rPr>
          <w:rFonts w:ascii="Palatino Linotype" w:hAnsi="Palatino Linotype" w:cs="Arial"/>
          <w:noProof/>
          <w:color w:val="000000"/>
          <w:sz w:val="24"/>
          <w:szCs w:val="24"/>
          <w:lang w:eastAsia="es-MX"/>
        </w:rPr>
        <w:t xml:space="preserve">En suma, los puntos </w:t>
      </w:r>
      <w:r w:rsidR="006B4AC0" w:rsidRPr="00C36F96">
        <w:rPr>
          <w:rFonts w:ascii="Palatino Linotype" w:hAnsi="Palatino Linotype" w:cs="Arial"/>
          <w:b/>
          <w:bCs/>
          <w:noProof/>
          <w:color w:val="000000"/>
          <w:sz w:val="24"/>
          <w:szCs w:val="24"/>
          <w:lang w:eastAsia="es-MX"/>
        </w:rPr>
        <w:t>1, 6 y 7</w:t>
      </w:r>
      <w:r w:rsidRPr="00C36F96">
        <w:rPr>
          <w:rFonts w:ascii="Palatino Linotype" w:hAnsi="Palatino Linotype" w:cs="Arial"/>
          <w:b/>
          <w:bCs/>
          <w:noProof/>
          <w:color w:val="000000"/>
          <w:sz w:val="24"/>
          <w:szCs w:val="24"/>
          <w:lang w:eastAsia="es-MX"/>
        </w:rPr>
        <w:t xml:space="preserve"> </w:t>
      </w:r>
      <w:r w:rsidRPr="00C36F96">
        <w:rPr>
          <w:rFonts w:ascii="Palatino Linotype" w:hAnsi="Palatino Linotype" w:cs="Arial"/>
          <w:noProof/>
          <w:color w:val="000000"/>
          <w:sz w:val="24"/>
          <w:szCs w:val="24"/>
          <w:lang w:eastAsia="es-MX"/>
        </w:rPr>
        <w:t xml:space="preserve">se tienen por colmados. En contraste, los requerimientos </w:t>
      </w:r>
      <w:r w:rsidRPr="00C36F96">
        <w:rPr>
          <w:rFonts w:ascii="Palatino Linotype" w:hAnsi="Palatino Linotype"/>
          <w:b/>
          <w:sz w:val="24"/>
          <w:szCs w:val="24"/>
        </w:rPr>
        <w:t xml:space="preserve">2, 3, 4 </w:t>
      </w:r>
      <w:r w:rsidRPr="00C36F96">
        <w:rPr>
          <w:rFonts w:ascii="Palatino Linotype" w:hAnsi="Palatino Linotype"/>
          <w:bCs/>
          <w:sz w:val="24"/>
          <w:szCs w:val="24"/>
        </w:rPr>
        <w:t xml:space="preserve">y </w:t>
      </w:r>
      <w:r w:rsidRPr="00C36F96">
        <w:rPr>
          <w:rFonts w:ascii="Palatino Linotype" w:hAnsi="Palatino Linotype"/>
          <w:b/>
          <w:sz w:val="24"/>
          <w:szCs w:val="24"/>
        </w:rPr>
        <w:t xml:space="preserve">5 </w:t>
      </w:r>
      <w:r w:rsidRPr="00C36F96">
        <w:rPr>
          <w:rFonts w:ascii="Palatino Linotype" w:hAnsi="Palatino Linotype"/>
          <w:bCs/>
          <w:sz w:val="24"/>
          <w:szCs w:val="24"/>
        </w:rPr>
        <w:t xml:space="preserve">no se tienen por atendidos. </w:t>
      </w:r>
    </w:p>
    <w:p w14:paraId="47035CC0" w14:textId="77777777" w:rsidR="00702A61" w:rsidRPr="00C36F96" w:rsidRDefault="00702A61" w:rsidP="00702A61">
      <w:pPr>
        <w:spacing w:after="0" w:line="360" w:lineRule="auto"/>
        <w:jc w:val="both"/>
        <w:rPr>
          <w:rFonts w:ascii="Palatino Linotype" w:hAnsi="Palatino Linotype" w:cs="Arial"/>
          <w:bCs/>
          <w:noProof/>
          <w:color w:val="000000"/>
          <w:sz w:val="24"/>
          <w:szCs w:val="24"/>
          <w:lang w:eastAsia="es-MX"/>
        </w:rPr>
      </w:pPr>
    </w:p>
    <w:p w14:paraId="576FFCF9" w14:textId="28EB737F" w:rsidR="00702A61" w:rsidRPr="00C36F96" w:rsidRDefault="00702A61" w:rsidP="00702A61">
      <w:pPr>
        <w:spacing w:after="240" w:line="360" w:lineRule="auto"/>
        <w:jc w:val="both"/>
        <w:rPr>
          <w:rFonts w:ascii="Palatino Linotype" w:hAnsi="Palatino Linotype" w:cs="Arial"/>
          <w:color w:val="000000"/>
          <w:sz w:val="24"/>
          <w:lang w:val="es-ES_tradnl"/>
        </w:rPr>
      </w:pPr>
      <w:r w:rsidRPr="00C36F96">
        <w:rPr>
          <w:rFonts w:ascii="Palatino Linotype" w:hAnsi="Palatino Linotype" w:cs="Arial"/>
          <w:color w:val="000000"/>
          <w:sz w:val="24"/>
          <w:lang w:val="es-ES_tradnl"/>
        </w:rPr>
        <w:t xml:space="preserve">Inconforme con la respuesta rendida por </w:t>
      </w:r>
      <w:r w:rsidRPr="00C36F96">
        <w:rPr>
          <w:rFonts w:ascii="Palatino Linotype" w:hAnsi="Palatino Linotype" w:cs="Arial"/>
          <w:b/>
          <w:bCs/>
          <w:color w:val="000000"/>
          <w:sz w:val="24"/>
          <w:lang w:val="es-ES_tradnl"/>
        </w:rPr>
        <w:t xml:space="preserve">El Sujeto Obligado, El Recurrente </w:t>
      </w:r>
      <w:r w:rsidRPr="00C36F96">
        <w:rPr>
          <w:rFonts w:ascii="Palatino Linotype" w:hAnsi="Palatino Linotype" w:cs="Arial"/>
          <w:color w:val="000000"/>
          <w:sz w:val="24"/>
          <w:lang w:val="es-ES_tradnl"/>
        </w:rPr>
        <w:t xml:space="preserve">interpuso recurso de revisión en fecha </w:t>
      </w:r>
      <w:r w:rsidRPr="00C36F96">
        <w:rPr>
          <w:rFonts w:ascii="Palatino Linotype" w:hAnsi="Palatino Linotype" w:cs="Arial"/>
          <w:b/>
          <w:bCs/>
          <w:color w:val="000000"/>
          <w:sz w:val="24"/>
          <w:lang w:val="es-ES_tradnl"/>
        </w:rPr>
        <w:t xml:space="preserve">dieciocho de abril, </w:t>
      </w:r>
      <w:r w:rsidRPr="00C36F96">
        <w:rPr>
          <w:rFonts w:ascii="Palatino Linotype" w:hAnsi="Palatino Linotype" w:cs="Arial"/>
          <w:color w:val="000000"/>
          <w:sz w:val="24"/>
          <w:lang w:val="es-ES_tradnl"/>
        </w:rPr>
        <w:t xml:space="preserve">admitiéndose el </w:t>
      </w:r>
      <w:r w:rsidRPr="00C36F96">
        <w:rPr>
          <w:rFonts w:ascii="Palatino Linotype" w:hAnsi="Palatino Linotype" w:cs="Arial"/>
          <w:b/>
          <w:bCs/>
          <w:color w:val="000000"/>
          <w:sz w:val="24"/>
          <w:lang w:val="es-ES_tradnl"/>
        </w:rPr>
        <w:t xml:space="preserve">veintiuno de abril, ambos de dos mil veintiséis. </w:t>
      </w:r>
      <w:r w:rsidRPr="00C36F96">
        <w:rPr>
          <w:rFonts w:ascii="Palatino Linotype" w:hAnsi="Palatino Linotype" w:cs="Arial"/>
          <w:color w:val="000000"/>
          <w:sz w:val="24"/>
          <w:lang w:val="es-ES_tradnl"/>
        </w:rPr>
        <w:t xml:space="preserve">Señalando como acto impugnado y como razones o motivos de inconformidad: </w:t>
      </w:r>
    </w:p>
    <w:p w14:paraId="4D9CB533" w14:textId="77777777" w:rsidR="00702A61" w:rsidRPr="00C36F96" w:rsidRDefault="00702A61" w:rsidP="00702A61">
      <w:pPr>
        <w:spacing w:before="240" w:line="360" w:lineRule="auto"/>
        <w:jc w:val="both"/>
        <w:rPr>
          <w:rFonts w:ascii="Palatino Linotype" w:hAnsi="Palatino Linotype" w:cs="Arial"/>
          <w:b/>
          <w:sz w:val="24"/>
        </w:rPr>
      </w:pPr>
      <w:r w:rsidRPr="00C36F96">
        <w:rPr>
          <w:rFonts w:ascii="Palatino Linotype" w:hAnsi="Palatino Linotype" w:cs="Arial"/>
          <w:b/>
          <w:sz w:val="24"/>
        </w:rPr>
        <w:t>Acto Impugnado:</w:t>
      </w:r>
    </w:p>
    <w:p w14:paraId="0FE0491C" w14:textId="77777777" w:rsidR="00702A61" w:rsidRPr="00C36F96" w:rsidRDefault="00702A61" w:rsidP="00702A61">
      <w:pPr>
        <w:pStyle w:val="Citas"/>
        <w:rPr>
          <w:b/>
          <w:bCs/>
          <w:sz w:val="24"/>
        </w:rPr>
      </w:pPr>
      <w:r w:rsidRPr="00C36F96">
        <w:t xml:space="preserve">“La respuesta integral emitida por el Ayuntamiento de Jiquipilco, Estado de México, recaída a la solicitud de información pública con folio 00043/JIQUIPIL/IP/2026, así como la notificación de prórroga de fecha veintisiete de marzo de dos mil veintiséis y los oficios emitidos por diversas áreas del sujeto obligado con motivo de dicha solicitud, en la medida en que mediante esa actuación se entregó información de manera parcial, se omitió responder de fondo diversos extremos de la solicitud, se </w:t>
      </w:r>
      <w:r w:rsidRPr="00C36F96">
        <w:lastRenderedPageBreak/>
        <w:t xml:space="preserve">pretendió requerir aclaración de manera extemporánea por unidades administrativas distintas de la Unidad de Transparencia y no se emitieron los acuerdos de inexistencia correspondientes respecto de documentación que se dijo no encontrada. También se impugnan, por su relación directa con la respuesta, los oficios DA/JIQ/2026-068, CA/JIQ/2026-011 y CLP/JIQ/2026-012, mediante los cuales la Dirección de Administración, la Coordinación de Adquisiciones Públicas y la Coordinación de Licitaciones Públicas, respectivamente, no entregaron la información solicitada y, en su lugar, pretendieron requerir mayor claridad en términos del artículo 159 de la Ley de Transparencia y Acceso a la Información Pública del Estado de México y Municipios, pese a que dichos oficios fueron emitidos fuera del plazo legal para requerir aclaración y por áreas que no son la Unidad de Transparencia. Asimismo, se impugna la respuesta emitida por Tesorería Municipal, que sólo proporcionó un monto global de presupuesto y afirmó no haber localizado documentación sobre transferencias, sin acompañar el acuerdo de inexistencia correspondiente, así como la respuesta de la Dirección de Desarrollo Económico, que únicamente remitió una relación de giros o productos con montos, sin colmar el alcance real de lo solicitado respecto de comerciantes o locatarios” </w:t>
      </w:r>
      <w:r w:rsidRPr="00C36F96">
        <w:rPr>
          <w:b/>
          <w:bCs/>
        </w:rPr>
        <w:t>(Sic)</w:t>
      </w:r>
    </w:p>
    <w:p w14:paraId="2A617A02" w14:textId="77777777" w:rsidR="00702A61" w:rsidRPr="00C36F96" w:rsidRDefault="00702A61" w:rsidP="00702A61">
      <w:pPr>
        <w:spacing w:before="240" w:line="360" w:lineRule="auto"/>
        <w:jc w:val="both"/>
        <w:rPr>
          <w:rFonts w:ascii="Palatino Linotype" w:hAnsi="Palatino Linotype" w:cs="Arial"/>
          <w:b/>
          <w:sz w:val="24"/>
        </w:rPr>
      </w:pPr>
    </w:p>
    <w:p w14:paraId="78927976" w14:textId="77777777" w:rsidR="00702A61" w:rsidRPr="00C36F96" w:rsidRDefault="00702A61" w:rsidP="00702A61">
      <w:pPr>
        <w:spacing w:before="240" w:line="360" w:lineRule="auto"/>
        <w:jc w:val="both"/>
        <w:rPr>
          <w:rFonts w:ascii="Palatino Linotype" w:hAnsi="Palatino Linotype" w:cs="Arial"/>
          <w:sz w:val="24"/>
        </w:rPr>
      </w:pPr>
      <w:r w:rsidRPr="00C36F96">
        <w:rPr>
          <w:rFonts w:ascii="Palatino Linotype" w:hAnsi="Palatino Linotype" w:cs="Arial"/>
          <w:b/>
          <w:sz w:val="24"/>
        </w:rPr>
        <w:t>Razones o Motivos de Inconformidad</w:t>
      </w:r>
      <w:r w:rsidRPr="00C36F96">
        <w:rPr>
          <w:rFonts w:ascii="Palatino Linotype" w:hAnsi="Palatino Linotype" w:cs="Arial"/>
          <w:sz w:val="24"/>
        </w:rPr>
        <w:t xml:space="preserve">: </w:t>
      </w:r>
    </w:p>
    <w:p w14:paraId="264AA2CC" w14:textId="77777777" w:rsidR="00702A61" w:rsidRPr="00C36F96" w:rsidRDefault="00702A61" w:rsidP="00702A61">
      <w:pPr>
        <w:pStyle w:val="Citas"/>
        <w:rPr>
          <w:b/>
          <w:bCs/>
        </w:rPr>
      </w:pPr>
      <w:r w:rsidRPr="00C36F96">
        <w:t xml:space="preserve">“PRIMERO. De conformidad con los artículos 176, 178, 179 y 180 de la Ley de Transparencia y Acceso a la Información Pública del Estado de México y Municipios, el presente recurso es procedente porque la respuesta impugnada actualiza, al menos, los supuestos de entrega incompleta de información, respuesta que no corresponde con lo solicitado y falta, deficiencia o insuficiencia de fundamentación y motivación. La inconformidad no recae sobre un aspecto aislado, </w:t>
      </w:r>
      <w:r w:rsidRPr="00C36F96">
        <w:lastRenderedPageBreak/>
        <w:t xml:space="preserve">sino sobre una respuesta integralmente deficiente que no satisface el derecho humano de acceso a la información pública. SEGUNDO. La solicitud de información fue clara desde su presentación. No se pidió información genérica ni indeterminada. Se requirió: el presupuesto aprobado para la Feria del Pulque 2026; los contratos firmados con todas las personas que se presentarían conforme al programa; todos los documentos relativos a los expedientes generados para los procedimientos de adjudicación para su contratación, desde propuestas, presupuestos y cualquier documento mínimo generado; todos los bienes comprados para el desarrollo de la feria, como premios o reconocimientos; los contratos celebrados con personas físicas o morales que instalarían juegos mecánicos; los documentos en los que constara cuánto se cobraría a comerciantes o locatarios que se instalarían durante la feria; y los comprobantes de transferencia realizados como adelanto para comprometer a los artistas que se presentarían. Por tanto, la autoridad estaba obligada a responder de fondo cada uno de esos extremos. TERCERO. A pesar de que la solicitud fue suficientemente clara, diversas áreas del Ayuntamiento pretendieron, de manera improcedente, sustituir la respuesta de fondo con oficios en los que pidieron “más claridad” a la solicitud. Así ocurrió con la Dirección de Administración mediante el oficio DA/JIQ/2026-068 de fecha 15 de abril de 2026, con la Coordinación de Adquisiciones Públicas mediante el oficio CA/JIQ/2026-011 de fecha 15 de abril de 2026 y con la Coordinación de Licitaciones Públicas mediante el oficio CLP/JIQ/2026-012 de fecha 7 de abril de 2026. En todos esos oficios se invocó el artículo 159 de la ley local para sostener que la solicitud no era clara o expedita, pero ninguno de ellos entregó la información pedida ni precisó concretamente qué elemento de la solicitud impedía localizar los documentos. CUARTO. Esos supuestos requerimientos de aclaración son ilegales por una doble razón. En primer lugar, porque el artículo 159 de la ley local faculta a la Unidad de Transparencia, por una </w:t>
      </w:r>
      <w:r w:rsidRPr="00C36F96">
        <w:lastRenderedPageBreak/>
        <w:t xml:space="preserve">sola vez y dentro del plazo que no puede exceder de cinco días hábiles contados a partir de la presentación de la solicitud, para requerir al solicitante cuando los detalles proporcionados para localizar los documentos resulten insuficientes, incompletos o erróneos. Aquí la solicitud fue presentada el 6 de marzo de 2026, por lo que cualquier requerimiento de aclaración debía formularse dentro de ese plazo inicial. Sin embargo, los oficios de Licitaciones Públicas, Administración y Adquisiciones fueron emitidos el 7 y 15 de abril de 2026, es decir, fuera del plazo legal y después de vencido incluso el término ordinario de respuesta. QUINTO. En segundo lugar, esos requerimientos también son improcedentes porque no fueron emitidos por la Unidad de Transparencia, sino por áreas administrativas sustantivas. La ley no autoriza que cada área requerida, de manera autónoma y extemporánea, cuestione la claridad de la solicitud para dejar de responder. El eventual requerimiento de aclaración es una facultad excepcional de la Unidad de Transparencia, con temporalidad estricta y efectos procesales definidos. Permitir que las áreas sustantivas emitan oficios tardíos para pedir “más claridad” vaciaría de contenido el artículo 159 y convertiría la obligación de responder en una salida evasiva permanente. SEXTO. Además, esos oficios no satisfacen ni siquiera el estándar mínimo de motivación. Se limitan a transcribir el artículo 159 y a sostener, de manera genérica, que la información solicitada no es clara o expedita, o que se requiere más claridad para brindar atención de la manera más accesible y sencilla posible. No identifican qué punto concreto de la solicitud es ambiguo; no señalan qué dato específico faltaría para localizar contratos, expedientes, presupuestos, compras, cobros o transferencias; y tampoco distinguen entre cada uno de los rubros solicitados. Es decir, no explican por qué una solicitud que identifica claramente el evento, el ejercicio fiscal, el tipo de documentos y el objeto de cada requerimiento no podía ser atendida. Por ello, esos oficios no pueden considerarse requerimientos </w:t>
      </w:r>
      <w:r w:rsidRPr="00C36F96">
        <w:lastRenderedPageBreak/>
        <w:t xml:space="preserve">válidos de aclaración, sino meras respuestas evasivas. SÉPTIMO. La respuesta de Tesorería Municipal también es incompleta. Mediante oficio de fecha 15 de abril de 2026, esa área únicamente informó que el presupuesto aprobado para la Feria del Pulque 2026 fue de $12,000,000.00, y añadió que, después de la búsqueda correspondiente en archivos físicos y digitales, no se encontraron documentales referentes a transferencias por concepto de adelanto para comprometer a artistas. Sin embargo, fuera de ese monto global y de esa simple afirmación, Tesorería no respondió de fondo sobre el resto de la información que, razonablemente, puede obrar en su ámbito de competencia, ni acompañó el acuerdo de inexistencia correspondiente respecto de la documentación de transferencias que dijo no encontrar. OCTAVO. Esa respuesta de Tesorería es ilegal porque, si efectivamente no localizó comprobantes de transferencias o documentación relacionada con adelantos a artistas, no bastaba con afirmarlo en un oficio simple. Conforme a los artículos 18 y 19 de la Ley de Transparencia y Acceso a la Información Pública del Estado de México y Municipios, cuando la información debió generarse, poseerse o administrarse y no se encuentra, debe emitirse el correspondiente acuerdo de inexistencia, debidamente fundado y motivado, a través del Comité de Transparencia. Aquí no se entregó ese acuerdo. Por ello, la respuesta no satisface el deber legal de documentar ni el estándar de exhaustividad que rige el acceso a la información pública. NOVENO. La respuesta de la Dirección de Desarrollo Económico también es insuficiente. Mediante el oficio de fecha 25 de marzo de 2026, esa área remitió un archivo en Excel con una relación de giros o productos y una columna titulada “total a pagar”, correspondiente a diversos comerciantes o locatarios. Sin embargo, la solicitud no pidió únicamente una relación genérica de montos. Se pidieron los documentos en los que constara cuánto se cobraría a los comerciantes o locatarios que se instalarían durante la feria, precisando además que </w:t>
      </w:r>
      <w:r w:rsidRPr="00C36F96">
        <w:lastRenderedPageBreak/>
        <w:t xml:space="preserve">esos datos debían coincidir con los de su conclusión. En consecuencia, no bastaba una simple tabla de conceptos y montos; debieron entregarse los documentos soporte del cobro, de la autorización, de la asignación de espacios y, en su caso, de la conclusión correspondiente. La tabla aislada no colma el pedimento. DÉCIMO. La insuficiencia de la respuesta se agrava porque los rubros medulares de la solicitud quedaron sin respuesta material. No se entregaron los contratos firmados con quienes se presentarían en la feria; no se entregaron los expedientes de adjudicación para su contratación, desde propuestas, presupuestos y demás documentos generados; no se entregó la documentación relativa a bienes comprados para el desarrollo de la feria, como premios o reconocimientos; y no se entregaron los contratos celebrados con las personas físicas o morales que instalarían juegos mecánicos. En lugar de responder esos puntos, las áreas competentes emitieron oficios extemporáneos e inválidos pidiendo “más claridad”. Esa conducta no puede equipararse a una respuesta; constituye, materialmente, una omisión de entrega respecto de los extremos centrales de la solicitud. DÉCIMO PRIMERO. También debe impugnarse la prórroga. La notificación de fecha 27 de marzo de 2026 únicamente señaló, de forma genérica, que después de un análisis a la petición de ampliación de plazo se consideraron procedentes las razones para poder entregar la información de manera correcta y que dicha ampliación fue aprobada en la Vigésima Sesión Extraordinaria del Comité de Transparencia, en el acuerdo 0024/CTJ/20EXT.ORD/2026. Sin embargo, al expediente notificado sólo se acompañó esa notificación genérica, mas no el acta o resolución del Comité de Transparencia mediante la cual se hubiera fundado y motivado de manera completa la prórroga. Por ello, la ampliación de plazo también carece de soporte documental suficiente frente al solicitante. DÉCIMO SEGUNDO. En consecuencia, la respuesta impugnada actualiza una entrega parcial e insuficiente de información, así como una </w:t>
      </w:r>
      <w:r w:rsidRPr="00C36F96">
        <w:lastRenderedPageBreak/>
        <w:t xml:space="preserve">serie de omisiones de pronunciamiento y de entrega que lesionan directamente el derecho de acceso a la información pública. La solicitud fue clara; la autoridad contaba con elementos suficientes para localizar la documentación; y, en vez de emitir una respuesta exhaustiva, optó por fragmentar la contestación, entregar datos sueltos, omitir documentos centrales y sostener requerimientos de aclaración extemporáneos e improcedentes. DÉCIMO TERCERO. Por tanto, lo procedente es revocar la respuesta impugnada y ordenar al Ayuntamiento de Jiquipilco emitir una nueva respuesta de fondo, exhaustiva y congruente, que atienda cada uno de los rubros solicitados; deje sin efectos los supuestos requerimientos de aclaración extemporáneos formulados por Administración, Adquisiciones Públicas y Licitaciones Públicas; entregue los contratos, expedientes, compras, cobros, soportes y demás documentación pedida; y, en caso de no localizar alguno de esos documentos, emita los acuerdos de inexistencia correspondientes, debidamente fundados y motivados. Asimismo, debe darse vista a la contraloría competente, en términos del artículo 190 de la Ley de Transparencia y Acceso a la Información Pública del Estado de México y Municipios, por la emisión de respuestas evasivas y por la omisión de documentar adecuadamente la inexistencia de información que, en principio, debió obrar en poder del sujeto obligado” </w:t>
      </w:r>
      <w:r w:rsidRPr="00C36F96">
        <w:rPr>
          <w:b/>
          <w:bCs/>
        </w:rPr>
        <w:t>(Sic)</w:t>
      </w:r>
    </w:p>
    <w:p w14:paraId="18543A90" w14:textId="77777777" w:rsidR="00702A61" w:rsidRPr="00C36F96" w:rsidRDefault="00702A61" w:rsidP="00702A61">
      <w:pPr>
        <w:pStyle w:val="Citas"/>
        <w:ind w:left="0"/>
        <w:rPr>
          <w:b/>
        </w:rPr>
      </w:pPr>
    </w:p>
    <w:p w14:paraId="2802AC9D" w14:textId="5842D65D" w:rsidR="009C6AF8" w:rsidRPr="00C36F96" w:rsidRDefault="009C6AF8" w:rsidP="009C6AF8">
      <w:pPr>
        <w:pStyle w:val="infoemcitas"/>
        <w:tabs>
          <w:tab w:val="left" w:pos="7655"/>
        </w:tabs>
        <w:ind w:left="0" w:right="0"/>
        <w:rPr>
          <w:rFonts w:cs="Arial"/>
          <w:i w:val="0"/>
          <w:noProof/>
          <w:color w:val="000000"/>
          <w:sz w:val="24"/>
          <w:lang w:eastAsia="es-MX"/>
        </w:rPr>
      </w:pPr>
      <w:r w:rsidRPr="00C36F96">
        <w:rPr>
          <w:i w:val="0"/>
          <w:sz w:val="24"/>
          <w:szCs w:val="24"/>
        </w:rPr>
        <w:t xml:space="preserve">Así las cosas, hasta aquí lo expuesto, resulta inconcuso que </w:t>
      </w:r>
      <w:r w:rsidRPr="00C36F96">
        <w:rPr>
          <w:b/>
          <w:i w:val="0"/>
          <w:sz w:val="24"/>
          <w:szCs w:val="24"/>
        </w:rPr>
        <w:t xml:space="preserve">El Sujeto Obligado </w:t>
      </w:r>
      <w:r w:rsidRPr="00C36F96">
        <w:rPr>
          <w:rFonts w:cs="Arial"/>
          <w:i w:val="0"/>
          <w:noProof/>
          <w:color w:val="000000"/>
          <w:sz w:val="24"/>
          <w:lang w:eastAsia="es-MX"/>
        </w:rPr>
        <w:t xml:space="preserve">no satisfizo el derecho de acceso a la información pública ejercido por </w:t>
      </w:r>
      <w:r w:rsidR="00CF3836" w:rsidRPr="00C36F96">
        <w:rPr>
          <w:rFonts w:cs="Arial"/>
          <w:b/>
          <w:i w:val="0"/>
          <w:noProof/>
          <w:color w:val="000000"/>
          <w:sz w:val="24"/>
          <w:lang w:eastAsia="es-MX"/>
        </w:rPr>
        <w:t>El</w:t>
      </w:r>
      <w:r w:rsidRPr="00C36F96">
        <w:rPr>
          <w:rFonts w:cs="Arial"/>
          <w:b/>
          <w:i w:val="0"/>
          <w:noProof/>
          <w:color w:val="000000"/>
          <w:sz w:val="24"/>
          <w:lang w:eastAsia="es-MX"/>
        </w:rPr>
        <w:t xml:space="preserve"> Recurrente, </w:t>
      </w:r>
      <w:r w:rsidRPr="00C36F96">
        <w:rPr>
          <w:rFonts w:cs="Arial"/>
          <w:i w:val="0"/>
          <w:noProof/>
          <w:color w:val="000000"/>
          <w:sz w:val="24"/>
          <w:lang w:eastAsia="es-MX"/>
        </w:rPr>
        <w:t>al tenerse por actualizada la</w:t>
      </w:r>
      <w:r w:rsidR="00434F72" w:rsidRPr="00C36F96">
        <w:rPr>
          <w:rFonts w:cs="Arial"/>
          <w:i w:val="0"/>
          <w:noProof/>
          <w:color w:val="000000"/>
          <w:sz w:val="24"/>
          <w:lang w:eastAsia="es-MX"/>
        </w:rPr>
        <w:t>s</w:t>
      </w:r>
      <w:r w:rsidRPr="00C36F96">
        <w:rPr>
          <w:rFonts w:cs="Arial"/>
          <w:i w:val="0"/>
          <w:noProof/>
          <w:color w:val="000000"/>
          <w:sz w:val="24"/>
          <w:lang w:eastAsia="es-MX"/>
        </w:rPr>
        <w:t xml:space="preserve"> hipotesis prevista</w:t>
      </w:r>
      <w:r w:rsidR="00434F72" w:rsidRPr="00C36F96">
        <w:rPr>
          <w:rFonts w:cs="Arial"/>
          <w:i w:val="0"/>
          <w:noProof/>
          <w:color w:val="000000"/>
          <w:sz w:val="24"/>
          <w:lang w:eastAsia="es-MX"/>
        </w:rPr>
        <w:t>s</w:t>
      </w:r>
      <w:r w:rsidRPr="00C36F96">
        <w:rPr>
          <w:rFonts w:cs="Arial"/>
          <w:i w:val="0"/>
          <w:noProof/>
          <w:color w:val="000000"/>
          <w:sz w:val="24"/>
          <w:lang w:eastAsia="es-MX"/>
        </w:rPr>
        <w:t xml:space="preserve"> en el artículo 179, </w:t>
      </w:r>
      <w:r w:rsidR="00702A61" w:rsidRPr="00C36F96">
        <w:rPr>
          <w:rFonts w:cs="Arial"/>
          <w:i w:val="0"/>
          <w:noProof/>
          <w:color w:val="000000"/>
          <w:sz w:val="24"/>
          <w:lang w:eastAsia="es-MX"/>
        </w:rPr>
        <w:t>fracción I</w:t>
      </w:r>
      <w:r w:rsidRPr="00C36F96">
        <w:rPr>
          <w:rFonts w:cs="Arial"/>
          <w:i w:val="0"/>
          <w:noProof/>
          <w:color w:val="000000"/>
          <w:sz w:val="24"/>
          <w:lang w:eastAsia="es-MX"/>
        </w:rPr>
        <w:t xml:space="preserve"> de la Ley de Transparencia y Acceso a la Información Pública del Estado de México y Municipios, cuyo contenido literal es el siguiente:</w:t>
      </w:r>
    </w:p>
    <w:p w14:paraId="09A4BFCE" w14:textId="77777777" w:rsidR="009C6AF8" w:rsidRPr="00C36F96" w:rsidRDefault="009C6AF8" w:rsidP="009C6AF8">
      <w:pPr>
        <w:pStyle w:val="Citas"/>
      </w:pPr>
      <w:r w:rsidRPr="00C36F96">
        <w:lastRenderedPageBreak/>
        <w:t>“Artículo 179. El recurso de revisión es un medio de protección que la Ley otorga a los particulares, para hacer valer su derecho de acceso a la información pública, y procederá en contra de las siguientes causas:</w:t>
      </w:r>
    </w:p>
    <w:p w14:paraId="105F013A" w14:textId="77777777" w:rsidR="009C6AF8" w:rsidRPr="00C36F96" w:rsidRDefault="009C6AF8" w:rsidP="009C6AF8">
      <w:pPr>
        <w:pStyle w:val="Citas"/>
      </w:pPr>
      <w:r w:rsidRPr="00C36F96">
        <w:t>I. La negativa a la información solicitada;</w:t>
      </w:r>
    </w:p>
    <w:p w14:paraId="333DF593" w14:textId="110DEA71" w:rsidR="00434F72" w:rsidRPr="00C36F96" w:rsidRDefault="00434F72" w:rsidP="009C6AF8">
      <w:pPr>
        <w:pStyle w:val="Citas"/>
        <w:rPr>
          <w:b/>
          <w:bCs/>
        </w:rPr>
      </w:pPr>
      <w:r w:rsidRPr="00C36F96">
        <w:t xml:space="preserve">(…)” </w:t>
      </w:r>
      <w:r w:rsidRPr="00C36F96">
        <w:rPr>
          <w:b/>
          <w:bCs/>
        </w:rPr>
        <w:t>(Sic)</w:t>
      </w:r>
    </w:p>
    <w:p w14:paraId="03F8BB15" w14:textId="77777777" w:rsidR="009C6AF8" w:rsidRPr="00C36F96" w:rsidRDefault="009C6AF8" w:rsidP="00B16A64">
      <w:pPr>
        <w:pStyle w:val="Citas"/>
        <w:ind w:left="0" w:right="0"/>
        <w:rPr>
          <w:i w:val="0"/>
          <w:iCs/>
          <w:sz w:val="24"/>
          <w:szCs w:val="24"/>
        </w:rPr>
      </w:pPr>
    </w:p>
    <w:p w14:paraId="6690C41A" w14:textId="2BDAE450" w:rsidR="005C6570" w:rsidRPr="00C36F96" w:rsidRDefault="009C6AF8" w:rsidP="009C6AF8">
      <w:pPr>
        <w:pStyle w:val="Citas"/>
        <w:ind w:left="0" w:right="0"/>
        <w:rPr>
          <w:i w:val="0"/>
          <w:sz w:val="24"/>
          <w:szCs w:val="24"/>
        </w:rPr>
      </w:pPr>
      <w:r w:rsidRPr="00C36F96">
        <w:rPr>
          <w:i w:val="0"/>
          <w:sz w:val="24"/>
          <w:szCs w:val="24"/>
        </w:rPr>
        <w:t xml:space="preserve">Por otra parte, como fue referido en el antecedente </w:t>
      </w:r>
      <w:r w:rsidR="003F0BB4" w:rsidRPr="00C36F96">
        <w:rPr>
          <w:i w:val="0"/>
          <w:sz w:val="24"/>
          <w:szCs w:val="24"/>
        </w:rPr>
        <w:t>sexto</w:t>
      </w:r>
      <w:r w:rsidRPr="00C36F96">
        <w:rPr>
          <w:i w:val="0"/>
          <w:sz w:val="24"/>
          <w:szCs w:val="24"/>
        </w:rPr>
        <w:t xml:space="preserve">, </w:t>
      </w:r>
      <w:r w:rsidR="005C6570" w:rsidRPr="00C36F96">
        <w:rPr>
          <w:i w:val="0"/>
          <w:sz w:val="24"/>
          <w:szCs w:val="24"/>
        </w:rPr>
        <w:t xml:space="preserve">en fecha </w:t>
      </w:r>
      <w:r w:rsidR="005C6570" w:rsidRPr="00C36F96">
        <w:rPr>
          <w:b/>
          <w:bCs/>
          <w:i w:val="0"/>
          <w:sz w:val="24"/>
          <w:szCs w:val="24"/>
        </w:rPr>
        <w:t xml:space="preserve">veintidós de abril de dos mil veintiséis, El Recurrente </w:t>
      </w:r>
      <w:r w:rsidR="005C6570" w:rsidRPr="00C36F96">
        <w:rPr>
          <w:i w:val="0"/>
          <w:sz w:val="24"/>
          <w:szCs w:val="24"/>
        </w:rPr>
        <w:t>rindió las manifestaciones estimadas pertinentes en los siguientes términos:</w:t>
      </w:r>
    </w:p>
    <w:p w14:paraId="1085612F" w14:textId="2DEDDBCC" w:rsidR="005C6570" w:rsidRPr="00C36F96" w:rsidRDefault="005C6570" w:rsidP="005C6570">
      <w:pPr>
        <w:pStyle w:val="Citas"/>
        <w:numPr>
          <w:ilvl w:val="0"/>
          <w:numId w:val="23"/>
        </w:numPr>
        <w:ind w:right="0"/>
        <w:rPr>
          <w:b/>
          <w:bCs/>
          <w:i w:val="0"/>
          <w:sz w:val="24"/>
          <w:szCs w:val="24"/>
        </w:rPr>
      </w:pPr>
      <w:r w:rsidRPr="00C36F96">
        <w:rPr>
          <w:b/>
          <w:bCs/>
          <w:i w:val="0"/>
          <w:sz w:val="24"/>
          <w:szCs w:val="24"/>
        </w:rPr>
        <w:t xml:space="preserve">“Alegatos rr_04040.pdf”: </w:t>
      </w:r>
      <w:r w:rsidRPr="00C36F96">
        <w:rPr>
          <w:i w:val="0"/>
          <w:sz w:val="24"/>
          <w:szCs w:val="24"/>
        </w:rPr>
        <w:t xml:space="preserve">Escrito libre consistente en </w:t>
      </w:r>
      <w:r w:rsidRPr="00C36F96">
        <w:rPr>
          <w:b/>
          <w:bCs/>
          <w:i w:val="0"/>
          <w:sz w:val="24"/>
          <w:szCs w:val="24"/>
        </w:rPr>
        <w:t xml:space="preserve">4 -cuatro- </w:t>
      </w:r>
      <w:r w:rsidRPr="00C36F96">
        <w:rPr>
          <w:i w:val="0"/>
          <w:sz w:val="24"/>
          <w:szCs w:val="24"/>
        </w:rPr>
        <w:t xml:space="preserve">fojas, en términos generales refleja los motivos de inconformidad expuestos con antelación. </w:t>
      </w:r>
    </w:p>
    <w:p w14:paraId="11C25F3D" w14:textId="77777777" w:rsidR="005C6570" w:rsidRPr="00C36F96" w:rsidRDefault="005C6570" w:rsidP="009C6AF8">
      <w:pPr>
        <w:pStyle w:val="Citas"/>
        <w:ind w:left="0" w:right="0"/>
        <w:rPr>
          <w:i w:val="0"/>
          <w:sz w:val="24"/>
          <w:szCs w:val="24"/>
        </w:rPr>
      </w:pPr>
    </w:p>
    <w:p w14:paraId="011D23A5" w14:textId="7EF93F85" w:rsidR="005C6570" w:rsidRPr="00C36F96" w:rsidRDefault="005C6570" w:rsidP="009C6AF8">
      <w:pPr>
        <w:pStyle w:val="Citas"/>
        <w:ind w:left="0" w:right="0"/>
        <w:rPr>
          <w:i w:val="0"/>
          <w:sz w:val="24"/>
          <w:szCs w:val="24"/>
        </w:rPr>
      </w:pPr>
      <w:r w:rsidRPr="00C36F96">
        <w:rPr>
          <w:i w:val="0"/>
          <w:sz w:val="24"/>
          <w:szCs w:val="24"/>
        </w:rPr>
        <w:t xml:space="preserve">En contraste, </w:t>
      </w:r>
      <w:r w:rsidRPr="00C36F96">
        <w:rPr>
          <w:b/>
          <w:bCs/>
          <w:i w:val="0"/>
          <w:sz w:val="24"/>
          <w:szCs w:val="24"/>
        </w:rPr>
        <w:t xml:space="preserve">El Sujeto Obligado </w:t>
      </w:r>
      <w:r w:rsidRPr="00C36F96">
        <w:rPr>
          <w:i w:val="0"/>
          <w:sz w:val="24"/>
          <w:szCs w:val="24"/>
        </w:rPr>
        <w:t xml:space="preserve">fue omiso en rendir su informe justificado, es decir, no subsanó la violación al derecho de acceso a la información pública. Resultando procedente ordenar una búsqueda exhaustiva y razonable respecto de la siguiente información: </w:t>
      </w:r>
    </w:p>
    <w:p w14:paraId="1058A2B9" w14:textId="77777777" w:rsidR="005C6570" w:rsidRPr="00C36F96" w:rsidRDefault="005C6570" w:rsidP="005C6570">
      <w:pPr>
        <w:spacing w:before="240" w:line="360" w:lineRule="auto"/>
        <w:jc w:val="both"/>
        <w:rPr>
          <w:rFonts w:ascii="Palatino Linotype" w:hAnsi="Palatino Linotype"/>
          <w:b/>
          <w:bCs/>
          <w:sz w:val="24"/>
          <w:szCs w:val="24"/>
        </w:rPr>
      </w:pPr>
      <w:r w:rsidRPr="00C36F96">
        <w:rPr>
          <w:rFonts w:ascii="Palatino Linotype" w:hAnsi="Palatino Linotype"/>
          <w:b/>
          <w:bCs/>
          <w:sz w:val="24"/>
          <w:szCs w:val="24"/>
        </w:rPr>
        <w:t xml:space="preserve">De la feria del pulque 2026 </w:t>
      </w:r>
    </w:p>
    <w:p w14:paraId="1DE1244C" w14:textId="77777777" w:rsidR="005C6570" w:rsidRPr="00C36F96" w:rsidRDefault="005C6570" w:rsidP="005C6570">
      <w:pPr>
        <w:pStyle w:val="Prrafodelista"/>
        <w:numPr>
          <w:ilvl w:val="0"/>
          <w:numId w:val="25"/>
        </w:numPr>
        <w:spacing w:before="240" w:line="360" w:lineRule="auto"/>
        <w:jc w:val="both"/>
        <w:rPr>
          <w:rFonts w:ascii="Palatino Linotype" w:hAnsi="Palatino Linotype"/>
        </w:rPr>
      </w:pPr>
      <w:r w:rsidRPr="00C36F96">
        <w:rPr>
          <w:rFonts w:ascii="Palatino Linotype" w:hAnsi="Palatino Linotype"/>
        </w:rPr>
        <w:t xml:space="preserve">Contratos firmados con motivo de presentaciones previstas en el programa, al seis de marzo de dos mil veintiséis. </w:t>
      </w:r>
    </w:p>
    <w:p w14:paraId="613A4190" w14:textId="77777777" w:rsidR="005C6570" w:rsidRPr="00C36F96" w:rsidRDefault="005C6570" w:rsidP="005C6570">
      <w:pPr>
        <w:pStyle w:val="Prrafodelista"/>
        <w:numPr>
          <w:ilvl w:val="0"/>
          <w:numId w:val="25"/>
        </w:numPr>
        <w:spacing w:before="240" w:line="360" w:lineRule="auto"/>
        <w:jc w:val="both"/>
        <w:rPr>
          <w:rFonts w:ascii="Palatino Linotype" w:hAnsi="Palatino Linotype"/>
        </w:rPr>
      </w:pPr>
      <w:r w:rsidRPr="00C36F96">
        <w:rPr>
          <w:rFonts w:ascii="Palatino Linotype" w:hAnsi="Palatino Linotype"/>
        </w:rPr>
        <w:lastRenderedPageBreak/>
        <w:t xml:space="preserve">El o los documentos vinculados con adjudicaciones y/o equivalente (propuestas, presupuesto, otros) respecto de la contratación de personas que se van a presentar en el evento, al seis de marzo de dos mil veintiséis. </w:t>
      </w:r>
    </w:p>
    <w:p w14:paraId="12F215DF" w14:textId="77777777" w:rsidR="005C6570" w:rsidRPr="00C36F96" w:rsidRDefault="005C6570" w:rsidP="005C6570">
      <w:pPr>
        <w:pStyle w:val="Prrafodelista"/>
        <w:numPr>
          <w:ilvl w:val="0"/>
          <w:numId w:val="25"/>
        </w:numPr>
        <w:spacing w:before="240" w:line="360" w:lineRule="auto"/>
        <w:jc w:val="both"/>
        <w:rPr>
          <w:rFonts w:ascii="Palatino Linotype" w:hAnsi="Palatino Linotype"/>
        </w:rPr>
      </w:pPr>
      <w:r w:rsidRPr="00C36F96">
        <w:rPr>
          <w:rFonts w:ascii="Palatino Linotype" w:hAnsi="Palatino Linotype"/>
        </w:rPr>
        <w:t xml:space="preserve">El o los documentos donde consten los bienes que se compraron para el desarrollo de la feria, tales como premios o reconocimientos, al seis de marzo de dos mil veintiséis. </w:t>
      </w:r>
    </w:p>
    <w:p w14:paraId="6C3DB658" w14:textId="77777777" w:rsidR="005C6570" w:rsidRPr="00C36F96" w:rsidRDefault="005C6570" w:rsidP="005C6570">
      <w:pPr>
        <w:pStyle w:val="Prrafodelista"/>
        <w:numPr>
          <w:ilvl w:val="0"/>
          <w:numId w:val="25"/>
        </w:numPr>
        <w:spacing w:before="240" w:line="360" w:lineRule="auto"/>
        <w:jc w:val="both"/>
        <w:rPr>
          <w:rFonts w:ascii="Palatino Linotype" w:hAnsi="Palatino Linotype"/>
        </w:rPr>
      </w:pPr>
      <w:r w:rsidRPr="00C36F96">
        <w:rPr>
          <w:rFonts w:ascii="Palatino Linotype" w:hAnsi="Palatino Linotype"/>
        </w:rPr>
        <w:t xml:space="preserve">Contratos celebrados con personas físicas o morales para la instalación de juegos mecánicos, al seis de marzo de dos mil veintiséis. </w:t>
      </w:r>
    </w:p>
    <w:p w14:paraId="4EA4684E" w14:textId="77777777" w:rsidR="005C6570" w:rsidRPr="00C36F96" w:rsidRDefault="005C6570" w:rsidP="005C6570">
      <w:pPr>
        <w:spacing w:after="0" w:line="360" w:lineRule="auto"/>
        <w:jc w:val="both"/>
        <w:rPr>
          <w:rFonts w:ascii="Palatino Linotype" w:hAnsi="Palatino Linotype" w:cs="Arial"/>
          <w:sz w:val="24"/>
          <w:szCs w:val="24"/>
          <w:lang w:val="es-ES"/>
        </w:rPr>
      </w:pPr>
    </w:p>
    <w:p w14:paraId="26F28E0A" w14:textId="5B463315" w:rsidR="00402A18" w:rsidRPr="00C36F96" w:rsidRDefault="00402A18" w:rsidP="00703CCB">
      <w:pPr>
        <w:autoSpaceDE w:val="0"/>
        <w:autoSpaceDN w:val="0"/>
        <w:adjustRightInd w:val="0"/>
        <w:spacing w:before="240" w:line="360" w:lineRule="auto"/>
        <w:jc w:val="both"/>
        <w:rPr>
          <w:rFonts w:ascii="Palatino Linotype" w:hAnsi="Palatino Linotype"/>
          <w:bCs/>
          <w:sz w:val="24"/>
          <w:szCs w:val="24"/>
        </w:rPr>
      </w:pPr>
      <w:r w:rsidRPr="00C36F96">
        <w:rPr>
          <w:rFonts w:ascii="Palatino Linotype" w:hAnsi="Palatino Linotype"/>
          <w:bCs/>
          <w:sz w:val="24"/>
          <w:szCs w:val="24"/>
        </w:rPr>
        <w:t xml:space="preserve">Finalmente, con relación al motivo de inconformidad relativo a </w:t>
      </w:r>
      <w:r w:rsidRPr="00C36F96">
        <w:rPr>
          <w:rFonts w:ascii="Palatino Linotype" w:hAnsi="Palatino Linotype"/>
          <w:bCs/>
          <w:i/>
          <w:iCs/>
          <w:sz w:val="24"/>
          <w:szCs w:val="24"/>
        </w:rPr>
        <w:t xml:space="preserve">“Asimismo, debe darse vista a la contraloría competente, en términos del artículo 190 de la Ley de Transparencia y Acceso a la Información Pública del Estado de México y Municipios, por la emisión de respuestas evasivas y por la omisión de documentar adecuadamente la inexistencia de información que, en principio, debió obrar en poder del sujeto obligado” </w:t>
      </w:r>
      <w:r w:rsidRPr="00C36F96">
        <w:rPr>
          <w:rFonts w:ascii="Palatino Linotype" w:hAnsi="Palatino Linotype"/>
          <w:bCs/>
          <w:sz w:val="24"/>
          <w:szCs w:val="24"/>
        </w:rPr>
        <w:t xml:space="preserve">debe señalarse que el recurso de revisión no es el medio para solicitar dar vista al órgano interno de control a efecto de investigar posibles faltas al derecho de acceso a la información pública. </w:t>
      </w:r>
    </w:p>
    <w:p w14:paraId="3ACE7E9D" w14:textId="77777777" w:rsidR="00402A18" w:rsidRPr="00C36F96" w:rsidRDefault="00402A18" w:rsidP="00703CCB">
      <w:pPr>
        <w:autoSpaceDE w:val="0"/>
        <w:autoSpaceDN w:val="0"/>
        <w:adjustRightInd w:val="0"/>
        <w:spacing w:before="240" w:line="360" w:lineRule="auto"/>
        <w:jc w:val="both"/>
        <w:rPr>
          <w:rFonts w:ascii="Palatino Linotype" w:hAnsi="Palatino Linotype"/>
          <w:b/>
          <w:sz w:val="24"/>
          <w:szCs w:val="24"/>
        </w:rPr>
      </w:pPr>
    </w:p>
    <w:p w14:paraId="0FEAA925" w14:textId="364139E3" w:rsidR="00703CCB" w:rsidRPr="00C36F96" w:rsidRDefault="00703CCB" w:rsidP="00703CCB">
      <w:pPr>
        <w:autoSpaceDE w:val="0"/>
        <w:autoSpaceDN w:val="0"/>
        <w:adjustRightInd w:val="0"/>
        <w:spacing w:before="240" w:line="360" w:lineRule="auto"/>
        <w:jc w:val="both"/>
        <w:rPr>
          <w:rFonts w:ascii="Palatino Linotype" w:hAnsi="Palatino Linotype"/>
          <w:b/>
          <w:sz w:val="24"/>
          <w:szCs w:val="24"/>
        </w:rPr>
      </w:pPr>
      <w:r w:rsidRPr="00C36F96">
        <w:rPr>
          <w:rFonts w:ascii="Palatino Linotype" w:hAnsi="Palatino Linotype"/>
          <w:b/>
          <w:sz w:val="24"/>
          <w:szCs w:val="24"/>
        </w:rPr>
        <w:t xml:space="preserve">DE LA VERSIÓN PÚBLICA </w:t>
      </w:r>
    </w:p>
    <w:p w14:paraId="38679CA6"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 xml:space="preserve">En la elaboración de la versión pública se deberá considera lo dispuesto en los artículos 3 fracciones IX, XX, XXI y XLV, 91 y 132 fracciones II y III de la Ley de Transparencia </w:t>
      </w:r>
      <w:r w:rsidRPr="00C36F96">
        <w:rPr>
          <w:rFonts w:ascii="Palatino Linotype" w:eastAsia="Palatino Linotype" w:hAnsi="Palatino Linotype" w:cs="Palatino Linotype"/>
          <w:sz w:val="24"/>
          <w:szCs w:val="24"/>
        </w:rPr>
        <w:lastRenderedPageBreak/>
        <w:t>y Acceso a la Información Pública del Estado de México y Municipios que establecen lo siguiente:</w:t>
      </w:r>
    </w:p>
    <w:p w14:paraId="79F16C96" w14:textId="77777777" w:rsidR="00703CCB" w:rsidRPr="00C36F96" w:rsidRDefault="00703CCB" w:rsidP="00703CCB">
      <w:pPr>
        <w:pStyle w:val="Citas"/>
      </w:pPr>
      <w:r w:rsidRPr="00C36F96">
        <w:rPr>
          <w:b/>
        </w:rPr>
        <w:t>“Artículo 3.</w:t>
      </w:r>
      <w:r w:rsidRPr="00C36F96">
        <w:t xml:space="preserve"> Para los efectos de la presente Ley se entenderá por:</w:t>
      </w:r>
    </w:p>
    <w:p w14:paraId="3DDF9FFE" w14:textId="77777777" w:rsidR="00703CCB" w:rsidRPr="00C36F96" w:rsidRDefault="00703CCB" w:rsidP="00703CCB">
      <w:pPr>
        <w:pStyle w:val="Citas"/>
      </w:pPr>
      <w:r w:rsidRPr="00C36F96">
        <w:t>(…)</w:t>
      </w:r>
    </w:p>
    <w:p w14:paraId="4709A386" w14:textId="77777777" w:rsidR="00703CCB" w:rsidRPr="00C36F96" w:rsidRDefault="00703CCB" w:rsidP="00703CCB">
      <w:pPr>
        <w:pStyle w:val="Citas"/>
      </w:pPr>
      <w:r w:rsidRPr="00C36F96">
        <w:rPr>
          <w:b/>
        </w:rPr>
        <w:t>IX. Datos personales:</w:t>
      </w:r>
      <w:r w:rsidRPr="00C36F96">
        <w:t xml:space="preserve"> La información concerniente a una persona, identificada o identificable según lo dispuesto por la Ley de Protección de Datos Personales del Estado de México; </w:t>
      </w:r>
    </w:p>
    <w:p w14:paraId="57D313C2" w14:textId="77777777" w:rsidR="00703CCB" w:rsidRPr="00C36F96" w:rsidRDefault="00703CCB" w:rsidP="00703CCB">
      <w:pPr>
        <w:pStyle w:val="Citas"/>
      </w:pPr>
      <w:r w:rsidRPr="00C36F96">
        <w:rPr>
          <w:b/>
        </w:rPr>
        <w:t>XX.</w:t>
      </w:r>
      <w:r w:rsidRPr="00C36F96">
        <w:t xml:space="preserve"> </w:t>
      </w:r>
      <w:r w:rsidRPr="00C36F96">
        <w:rPr>
          <w:b/>
        </w:rPr>
        <w:t>Información clasificada:</w:t>
      </w:r>
      <w:r w:rsidRPr="00C36F96">
        <w:t xml:space="preserve"> Aquella considerada por la presente Ley como reservada o confidencial;</w:t>
      </w:r>
    </w:p>
    <w:p w14:paraId="57A9EFA3" w14:textId="77777777" w:rsidR="00703CCB" w:rsidRPr="00C36F96" w:rsidRDefault="00703CCB" w:rsidP="00703CCB">
      <w:pPr>
        <w:pStyle w:val="Citas"/>
      </w:pPr>
      <w:r w:rsidRPr="00C36F96">
        <w:rPr>
          <w:b/>
        </w:rPr>
        <w:t>XXI.</w:t>
      </w:r>
      <w:r w:rsidRPr="00C36F96">
        <w:t xml:space="preserve"> </w:t>
      </w:r>
      <w:r w:rsidRPr="00C36F96">
        <w:rPr>
          <w:b/>
        </w:rPr>
        <w:t>Información confidencial:</w:t>
      </w:r>
      <w:r w:rsidRPr="00C36F9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D5B2B37" w14:textId="77777777" w:rsidR="00703CCB" w:rsidRPr="00C36F96" w:rsidRDefault="00703CCB" w:rsidP="00703CCB">
      <w:pPr>
        <w:pStyle w:val="Citas"/>
        <w:rPr>
          <w:bCs/>
        </w:rPr>
      </w:pPr>
      <w:r w:rsidRPr="00C36F96">
        <w:rPr>
          <w:bCs/>
        </w:rPr>
        <w:t>(…)</w:t>
      </w:r>
    </w:p>
    <w:p w14:paraId="1D959F25" w14:textId="77777777" w:rsidR="00703CCB" w:rsidRPr="00C36F96" w:rsidRDefault="00703CCB" w:rsidP="00703CCB">
      <w:pPr>
        <w:pStyle w:val="Citas"/>
      </w:pPr>
      <w:r w:rsidRPr="00C36F96">
        <w:rPr>
          <w:b/>
        </w:rPr>
        <w:t>XLV.</w:t>
      </w:r>
      <w:r w:rsidRPr="00C36F96">
        <w:t xml:space="preserve"> </w:t>
      </w:r>
      <w:r w:rsidRPr="00C36F96">
        <w:rPr>
          <w:b/>
        </w:rPr>
        <w:t>Versión pública:</w:t>
      </w:r>
      <w:r w:rsidRPr="00C36F96">
        <w:t xml:space="preserve"> Documento en el que se elimine, suprime o borra la información clasificada como reservada o confidencial para permitir su acceso.</w:t>
      </w:r>
    </w:p>
    <w:p w14:paraId="100710D5" w14:textId="77777777" w:rsidR="00703CCB" w:rsidRPr="00C36F96" w:rsidRDefault="00703CCB" w:rsidP="00703CCB">
      <w:pPr>
        <w:pStyle w:val="Citas"/>
      </w:pPr>
      <w:r w:rsidRPr="00C36F96">
        <w:t>(…)</w:t>
      </w:r>
    </w:p>
    <w:p w14:paraId="7A1D6C4E" w14:textId="77777777" w:rsidR="00703CCB" w:rsidRPr="00C36F96" w:rsidRDefault="00703CCB" w:rsidP="00703CCB">
      <w:pPr>
        <w:pStyle w:val="Citas"/>
      </w:pPr>
      <w:r w:rsidRPr="00C36F96">
        <w:rPr>
          <w:b/>
        </w:rPr>
        <w:t xml:space="preserve">Artículo 91. </w:t>
      </w:r>
      <w:r w:rsidRPr="00C36F96">
        <w:t>El acceso a la información pública será restringido excepcionalmente, cuando ésta sea clasificada como reservada o confidencial.</w:t>
      </w:r>
    </w:p>
    <w:p w14:paraId="55D0DDA0" w14:textId="77777777" w:rsidR="00703CCB" w:rsidRPr="00C36F96" w:rsidRDefault="00703CCB" w:rsidP="00703CCB">
      <w:pPr>
        <w:pStyle w:val="Citas"/>
      </w:pPr>
      <w:r w:rsidRPr="00C36F96">
        <w:rPr>
          <w:b/>
        </w:rPr>
        <w:t>Artículo 132.</w:t>
      </w:r>
      <w:r w:rsidRPr="00C36F96">
        <w:t xml:space="preserve"> </w:t>
      </w:r>
      <w:r w:rsidRPr="00C36F96">
        <w:rPr>
          <w:u w:val="single"/>
        </w:rPr>
        <w:t>La clasificación de la información se llevará a cabo en el momento en que</w:t>
      </w:r>
      <w:r w:rsidRPr="00C36F96">
        <w:t>:</w:t>
      </w:r>
    </w:p>
    <w:p w14:paraId="48D3358A" w14:textId="77777777" w:rsidR="00703CCB" w:rsidRPr="00C36F96" w:rsidRDefault="00703CCB" w:rsidP="00703CCB">
      <w:pPr>
        <w:pStyle w:val="Citas"/>
      </w:pPr>
      <w:r w:rsidRPr="00C36F96">
        <w:rPr>
          <w:b/>
        </w:rPr>
        <w:lastRenderedPageBreak/>
        <w:t>I.</w:t>
      </w:r>
      <w:r w:rsidRPr="00C36F96">
        <w:t xml:space="preserve"> Se reciba una solicitud de acceso a la información;</w:t>
      </w:r>
    </w:p>
    <w:p w14:paraId="69B9D6FB" w14:textId="77777777" w:rsidR="00703CCB" w:rsidRPr="00C36F96" w:rsidRDefault="00703CCB" w:rsidP="00703CCB">
      <w:pPr>
        <w:pStyle w:val="Citas"/>
      </w:pPr>
      <w:r w:rsidRPr="00C36F96">
        <w:rPr>
          <w:b/>
        </w:rPr>
        <w:t>II.</w:t>
      </w:r>
      <w:r w:rsidRPr="00C36F96">
        <w:t xml:space="preserve"> </w:t>
      </w:r>
      <w:r w:rsidRPr="00C36F96">
        <w:rPr>
          <w:u w:val="single"/>
        </w:rPr>
        <w:t>Se determine mediante resolución de autoridad competente; o</w:t>
      </w:r>
    </w:p>
    <w:p w14:paraId="197951F3" w14:textId="77777777" w:rsidR="00703CCB" w:rsidRPr="00C36F96" w:rsidRDefault="00703CCB" w:rsidP="00703CCB">
      <w:pPr>
        <w:pStyle w:val="Citas"/>
        <w:rPr>
          <w:u w:val="single"/>
        </w:rPr>
      </w:pPr>
      <w:r w:rsidRPr="00C36F96">
        <w:rPr>
          <w:b/>
        </w:rPr>
        <w:t>III.</w:t>
      </w:r>
      <w:r w:rsidRPr="00C36F96">
        <w:t xml:space="preserve"> </w:t>
      </w:r>
      <w:r w:rsidRPr="00C36F96">
        <w:rPr>
          <w:u w:val="single"/>
        </w:rPr>
        <w:t>Se generen versiones públicas para dar cumplimiento a las obligaciones de transparencia previstas en esta Ley.</w:t>
      </w:r>
    </w:p>
    <w:p w14:paraId="5E4986EE" w14:textId="77777777" w:rsidR="00703CCB" w:rsidRPr="00C36F96" w:rsidRDefault="00703CCB" w:rsidP="00703CCB">
      <w:pPr>
        <w:pStyle w:val="Citas"/>
        <w:rPr>
          <w:b/>
          <w:bCs/>
        </w:rPr>
      </w:pPr>
      <w:r w:rsidRPr="00C36F96">
        <w:t xml:space="preserve">(…)” </w:t>
      </w:r>
      <w:r w:rsidRPr="00C36F96">
        <w:rPr>
          <w:b/>
          <w:bCs/>
        </w:rPr>
        <w:t xml:space="preserve"> (Sic)</w:t>
      </w:r>
    </w:p>
    <w:p w14:paraId="45CA4661" w14:textId="77777777" w:rsidR="00703CCB" w:rsidRPr="00C36F96" w:rsidRDefault="00703CCB" w:rsidP="00703CCB">
      <w:pPr>
        <w:rPr>
          <w:rFonts w:eastAsia="Palatino Linotype" w:cs="Palatino Linotype"/>
          <w:i/>
          <w:szCs w:val="24"/>
        </w:rPr>
      </w:pPr>
    </w:p>
    <w:p w14:paraId="7BFAE2FB"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2E2BF07"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 xml:space="preserve">Por otro lado, los </w:t>
      </w:r>
      <w:r w:rsidRPr="00C36F96">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C36F96">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FC75586"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0D28B153" w14:textId="77777777" w:rsidR="00703CCB" w:rsidRPr="00C36F96" w:rsidRDefault="00703CCB" w:rsidP="00703CCB">
      <w:pPr>
        <w:pStyle w:val="Citas"/>
      </w:pPr>
      <w:r w:rsidRPr="00C36F96">
        <w:rPr>
          <w:b/>
        </w:rPr>
        <w:t>“Quincuagésimo sexto.</w:t>
      </w:r>
      <w:r w:rsidRPr="00C36F96">
        <w:t xml:space="preserve"> Cuando la elaboración de la versión pública del documento o expediente que contenga partes o secciones reservadas o confidenciales, genere </w:t>
      </w:r>
      <w:r w:rsidRPr="00C36F96">
        <w:lastRenderedPageBreak/>
        <w:t>costos por reproducción por derivar de una solicitud de información o determinación de una autoridad competente, ésta será elaborada hasta que se haya acreditado el pago correspondiente.</w:t>
      </w:r>
    </w:p>
    <w:p w14:paraId="6D27871B" w14:textId="77777777" w:rsidR="00703CCB" w:rsidRPr="00C36F96" w:rsidRDefault="00703CCB" w:rsidP="00703CCB">
      <w:pPr>
        <w:pStyle w:val="Citas"/>
      </w:pPr>
      <w:r w:rsidRPr="00C36F96">
        <w:rPr>
          <w:b/>
        </w:rPr>
        <w:t>Quincuagésimo séptimo.</w:t>
      </w:r>
      <w:r w:rsidRPr="00C36F96">
        <w:t xml:space="preserve"> Se considera, en principio, como información pública y no podrá omitirse de las versiones públicas la siguiente:</w:t>
      </w:r>
    </w:p>
    <w:p w14:paraId="2076FB5D" w14:textId="77777777" w:rsidR="00703CCB" w:rsidRPr="00C36F96" w:rsidRDefault="00703CCB" w:rsidP="00703CCB">
      <w:pPr>
        <w:pStyle w:val="Citas"/>
      </w:pPr>
      <w:r w:rsidRPr="00C36F96">
        <w:t xml:space="preserve">I. La relativa a las Obligaciones de Transparencia que contempla el Título V de la Ley General y las demás disposiciones legales aplicables; </w:t>
      </w:r>
    </w:p>
    <w:p w14:paraId="0F95EFA3" w14:textId="77777777" w:rsidR="00703CCB" w:rsidRPr="00C36F96" w:rsidRDefault="00703CCB" w:rsidP="00703CCB">
      <w:pPr>
        <w:pStyle w:val="Citas"/>
      </w:pPr>
      <w:r w:rsidRPr="00C36F96">
        <w:t xml:space="preserve">II. El nombre de los integrantes de los sujetos obligados en los documentos, y sus firmas autógrafas o digitales, cuando sean utilizados en el ejercicio de las facultades conferidas para el desempeño del servicio público, y </w:t>
      </w:r>
    </w:p>
    <w:p w14:paraId="0616F352" w14:textId="77777777" w:rsidR="00703CCB" w:rsidRPr="00C36F96" w:rsidRDefault="00703CCB" w:rsidP="00703CCB">
      <w:pPr>
        <w:pStyle w:val="Citas"/>
      </w:pPr>
      <w:r w:rsidRPr="00C36F96">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9813F9F" w14:textId="77777777" w:rsidR="00703CCB" w:rsidRPr="00C36F96" w:rsidRDefault="00703CCB" w:rsidP="00703CCB">
      <w:pPr>
        <w:pStyle w:val="Citas"/>
      </w:pPr>
      <w:r w:rsidRPr="00C36F96">
        <w:t xml:space="preserve">Lo anterior, siempre y cuando no se acredite alguna causal de clasificación, prevista en las leyes o en los tratados internacionales suscritos por el Estado mexicano. </w:t>
      </w:r>
    </w:p>
    <w:p w14:paraId="2E727E65" w14:textId="77777777" w:rsidR="00703CCB" w:rsidRPr="00C36F96" w:rsidRDefault="00703CCB" w:rsidP="00703CCB">
      <w:pPr>
        <w:pStyle w:val="Citas"/>
        <w:rPr>
          <w:b/>
          <w:bCs/>
        </w:rPr>
      </w:pPr>
      <w:r w:rsidRPr="00C36F96">
        <w:rPr>
          <w:b/>
        </w:rPr>
        <w:t>Quincuagésimo octavo.</w:t>
      </w:r>
      <w:r w:rsidRPr="00C36F96">
        <w:t xml:space="preserve"> Los sujetos obligados garantizarán que los sistemas o medios empleados para eliminar la información en las versiones públicas sean irreversibles, de tal forma que no permitan la recuperación o visualización de la misma.” </w:t>
      </w:r>
      <w:r w:rsidRPr="00C36F96">
        <w:rPr>
          <w:b/>
          <w:bCs/>
        </w:rPr>
        <w:t>(Sic)</w:t>
      </w:r>
    </w:p>
    <w:p w14:paraId="7967B50A" w14:textId="77777777" w:rsidR="00703CCB" w:rsidRPr="00C36F96" w:rsidRDefault="00703CCB" w:rsidP="00703CCB">
      <w:pPr>
        <w:pStyle w:val="Citas"/>
      </w:pPr>
    </w:p>
    <w:p w14:paraId="1A99445C"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C36F96">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4E03D7D" w14:textId="77777777" w:rsidR="00703CCB" w:rsidRPr="00C36F96" w:rsidRDefault="00703CCB" w:rsidP="00703CCB">
      <w:pPr>
        <w:spacing w:line="360" w:lineRule="auto"/>
        <w:jc w:val="both"/>
        <w:rPr>
          <w:rFonts w:ascii="Palatino Linotype" w:eastAsia="Palatino Linotype" w:hAnsi="Palatino Linotype" w:cs="Palatino Linotype"/>
          <w:sz w:val="24"/>
          <w:szCs w:val="24"/>
        </w:rPr>
      </w:pPr>
      <w:r w:rsidRPr="00C36F96">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C36F96">
        <w:rPr>
          <w:rFonts w:ascii="Palatino Linotype" w:eastAsia="Palatino Linotype" w:hAnsi="Palatino Linotype" w:cs="Palatino Linotype"/>
          <w:b/>
          <w:bCs/>
          <w:sz w:val="24"/>
          <w:szCs w:val="24"/>
        </w:rPr>
        <w:t>SAIMEX.</w:t>
      </w:r>
    </w:p>
    <w:p w14:paraId="29A3A380" w14:textId="5817F39B" w:rsidR="00703CCB" w:rsidRPr="00C36F96" w:rsidRDefault="00703CCB" w:rsidP="00703CC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C36F96">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w:t>
      </w:r>
      <w:r w:rsidR="00CF3836" w:rsidRPr="00C36F96">
        <w:rPr>
          <w:rFonts w:ascii="Palatino Linotype" w:eastAsia="Palatino Linotype" w:hAnsi="Palatino Linotype" w:cs="Palatino Linotype"/>
          <w:color w:val="000000"/>
          <w:sz w:val="24"/>
          <w:szCs w:val="24"/>
        </w:rPr>
        <w:t>del</w:t>
      </w:r>
      <w:r w:rsidRPr="00C36F96">
        <w:rPr>
          <w:rFonts w:ascii="Palatino Linotype" w:eastAsia="Palatino Linotype" w:hAnsi="Palatino Linotype" w:cs="Palatino Linotype"/>
          <w:color w:val="000000"/>
          <w:sz w:val="24"/>
          <w:szCs w:val="24"/>
        </w:rPr>
        <w:t xml:space="preserve"> Recurrente.</w:t>
      </w:r>
    </w:p>
    <w:p w14:paraId="05C43D18" w14:textId="77777777" w:rsidR="00703CCB" w:rsidRPr="00C36F96" w:rsidRDefault="00703CCB" w:rsidP="00703CCB">
      <w:pPr>
        <w:spacing w:after="0" w:line="360" w:lineRule="auto"/>
        <w:ind w:right="51"/>
        <w:jc w:val="both"/>
        <w:rPr>
          <w:rFonts w:ascii="Palatino Linotype" w:hAnsi="Palatino Linotype" w:cs="Arial"/>
          <w:sz w:val="24"/>
          <w:szCs w:val="24"/>
        </w:rPr>
      </w:pPr>
      <w:r w:rsidRPr="00C36F96">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36F96">
        <w:rPr>
          <w:rFonts w:ascii="Palatino Linotype" w:hAnsi="Palatino Linotype" w:cs="Arial"/>
          <w:b/>
          <w:bCs/>
          <w:sz w:val="24"/>
          <w:szCs w:val="24"/>
        </w:rPr>
        <w:t xml:space="preserve">LINEAMIENTOS GENERALES EN MATERIA DE CLASIFICACIÓN Y DESCLASIFICACIÓN DE LA INFORMACIÓN, ASÍ COMO PARA LA ELABORACIÓN DE VERSIONES </w:t>
      </w:r>
      <w:r w:rsidRPr="00C36F96">
        <w:rPr>
          <w:rFonts w:ascii="Palatino Linotype" w:hAnsi="Palatino Linotype" w:cs="Arial"/>
          <w:b/>
          <w:bCs/>
          <w:sz w:val="24"/>
          <w:szCs w:val="24"/>
        </w:rPr>
        <w:lastRenderedPageBreak/>
        <w:t xml:space="preserve">PÚBLICAS, </w:t>
      </w:r>
      <w:r w:rsidRPr="00C36F96">
        <w:rPr>
          <w:rFonts w:ascii="Palatino Linotype" w:hAnsi="Palatino Linotype" w:cs="Arial"/>
          <w:sz w:val="24"/>
          <w:szCs w:val="24"/>
        </w:rPr>
        <w:t xml:space="preserve">publicados en el Diario Oficial de la Federación en fecha quince de abril de dos mil dieciséis, mediante Acuerdo del Consejo Nacional del Sistema Nacional de Transparencia, Acceso a la Información Pública y Protección de Datos Personales. </w:t>
      </w:r>
    </w:p>
    <w:p w14:paraId="3843B979" w14:textId="6E3C11DD" w:rsidR="00FD7681" w:rsidRPr="00C36F96" w:rsidRDefault="00FD7681" w:rsidP="00FD7681">
      <w:pPr>
        <w:tabs>
          <w:tab w:val="left" w:pos="709"/>
        </w:tabs>
        <w:spacing w:before="240" w:line="360" w:lineRule="auto"/>
        <w:ind w:right="51"/>
        <w:jc w:val="both"/>
        <w:rPr>
          <w:rFonts w:ascii="Palatino Linotype" w:hAnsi="Palatino Linotype"/>
          <w:sz w:val="24"/>
          <w:szCs w:val="24"/>
        </w:rPr>
      </w:pPr>
      <w:r w:rsidRPr="00C36F96">
        <w:rPr>
          <w:rFonts w:ascii="Palatino Linotype" w:hAnsi="Palatino Linotype"/>
          <w:iCs/>
          <w:sz w:val="24"/>
          <w:szCs w:val="24"/>
        </w:rPr>
        <w:t xml:space="preserve">En mérito de lo expuesto </w:t>
      </w:r>
      <w:r w:rsidRPr="00C36F96">
        <w:rPr>
          <w:rFonts w:ascii="Palatino Linotype" w:hAnsi="Palatino Linotype"/>
          <w:sz w:val="24"/>
          <w:szCs w:val="24"/>
        </w:rPr>
        <w:t xml:space="preserve">en líneas anteriores, resultan parcialmente fundados los motivos de inconformidad vertidos por </w:t>
      </w:r>
      <w:r w:rsidRPr="00C36F96">
        <w:rPr>
          <w:rFonts w:ascii="Palatino Linotype" w:hAnsi="Palatino Linotype"/>
          <w:b/>
          <w:sz w:val="24"/>
          <w:szCs w:val="24"/>
        </w:rPr>
        <w:t xml:space="preserve">El Recurrente, </w:t>
      </w:r>
      <w:r w:rsidRPr="00C36F96">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C36F96">
        <w:rPr>
          <w:rFonts w:ascii="Palatino Linotype" w:hAnsi="Palatino Linotype"/>
          <w:b/>
          <w:sz w:val="24"/>
          <w:szCs w:val="24"/>
        </w:rPr>
        <w:t xml:space="preserve">MODIFICA </w:t>
      </w:r>
      <w:r w:rsidRPr="00C36F96">
        <w:rPr>
          <w:rFonts w:ascii="Palatino Linotype" w:hAnsi="Palatino Linotype"/>
          <w:sz w:val="24"/>
          <w:szCs w:val="24"/>
        </w:rPr>
        <w:t xml:space="preserve">la respuesta a la solicitud de información </w:t>
      </w:r>
      <w:r w:rsidRPr="00C36F96">
        <w:rPr>
          <w:rFonts w:ascii="Palatino Linotype" w:hAnsi="Palatino Linotype"/>
          <w:b/>
          <w:bCs/>
          <w:sz w:val="24"/>
          <w:szCs w:val="24"/>
        </w:rPr>
        <w:t xml:space="preserve">00043/JIQUIPIL/IP/2026, </w:t>
      </w:r>
      <w:r w:rsidRPr="00C36F96">
        <w:rPr>
          <w:rFonts w:ascii="Palatino Linotype" w:hAnsi="Palatino Linotype"/>
          <w:sz w:val="24"/>
          <w:szCs w:val="24"/>
        </w:rPr>
        <w:t xml:space="preserve">que ha sido materia del presente fallo. </w:t>
      </w:r>
    </w:p>
    <w:p w14:paraId="741FE9B7" w14:textId="65BAA6CC" w:rsidR="00FD7681" w:rsidRPr="00C36F96" w:rsidRDefault="00FD7681" w:rsidP="00FD7681">
      <w:pPr>
        <w:pStyle w:val="Prrafodelista"/>
        <w:spacing w:before="240" w:after="240" w:line="360" w:lineRule="auto"/>
        <w:ind w:left="0"/>
        <w:jc w:val="both"/>
        <w:rPr>
          <w:rFonts w:ascii="Palatino Linotype" w:hAnsi="Palatino Linotype"/>
        </w:rPr>
      </w:pPr>
      <w:r w:rsidRPr="00C36F96">
        <w:rPr>
          <w:rFonts w:ascii="Palatino Linotype" w:hAnsi="Palatino Linotype"/>
        </w:rPr>
        <w:t xml:space="preserve">Por lo antes expuesto y fundado es de resolverse y, </w:t>
      </w:r>
    </w:p>
    <w:p w14:paraId="6CD0B7CD" w14:textId="77777777" w:rsidR="00CF3836" w:rsidRPr="00C36F96" w:rsidRDefault="00CF3836" w:rsidP="00FD7681">
      <w:pPr>
        <w:spacing w:before="240" w:line="360" w:lineRule="auto"/>
        <w:jc w:val="center"/>
        <w:rPr>
          <w:rFonts w:ascii="Palatino Linotype" w:eastAsia="Times New Roman" w:hAnsi="Palatino Linotype"/>
          <w:b/>
          <w:bCs/>
          <w:spacing w:val="60"/>
          <w:sz w:val="24"/>
          <w:szCs w:val="24"/>
          <w:lang w:val="es-ES_tradnl"/>
        </w:rPr>
      </w:pPr>
    </w:p>
    <w:p w14:paraId="38147A71" w14:textId="7E17A98E" w:rsidR="00FD7681" w:rsidRPr="00C36F96" w:rsidRDefault="00FD7681" w:rsidP="00FD7681">
      <w:pPr>
        <w:spacing w:before="240" w:line="360" w:lineRule="auto"/>
        <w:jc w:val="center"/>
        <w:rPr>
          <w:rFonts w:ascii="Palatino Linotype" w:eastAsia="Times New Roman" w:hAnsi="Palatino Linotype"/>
          <w:b/>
          <w:bCs/>
          <w:spacing w:val="60"/>
          <w:sz w:val="24"/>
          <w:szCs w:val="24"/>
          <w:lang w:val="es-ES_tradnl"/>
        </w:rPr>
      </w:pPr>
      <w:r w:rsidRPr="00C36F96">
        <w:rPr>
          <w:rFonts w:ascii="Palatino Linotype" w:eastAsia="Times New Roman" w:hAnsi="Palatino Linotype"/>
          <w:b/>
          <w:bCs/>
          <w:spacing w:val="60"/>
          <w:sz w:val="24"/>
          <w:szCs w:val="24"/>
          <w:lang w:val="es-ES_tradnl"/>
        </w:rPr>
        <w:t>SE    RESUELVE</w:t>
      </w:r>
    </w:p>
    <w:p w14:paraId="04AA1A25" w14:textId="10F05A49" w:rsidR="00FD7681" w:rsidRPr="00C36F96" w:rsidRDefault="00FD7681" w:rsidP="00FD7681">
      <w:pPr>
        <w:spacing w:before="240" w:line="360" w:lineRule="auto"/>
        <w:jc w:val="both"/>
        <w:rPr>
          <w:rFonts w:ascii="Palatino Linotype" w:hAnsi="Palatino Linotype" w:cs="Arial"/>
          <w:sz w:val="24"/>
        </w:rPr>
      </w:pPr>
      <w:r w:rsidRPr="00C36F96">
        <w:rPr>
          <w:rFonts w:ascii="Palatino Linotype" w:hAnsi="Palatino Linotype" w:cs="Arial"/>
          <w:b/>
          <w:sz w:val="24"/>
          <w:szCs w:val="24"/>
          <w:lang w:val="es-ES_tradnl"/>
        </w:rPr>
        <w:t>PRIMERO.</w:t>
      </w:r>
      <w:r w:rsidRPr="00C36F96">
        <w:rPr>
          <w:rFonts w:ascii="Palatino Linotype" w:hAnsi="Palatino Linotype" w:cs="Arial"/>
          <w:sz w:val="24"/>
          <w:szCs w:val="24"/>
          <w:lang w:val="es-ES_tradnl"/>
        </w:rPr>
        <w:t xml:space="preserve"> </w:t>
      </w:r>
      <w:r w:rsidRPr="00C36F96">
        <w:rPr>
          <w:rFonts w:ascii="Palatino Linotype" w:hAnsi="Palatino Linotype" w:cs="Arial"/>
          <w:sz w:val="24"/>
          <w:szCs w:val="24"/>
        </w:rPr>
        <w:t xml:space="preserve">Se </w:t>
      </w:r>
      <w:r w:rsidRPr="00C36F96">
        <w:rPr>
          <w:rFonts w:ascii="Palatino Linotype" w:hAnsi="Palatino Linotype" w:cs="Arial"/>
          <w:b/>
          <w:sz w:val="24"/>
          <w:szCs w:val="24"/>
        </w:rPr>
        <w:t xml:space="preserve">MODIFICA </w:t>
      </w:r>
      <w:r w:rsidRPr="00C36F96">
        <w:rPr>
          <w:rFonts w:ascii="Palatino Linotype" w:hAnsi="Palatino Linotype" w:cs="Arial"/>
          <w:sz w:val="24"/>
          <w:szCs w:val="24"/>
        </w:rPr>
        <w:t xml:space="preserve">la respuesta entregada por </w:t>
      </w:r>
      <w:r w:rsidRPr="00C36F96">
        <w:rPr>
          <w:rFonts w:ascii="Palatino Linotype" w:hAnsi="Palatino Linotype" w:cs="Arial"/>
          <w:b/>
          <w:sz w:val="24"/>
          <w:szCs w:val="24"/>
        </w:rPr>
        <w:t xml:space="preserve">EL SUJETO OBLIGADO, </w:t>
      </w:r>
      <w:r w:rsidRPr="00C36F96">
        <w:rPr>
          <w:rFonts w:ascii="Palatino Linotype" w:hAnsi="Palatino Linotype" w:cs="Arial"/>
          <w:sz w:val="24"/>
          <w:szCs w:val="24"/>
        </w:rPr>
        <w:t xml:space="preserve">a la solicitud de información número </w:t>
      </w:r>
      <w:r w:rsidRPr="00C36F96">
        <w:rPr>
          <w:rFonts w:ascii="Palatino Linotype" w:hAnsi="Palatino Linotype"/>
          <w:b/>
          <w:bCs/>
          <w:sz w:val="24"/>
          <w:szCs w:val="24"/>
        </w:rPr>
        <w:t>00043/JIQUIPIL/IP/2026</w:t>
      </w:r>
      <w:r w:rsidRPr="00C36F96">
        <w:rPr>
          <w:rFonts w:ascii="Palatino Linotype" w:hAnsi="Palatino Linotype" w:cs="Arial"/>
          <w:b/>
          <w:sz w:val="24"/>
        </w:rPr>
        <w:t xml:space="preserve">, </w:t>
      </w:r>
      <w:r w:rsidRPr="00C36F96">
        <w:rPr>
          <w:rFonts w:ascii="Palatino Linotype" w:hAnsi="Palatino Linotype" w:cs="Arial"/>
          <w:sz w:val="24"/>
        </w:rPr>
        <w:t xml:space="preserve">por resultar parcialmente fundados los motivos de inconformidad que arguye </w:t>
      </w:r>
      <w:r w:rsidRPr="00C36F96">
        <w:rPr>
          <w:rFonts w:ascii="Palatino Linotype" w:hAnsi="Palatino Linotype" w:cs="Arial"/>
          <w:b/>
          <w:sz w:val="24"/>
        </w:rPr>
        <w:t xml:space="preserve">EL RECURRENTE, </w:t>
      </w:r>
      <w:r w:rsidRPr="00C36F96">
        <w:rPr>
          <w:rFonts w:ascii="Palatino Linotype" w:hAnsi="Palatino Linotype" w:cs="Arial"/>
          <w:sz w:val="24"/>
        </w:rPr>
        <w:t xml:space="preserve">en términos del </w:t>
      </w:r>
      <w:r w:rsidRPr="00C36F96">
        <w:rPr>
          <w:rFonts w:ascii="Palatino Linotype" w:hAnsi="Palatino Linotype" w:cs="Arial"/>
          <w:b/>
          <w:sz w:val="24"/>
        </w:rPr>
        <w:t xml:space="preserve">Considerando CUARTO </w:t>
      </w:r>
      <w:r w:rsidRPr="00C36F96">
        <w:rPr>
          <w:rFonts w:ascii="Palatino Linotype" w:hAnsi="Palatino Linotype" w:cs="Arial"/>
          <w:sz w:val="24"/>
        </w:rPr>
        <w:t xml:space="preserve">de la presente resolución. </w:t>
      </w:r>
    </w:p>
    <w:p w14:paraId="0CB9AFCC" w14:textId="77777777" w:rsidR="00FD7681" w:rsidRPr="00C36F96" w:rsidRDefault="00FD7681" w:rsidP="00FD7681">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4A99DAFC" w14:textId="77777777" w:rsidR="00FD7681" w:rsidRPr="00C36F96" w:rsidRDefault="00FD7681" w:rsidP="00FD7681">
      <w:pPr>
        <w:autoSpaceDE w:val="0"/>
        <w:autoSpaceDN w:val="0"/>
        <w:adjustRightInd w:val="0"/>
        <w:spacing w:before="240" w:line="360" w:lineRule="auto"/>
        <w:ind w:right="49"/>
        <w:jc w:val="both"/>
        <w:rPr>
          <w:rFonts w:ascii="Palatino Linotype" w:hAnsi="Palatino Linotype" w:cs="Arial"/>
          <w:sz w:val="24"/>
          <w:szCs w:val="24"/>
        </w:rPr>
      </w:pPr>
      <w:r w:rsidRPr="00C36F96">
        <w:rPr>
          <w:rFonts w:ascii="Palatino Linotype" w:hAnsi="Palatino Linotype" w:cs="Arial"/>
          <w:b/>
          <w:sz w:val="24"/>
          <w:szCs w:val="24"/>
          <w:lang w:val="es-ES_tradnl"/>
        </w:rPr>
        <w:t>SEGUNDO.</w:t>
      </w:r>
      <w:r w:rsidRPr="00C36F96">
        <w:rPr>
          <w:rFonts w:ascii="Palatino Linotype" w:hAnsi="Palatino Linotype" w:cs="Arial"/>
          <w:sz w:val="24"/>
          <w:szCs w:val="24"/>
        </w:rPr>
        <w:t xml:space="preserve"> Se </w:t>
      </w:r>
      <w:r w:rsidRPr="00C36F96">
        <w:rPr>
          <w:rFonts w:ascii="Palatino Linotype" w:hAnsi="Palatino Linotype" w:cs="Arial"/>
          <w:b/>
          <w:sz w:val="24"/>
          <w:szCs w:val="24"/>
        </w:rPr>
        <w:t>ORDENA</w:t>
      </w:r>
      <w:r w:rsidRPr="00C36F96">
        <w:rPr>
          <w:rFonts w:ascii="Palatino Linotype" w:hAnsi="Palatino Linotype" w:cs="Arial"/>
          <w:sz w:val="24"/>
          <w:szCs w:val="24"/>
        </w:rPr>
        <w:t xml:space="preserve"> al </w:t>
      </w:r>
      <w:r w:rsidRPr="00C36F96">
        <w:rPr>
          <w:rFonts w:ascii="Palatino Linotype" w:hAnsi="Palatino Linotype" w:cs="Arial"/>
          <w:b/>
          <w:sz w:val="24"/>
          <w:szCs w:val="24"/>
        </w:rPr>
        <w:t>SUJETO OBLIGADO</w:t>
      </w:r>
      <w:r w:rsidRPr="00C36F96">
        <w:rPr>
          <w:rFonts w:ascii="Palatino Linotype" w:hAnsi="Palatino Linotype" w:cs="Arial"/>
          <w:sz w:val="24"/>
          <w:szCs w:val="24"/>
        </w:rPr>
        <w:t xml:space="preserve"> realizar una búsqueda exhaustiva y razonable a fin de entregar al </w:t>
      </w:r>
      <w:r w:rsidRPr="00C36F96">
        <w:rPr>
          <w:rFonts w:ascii="Palatino Linotype" w:hAnsi="Palatino Linotype" w:cs="Arial"/>
          <w:b/>
          <w:bCs/>
          <w:sz w:val="24"/>
          <w:szCs w:val="24"/>
        </w:rPr>
        <w:t xml:space="preserve">RECURRENTE, </w:t>
      </w:r>
      <w:r w:rsidRPr="00C36F96">
        <w:rPr>
          <w:rFonts w:ascii="Palatino Linotype" w:hAnsi="Palatino Linotype" w:cs="Arial"/>
          <w:sz w:val="24"/>
          <w:szCs w:val="24"/>
        </w:rPr>
        <w:t xml:space="preserve">en términos del Considerando </w:t>
      </w:r>
      <w:r w:rsidRPr="00C36F96">
        <w:rPr>
          <w:rFonts w:ascii="Palatino Linotype" w:hAnsi="Palatino Linotype" w:cs="Arial"/>
          <w:b/>
          <w:sz w:val="24"/>
          <w:szCs w:val="24"/>
        </w:rPr>
        <w:t xml:space="preserve">CUARTO </w:t>
      </w:r>
      <w:r w:rsidRPr="00C36F96">
        <w:rPr>
          <w:rFonts w:ascii="Palatino Linotype" w:hAnsi="Palatino Linotype" w:cs="Arial"/>
          <w:sz w:val="24"/>
          <w:szCs w:val="24"/>
        </w:rPr>
        <w:t>de esta resolución</w:t>
      </w:r>
      <w:r w:rsidRPr="00C36F96">
        <w:rPr>
          <w:rFonts w:ascii="Palatino Linotype" w:hAnsi="Palatino Linotype" w:cs="Arial"/>
          <w:b/>
          <w:sz w:val="24"/>
          <w:szCs w:val="24"/>
        </w:rPr>
        <w:t xml:space="preserve">, </w:t>
      </w:r>
      <w:r w:rsidRPr="00C36F96">
        <w:rPr>
          <w:rFonts w:ascii="Palatino Linotype" w:hAnsi="Palatino Linotype" w:cs="Arial"/>
          <w:sz w:val="24"/>
          <w:szCs w:val="24"/>
        </w:rPr>
        <w:t xml:space="preserve">en versión pública, a través del Sistema de Acceso a la Información Mexiquense </w:t>
      </w:r>
      <w:r w:rsidRPr="00C36F96">
        <w:rPr>
          <w:rFonts w:ascii="Palatino Linotype" w:hAnsi="Palatino Linotype" w:cs="Arial"/>
          <w:b/>
          <w:sz w:val="24"/>
          <w:szCs w:val="24"/>
        </w:rPr>
        <w:t xml:space="preserve">(SAIMEX), </w:t>
      </w:r>
      <w:r w:rsidRPr="00C36F96">
        <w:rPr>
          <w:rFonts w:ascii="Palatino Linotype" w:hAnsi="Palatino Linotype" w:cs="Arial"/>
          <w:sz w:val="24"/>
          <w:szCs w:val="24"/>
        </w:rPr>
        <w:t>de lo siguiente:</w:t>
      </w:r>
    </w:p>
    <w:p w14:paraId="176DDDBC" w14:textId="77777777" w:rsidR="00FD7681" w:rsidRPr="00C36F96" w:rsidRDefault="00FD7681" w:rsidP="00FD7681">
      <w:pPr>
        <w:spacing w:before="240" w:line="360" w:lineRule="auto"/>
        <w:jc w:val="both"/>
        <w:rPr>
          <w:rFonts w:ascii="Palatino Linotype" w:hAnsi="Palatino Linotype"/>
          <w:b/>
          <w:bCs/>
          <w:i/>
          <w:iCs/>
          <w:sz w:val="24"/>
          <w:szCs w:val="24"/>
        </w:rPr>
      </w:pPr>
      <w:r w:rsidRPr="00C36F96">
        <w:rPr>
          <w:rFonts w:ascii="Palatino Linotype" w:hAnsi="Palatino Linotype"/>
          <w:b/>
          <w:bCs/>
          <w:i/>
          <w:iCs/>
          <w:sz w:val="24"/>
          <w:szCs w:val="24"/>
        </w:rPr>
        <w:lastRenderedPageBreak/>
        <w:t xml:space="preserve">De la feria del pulque 2026 </w:t>
      </w:r>
    </w:p>
    <w:p w14:paraId="6CE0362F" w14:textId="77777777" w:rsidR="00FD7681" w:rsidRPr="00C36F96" w:rsidRDefault="00FD7681" w:rsidP="00FD7681">
      <w:pPr>
        <w:pStyle w:val="Prrafodelista"/>
        <w:numPr>
          <w:ilvl w:val="0"/>
          <w:numId w:val="26"/>
        </w:numPr>
        <w:spacing w:before="240" w:line="360" w:lineRule="auto"/>
        <w:jc w:val="both"/>
        <w:rPr>
          <w:rFonts w:ascii="Palatino Linotype" w:hAnsi="Palatino Linotype"/>
          <w:i/>
          <w:iCs/>
        </w:rPr>
      </w:pPr>
      <w:r w:rsidRPr="00C36F96">
        <w:rPr>
          <w:rFonts w:ascii="Palatino Linotype" w:hAnsi="Palatino Linotype"/>
          <w:i/>
          <w:iCs/>
        </w:rPr>
        <w:t xml:space="preserve">Contratos firmados con motivo de presentaciones previstas en el programa, al seis de marzo de dos mil veintiséis. </w:t>
      </w:r>
    </w:p>
    <w:p w14:paraId="708B8E73" w14:textId="77777777" w:rsidR="00FD7681" w:rsidRPr="00C36F96" w:rsidRDefault="00FD7681" w:rsidP="00FD7681">
      <w:pPr>
        <w:pStyle w:val="Prrafodelista"/>
        <w:numPr>
          <w:ilvl w:val="0"/>
          <w:numId w:val="26"/>
        </w:numPr>
        <w:spacing w:before="240" w:line="360" w:lineRule="auto"/>
        <w:jc w:val="both"/>
        <w:rPr>
          <w:rFonts w:ascii="Palatino Linotype" w:hAnsi="Palatino Linotype"/>
          <w:i/>
          <w:iCs/>
        </w:rPr>
      </w:pPr>
      <w:r w:rsidRPr="00C36F96">
        <w:rPr>
          <w:rFonts w:ascii="Palatino Linotype" w:hAnsi="Palatino Linotype"/>
          <w:i/>
          <w:iCs/>
        </w:rPr>
        <w:t xml:space="preserve">El o los documentos vinculados con adjudicaciones y/o equivalente (propuestas, presupuesto, otros) respecto de la contratación de personas que se van a presentar en el evento, al seis de marzo de dos mil veintiséis. </w:t>
      </w:r>
    </w:p>
    <w:p w14:paraId="34E4C8D7" w14:textId="77777777" w:rsidR="00FD7681" w:rsidRPr="00C36F96" w:rsidRDefault="00FD7681" w:rsidP="00FD7681">
      <w:pPr>
        <w:pStyle w:val="Prrafodelista"/>
        <w:numPr>
          <w:ilvl w:val="0"/>
          <w:numId w:val="26"/>
        </w:numPr>
        <w:spacing w:before="240" w:line="360" w:lineRule="auto"/>
        <w:jc w:val="both"/>
        <w:rPr>
          <w:rFonts w:ascii="Palatino Linotype" w:hAnsi="Palatino Linotype"/>
          <w:i/>
          <w:iCs/>
        </w:rPr>
      </w:pPr>
      <w:r w:rsidRPr="00C36F96">
        <w:rPr>
          <w:rFonts w:ascii="Palatino Linotype" w:hAnsi="Palatino Linotype"/>
          <w:i/>
          <w:iCs/>
        </w:rPr>
        <w:t xml:space="preserve">El o los documentos donde consten los bienes que se compraron para el desarrollo de la feria, tales como premios o reconocimientos, al seis de marzo de dos mil veintiséis. </w:t>
      </w:r>
    </w:p>
    <w:p w14:paraId="47F9ABB5" w14:textId="77777777" w:rsidR="00FD7681" w:rsidRPr="00C36F96" w:rsidRDefault="00FD7681" w:rsidP="00FD7681">
      <w:pPr>
        <w:pStyle w:val="Prrafodelista"/>
        <w:numPr>
          <w:ilvl w:val="0"/>
          <w:numId w:val="26"/>
        </w:numPr>
        <w:spacing w:before="240" w:line="360" w:lineRule="auto"/>
        <w:jc w:val="both"/>
        <w:rPr>
          <w:rFonts w:ascii="Palatino Linotype" w:hAnsi="Palatino Linotype"/>
          <w:i/>
          <w:iCs/>
        </w:rPr>
      </w:pPr>
      <w:r w:rsidRPr="00C36F96">
        <w:rPr>
          <w:rFonts w:ascii="Palatino Linotype" w:hAnsi="Palatino Linotype"/>
          <w:i/>
          <w:iCs/>
        </w:rPr>
        <w:t xml:space="preserve">Contratos celebrados con personas físicas o morales para la instalación de juegos mecánicos, al seis de marzo de dos mil veintiséis. </w:t>
      </w:r>
    </w:p>
    <w:p w14:paraId="4C3D9526" w14:textId="77777777" w:rsidR="00FD7681" w:rsidRPr="00C36F96" w:rsidRDefault="00FD7681" w:rsidP="00FD7681">
      <w:pPr>
        <w:pStyle w:val="Prrafodelista"/>
        <w:autoSpaceDE w:val="0"/>
        <w:autoSpaceDN w:val="0"/>
        <w:adjustRightInd w:val="0"/>
        <w:spacing w:line="360" w:lineRule="auto"/>
        <w:ind w:left="782"/>
        <w:jc w:val="both"/>
        <w:rPr>
          <w:rFonts w:ascii="Palatino Linotype" w:hAnsi="Palatino Linotype" w:cs="Arial"/>
          <w:i/>
          <w:iCs/>
        </w:rPr>
      </w:pPr>
    </w:p>
    <w:p w14:paraId="718FAD04" w14:textId="77777777" w:rsidR="00FD7681" w:rsidRPr="00C36F96" w:rsidRDefault="00FD7681" w:rsidP="00FD7681">
      <w:pPr>
        <w:pStyle w:val="Sinespaciado"/>
        <w:spacing w:line="360" w:lineRule="auto"/>
        <w:ind w:left="782"/>
        <w:jc w:val="both"/>
        <w:rPr>
          <w:rFonts w:ascii="Palatino Linotype" w:hAnsi="Palatino Linotype" w:cs="Arial"/>
          <w:i/>
        </w:rPr>
      </w:pPr>
      <w:r w:rsidRPr="00C36F96">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59E2BD25" w14:textId="77777777" w:rsidR="00FD7681" w:rsidRPr="00C36F96" w:rsidRDefault="00FD7681" w:rsidP="00FD7681">
      <w:pPr>
        <w:pStyle w:val="Sinespaciado"/>
        <w:spacing w:line="360" w:lineRule="auto"/>
        <w:ind w:left="782"/>
        <w:jc w:val="both"/>
        <w:rPr>
          <w:rFonts w:ascii="Palatino Linotype" w:hAnsi="Palatino Linotype" w:cs="Arial"/>
          <w:i/>
        </w:rPr>
      </w:pPr>
    </w:p>
    <w:p w14:paraId="48C21D86" w14:textId="77777777" w:rsidR="00FD7681" w:rsidRPr="00C36F96" w:rsidRDefault="00FD7681" w:rsidP="00FD7681">
      <w:pPr>
        <w:pStyle w:val="Sinespaciado"/>
        <w:spacing w:line="360" w:lineRule="auto"/>
        <w:ind w:left="782"/>
        <w:jc w:val="both"/>
        <w:rPr>
          <w:rFonts w:ascii="Palatino Linotype" w:hAnsi="Palatino Linotype" w:cs="Arial"/>
          <w:i/>
        </w:rPr>
      </w:pPr>
    </w:p>
    <w:p w14:paraId="13A14325" w14:textId="77777777" w:rsidR="00FD7681" w:rsidRPr="00C36F96" w:rsidRDefault="00FD7681" w:rsidP="00FD7681">
      <w:pPr>
        <w:autoSpaceDE w:val="0"/>
        <w:autoSpaceDN w:val="0"/>
        <w:adjustRightInd w:val="0"/>
        <w:spacing w:line="360" w:lineRule="auto"/>
        <w:ind w:right="49"/>
        <w:jc w:val="both"/>
        <w:rPr>
          <w:rFonts w:ascii="Palatino Linotype" w:hAnsi="Palatino Linotype" w:cs="Arial"/>
          <w:sz w:val="24"/>
          <w:szCs w:val="24"/>
        </w:rPr>
      </w:pPr>
      <w:r w:rsidRPr="00C36F96">
        <w:rPr>
          <w:rFonts w:ascii="Palatino Linotype" w:hAnsi="Palatino Linotype" w:cs="Arial"/>
          <w:b/>
          <w:sz w:val="24"/>
          <w:szCs w:val="24"/>
        </w:rPr>
        <w:t xml:space="preserve">TERCERO. </w:t>
      </w:r>
      <w:r w:rsidRPr="00C36F96">
        <w:rPr>
          <w:rFonts w:ascii="Palatino Linotype" w:hAnsi="Palatino Linotype" w:cstheme="minorHAnsi"/>
          <w:b/>
          <w:sz w:val="24"/>
          <w:szCs w:val="24"/>
        </w:rPr>
        <w:t>NOTIFÍQUESE</w:t>
      </w:r>
      <w:r w:rsidRPr="00C36F96">
        <w:rPr>
          <w:rFonts w:ascii="Palatino Linotype" w:hAnsi="Palatino Linotype" w:cstheme="minorHAnsi"/>
          <w:i/>
          <w:sz w:val="24"/>
          <w:szCs w:val="24"/>
        </w:rPr>
        <w:t xml:space="preserve"> </w:t>
      </w:r>
      <w:r w:rsidRPr="00C36F96">
        <w:rPr>
          <w:rFonts w:ascii="Palatino Linotype" w:hAnsi="Palatino Linotype" w:cstheme="minorHAnsi"/>
          <w:sz w:val="24"/>
          <w:szCs w:val="24"/>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w:t>
      </w:r>
      <w:r w:rsidRPr="00C36F96">
        <w:rPr>
          <w:rFonts w:ascii="Palatino Linotype" w:hAnsi="Palatino Linotype" w:cstheme="minorHAnsi"/>
          <w:sz w:val="24"/>
          <w:szCs w:val="24"/>
        </w:rPr>
        <w:lastRenderedPageBreak/>
        <w:t>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C99947F" w14:textId="77777777" w:rsidR="00FD7681" w:rsidRPr="00C36F96" w:rsidRDefault="00FD7681" w:rsidP="00FD7681">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1AE28C81" w14:textId="77777777" w:rsidR="00FD7681" w:rsidRPr="00C36F96" w:rsidRDefault="00FD7681" w:rsidP="00FD768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36F96">
        <w:rPr>
          <w:rFonts w:ascii="Palatino Linotype" w:eastAsia="Times New Roman" w:hAnsi="Palatino Linotype" w:cs="Arial"/>
          <w:b/>
          <w:sz w:val="28"/>
          <w:szCs w:val="28"/>
          <w:lang w:val="es-ES" w:eastAsia="es-ES"/>
        </w:rPr>
        <w:t>CUARTO.</w:t>
      </w:r>
      <w:r w:rsidRPr="00C36F96">
        <w:rPr>
          <w:rFonts w:ascii="Palatino Linotype" w:eastAsia="Times New Roman" w:hAnsi="Palatino Linotype" w:cs="Arial"/>
          <w:b/>
          <w:sz w:val="24"/>
          <w:szCs w:val="24"/>
          <w:lang w:val="es-ES" w:eastAsia="es-ES"/>
        </w:rPr>
        <w:t xml:space="preserve"> </w:t>
      </w:r>
      <w:r w:rsidRPr="00C36F96">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procedente, el </w:t>
      </w:r>
      <w:r w:rsidRPr="00C36F96">
        <w:rPr>
          <w:rFonts w:ascii="Palatino Linotype" w:eastAsia="Times New Roman" w:hAnsi="Palatino Linotype" w:cs="Arial"/>
          <w:b/>
          <w:sz w:val="24"/>
          <w:szCs w:val="24"/>
          <w:lang w:val="es-ES" w:eastAsia="es-ES"/>
        </w:rPr>
        <w:t>Sujeto Obligado</w:t>
      </w:r>
      <w:r w:rsidRPr="00C36F96">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0034E578" w14:textId="77777777" w:rsidR="00FD7681" w:rsidRPr="00C36F96" w:rsidRDefault="00FD7681" w:rsidP="00FD768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853CD57" w14:textId="77777777" w:rsidR="00FD7681" w:rsidRPr="00C36F96" w:rsidRDefault="00FD7681" w:rsidP="00FD7681">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C36F96">
        <w:rPr>
          <w:rFonts w:ascii="Palatino Linotype" w:eastAsia="Times New Roman" w:hAnsi="Palatino Linotype" w:cs="Arial"/>
          <w:b/>
          <w:sz w:val="24"/>
          <w:szCs w:val="24"/>
          <w:lang w:eastAsia="es-ES"/>
        </w:rPr>
        <w:t xml:space="preserve">QUINTO. NOTIFÍQUESE </w:t>
      </w:r>
      <w:r w:rsidRPr="00C36F96">
        <w:rPr>
          <w:rFonts w:ascii="Palatino Linotype" w:eastAsia="Times New Roman" w:hAnsi="Palatino Linotype" w:cs="Arial"/>
          <w:sz w:val="24"/>
          <w:szCs w:val="24"/>
          <w:lang w:eastAsia="es-ES"/>
        </w:rPr>
        <w:t xml:space="preserve">la presente resolución al </w:t>
      </w:r>
      <w:r w:rsidRPr="00C36F96">
        <w:rPr>
          <w:rFonts w:ascii="Palatino Linotype" w:eastAsia="Times New Roman" w:hAnsi="Palatino Linotype" w:cs="Arial"/>
          <w:b/>
          <w:sz w:val="24"/>
          <w:szCs w:val="24"/>
          <w:lang w:eastAsia="es-ES"/>
        </w:rPr>
        <w:t xml:space="preserve">RECURRENTE vía </w:t>
      </w:r>
      <w:r w:rsidRPr="00C36F96">
        <w:rPr>
          <w:rFonts w:ascii="Palatino Linotype" w:hAnsi="Palatino Linotype" w:cs="Arial"/>
          <w:sz w:val="24"/>
          <w:szCs w:val="24"/>
        </w:rPr>
        <w:t xml:space="preserve">Sistema de Acceso a la Información Mexiquense </w:t>
      </w:r>
      <w:r w:rsidRPr="00C36F96">
        <w:rPr>
          <w:rFonts w:ascii="Palatino Linotype" w:hAnsi="Palatino Linotype" w:cs="Arial"/>
          <w:b/>
          <w:sz w:val="24"/>
          <w:szCs w:val="24"/>
        </w:rPr>
        <w:t xml:space="preserve">(SAIMEX) </w:t>
      </w:r>
      <w:r w:rsidRPr="00C36F96">
        <w:rPr>
          <w:rFonts w:ascii="Palatino Linotype" w:eastAsia="Times New Roman" w:hAnsi="Palatino Linotype" w:cs="Arial"/>
          <w:sz w:val="24"/>
          <w:szCs w:val="24"/>
          <w:lang w:eastAsia="es-ES"/>
        </w:rPr>
        <w:t xml:space="preserve">y hágase de su conocimiento que, </w:t>
      </w:r>
      <w:r w:rsidRPr="00C36F96">
        <w:rPr>
          <w:rFonts w:ascii="Palatino Linotype" w:eastAsia="Times New Roman" w:hAnsi="Palatino Linotype" w:cs="Times New Roman"/>
          <w:color w:val="222222"/>
          <w:sz w:val="24"/>
          <w:szCs w:val="24"/>
          <w:shd w:val="clear" w:color="auto" w:fill="FFFFFF"/>
          <w:lang w:eastAsia="es-ES"/>
        </w:rPr>
        <w:t xml:space="preserve">de conformidad con lo </w:t>
      </w:r>
      <w:r w:rsidRPr="00C36F96">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C36F96">
        <w:rPr>
          <w:rFonts w:ascii="Palatino Linotype" w:eastAsia="Times New Roman" w:hAnsi="Palatino Linotype" w:cs="Times New Roman"/>
          <w:color w:val="222222"/>
          <w:sz w:val="24"/>
          <w:szCs w:val="24"/>
          <w:shd w:val="clear" w:color="auto" w:fill="FFFFFF"/>
          <w:lang w:eastAsia="es-ES"/>
        </w:rPr>
        <w:t>leyes aplicables.</w:t>
      </w:r>
    </w:p>
    <w:p w14:paraId="11F9448C" w14:textId="77777777" w:rsidR="00FD7681" w:rsidRPr="00C36F96" w:rsidRDefault="00FD7681" w:rsidP="00FD768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5993783E" w14:textId="0FF78C45" w:rsidR="003577CC" w:rsidRPr="00C36F96" w:rsidRDefault="00C36F96" w:rsidP="003577CC">
      <w:pPr>
        <w:pStyle w:val="Prrafodelista"/>
        <w:autoSpaceDE w:val="0"/>
        <w:autoSpaceDN w:val="0"/>
        <w:adjustRightInd w:val="0"/>
        <w:spacing w:before="240" w:after="160" w:line="360" w:lineRule="auto"/>
        <w:ind w:left="0"/>
        <w:jc w:val="both"/>
        <w:rPr>
          <w:rFonts w:ascii="Palatino Linotype" w:hAnsi="Palatino Linotype" w:cs="Arial"/>
        </w:rPr>
      </w:pPr>
      <w:r w:rsidRPr="00C36F96">
        <w:rPr>
          <w:rFonts w:ascii="Palatino Linotype" w:eastAsia="Palatino Linotype" w:hAnsi="Palatino Linotype" w:cs="Palatino Linotype"/>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C36F96">
        <w:rPr>
          <w:rFonts w:ascii="Palatino Linotype" w:eastAsia="Palatino Linotype" w:hAnsi="Palatino Linotype" w:cs="Palatino Linotype"/>
          <w:color w:val="000000"/>
        </w:rPr>
        <w:lastRenderedPageBreak/>
        <w:t>GUSTAVO PARRA NORIEGA Y GUADALUPE RAMÍREZ PEÑA, EN LA DÉCIMA OCTAVA SESIÓN ORDINARIA CELEBRADA EL VEINTE DE MAYO DE DOS MIL VEINTISÉIS, ANTE EL SECRETARIO TÉCNICO DEL PLENO, ALEXIS TAPIA RAMÍREZ</w:t>
      </w:r>
      <w:r w:rsidR="003577CC" w:rsidRPr="00C36F96">
        <w:rPr>
          <w:rFonts w:ascii="Palatino Linotype" w:hAnsi="Palatino Linotype" w:cs="Arial"/>
        </w:rPr>
        <w:t xml:space="preserve">. </w:t>
      </w:r>
    </w:p>
    <w:p w14:paraId="152A22E7" w14:textId="0978C342" w:rsidR="00FD7681" w:rsidRDefault="003577CC" w:rsidP="003577CC">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C36F96">
        <w:rPr>
          <w:rFonts w:ascii="Palatino Linotype" w:hAnsi="Palatino Linotype" w:cs="Arial"/>
          <w:noProof/>
          <w:sz w:val="23"/>
          <w:szCs w:val="23"/>
          <w:lang w:val="es-MX" w:eastAsia="es-MX"/>
        </w:rPr>
        <mc:AlternateContent>
          <mc:Choice Requires="wps">
            <w:drawing>
              <wp:anchor distT="0" distB="0" distL="114300" distR="114300" simplePos="0" relativeHeight="251838463" behindDoc="0" locked="0" layoutInCell="1" allowOverlap="1" wp14:anchorId="78E7818E" wp14:editId="19C5DB9F">
                <wp:simplePos x="0" y="0"/>
                <wp:positionH relativeFrom="margin">
                  <wp:posOffset>85725</wp:posOffset>
                </wp:positionH>
                <wp:positionV relativeFrom="paragraph">
                  <wp:posOffset>324485</wp:posOffset>
                </wp:positionV>
                <wp:extent cx="5814060" cy="5593080"/>
                <wp:effectExtent l="0" t="0" r="34290" b="26670"/>
                <wp:wrapNone/>
                <wp:docPr id="476163127" name="Conector recto 1"/>
                <wp:cNvGraphicFramePr/>
                <a:graphic xmlns:a="http://schemas.openxmlformats.org/drawingml/2006/main">
                  <a:graphicData uri="http://schemas.microsoft.com/office/word/2010/wordprocessingShape">
                    <wps:wsp>
                      <wps:cNvCnPr/>
                      <wps:spPr>
                        <a:xfrm>
                          <a:off x="0" y="0"/>
                          <a:ext cx="5814060" cy="5593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974014" id="Conector recto 1" o:spid="_x0000_s1026" style="position:absolute;z-index:2518384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25.55pt" to="464.55pt,4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c0owEAAJoDAAAOAAAAZHJzL2Uyb0RvYy54bWysU8tu2zAQvAfoPxC8x5KSOnAFyzkkaC9F&#10;GzTpBzDU0iLAF5aMJf99l7QtF02BokEuFJfcmd0Zrta3kzVsBxi1dx1vFjVn4KTvtdt2/OfT58sV&#10;ZzEJ1wvjHXR8D5Hfbj5crMfQwpUfvOkBGZG42I6h40NKoa2qKAewIi58AEeXyqMViULcVj2Kkdit&#10;qa7q+qYaPfYBvYQY6fT+cMk3hV8pkOm7UhESMx2n3lJZsazPea02a9FuUYRBy2Mb4g1dWKEdFZ2p&#10;7kUS7AX1KyqrJfroVVpIbyuvlJZQNJCapv5DzeMgAhQtZE4Ms03x/Wjlt92de0CyYQyxjeEBs4pJ&#10;oc1f6o9Nxaz9bBZMiUk6XK6aj/UNeSrpbrn8dF2vip3VGR4wpi/gLcubjhvtshrRit3XmKgkpZ5S&#10;KDg3UHZpbyAnG/cDFNM9lWwKuswG3BlkO0GvKqQEl5r8ksRXsjNMaWNmYP1v4DE/Q6HMzf+AZ0Sp&#10;7F2awVY7j3+rnqZTy+qQf3LgoDtb8Oz7fXmaYg0NQFF4HNY8Yb/HBX7+pTa/AAAA//8DAFBLAwQU&#10;AAYACAAAACEAk7sK7OAAAAAJAQAADwAAAGRycy9kb3ducmV2LnhtbEyPQUvDQBCF74L/YRnBm90k&#10;pWLSbEopiLUgxSq0x212TKLZ2ZDdNum/d3rS23u8x5tv8sVoW3HG3jeOFMSTCARS6UxDlYLPj+eH&#10;JxA+aDK6dYQKLuhhUdze5DozbqB3PO9CJXiEfKYV1CF0mZS+rNFqP3EdEmdfrrc6sO0raXo98Lht&#10;ZRJFj9LqhvhCrTtc1Vj+7E5WwVu/Xq+Wm8s3bQ922Ceb/fZ1fFHq/m5czkEEHMNfGa74jA4FMx3d&#10;iYwXLfvpjJsKZnEMgvM0SVkcWUzjFGSRy/8fFL8AAAD//wMAUEsBAi0AFAAGAAgAAAAhALaDOJL+&#10;AAAA4QEAABMAAAAAAAAAAAAAAAAAAAAAAFtDb250ZW50X1R5cGVzXS54bWxQSwECLQAUAAYACAAA&#10;ACEAOP0h/9YAAACUAQAACwAAAAAAAAAAAAAAAAAvAQAAX3JlbHMvLnJlbHNQSwECLQAUAAYACAAA&#10;ACEA0a2HNKMBAACaAwAADgAAAAAAAAAAAAAAAAAuAgAAZHJzL2Uyb0RvYy54bWxQSwECLQAUAAYA&#10;CAAAACEAk7sK7OAAAAAJAQAADwAAAAAAAAAAAAAAAAD9AwAAZHJzL2Rvd25yZXYueG1sUEsFBgAA&#10;AAAEAAQA8wAAAAoFAAAAAA==&#10;" strokecolor="#5b9bd5 [3204]" strokeweight=".5pt">
                <v:stroke joinstyle="miter"/>
                <w10:wrap anchorx="margin"/>
              </v:line>
            </w:pict>
          </mc:Fallback>
        </mc:AlternateContent>
      </w:r>
      <w:r w:rsidRPr="00C36F96">
        <w:rPr>
          <w:rFonts w:ascii="Palatino Linotype" w:hAnsi="Palatino Linotype"/>
          <w:sz w:val="20"/>
          <w:szCs w:val="20"/>
        </w:rPr>
        <w:t>CCR/JCMA</w:t>
      </w:r>
    </w:p>
    <w:p w14:paraId="0C89B12B" w14:textId="77777777" w:rsidR="00FD7681" w:rsidRDefault="00FD7681" w:rsidP="00FD7681">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6054DEC" w14:textId="77777777" w:rsidR="00FD7681" w:rsidRDefault="00FD7681" w:rsidP="00703CCB">
      <w:pPr>
        <w:spacing w:after="0" w:line="360" w:lineRule="auto"/>
        <w:ind w:right="51"/>
        <w:jc w:val="both"/>
        <w:rPr>
          <w:rFonts w:ascii="Palatino Linotype" w:hAnsi="Palatino Linotype" w:cs="Arial"/>
          <w:sz w:val="24"/>
          <w:szCs w:val="24"/>
        </w:rPr>
      </w:pPr>
    </w:p>
    <w:p w14:paraId="0B65E27B" w14:textId="77777777" w:rsidR="00FD7681" w:rsidRDefault="00FD7681" w:rsidP="00703CCB">
      <w:pPr>
        <w:spacing w:after="0" w:line="360" w:lineRule="auto"/>
        <w:ind w:right="51"/>
        <w:jc w:val="both"/>
        <w:rPr>
          <w:rFonts w:ascii="Palatino Linotype" w:hAnsi="Palatino Linotype" w:cs="Arial"/>
          <w:sz w:val="24"/>
          <w:szCs w:val="24"/>
        </w:rPr>
      </w:pPr>
    </w:p>
    <w:p w14:paraId="603500D0" w14:textId="77777777" w:rsidR="00FD7681" w:rsidRDefault="00FD7681" w:rsidP="00703CCB">
      <w:pPr>
        <w:spacing w:after="0" w:line="360" w:lineRule="auto"/>
        <w:ind w:right="51"/>
        <w:jc w:val="both"/>
        <w:rPr>
          <w:rFonts w:ascii="Palatino Linotype" w:hAnsi="Palatino Linotype" w:cs="Arial"/>
          <w:sz w:val="24"/>
          <w:szCs w:val="24"/>
        </w:rPr>
      </w:pPr>
    </w:p>
    <w:p w14:paraId="2D2D3553" w14:textId="77777777" w:rsidR="00FD7681" w:rsidRDefault="00FD7681" w:rsidP="00703CCB">
      <w:pPr>
        <w:spacing w:after="0" w:line="360" w:lineRule="auto"/>
        <w:ind w:right="51"/>
        <w:jc w:val="both"/>
        <w:rPr>
          <w:rFonts w:ascii="Palatino Linotype" w:hAnsi="Palatino Linotype" w:cs="Arial"/>
          <w:sz w:val="24"/>
          <w:szCs w:val="24"/>
        </w:rPr>
      </w:pPr>
    </w:p>
    <w:p w14:paraId="15FAD96B" w14:textId="77777777" w:rsidR="00FD7681" w:rsidRDefault="00FD7681" w:rsidP="00703CCB">
      <w:pPr>
        <w:spacing w:after="0" w:line="360" w:lineRule="auto"/>
        <w:ind w:right="51"/>
        <w:jc w:val="both"/>
        <w:rPr>
          <w:rFonts w:ascii="Palatino Linotype" w:hAnsi="Palatino Linotype" w:cs="Arial"/>
          <w:sz w:val="24"/>
          <w:szCs w:val="24"/>
        </w:rPr>
      </w:pPr>
    </w:p>
    <w:p w14:paraId="2118F52B" w14:textId="77777777" w:rsidR="009C6AF8" w:rsidRDefault="009C6AF8" w:rsidP="00703CCB">
      <w:pPr>
        <w:spacing w:after="0" w:line="360" w:lineRule="auto"/>
        <w:ind w:right="51"/>
        <w:jc w:val="both"/>
        <w:rPr>
          <w:rFonts w:ascii="Palatino Linotype" w:hAnsi="Palatino Linotype" w:cs="Arial"/>
          <w:sz w:val="24"/>
          <w:szCs w:val="24"/>
        </w:rPr>
      </w:pPr>
    </w:p>
    <w:p w14:paraId="27A31492" w14:textId="77777777" w:rsidR="00F66F95" w:rsidRPr="00F66F95" w:rsidRDefault="00F66F95" w:rsidP="009C6AF8">
      <w:pPr>
        <w:pStyle w:val="Sinespaciado"/>
        <w:spacing w:line="360" w:lineRule="auto"/>
        <w:ind w:left="782"/>
        <w:jc w:val="both"/>
        <w:rPr>
          <w:rFonts w:ascii="Palatino Linotype" w:hAnsi="Palatino Linotype" w:cs="Arial"/>
          <w:i/>
          <w:lang w:val="es-ES"/>
        </w:rPr>
      </w:pPr>
      <w:bookmarkStart w:id="8" w:name="_Hlk219130061"/>
    </w:p>
    <w:p w14:paraId="5C39F844" w14:textId="77777777" w:rsidR="00F87B8C" w:rsidRPr="00FD7681" w:rsidRDefault="00F87B8C" w:rsidP="00F66F95">
      <w:pPr>
        <w:pStyle w:val="Citas"/>
        <w:ind w:left="0" w:right="0"/>
        <w:rPr>
          <w:bCs/>
          <w:i w:val="0"/>
          <w:iCs/>
          <w:sz w:val="18"/>
          <w:szCs w:val="18"/>
          <w:lang w:val="es-ES"/>
        </w:rPr>
      </w:pPr>
    </w:p>
    <w:p w14:paraId="1C6F9679" w14:textId="77777777" w:rsidR="00F87B8C" w:rsidRDefault="00F87B8C" w:rsidP="00F66F95">
      <w:pPr>
        <w:pStyle w:val="Citas"/>
        <w:ind w:left="0" w:right="0"/>
        <w:rPr>
          <w:bCs/>
          <w:i w:val="0"/>
          <w:iCs/>
          <w:sz w:val="18"/>
          <w:szCs w:val="18"/>
        </w:rPr>
      </w:pPr>
    </w:p>
    <w:p w14:paraId="27E4FF86" w14:textId="77777777" w:rsidR="00F87B8C" w:rsidRDefault="00F87B8C" w:rsidP="00F66F95">
      <w:pPr>
        <w:pStyle w:val="Citas"/>
        <w:ind w:left="0" w:right="0"/>
        <w:rPr>
          <w:bCs/>
          <w:i w:val="0"/>
          <w:iCs/>
          <w:sz w:val="18"/>
          <w:szCs w:val="18"/>
        </w:rPr>
      </w:pPr>
    </w:p>
    <w:p w14:paraId="7C0A7D8A" w14:textId="77777777" w:rsidR="00F87B8C" w:rsidRDefault="00F87B8C" w:rsidP="00F66F95">
      <w:pPr>
        <w:pStyle w:val="Citas"/>
        <w:ind w:left="0" w:right="0"/>
        <w:rPr>
          <w:bCs/>
          <w:i w:val="0"/>
          <w:iCs/>
          <w:sz w:val="18"/>
          <w:szCs w:val="18"/>
        </w:rPr>
      </w:pPr>
    </w:p>
    <w:p w14:paraId="5A2DE151" w14:textId="77777777" w:rsidR="00F87B8C" w:rsidRDefault="00F87B8C" w:rsidP="00F66F95">
      <w:pPr>
        <w:pStyle w:val="Citas"/>
        <w:ind w:left="0" w:right="0"/>
        <w:rPr>
          <w:bCs/>
          <w:i w:val="0"/>
          <w:iCs/>
          <w:sz w:val="18"/>
          <w:szCs w:val="18"/>
        </w:rPr>
      </w:pPr>
    </w:p>
    <w:p w14:paraId="381A4F00" w14:textId="77777777" w:rsidR="00F87B8C" w:rsidRDefault="00F87B8C" w:rsidP="00F66F95">
      <w:pPr>
        <w:pStyle w:val="Citas"/>
        <w:ind w:left="0" w:right="0"/>
        <w:rPr>
          <w:bCs/>
          <w:i w:val="0"/>
          <w:iCs/>
          <w:sz w:val="18"/>
          <w:szCs w:val="18"/>
        </w:rPr>
      </w:pPr>
    </w:p>
    <w:p w14:paraId="40B58987" w14:textId="77777777" w:rsidR="00F87B8C" w:rsidRDefault="00F87B8C" w:rsidP="00F66F95">
      <w:pPr>
        <w:pStyle w:val="Citas"/>
        <w:ind w:left="0" w:right="0"/>
        <w:rPr>
          <w:bCs/>
          <w:i w:val="0"/>
          <w:iCs/>
          <w:sz w:val="18"/>
          <w:szCs w:val="18"/>
        </w:rPr>
      </w:pPr>
    </w:p>
    <w:p w14:paraId="6B70DDEB" w14:textId="77777777" w:rsidR="00F87B8C" w:rsidRDefault="00F87B8C" w:rsidP="00F66F95">
      <w:pPr>
        <w:pStyle w:val="Citas"/>
        <w:ind w:left="0" w:right="0"/>
        <w:rPr>
          <w:bCs/>
          <w:i w:val="0"/>
          <w:iCs/>
          <w:sz w:val="18"/>
          <w:szCs w:val="18"/>
        </w:rPr>
      </w:pPr>
    </w:p>
    <w:p w14:paraId="73D0A0EC" w14:textId="77777777" w:rsidR="00F87B8C" w:rsidRDefault="00F87B8C" w:rsidP="00F66F95">
      <w:pPr>
        <w:pStyle w:val="Citas"/>
        <w:ind w:left="0" w:right="0"/>
        <w:rPr>
          <w:bCs/>
          <w:i w:val="0"/>
          <w:iCs/>
          <w:sz w:val="18"/>
          <w:szCs w:val="18"/>
        </w:rPr>
      </w:pPr>
    </w:p>
    <w:p w14:paraId="7DDA5961" w14:textId="77777777" w:rsidR="00F87B8C" w:rsidRDefault="00F87B8C" w:rsidP="00F66F95">
      <w:pPr>
        <w:pStyle w:val="Citas"/>
        <w:ind w:left="0" w:right="0"/>
        <w:rPr>
          <w:bCs/>
          <w:i w:val="0"/>
          <w:iCs/>
          <w:sz w:val="18"/>
          <w:szCs w:val="18"/>
        </w:rPr>
      </w:pPr>
    </w:p>
    <w:p w14:paraId="729429A9" w14:textId="77777777" w:rsidR="00F87B8C" w:rsidRDefault="00F87B8C" w:rsidP="00F66F95">
      <w:pPr>
        <w:pStyle w:val="Citas"/>
        <w:ind w:left="0" w:right="0"/>
        <w:rPr>
          <w:bCs/>
          <w:i w:val="0"/>
          <w:iCs/>
          <w:sz w:val="18"/>
          <w:szCs w:val="18"/>
        </w:rPr>
      </w:pPr>
    </w:p>
    <w:p w14:paraId="13A86932" w14:textId="77777777" w:rsidR="00F87B8C" w:rsidRDefault="00F87B8C" w:rsidP="00F66F95">
      <w:pPr>
        <w:pStyle w:val="Citas"/>
        <w:ind w:left="0" w:right="0"/>
        <w:rPr>
          <w:bCs/>
          <w:i w:val="0"/>
          <w:iCs/>
          <w:sz w:val="18"/>
          <w:szCs w:val="18"/>
        </w:rPr>
      </w:pPr>
    </w:p>
    <w:p w14:paraId="1094144F" w14:textId="77777777" w:rsidR="00F87B8C" w:rsidRDefault="00F87B8C" w:rsidP="00F66F95">
      <w:pPr>
        <w:pStyle w:val="Citas"/>
        <w:ind w:left="0" w:right="0"/>
        <w:rPr>
          <w:bCs/>
          <w:i w:val="0"/>
          <w:iCs/>
          <w:sz w:val="18"/>
          <w:szCs w:val="18"/>
        </w:rPr>
      </w:pPr>
    </w:p>
    <w:p w14:paraId="5A78C668" w14:textId="77777777" w:rsidR="00F87B8C" w:rsidRDefault="00F87B8C" w:rsidP="00F66F95">
      <w:pPr>
        <w:pStyle w:val="Citas"/>
        <w:ind w:left="0" w:right="0"/>
        <w:rPr>
          <w:bCs/>
          <w:i w:val="0"/>
          <w:iCs/>
          <w:sz w:val="18"/>
          <w:szCs w:val="18"/>
        </w:rPr>
      </w:pPr>
    </w:p>
    <w:p w14:paraId="1BBD79E0" w14:textId="77777777" w:rsidR="00F87B8C" w:rsidRDefault="00F87B8C" w:rsidP="00F66F95">
      <w:pPr>
        <w:pStyle w:val="Citas"/>
        <w:ind w:left="0" w:right="0"/>
        <w:rPr>
          <w:bCs/>
          <w:i w:val="0"/>
          <w:iCs/>
          <w:sz w:val="18"/>
          <w:szCs w:val="18"/>
        </w:rPr>
      </w:pPr>
    </w:p>
    <w:p w14:paraId="49A617F2" w14:textId="77777777" w:rsidR="00F87B8C" w:rsidRDefault="00F87B8C" w:rsidP="00F66F95">
      <w:pPr>
        <w:pStyle w:val="Citas"/>
        <w:ind w:left="0" w:right="0"/>
        <w:rPr>
          <w:bCs/>
          <w:i w:val="0"/>
          <w:iCs/>
          <w:sz w:val="18"/>
          <w:szCs w:val="18"/>
        </w:rPr>
      </w:pPr>
    </w:p>
    <w:p w14:paraId="236E1D88" w14:textId="5F7A9CB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26FB077" w14:textId="7777777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bookmarkEnd w:id="8"/>
    <w:p w14:paraId="21D198B4" w14:textId="7777777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62A29E3" w14:textId="77777777" w:rsidR="009C6AF8" w:rsidRDefault="009C6AF8" w:rsidP="00703CCB">
      <w:pPr>
        <w:spacing w:after="0" w:line="360" w:lineRule="auto"/>
        <w:ind w:right="51"/>
        <w:jc w:val="both"/>
        <w:rPr>
          <w:rFonts w:ascii="Palatino Linotype" w:hAnsi="Palatino Linotype" w:cs="Arial"/>
          <w:sz w:val="24"/>
          <w:szCs w:val="24"/>
        </w:rPr>
      </w:pPr>
    </w:p>
    <w:p w14:paraId="456781E4" w14:textId="77777777" w:rsidR="003E3072" w:rsidRDefault="003E3072" w:rsidP="00B436EA">
      <w:pPr>
        <w:spacing w:before="240" w:line="360" w:lineRule="auto"/>
        <w:jc w:val="both"/>
        <w:rPr>
          <w:rFonts w:ascii="Palatino Linotype" w:hAnsi="Palatino Linotype"/>
          <w:sz w:val="24"/>
          <w:szCs w:val="24"/>
        </w:rPr>
      </w:pPr>
    </w:p>
    <w:p w14:paraId="1DDB48B8" w14:textId="77777777" w:rsidR="003E3072" w:rsidRDefault="003E3072" w:rsidP="00B436EA">
      <w:pPr>
        <w:spacing w:before="240" w:line="360" w:lineRule="auto"/>
        <w:jc w:val="both"/>
        <w:rPr>
          <w:rFonts w:ascii="Palatino Linotype" w:hAnsi="Palatino Linotype"/>
          <w:sz w:val="24"/>
          <w:szCs w:val="24"/>
        </w:rPr>
      </w:pPr>
    </w:p>
    <w:p w14:paraId="0018F579" w14:textId="77777777" w:rsidR="003E3072" w:rsidRDefault="003E3072" w:rsidP="00B436EA">
      <w:pPr>
        <w:spacing w:before="240" w:line="360" w:lineRule="auto"/>
        <w:jc w:val="both"/>
        <w:rPr>
          <w:rFonts w:ascii="Palatino Linotype" w:hAnsi="Palatino Linotype"/>
          <w:sz w:val="24"/>
          <w:szCs w:val="24"/>
        </w:rPr>
      </w:pPr>
    </w:p>
    <w:p w14:paraId="064A2ED6" w14:textId="77777777" w:rsidR="00E86CD6" w:rsidRDefault="00E86CD6" w:rsidP="00B436EA">
      <w:pPr>
        <w:spacing w:before="240" w:line="360" w:lineRule="auto"/>
        <w:jc w:val="both"/>
        <w:rPr>
          <w:rFonts w:ascii="Palatino Linotype" w:hAnsi="Palatino Linotype"/>
          <w:sz w:val="24"/>
          <w:szCs w:val="24"/>
        </w:rPr>
      </w:pPr>
    </w:p>
    <w:p w14:paraId="5144FC1C" w14:textId="77777777" w:rsidR="00E86CD6" w:rsidRDefault="00E86CD6" w:rsidP="00B436EA">
      <w:pPr>
        <w:spacing w:before="240" w:line="360" w:lineRule="auto"/>
        <w:jc w:val="both"/>
        <w:rPr>
          <w:rFonts w:ascii="Palatino Linotype" w:hAnsi="Palatino Linotype"/>
          <w:sz w:val="24"/>
          <w:szCs w:val="24"/>
        </w:rPr>
      </w:pPr>
    </w:p>
    <w:sectPr w:rsidR="00E86CD6" w:rsidSect="00FB4AAD">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6D7C1" w14:textId="77777777" w:rsidR="00CD76DD" w:rsidRDefault="00CD76DD" w:rsidP="006168E4">
      <w:pPr>
        <w:spacing w:after="0" w:line="240" w:lineRule="auto"/>
      </w:pPr>
      <w:r>
        <w:separator/>
      </w:r>
    </w:p>
  </w:endnote>
  <w:endnote w:type="continuationSeparator" w:id="0">
    <w:p w14:paraId="0A624B1C" w14:textId="77777777" w:rsidR="00CD76DD" w:rsidRDefault="00CD76D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36F16">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36F16">
      <w:rPr>
        <w:rFonts w:ascii="Palatino Linotype" w:hAnsi="Palatino Linotype"/>
        <w:bCs/>
        <w:noProof/>
        <w:sz w:val="20"/>
      </w:rPr>
      <w:t>62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36F1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36F16">
      <w:rPr>
        <w:rFonts w:ascii="Palatino Linotype" w:hAnsi="Palatino Linotype"/>
        <w:bCs/>
        <w:noProof/>
        <w:sz w:val="20"/>
      </w:rPr>
      <w:t>62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EEBBC" w14:textId="77777777" w:rsidR="00CD76DD" w:rsidRDefault="00CD76DD" w:rsidP="006168E4">
      <w:pPr>
        <w:spacing w:after="0" w:line="240" w:lineRule="auto"/>
      </w:pPr>
      <w:r>
        <w:separator/>
      </w:r>
    </w:p>
  </w:footnote>
  <w:footnote w:type="continuationSeparator" w:id="0">
    <w:p w14:paraId="12EBE388" w14:textId="77777777" w:rsidR="00CD76DD" w:rsidRDefault="00CD76DD" w:rsidP="006168E4">
      <w:pPr>
        <w:spacing w:after="0" w:line="240" w:lineRule="auto"/>
      </w:pPr>
      <w:r>
        <w:continuationSeparator/>
      </w:r>
    </w:p>
  </w:footnote>
  <w:footnote w:id="1">
    <w:p w14:paraId="6363407F" w14:textId="77777777" w:rsidR="00545657" w:rsidRDefault="00545657" w:rsidP="00545657">
      <w:pPr>
        <w:pStyle w:val="Textonotapie"/>
        <w:jc w:val="both"/>
        <w:rPr>
          <w:sz w:val="18"/>
          <w:szCs w:val="18"/>
          <w:u w:val="single"/>
        </w:rPr>
      </w:pPr>
      <w:r w:rsidRPr="000F0A6E">
        <w:rPr>
          <w:rStyle w:val="Refdenotaalpie"/>
          <w:rFonts w:eastAsia="Calibri"/>
        </w:rPr>
        <w:footnoteRef/>
      </w:r>
      <w:r w:rsidRPr="000F0A6E">
        <w:rPr>
          <w:sz w:val="18"/>
          <w:szCs w:val="18"/>
        </w:rPr>
        <w:t xml:space="preserve"> </w:t>
      </w:r>
      <w:r w:rsidRPr="00E6128E">
        <w:rPr>
          <w:rFonts w:ascii="Palatino Linotype" w:hAnsi="Palatino Linotype"/>
          <w:sz w:val="18"/>
          <w:szCs w:val="18"/>
        </w:rPr>
        <w:t>Jurisprudencia con número de registro 1000830, emitida por la Sala Superior, Apéndice de 2011, localizable en VIII. Electoral Primera Parte – Vigentes, Materia Electoral, tesis 191, página 244</w:t>
      </w:r>
      <w:r>
        <w:rPr>
          <w:rFonts w:ascii="Palatino Linotype" w:hAnsi="Palatino Linotype"/>
          <w:sz w:val="18"/>
          <w:szCs w:val="18"/>
        </w:rPr>
        <w:t xml:space="preserve">, y </w:t>
      </w:r>
      <w:r>
        <w:rPr>
          <w:sz w:val="18"/>
          <w:szCs w:val="18"/>
        </w:rPr>
        <w:t>c</w:t>
      </w:r>
      <w:r w:rsidRPr="000F0A6E">
        <w:rPr>
          <w:sz w:val="18"/>
          <w:szCs w:val="18"/>
        </w:rPr>
        <w:t xml:space="preserve">onsultable en la página electrónica </w:t>
      </w:r>
      <w:hyperlink r:id="rId1" w:history="1">
        <w:r w:rsidRPr="007D0948">
          <w:rPr>
            <w:rStyle w:val="Hipervnculo"/>
            <w:sz w:val="18"/>
            <w:szCs w:val="18"/>
          </w:rPr>
          <w:t>https://sjf.scjn.gob.mx/sjfsist/Paginas/DetalleGeneralV2.aspx?ID=1000830&amp;Clase=DetalleTesisBL&amp;Semanario=0</w:t>
        </w:r>
      </w:hyperlink>
      <w:r>
        <w:rPr>
          <w:sz w:val="18"/>
          <w:szCs w:val="18"/>
        </w:rPr>
        <w:t xml:space="preserve"> </w:t>
      </w:r>
      <w:r>
        <w:rPr>
          <w:sz w:val="18"/>
          <w:szCs w:val="18"/>
          <w:u w:val="single"/>
        </w:rPr>
        <w:t>.</w:t>
      </w:r>
    </w:p>
    <w:p w14:paraId="71AE2A37" w14:textId="77777777" w:rsidR="00545657" w:rsidRPr="000F0A6E" w:rsidRDefault="00545657" w:rsidP="00545657">
      <w:pPr>
        <w:pStyle w:val="Textonotapie"/>
        <w:jc w:val="both"/>
        <w:rPr>
          <w:sz w:val="18"/>
          <w:szCs w:val="18"/>
          <w:u w:val="sing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7115CAB4" w:rsidR="00C70B4A" w:rsidRPr="00B4142F" w:rsidRDefault="00FB0CE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04040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458908A8" w:rsidR="00C70B4A" w:rsidRPr="00F06FED" w:rsidRDefault="00422331" w:rsidP="00C01E1C">
          <w:pPr>
            <w:spacing w:after="120" w:line="256" w:lineRule="auto"/>
            <w:ind w:left="639" w:right="214"/>
            <w:jc w:val="both"/>
            <w:rPr>
              <w:rFonts w:ascii="Palatino Linotype" w:hAnsi="Palatino Linotype" w:cs="Arial"/>
            </w:rPr>
          </w:pPr>
          <w:r>
            <w:rPr>
              <w:rFonts w:ascii="Palatino Linotype" w:hAnsi="Palatino Linotype" w:cs="Arial"/>
              <w:szCs w:val="20"/>
            </w:rPr>
            <w:t>Ayuntamiento de Jiquipilco</w:t>
          </w:r>
          <w:r w:rsidR="007813A4">
            <w:rPr>
              <w:rFonts w:ascii="Palatino Linotype" w:hAnsi="Palatino Linotype" w:cs="Arial"/>
              <w:szCs w:val="20"/>
            </w:rPr>
            <w:t xml:space="preserve"> </w:t>
          </w:r>
          <w:r w:rsidR="0039027A">
            <w:rPr>
              <w:rFonts w:ascii="Palatino Linotype" w:hAnsi="Palatino Linotype" w:cs="Arial"/>
              <w:szCs w:val="20"/>
            </w:rPr>
            <w:t xml:space="preserve"> </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471B836F" w:rsidR="00C70B4A" w:rsidRPr="00B4142F" w:rsidRDefault="00FB0CE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04040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75D372B2" w:rsidR="00C70B4A" w:rsidRPr="00F06FED" w:rsidRDefault="00B36F16" w:rsidP="00870B18">
          <w:pPr>
            <w:spacing w:after="120" w:line="256" w:lineRule="auto"/>
            <w:ind w:left="637" w:right="214"/>
            <w:jc w:val="both"/>
            <w:rPr>
              <w:rFonts w:ascii="Palatino Linotype" w:hAnsi="Palatino Linotype" w:cs="Arial"/>
            </w:rPr>
          </w:pPr>
          <w:r>
            <w:rPr>
              <w:rFonts w:ascii="Palatino Linotype" w:hAnsi="Palatino Linotype" w:cs="Arial"/>
            </w:rPr>
            <w:t>xxxxxxxxxxxx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5B1753C0" w:rsidR="00C70B4A" w:rsidRDefault="00422331"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Jiquipilco</w:t>
          </w:r>
          <w:r w:rsidR="007813A4">
            <w:rPr>
              <w:rFonts w:ascii="Palatino Linotype" w:hAnsi="Palatino Linotype" w:cs="Arial"/>
              <w:szCs w:val="20"/>
            </w:rPr>
            <w:t xml:space="preserve"> </w:t>
          </w:r>
          <w:r w:rsidR="00CE6C5D">
            <w:rPr>
              <w:rFonts w:ascii="Palatino Linotype" w:hAnsi="Palatino Linotype" w:cs="Arial"/>
              <w:szCs w:val="20"/>
            </w:rPr>
            <w:t xml:space="preserve"> </w:t>
          </w:r>
          <w:r w:rsidR="004B34F6">
            <w:rPr>
              <w:rFonts w:ascii="Palatino Linotype" w:hAnsi="Palatino Linotype" w:cs="Arial"/>
              <w:szCs w:val="20"/>
            </w:rPr>
            <w:t xml:space="preserve"> </w:t>
          </w:r>
          <w:r w:rsidR="0039027A">
            <w:rPr>
              <w:rFonts w:ascii="Palatino Linotype" w:hAnsi="Palatino Linotype" w:cs="Arial"/>
              <w:szCs w:val="20"/>
            </w:rPr>
            <w:t xml:space="preserve">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19A4"/>
    <w:multiLevelType w:val="hybridMultilevel"/>
    <w:tmpl w:val="D8CA54B8"/>
    <w:lvl w:ilvl="0" w:tplc="34F40540">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5F247B3"/>
    <w:multiLevelType w:val="hybridMultilevel"/>
    <w:tmpl w:val="1E367A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7463C0D"/>
    <w:multiLevelType w:val="hybridMultilevel"/>
    <w:tmpl w:val="18246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1670BE"/>
    <w:multiLevelType w:val="hybridMultilevel"/>
    <w:tmpl w:val="0F14E1AA"/>
    <w:lvl w:ilvl="0" w:tplc="FFFFFFFF">
      <w:start w:val="1"/>
      <w:numFmt w:val="decimal"/>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5"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A3C98"/>
    <w:multiLevelType w:val="hybridMultilevel"/>
    <w:tmpl w:val="5E0A0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F38702C"/>
    <w:multiLevelType w:val="hybridMultilevel"/>
    <w:tmpl w:val="2BF0E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832FBA"/>
    <w:multiLevelType w:val="hybridMultilevel"/>
    <w:tmpl w:val="56BE3B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1" w15:restartNumberingAfterBreak="0">
    <w:nsid w:val="38973F46"/>
    <w:multiLevelType w:val="hybridMultilevel"/>
    <w:tmpl w:val="837EF6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773914"/>
    <w:multiLevelType w:val="hybridMultilevel"/>
    <w:tmpl w:val="C54C82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AE76795"/>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547C700A"/>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346158"/>
    <w:multiLevelType w:val="hybridMultilevel"/>
    <w:tmpl w:val="E21849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44C7899"/>
    <w:multiLevelType w:val="hybridMultilevel"/>
    <w:tmpl w:val="C75E1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21" w15:restartNumberingAfterBreak="0">
    <w:nsid w:val="68C33C2E"/>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FB3AD0"/>
    <w:multiLevelType w:val="hybridMultilevel"/>
    <w:tmpl w:val="1338C5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36373"/>
    <w:multiLevelType w:val="hybridMultilevel"/>
    <w:tmpl w:val="E7F44170"/>
    <w:lvl w:ilvl="0" w:tplc="E814E3EE">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5"/>
  </w:num>
  <w:num w:numId="2">
    <w:abstractNumId w:val="23"/>
  </w:num>
  <w:num w:numId="3">
    <w:abstractNumId w:val="18"/>
  </w:num>
  <w:num w:numId="4">
    <w:abstractNumId w:val="0"/>
  </w:num>
  <w:num w:numId="5">
    <w:abstractNumId w:val="8"/>
  </w:num>
  <w:num w:numId="6">
    <w:abstractNumId w:val="4"/>
  </w:num>
  <w:num w:numId="7">
    <w:abstractNumId w:val="10"/>
  </w:num>
  <w:num w:numId="8">
    <w:abstractNumId w:val="16"/>
  </w:num>
  <w:num w:numId="9">
    <w:abstractNumId w:val="5"/>
  </w:num>
  <w:num w:numId="10">
    <w:abstractNumId w:val="9"/>
  </w:num>
  <w:num w:numId="11">
    <w:abstractNumId w:val="21"/>
  </w:num>
  <w:num w:numId="12">
    <w:abstractNumId w:val="19"/>
  </w:num>
  <w:num w:numId="13">
    <w:abstractNumId w:val="2"/>
  </w:num>
  <w:num w:numId="14">
    <w:abstractNumId w:val="7"/>
  </w:num>
  <w:num w:numId="15">
    <w:abstractNumId w:val="24"/>
  </w:num>
  <w:num w:numId="16">
    <w:abstractNumId w:val="1"/>
  </w:num>
  <w:num w:numId="17">
    <w:abstractNumId w:val="25"/>
  </w:num>
  <w:num w:numId="18">
    <w:abstractNumId w:val="6"/>
  </w:num>
  <w:num w:numId="19">
    <w:abstractNumId w:val="22"/>
  </w:num>
  <w:num w:numId="20">
    <w:abstractNumId w:val="13"/>
  </w:num>
  <w:num w:numId="21">
    <w:abstractNumId w:val="12"/>
  </w:num>
  <w:num w:numId="22">
    <w:abstractNumId w:val="14"/>
  </w:num>
  <w:num w:numId="23">
    <w:abstractNumId w:val="11"/>
  </w:num>
  <w:num w:numId="24">
    <w:abstractNumId w:val="17"/>
  </w:num>
  <w:num w:numId="25">
    <w:abstractNumId w:val="3"/>
  </w:num>
  <w:num w:numId="26">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225E"/>
    <w:rsid w:val="00013759"/>
    <w:rsid w:val="00014564"/>
    <w:rsid w:val="0001630D"/>
    <w:rsid w:val="000163D4"/>
    <w:rsid w:val="000170DF"/>
    <w:rsid w:val="00020A70"/>
    <w:rsid w:val="00021CBD"/>
    <w:rsid w:val="00022054"/>
    <w:rsid w:val="00022604"/>
    <w:rsid w:val="000233C6"/>
    <w:rsid w:val="000236FA"/>
    <w:rsid w:val="0002450B"/>
    <w:rsid w:val="00025509"/>
    <w:rsid w:val="0002766F"/>
    <w:rsid w:val="000306A7"/>
    <w:rsid w:val="00031C92"/>
    <w:rsid w:val="0003273B"/>
    <w:rsid w:val="000363A2"/>
    <w:rsid w:val="0004199A"/>
    <w:rsid w:val="00045379"/>
    <w:rsid w:val="000461DF"/>
    <w:rsid w:val="00046AD8"/>
    <w:rsid w:val="00054917"/>
    <w:rsid w:val="00054BC2"/>
    <w:rsid w:val="00054DD0"/>
    <w:rsid w:val="00055224"/>
    <w:rsid w:val="0005543E"/>
    <w:rsid w:val="0005622A"/>
    <w:rsid w:val="0006076C"/>
    <w:rsid w:val="00060C0C"/>
    <w:rsid w:val="00060FB3"/>
    <w:rsid w:val="00061821"/>
    <w:rsid w:val="000623F9"/>
    <w:rsid w:val="00062482"/>
    <w:rsid w:val="0006291F"/>
    <w:rsid w:val="00062D5C"/>
    <w:rsid w:val="00063A10"/>
    <w:rsid w:val="00063EFB"/>
    <w:rsid w:val="00063F93"/>
    <w:rsid w:val="000644E5"/>
    <w:rsid w:val="000662F8"/>
    <w:rsid w:val="00070A11"/>
    <w:rsid w:val="00073E78"/>
    <w:rsid w:val="000758EF"/>
    <w:rsid w:val="00075D6A"/>
    <w:rsid w:val="0007739D"/>
    <w:rsid w:val="00081988"/>
    <w:rsid w:val="000848D6"/>
    <w:rsid w:val="0008582E"/>
    <w:rsid w:val="00087197"/>
    <w:rsid w:val="00090AFC"/>
    <w:rsid w:val="00091552"/>
    <w:rsid w:val="00091C3A"/>
    <w:rsid w:val="00093E92"/>
    <w:rsid w:val="00095C26"/>
    <w:rsid w:val="000A12B1"/>
    <w:rsid w:val="000A157B"/>
    <w:rsid w:val="000A2D37"/>
    <w:rsid w:val="000A3486"/>
    <w:rsid w:val="000A44C7"/>
    <w:rsid w:val="000A4DD1"/>
    <w:rsid w:val="000A6313"/>
    <w:rsid w:val="000A70F8"/>
    <w:rsid w:val="000A71F4"/>
    <w:rsid w:val="000A733E"/>
    <w:rsid w:val="000A79DA"/>
    <w:rsid w:val="000B0342"/>
    <w:rsid w:val="000B0B8F"/>
    <w:rsid w:val="000B1702"/>
    <w:rsid w:val="000B4B51"/>
    <w:rsid w:val="000B7158"/>
    <w:rsid w:val="000B7E6D"/>
    <w:rsid w:val="000C1477"/>
    <w:rsid w:val="000C1922"/>
    <w:rsid w:val="000C309C"/>
    <w:rsid w:val="000C3E68"/>
    <w:rsid w:val="000C5B8B"/>
    <w:rsid w:val="000C7274"/>
    <w:rsid w:val="000C797E"/>
    <w:rsid w:val="000C7E6E"/>
    <w:rsid w:val="000D0BC5"/>
    <w:rsid w:val="000D1B55"/>
    <w:rsid w:val="000D28F9"/>
    <w:rsid w:val="000D3C75"/>
    <w:rsid w:val="000D53CB"/>
    <w:rsid w:val="000D6116"/>
    <w:rsid w:val="000D7A3D"/>
    <w:rsid w:val="000D7B04"/>
    <w:rsid w:val="000E0557"/>
    <w:rsid w:val="000E0655"/>
    <w:rsid w:val="000E0A71"/>
    <w:rsid w:val="000E686B"/>
    <w:rsid w:val="000F110B"/>
    <w:rsid w:val="000F3EDB"/>
    <w:rsid w:val="000F3EE7"/>
    <w:rsid w:val="000F68B1"/>
    <w:rsid w:val="000F6F19"/>
    <w:rsid w:val="000F7AC2"/>
    <w:rsid w:val="00100E19"/>
    <w:rsid w:val="00102B4F"/>
    <w:rsid w:val="00102D69"/>
    <w:rsid w:val="00105075"/>
    <w:rsid w:val="00110EDB"/>
    <w:rsid w:val="00111DCD"/>
    <w:rsid w:val="0011365C"/>
    <w:rsid w:val="00114CF9"/>
    <w:rsid w:val="0011564C"/>
    <w:rsid w:val="001166FB"/>
    <w:rsid w:val="001167AA"/>
    <w:rsid w:val="00117157"/>
    <w:rsid w:val="00123898"/>
    <w:rsid w:val="00124855"/>
    <w:rsid w:val="00124EC6"/>
    <w:rsid w:val="001254F5"/>
    <w:rsid w:val="001336D3"/>
    <w:rsid w:val="001337BE"/>
    <w:rsid w:val="00133C5A"/>
    <w:rsid w:val="001340CC"/>
    <w:rsid w:val="001364AA"/>
    <w:rsid w:val="00136FAD"/>
    <w:rsid w:val="00140579"/>
    <w:rsid w:val="00143AC4"/>
    <w:rsid w:val="00143D5F"/>
    <w:rsid w:val="00143E34"/>
    <w:rsid w:val="00144B4A"/>
    <w:rsid w:val="00146F0A"/>
    <w:rsid w:val="00146FFD"/>
    <w:rsid w:val="00147B36"/>
    <w:rsid w:val="00150196"/>
    <w:rsid w:val="00150A4C"/>
    <w:rsid w:val="00150D1D"/>
    <w:rsid w:val="00152124"/>
    <w:rsid w:val="00152C2B"/>
    <w:rsid w:val="00153323"/>
    <w:rsid w:val="001542FC"/>
    <w:rsid w:val="00154C5F"/>
    <w:rsid w:val="0016270D"/>
    <w:rsid w:val="001646D0"/>
    <w:rsid w:val="001657E6"/>
    <w:rsid w:val="00170066"/>
    <w:rsid w:val="00172661"/>
    <w:rsid w:val="0017308D"/>
    <w:rsid w:val="001742A5"/>
    <w:rsid w:val="00174495"/>
    <w:rsid w:val="00174EE4"/>
    <w:rsid w:val="00175279"/>
    <w:rsid w:val="00175320"/>
    <w:rsid w:val="00175897"/>
    <w:rsid w:val="00175C56"/>
    <w:rsid w:val="00177D2C"/>
    <w:rsid w:val="001804C3"/>
    <w:rsid w:val="00180B9F"/>
    <w:rsid w:val="00181CC5"/>
    <w:rsid w:val="00182DA4"/>
    <w:rsid w:val="00190F98"/>
    <w:rsid w:val="00191926"/>
    <w:rsid w:val="001932A3"/>
    <w:rsid w:val="0019340D"/>
    <w:rsid w:val="00193784"/>
    <w:rsid w:val="00193E61"/>
    <w:rsid w:val="00193FB6"/>
    <w:rsid w:val="001942EE"/>
    <w:rsid w:val="001A02EC"/>
    <w:rsid w:val="001A0716"/>
    <w:rsid w:val="001A0906"/>
    <w:rsid w:val="001A22D7"/>
    <w:rsid w:val="001A32F0"/>
    <w:rsid w:val="001A3593"/>
    <w:rsid w:val="001A5237"/>
    <w:rsid w:val="001A577E"/>
    <w:rsid w:val="001A58DE"/>
    <w:rsid w:val="001A67C5"/>
    <w:rsid w:val="001A7C9B"/>
    <w:rsid w:val="001B05B9"/>
    <w:rsid w:val="001B1519"/>
    <w:rsid w:val="001B1BC8"/>
    <w:rsid w:val="001B1F55"/>
    <w:rsid w:val="001B5288"/>
    <w:rsid w:val="001B7285"/>
    <w:rsid w:val="001B7B88"/>
    <w:rsid w:val="001C0BAD"/>
    <w:rsid w:val="001C0DA5"/>
    <w:rsid w:val="001C1E07"/>
    <w:rsid w:val="001C5261"/>
    <w:rsid w:val="001C7319"/>
    <w:rsid w:val="001C7D87"/>
    <w:rsid w:val="001D299A"/>
    <w:rsid w:val="001D3E87"/>
    <w:rsid w:val="001D5CF9"/>
    <w:rsid w:val="001D5F16"/>
    <w:rsid w:val="001D6FAB"/>
    <w:rsid w:val="001E035A"/>
    <w:rsid w:val="001E0EC8"/>
    <w:rsid w:val="001E1D18"/>
    <w:rsid w:val="001E2C0F"/>
    <w:rsid w:val="001E5345"/>
    <w:rsid w:val="001E668A"/>
    <w:rsid w:val="001E6A63"/>
    <w:rsid w:val="001E7204"/>
    <w:rsid w:val="001F0923"/>
    <w:rsid w:val="001F0A4F"/>
    <w:rsid w:val="001F2A14"/>
    <w:rsid w:val="001F3F0E"/>
    <w:rsid w:val="001F4ADC"/>
    <w:rsid w:val="001F4D04"/>
    <w:rsid w:val="001F5597"/>
    <w:rsid w:val="001F71ED"/>
    <w:rsid w:val="0020194E"/>
    <w:rsid w:val="00203D3A"/>
    <w:rsid w:val="00203FF3"/>
    <w:rsid w:val="002044B4"/>
    <w:rsid w:val="00204F95"/>
    <w:rsid w:val="00207086"/>
    <w:rsid w:val="00210B06"/>
    <w:rsid w:val="00211D60"/>
    <w:rsid w:val="0021501E"/>
    <w:rsid w:val="0021546A"/>
    <w:rsid w:val="0021572A"/>
    <w:rsid w:val="00217932"/>
    <w:rsid w:val="00217E17"/>
    <w:rsid w:val="002203CC"/>
    <w:rsid w:val="002205C0"/>
    <w:rsid w:val="00222ABC"/>
    <w:rsid w:val="0022494A"/>
    <w:rsid w:val="00225507"/>
    <w:rsid w:val="00232223"/>
    <w:rsid w:val="0023373D"/>
    <w:rsid w:val="00233D7E"/>
    <w:rsid w:val="00233EF7"/>
    <w:rsid w:val="0023423C"/>
    <w:rsid w:val="00234BA8"/>
    <w:rsid w:val="00237F4F"/>
    <w:rsid w:val="0024112D"/>
    <w:rsid w:val="002428BA"/>
    <w:rsid w:val="00244177"/>
    <w:rsid w:val="002537F1"/>
    <w:rsid w:val="00254477"/>
    <w:rsid w:val="00257337"/>
    <w:rsid w:val="002577FE"/>
    <w:rsid w:val="0025780C"/>
    <w:rsid w:val="002609D8"/>
    <w:rsid w:val="00262BB2"/>
    <w:rsid w:val="00262CBE"/>
    <w:rsid w:val="002642D3"/>
    <w:rsid w:val="002646EF"/>
    <w:rsid w:val="00266AE6"/>
    <w:rsid w:val="00267C18"/>
    <w:rsid w:val="0027225D"/>
    <w:rsid w:val="00273D0E"/>
    <w:rsid w:val="002764D6"/>
    <w:rsid w:val="00280B8B"/>
    <w:rsid w:val="00282235"/>
    <w:rsid w:val="002850A1"/>
    <w:rsid w:val="0029026C"/>
    <w:rsid w:val="00290E08"/>
    <w:rsid w:val="00292350"/>
    <w:rsid w:val="00292869"/>
    <w:rsid w:val="00292DC0"/>
    <w:rsid w:val="00293C29"/>
    <w:rsid w:val="00294345"/>
    <w:rsid w:val="002964AD"/>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A83"/>
    <w:rsid w:val="002B7D92"/>
    <w:rsid w:val="002C498D"/>
    <w:rsid w:val="002C4FE1"/>
    <w:rsid w:val="002C6DA4"/>
    <w:rsid w:val="002C72D2"/>
    <w:rsid w:val="002D1B28"/>
    <w:rsid w:val="002D2F00"/>
    <w:rsid w:val="002D79E2"/>
    <w:rsid w:val="002D7A5D"/>
    <w:rsid w:val="002E0A4A"/>
    <w:rsid w:val="002E0BC4"/>
    <w:rsid w:val="002E21B4"/>
    <w:rsid w:val="002E2D7B"/>
    <w:rsid w:val="002E5E6A"/>
    <w:rsid w:val="002E6FBB"/>
    <w:rsid w:val="002F0FBF"/>
    <w:rsid w:val="002F14C3"/>
    <w:rsid w:val="002F22FA"/>
    <w:rsid w:val="002F37BE"/>
    <w:rsid w:val="002F41CA"/>
    <w:rsid w:val="002F4C6A"/>
    <w:rsid w:val="002F527C"/>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1B8C"/>
    <w:rsid w:val="003249C3"/>
    <w:rsid w:val="00324AC9"/>
    <w:rsid w:val="00325680"/>
    <w:rsid w:val="003272FB"/>
    <w:rsid w:val="00330857"/>
    <w:rsid w:val="00330C50"/>
    <w:rsid w:val="00331499"/>
    <w:rsid w:val="0033580E"/>
    <w:rsid w:val="00337F09"/>
    <w:rsid w:val="00343D1E"/>
    <w:rsid w:val="0035054D"/>
    <w:rsid w:val="00353779"/>
    <w:rsid w:val="00353A17"/>
    <w:rsid w:val="00354258"/>
    <w:rsid w:val="00355593"/>
    <w:rsid w:val="00357548"/>
    <w:rsid w:val="003577CC"/>
    <w:rsid w:val="00357E0E"/>
    <w:rsid w:val="00361B9C"/>
    <w:rsid w:val="00361D89"/>
    <w:rsid w:val="00363C7E"/>
    <w:rsid w:val="00367265"/>
    <w:rsid w:val="003672FB"/>
    <w:rsid w:val="00370588"/>
    <w:rsid w:val="00370797"/>
    <w:rsid w:val="003707FE"/>
    <w:rsid w:val="00370C79"/>
    <w:rsid w:val="003712F3"/>
    <w:rsid w:val="00371680"/>
    <w:rsid w:val="00372A32"/>
    <w:rsid w:val="00372D3E"/>
    <w:rsid w:val="00374549"/>
    <w:rsid w:val="003746C6"/>
    <w:rsid w:val="00375763"/>
    <w:rsid w:val="00375BEA"/>
    <w:rsid w:val="003768BF"/>
    <w:rsid w:val="00376CEC"/>
    <w:rsid w:val="00380758"/>
    <w:rsid w:val="003810B1"/>
    <w:rsid w:val="003815E5"/>
    <w:rsid w:val="00381E2B"/>
    <w:rsid w:val="003821A1"/>
    <w:rsid w:val="003838B4"/>
    <w:rsid w:val="00383AD7"/>
    <w:rsid w:val="00384029"/>
    <w:rsid w:val="00385BBD"/>
    <w:rsid w:val="00387929"/>
    <w:rsid w:val="0039027A"/>
    <w:rsid w:val="00390988"/>
    <w:rsid w:val="00391DCD"/>
    <w:rsid w:val="0039347E"/>
    <w:rsid w:val="00393D5B"/>
    <w:rsid w:val="0039460D"/>
    <w:rsid w:val="00394873"/>
    <w:rsid w:val="00394A1E"/>
    <w:rsid w:val="003968C7"/>
    <w:rsid w:val="003A2246"/>
    <w:rsid w:val="003A2658"/>
    <w:rsid w:val="003A4CF6"/>
    <w:rsid w:val="003A61F9"/>
    <w:rsid w:val="003A6975"/>
    <w:rsid w:val="003B0793"/>
    <w:rsid w:val="003B0D66"/>
    <w:rsid w:val="003B11BA"/>
    <w:rsid w:val="003B1208"/>
    <w:rsid w:val="003B1E88"/>
    <w:rsid w:val="003B3B7D"/>
    <w:rsid w:val="003B5E96"/>
    <w:rsid w:val="003B6792"/>
    <w:rsid w:val="003B7E6B"/>
    <w:rsid w:val="003C0DF8"/>
    <w:rsid w:val="003C1D16"/>
    <w:rsid w:val="003C335D"/>
    <w:rsid w:val="003C3668"/>
    <w:rsid w:val="003C394C"/>
    <w:rsid w:val="003C3F7B"/>
    <w:rsid w:val="003C4C21"/>
    <w:rsid w:val="003C5243"/>
    <w:rsid w:val="003C53ED"/>
    <w:rsid w:val="003D0B7E"/>
    <w:rsid w:val="003D4E0F"/>
    <w:rsid w:val="003D503E"/>
    <w:rsid w:val="003D5C0A"/>
    <w:rsid w:val="003E16E1"/>
    <w:rsid w:val="003E1871"/>
    <w:rsid w:val="003E193E"/>
    <w:rsid w:val="003E3072"/>
    <w:rsid w:val="003E504D"/>
    <w:rsid w:val="003E52F7"/>
    <w:rsid w:val="003E6197"/>
    <w:rsid w:val="003E656A"/>
    <w:rsid w:val="003E78B7"/>
    <w:rsid w:val="003E79E7"/>
    <w:rsid w:val="003F0230"/>
    <w:rsid w:val="003F094C"/>
    <w:rsid w:val="003F0BB4"/>
    <w:rsid w:val="003F3016"/>
    <w:rsid w:val="003F38EB"/>
    <w:rsid w:val="003F3AB2"/>
    <w:rsid w:val="003F76E5"/>
    <w:rsid w:val="003F7952"/>
    <w:rsid w:val="004012CF"/>
    <w:rsid w:val="004015EE"/>
    <w:rsid w:val="00402A18"/>
    <w:rsid w:val="00402FF3"/>
    <w:rsid w:val="00403320"/>
    <w:rsid w:val="004051C5"/>
    <w:rsid w:val="0040673A"/>
    <w:rsid w:val="004069EB"/>
    <w:rsid w:val="00410ACB"/>
    <w:rsid w:val="00411E6F"/>
    <w:rsid w:val="00412600"/>
    <w:rsid w:val="004150FE"/>
    <w:rsid w:val="00415E43"/>
    <w:rsid w:val="00415FC1"/>
    <w:rsid w:val="00421D09"/>
    <w:rsid w:val="00422331"/>
    <w:rsid w:val="00422ED2"/>
    <w:rsid w:val="00423213"/>
    <w:rsid w:val="0042416D"/>
    <w:rsid w:val="00424487"/>
    <w:rsid w:val="00424EA1"/>
    <w:rsid w:val="00430C39"/>
    <w:rsid w:val="00431AED"/>
    <w:rsid w:val="00434F72"/>
    <w:rsid w:val="00435290"/>
    <w:rsid w:val="00436802"/>
    <w:rsid w:val="00437E68"/>
    <w:rsid w:val="00442E45"/>
    <w:rsid w:val="00443AD4"/>
    <w:rsid w:val="00443B72"/>
    <w:rsid w:val="0044438E"/>
    <w:rsid w:val="00445C0F"/>
    <w:rsid w:val="00446A26"/>
    <w:rsid w:val="00451448"/>
    <w:rsid w:val="004516EB"/>
    <w:rsid w:val="004529B6"/>
    <w:rsid w:val="00453DBD"/>
    <w:rsid w:val="00454699"/>
    <w:rsid w:val="00454CE6"/>
    <w:rsid w:val="00455463"/>
    <w:rsid w:val="00455C68"/>
    <w:rsid w:val="00456076"/>
    <w:rsid w:val="00457305"/>
    <w:rsid w:val="00457850"/>
    <w:rsid w:val="00457955"/>
    <w:rsid w:val="0046179C"/>
    <w:rsid w:val="00462881"/>
    <w:rsid w:val="00462DA6"/>
    <w:rsid w:val="004640F2"/>
    <w:rsid w:val="00467337"/>
    <w:rsid w:val="00467C17"/>
    <w:rsid w:val="00471D57"/>
    <w:rsid w:val="004730D9"/>
    <w:rsid w:val="00475345"/>
    <w:rsid w:val="00475F48"/>
    <w:rsid w:val="004765BB"/>
    <w:rsid w:val="00476790"/>
    <w:rsid w:val="004777ED"/>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975F9"/>
    <w:rsid w:val="004A0517"/>
    <w:rsid w:val="004A114B"/>
    <w:rsid w:val="004A17F9"/>
    <w:rsid w:val="004A2363"/>
    <w:rsid w:val="004A290F"/>
    <w:rsid w:val="004A55D8"/>
    <w:rsid w:val="004A5FFD"/>
    <w:rsid w:val="004A6A62"/>
    <w:rsid w:val="004A7B7A"/>
    <w:rsid w:val="004A7CE2"/>
    <w:rsid w:val="004B031A"/>
    <w:rsid w:val="004B1236"/>
    <w:rsid w:val="004B1ACE"/>
    <w:rsid w:val="004B234F"/>
    <w:rsid w:val="004B34F6"/>
    <w:rsid w:val="004B353F"/>
    <w:rsid w:val="004B59BB"/>
    <w:rsid w:val="004B5CCC"/>
    <w:rsid w:val="004C117E"/>
    <w:rsid w:val="004C13A0"/>
    <w:rsid w:val="004C2845"/>
    <w:rsid w:val="004C3081"/>
    <w:rsid w:val="004C5149"/>
    <w:rsid w:val="004C7961"/>
    <w:rsid w:val="004D0658"/>
    <w:rsid w:val="004D08EB"/>
    <w:rsid w:val="004D16C3"/>
    <w:rsid w:val="004D3B15"/>
    <w:rsid w:val="004D54E3"/>
    <w:rsid w:val="004D6459"/>
    <w:rsid w:val="004D6635"/>
    <w:rsid w:val="004D761E"/>
    <w:rsid w:val="004E1A3D"/>
    <w:rsid w:val="004E1A71"/>
    <w:rsid w:val="004E2371"/>
    <w:rsid w:val="004E3C3B"/>
    <w:rsid w:val="004E5F35"/>
    <w:rsid w:val="004E6BE9"/>
    <w:rsid w:val="004E754F"/>
    <w:rsid w:val="004E7A84"/>
    <w:rsid w:val="004F002A"/>
    <w:rsid w:val="004F0538"/>
    <w:rsid w:val="004F17D6"/>
    <w:rsid w:val="004F2337"/>
    <w:rsid w:val="004F3024"/>
    <w:rsid w:val="004F33EA"/>
    <w:rsid w:val="004F4F45"/>
    <w:rsid w:val="005001FE"/>
    <w:rsid w:val="005020E9"/>
    <w:rsid w:val="00502D98"/>
    <w:rsid w:val="00503655"/>
    <w:rsid w:val="00504967"/>
    <w:rsid w:val="00504BE3"/>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79E4"/>
    <w:rsid w:val="00520593"/>
    <w:rsid w:val="00521E57"/>
    <w:rsid w:val="005224DC"/>
    <w:rsid w:val="005230F0"/>
    <w:rsid w:val="005248D7"/>
    <w:rsid w:val="00525093"/>
    <w:rsid w:val="005305EA"/>
    <w:rsid w:val="00530E42"/>
    <w:rsid w:val="0053201A"/>
    <w:rsid w:val="0053652A"/>
    <w:rsid w:val="00536D71"/>
    <w:rsid w:val="005371E7"/>
    <w:rsid w:val="00537E4B"/>
    <w:rsid w:val="00540538"/>
    <w:rsid w:val="005419CC"/>
    <w:rsid w:val="00542664"/>
    <w:rsid w:val="00543933"/>
    <w:rsid w:val="00543E22"/>
    <w:rsid w:val="00544216"/>
    <w:rsid w:val="00544CF2"/>
    <w:rsid w:val="00545657"/>
    <w:rsid w:val="0054731A"/>
    <w:rsid w:val="00547B78"/>
    <w:rsid w:val="00551E8B"/>
    <w:rsid w:val="005520FE"/>
    <w:rsid w:val="0055263C"/>
    <w:rsid w:val="005528B9"/>
    <w:rsid w:val="00553A9A"/>
    <w:rsid w:val="0055472B"/>
    <w:rsid w:val="00555D9A"/>
    <w:rsid w:val="00556513"/>
    <w:rsid w:val="00557F13"/>
    <w:rsid w:val="00561ABC"/>
    <w:rsid w:val="00562653"/>
    <w:rsid w:val="00563CE8"/>
    <w:rsid w:val="00564AD9"/>
    <w:rsid w:val="005656D3"/>
    <w:rsid w:val="005662E2"/>
    <w:rsid w:val="00571389"/>
    <w:rsid w:val="005733EB"/>
    <w:rsid w:val="005734C5"/>
    <w:rsid w:val="00573F5C"/>
    <w:rsid w:val="0057453A"/>
    <w:rsid w:val="00575268"/>
    <w:rsid w:val="00576D51"/>
    <w:rsid w:val="0057792B"/>
    <w:rsid w:val="00580802"/>
    <w:rsid w:val="00581419"/>
    <w:rsid w:val="00581A22"/>
    <w:rsid w:val="00585EC8"/>
    <w:rsid w:val="005860CB"/>
    <w:rsid w:val="0058775C"/>
    <w:rsid w:val="005918F3"/>
    <w:rsid w:val="00591CD3"/>
    <w:rsid w:val="00592EF9"/>
    <w:rsid w:val="00593E91"/>
    <w:rsid w:val="0059442D"/>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C06AA"/>
    <w:rsid w:val="005C17BF"/>
    <w:rsid w:val="005C2CE4"/>
    <w:rsid w:val="005C329A"/>
    <w:rsid w:val="005C57BA"/>
    <w:rsid w:val="005C5860"/>
    <w:rsid w:val="005C6570"/>
    <w:rsid w:val="005C6982"/>
    <w:rsid w:val="005C6B74"/>
    <w:rsid w:val="005C75F8"/>
    <w:rsid w:val="005C7AEA"/>
    <w:rsid w:val="005D08A0"/>
    <w:rsid w:val="005D125D"/>
    <w:rsid w:val="005D29BF"/>
    <w:rsid w:val="005D2B59"/>
    <w:rsid w:val="005D362F"/>
    <w:rsid w:val="005D370F"/>
    <w:rsid w:val="005D3E85"/>
    <w:rsid w:val="005D44D1"/>
    <w:rsid w:val="005D53D6"/>
    <w:rsid w:val="005E1B06"/>
    <w:rsid w:val="005E265D"/>
    <w:rsid w:val="005E3D7D"/>
    <w:rsid w:val="005E3F60"/>
    <w:rsid w:val="005E4D7C"/>
    <w:rsid w:val="005E4F53"/>
    <w:rsid w:val="005E5F6A"/>
    <w:rsid w:val="005F048E"/>
    <w:rsid w:val="005F1744"/>
    <w:rsid w:val="005F2047"/>
    <w:rsid w:val="005F2C76"/>
    <w:rsid w:val="005F57F0"/>
    <w:rsid w:val="00601010"/>
    <w:rsid w:val="006028C9"/>
    <w:rsid w:val="0060676C"/>
    <w:rsid w:val="00606B79"/>
    <w:rsid w:val="00606FC5"/>
    <w:rsid w:val="0060721D"/>
    <w:rsid w:val="0061042F"/>
    <w:rsid w:val="00613A70"/>
    <w:rsid w:val="00614EE0"/>
    <w:rsid w:val="006168E4"/>
    <w:rsid w:val="00621F47"/>
    <w:rsid w:val="00622359"/>
    <w:rsid w:val="0062421A"/>
    <w:rsid w:val="0062497C"/>
    <w:rsid w:val="00625200"/>
    <w:rsid w:val="006255AA"/>
    <w:rsid w:val="00630846"/>
    <w:rsid w:val="00631806"/>
    <w:rsid w:val="00636FD7"/>
    <w:rsid w:val="00637512"/>
    <w:rsid w:val="00640EE4"/>
    <w:rsid w:val="006448CE"/>
    <w:rsid w:val="006456FA"/>
    <w:rsid w:val="006466F5"/>
    <w:rsid w:val="00646C24"/>
    <w:rsid w:val="00652BC5"/>
    <w:rsid w:val="00656060"/>
    <w:rsid w:val="00661753"/>
    <w:rsid w:val="0066216F"/>
    <w:rsid w:val="00662F1C"/>
    <w:rsid w:val="00663A16"/>
    <w:rsid w:val="00663C3F"/>
    <w:rsid w:val="00664B05"/>
    <w:rsid w:val="00664C1E"/>
    <w:rsid w:val="006654F6"/>
    <w:rsid w:val="00665BDE"/>
    <w:rsid w:val="00666CAF"/>
    <w:rsid w:val="00675390"/>
    <w:rsid w:val="00676CAA"/>
    <w:rsid w:val="006802CF"/>
    <w:rsid w:val="006827AB"/>
    <w:rsid w:val="006831E4"/>
    <w:rsid w:val="00683B62"/>
    <w:rsid w:val="006848B7"/>
    <w:rsid w:val="006868A7"/>
    <w:rsid w:val="00690791"/>
    <w:rsid w:val="006915EA"/>
    <w:rsid w:val="00694828"/>
    <w:rsid w:val="006A1B2A"/>
    <w:rsid w:val="006A3810"/>
    <w:rsid w:val="006A65EE"/>
    <w:rsid w:val="006A68B8"/>
    <w:rsid w:val="006A6B72"/>
    <w:rsid w:val="006A7CEB"/>
    <w:rsid w:val="006B1953"/>
    <w:rsid w:val="006B1BF1"/>
    <w:rsid w:val="006B20F0"/>
    <w:rsid w:val="006B2232"/>
    <w:rsid w:val="006B26E3"/>
    <w:rsid w:val="006B3085"/>
    <w:rsid w:val="006B4AC0"/>
    <w:rsid w:val="006B4B6D"/>
    <w:rsid w:val="006B5AF9"/>
    <w:rsid w:val="006B69CF"/>
    <w:rsid w:val="006B7444"/>
    <w:rsid w:val="006C00DA"/>
    <w:rsid w:val="006C1157"/>
    <w:rsid w:val="006C1237"/>
    <w:rsid w:val="006C17FD"/>
    <w:rsid w:val="006C1884"/>
    <w:rsid w:val="006C28CA"/>
    <w:rsid w:val="006C350D"/>
    <w:rsid w:val="006C4A9C"/>
    <w:rsid w:val="006C5E56"/>
    <w:rsid w:val="006C66E4"/>
    <w:rsid w:val="006C7428"/>
    <w:rsid w:val="006D23FC"/>
    <w:rsid w:val="006D2665"/>
    <w:rsid w:val="006D643D"/>
    <w:rsid w:val="006E063C"/>
    <w:rsid w:val="006E0EA3"/>
    <w:rsid w:val="006E2A11"/>
    <w:rsid w:val="006E3851"/>
    <w:rsid w:val="006E53FF"/>
    <w:rsid w:val="006E7EEE"/>
    <w:rsid w:val="006F1167"/>
    <w:rsid w:val="006F4044"/>
    <w:rsid w:val="006F46DC"/>
    <w:rsid w:val="006F4CC6"/>
    <w:rsid w:val="006F6BBD"/>
    <w:rsid w:val="00701033"/>
    <w:rsid w:val="00701A3F"/>
    <w:rsid w:val="00701E4C"/>
    <w:rsid w:val="007028EB"/>
    <w:rsid w:val="00702A03"/>
    <w:rsid w:val="00702A61"/>
    <w:rsid w:val="00703CCB"/>
    <w:rsid w:val="00704BD8"/>
    <w:rsid w:val="00704EFD"/>
    <w:rsid w:val="007051A0"/>
    <w:rsid w:val="00705B96"/>
    <w:rsid w:val="007078C8"/>
    <w:rsid w:val="00710005"/>
    <w:rsid w:val="00710FC7"/>
    <w:rsid w:val="00711764"/>
    <w:rsid w:val="00712E3A"/>
    <w:rsid w:val="00713318"/>
    <w:rsid w:val="00713CE6"/>
    <w:rsid w:val="007169EF"/>
    <w:rsid w:val="00717DB6"/>
    <w:rsid w:val="00721506"/>
    <w:rsid w:val="007216DB"/>
    <w:rsid w:val="0072323D"/>
    <w:rsid w:val="007246D3"/>
    <w:rsid w:val="00725F5A"/>
    <w:rsid w:val="007274EC"/>
    <w:rsid w:val="00727AD2"/>
    <w:rsid w:val="007326A5"/>
    <w:rsid w:val="00734262"/>
    <w:rsid w:val="00734816"/>
    <w:rsid w:val="00737175"/>
    <w:rsid w:val="00737605"/>
    <w:rsid w:val="007404D5"/>
    <w:rsid w:val="00740BDD"/>
    <w:rsid w:val="007417C8"/>
    <w:rsid w:val="00743FE4"/>
    <w:rsid w:val="00744287"/>
    <w:rsid w:val="00744EEF"/>
    <w:rsid w:val="00745444"/>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21F5"/>
    <w:rsid w:val="007729BE"/>
    <w:rsid w:val="00773F54"/>
    <w:rsid w:val="007742A7"/>
    <w:rsid w:val="00777034"/>
    <w:rsid w:val="0078090A"/>
    <w:rsid w:val="007813A4"/>
    <w:rsid w:val="0078350D"/>
    <w:rsid w:val="007851D5"/>
    <w:rsid w:val="0078766F"/>
    <w:rsid w:val="007930EC"/>
    <w:rsid w:val="00793CFD"/>
    <w:rsid w:val="00794589"/>
    <w:rsid w:val="0079486A"/>
    <w:rsid w:val="00794F80"/>
    <w:rsid w:val="007A00E9"/>
    <w:rsid w:val="007A0454"/>
    <w:rsid w:val="007A0AE8"/>
    <w:rsid w:val="007A0E44"/>
    <w:rsid w:val="007A1C9E"/>
    <w:rsid w:val="007A4CA1"/>
    <w:rsid w:val="007A5DFD"/>
    <w:rsid w:val="007A5F49"/>
    <w:rsid w:val="007B0398"/>
    <w:rsid w:val="007B2C77"/>
    <w:rsid w:val="007B2E78"/>
    <w:rsid w:val="007B5E84"/>
    <w:rsid w:val="007B6549"/>
    <w:rsid w:val="007C2D26"/>
    <w:rsid w:val="007C3F2F"/>
    <w:rsid w:val="007C7CDD"/>
    <w:rsid w:val="007D10BD"/>
    <w:rsid w:val="007D1A27"/>
    <w:rsid w:val="007D1B24"/>
    <w:rsid w:val="007D1F15"/>
    <w:rsid w:val="007D25B1"/>
    <w:rsid w:val="007D2878"/>
    <w:rsid w:val="007D3CD6"/>
    <w:rsid w:val="007D5E19"/>
    <w:rsid w:val="007D6FC3"/>
    <w:rsid w:val="007D703A"/>
    <w:rsid w:val="007D743F"/>
    <w:rsid w:val="007E0180"/>
    <w:rsid w:val="007E07B4"/>
    <w:rsid w:val="007E207F"/>
    <w:rsid w:val="007E319E"/>
    <w:rsid w:val="007E4FA1"/>
    <w:rsid w:val="007E7B07"/>
    <w:rsid w:val="007E7BAB"/>
    <w:rsid w:val="007E7DCE"/>
    <w:rsid w:val="007E7FA9"/>
    <w:rsid w:val="007F20AC"/>
    <w:rsid w:val="007F2A58"/>
    <w:rsid w:val="007F4BB2"/>
    <w:rsid w:val="007F6623"/>
    <w:rsid w:val="00802C56"/>
    <w:rsid w:val="008053CE"/>
    <w:rsid w:val="008056BC"/>
    <w:rsid w:val="00806EE9"/>
    <w:rsid w:val="00807750"/>
    <w:rsid w:val="00807E35"/>
    <w:rsid w:val="008106AC"/>
    <w:rsid w:val="00811205"/>
    <w:rsid w:val="00812AC9"/>
    <w:rsid w:val="00812C48"/>
    <w:rsid w:val="00814097"/>
    <w:rsid w:val="008146F9"/>
    <w:rsid w:val="00814727"/>
    <w:rsid w:val="00814D7C"/>
    <w:rsid w:val="00821413"/>
    <w:rsid w:val="008218CD"/>
    <w:rsid w:val="00821AEB"/>
    <w:rsid w:val="00821E26"/>
    <w:rsid w:val="00824DCD"/>
    <w:rsid w:val="0082634C"/>
    <w:rsid w:val="008266BB"/>
    <w:rsid w:val="00827964"/>
    <w:rsid w:val="008311A6"/>
    <w:rsid w:val="008327EA"/>
    <w:rsid w:val="00833E8A"/>
    <w:rsid w:val="008349CC"/>
    <w:rsid w:val="00834D2F"/>
    <w:rsid w:val="0083510D"/>
    <w:rsid w:val="008357C0"/>
    <w:rsid w:val="00836987"/>
    <w:rsid w:val="00844009"/>
    <w:rsid w:val="00844569"/>
    <w:rsid w:val="00844CDE"/>
    <w:rsid w:val="00845083"/>
    <w:rsid w:val="0084574B"/>
    <w:rsid w:val="00847CAF"/>
    <w:rsid w:val="00847D23"/>
    <w:rsid w:val="00850860"/>
    <w:rsid w:val="008556FF"/>
    <w:rsid w:val="0085680C"/>
    <w:rsid w:val="00856C08"/>
    <w:rsid w:val="00857106"/>
    <w:rsid w:val="00857765"/>
    <w:rsid w:val="00860250"/>
    <w:rsid w:val="00861770"/>
    <w:rsid w:val="00862AEE"/>
    <w:rsid w:val="00863327"/>
    <w:rsid w:val="00863A40"/>
    <w:rsid w:val="0086704E"/>
    <w:rsid w:val="00867B0E"/>
    <w:rsid w:val="00867F7E"/>
    <w:rsid w:val="00870B18"/>
    <w:rsid w:val="00870F44"/>
    <w:rsid w:val="00872ECB"/>
    <w:rsid w:val="0087456A"/>
    <w:rsid w:val="008763E4"/>
    <w:rsid w:val="008770FC"/>
    <w:rsid w:val="00877C8E"/>
    <w:rsid w:val="00884054"/>
    <w:rsid w:val="008861A4"/>
    <w:rsid w:val="00890B7A"/>
    <w:rsid w:val="00890C62"/>
    <w:rsid w:val="0089173B"/>
    <w:rsid w:val="0089319E"/>
    <w:rsid w:val="0089437B"/>
    <w:rsid w:val="008945F5"/>
    <w:rsid w:val="00895089"/>
    <w:rsid w:val="008951ED"/>
    <w:rsid w:val="0089761E"/>
    <w:rsid w:val="008977EE"/>
    <w:rsid w:val="008A0693"/>
    <w:rsid w:val="008A25E6"/>
    <w:rsid w:val="008A50A9"/>
    <w:rsid w:val="008A5928"/>
    <w:rsid w:val="008A75BE"/>
    <w:rsid w:val="008B0D6E"/>
    <w:rsid w:val="008B1AD9"/>
    <w:rsid w:val="008B1D2E"/>
    <w:rsid w:val="008B1FD5"/>
    <w:rsid w:val="008B2C60"/>
    <w:rsid w:val="008B4DF4"/>
    <w:rsid w:val="008B5971"/>
    <w:rsid w:val="008B6C58"/>
    <w:rsid w:val="008B70DC"/>
    <w:rsid w:val="008B7C54"/>
    <w:rsid w:val="008C08BE"/>
    <w:rsid w:val="008C229F"/>
    <w:rsid w:val="008C32A8"/>
    <w:rsid w:val="008C3445"/>
    <w:rsid w:val="008C366D"/>
    <w:rsid w:val="008C4993"/>
    <w:rsid w:val="008C4E94"/>
    <w:rsid w:val="008C5595"/>
    <w:rsid w:val="008C55A3"/>
    <w:rsid w:val="008C5AEB"/>
    <w:rsid w:val="008C7368"/>
    <w:rsid w:val="008C7C6A"/>
    <w:rsid w:val="008D32F0"/>
    <w:rsid w:val="008D595F"/>
    <w:rsid w:val="008D7453"/>
    <w:rsid w:val="008D7E56"/>
    <w:rsid w:val="008E012F"/>
    <w:rsid w:val="008E6375"/>
    <w:rsid w:val="008F010F"/>
    <w:rsid w:val="008F17A1"/>
    <w:rsid w:val="008F2158"/>
    <w:rsid w:val="008F3D79"/>
    <w:rsid w:val="008F4670"/>
    <w:rsid w:val="008F4C65"/>
    <w:rsid w:val="008F4FF0"/>
    <w:rsid w:val="008F5D20"/>
    <w:rsid w:val="008F7579"/>
    <w:rsid w:val="0090019F"/>
    <w:rsid w:val="009020B3"/>
    <w:rsid w:val="00902944"/>
    <w:rsid w:val="009041AF"/>
    <w:rsid w:val="00904FCB"/>
    <w:rsid w:val="00905422"/>
    <w:rsid w:val="009067B3"/>
    <w:rsid w:val="00906BD5"/>
    <w:rsid w:val="0090759E"/>
    <w:rsid w:val="009104D1"/>
    <w:rsid w:val="00911863"/>
    <w:rsid w:val="00913133"/>
    <w:rsid w:val="0091317A"/>
    <w:rsid w:val="009131C3"/>
    <w:rsid w:val="0091475B"/>
    <w:rsid w:val="00914DC8"/>
    <w:rsid w:val="00915DB9"/>
    <w:rsid w:val="0092120C"/>
    <w:rsid w:val="00921AC3"/>
    <w:rsid w:val="00921DB9"/>
    <w:rsid w:val="0092403D"/>
    <w:rsid w:val="00924E40"/>
    <w:rsid w:val="0092524A"/>
    <w:rsid w:val="00925E60"/>
    <w:rsid w:val="00926C36"/>
    <w:rsid w:val="009304CD"/>
    <w:rsid w:val="00933BEE"/>
    <w:rsid w:val="00934304"/>
    <w:rsid w:val="00934415"/>
    <w:rsid w:val="009402DB"/>
    <w:rsid w:val="00942E41"/>
    <w:rsid w:val="009440D8"/>
    <w:rsid w:val="009449B8"/>
    <w:rsid w:val="00944DC9"/>
    <w:rsid w:val="00944F1C"/>
    <w:rsid w:val="00945203"/>
    <w:rsid w:val="009454B4"/>
    <w:rsid w:val="009454E7"/>
    <w:rsid w:val="0094603F"/>
    <w:rsid w:val="00946F3D"/>
    <w:rsid w:val="0094756E"/>
    <w:rsid w:val="009478D8"/>
    <w:rsid w:val="00951F85"/>
    <w:rsid w:val="00952850"/>
    <w:rsid w:val="0095320D"/>
    <w:rsid w:val="009555DC"/>
    <w:rsid w:val="009611E0"/>
    <w:rsid w:val="00961302"/>
    <w:rsid w:val="0096200F"/>
    <w:rsid w:val="00962383"/>
    <w:rsid w:val="00963120"/>
    <w:rsid w:val="009645F8"/>
    <w:rsid w:val="0096478F"/>
    <w:rsid w:val="00965FEE"/>
    <w:rsid w:val="0096643B"/>
    <w:rsid w:val="009664A1"/>
    <w:rsid w:val="00966B7A"/>
    <w:rsid w:val="00967852"/>
    <w:rsid w:val="009706B5"/>
    <w:rsid w:val="009726B9"/>
    <w:rsid w:val="00972BDF"/>
    <w:rsid w:val="00972CF8"/>
    <w:rsid w:val="009732F5"/>
    <w:rsid w:val="00973AFB"/>
    <w:rsid w:val="00973F49"/>
    <w:rsid w:val="00981203"/>
    <w:rsid w:val="0098182D"/>
    <w:rsid w:val="00982A98"/>
    <w:rsid w:val="00983349"/>
    <w:rsid w:val="0098411C"/>
    <w:rsid w:val="009855E2"/>
    <w:rsid w:val="00987C03"/>
    <w:rsid w:val="00990E3D"/>
    <w:rsid w:val="00992977"/>
    <w:rsid w:val="00992B07"/>
    <w:rsid w:val="009953AB"/>
    <w:rsid w:val="0099557F"/>
    <w:rsid w:val="00997406"/>
    <w:rsid w:val="009A148F"/>
    <w:rsid w:val="009A3511"/>
    <w:rsid w:val="009A4C4C"/>
    <w:rsid w:val="009A686F"/>
    <w:rsid w:val="009A7912"/>
    <w:rsid w:val="009B0094"/>
    <w:rsid w:val="009B2777"/>
    <w:rsid w:val="009B28E9"/>
    <w:rsid w:val="009B33A8"/>
    <w:rsid w:val="009B3487"/>
    <w:rsid w:val="009B390A"/>
    <w:rsid w:val="009B7C61"/>
    <w:rsid w:val="009C22B1"/>
    <w:rsid w:val="009C3677"/>
    <w:rsid w:val="009C3793"/>
    <w:rsid w:val="009C54FC"/>
    <w:rsid w:val="009C552E"/>
    <w:rsid w:val="009C62BD"/>
    <w:rsid w:val="009C68AC"/>
    <w:rsid w:val="009C6AF8"/>
    <w:rsid w:val="009C6ED3"/>
    <w:rsid w:val="009D25AE"/>
    <w:rsid w:val="009D26AD"/>
    <w:rsid w:val="009D341C"/>
    <w:rsid w:val="009D3C55"/>
    <w:rsid w:val="009D45BD"/>
    <w:rsid w:val="009D5261"/>
    <w:rsid w:val="009D76A3"/>
    <w:rsid w:val="009D7939"/>
    <w:rsid w:val="009E1411"/>
    <w:rsid w:val="009E19FC"/>
    <w:rsid w:val="009E52F2"/>
    <w:rsid w:val="009E70BE"/>
    <w:rsid w:val="009F1118"/>
    <w:rsid w:val="009F1287"/>
    <w:rsid w:val="009F25EB"/>
    <w:rsid w:val="009F2A10"/>
    <w:rsid w:val="009F333B"/>
    <w:rsid w:val="009F3C1F"/>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4B5A"/>
    <w:rsid w:val="00A16B9F"/>
    <w:rsid w:val="00A17BE7"/>
    <w:rsid w:val="00A20113"/>
    <w:rsid w:val="00A245CF"/>
    <w:rsid w:val="00A24AA9"/>
    <w:rsid w:val="00A24B74"/>
    <w:rsid w:val="00A3248C"/>
    <w:rsid w:val="00A339E6"/>
    <w:rsid w:val="00A33EF8"/>
    <w:rsid w:val="00A34362"/>
    <w:rsid w:val="00A343D5"/>
    <w:rsid w:val="00A358E6"/>
    <w:rsid w:val="00A37C0F"/>
    <w:rsid w:val="00A409B6"/>
    <w:rsid w:val="00A40C24"/>
    <w:rsid w:val="00A40CCA"/>
    <w:rsid w:val="00A422B7"/>
    <w:rsid w:val="00A424E5"/>
    <w:rsid w:val="00A44291"/>
    <w:rsid w:val="00A452EB"/>
    <w:rsid w:val="00A453DC"/>
    <w:rsid w:val="00A46457"/>
    <w:rsid w:val="00A47E33"/>
    <w:rsid w:val="00A50182"/>
    <w:rsid w:val="00A50B14"/>
    <w:rsid w:val="00A51024"/>
    <w:rsid w:val="00A51109"/>
    <w:rsid w:val="00A51B3C"/>
    <w:rsid w:val="00A51F37"/>
    <w:rsid w:val="00A544DC"/>
    <w:rsid w:val="00A54E6E"/>
    <w:rsid w:val="00A55818"/>
    <w:rsid w:val="00A56153"/>
    <w:rsid w:val="00A56556"/>
    <w:rsid w:val="00A57056"/>
    <w:rsid w:val="00A5790A"/>
    <w:rsid w:val="00A625E2"/>
    <w:rsid w:val="00A63DC7"/>
    <w:rsid w:val="00A65B7E"/>
    <w:rsid w:val="00A70289"/>
    <w:rsid w:val="00A71DEC"/>
    <w:rsid w:val="00A72105"/>
    <w:rsid w:val="00A72465"/>
    <w:rsid w:val="00A72743"/>
    <w:rsid w:val="00A75978"/>
    <w:rsid w:val="00A80C92"/>
    <w:rsid w:val="00A82461"/>
    <w:rsid w:val="00A84417"/>
    <w:rsid w:val="00A851D8"/>
    <w:rsid w:val="00A870C4"/>
    <w:rsid w:val="00A87326"/>
    <w:rsid w:val="00A915F4"/>
    <w:rsid w:val="00A94568"/>
    <w:rsid w:val="00A953BA"/>
    <w:rsid w:val="00A95799"/>
    <w:rsid w:val="00A95C19"/>
    <w:rsid w:val="00A96F9F"/>
    <w:rsid w:val="00A9701A"/>
    <w:rsid w:val="00A977B0"/>
    <w:rsid w:val="00AA0848"/>
    <w:rsid w:val="00AA0AAF"/>
    <w:rsid w:val="00AA2C55"/>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6EB2"/>
    <w:rsid w:val="00AC722C"/>
    <w:rsid w:val="00AC75C1"/>
    <w:rsid w:val="00AC7906"/>
    <w:rsid w:val="00AD1291"/>
    <w:rsid w:val="00AD134F"/>
    <w:rsid w:val="00AD18E2"/>
    <w:rsid w:val="00AD1F40"/>
    <w:rsid w:val="00AD301D"/>
    <w:rsid w:val="00AD3428"/>
    <w:rsid w:val="00AD3604"/>
    <w:rsid w:val="00AD3AA2"/>
    <w:rsid w:val="00AD43B8"/>
    <w:rsid w:val="00AD4B1A"/>
    <w:rsid w:val="00AD5295"/>
    <w:rsid w:val="00AD6387"/>
    <w:rsid w:val="00AE008F"/>
    <w:rsid w:val="00AE4896"/>
    <w:rsid w:val="00AF0161"/>
    <w:rsid w:val="00AF2A1F"/>
    <w:rsid w:val="00AF2D9B"/>
    <w:rsid w:val="00AF352C"/>
    <w:rsid w:val="00B00628"/>
    <w:rsid w:val="00B011F5"/>
    <w:rsid w:val="00B0749B"/>
    <w:rsid w:val="00B10050"/>
    <w:rsid w:val="00B10A1E"/>
    <w:rsid w:val="00B11866"/>
    <w:rsid w:val="00B11E08"/>
    <w:rsid w:val="00B12FF9"/>
    <w:rsid w:val="00B14039"/>
    <w:rsid w:val="00B149FA"/>
    <w:rsid w:val="00B16A64"/>
    <w:rsid w:val="00B177F4"/>
    <w:rsid w:val="00B204AB"/>
    <w:rsid w:val="00B22242"/>
    <w:rsid w:val="00B2232C"/>
    <w:rsid w:val="00B2330D"/>
    <w:rsid w:val="00B23384"/>
    <w:rsid w:val="00B25008"/>
    <w:rsid w:val="00B27191"/>
    <w:rsid w:val="00B27F33"/>
    <w:rsid w:val="00B32CD3"/>
    <w:rsid w:val="00B34CED"/>
    <w:rsid w:val="00B35A93"/>
    <w:rsid w:val="00B3672D"/>
    <w:rsid w:val="00B36F16"/>
    <w:rsid w:val="00B37E9B"/>
    <w:rsid w:val="00B433C9"/>
    <w:rsid w:val="00B436EA"/>
    <w:rsid w:val="00B437D8"/>
    <w:rsid w:val="00B44ADE"/>
    <w:rsid w:val="00B46B42"/>
    <w:rsid w:val="00B4745C"/>
    <w:rsid w:val="00B52D3E"/>
    <w:rsid w:val="00B52E55"/>
    <w:rsid w:val="00B534F0"/>
    <w:rsid w:val="00B54500"/>
    <w:rsid w:val="00B54C62"/>
    <w:rsid w:val="00B56CAC"/>
    <w:rsid w:val="00B57980"/>
    <w:rsid w:val="00B57FC3"/>
    <w:rsid w:val="00B601D4"/>
    <w:rsid w:val="00B60DA2"/>
    <w:rsid w:val="00B6166B"/>
    <w:rsid w:val="00B61955"/>
    <w:rsid w:val="00B61C39"/>
    <w:rsid w:val="00B622EF"/>
    <w:rsid w:val="00B62444"/>
    <w:rsid w:val="00B63BC9"/>
    <w:rsid w:val="00B653BB"/>
    <w:rsid w:val="00B66E86"/>
    <w:rsid w:val="00B67A20"/>
    <w:rsid w:val="00B710FE"/>
    <w:rsid w:val="00B71767"/>
    <w:rsid w:val="00B724E8"/>
    <w:rsid w:val="00B7280E"/>
    <w:rsid w:val="00B729E9"/>
    <w:rsid w:val="00B73FE9"/>
    <w:rsid w:val="00B7701B"/>
    <w:rsid w:val="00B87D50"/>
    <w:rsid w:val="00B9105B"/>
    <w:rsid w:val="00B91BCB"/>
    <w:rsid w:val="00B9223B"/>
    <w:rsid w:val="00B94AAC"/>
    <w:rsid w:val="00B94AE7"/>
    <w:rsid w:val="00B953BD"/>
    <w:rsid w:val="00B95905"/>
    <w:rsid w:val="00B95E96"/>
    <w:rsid w:val="00B97286"/>
    <w:rsid w:val="00B97421"/>
    <w:rsid w:val="00BA2A94"/>
    <w:rsid w:val="00BA4D1F"/>
    <w:rsid w:val="00BA5339"/>
    <w:rsid w:val="00BA6226"/>
    <w:rsid w:val="00BA7AD1"/>
    <w:rsid w:val="00BB0F3F"/>
    <w:rsid w:val="00BB1091"/>
    <w:rsid w:val="00BB2250"/>
    <w:rsid w:val="00BB3132"/>
    <w:rsid w:val="00BB4F99"/>
    <w:rsid w:val="00BB5448"/>
    <w:rsid w:val="00BB68CA"/>
    <w:rsid w:val="00BB721B"/>
    <w:rsid w:val="00BC0FDD"/>
    <w:rsid w:val="00BC130D"/>
    <w:rsid w:val="00BC22E0"/>
    <w:rsid w:val="00BC2A46"/>
    <w:rsid w:val="00BC3FA4"/>
    <w:rsid w:val="00BC5BA0"/>
    <w:rsid w:val="00BD004A"/>
    <w:rsid w:val="00BD352C"/>
    <w:rsid w:val="00BD3723"/>
    <w:rsid w:val="00BD5023"/>
    <w:rsid w:val="00BD5133"/>
    <w:rsid w:val="00BD58AB"/>
    <w:rsid w:val="00BE28ED"/>
    <w:rsid w:val="00BE2E30"/>
    <w:rsid w:val="00BE3339"/>
    <w:rsid w:val="00BE5B67"/>
    <w:rsid w:val="00BF1D3A"/>
    <w:rsid w:val="00C008B2"/>
    <w:rsid w:val="00C0130E"/>
    <w:rsid w:val="00C01A44"/>
    <w:rsid w:val="00C01ABC"/>
    <w:rsid w:val="00C01E1C"/>
    <w:rsid w:val="00C01F6B"/>
    <w:rsid w:val="00C02A84"/>
    <w:rsid w:val="00C07B2D"/>
    <w:rsid w:val="00C12209"/>
    <w:rsid w:val="00C135B2"/>
    <w:rsid w:val="00C14CD6"/>
    <w:rsid w:val="00C15C47"/>
    <w:rsid w:val="00C16927"/>
    <w:rsid w:val="00C16B5D"/>
    <w:rsid w:val="00C20070"/>
    <w:rsid w:val="00C2082E"/>
    <w:rsid w:val="00C20835"/>
    <w:rsid w:val="00C22CC5"/>
    <w:rsid w:val="00C23BE8"/>
    <w:rsid w:val="00C24A09"/>
    <w:rsid w:val="00C25084"/>
    <w:rsid w:val="00C274BE"/>
    <w:rsid w:val="00C274C6"/>
    <w:rsid w:val="00C27A37"/>
    <w:rsid w:val="00C310B6"/>
    <w:rsid w:val="00C31311"/>
    <w:rsid w:val="00C321D9"/>
    <w:rsid w:val="00C3330D"/>
    <w:rsid w:val="00C34654"/>
    <w:rsid w:val="00C347FE"/>
    <w:rsid w:val="00C357BE"/>
    <w:rsid w:val="00C36F96"/>
    <w:rsid w:val="00C4006D"/>
    <w:rsid w:val="00C419E1"/>
    <w:rsid w:val="00C4530E"/>
    <w:rsid w:val="00C45C21"/>
    <w:rsid w:val="00C503EB"/>
    <w:rsid w:val="00C524AB"/>
    <w:rsid w:val="00C52786"/>
    <w:rsid w:val="00C53F93"/>
    <w:rsid w:val="00C56C44"/>
    <w:rsid w:val="00C57028"/>
    <w:rsid w:val="00C572BB"/>
    <w:rsid w:val="00C57645"/>
    <w:rsid w:val="00C604B3"/>
    <w:rsid w:val="00C6332C"/>
    <w:rsid w:val="00C64828"/>
    <w:rsid w:val="00C651E5"/>
    <w:rsid w:val="00C6664B"/>
    <w:rsid w:val="00C6721D"/>
    <w:rsid w:val="00C677A9"/>
    <w:rsid w:val="00C678B3"/>
    <w:rsid w:val="00C70B4A"/>
    <w:rsid w:val="00C71CD1"/>
    <w:rsid w:val="00C73143"/>
    <w:rsid w:val="00C7710B"/>
    <w:rsid w:val="00C77685"/>
    <w:rsid w:val="00C77815"/>
    <w:rsid w:val="00C77977"/>
    <w:rsid w:val="00C77ABA"/>
    <w:rsid w:val="00C8085F"/>
    <w:rsid w:val="00C80FD2"/>
    <w:rsid w:val="00C811E5"/>
    <w:rsid w:val="00C81AD4"/>
    <w:rsid w:val="00C821B6"/>
    <w:rsid w:val="00C83AF5"/>
    <w:rsid w:val="00C8471E"/>
    <w:rsid w:val="00C850CE"/>
    <w:rsid w:val="00C85378"/>
    <w:rsid w:val="00C86A22"/>
    <w:rsid w:val="00C90BE5"/>
    <w:rsid w:val="00C91B10"/>
    <w:rsid w:val="00C925E0"/>
    <w:rsid w:val="00C9271F"/>
    <w:rsid w:val="00C9297C"/>
    <w:rsid w:val="00C932F8"/>
    <w:rsid w:val="00C950C0"/>
    <w:rsid w:val="00C950D9"/>
    <w:rsid w:val="00C9538D"/>
    <w:rsid w:val="00C95A92"/>
    <w:rsid w:val="00C976C0"/>
    <w:rsid w:val="00CA2449"/>
    <w:rsid w:val="00CA4158"/>
    <w:rsid w:val="00CA5334"/>
    <w:rsid w:val="00CA5732"/>
    <w:rsid w:val="00CA6A85"/>
    <w:rsid w:val="00CA6FDA"/>
    <w:rsid w:val="00CB0886"/>
    <w:rsid w:val="00CB2CC0"/>
    <w:rsid w:val="00CB3B6F"/>
    <w:rsid w:val="00CB5099"/>
    <w:rsid w:val="00CC0C5F"/>
    <w:rsid w:val="00CC0D61"/>
    <w:rsid w:val="00CC2F3D"/>
    <w:rsid w:val="00CC3A2A"/>
    <w:rsid w:val="00CC4CF6"/>
    <w:rsid w:val="00CC51A7"/>
    <w:rsid w:val="00CC5FF3"/>
    <w:rsid w:val="00CC6072"/>
    <w:rsid w:val="00CC6AF6"/>
    <w:rsid w:val="00CD1612"/>
    <w:rsid w:val="00CD170E"/>
    <w:rsid w:val="00CD262A"/>
    <w:rsid w:val="00CD365B"/>
    <w:rsid w:val="00CD4BFA"/>
    <w:rsid w:val="00CD4E49"/>
    <w:rsid w:val="00CD6620"/>
    <w:rsid w:val="00CD76DD"/>
    <w:rsid w:val="00CE0E72"/>
    <w:rsid w:val="00CE2ADF"/>
    <w:rsid w:val="00CE367D"/>
    <w:rsid w:val="00CE3B78"/>
    <w:rsid w:val="00CE4289"/>
    <w:rsid w:val="00CE4560"/>
    <w:rsid w:val="00CE6C5D"/>
    <w:rsid w:val="00CE6D6A"/>
    <w:rsid w:val="00CF1C84"/>
    <w:rsid w:val="00CF1D7D"/>
    <w:rsid w:val="00CF3836"/>
    <w:rsid w:val="00CF45D3"/>
    <w:rsid w:val="00CF51F9"/>
    <w:rsid w:val="00CF6B6C"/>
    <w:rsid w:val="00CF7EA2"/>
    <w:rsid w:val="00D0159B"/>
    <w:rsid w:val="00D04204"/>
    <w:rsid w:val="00D042BB"/>
    <w:rsid w:val="00D05FAE"/>
    <w:rsid w:val="00D06795"/>
    <w:rsid w:val="00D06CA0"/>
    <w:rsid w:val="00D0731B"/>
    <w:rsid w:val="00D115BB"/>
    <w:rsid w:val="00D116F3"/>
    <w:rsid w:val="00D11797"/>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712"/>
    <w:rsid w:val="00D31397"/>
    <w:rsid w:val="00D31EFF"/>
    <w:rsid w:val="00D32644"/>
    <w:rsid w:val="00D33619"/>
    <w:rsid w:val="00D36C02"/>
    <w:rsid w:val="00D400F4"/>
    <w:rsid w:val="00D43CF1"/>
    <w:rsid w:val="00D449AE"/>
    <w:rsid w:val="00D46507"/>
    <w:rsid w:val="00D477C3"/>
    <w:rsid w:val="00D508EB"/>
    <w:rsid w:val="00D50F16"/>
    <w:rsid w:val="00D51B89"/>
    <w:rsid w:val="00D52AC7"/>
    <w:rsid w:val="00D533BD"/>
    <w:rsid w:val="00D54CA9"/>
    <w:rsid w:val="00D54D64"/>
    <w:rsid w:val="00D54E8F"/>
    <w:rsid w:val="00D5567D"/>
    <w:rsid w:val="00D55E4A"/>
    <w:rsid w:val="00D55FBE"/>
    <w:rsid w:val="00D604FD"/>
    <w:rsid w:val="00D61241"/>
    <w:rsid w:val="00D6165D"/>
    <w:rsid w:val="00D6283C"/>
    <w:rsid w:val="00D6340F"/>
    <w:rsid w:val="00D6535E"/>
    <w:rsid w:val="00D654EC"/>
    <w:rsid w:val="00D65BC9"/>
    <w:rsid w:val="00D6681B"/>
    <w:rsid w:val="00D66C0C"/>
    <w:rsid w:val="00D720DC"/>
    <w:rsid w:val="00D72D16"/>
    <w:rsid w:val="00D742B9"/>
    <w:rsid w:val="00D7492C"/>
    <w:rsid w:val="00D766CC"/>
    <w:rsid w:val="00D81029"/>
    <w:rsid w:val="00D812A2"/>
    <w:rsid w:val="00D8195B"/>
    <w:rsid w:val="00D821F8"/>
    <w:rsid w:val="00D832FA"/>
    <w:rsid w:val="00D848F9"/>
    <w:rsid w:val="00D84DDC"/>
    <w:rsid w:val="00D85695"/>
    <w:rsid w:val="00D857BA"/>
    <w:rsid w:val="00D8619F"/>
    <w:rsid w:val="00D86764"/>
    <w:rsid w:val="00D870AC"/>
    <w:rsid w:val="00D90AC8"/>
    <w:rsid w:val="00D90B92"/>
    <w:rsid w:val="00D90C28"/>
    <w:rsid w:val="00D92036"/>
    <w:rsid w:val="00D95611"/>
    <w:rsid w:val="00D97009"/>
    <w:rsid w:val="00DA0DF2"/>
    <w:rsid w:val="00DA1152"/>
    <w:rsid w:val="00DA2157"/>
    <w:rsid w:val="00DA3D5F"/>
    <w:rsid w:val="00DA41D7"/>
    <w:rsid w:val="00DA494B"/>
    <w:rsid w:val="00DA58E1"/>
    <w:rsid w:val="00DA5B72"/>
    <w:rsid w:val="00DB0265"/>
    <w:rsid w:val="00DB0CE0"/>
    <w:rsid w:val="00DB4EE4"/>
    <w:rsid w:val="00DB5C0A"/>
    <w:rsid w:val="00DC0220"/>
    <w:rsid w:val="00DC0A85"/>
    <w:rsid w:val="00DC6B33"/>
    <w:rsid w:val="00DC6FF8"/>
    <w:rsid w:val="00DD01FC"/>
    <w:rsid w:val="00DD13E2"/>
    <w:rsid w:val="00DD435C"/>
    <w:rsid w:val="00DE47A1"/>
    <w:rsid w:val="00DE68E7"/>
    <w:rsid w:val="00DE7DCC"/>
    <w:rsid w:val="00DF003C"/>
    <w:rsid w:val="00DF0E8B"/>
    <w:rsid w:val="00DF0F8A"/>
    <w:rsid w:val="00DF137F"/>
    <w:rsid w:val="00DF29E9"/>
    <w:rsid w:val="00DF2DF1"/>
    <w:rsid w:val="00DF4501"/>
    <w:rsid w:val="00DF5C75"/>
    <w:rsid w:val="00DF65E5"/>
    <w:rsid w:val="00DF6971"/>
    <w:rsid w:val="00DF78AE"/>
    <w:rsid w:val="00E00E78"/>
    <w:rsid w:val="00E02003"/>
    <w:rsid w:val="00E0759A"/>
    <w:rsid w:val="00E076C1"/>
    <w:rsid w:val="00E11544"/>
    <w:rsid w:val="00E117B0"/>
    <w:rsid w:val="00E11E2E"/>
    <w:rsid w:val="00E1235F"/>
    <w:rsid w:val="00E13C83"/>
    <w:rsid w:val="00E15555"/>
    <w:rsid w:val="00E15B7D"/>
    <w:rsid w:val="00E23477"/>
    <w:rsid w:val="00E2408E"/>
    <w:rsid w:val="00E25A1A"/>
    <w:rsid w:val="00E27CDB"/>
    <w:rsid w:val="00E353C6"/>
    <w:rsid w:val="00E371EC"/>
    <w:rsid w:val="00E37B66"/>
    <w:rsid w:val="00E43116"/>
    <w:rsid w:val="00E444DA"/>
    <w:rsid w:val="00E45623"/>
    <w:rsid w:val="00E50179"/>
    <w:rsid w:val="00E50A90"/>
    <w:rsid w:val="00E50F38"/>
    <w:rsid w:val="00E51A48"/>
    <w:rsid w:val="00E51ACE"/>
    <w:rsid w:val="00E53D3D"/>
    <w:rsid w:val="00E550AA"/>
    <w:rsid w:val="00E56CEA"/>
    <w:rsid w:val="00E571F8"/>
    <w:rsid w:val="00E57E5A"/>
    <w:rsid w:val="00E601C5"/>
    <w:rsid w:val="00E6173D"/>
    <w:rsid w:val="00E6369C"/>
    <w:rsid w:val="00E63C1D"/>
    <w:rsid w:val="00E6462D"/>
    <w:rsid w:val="00E64F0A"/>
    <w:rsid w:val="00E67668"/>
    <w:rsid w:val="00E70AEE"/>
    <w:rsid w:val="00E7107E"/>
    <w:rsid w:val="00E71C93"/>
    <w:rsid w:val="00E725D5"/>
    <w:rsid w:val="00E72AE3"/>
    <w:rsid w:val="00E73040"/>
    <w:rsid w:val="00E73937"/>
    <w:rsid w:val="00E73B51"/>
    <w:rsid w:val="00E765AC"/>
    <w:rsid w:val="00E76B98"/>
    <w:rsid w:val="00E76D0D"/>
    <w:rsid w:val="00E7701E"/>
    <w:rsid w:val="00E8151C"/>
    <w:rsid w:val="00E81A88"/>
    <w:rsid w:val="00E81D23"/>
    <w:rsid w:val="00E81E9C"/>
    <w:rsid w:val="00E8255A"/>
    <w:rsid w:val="00E82E15"/>
    <w:rsid w:val="00E83A79"/>
    <w:rsid w:val="00E83FE9"/>
    <w:rsid w:val="00E84151"/>
    <w:rsid w:val="00E860CE"/>
    <w:rsid w:val="00E86CD6"/>
    <w:rsid w:val="00E86FA6"/>
    <w:rsid w:val="00E91117"/>
    <w:rsid w:val="00E91409"/>
    <w:rsid w:val="00E91D17"/>
    <w:rsid w:val="00E91EED"/>
    <w:rsid w:val="00E936FF"/>
    <w:rsid w:val="00E939C8"/>
    <w:rsid w:val="00E93A33"/>
    <w:rsid w:val="00E93B6B"/>
    <w:rsid w:val="00E94308"/>
    <w:rsid w:val="00E9465C"/>
    <w:rsid w:val="00E96C74"/>
    <w:rsid w:val="00EA1195"/>
    <w:rsid w:val="00EA1F89"/>
    <w:rsid w:val="00EA2512"/>
    <w:rsid w:val="00EA2B16"/>
    <w:rsid w:val="00EA5177"/>
    <w:rsid w:val="00EA5C19"/>
    <w:rsid w:val="00EA5DD1"/>
    <w:rsid w:val="00EA6C0E"/>
    <w:rsid w:val="00EA7FEF"/>
    <w:rsid w:val="00EB102D"/>
    <w:rsid w:val="00EB117B"/>
    <w:rsid w:val="00EB2BEB"/>
    <w:rsid w:val="00EB40D6"/>
    <w:rsid w:val="00EB4222"/>
    <w:rsid w:val="00EB5F75"/>
    <w:rsid w:val="00EB79CD"/>
    <w:rsid w:val="00EC2031"/>
    <w:rsid w:val="00EC2F75"/>
    <w:rsid w:val="00EC52A5"/>
    <w:rsid w:val="00ED4C91"/>
    <w:rsid w:val="00ED5985"/>
    <w:rsid w:val="00EE0648"/>
    <w:rsid w:val="00EE079C"/>
    <w:rsid w:val="00EE0F2E"/>
    <w:rsid w:val="00EE1868"/>
    <w:rsid w:val="00EE2610"/>
    <w:rsid w:val="00EE2A41"/>
    <w:rsid w:val="00EE354B"/>
    <w:rsid w:val="00EE3C1D"/>
    <w:rsid w:val="00EE4C43"/>
    <w:rsid w:val="00EE5F57"/>
    <w:rsid w:val="00EE6EC2"/>
    <w:rsid w:val="00EF0144"/>
    <w:rsid w:val="00EF036B"/>
    <w:rsid w:val="00EF09FB"/>
    <w:rsid w:val="00EF0D1C"/>
    <w:rsid w:val="00EF102E"/>
    <w:rsid w:val="00EF107D"/>
    <w:rsid w:val="00EF1553"/>
    <w:rsid w:val="00EF1925"/>
    <w:rsid w:val="00EF1FAF"/>
    <w:rsid w:val="00EF2489"/>
    <w:rsid w:val="00EF4EF0"/>
    <w:rsid w:val="00EF697A"/>
    <w:rsid w:val="00F0128E"/>
    <w:rsid w:val="00F02923"/>
    <w:rsid w:val="00F0351B"/>
    <w:rsid w:val="00F048D7"/>
    <w:rsid w:val="00F06472"/>
    <w:rsid w:val="00F0754D"/>
    <w:rsid w:val="00F10D6B"/>
    <w:rsid w:val="00F123C0"/>
    <w:rsid w:val="00F13254"/>
    <w:rsid w:val="00F144DF"/>
    <w:rsid w:val="00F1465C"/>
    <w:rsid w:val="00F177B1"/>
    <w:rsid w:val="00F22566"/>
    <w:rsid w:val="00F226B2"/>
    <w:rsid w:val="00F226DB"/>
    <w:rsid w:val="00F22963"/>
    <w:rsid w:val="00F22BA4"/>
    <w:rsid w:val="00F232C2"/>
    <w:rsid w:val="00F24599"/>
    <w:rsid w:val="00F278FA"/>
    <w:rsid w:val="00F30F82"/>
    <w:rsid w:val="00F31FEE"/>
    <w:rsid w:val="00F342B2"/>
    <w:rsid w:val="00F367F2"/>
    <w:rsid w:val="00F370A2"/>
    <w:rsid w:val="00F403EA"/>
    <w:rsid w:val="00F407C8"/>
    <w:rsid w:val="00F42452"/>
    <w:rsid w:val="00F42753"/>
    <w:rsid w:val="00F42E10"/>
    <w:rsid w:val="00F440D8"/>
    <w:rsid w:val="00F44A7B"/>
    <w:rsid w:val="00F44FFA"/>
    <w:rsid w:val="00F45B6F"/>
    <w:rsid w:val="00F46BBF"/>
    <w:rsid w:val="00F50DED"/>
    <w:rsid w:val="00F510DB"/>
    <w:rsid w:val="00F516E3"/>
    <w:rsid w:val="00F53720"/>
    <w:rsid w:val="00F5627B"/>
    <w:rsid w:val="00F567CC"/>
    <w:rsid w:val="00F5724D"/>
    <w:rsid w:val="00F6021E"/>
    <w:rsid w:val="00F60AB3"/>
    <w:rsid w:val="00F61E57"/>
    <w:rsid w:val="00F620A1"/>
    <w:rsid w:val="00F62329"/>
    <w:rsid w:val="00F635AC"/>
    <w:rsid w:val="00F65A74"/>
    <w:rsid w:val="00F66F95"/>
    <w:rsid w:val="00F71EE5"/>
    <w:rsid w:val="00F727B0"/>
    <w:rsid w:val="00F72A12"/>
    <w:rsid w:val="00F76A74"/>
    <w:rsid w:val="00F81124"/>
    <w:rsid w:val="00F816C6"/>
    <w:rsid w:val="00F817C5"/>
    <w:rsid w:val="00F841CB"/>
    <w:rsid w:val="00F84FF3"/>
    <w:rsid w:val="00F853E8"/>
    <w:rsid w:val="00F858D5"/>
    <w:rsid w:val="00F87B8C"/>
    <w:rsid w:val="00F909A9"/>
    <w:rsid w:val="00F914FF"/>
    <w:rsid w:val="00F919F5"/>
    <w:rsid w:val="00F91AEE"/>
    <w:rsid w:val="00F979AF"/>
    <w:rsid w:val="00F97C07"/>
    <w:rsid w:val="00FA047C"/>
    <w:rsid w:val="00FA19D2"/>
    <w:rsid w:val="00FA2545"/>
    <w:rsid w:val="00FA2625"/>
    <w:rsid w:val="00FA6326"/>
    <w:rsid w:val="00FA6BFB"/>
    <w:rsid w:val="00FA7EF6"/>
    <w:rsid w:val="00FB0CEB"/>
    <w:rsid w:val="00FB2524"/>
    <w:rsid w:val="00FB4AAD"/>
    <w:rsid w:val="00FB4E3D"/>
    <w:rsid w:val="00FB5EBB"/>
    <w:rsid w:val="00FB5F2A"/>
    <w:rsid w:val="00FB680E"/>
    <w:rsid w:val="00FB6CF8"/>
    <w:rsid w:val="00FC0B7C"/>
    <w:rsid w:val="00FC16E9"/>
    <w:rsid w:val="00FC279C"/>
    <w:rsid w:val="00FC45DE"/>
    <w:rsid w:val="00FC48CB"/>
    <w:rsid w:val="00FC4F9B"/>
    <w:rsid w:val="00FC59F0"/>
    <w:rsid w:val="00FC626B"/>
    <w:rsid w:val="00FD058E"/>
    <w:rsid w:val="00FD0B6D"/>
    <w:rsid w:val="00FD2DEC"/>
    <w:rsid w:val="00FD40CE"/>
    <w:rsid w:val="00FD4599"/>
    <w:rsid w:val="00FD4784"/>
    <w:rsid w:val="00FD51A0"/>
    <w:rsid w:val="00FD65FE"/>
    <w:rsid w:val="00FD7050"/>
    <w:rsid w:val="00FD74EB"/>
    <w:rsid w:val="00FD7681"/>
    <w:rsid w:val="00FE009C"/>
    <w:rsid w:val="00FE01E5"/>
    <w:rsid w:val="00FE214F"/>
    <w:rsid w:val="00FE30F4"/>
    <w:rsid w:val="00FE3579"/>
    <w:rsid w:val="00FE3DA3"/>
    <w:rsid w:val="00FE4094"/>
    <w:rsid w:val="00FE4698"/>
    <w:rsid w:val="00FE5AC1"/>
    <w:rsid w:val="00FE6BC1"/>
    <w:rsid w:val="00FE73F0"/>
    <w:rsid w:val="00FE746B"/>
    <w:rsid w:val="00FF1082"/>
    <w:rsid w:val="00FF146B"/>
    <w:rsid w:val="00FF3652"/>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95487261">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35457097">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quipilco.gob.mx/files/progra20261.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em.com.mx/elsoldetoluca/local/feria-del-pulque-2026-en-jiquipilco-fechas-artistas-confirmados-y-mas-de-50-productores-de-pulque-287124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ID=1000830&amp;Clase=DetalleTesisBL&amp;Semanario=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A5AB-4044-4AA1-92CC-6B55B264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62</Pages>
  <Words>12597</Words>
  <Characters>69286</Characters>
  <Application>Microsoft Office Word</Application>
  <DocSecurity>0</DocSecurity>
  <Lines>577</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19</cp:revision>
  <cp:lastPrinted>2026-05-22T17:07:00Z</cp:lastPrinted>
  <dcterms:created xsi:type="dcterms:W3CDTF">2026-05-11T20:42:00Z</dcterms:created>
  <dcterms:modified xsi:type="dcterms:W3CDTF">2026-05-27T22:11:00Z</dcterms:modified>
</cp:coreProperties>
</file>