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4D8F0" w14:textId="4CB7296A"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bookmarkStart w:id="0" w:name="_GoBack"/>
      <w:bookmarkEnd w:id="0"/>
      <w:r w:rsidRPr="009E7B7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B5551" w:rsidRPr="009E7B76">
        <w:rPr>
          <w:rFonts w:ascii="Palatino Linotype" w:eastAsia="Palatino Linotype" w:hAnsi="Palatino Linotype" w:cs="Palatino Linotype"/>
          <w:sz w:val="22"/>
          <w:szCs w:val="22"/>
        </w:rPr>
        <w:t>vei</w:t>
      </w:r>
      <w:r w:rsidR="00A84BBB" w:rsidRPr="009E7B76">
        <w:rPr>
          <w:rFonts w:ascii="Palatino Linotype" w:eastAsia="Palatino Linotype" w:hAnsi="Palatino Linotype" w:cs="Palatino Linotype"/>
          <w:sz w:val="22"/>
          <w:szCs w:val="22"/>
        </w:rPr>
        <w:t>ntiocho</w:t>
      </w:r>
      <w:r w:rsidR="00ED23A8" w:rsidRPr="009E7B76">
        <w:rPr>
          <w:rFonts w:ascii="Palatino Linotype" w:eastAsia="Palatino Linotype" w:hAnsi="Palatino Linotype" w:cs="Palatino Linotype"/>
          <w:sz w:val="22"/>
          <w:szCs w:val="22"/>
        </w:rPr>
        <w:t xml:space="preserve"> de </w:t>
      </w:r>
      <w:r w:rsidR="00A84BBB" w:rsidRPr="009E7B76">
        <w:rPr>
          <w:rFonts w:ascii="Palatino Linotype" w:eastAsia="Palatino Linotype" w:hAnsi="Palatino Linotype" w:cs="Palatino Linotype"/>
          <w:sz w:val="22"/>
          <w:szCs w:val="22"/>
        </w:rPr>
        <w:t xml:space="preserve">enero </w:t>
      </w:r>
      <w:r w:rsidRPr="009E7B76">
        <w:rPr>
          <w:rFonts w:ascii="Palatino Linotype" w:eastAsia="Palatino Linotype" w:hAnsi="Palatino Linotype" w:cs="Palatino Linotype"/>
          <w:sz w:val="22"/>
          <w:szCs w:val="22"/>
        </w:rPr>
        <w:t xml:space="preserve">de dos mil </w:t>
      </w:r>
      <w:r w:rsidR="00A84BBB" w:rsidRPr="009E7B76">
        <w:rPr>
          <w:rFonts w:ascii="Palatino Linotype" w:eastAsia="Palatino Linotype" w:hAnsi="Palatino Linotype" w:cs="Palatino Linotype"/>
          <w:sz w:val="22"/>
          <w:szCs w:val="22"/>
        </w:rPr>
        <w:t>veintiséis</w:t>
      </w:r>
      <w:r w:rsidRPr="009E7B76">
        <w:rPr>
          <w:rFonts w:ascii="Palatino Linotype" w:eastAsia="Palatino Linotype" w:hAnsi="Palatino Linotype" w:cs="Palatino Linotype"/>
          <w:sz w:val="22"/>
          <w:szCs w:val="22"/>
        </w:rPr>
        <w:t xml:space="preserve">. </w:t>
      </w:r>
    </w:p>
    <w:p w14:paraId="777344C1" w14:textId="166923DF" w:rsidR="00C8599E" w:rsidRPr="009E7B76" w:rsidRDefault="00812BF1" w:rsidP="00B24180">
      <w:pPr>
        <w:tabs>
          <w:tab w:val="left" w:pos="5812"/>
        </w:tabs>
        <w:spacing w:before="240" w:after="240" w:line="360" w:lineRule="auto"/>
        <w:jc w:val="both"/>
        <w:rPr>
          <w:rFonts w:ascii="Palatino Linotype" w:eastAsia="Palatino Linotype" w:hAnsi="Palatino Linotype" w:cs="Palatino Linotype"/>
          <w:b/>
          <w:sz w:val="22"/>
          <w:szCs w:val="22"/>
        </w:rPr>
      </w:pPr>
      <w:bookmarkStart w:id="1" w:name="_heading=h.daj3j2xo6q66" w:colFirst="0" w:colLast="0"/>
      <w:bookmarkEnd w:id="1"/>
      <w:r w:rsidRPr="009E7B76">
        <w:rPr>
          <w:rFonts w:ascii="Palatino Linotype" w:eastAsia="Palatino Linotype" w:hAnsi="Palatino Linotype" w:cs="Palatino Linotype"/>
          <w:b/>
          <w:sz w:val="22"/>
          <w:szCs w:val="22"/>
        </w:rPr>
        <w:t>VISTO</w:t>
      </w:r>
      <w:r w:rsidRPr="009E7B76">
        <w:rPr>
          <w:rFonts w:ascii="Palatino Linotype" w:eastAsia="Palatino Linotype" w:hAnsi="Palatino Linotype" w:cs="Palatino Linotype"/>
          <w:sz w:val="22"/>
          <w:szCs w:val="22"/>
        </w:rPr>
        <w:t xml:space="preserve"> el expediente formado con motivo del recurso de revisión </w:t>
      </w:r>
      <w:r w:rsidRPr="009E7B76">
        <w:rPr>
          <w:rFonts w:ascii="Palatino Linotype" w:eastAsia="Palatino Linotype" w:hAnsi="Palatino Linotype" w:cs="Palatino Linotype"/>
          <w:b/>
          <w:sz w:val="22"/>
          <w:szCs w:val="22"/>
        </w:rPr>
        <w:t>0</w:t>
      </w:r>
      <w:r w:rsidR="00A84BBB" w:rsidRPr="009E7B76">
        <w:rPr>
          <w:rFonts w:ascii="Palatino Linotype" w:eastAsia="Palatino Linotype" w:hAnsi="Palatino Linotype" w:cs="Palatino Linotype"/>
          <w:b/>
          <w:sz w:val="22"/>
          <w:szCs w:val="22"/>
        </w:rPr>
        <w:t>8954</w:t>
      </w:r>
      <w:r w:rsidRPr="009E7B76">
        <w:rPr>
          <w:rFonts w:ascii="Palatino Linotype" w:eastAsia="Palatino Linotype" w:hAnsi="Palatino Linotype" w:cs="Palatino Linotype"/>
          <w:b/>
          <w:sz w:val="22"/>
          <w:szCs w:val="22"/>
        </w:rPr>
        <w:t>/INFOEM/IP/RR/2025</w:t>
      </w:r>
      <w:r w:rsidRPr="009E7B76">
        <w:rPr>
          <w:rFonts w:ascii="Palatino Linotype" w:eastAsia="Palatino Linotype" w:hAnsi="Palatino Linotype" w:cs="Palatino Linotype"/>
          <w:sz w:val="22"/>
          <w:szCs w:val="22"/>
        </w:rPr>
        <w:t>, interpuesto por</w:t>
      </w:r>
      <w:r w:rsidRPr="009E7B76">
        <w:rPr>
          <w:rFonts w:ascii="Palatino Linotype" w:eastAsia="Palatino Linotype" w:hAnsi="Palatino Linotype" w:cs="Palatino Linotype"/>
          <w:b/>
          <w:sz w:val="22"/>
          <w:szCs w:val="22"/>
        </w:rPr>
        <w:t xml:space="preserve"> </w:t>
      </w:r>
      <w:r w:rsidR="00BB5551" w:rsidRPr="009E7B76">
        <w:rPr>
          <w:rFonts w:ascii="Palatino Linotype" w:eastAsia="Palatino Linotype" w:hAnsi="Palatino Linotype" w:cs="Palatino Linotype"/>
          <w:b/>
          <w:sz w:val="22"/>
          <w:szCs w:val="22"/>
        </w:rPr>
        <w:t>una persona que no proporcionó nombre o seudónimo</w:t>
      </w:r>
      <w:r w:rsidRPr="009E7B76">
        <w:rPr>
          <w:rFonts w:ascii="Palatino Linotype" w:eastAsia="Palatino Linotype" w:hAnsi="Palatino Linotype" w:cs="Palatino Linotype"/>
          <w:b/>
          <w:sz w:val="22"/>
          <w:szCs w:val="22"/>
        </w:rPr>
        <w:t>,</w:t>
      </w:r>
      <w:r w:rsidRPr="009E7B76">
        <w:rPr>
          <w:rFonts w:ascii="Palatino Linotype" w:eastAsia="Palatino Linotype" w:hAnsi="Palatino Linotype" w:cs="Palatino Linotype"/>
          <w:sz w:val="22"/>
          <w:szCs w:val="22"/>
        </w:rPr>
        <w:t xml:space="preserve"> en lo sucesivo</w:t>
      </w:r>
      <w:r w:rsidRPr="009E7B76">
        <w:rPr>
          <w:rFonts w:ascii="Palatino Linotype" w:eastAsia="Palatino Linotype" w:hAnsi="Palatino Linotype" w:cs="Palatino Linotype"/>
          <w:b/>
          <w:sz w:val="22"/>
          <w:szCs w:val="22"/>
        </w:rPr>
        <w:t xml:space="preserve"> </w:t>
      </w:r>
      <w:r w:rsidRPr="009E7B76">
        <w:rPr>
          <w:rFonts w:ascii="Palatino Linotype" w:eastAsia="Palatino Linotype" w:hAnsi="Palatino Linotype" w:cs="Palatino Linotype"/>
          <w:sz w:val="22"/>
          <w:szCs w:val="22"/>
        </w:rPr>
        <w:t xml:space="preserve">la parte </w:t>
      </w:r>
      <w:r w:rsidRPr="009E7B76">
        <w:rPr>
          <w:rFonts w:ascii="Palatino Linotype" w:eastAsia="Palatino Linotype" w:hAnsi="Palatino Linotype" w:cs="Palatino Linotype"/>
          <w:b/>
          <w:sz w:val="22"/>
          <w:szCs w:val="22"/>
        </w:rPr>
        <w:t>Recurrente,</w:t>
      </w:r>
      <w:r w:rsidRPr="009E7B76">
        <w:rPr>
          <w:rFonts w:ascii="Palatino Linotype" w:eastAsia="Palatino Linotype" w:hAnsi="Palatino Linotype" w:cs="Palatino Linotype"/>
          <w:sz w:val="22"/>
          <w:szCs w:val="22"/>
        </w:rPr>
        <w:t xml:space="preserve"> en contra de la respuesta a la solicitud de información con número de folio</w:t>
      </w:r>
      <w:r w:rsidRPr="009E7B76">
        <w:rPr>
          <w:rFonts w:ascii="Palatino Linotype" w:eastAsia="Palatino Linotype" w:hAnsi="Palatino Linotype" w:cs="Palatino Linotype"/>
          <w:b/>
          <w:sz w:val="22"/>
          <w:szCs w:val="22"/>
        </w:rPr>
        <w:t xml:space="preserve"> </w:t>
      </w:r>
      <w:r w:rsidR="00A84BBB" w:rsidRPr="009E7B76">
        <w:rPr>
          <w:rFonts w:ascii="Palatino Linotype" w:eastAsia="Palatino Linotype" w:hAnsi="Palatino Linotype" w:cs="Palatino Linotype"/>
          <w:b/>
          <w:sz w:val="22"/>
          <w:szCs w:val="22"/>
        </w:rPr>
        <w:t>03704/TOLUCA/IP/2025</w:t>
      </w:r>
      <w:r w:rsidRPr="009E7B76">
        <w:rPr>
          <w:rFonts w:ascii="Palatino Linotype" w:eastAsia="Palatino Linotype" w:hAnsi="Palatino Linotype" w:cs="Palatino Linotype"/>
          <w:b/>
          <w:sz w:val="22"/>
          <w:szCs w:val="22"/>
        </w:rPr>
        <w:t xml:space="preserve">, </w:t>
      </w:r>
      <w:r w:rsidRPr="009E7B76">
        <w:rPr>
          <w:rFonts w:ascii="Palatino Linotype" w:eastAsia="Palatino Linotype" w:hAnsi="Palatino Linotype" w:cs="Palatino Linotype"/>
          <w:sz w:val="22"/>
          <w:szCs w:val="22"/>
        </w:rPr>
        <w:t xml:space="preserve">por parte del </w:t>
      </w:r>
      <w:r w:rsidR="006A4C30" w:rsidRPr="009E7B76">
        <w:rPr>
          <w:rFonts w:ascii="Palatino Linotype" w:eastAsia="Palatino Linotype" w:hAnsi="Palatino Linotype" w:cs="Palatino Linotype"/>
          <w:b/>
          <w:sz w:val="22"/>
          <w:szCs w:val="22"/>
        </w:rPr>
        <w:t>Ayuntamiento de T</w:t>
      </w:r>
      <w:r w:rsidR="00A84BBB" w:rsidRPr="009E7B76">
        <w:rPr>
          <w:rFonts w:ascii="Palatino Linotype" w:eastAsia="Palatino Linotype" w:hAnsi="Palatino Linotype" w:cs="Palatino Linotype"/>
          <w:b/>
          <w:sz w:val="22"/>
          <w:szCs w:val="22"/>
        </w:rPr>
        <w:t>oluca</w:t>
      </w:r>
      <w:r w:rsidR="00ED23A8" w:rsidRPr="009E7B76">
        <w:rPr>
          <w:rFonts w:ascii="Palatino Linotype" w:eastAsia="Palatino Linotype" w:hAnsi="Palatino Linotype" w:cs="Palatino Linotype"/>
          <w:b/>
          <w:sz w:val="22"/>
          <w:szCs w:val="22"/>
        </w:rPr>
        <w:t xml:space="preserve">, </w:t>
      </w:r>
      <w:r w:rsidRPr="009E7B76">
        <w:rPr>
          <w:rFonts w:ascii="Palatino Linotype" w:eastAsia="Palatino Linotype" w:hAnsi="Palatino Linotype" w:cs="Palatino Linotype"/>
          <w:sz w:val="22"/>
          <w:szCs w:val="22"/>
        </w:rPr>
        <w:t xml:space="preserve">en lo sucesivo 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 xml:space="preserve">se procede a dictar la presente resolución con base en los siguientes: </w:t>
      </w:r>
    </w:p>
    <w:p w14:paraId="1C218A97" w14:textId="77777777" w:rsidR="00C8599E" w:rsidRPr="009E7B76" w:rsidRDefault="00812BF1" w:rsidP="00B24180">
      <w:pPr>
        <w:spacing w:before="240" w:after="240" w:line="360" w:lineRule="auto"/>
        <w:jc w:val="center"/>
        <w:rPr>
          <w:rFonts w:ascii="Palatino Linotype" w:eastAsia="Palatino Linotype" w:hAnsi="Palatino Linotype" w:cs="Palatino Linotype"/>
          <w:b/>
          <w:sz w:val="22"/>
          <w:szCs w:val="22"/>
        </w:rPr>
      </w:pPr>
      <w:r w:rsidRPr="009E7B76">
        <w:rPr>
          <w:rFonts w:ascii="Palatino Linotype" w:eastAsia="Palatino Linotype" w:hAnsi="Palatino Linotype" w:cs="Palatino Linotype"/>
          <w:b/>
          <w:sz w:val="22"/>
          <w:szCs w:val="22"/>
        </w:rPr>
        <w:t>I. A N T E C E D E N T E S</w:t>
      </w:r>
    </w:p>
    <w:p w14:paraId="4DCE7AAD" w14:textId="61023DDB"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9E7B76">
        <w:rPr>
          <w:rFonts w:ascii="Palatino Linotype" w:eastAsia="Palatino Linotype" w:hAnsi="Palatino Linotype" w:cs="Palatino Linotype"/>
          <w:b/>
          <w:sz w:val="22"/>
          <w:szCs w:val="22"/>
        </w:rPr>
        <w:t>1. Solicitud de acceso a la información.</w:t>
      </w:r>
      <w:r w:rsidR="00382805" w:rsidRPr="009E7B76">
        <w:rPr>
          <w:rFonts w:ascii="Palatino Linotype" w:eastAsia="Palatino Linotype" w:hAnsi="Palatino Linotype" w:cs="Palatino Linotype"/>
          <w:sz w:val="22"/>
          <w:szCs w:val="22"/>
        </w:rPr>
        <w:t xml:space="preserve"> El </w:t>
      </w:r>
      <w:r w:rsidR="00635A45" w:rsidRPr="009E7B76">
        <w:rPr>
          <w:rFonts w:ascii="Palatino Linotype" w:eastAsia="Palatino Linotype" w:hAnsi="Palatino Linotype" w:cs="Palatino Linotype"/>
          <w:b/>
          <w:sz w:val="22"/>
          <w:szCs w:val="22"/>
        </w:rPr>
        <w:t xml:space="preserve">veintiséis de junio </w:t>
      </w:r>
      <w:r w:rsidRPr="009E7B76">
        <w:rPr>
          <w:rFonts w:ascii="Palatino Linotype" w:eastAsia="Palatino Linotype" w:hAnsi="Palatino Linotype" w:cs="Palatino Linotype"/>
          <w:b/>
          <w:sz w:val="22"/>
          <w:szCs w:val="22"/>
        </w:rPr>
        <w:t xml:space="preserve">de </w:t>
      </w:r>
      <w:r w:rsidR="00ED23A8" w:rsidRPr="009E7B76">
        <w:rPr>
          <w:rFonts w:ascii="Palatino Linotype" w:eastAsia="Palatino Linotype" w:hAnsi="Palatino Linotype" w:cs="Palatino Linotype"/>
          <w:b/>
          <w:sz w:val="22"/>
          <w:szCs w:val="22"/>
        </w:rPr>
        <w:t>dos mil veinticinco</w:t>
      </w:r>
      <w:r w:rsidRPr="009E7B76">
        <w:rPr>
          <w:rFonts w:ascii="Palatino Linotype" w:eastAsia="Palatino Linotype" w:hAnsi="Palatino Linotype" w:cs="Palatino Linotype"/>
          <w:b/>
          <w:sz w:val="22"/>
          <w:szCs w:val="22"/>
        </w:rPr>
        <w:t>,</w:t>
      </w:r>
      <w:r w:rsidRPr="009E7B76">
        <w:rPr>
          <w:rFonts w:ascii="Palatino Linotype" w:eastAsia="Palatino Linotype" w:hAnsi="Palatino Linotype" w:cs="Palatino Linotype"/>
          <w:sz w:val="22"/>
          <w:szCs w:val="22"/>
        </w:rPr>
        <w:t xml:space="preserve"> la parte </w:t>
      </w:r>
      <w:r w:rsidRPr="009E7B76">
        <w:rPr>
          <w:rFonts w:ascii="Palatino Linotype" w:eastAsia="Palatino Linotype" w:hAnsi="Palatino Linotype" w:cs="Palatino Linotype"/>
          <w:b/>
          <w:sz w:val="22"/>
          <w:szCs w:val="22"/>
        </w:rPr>
        <w:t xml:space="preserve">Recurrente </w:t>
      </w:r>
      <w:r w:rsidRPr="009E7B76">
        <w:rPr>
          <w:rFonts w:ascii="Palatino Linotype" w:eastAsia="Palatino Linotype" w:hAnsi="Palatino Linotype" w:cs="Palatino Linotype"/>
          <w:sz w:val="22"/>
          <w:szCs w:val="22"/>
        </w:rPr>
        <w:t xml:space="preserve">presentó la solicitud de acceso a la información pública ante el </w:t>
      </w:r>
      <w:r w:rsidRPr="009E7B76">
        <w:rPr>
          <w:rFonts w:ascii="Palatino Linotype" w:eastAsia="Palatino Linotype" w:hAnsi="Palatino Linotype" w:cs="Palatino Linotype"/>
          <w:b/>
          <w:sz w:val="22"/>
          <w:szCs w:val="22"/>
        </w:rPr>
        <w:t>Sujeto Obligado</w:t>
      </w:r>
      <w:r w:rsidRPr="009E7B76">
        <w:rPr>
          <w:rFonts w:ascii="Palatino Linotype" w:eastAsia="Palatino Linotype" w:hAnsi="Palatino Linotype" w:cs="Palatino Linotype"/>
          <w:sz w:val="22"/>
          <w:szCs w:val="22"/>
        </w:rPr>
        <w:t xml:space="preserve">, a través del Sistema de Acceso a la Información Mexiquense, en lo subsecuente el </w:t>
      </w:r>
      <w:r w:rsidRPr="009E7B76">
        <w:rPr>
          <w:rFonts w:ascii="Palatino Linotype" w:eastAsia="Palatino Linotype" w:hAnsi="Palatino Linotype" w:cs="Palatino Linotype"/>
          <w:b/>
          <w:sz w:val="22"/>
          <w:szCs w:val="22"/>
        </w:rPr>
        <w:t>SAIMEX,</w:t>
      </w:r>
      <w:r w:rsidRPr="009E7B76">
        <w:rPr>
          <w:rFonts w:ascii="Palatino Linotype" w:eastAsia="Palatino Linotype" w:hAnsi="Palatino Linotype" w:cs="Palatino Linotype"/>
          <w:sz w:val="22"/>
          <w:szCs w:val="22"/>
        </w:rPr>
        <w:t xml:space="preserve"> mediante la cual requirió lo siguiente:</w:t>
      </w:r>
    </w:p>
    <w:p w14:paraId="0545250E" w14:textId="1D55437C" w:rsidR="00C8599E" w:rsidRPr="009E7B76" w:rsidRDefault="00812BF1" w:rsidP="00B24180">
      <w:pPr>
        <w:spacing w:before="120" w:after="120"/>
        <w:ind w:left="851" w:right="902"/>
        <w:jc w:val="both"/>
        <w:rPr>
          <w:rFonts w:ascii="Palatino Linotype" w:eastAsia="Palatino Linotype" w:hAnsi="Palatino Linotype" w:cs="Palatino Linotype"/>
          <w:b/>
          <w:i/>
          <w:sz w:val="22"/>
          <w:szCs w:val="22"/>
        </w:rPr>
      </w:pPr>
      <w:r w:rsidRPr="009E7B76">
        <w:rPr>
          <w:rFonts w:ascii="Palatino Linotype" w:eastAsia="Palatino Linotype" w:hAnsi="Palatino Linotype" w:cs="Palatino Linotype"/>
          <w:i/>
          <w:sz w:val="22"/>
          <w:szCs w:val="22"/>
        </w:rPr>
        <w:t xml:space="preserve"> “</w:t>
      </w:r>
      <w:r w:rsidR="00635A45" w:rsidRPr="009E7B76">
        <w:rPr>
          <w:rFonts w:ascii="Palatino Linotype" w:eastAsia="Palatino Linotype" w:hAnsi="Palatino Linotype" w:cs="Palatino Linotype"/>
          <w:i/>
          <w:sz w:val="22"/>
          <w:szCs w:val="22"/>
        </w:rPr>
        <w:t>-Gastos ejercidos de enero 2025 a la fecha para pavimentación -Gastos ejercidos de enero 2025 a la fecha para bacheo -Contratos con empresas privadas que se hayan celebrado en lo que va de enero 2025 a la fecha para pavimentación y/o bacheo -Especificaciones técnicas con las que se realiza el bacheo en Toluca ya sea a través de personal del ayuntamiento o servicio privado -Reporte, informe o documento donde conste el avance de las obras de pavimentación y las obras de bacheo que se han realizado en lo que va del año, así como los respectivos costos.</w:t>
      </w:r>
      <w:r w:rsidRPr="009E7B76">
        <w:rPr>
          <w:rFonts w:ascii="Palatino Linotype" w:eastAsia="Palatino Linotype" w:hAnsi="Palatino Linotype" w:cs="Palatino Linotype"/>
          <w:b/>
          <w:i/>
          <w:sz w:val="22"/>
          <w:szCs w:val="22"/>
        </w:rPr>
        <w:t>”</w:t>
      </w:r>
      <w:r w:rsidRPr="009E7B76">
        <w:rPr>
          <w:rFonts w:ascii="Palatino Linotype" w:eastAsia="Palatino Linotype" w:hAnsi="Palatino Linotype" w:cs="Palatino Linotype"/>
          <w:i/>
          <w:sz w:val="22"/>
          <w:szCs w:val="22"/>
        </w:rPr>
        <w:t xml:space="preserve"> (sic) </w:t>
      </w:r>
    </w:p>
    <w:p w14:paraId="48AB3445"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9E7B76">
        <w:rPr>
          <w:rFonts w:ascii="Palatino Linotype" w:eastAsia="Palatino Linotype" w:hAnsi="Palatino Linotype" w:cs="Palatino Linotype"/>
          <w:b/>
          <w:sz w:val="22"/>
          <w:szCs w:val="22"/>
        </w:rPr>
        <w:t>Modalidad de Entrega:</w:t>
      </w:r>
      <w:r w:rsidRPr="009E7B76">
        <w:rPr>
          <w:rFonts w:ascii="Palatino Linotype" w:eastAsia="Palatino Linotype" w:hAnsi="Palatino Linotype" w:cs="Palatino Linotype"/>
          <w:sz w:val="22"/>
          <w:szCs w:val="22"/>
        </w:rPr>
        <w:t xml:space="preserve"> a través del</w:t>
      </w:r>
      <w:r w:rsidRPr="009E7B76">
        <w:rPr>
          <w:rFonts w:ascii="Palatino Linotype" w:eastAsia="Palatino Linotype" w:hAnsi="Palatino Linotype" w:cs="Palatino Linotype"/>
          <w:b/>
          <w:sz w:val="22"/>
          <w:szCs w:val="22"/>
        </w:rPr>
        <w:t xml:space="preserve"> SAIMEX.</w:t>
      </w:r>
    </w:p>
    <w:p w14:paraId="4D910997" w14:textId="206728CB" w:rsidR="00BB5551" w:rsidRPr="009E7B76" w:rsidRDefault="00812BF1" w:rsidP="00BB555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sz w:val="22"/>
          <w:szCs w:val="22"/>
        </w:rPr>
        <w:lastRenderedPageBreak/>
        <w:t xml:space="preserve">2. </w:t>
      </w:r>
      <w:r w:rsidR="00BB5551" w:rsidRPr="009E7B76">
        <w:rPr>
          <w:rFonts w:ascii="Palatino Linotype" w:eastAsia="Palatino Linotype" w:hAnsi="Palatino Linotype" w:cs="Palatino Linotype"/>
          <w:b/>
          <w:sz w:val="22"/>
          <w:szCs w:val="22"/>
        </w:rPr>
        <w:t xml:space="preserve">Respuesta. </w:t>
      </w:r>
      <w:r w:rsidR="00BB5551" w:rsidRPr="009E7B76">
        <w:rPr>
          <w:rFonts w:ascii="Palatino Linotype" w:eastAsia="Palatino Linotype" w:hAnsi="Palatino Linotype" w:cs="Palatino Linotype"/>
          <w:sz w:val="22"/>
          <w:szCs w:val="22"/>
        </w:rPr>
        <w:t xml:space="preserve">El </w:t>
      </w:r>
      <w:r w:rsidR="00F64D67" w:rsidRPr="009E7B76">
        <w:rPr>
          <w:rFonts w:ascii="Palatino Linotype" w:eastAsia="Palatino Linotype" w:hAnsi="Palatino Linotype" w:cs="Palatino Linotype"/>
          <w:b/>
          <w:bCs/>
          <w:sz w:val="22"/>
          <w:szCs w:val="22"/>
        </w:rPr>
        <w:t>dieci</w:t>
      </w:r>
      <w:r w:rsidR="00BB5551" w:rsidRPr="009E7B76">
        <w:rPr>
          <w:rFonts w:ascii="Palatino Linotype" w:eastAsia="Palatino Linotype" w:hAnsi="Palatino Linotype" w:cs="Palatino Linotype"/>
          <w:b/>
          <w:bCs/>
          <w:sz w:val="22"/>
          <w:szCs w:val="22"/>
        </w:rPr>
        <w:t>s</w:t>
      </w:r>
      <w:r w:rsidR="00BB5551" w:rsidRPr="009E7B76">
        <w:rPr>
          <w:rFonts w:ascii="Palatino Linotype" w:eastAsia="Palatino Linotype" w:hAnsi="Palatino Linotype" w:cs="Palatino Linotype"/>
          <w:b/>
          <w:sz w:val="22"/>
          <w:szCs w:val="22"/>
        </w:rPr>
        <w:t>iete de ju</w:t>
      </w:r>
      <w:r w:rsidR="00F64D67" w:rsidRPr="009E7B76">
        <w:rPr>
          <w:rFonts w:ascii="Palatino Linotype" w:eastAsia="Palatino Linotype" w:hAnsi="Palatino Linotype" w:cs="Palatino Linotype"/>
          <w:b/>
          <w:sz w:val="22"/>
          <w:szCs w:val="22"/>
        </w:rPr>
        <w:t>l</w:t>
      </w:r>
      <w:r w:rsidR="00BB5551" w:rsidRPr="009E7B76">
        <w:rPr>
          <w:rFonts w:ascii="Palatino Linotype" w:eastAsia="Palatino Linotype" w:hAnsi="Palatino Linotype" w:cs="Palatino Linotype"/>
          <w:b/>
          <w:sz w:val="22"/>
          <w:szCs w:val="22"/>
        </w:rPr>
        <w:t>io de dos mil veinticinco,</w:t>
      </w:r>
      <w:r w:rsidR="00BB5551" w:rsidRPr="009E7B76">
        <w:rPr>
          <w:rFonts w:ascii="Palatino Linotype" w:eastAsia="Palatino Linotype" w:hAnsi="Palatino Linotype" w:cs="Palatino Linotype"/>
          <w:sz w:val="22"/>
          <w:szCs w:val="22"/>
        </w:rPr>
        <w:t xml:space="preserve"> el </w:t>
      </w:r>
      <w:r w:rsidR="00BB5551" w:rsidRPr="009E7B76">
        <w:rPr>
          <w:rFonts w:ascii="Palatino Linotype" w:eastAsia="Palatino Linotype" w:hAnsi="Palatino Linotype" w:cs="Palatino Linotype"/>
          <w:b/>
          <w:sz w:val="22"/>
          <w:szCs w:val="22"/>
        </w:rPr>
        <w:t xml:space="preserve">Sujeto Obligado </w:t>
      </w:r>
      <w:r w:rsidR="00BB5551" w:rsidRPr="009E7B76">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5029B521" w14:textId="440AFBD6" w:rsidR="00BB5551" w:rsidRPr="009E7B76" w:rsidRDefault="00BB5551" w:rsidP="00BB5551">
      <w:pPr>
        <w:spacing w:before="240" w:after="24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r w:rsidR="00F64D67" w:rsidRPr="009E7B76">
        <w:rPr>
          <w:rFonts w:ascii="Palatino Linotype" w:eastAsia="Palatino Linotype" w:hAnsi="Palatino Linotype" w:cs="Palatino Linotype"/>
          <w:i/>
          <w:sz w:val="22"/>
          <w:szCs w:val="22"/>
        </w:rPr>
        <w:t>En atención a la solicitud con folio 03704/TOLUCA/IP/2025, me permito adjuntar al presente la respuesta correspondiente</w:t>
      </w:r>
      <w:r w:rsidRPr="009E7B76">
        <w:rPr>
          <w:rFonts w:ascii="Palatino Linotype" w:eastAsia="Palatino Linotype" w:hAnsi="Palatino Linotype" w:cs="Palatino Linotype"/>
          <w:i/>
          <w:sz w:val="22"/>
          <w:szCs w:val="22"/>
        </w:rPr>
        <w:t>...” (sic)</w:t>
      </w:r>
    </w:p>
    <w:p w14:paraId="6B169392" w14:textId="77777777" w:rsidR="00BB5551" w:rsidRPr="009E7B76" w:rsidRDefault="00BB5551" w:rsidP="00BB5551">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adjuntó lo siguiente:</w:t>
      </w:r>
    </w:p>
    <w:p w14:paraId="2CEE79D0" w14:textId="63418EF6" w:rsidR="00F64D67" w:rsidRPr="009E7B76" w:rsidRDefault="00BB5551" w:rsidP="00F64D67">
      <w:pPr>
        <w:spacing w:before="240" w:after="240" w:line="360" w:lineRule="auto"/>
        <w:ind w:right="49"/>
        <w:jc w:val="both"/>
        <w:rPr>
          <w:rFonts w:ascii="Palatino Linotype" w:hAnsi="Palatino Linotype"/>
          <w:sz w:val="22"/>
          <w:szCs w:val="22"/>
        </w:rPr>
      </w:pPr>
      <w:r w:rsidRPr="009E7B76">
        <w:rPr>
          <w:rFonts w:ascii="Palatino Linotype" w:eastAsia="Palatino Linotype" w:hAnsi="Palatino Linotype" w:cs="Palatino Linotype"/>
          <w:sz w:val="22"/>
          <w:szCs w:val="22"/>
        </w:rPr>
        <w:t xml:space="preserve">- </w:t>
      </w:r>
      <w:r w:rsidR="00EC53BD" w:rsidRPr="009E7B76">
        <w:rPr>
          <w:rFonts w:ascii="Palatino Linotype" w:eastAsia="Palatino Linotype" w:hAnsi="Palatino Linotype" w:cs="Palatino Linotype"/>
          <w:sz w:val="22"/>
          <w:szCs w:val="22"/>
        </w:rPr>
        <w:t xml:space="preserve">Oficio número </w:t>
      </w:r>
      <w:r w:rsidR="00F64D67" w:rsidRPr="009E7B76">
        <w:rPr>
          <w:rFonts w:ascii="Palatino Linotype" w:hAnsi="Palatino Linotype"/>
          <w:sz w:val="22"/>
          <w:szCs w:val="22"/>
        </w:rPr>
        <w:t>202010000/2417/2025</w:t>
      </w:r>
      <w:r w:rsidR="00EC53BD" w:rsidRPr="009E7B76">
        <w:rPr>
          <w:rFonts w:ascii="Palatino Linotype" w:hAnsi="Palatino Linotype"/>
          <w:sz w:val="22"/>
          <w:szCs w:val="22"/>
        </w:rPr>
        <w:t xml:space="preserve">, mediante el cual el </w:t>
      </w:r>
      <w:r w:rsidR="00F64D67" w:rsidRPr="009E7B76">
        <w:rPr>
          <w:rFonts w:ascii="Palatino Linotype" w:hAnsi="Palatino Linotype"/>
          <w:sz w:val="22"/>
          <w:szCs w:val="22"/>
        </w:rPr>
        <w:t>Tesorero Municipal inform</w:t>
      </w:r>
      <w:r w:rsidR="00E55CF0" w:rsidRPr="009E7B76">
        <w:rPr>
          <w:rFonts w:ascii="Palatino Linotype" w:hAnsi="Palatino Linotype"/>
          <w:sz w:val="22"/>
          <w:szCs w:val="22"/>
        </w:rPr>
        <w:t>ó</w:t>
      </w:r>
      <w:r w:rsidR="00F64D67" w:rsidRPr="009E7B76">
        <w:rPr>
          <w:rFonts w:ascii="Palatino Linotype" w:hAnsi="Palatino Linotype"/>
          <w:sz w:val="22"/>
          <w:szCs w:val="22"/>
        </w:rPr>
        <w:t xml:space="preserve"> que no ha sido remitida información alguna a la Tesorería Municipal, asimismo, que no cuenta con la información solicitada en los demás puntos, al no ser de su competencia.</w:t>
      </w:r>
    </w:p>
    <w:p w14:paraId="10E8ADB0" w14:textId="4F52A72D" w:rsidR="00F64D67" w:rsidRPr="009E7B76" w:rsidRDefault="00F64D67" w:rsidP="00F64D67">
      <w:pPr>
        <w:spacing w:before="240" w:after="240" w:line="360" w:lineRule="auto"/>
        <w:ind w:right="49"/>
        <w:jc w:val="both"/>
        <w:rPr>
          <w:rFonts w:ascii="Palatino Linotype" w:hAnsi="Palatino Linotype"/>
          <w:sz w:val="22"/>
          <w:szCs w:val="22"/>
        </w:rPr>
      </w:pPr>
      <w:r w:rsidRPr="009E7B76">
        <w:rPr>
          <w:rFonts w:ascii="Palatino Linotype" w:hAnsi="Palatino Linotype"/>
          <w:sz w:val="22"/>
          <w:szCs w:val="22"/>
        </w:rPr>
        <w:t xml:space="preserve">- </w:t>
      </w:r>
      <w:r w:rsidR="002D76C7" w:rsidRPr="009E7B76">
        <w:rPr>
          <w:rFonts w:ascii="Palatino Linotype" w:hAnsi="Palatino Linotype"/>
          <w:sz w:val="22"/>
          <w:szCs w:val="22"/>
        </w:rPr>
        <w:t>Oficio número 208010000/0740/2025, mediante el cual el Director General de Servicios Públicos manifiesta remitir la nota informativa proporcionada por el Director de Mantenimiento Urbano.</w:t>
      </w:r>
    </w:p>
    <w:p w14:paraId="696F46E6" w14:textId="104BB55E" w:rsidR="002D76C7" w:rsidRPr="009E7B76" w:rsidRDefault="002D76C7" w:rsidP="00F64D67">
      <w:pPr>
        <w:spacing w:before="240" w:after="240" w:line="360" w:lineRule="auto"/>
        <w:ind w:right="49"/>
        <w:jc w:val="both"/>
        <w:rPr>
          <w:rFonts w:ascii="Palatino Linotype" w:hAnsi="Palatino Linotype"/>
          <w:sz w:val="22"/>
          <w:szCs w:val="22"/>
        </w:rPr>
      </w:pPr>
      <w:r w:rsidRPr="009E7B76">
        <w:rPr>
          <w:rFonts w:ascii="Palatino Linotype" w:hAnsi="Palatino Linotype"/>
          <w:sz w:val="22"/>
          <w:szCs w:val="22"/>
        </w:rPr>
        <w:t>- Nota informativa 208013000/149/2025, mediante la cual el Director de Mantenimiento Urbano refiere adjuntar  la descripción del proceso y/o especificaciones técnicas con las que se realiza el bacheo de mezcla asfáltica en caliente y en frio, así como el reporte donde se indica el avance de las obras, realizados por el Departamento de Bacheo y Señalamiento Vial de enero de 2025 a la fecha; y por lo que se refiere a los gastos y contratos informó que no se cuenta con la información, por no haberse generado, poseído o administrado dichos datos y/o por no estar dentro de las atribuciones de la Dirección; y, respecto de los trabajos de pavimentación informó que los realiza la Dirección General de Obras Públicas.</w:t>
      </w:r>
    </w:p>
    <w:p w14:paraId="2C69CB45" w14:textId="28DB8FB2" w:rsidR="002D76C7" w:rsidRPr="009E7B76" w:rsidRDefault="00344EA9" w:rsidP="00F64D67">
      <w:pPr>
        <w:spacing w:before="240" w:after="240" w:line="360" w:lineRule="auto"/>
        <w:ind w:right="49"/>
        <w:jc w:val="both"/>
        <w:rPr>
          <w:rFonts w:ascii="Palatino Linotype" w:hAnsi="Palatino Linotype"/>
          <w:sz w:val="22"/>
          <w:szCs w:val="22"/>
        </w:rPr>
      </w:pPr>
      <w:r w:rsidRPr="009E7B76">
        <w:rPr>
          <w:rFonts w:ascii="Palatino Linotype" w:hAnsi="Palatino Linotype"/>
          <w:sz w:val="22"/>
          <w:szCs w:val="22"/>
        </w:rPr>
        <w:t xml:space="preserve">- Nota informativa 208013001/584/2025, mediante la cual el Jefe del Departamento de Bacheo y Señalamiento Vial refiere adjuntar  la descripción del proceso y/o especificaciones técnicas con las que se realiza el bacheo de mezcla asfáltica en caliente y en frio, así como el reporte donde se indica el avance de las obras, realizados por el Departamento de Bacheo </w:t>
      </w:r>
      <w:r w:rsidRPr="009E7B76">
        <w:rPr>
          <w:rFonts w:ascii="Palatino Linotype" w:hAnsi="Palatino Linotype"/>
          <w:sz w:val="22"/>
          <w:szCs w:val="22"/>
        </w:rPr>
        <w:lastRenderedPageBreak/>
        <w:t>y Señalamiento Vial de enero de 2025 a la fecha; y por lo que se refiere a los gastos y contratos informó que no se cuenta con la información, por no haberse generado, poseído o administrado dichos datos y/o por no estar dentro de las atribuciones de la Dirección; y, respecto de los trabajos de pavimentación informó que los realiza la Dirección General de Obras Públicas.</w:t>
      </w:r>
    </w:p>
    <w:p w14:paraId="31F4B6F4" w14:textId="04EC0F3C" w:rsidR="00344EA9" w:rsidRPr="009E7B76" w:rsidRDefault="00344EA9" w:rsidP="00F64D67">
      <w:pPr>
        <w:spacing w:before="240" w:after="240" w:line="360" w:lineRule="auto"/>
        <w:ind w:right="49"/>
        <w:jc w:val="both"/>
        <w:rPr>
          <w:rFonts w:ascii="Palatino Linotype" w:hAnsi="Palatino Linotype"/>
          <w:sz w:val="22"/>
          <w:szCs w:val="22"/>
        </w:rPr>
      </w:pPr>
      <w:r w:rsidRPr="009E7B76">
        <w:rPr>
          <w:rFonts w:ascii="Palatino Linotype" w:hAnsi="Palatino Linotype"/>
          <w:sz w:val="22"/>
          <w:szCs w:val="22"/>
        </w:rPr>
        <w:t xml:space="preserve">- Bacheo en vialidades urbanas: Descripción del Proceso de mezcla asfáltica en caliente y Descripción Bacheo con mezcla en frio. </w:t>
      </w:r>
    </w:p>
    <w:p w14:paraId="09AA8990" w14:textId="4FA986C7" w:rsidR="00344EA9" w:rsidRPr="009E7B76" w:rsidRDefault="00344EA9" w:rsidP="00F64D67">
      <w:pPr>
        <w:spacing w:before="240" w:after="240" w:line="360" w:lineRule="auto"/>
        <w:ind w:right="49"/>
        <w:jc w:val="both"/>
        <w:rPr>
          <w:rFonts w:ascii="Palatino Linotype" w:hAnsi="Palatino Linotype"/>
          <w:sz w:val="22"/>
          <w:szCs w:val="22"/>
        </w:rPr>
      </w:pPr>
      <w:r w:rsidRPr="009E7B76">
        <w:rPr>
          <w:rFonts w:ascii="Palatino Linotype" w:hAnsi="Palatino Linotype"/>
          <w:sz w:val="22"/>
          <w:szCs w:val="22"/>
        </w:rPr>
        <w:t>- Reporte del avance de las obras de bacheo, realizados por el Departamento de Bacheo y Señalamiento Vial</w:t>
      </w:r>
      <w:r w:rsidR="0063705A" w:rsidRPr="009E7B76">
        <w:rPr>
          <w:rFonts w:ascii="Palatino Linotype" w:hAnsi="Palatino Linotype"/>
          <w:sz w:val="22"/>
          <w:szCs w:val="22"/>
        </w:rPr>
        <w:t xml:space="preserve"> de enero a julio de 2026</w:t>
      </w:r>
      <w:r w:rsidR="002A237B" w:rsidRPr="009E7B76">
        <w:rPr>
          <w:rFonts w:ascii="Palatino Linotype" w:hAnsi="Palatino Linotype"/>
          <w:sz w:val="22"/>
          <w:szCs w:val="22"/>
        </w:rPr>
        <w:t>.</w:t>
      </w:r>
    </w:p>
    <w:p w14:paraId="119D3280" w14:textId="6E35F1E2" w:rsidR="003D742F" w:rsidRPr="009E7B76" w:rsidRDefault="00C64849" w:rsidP="00F64D67">
      <w:pPr>
        <w:spacing w:before="240" w:after="240" w:line="360" w:lineRule="auto"/>
        <w:ind w:right="49"/>
        <w:jc w:val="both"/>
        <w:rPr>
          <w:rFonts w:ascii="Palatino Linotype" w:hAnsi="Palatino Linotype"/>
          <w:sz w:val="22"/>
          <w:szCs w:val="22"/>
        </w:rPr>
      </w:pPr>
      <w:r w:rsidRPr="009E7B76">
        <w:rPr>
          <w:rFonts w:ascii="Palatino Linotype" w:hAnsi="Palatino Linotype"/>
          <w:sz w:val="22"/>
          <w:szCs w:val="22"/>
        </w:rPr>
        <w:t>- Oficio número UT/DGOP/00249/2025, mediante el cual el Director General de Obras Públicas, derivado de la</w:t>
      </w:r>
      <w:r w:rsidR="003D742F" w:rsidRPr="009E7B76">
        <w:rPr>
          <w:rFonts w:ascii="Palatino Linotype" w:hAnsi="Palatino Linotype"/>
          <w:sz w:val="22"/>
          <w:szCs w:val="22"/>
        </w:rPr>
        <w:t xml:space="preserve"> </w:t>
      </w:r>
      <w:r w:rsidRPr="009E7B76">
        <w:rPr>
          <w:rFonts w:ascii="Palatino Linotype" w:hAnsi="Palatino Linotype"/>
          <w:sz w:val="22"/>
          <w:szCs w:val="22"/>
        </w:rPr>
        <w:t xml:space="preserve"> búsqueda exhaustiva y razonable </w:t>
      </w:r>
      <w:r w:rsidR="003D742F" w:rsidRPr="009E7B76">
        <w:rPr>
          <w:rFonts w:ascii="Palatino Linotype" w:hAnsi="Palatino Linotype"/>
          <w:sz w:val="22"/>
          <w:szCs w:val="22"/>
        </w:rPr>
        <w:t xml:space="preserve">en los archivos que se encuentran bajo resguardo y custodia de la Dirección, </w:t>
      </w:r>
      <w:r w:rsidRPr="009E7B76">
        <w:rPr>
          <w:rFonts w:ascii="Palatino Linotype" w:hAnsi="Palatino Linotype"/>
          <w:sz w:val="22"/>
          <w:szCs w:val="22"/>
        </w:rPr>
        <w:t>de la información requerida en la temporalidad indicada</w:t>
      </w:r>
      <w:r w:rsidR="003D742F" w:rsidRPr="009E7B76">
        <w:rPr>
          <w:rFonts w:ascii="Palatino Linotype" w:hAnsi="Palatino Linotype"/>
          <w:sz w:val="22"/>
          <w:szCs w:val="22"/>
        </w:rPr>
        <w:t>, informó que no ha realizado procedimientos de contratación de obras públicas, por lo que no ha generado ni administra expresión documental que dé cuenta de</w:t>
      </w:r>
      <w:r w:rsidR="00295018" w:rsidRPr="009E7B76">
        <w:rPr>
          <w:rFonts w:ascii="Palatino Linotype" w:hAnsi="Palatino Linotype"/>
          <w:sz w:val="22"/>
          <w:szCs w:val="22"/>
        </w:rPr>
        <w:t xml:space="preserve"> los</w:t>
      </w:r>
      <w:r w:rsidR="003D742F" w:rsidRPr="009E7B76">
        <w:rPr>
          <w:rFonts w:ascii="Palatino Linotype" w:hAnsi="Palatino Linotype"/>
          <w:sz w:val="22"/>
          <w:szCs w:val="22"/>
        </w:rPr>
        <w:t xml:space="preserve"> montos contratados, contratos, especificaciones técnicas, ni de avances de obras públicas de pavimentación y/o bacheo</w:t>
      </w:r>
      <w:r w:rsidR="00295018" w:rsidRPr="009E7B76">
        <w:rPr>
          <w:rFonts w:ascii="Palatino Linotype" w:hAnsi="Palatino Linotype"/>
          <w:sz w:val="22"/>
          <w:szCs w:val="22"/>
        </w:rPr>
        <w:t xml:space="preserve">; asimismo, la Coordinación de Obras por Administración Directa, informó que no se localizó expresión documental que dé cuenta de montos contratados ni contratos para obras públicas de pavimentación y/o bacheo, en razón de no generarlos ni administrarlos, de acuerdo a sus funciones y atribuciones, sin embargo, respecto de las especificaciones técnicas, manifestó el personal de la Coordinación en mención emplea "mezcla asfáltica caliente de </w:t>
      </w:r>
      <w:r w:rsidR="00333BC9" w:rsidRPr="009E7B76">
        <w:rPr>
          <w:rFonts w:ascii="Palatino Linotype" w:hAnsi="Palatino Linotype"/>
          <w:sz w:val="22"/>
          <w:szCs w:val="22"/>
        </w:rPr>
        <w:t xml:space="preserve">¾ </w:t>
      </w:r>
      <w:r w:rsidR="00295018" w:rsidRPr="009E7B76">
        <w:rPr>
          <w:rFonts w:ascii="Palatino Linotype" w:hAnsi="Palatino Linotype"/>
          <w:sz w:val="22"/>
          <w:szCs w:val="22"/>
        </w:rPr>
        <w:t>a finos de granulometría densa" para realizar trabajos de bacheo, y precisó las delegaciones en las que se han realizado los trabajos de bacheo en la temporalidad de enero a la fecha de la solicitud.</w:t>
      </w:r>
    </w:p>
    <w:p w14:paraId="36932E81" w14:textId="77777777" w:rsidR="000B144D" w:rsidRPr="009E7B76" w:rsidRDefault="000B144D" w:rsidP="000B144D">
      <w:pPr>
        <w:tabs>
          <w:tab w:val="left" w:pos="5071"/>
        </w:tabs>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sz w:val="22"/>
          <w:szCs w:val="22"/>
        </w:rPr>
        <w:t xml:space="preserve">3. Interposición del recurso de revisión. </w:t>
      </w:r>
      <w:r w:rsidRPr="009E7B76">
        <w:rPr>
          <w:rFonts w:ascii="Palatino Linotype" w:eastAsia="Palatino Linotype" w:hAnsi="Palatino Linotype" w:cs="Palatino Linotype"/>
          <w:sz w:val="22"/>
          <w:szCs w:val="22"/>
        </w:rPr>
        <w:t xml:space="preserve">Inconforme con los términos de la respuesta emitida por parte del </w:t>
      </w:r>
      <w:r w:rsidRPr="009E7B76">
        <w:rPr>
          <w:rFonts w:ascii="Palatino Linotype" w:eastAsia="Palatino Linotype" w:hAnsi="Palatino Linotype" w:cs="Palatino Linotype"/>
          <w:b/>
          <w:sz w:val="22"/>
          <w:szCs w:val="22"/>
        </w:rPr>
        <w:t>Sujeto Obligado</w:t>
      </w:r>
      <w:r w:rsidRPr="009E7B76">
        <w:rPr>
          <w:rFonts w:ascii="Palatino Linotype" w:eastAsia="Palatino Linotype" w:hAnsi="Palatino Linotype" w:cs="Palatino Linotype"/>
          <w:sz w:val="22"/>
          <w:szCs w:val="22"/>
        </w:rPr>
        <w:t xml:space="preserve">, el </w:t>
      </w:r>
      <w:r w:rsidRPr="009E7B76">
        <w:rPr>
          <w:rFonts w:ascii="Palatino Linotype" w:eastAsia="Palatino Linotype" w:hAnsi="Palatino Linotype" w:cs="Palatino Linotype"/>
          <w:b/>
          <w:sz w:val="22"/>
          <w:szCs w:val="22"/>
        </w:rPr>
        <w:t>veintidós de julio de dos mil veinticinco,</w:t>
      </w:r>
      <w:r w:rsidRPr="009E7B76">
        <w:rPr>
          <w:rFonts w:ascii="Palatino Linotype" w:eastAsia="Palatino Linotype" w:hAnsi="Palatino Linotype" w:cs="Palatino Linotype"/>
          <w:sz w:val="22"/>
          <w:szCs w:val="22"/>
        </w:rPr>
        <w:t xml:space="preserve"> la parte </w:t>
      </w:r>
      <w:r w:rsidRPr="009E7B76">
        <w:rPr>
          <w:rFonts w:ascii="Palatino Linotype" w:eastAsia="Palatino Linotype" w:hAnsi="Palatino Linotype" w:cs="Palatino Linotype"/>
          <w:b/>
          <w:sz w:val="22"/>
          <w:szCs w:val="22"/>
        </w:rPr>
        <w:t>Recurrente</w:t>
      </w:r>
      <w:r w:rsidRPr="009E7B76">
        <w:rPr>
          <w:rFonts w:ascii="Palatino Linotype" w:eastAsia="Palatino Linotype" w:hAnsi="Palatino Linotype" w:cs="Palatino Linotype"/>
          <w:sz w:val="22"/>
          <w:szCs w:val="22"/>
        </w:rPr>
        <w:t xml:space="preserve"> interpuso el recurso de revisión a través de </w:t>
      </w:r>
      <w:r w:rsidRPr="009E7B76">
        <w:rPr>
          <w:rFonts w:ascii="Palatino Linotype" w:eastAsia="Palatino Linotype" w:hAnsi="Palatino Linotype" w:cs="Palatino Linotype"/>
          <w:b/>
          <w:sz w:val="22"/>
          <w:szCs w:val="22"/>
        </w:rPr>
        <w:t xml:space="preserve">SAIMEX, </w:t>
      </w:r>
      <w:r w:rsidRPr="009E7B76">
        <w:rPr>
          <w:rFonts w:ascii="Palatino Linotype" w:eastAsia="Palatino Linotype" w:hAnsi="Palatino Linotype" w:cs="Palatino Linotype"/>
          <w:sz w:val="22"/>
          <w:szCs w:val="22"/>
        </w:rPr>
        <w:t xml:space="preserve">sin embargo, al corresponder a un día inhábil se tuvo por presentada el día </w:t>
      </w:r>
      <w:r w:rsidRPr="009E7B76">
        <w:rPr>
          <w:rFonts w:ascii="Palatino Linotype" w:eastAsia="Palatino Linotype" w:hAnsi="Palatino Linotype" w:cs="Palatino Linotype"/>
          <w:b/>
          <w:sz w:val="22"/>
          <w:szCs w:val="22"/>
        </w:rPr>
        <w:t>cuatro de agosto de dos mil veinticinco;</w:t>
      </w:r>
      <w:r w:rsidRPr="009E7B76">
        <w:rPr>
          <w:rFonts w:ascii="Palatino Linotype" w:eastAsia="Palatino Linotype" w:hAnsi="Palatino Linotype" w:cs="Palatino Linotype"/>
          <w:sz w:val="22"/>
          <w:szCs w:val="22"/>
        </w:rPr>
        <w:t xml:space="preserve"> mediante la cual requirió lo siguiente:</w:t>
      </w:r>
    </w:p>
    <w:p w14:paraId="7024EFF6" w14:textId="77777777" w:rsidR="00C8599E" w:rsidRPr="009E7B76" w:rsidRDefault="00812BF1" w:rsidP="00B24180">
      <w:pPr>
        <w:spacing w:before="240" w:after="240" w:line="360" w:lineRule="auto"/>
        <w:ind w:right="49"/>
        <w:jc w:val="both"/>
        <w:rPr>
          <w:rFonts w:ascii="Palatino Linotype" w:eastAsia="Palatino Linotype" w:hAnsi="Palatino Linotype" w:cs="Palatino Linotype"/>
          <w:b/>
          <w:sz w:val="22"/>
          <w:szCs w:val="22"/>
        </w:rPr>
      </w:pPr>
      <w:r w:rsidRPr="009E7B76">
        <w:rPr>
          <w:rFonts w:ascii="Palatino Linotype" w:eastAsia="Palatino Linotype" w:hAnsi="Palatino Linotype" w:cs="Palatino Linotype"/>
          <w:b/>
          <w:sz w:val="22"/>
          <w:szCs w:val="22"/>
        </w:rPr>
        <w:t xml:space="preserve">Acto impugnado: </w:t>
      </w:r>
    </w:p>
    <w:p w14:paraId="54169931" w14:textId="0B055AB7" w:rsidR="00C8599E" w:rsidRPr="009E7B76"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r w:rsidR="00295018" w:rsidRPr="009E7B76">
        <w:rPr>
          <w:rFonts w:ascii="Palatino Linotype" w:eastAsia="Palatino Linotype" w:hAnsi="Palatino Linotype" w:cs="Palatino Linotype"/>
          <w:i/>
          <w:sz w:val="22"/>
          <w:szCs w:val="22"/>
        </w:rPr>
        <w:t>NO ENTREGA LA INFORMACIÓN QUE ES PUBLICA</w:t>
      </w:r>
      <w:r w:rsidRPr="009E7B76">
        <w:rPr>
          <w:rFonts w:ascii="Palatino Linotype" w:eastAsia="Palatino Linotype" w:hAnsi="Palatino Linotype" w:cs="Palatino Linotype"/>
          <w:i/>
          <w:sz w:val="22"/>
          <w:szCs w:val="22"/>
        </w:rPr>
        <w:t>” (sic)</w:t>
      </w:r>
    </w:p>
    <w:p w14:paraId="01FFCB24" w14:textId="77777777" w:rsidR="00C8599E" w:rsidRPr="009E7B76" w:rsidRDefault="00812BF1" w:rsidP="00B24180">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9E7B76">
        <w:rPr>
          <w:rFonts w:ascii="Palatino Linotype" w:eastAsia="Palatino Linotype" w:hAnsi="Palatino Linotype" w:cs="Palatino Linotype"/>
          <w:b/>
          <w:sz w:val="22"/>
          <w:szCs w:val="22"/>
        </w:rPr>
        <w:t>Y, Razones o motivos de inconformidad</w:t>
      </w:r>
      <w:r w:rsidRPr="009E7B76">
        <w:rPr>
          <w:rFonts w:ascii="Palatino Linotype" w:eastAsia="Palatino Linotype" w:hAnsi="Palatino Linotype" w:cs="Palatino Linotype"/>
          <w:sz w:val="22"/>
          <w:szCs w:val="22"/>
        </w:rPr>
        <w:t>:</w:t>
      </w:r>
    </w:p>
    <w:p w14:paraId="4D20CB7D" w14:textId="3E2933AB" w:rsidR="00C8599E" w:rsidRPr="009E7B76"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r w:rsidR="00295018" w:rsidRPr="009E7B76">
        <w:rPr>
          <w:rFonts w:ascii="Palatino Linotype" w:eastAsia="Palatino Linotype" w:hAnsi="Palatino Linotype" w:cs="Palatino Linotype"/>
          <w:i/>
          <w:sz w:val="22"/>
          <w:szCs w:val="22"/>
        </w:rPr>
        <w:t>NO ENTREGA LA INFORMACIÓN QUE ES PUBLICA</w:t>
      </w:r>
      <w:r w:rsidRPr="009E7B76">
        <w:rPr>
          <w:rFonts w:ascii="Palatino Linotype" w:eastAsia="Palatino Linotype" w:hAnsi="Palatino Linotype" w:cs="Palatino Linotype"/>
          <w:i/>
          <w:sz w:val="22"/>
          <w:szCs w:val="22"/>
        </w:rPr>
        <w:t>” (sic)</w:t>
      </w:r>
    </w:p>
    <w:p w14:paraId="7E2B6914" w14:textId="59C705A0" w:rsidR="00C8599E" w:rsidRPr="009E7B76" w:rsidRDefault="004321C0" w:rsidP="00B24180">
      <w:pPr>
        <w:spacing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sz w:val="22"/>
          <w:szCs w:val="22"/>
        </w:rPr>
        <w:t>4</w:t>
      </w:r>
      <w:r w:rsidR="00812BF1" w:rsidRPr="009E7B76">
        <w:rPr>
          <w:rFonts w:ascii="Palatino Linotype" w:eastAsia="Palatino Linotype" w:hAnsi="Palatino Linotype" w:cs="Palatino Linotype"/>
          <w:b/>
          <w:sz w:val="22"/>
          <w:szCs w:val="22"/>
        </w:rPr>
        <w:t xml:space="preserve">. Turno. </w:t>
      </w:r>
      <w:r w:rsidR="00812BF1" w:rsidRPr="009E7B7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812BF1" w:rsidRPr="009E7B76">
        <w:rPr>
          <w:rFonts w:ascii="Palatino Linotype" w:eastAsia="Palatino Linotype" w:hAnsi="Palatino Linotype" w:cs="Palatino Linotype"/>
          <w:b/>
          <w:sz w:val="22"/>
          <w:szCs w:val="22"/>
        </w:rPr>
        <w:t xml:space="preserve">Guadalupe Ramírez Peña, </w:t>
      </w:r>
      <w:r w:rsidR="00812BF1" w:rsidRPr="009E7B76">
        <w:rPr>
          <w:rFonts w:ascii="Palatino Linotype" w:eastAsia="Palatino Linotype" w:hAnsi="Palatino Linotype" w:cs="Palatino Linotype"/>
          <w:sz w:val="22"/>
          <w:szCs w:val="22"/>
        </w:rPr>
        <w:t>a efecto de que analizara sobre su admisión o su desechamiento.</w:t>
      </w:r>
    </w:p>
    <w:p w14:paraId="626B1FF8" w14:textId="6C62E9C0" w:rsidR="00C8599E" w:rsidRPr="009E7B76" w:rsidRDefault="004321C0" w:rsidP="00B24180">
      <w:pPr>
        <w:spacing w:before="240" w:after="240" w:line="360" w:lineRule="auto"/>
        <w:jc w:val="both"/>
        <w:rPr>
          <w:rFonts w:ascii="Palatino Linotype" w:eastAsia="Palatino Linotype" w:hAnsi="Palatino Linotype" w:cs="Palatino Linotype"/>
          <w:b/>
          <w:sz w:val="22"/>
          <w:szCs w:val="22"/>
        </w:rPr>
      </w:pPr>
      <w:r w:rsidRPr="009E7B76">
        <w:rPr>
          <w:rFonts w:ascii="Palatino Linotype" w:eastAsia="Palatino Linotype" w:hAnsi="Palatino Linotype" w:cs="Palatino Linotype"/>
          <w:b/>
          <w:sz w:val="22"/>
          <w:szCs w:val="22"/>
        </w:rPr>
        <w:t>5</w:t>
      </w:r>
      <w:r w:rsidR="00812BF1" w:rsidRPr="009E7B76">
        <w:rPr>
          <w:rFonts w:ascii="Palatino Linotype" w:eastAsia="Palatino Linotype" w:hAnsi="Palatino Linotype" w:cs="Palatino Linotype"/>
          <w:b/>
          <w:sz w:val="22"/>
          <w:szCs w:val="22"/>
        </w:rPr>
        <w:t>. Admisión del Recurso de revisión.</w:t>
      </w:r>
      <w:r w:rsidR="00812BF1" w:rsidRPr="009E7B76">
        <w:rPr>
          <w:rFonts w:ascii="Palatino Linotype" w:eastAsia="Palatino Linotype" w:hAnsi="Palatino Linotype" w:cs="Palatino Linotype"/>
          <w:sz w:val="22"/>
          <w:szCs w:val="22"/>
        </w:rPr>
        <w:t xml:space="preserve"> El</w:t>
      </w:r>
      <w:r w:rsidR="00812BF1" w:rsidRPr="009E7B76">
        <w:rPr>
          <w:rFonts w:ascii="Palatino Linotype" w:eastAsia="Palatino Linotype" w:hAnsi="Palatino Linotype" w:cs="Palatino Linotype"/>
          <w:b/>
          <w:sz w:val="22"/>
          <w:szCs w:val="22"/>
        </w:rPr>
        <w:t xml:space="preserve"> </w:t>
      </w:r>
      <w:r w:rsidRPr="009E7B76">
        <w:rPr>
          <w:rFonts w:ascii="Palatino Linotype" w:eastAsia="Palatino Linotype" w:hAnsi="Palatino Linotype" w:cs="Palatino Linotype"/>
          <w:b/>
          <w:sz w:val="22"/>
          <w:szCs w:val="22"/>
        </w:rPr>
        <w:t>ocho de agosto</w:t>
      </w:r>
      <w:r w:rsidR="00812BF1" w:rsidRPr="009E7B76">
        <w:rPr>
          <w:rFonts w:ascii="Palatino Linotype" w:eastAsia="Palatino Linotype" w:hAnsi="Palatino Linotype" w:cs="Palatino Linotype"/>
          <w:b/>
          <w:sz w:val="22"/>
          <w:szCs w:val="22"/>
        </w:rPr>
        <w:t xml:space="preserve"> de dos mil veinticinco, </w:t>
      </w:r>
      <w:r w:rsidR="00812BF1" w:rsidRPr="009E7B7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12BF1" w:rsidRPr="009E7B76">
        <w:rPr>
          <w:rFonts w:ascii="Palatino Linotype" w:eastAsia="Palatino Linotype" w:hAnsi="Palatino Linotype" w:cs="Palatino Linotype"/>
          <w:b/>
          <w:sz w:val="22"/>
          <w:szCs w:val="22"/>
        </w:rPr>
        <w:t xml:space="preserve">Sujeto Obligado </w:t>
      </w:r>
      <w:r w:rsidR="00812BF1" w:rsidRPr="009E7B76">
        <w:rPr>
          <w:rFonts w:ascii="Palatino Linotype" w:eastAsia="Palatino Linotype" w:hAnsi="Palatino Linotype" w:cs="Palatino Linotype"/>
          <w:sz w:val="22"/>
          <w:szCs w:val="22"/>
        </w:rPr>
        <w:t>presentara su informe justificado.</w:t>
      </w:r>
    </w:p>
    <w:p w14:paraId="224547EB" w14:textId="1BB8547C" w:rsidR="004509C7" w:rsidRPr="009E7B76" w:rsidRDefault="004321C0" w:rsidP="004509C7">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9E7B76">
        <w:rPr>
          <w:rFonts w:ascii="Palatino Linotype" w:eastAsia="Palatino Linotype" w:hAnsi="Palatino Linotype" w:cs="Palatino Linotype"/>
          <w:b/>
          <w:sz w:val="22"/>
          <w:szCs w:val="22"/>
        </w:rPr>
        <w:t>6</w:t>
      </w:r>
      <w:r w:rsidR="00812BF1" w:rsidRPr="009E7B76">
        <w:rPr>
          <w:rFonts w:ascii="Palatino Linotype" w:eastAsia="Palatino Linotype" w:hAnsi="Palatino Linotype" w:cs="Palatino Linotype"/>
          <w:b/>
          <w:sz w:val="22"/>
          <w:szCs w:val="22"/>
        </w:rPr>
        <w:t>. Manifestaciones</w:t>
      </w:r>
      <w:r w:rsidR="00812BF1" w:rsidRPr="009E7B76">
        <w:rPr>
          <w:rFonts w:ascii="Palatino Linotype" w:eastAsia="Palatino Linotype" w:hAnsi="Palatino Linotype" w:cs="Palatino Linotype"/>
          <w:sz w:val="22"/>
          <w:szCs w:val="22"/>
        </w:rPr>
        <w:t xml:space="preserve">. </w:t>
      </w:r>
      <w:r w:rsidR="00D07DB1" w:rsidRPr="009E7B76">
        <w:rPr>
          <w:rFonts w:ascii="Palatino Linotype" w:eastAsia="Palatino Linotype" w:hAnsi="Palatino Linotype" w:cs="Palatino Linotype"/>
          <w:sz w:val="22"/>
          <w:szCs w:val="22"/>
        </w:rPr>
        <w:t xml:space="preserve">El </w:t>
      </w:r>
      <w:r w:rsidR="00D07DB1" w:rsidRPr="009E7B76">
        <w:rPr>
          <w:rFonts w:ascii="Palatino Linotype" w:eastAsia="Palatino Linotype" w:hAnsi="Palatino Linotype" w:cs="Palatino Linotype"/>
          <w:b/>
          <w:sz w:val="22"/>
          <w:szCs w:val="22"/>
        </w:rPr>
        <w:t>diecinueve y veintiuno de agosto dos mil veinticinco</w:t>
      </w:r>
      <w:r w:rsidR="00D07DB1" w:rsidRPr="009E7B76">
        <w:rPr>
          <w:rFonts w:ascii="Palatino Linotype" w:eastAsia="Palatino Linotype" w:hAnsi="Palatino Linotype" w:cs="Palatino Linotype"/>
          <w:sz w:val="22"/>
          <w:szCs w:val="22"/>
        </w:rPr>
        <w:t xml:space="preserve">, el </w:t>
      </w:r>
      <w:r w:rsidR="00D07DB1" w:rsidRPr="009E7B76">
        <w:rPr>
          <w:rFonts w:ascii="Palatino Linotype" w:eastAsia="Palatino Linotype" w:hAnsi="Palatino Linotype" w:cs="Palatino Linotype"/>
          <w:b/>
          <w:sz w:val="22"/>
          <w:szCs w:val="22"/>
        </w:rPr>
        <w:t>Sujeto Obligado</w:t>
      </w:r>
      <w:r w:rsidR="00D07DB1" w:rsidRPr="009E7B76">
        <w:rPr>
          <w:rFonts w:ascii="Palatino Linotype" w:eastAsia="Palatino Linotype" w:hAnsi="Palatino Linotype" w:cs="Palatino Linotype"/>
          <w:sz w:val="22"/>
          <w:szCs w:val="22"/>
        </w:rPr>
        <w:t xml:space="preserve"> remitió, a través de SAIMEX, su informe justificado, mediante el cual ratificó en lo sustancial la respuesta emitida en primera instancia por conducto de la Tesorería Municipal, la Dirección General de Obras Públicas y la Dirección General de Servicios Públicos, no obstante, se hizo del conocimiento de la persona solicitante a efecto de que manifestara lo que a su derecho estimara conveniente, siendo omisa en ejercer dicha prerrogativa.</w:t>
      </w:r>
    </w:p>
    <w:p w14:paraId="476BDC3C" w14:textId="0884F0B1" w:rsidR="000B144D" w:rsidRPr="009E7B76" w:rsidRDefault="000B144D"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Cabe señalar que se hizo entrega de un archivo que no corresponde con el recurso de revisión, razón por la cual no se hizo del conocimiento de la persona solicitante.</w:t>
      </w:r>
    </w:p>
    <w:p w14:paraId="161332CF" w14:textId="71E790CB" w:rsidR="00C8599E" w:rsidRPr="009E7B76" w:rsidRDefault="00433A14" w:rsidP="00B24180">
      <w:pPr>
        <w:spacing w:before="240" w:after="240" w:line="360" w:lineRule="auto"/>
        <w:jc w:val="both"/>
        <w:rPr>
          <w:rFonts w:ascii="Palatino Linotype" w:eastAsia="Palatino Linotype" w:hAnsi="Palatino Linotype" w:cs="Palatino Linotype"/>
          <w:b/>
          <w:sz w:val="22"/>
          <w:szCs w:val="22"/>
        </w:rPr>
      </w:pPr>
      <w:r w:rsidRPr="009E7B76">
        <w:rPr>
          <w:rFonts w:ascii="Palatino Linotype" w:eastAsia="Palatino Linotype" w:hAnsi="Palatino Linotype" w:cs="Palatino Linotype"/>
          <w:b/>
          <w:sz w:val="22"/>
          <w:szCs w:val="22"/>
        </w:rPr>
        <w:t>7</w:t>
      </w:r>
      <w:r w:rsidR="00812BF1" w:rsidRPr="009E7B76">
        <w:rPr>
          <w:rFonts w:ascii="Palatino Linotype" w:eastAsia="Palatino Linotype" w:hAnsi="Palatino Linotype" w:cs="Palatino Linotype"/>
          <w:b/>
          <w:sz w:val="22"/>
          <w:szCs w:val="22"/>
        </w:rPr>
        <w:t>. Ampliación del término para resolver</w:t>
      </w:r>
      <w:r w:rsidR="00812BF1" w:rsidRPr="009E7B76">
        <w:rPr>
          <w:rFonts w:ascii="Palatino Linotype" w:eastAsia="Palatino Linotype" w:hAnsi="Palatino Linotype" w:cs="Palatino Linotype"/>
          <w:sz w:val="22"/>
          <w:szCs w:val="22"/>
        </w:rPr>
        <w:t xml:space="preserve">. El </w:t>
      </w:r>
      <w:r w:rsidRPr="009E7B76">
        <w:rPr>
          <w:rFonts w:ascii="Palatino Linotype" w:eastAsia="Palatino Linotype" w:hAnsi="Palatino Linotype" w:cs="Palatino Linotype"/>
          <w:b/>
          <w:sz w:val="22"/>
          <w:szCs w:val="22"/>
        </w:rPr>
        <w:t xml:space="preserve">veinte de enero </w:t>
      </w:r>
      <w:r w:rsidR="00B87048" w:rsidRPr="009E7B76">
        <w:rPr>
          <w:rFonts w:ascii="Palatino Linotype" w:eastAsia="Palatino Linotype" w:hAnsi="Palatino Linotype" w:cs="Palatino Linotype"/>
          <w:b/>
          <w:sz w:val="22"/>
          <w:szCs w:val="22"/>
        </w:rPr>
        <w:t xml:space="preserve">de dos mil </w:t>
      </w:r>
      <w:r w:rsidR="00F538EC" w:rsidRPr="009E7B76">
        <w:rPr>
          <w:rFonts w:ascii="Palatino Linotype" w:eastAsia="Palatino Linotype" w:hAnsi="Palatino Linotype" w:cs="Palatino Linotype"/>
          <w:b/>
          <w:sz w:val="22"/>
          <w:szCs w:val="22"/>
        </w:rPr>
        <w:t>veintiséis</w:t>
      </w:r>
      <w:r w:rsidR="00812BF1" w:rsidRPr="009E7B7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990E0F3"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12BB7E"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AFBC4B"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D77C31"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C40957" w14:textId="77777777" w:rsidR="00C8599E" w:rsidRPr="009E7B76" w:rsidRDefault="00812BF1" w:rsidP="00B24180">
      <w:pPr>
        <w:spacing w:before="240" w:after="240" w:line="360" w:lineRule="auto"/>
        <w:jc w:val="both"/>
        <w:rPr>
          <w:rFonts w:ascii="Palatino Linotype" w:eastAsia="Palatino Linotype" w:hAnsi="Palatino Linotype" w:cs="Palatino Linotype"/>
          <w:strike/>
          <w:sz w:val="22"/>
          <w:szCs w:val="22"/>
        </w:rPr>
      </w:pPr>
      <w:r w:rsidRPr="009E7B7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FA72885" w14:textId="77777777" w:rsidR="00C8599E" w:rsidRPr="009E7B76"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ACA4EF5" w14:textId="77777777" w:rsidR="00C8599E" w:rsidRPr="009E7B76"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Actividad Procesal del interesado. Acciones u omisiones del interesado.</w:t>
      </w:r>
    </w:p>
    <w:p w14:paraId="1E43E246" w14:textId="77777777" w:rsidR="00C8599E" w:rsidRPr="009E7B76"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D4C6608" w14:textId="77777777" w:rsidR="00C8599E" w:rsidRPr="009E7B76" w:rsidRDefault="00812BF1" w:rsidP="00B24180">
      <w:pPr>
        <w:tabs>
          <w:tab w:val="left" w:pos="567"/>
        </w:tabs>
        <w:spacing w:before="240" w:after="240" w:line="360" w:lineRule="auto"/>
        <w:ind w:left="284"/>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6F30923"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B26174" w14:textId="77777777" w:rsidR="00C8599E" w:rsidRPr="009E7B76" w:rsidRDefault="00812BF1" w:rsidP="00B24180">
      <w:pPr>
        <w:spacing w:before="240" w:after="240" w:line="360" w:lineRule="auto"/>
        <w:jc w:val="both"/>
        <w:rPr>
          <w:rFonts w:ascii="Palatino Linotype" w:eastAsia="Palatino Linotype" w:hAnsi="Palatino Linotype" w:cs="Palatino Linotype"/>
          <w:b/>
          <w:sz w:val="22"/>
          <w:szCs w:val="22"/>
        </w:rPr>
      </w:pPr>
      <w:r w:rsidRPr="009E7B7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E7B7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E7B76">
        <w:rPr>
          <w:rFonts w:ascii="Palatino Linotype" w:eastAsia="Palatino Linotype" w:hAnsi="Palatino Linotype" w:cs="Palatino Linotype"/>
          <w:sz w:val="22"/>
          <w:szCs w:val="22"/>
        </w:rPr>
        <w:t>, visible en la Gaceta del Seminario Judicial de la Federación con el registro digital 205635.</w:t>
      </w:r>
    </w:p>
    <w:p w14:paraId="1A515B89"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159AE"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64A49EC" w14:textId="77777777" w:rsidR="00C8599E" w:rsidRPr="009E7B76" w:rsidRDefault="00812BF1" w:rsidP="00B24180">
      <w:pPr>
        <w:spacing w:before="120" w:after="120"/>
        <w:ind w:left="851" w:right="902"/>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 </w:t>
      </w: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b/>
          <w:i/>
          <w:sz w:val="22"/>
          <w:szCs w:val="22"/>
        </w:rPr>
        <w:t>PLAZO RAZONABLE PARA RESOLVER. DIMENSIÓN Y EFECTOS DE ESTE CONCEPTO CUANDO SE ADUCE EXCESIVA CARGA DE TRABAJO</w:t>
      </w: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0290D0" w14:textId="77777777" w:rsidR="00C8599E" w:rsidRPr="009E7B76" w:rsidRDefault="00812BF1" w:rsidP="00B24180">
      <w:pPr>
        <w:spacing w:before="120" w:after="120"/>
        <w:ind w:left="851" w:right="902"/>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sz w:val="22"/>
          <w:szCs w:val="22"/>
        </w:rPr>
        <w:t>, visible en el Seminario Judicial de la Federación y su gaceta, con el registro digital 2002350.</w:t>
      </w:r>
    </w:p>
    <w:p w14:paraId="5C7A7099"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2F11FC7" w14:textId="1D704E2E" w:rsidR="00DE5210" w:rsidRPr="009E7B76" w:rsidRDefault="00DE5210" w:rsidP="00DE521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sz w:val="22"/>
          <w:szCs w:val="22"/>
        </w:rPr>
        <w:t xml:space="preserve">8. Cierre de instrucción. </w:t>
      </w:r>
      <w:r w:rsidRPr="009E7B7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9E7B76">
        <w:rPr>
          <w:rFonts w:ascii="Palatino Linotype" w:eastAsia="Palatino Linotype" w:hAnsi="Palatino Linotype" w:cs="Palatino Linotype"/>
          <w:b/>
          <w:sz w:val="22"/>
          <w:szCs w:val="22"/>
        </w:rPr>
        <w:t>veinti</w:t>
      </w:r>
      <w:r w:rsidR="008064ED" w:rsidRPr="009E7B76">
        <w:rPr>
          <w:rFonts w:ascii="Palatino Linotype" w:eastAsia="Palatino Linotype" w:hAnsi="Palatino Linotype" w:cs="Palatino Linotype"/>
          <w:b/>
          <w:sz w:val="22"/>
          <w:szCs w:val="22"/>
        </w:rPr>
        <w:t xml:space="preserve">ocho </w:t>
      </w:r>
      <w:r w:rsidRPr="009E7B76">
        <w:rPr>
          <w:rFonts w:ascii="Palatino Linotype" w:eastAsia="Palatino Linotype" w:hAnsi="Palatino Linotype" w:cs="Palatino Linotype"/>
          <w:b/>
          <w:sz w:val="22"/>
          <w:szCs w:val="22"/>
        </w:rPr>
        <w:t>de enero de dos mil veintiséis</w:t>
      </w:r>
      <w:r w:rsidRPr="009E7B7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03E934B"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BA58BCC" w14:textId="77777777" w:rsidR="00C8599E" w:rsidRPr="009E7B76" w:rsidRDefault="00812BF1" w:rsidP="00B24180">
      <w:pPr>
        <w:widowControl w:val="0"/>
        <w:spacing w:before="240" w:after="240" w:line="360" w:lineRule="auto"/>
        <w:jc w:val="center"/>
        <w:rPr>
          <w:rFonts w:ascii="Palatino Linotype" w:eastAsia="Palatino Linotype" w:hAnsi="Palatino Linotype" w:cs="Palatino Linotype"/>
          <w:b/>
          <w:sz w:val="22"/>
          <w:szCs w:val="22"/>
        </w:rPr>
      </w:pPr>
      <w:r w:rsidRPr="009E7B76">
        <w:rPr>
          <w:rFonts w:ascii="Palatino Linotype" w:eastAsia="Palatino Linotype" w:hAnsi="Palatino Linotype" w:cs="Palatino Linotype"/>
          <w:b/>
          <w:sz w:val="22"/>
          <w:szCs w:val="22"/>
        </w:rPr>
        <w:t>II. C O N S I D E R A N D O S</w:t>
      </w:r>
    </w:p>
    <w:p w14:paraId="21BA53FD" w14:textId="0434CA02" w:rsidR="003E4149"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sz w:val="22"/>
          <w:szCs w:val="22"/>
        </w:rPr>
        <w:t>Primero. Competencia.</w:t>
      </w:r>
      <w:r w:rsidRPr="009E7B7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E4149" w:rsidRPr="009E7B76">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9A7C23"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9E7B76">
        <w:rPr>
          <w:rFonts w:ascii="Palatino Linotype" w:eastAsia="Palatino Linotype" w:hAnsi="Palatino Linotype" w:cs="Palatino Linotype"/>
          <w:b/>
          <w:sz w:val="22"/>
          <w:szCs w:val="22"/>
        </w:rPr>
        <w:t>Segundo. Oportunidad y Procedibilidad del Recurso de Revisión</w:t>
      </w:r>
      <w:r w:rsidRPr="009E7B7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993723" w14:textId="0E15992F"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 xml:space="preserve">remitió la respuesta a la solicitud de información el día </w:t>
      </w:r>
      <w:r w:rsidR="00DE5210" w:rsidRPr="009E7B76">
        <w:rPr>
          <w:rFonts w:ascii="Palatino Linotype" w:eastAsia="Palatino Linotype" w:hAnsi="Palatino Linotype" w:cs="Palatino Linotype"/>
          <w:b/>
          <w:sz w:val="22"/>
          <w:szCs w:val="22"/>
        </w:rPr>
        <w:t xml:space="preserve">diecisiete de julio </w:t>
      </w:r>
      <w:r w:rsidR="001614A0" w:rsidRPr="009E7B76">
        <w:rPr>
          <w:rFonts w:ascii="Palatino Linotype" w:eastAsia="Palatino Linotype" w:hAnsi="Palatino Linotype" w:cs="Palatino Linotype"/>
          <w:b/>
          <w:sz w:val="22"/>
          <w:szCs w:val="22"/>
        </w:rPr>
        <w:t xml:space="preserve">de dos mil </w:t>
      </w:r>
      <w:r w:rsidR="00DE5210" w:rsidRPr="009E7B76">
        <w:rPr>
          <w:rFonts w:ascii="Palatino Linotype" w:eastAsia="Palatino Linotype" w:hAnsi="Palatino Linotype" w:cs="Palatino Linotype"/>
          <w:b/>
          <w:sz w:val="22"/>
          <w:szCs w:val="22"/>
        </w:rPr>
        <w:t>veinticinco</w:t>
      </w:r>
      <w:r w:rsidRPr="009E7B76">
        <w:rPr>
          <w:rFonts w:ascii="Palatino Linotype" w:eastAsia="Palatino Linotype" w:hAnsi="Palatino Linotype" w:cs="Palatino Linotype"/>
          <w:b/>
          <w:sz w:val="22"/>
          <w:szCs w:val="22"/>
        </w:rPr>
        <w:t xml:space="preserve">, </w:t>
      </w:r>
      <w:r w:rsidRPr="009E7B76">
        <w:rPr>
          <w:rFonts w:ascii="Palatino Linotype" w:eastAsia="Palatino Linotype" w:hAnsi="Palatino Linotype" w:cs="Palatino Linotype"/>
          <w:sz w:val="22"/>
          <w:szCs w:val="22"/>
        </w:rPr>
        <w:t xml:space="preserve">mientras que el recurso de revisión interpuesto por la parte </w:t>
      </w:r>
      <w:r w:rsidRPr="009E7B76">
        <w:rPr>
          <w:rFonts w:ascii="Palatino Linotype" w:eastAsia="Palatino Linotype" w:hAnsi="Palatino Linotype" w:cs="Palatino Linotype"/>
          <w:b/>
          <w:sz w:val="22"/>
          <w:szCs w:val="22"/>
        </w:rPr>
        <w:t xml:space="preserve">Recurrente, </w:t>
      </w:r>
      <w:r w:rsidRPr="009E7B76">
        <w:rPr>
          <w:rFonts w:ascii="Palatino Linotype" w:eastAsia="Palatino Linotype" w:hAnsi="Palatino Linotype" w:cs="Palatino Linotype"/>
          <w:sz w:val="22"/>
          <w:szCs w:val="22"/>
        </w:rPr>
        <w:t>se tuvo por presentado el día</w:t>
      </w:r>
      <w:r w:rsidR="00AE7275" w:rsidRPr="009E7B76">
        <w:rPr>
          <w:rFonts w:ascii="Palatino Linotype" w:eastAsia="Palatino Linotype" w:hAnsi="Palatino Linotype" w:cs="Palatino Linotype"/>
          <w:sz w:val="22"/>
          <w:szCs w:val="22"/>
        </w:rPr>
        <w:t xml:space="preserve"> </w:t>
      </w:r>
      <w:r w:rsidR="00DE5210" w:rsidRPr="009E7B76">
        <w:rPr>
          <w:rFonts w:ascii="Palatino Linotype" w:eastAsia="Palatino Linotype" w:hAnsi="Palatino Linotype" w:cs="Palatino Linotype"/>
          <w:b/>
          <w:sz w:val="22"/>
          <w:szCs w:val="22"/>
        </w:rPr>
        <w:t>cuatro de agosto de dos mil veinticinco</w:t>
      </w:r>
      <w:r w:rsidRPr="009E7B76">
        <w:rPr>
          <w:rFonts w:ascii="Palatino Linotype" w:eastAsia="Palatino Linotype" w:hAnsi="Palatino Linotype" w:cs="Palatino Linotype"/>
          <w:b/>
          <w:sz w:val="22"/>
          <w:szCs w:val="22"/>
        </w:rPr>
        <w:t xml:space="preserve">, </w:t>
      </w:r>
      <w:r w:rsidRPr="009E7B76">
        <w:rPr>
          <w:rFonts w:ascii="Palatino Linotype" w:eastAsia="Palatino Linotype" w:hAnsi="Palatino Linotype" w:cs="Palatino Linotype"/>
          <w:sz w:val="22"/>
          <w:szCs w:val="22"/>
        </w:rPr>
        <w:t xml:space="preserve">esto es, </w:t>
      </w:r>
      <w:r w:rsidR="00C3718E" w:rsidRPr="009E7B76">
        <w:rPr>
          <w:rFonts w:ascii="Palatino Linotype" w:eastAsia="Palatino Linotype" w:hAnsi="Palatino Linotype" w:cs="Palatino Linotype"/>
          <w:sz w:val="22"/>
          <w:szCs w:val="22"/>
        </w:rPr>
        <w:t xml:space="preserve">al </w:t>
      </w:r>
      <w:r w:rsidR="00DE5210" w:rsidRPr="009E7B76">
        <w:rPr>
          <w:rFonts w:ascii="Palatino Linotype" w:eastAsia="Palatino Linotype" w:hAnsi="Palatino Linotype" w:cs="Palatino Linotype"/>
          <w:sz w:val="22"/>
          <w:szCs w:val="22"/>
        </w:rPr>
        <w:t>siguiente</w:t>
      </w:r>
      <w:r w:rsidR="00C3718E" w:rsidRPr="009E7B76">
        <w:rPr>
          <w:rFonts w:ascii="Palatino Linotype" w:eastAsia="Palatino Linotype" w:hAnsi="Palatino Linotype" w:cs="Palatino Linotype"/>
          <w:sz w:val="22"/>
          <w:szCs w:val="22"/>
        </w:rPr>
        <w:t xml:space="preserve"> día</w:t>
      </w:r>
      <w:r w:rsidR="00CA3D09" w:rsidRPr="009E7B76">
        <w:rPr>
          <w:rFonts w:ascii="Palatino Linotype" w:eastAsia="Palatino Linotype" w:hAnsi="Palatino Linotype" w:cs="Palatino Linotype"/>
          <w:sz w:val="22"/>
          <w:szCs w:val="22"/>
        </w:rPr>
        <w:t xml:space="preserve"> hábil posterior a aquel</w:t>
      </w:r>
      <w:r w:rsidR="00C3718E" w:rsidRPr="009E7B76">
        <w:rPr>
          <w:rFonts w:ascii="Palatino Linotype" w:eastAsia="Palatino Linotype" w:hAnsi="Palatino Linotype" w:cs="Palatino Linotype"/>
          <w:sz w:val="22"/>
          <w:szCs w:val="22"/>
        </w:rPr>
        <w:t xml:space="preserve"> </w:t>
      </w:r>
      <w:r w:rsidR="00761E4F" w:rsidRPr="009E7B76">
        <w:rPr>
          <w:rFonts w:ascii="Palatino Linotype" w:eastAsia="Palatino Linotype" w:hAnsi="Palatino Linotype" w:cs="Palatino Linotype"/>
          <w:sz w:val="22"/>
          <w:szCs w:val="22"/>
        </w:rPr>
        <w:t xml:space="preserve">en </w:t>
      </w:r>
      <w:r w:rsidR="00CA3D09" w:rsidRPr="009E7B76">
        <w:rPr>
          <w:rFonts w:ascii="Palatino Linotype" w:eastAsia="Palatino Linotype" w:hAnsi="Palatino Linotype" w:cs="Palatino Linotype"/>
          <w:sz w:val="22"/>
          <w:szCs w:val="22"/>
        </w:rPr>
        <w:t xml:space="preserve">el </w:t>
      </w:r>
      <w:r w:rsidRPr="009E7B76">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29A0EC24" w14:textId="1021C268" w:rsidR="00C8599E" w:rsidRPr="009E7B76" w:rsidRDefault="00812BF1" w:rsidP="00B24180">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9E7B76">
        <w:rPr>
          <w:rFonts w:ascii="Palatino Linotype" w:eastAsia="Palatino Linotype" w:hAnsi="Palatino Linotype" w:cs="Palatino Linotype"/>
          <w:sz w:val="22"/>
          <w:szCs w:val="22"/>
        </w:rPr>
        <w:t>Además, por cuanto hace a la procedibilidad del recurso de revisión, es de suma importancia señalar que la parte</w:t>
      </w:r>
      <w:r w:rsidRPr="009E7B76">
        <w:rPr>
          <w:rFonts w:ascii="Palatino Linotype" w:eastAsia="Palatino Linotype" w:hAnsi="Palatino Linotype" w:cs="Palatino Linotype"/>
          <w:b/>
          <w:sz w:val="22"/>
          <w:szCs w:val="22"/>
        </w:rPr>
        <w:t xml:space="preserve"> Recurrente</w:t>
      </w:r>
      <w:r w:rsidRPr="009E7B76">
        <w:rPr>
          <w:rFonts w:ascii="Palatino Linotype" w:eastAsia="Palatino Linotype" w:hAnsi="Palatino Linotype" w:cs="Palatino Linotype"/>
          <w:sz w:val="22"/>
          <w:szCs w:val="22"/>
        </w:rPr>
        <w:t xml:space="preserve">, </w:t>
      </w:r>
      <w:r w:rsidR="00C3718E" w:rsidRPr="009E7B76">
        <w:rPr>
          <w:rFonts w:ascii="Palatino Linotype" w:eastAsia="Palatino Linotype" w:hAnsi="Palatino Linotype" w:cs="Palatino Linotype"/>
          <w:sz w:val="22"/>
          <w:szCs w:val="22"/>
        </w:rPr>
        <w:t xml:space="preserve">no </w:t>
      </w:r>
      <w:r w:rsidRPr="009E7B76">
        <w:rPr>
          <w:rFonts w:ascii="Palatino Linotype" w:eastAsia="Palatino Linotype" w:hAnsi="Palatino Linotype" w:cs="Palatino Linotype"/>
          <w:sz w:val="22"/>
          <w:szCs w:val="22"/>
        </w:rPr>
        <w:t xml:space="preserve">señaló </w:t>
      </w:r>
      <w:r w:rsidR="008B6147" w:rsidRPr="009E7B76">
        <w:rPr>
          <w:rFonts w:ascii="Palatino Linotype" w:eastAsia="Palatino Linotype" w:hAnsi="Palatino Linotype" w:cs="Palatino Linotype"/>
          <w:sz w:val="22"/>
          <w:szCs w:val="22"/>
        </w:rPr>
        <w:t>nombre o seudónimo</w:t>
      </w:r>
      <w:r w:rsidRPr="009E7B76">
        <w:rPr>
          <w:rFonts w:ascii="Palatino Linotype" w:eastAsia="Palatino Linotype" w:hAnsi="Palatino Linotype" w:cs="Palatino Linotype"/>
          <w:sz w:val="22"/>
          <w:szCs w:val="22"/>
        </w:rPr>
        <w:t>,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8FE544" w14:textId="77777777" w:rsidR="00C8599E" w:rsidRPr="009E7B76" w:rsidRDefault="00812BF1" w:rsidP="00B24180">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b/>
          <w:i/>
          <w:sz w:val="22"/>
          <w:szCs w:val="22"/>
        </w:rPr>
        <w:t>Las solicitudes anónimas</w:t>
      </w:r>
      <w:r w:rsidRPr="009E7B76">
        <w:rPr>
          <w:rFonts w:ascii="Palatino Linotype" w:eastAsia="Palatino Linotype" w:hAnsi="Palatino Linotype" w:cs="Palatino Linotype"/>
          <w:i/>
          <w:sz w:val="22"/>
          <w:szCs w:val="22"/>
        </w:rPr>
        <w:t xml:space="preserve">, con </w:t>
      </w:r>
      <w:r w:rsidRPr="009E7B76">
        <w:rPr>
          <w:rFonts w:ascii="Palatino Linotype" w:eastAsia="Palatino Linotype" w:hAnsi="Palatino Linotype" w:cs="Palatino Linotype"/>
          <w:b/>
          <w:i/>
          <w:sz w:val="22"/>
          <w:szCs w:val="22"/>
        </w:rPr>
        <w:t>nombre incompleto o seudónimo</w:t>
      </w:r>
      <w:r w:rsidRPr="009E7B76">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45B206B" w14:textId="77777777" w:rsidR="00C8599E" w:rsidRPr="009E7B76" w:rsidRDefault="00812BF1" w:rsidP="00B24180">
      <w:pPr>
        <w:spacing w:before="240" w:after="240" w:line="360" w:lineRule="auto"/>
        <w:jc w:val="both"/>
        <w:rPr>
          <w:rFonts w:ascii="Palatino Linotype" w:eastAsia="Palatino Linotype" w:hAnsi="Palatino Linotype" w:cs="Palatino Linotype"/>
          <w:b/>
          <w:sz w:val="22"/>
          <w:szCs w:val="22"/>
        </w:rPr>
      </w:pPr>
      <w:r w:rsidRPr="009E7B76">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9E7B76">
        <w:rPr>
          <w:rFonts w:ascii="Palatino Linotype" w:eastAsia="Palatino Linotype" w:hAnsi="Palatino Linotype" w:cs="Palatino Linotype"/>
          <w:b/>
          <w:sz w:val="22"/>
          <w:szCs w:val="22"/>
        </w:rPr>
        <w:t xml:space="preserve"> SAIMEX.</w:t>
      </w:r>
    </w:p>
    <w:p w14:paraId="26F783FC" w14:textId="591BE80B"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E7B76">
        <w:rPr>
          <w:rFonts w:ascii="Palatino Linotype" w:eastAsia="Palatino Linotype" w:hAnsi="Palatino Linotype" w:cs="Palatino Linotype"/>
          <w:b/>
          <w:sz w:val="22"/>
          <w:szCs w:val="22"/>
        </w:rPr>
        <w:t>Recurrente</w:t>
      </w:r>
      <w:r w:rsidRPr="009E7B76">
        <w:rPr>
          <w:rFonts w:ascii="Palatino Linotype" w:eastAsia="Palatino Linotype" w:hAnsi="Palatino Linotype" w:cs="Palatino Linotype"/>
          <w:sz w:val="22"/>
          <w:szCs w:val="22"/>
        </w:rPr>
        <w:t xml:space="preserve"> en sus motivos de inconformidad, de acuerdo al artículo 179, fracción </w:t>
      </w:r>
      <w:r w:rsidR="006044DA" w:rsidRPr="009E7B76">
        <w:rPr>
          <w:rFonts w:ascii="Palatino Linotype" w:eastAsia="Palatino Linotype" w:hAnsi="Palatino Linotype" w:cs="Palatino Linotype"/>
          <w:sz w:val="22"/>
          <w:szCs w:val="22"/>
        </w:rPr>
        <w:t>I</w:t>
      </w:r>
      <w:r w:rsidRPr="009E7B76">
        <w:rPr>
          <w:rFonts w:ascii="Palatino Linotype" w:eastAsia="Palatino Linotype" w:hAnsi="Palatino Linotype" w:cs="Palatino Linotype"/>
          <w:sz w:val="22"/>
          <w:szCs w:val="22"/>
        </w:rPr>
        <w:t xml:space="preserve"> del ordenamiento legal citado, que a la letra dice: </w:t>
      </w:r>
    </w:p>
    <w:p w14:paraId="102193EB" w14:textId="6AE22E45" w:rsidR="00C8599E" w:rsidRPr="009E7B76" w:rsidRDefault="00812BF1" w:rsidP="00B24180">
      <w:pPr>
        <w:tabs>
          <w:tab w:val="left" w:pos="7938"/>
        </w:tabs>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b/>
          <w:i/>
          <w:sz w:val="22"/>
          <w:szCs w:val="22"/>
        </w:rPr>
        <w:t>Artículo 179.</w:t>
      </w:r>
      <w:r w:rsidRPr="009E7B7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3344C9A" w14:textId="16872577" w:rsidR="00C8599E" w:rsidRPr="009E7B76" w:rsidRDefault="006044DA" w:rsidP="00B24180">
      <w:pPr>
        <w:tabs>
          <w:tab w:val="left" w:pos="7938"/>
        </w:tabs>
        <w:spacing w:before="120" w:after="120"/>
        <w:ind w:left="1134" w:right="900"/>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b/>
          <w:i/>
          <w:sz w:val="22"/>
          <w:szCs w:val="22"/>
        </w:rPr>
        <w:t xml:space="preserve">I. </w:t>
      </w:r>
      <w:r w:rsidRPr="009E7B76">
        <w:rPr>
          <w:rFonts w:ascii="Palatino Linotype" w:eastAsia="Palatino Linotype" w:hAnsi="Palatino Linotype" w:cs="Palatino Linotype"/>
          <w:bCs/>
          <w:i/>
          <w:sz w:val="22"/>
          <w:szCs w:val="22"/>
        </w:rPr>
        <w:t>La negativa a la información solicitada</w:t>
      </w:r>
      <w:r w:rsidR="00812BF1" w:rsidRPr="009E7B76">
        <w:rPr>
          <w:rFonts w:ascii="Palatino Linotype" w:eastAsia="Palatino Linotype" w:hAnsi="Palatino Linotype" w:cs="Palatino Linotype"/>
          <w:i/>
          <w:sz w:val="22"/>
          <w:szCs w:val="22"/>
        </w:rPr>
        <w:t>;”</w:t>
      </w:r>
    </w:p>
    <w:p w14:paraId="386B980F" w14:textId="77777777" w:rsidR="00C8599E" w:rsidRPr="009E7B76" w:rsidRDefault="00812BF1" w:rsidP="00B24180">
      <w:pPr>
        <w:spacing w:before="240" w:after="240" w:line="360" w:lineRule="auto"/>
        <w:jc w:val="both"/>
        <w:rPr>
          <w:rFonts w:ascii="Palatino Linotype" w:eastAsia="Palatino Linotype" w:hAnsi="Palatino Linotype" w:cs="Palatino Linotype"/>
          <w:b/>
          <w:sz w:val="22"/>
          <w:szCs w:val="22"/>
        </w:rPr>
      </w:pPr>
      <w:r w:rsidRPr="009E7B76">
        <w:rPr>
          <w:rFonts w:ascii="Palatino Linotype" w:eastAsia="Palatino Linotype" w:hAnsi="Palatino Linotype" w:cs="Palatino Linotype"/>
          <w:b/>
          <w:sz w:val="22"/>
          <w:szCs w:val="22"/>
        </w:rPr>
        <w:t xml:space="preserve">Tercero. Materia de la revisión. </w:t>
      </w:r>
      <w:r w:rsidRPr="009E7B7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E7B7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9E7B76">
        <w:rPr>
          <w:rFonts w:ascii="Palatino Linotype" w:eastAsia="Palatino Linotype" w:hAnsi="Palatino Linotype" w:cs="Palatino Linotype"/>
          <w:sz w:val="22"/>
          <w:szCs w:val="22"/>
        </w:rPr>
        <w:t xml:space="preserve">de la parte </w:t>
      </w:r>
      <w:r w:rsidRPr="009E7B76">
        <w:rPr>
          <w:rFonts w:ascii="Palatino Linotype" w:eastAsia="Palatino Linotype" w:hAnsi="Palatino Linotype" w:cs="Palatino Linotype"/>
          <w:b/>
          <w:sz w:val="22"/>
          <w:szCs w:val="22"/>
        </w:rPr>
        <w:t>Recurrente</w:t>
      </w:r>
      <w:r w:rsidRPr="009E7B76">
        <w:rPr>
          <w:rFonts w:ascii="Palatino Linotype" w:eastAsia="Palatino Linotype" w:hAnsi="Palatino Linotype" w:cs="Palatino Linotype"/>
          <w:sz w:val="22"/>
          <w:szCs w:val="22"/>
        </w:rPr>
        <w:t>, o en su defecto, en caso de ser procedente, ordenar la entrega de información.</w:t>
      </w:r>
    </w:p>
    <w:p w14:paraId="12B54D18"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9E7B76">
        <w:rPr>
          <w:rFonts w:ascii="Palatino Linotype" w:eastAsia="Palatino Linotype" w:hAnsi="Palatino Linotype" w:cs="Palatino Linotype"/>
          <w:b/>
          <w:sz w:val="22"/>
          <w:szCs w:val="22"/>
        </w:rPr>
        <w:t xml:space="preserve">Cuarto. Estudio del asunto. </w:t>
      </w:r>
      <w:r w:rsidRPr="009E7B7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5B5CCC" w14:textId="77777777" w:rsidR="00C8599E" w:rsidRPr="009E7B76" w:rsidRDefault="00812BF1" w:rsidP="00B24180">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b/>
          <w:i/>
          <w:sz w:val="22"/>
          <w:szCs w:val="22"/>
        </w:rPr>
        <w:t>Artículo 4</w:t>
      </w:r>
      <w:r w:rsidRPr="009E7B7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3D819" w14:textId="77777777" w:rsidR="00C8599E" w:rsidRPr="009E7B76" w:rsidRDefault="00812BF1" w:rsidP="00B24180">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E7B7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8616B1" w14:textId="77777777" w:rsidR="00C8599E" w:rsidRPr="009E7B76" w:rsidRDefault="00812BF1" w:rsidP="00B24180">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E7B76">
        <w:rPr>
          <w:rFonts w:ascii="Palatino Linotype" w:eastAsia="Palatino Linotype" w:hAnsi="Palatino Linotype" w:cs="Palatino Linotype"/>
          <w:i/>
          <w:sz w:val="22"/>
          <w:szCs w:val="22"/>
        </w:rPr>
        <w:t>.”</w:t>
      </w:r>
    </w:p>
    <w:p w14:paraId="25215573"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D7EBC1" w14:textId="77777777" w:rsidR="00C8599E" w:rsidRPr="009E7B76" w:rsidRDefault="00812BF1" w:rsidP="00B24180">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b/>
          <w:i/>
          <w:sz w:val="22"/>
          <w:szCs w:val="22"/>
        </w:rPr>
        <w:t>“Artículo 12.-</w:t>
      </w:r>
      <w:r w:rsidRPr="009E7B7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7C0FD3" w14:textId="77777777" w:rsidR="00C8599E" w:rsidRPr="009E7B76" w:rsidRDefault="00812BF1" w:rsidP="00B24180">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E7B76">
        <w:rPr>
          <w:rFonts w:ascii="Palatino Linotype" w:eastAsia="Palatino Linotype" w:hAnsi="Palatino Linotype" w:cs="Palatino Linotype"/>
          <w:i/>
          <w:sz w:val="22"/>
          <w:szCs w:val="22"/>
        </w:rPr>
        <w:t xml:space="preserve">. </w:t>
      </w:r>
      <w:r w:rsidRPr="009E7B7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A77DAC8" w14:textId="77777777" w:rsidR="00C8599E" w:rsidRPr="009E7B76" w:rsidRDefault="00812BF1" w:rsidP="00B24180">
      <w:pPr>
        <w:spacing w:before="240" w:after="240" w:line="360" w:lineRule="auto"/>
        <w:ind w:right="-93"/>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110F4A" w14:textId="77777777" w:rsidR="00C8599E" w:rsidRPr="009E7B76" w:rsidRDefault="00812BF1" w:rsidP="00B24180">
      <w:pPr>
        <w:spacing w:before="240" w:after="240" w:line="360" w:lineRule="auto"/>
        <w:jc w:val="both"/>
        <w:rPr>
          <w:rFonts w:ascii="Palatino Linotype" w:eastAsia="Palatino Linotype" w:hAnsi="Palatino Linotype" w:cs="Palatino Linotype"/>
          <w:b/>
          <w:sz w:val="22"/>
          <w:szCs w:val="22"/>
        </w:rPr>
      </w:pPr>
      <w:r w:rsidRPr="009E7B76">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9E7B76">
        <w:rPr>
          <w:rFonts w:ascii="Palatino Linotype" w:eastAsia="Palatino Linotype" w:hAnsi="Palatino Linotype" w:cs="Palatino Linotype"/>
          <w:b/>
          <w:sz w:val="22"/>
          <w:szCs w:val="22"/>
        </w:rPr>
        <w:t xml:space="preserve"> </w:t>
      </w:r>
    </w:p>
    <w:p w14:paraId="10843B30" w14:textId="77777777" w:rsidR="00C8599E" w:rsidRPr="009E7B76" w:rsidRDefault="00812BF1" w:rsidP="00B24180">
      <w:pPr>
        <w:spacing w:before="120" w:after="120"/>
        <w:ind w:left="1134"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 xml:space="preserve"> “</w:t>
      </w:r>
      <w:r w:rsidRPr="009E7B76">
        <w:rPr>
          <w:rFonts w:ascii="Palatino Linotype" w:eastAsia="Palatino Linotype" w:hAnsi="Palatino Linotype" w:cs="Palatino Linotype"/>
          <w:b/>
          <w:i/>
          <w:sz w:val="22"/>
          <w:szCs w:val="22"/>
        </w:rPr>
        <w:t>No existe obligación de elaborar documentos ad hoc para atender las solicitudes de acceso a la información.</w:t>
      </w:r>
      <w:r w:rsidRPr="009E7B7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BDF67D8" w14:textId="77777777" w:rsidR="00C8599E" w:rsidRPr="009E7B76" w:rsidRDefault="00812BF1" w:rsidP="00B24180">
      <w:pPr>
        <w:spacing w:before="120" w:after="12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FA748" w14:textId="77777777" w:rsidR="00C8599E" w:rsidRPr="009E7B76" w:rsidRDefault="00812BF1" w:rsidP="00B24180">
      <w:pPr>
        <w:spacing w:before="120" w:after="12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E13883"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r w:rsidRPr="009E7B76">
        <w:rPr>
          <w:rFonts w:ascii="Palatino Linotype" w:eastAsia="Palatino Linotype" w:hAnsi="Palatino Linotype" w:cs="Palatino Linotype"/>
          <w:b/>
          <w:i/>
          <w:sz w:val="22"/>
          <w:szCs w:val="22"/>
        </w:rPr>
        <w:t xml:space="preserve">Artículo 3. </w:t>
      </w:r>
      <w:r w:rsidRPr="009E7B76">
        <w:rPr>
          <w:rFonts w:ascii="Palatino Linotype" w:eastAsia="Palatino Linotype" w:hAnsi="Palatino Linotype" w:cs="Palatino Linotype"/>
          <w:i/>
          <w:sz w:val="22"/>
          <w:szCs w:val="22"/>
        </w:rPr>
        <w:t>Para los efectos de la presente Ley se entenderá por:</w:t>
      </w:r>
    </w:p>
    <w:p w14:paraId="0A42051C"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w:t>
      </w:r>
    </w:p>
    <w:p w14:paraId="21CABF0B"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b/>
          <w:i/>
          <w:sz w:val="22"/>
          <w:szCs w:val="22"/>
        </w:rPr>
        <w:t>XI. Documento:</w:t>
      </w:r>
      <w:r w:rsidRPr="009E7B76">
        <w:rPr>
          <w:rFonts w:ascii="Palatino Linotype" w:eastAsia="Palatino Linotype" w:hAnsi="Palatino Linotype" w:cs="Palatino Linotype"/>
          <w:i/>
          <w:sz w:val="22"/>
          <w:szCs w:val="22"/>
        </w:rPr>
        <w:t xml:space="preserve"> Los expedientes, reportes, estudios, actas</w:t>
      </w:r>
      <w:r w:rsidRPr="009E7B76">
        <w:rPr>
          <w:rFonts w:ascii="Palatino Linotype" w:eastAsia="Palatino Linotype" w:hAnsi="Palatino Linotype" w:cs="Palatino Linotype"/>
          <w:b/>
          <w:i/>
          <w:sz w:val="22"/>
          <w:szCs w:val="22"/>
        </w:rPr>
        <w:t>,</w:t>
      </w:r>
      <w:r w:rsidRPr="009E7B7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0FC17D"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7ED6F7"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b/>
          <w:sz w:val="22"/>
          <w:szCs w:val="22"/>
        </w:rPr>
        <w:t>“</w:t>
      </w:r>
      <w:r w:rsidRPr="009E7B7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E7B7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0993A1"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4714F6B"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00A418"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5A41FF6" w14:textId="77777777" w:rsidR="00C8599E" w:rsidRPr="009E7B76" w:rsidRDefault="00812BF1" w:rsidP="008B6147">
      <w:pPr>
        <w:spacing w:before="120" w:after="120"/>
        <w:ind w:left="851" w:right="902"/>
        <w:jc w:val="both"/>
        <w:rPr>
          <w:rFonts w:ascii="Palatino Linotype" w:eastAsia="Palatino Linotype" w:hAnsi="Palatino Linotype" w:cs="Palatino Linotype"/>
          <w:i/>
          <w:sz w:val="22"/>
          <w:szCs w:val="22"/>
        </w:rPr>
      </w:pPr>
      <w:r w:rsidRPr="009E7B7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46AE1C7" w14:textId="77777777" w:rsidR="00C8599E" w:rsidRPr="009E7B76" w:rsidRDefault="00812BF1" w:rsidP="00B24180">
      <w:pPr>
        <w:spacing w:before="240" w:after="240" w:line="360" w:lineRule="auto"/>
        <w:ind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647F16"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16C4923" w14:textId="77777777" w:rsidR="00C8599E" w:rsidRPr="009E7B76" w:rsidRDefault="00812BF1" w:rsidP="00B24180">
      <w:pPr>
        <w:spacing w:before="240" w:after="240" w:line="360" w:lineRule="auto"/>
        <w:ind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E7B76">
        <w:rPr>
          <w:rFonts w:ascii="Palatino Linotype" w:eastAsia="Palatino Linotype" w:hAnsi="Palatino Linotype" w:cs="Palatino Linotype"/>
          <w:b/>
          <w:sz w:val="22"/>
          <w:szCs w:val="22"/>
        </w:rPr>
        <w:t>Recurrente</w:t>
      </w:r>
      <w:r w:rsidRPr="009E7B76">
        <w:rPr>
          <w:rFonts w:ascii="Palatino Linotype" w:eastAsia="Palatino Linotype" w:hAnsi="Palatino Linotype" w:cs="Palatino Linotype"/>
          <w:sz w:val="22"/>
          <w:szCs w:val="22"/>
        </w:rPr>
        <w:t xml:space="preserve"> requirió al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le proporcione, información consistente en lo siguiente:</w:t>
      </w:r>
    </w:p>
    <w:p w14:paraId="17F91E62" w14:textId="4FC9F204" w:rsidR="003A30A1" w:rsidRPr="009E7B76" w:rsidRDefault="003A30A1" w:rsidP="003A30A1">
      <w:pPr>
        <w:spacing w:before="240" w:after="240" w:line="360" w:lineRule="auto"/>
        <w:ind w:left="284"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Del uno de enero al veintiséis de junio de dos mil veinticinco:</w:t>
      </w:r>
    </w:p>
    <w:p w14:paraId="6925977D" w14:textId="2672480F" w:rsidR="003A30A1" w:rsidRPr="009E7B76" w:rsidRDefault="003A30A1" w:rsidP="003A30A1">
      <w:pPr>
        <w:spacing w:before="240" w:after="240" w:line="360" w:lineRule="auto"/>
        <w:ind w:left="284"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1. Gastos ejercidos para pavimentación.</w:t>
      </w:r>
    </w:p>
    <w:p w14:paraId="4BCD2DA9" w14:textId="4CB2E8BF" w:rsidR="003A30A1" w:rsidRPr="009E7B76" w:rsidRDefault="003A30A1" w:rsidP="003A30A1">
      <w:pPr>
        <w:spacing w:before="240" w:after="240" w:line="360" w:lineRule="auto"/>
        <w:ind w:left="284"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2. Gastos ejercidos para bacheo.</w:t>
      </w:r>
    </w:p>
    <w:p w14:paraId="0C59C4FA" w14:textId="5FA9D7CA" w:rsidR="003A30A1" w:rsidRPr="009E7B76" w:rsidRDefault="003A30A1" w:rsidP="003A30A1">
      <w:pPr>
        <w:spacing w:before="240" w:after="240" w:line="360" w:lineRule="auto"/>
        <w:ind w:left="284"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3. Contratos con empresas privadas que se hayan celebrado para pavimentación y/o bacheo.</w:t>
      </w:r>
    </w:p>
    <w:p w14:paraId="42FECC9C" w14:textId="67D6DFD8" w:rsidR="003A30A1" w:rsidRPr="009E7B76" w:rsidRDefault="003A30A1" w:rsidP="003A30A1">
      <w:pPr>
        <w:spacing w:before="240" w:after="240" w:line="360" w:lineRule="auto"/>
        <w:ind w:left="284"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4. Especificaciones técnicas con las que se realiza el bacheo en Toluca ya sea a través de personal del ayuntamiento o servicio privado</w:t>
      </w:r>
      <w:r w:rsidR="005908FE" w:rsidRPr="009E7B76">
        <w:rPr>
          <w:rFonts w:ascii="Palatino Linotype" w:eastAsia="Palatino Linotype" w:hAnsi="Palatino Linotype" w:cs="Palatino Linotype"/>
          <w:sz w:val="22"/>
          <w:szCs w:val="22"/>
        </w:rPr>
        <w:t>.</w:t>
      </w:r>
    </w:p>
    <w:p w14:paraId="5CC85B70" w14:textId="788A666A" w:rsidR="003A30A1" w:rsidRPr="009E7B76" w:rsidRDefault="003A30A1" w:rsidP="003A30A1">
      <w:pPr>
        <w:spacing w:before="240" w:after="240" w:line="360" w:lineRule="auto"/>
        <w:ind w:left="284"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5. Reporte, informe o documento donde conste el avance de las obras de pavimentación y las obras de bacheo que se han realizado</w:t>
      </w:r>
      <w:r w:rsidR="005908FE" w:rsidRPr="009E7B76">
        <w:rPr>
          <w:rFonts w:ascii="Palatino Linotype" w:eastAsia="Palatino Linotype" w:hAnsi="Palatino Linotype" w:cs="Palatino Linotype"/>
          <w:sz w:val="22"/>
          <w:szCs w:val="22"/>
        </w:rPr>
        <w:t>,</w:t>
      </w:r>
      <w:r w:rsidRPr="009E7B76">
        <w:rPr>
          <w:rFonts w:ascii="Palatino Linotype" w:eastAsia="Palatino Linotype" w:hAnsi="Palatino Linotype" w:cs="Palatino Linotype"/>
          <w:sz w:val="22"/>
          <w:szCs w:val="22"/>
        </w:rPr>
        <w:t xml:space="preserve"> así como los respectivos costos.</w:t>
      </w:r>
    </w:p>
    <w:p w14:paraId="653CA8BB" w14:textId="234E1870" w:rsidR="008A2F0C" w:rsidRPr="009E7B76" w:rsidRDefault="008A2F0C" w:rsidP="008A2F0C">
      <w:pPr>
        <w:spacing w:before="240" w:after="240" w:line="360" w:lineRule="auto"/>
        <w:jc w:val="both"/>
        <w:rPr>
          <w:rFonts w:ascii="Palatino Linotype" w:hAnsi="Palatino Linotype"/>
          <w:sz w:val="22"/>
          <w:szCs w:val="22"/>
        </w:rPr>
      </w:pPr>
      <w:r w:rsidRPr="009E7B76">
        <w:rPr>
          <w:rFonts w:ascii="Palatino Linotype" w:hAnsi="Palatino Linotype"/>
          <w:sz w:val="22"/>
          <w:szCs w:val="22"/>
        </w:rPr>
        <w:t>Ahora bien, por lo que se refiere a la respuesta proporcionada por los servidores públicos habilitados, de la Tesorería Municipal, la Director General de Servicios Públicos y la Dirección General de Obras Públicas, se destaca lo siguiente:</w:t>
      </w:r>
    </w:p>
    <w:p w14:paraId="562AE8FD" w14:textId="62CDC227" w:rsidR="008A2F0C" w:rsidRPr="009E7B76" w:rsidRDefault="00962527" w:rsidP="008A2F0C">
      <w:pPr>
        <w:spacing w:before="240" w:after="240" w:line="360" w:lineRule="auto"/>
        <w:jc w:val="both"/>
        <w:rPr>
          <w:rFonts w:ascii="Palatino Linotype" w:hAnsi="Palatino Linotype"/>
          <w:sz w:val="22"/>
          <w:szCs w:val="22"/>
        </w:rPr>
      </w:pPr>
      <w:r w:rsidRPr="009E7B76">
        <w:rPr>
          <w:rFonts w:ascii="Palatino Linotype" w:hAnsi="Palatino Linotype"/>
          <w:sz w:val="22"/>
          <w:szCs w:val="22"/>
        </w:rPr>
        <w:t xml:space="preserve">La </w:t>
      </w:r>
      <w:r w:rsidRPr="009E7B76">
        <w:rPr>
          <w:rFonts w:ascii="Palatino Linotype" w:hAnsi="Palatino Linotype"/>
          <w:b/>
          <w:bCs/>
          <w:sz w:val="22"/>
          <w:szCs w:val="22"/>
        </w:rPr>
        <w:t>Tesorería Municipa</w:t>
      </w:r>
      <w:r w:rsidR="00E55CF0" w:rsidRPr="009E7B76">
        <w:rPr>
          <w:rFonts w:ascii="Palatino Linotype" w:hAnsi="Palatino Linotype"/>
          <w:b/>
          <w:bCs/>
          <w:sz w:val="22"/>
          <w:szCs w:val="22"/>
        </w:rPr>
        <w:t xml:space="preserve">l </w:t>
      </w:r>
      <w:r w:rsidR="00E55CF0" w:rsidRPr="009E7B76">
        <w:rPr>
          <w:rFonts w:ascii="Palatino Linotype" w:hAnsi="Palatino Linotype"/>
          <w:sz w:val="22"/>
          <w:szCs w:val="22"/>
        </w:rPr>
        <w:t>manifestó que no había sido remitida información alguna a la Tesorería</w:t>
      </w:r>
      <w:r w:rsidR="00F77899" w:rsidRPr="009E7B76">
        <w:rPr>
          <w:rFonts w:ascii="Palatino Linotype" w:hAnsi="Palatino Linotype"/>
          <w:sz w:val="22"/>
          <w:szCs w:val="22"/>
        </w:rPr>
        <w:t xml:space="preserve"> relacionada con los gastos ejercidos para bacheo y pavimentación, además de no contar con competencia para conocer de los demás puntos solicitados.</w:t>
      </w:r>
    </w:p>
    <w:p w14:paraId="725E4B23" w14:textId="310938CE" w:rsidR="00F77899" w:rsidRPr="009E7B76" w:rsidRDefault="00F77899" w:rsidP="008A2F0C">
      <w:pPr>
        <w:spacing w:before="240" w:after="240" w:line="360" w:lineRule="auto"/>
        <w:jc w:val="both"/>
        <w:rPr>
          <w:rFonts w:ascii="Palatino Linotype" w:hAnsi="Palatino Linotype"/>
          <w:sz w:val="22"/>
          <w:szCs w:val="22"/>
        </w:rPr>
      </w:pPr>
      <w:r w:rsidRPr="009E7B76">
        <w:rPr>
          <w:rFonts w:ascii="Palatino Linotype" w:hAnsi="Palatino Linotype"/>
          <w:sz w:val="22"/>
          <w:szCs w:val="22"/>
        </w:rPr>
        <w:t xml:space="preserve">La </w:t>
      </w:r>
      <w:r w:rsidRPr="009E7B76">
        <w:rPr>
          <w:rFonts w:ascii="Palatino Linotype" w:hAnsi="Palatino Linotype"/>
          <w:b/>
          <w:bCs/>
          <w:sz w:val="22"/>
          <w:szCs w:val="22"/>
        </w:rPr>
        <w:t xml:space="preserve">Dirección General de Servicios Públicos, </w:t>
      </w:r>
      <w:r w:rsidRPr="009E7B76">
        <w:rPr>
          <w:rFonts w:ascii="Palatino Linotype" w:hAnsi="Palatino Linotype"/>
          <w:sz w:val="22"/>
          <w:szCs w:val="22"/>
        </w:rPr>
        <w:t xml:space="preserve">por conducto de la Dirección de Mantenimiento Urbano y el Departamento de Bacheo y Señalamiento Vial, proporcionó </w:t>
      </w:r>
      <w:r w:rsidR="00382ABD" w:rsidRPr="009E7B76">
        <w:rPr>
          <w:rFonts w:ascii="Palatino Linotype" w:hAnsi="Palatino Linotype"/>
          <w:sz w:val="22"/>
          <w:szCs w:val="22"/>
        </w:rPr>
        <w:t>la descripción del proceso y/o especificaciones técnicas con las que se realiza el bacheo de mezcla asfáltica en caliente y en frio, así como el reporte donde se indica el avance de las obras de bacheo realizadas de enero a julio de dos mil veinticinco</w:t>
      </w:r>
      <w:r w:rsidR="00D42A6B" w:rsidRPr="009E7B76">
        <w:rPr>
          <w:rFonts w:ascii="Palatino Linotype" w:hAnsi="Palatino Linotype"/>
          <w:sz w:val="22"/>
          <w:szCs w:val="22"/>
        </w:rPr>
        <w:t>, y, por lo que se refiere a los gastos y contratos informó que no se cuenta con la información, por no haberse generado, poseído o administrado dichos datos y/o por no estar dentro de las atribuciones de la Dirección; y, respecto de los trabajos de pavimentación informó que los realiza la Dirección General de Obras Públicas.</w:t>
      </w:r>
    </w:p>
    <w:p w14:paraId="040F1916" w14:textId="452135A1" w:rsidR="00D42A6B" w:rsidRPr="009E7B76" w:rsidRDefault="00D42A6B" w:rsidP="008A2F0C">
      <w:pPr>
        <w:spacing w:before="240" w:after="240" w:line="360" w:lineRule="auto"/>
        <w:jc w:val="both"/>
        <w:rPr>
          <w:rFonts w:ascii="Palatino Linotype" w:hAnsi="Palatino Linotype"/>
          <w:sz w:val="22"/>
          <w:szCs w:val="22"/>
        </w:rPr>
      </w:pPr>
      <w:r w:rsidRPr="009E7B76">
        <w:rPr>
          <w:rFonts w:ascii="Palatino Linotype" w:hAnsi="Palatino Linotype"/>
          <w:sz w:val="22"/>
          <w:szCs w:val="22"/>
        </w:rPr>
        <w:t xml:space="preserve">La </w:t>
      </w:r>
      <w:r w:rsidRPr="009E7B76">
        <w:rPr>
          <w:rFonts w:ascii="Palatino Linotype" w:hAnsi="Palatino Linotype"/>
          <w:b/>
          <w:bCs/>
          <w:sz w:val="22"/>
          <w:szCs w:val="22"/>
        </w:rPr>
        <w:t xml:space="preserve">Dirección General de Obras Públicas, </w:t>
      </w:r>
      <w:r w:rsidRPr="009E7B76">
        <w:rPr>
          <w:rFonts w:ascii="Palatino Linotype" w:hAnsi="Palatino Linotype"/>
          <w:sz w:val="22"/>
          <w:szCs w:val="22"/>
        </w:rPr>
        <w:t xml:space="preserve">derivado de la búsqueda exhaustiva y razonable </w:t>
      </w:r>
      <w:r w:rsidR="00E4587D" w:rsidRPr="009E7B76">
        <w:rPr>
          <w:rFonts w:ascii="Palatino Linotype" w:hAnsi="Palatino Linotype"/>
          <w:sz w:val="22"/>
          <w:szCs w:val="22"/>
        </w:rPr>
        <w:t xml:space="preserve">en los archivos que se encuentran bajo su resguardo y custodia, de la información requerida en la temporalidad indicada, informó que no ha realizado procedimientos de contratación de obras públicas, por lo que no ha generado ni administra expresión documental que dé cuenta de los montos contratados, contratos, especificaciones técnicas, ni de avances de obras públicas de pavimentación y/o bacheo; asimismo, por conducto de la Coordinación de Obras por Administración Directa, informó que no se localizó expresión documental que dé cuenta de montos contratados ni contratos para obras públicas de pavimentación y/o bacheo, en razón de no generarlos ni administrarlos, de acuerdo a sus funciones y atribuciones, no obstante, respecto de las especificaciones técnicas manifestó que el personal emplea </w:t>
      </w:r>
      <w:r w:rsidR="00F67E05" w:rsidRPr="009E7B76">
        <w:rPr>
          <w:rFonts w:ascii="Palatino Linotype" w:hAnsi="Palatino Linotype"/>
          <w:sz w:val="22"/>
          <w:szCs w:val="22"/>
        </w:rPr>
        <w:t xml:space="preserve">"mezcla asfáltica caliente de ¾ </w:t>
      </w:r>
      <w:r w:rsidR="00E4587D" w:rsidRPr="009E7B76">
        <w:rPr>
          <w:rFonts w:ascii="Palatino Linotype" w:hAnsi="Palatino Linotype"/>
          <w:sz w:val="22"/>
          <w:szCs w:val="22"/>
        </w:rPr>
        <w:t>a finos de granulometría densa" para realizar trabajos de bacheo, y precisó las delegaciones en las que se han realizado los trabajos de bacheo en la temporalidad de enero a la fecha de la solicitud.</w:t>
      </w:r>
    </w:p>
    <w:p w14:paraId="16DADB9A" w14:textId="77777777" w:rsidR="002519E5" w:rsidRPr="009E7B76" w:rsidRDefault="002519E5" w:rsidP="002519E5">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Al no estar conforme con los términos de la respuesta proporcionada por 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la persona solicitante interpuso el recurso de revisión que se resuelve, mediante el cual alegó, en lo medular, que se le negó la información solicitada.</w:t>
      </w:r>
    </w:p>
    <w:p w14:paraId="65274E2D" w14:textId="56B06DAA" w:rsidR="002519E5" w:rsidRPr="009E7B76" w:rsidRDefault="002519E5" w:rsidP="002519E5">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Durante el periodo de manifestaciones 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 xml:space="preserve">ratificó en lo sustancial la respuesta proporcionada en primera instancia, y la parte </w:t>
      </w:r>
      <w:r w:rsidRPr="009E7B76">
        <w:rPr>
          <w:rFonts w:ascii="Palatino Linotype" w:eastAsia="Palatino Linotype" w:hAnsi="Palatino Linotype" w:cs="Palatino Linotype"/>
          <w:b/>
          <w:sz w:val="22"/>
          <w:szCs w:val="22"/>
        </w:rPr>
        <w:t xml:space="preserve">Recurrente </w:t>
      </w:r>
      <w:r w:rsidRPr="009E7B76">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0E4FA35C" w14:textId="77777777" w:rsidR="00C8599E" w:rsidRPr="009E7B76" w:rsidRDefault="00812BF1" w:rsidP="00B24180">
      <w:pPr>
        <w:spacing w:before="280" w:after="28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 xml:space="preserve">en contraposición con el motivo de inconformidad alegado por la parte </w:t>
      </w:r>
      <w:r w:rsidRPr="009E7B76">
        <w:rPr>
          <w:rFonts w:ascii="Palatino Linotype" w:eastAsia="Palatino Linotype" w:hAnsi="Palatino Linotype" w:cs="Palatino Linotype"/>
          <w:b/>
          <w:sz w:val="22"/>
          <w:szCs w:val="22"/>
        </w:rPr>
        <w:t xml:space="preserve">Recurrente, </w:t>
      </w:r>
      <w:r w:rsidRPr="009E7B76">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9907EEC" w14:textId="589E8DF7" w:rsidR="002519E5" w:rsidRPr="009E7B76" w:rsidRDefault="002519E5" w:rsidP="002519E5">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En este tenor,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761E765" w14:textId="77777777" w:rsidR="002519E5" w:rsidRPr="009E7B76" w:rsidRDefault="002519E5" w:rsidP="002519E5">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71F6E85A" w14:textId="77777777" w:rsidR="002519E5" w:rsidRPr="009E7B76" w:rsidRDefault="002519E5" w:rsidP="002519E5">
      <w:pPr>
        <w:spacing w:before="240" w:after="240" w:line="360" w:lineRule="auto"/>
        <w:ind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283CBCA8" w14:textId="77777777" w:rsidR="002519E5" w:rsidRPr="009E7B76" w:rsidRDefault="002519E5" w:rsidP="002519E5">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D1E4B87" w14:textId="77777777" w:rsidR="002519E5" w:rsidRPr="009E7B76" w:rsidRDefault="002519E5" w:rsidP="002519E5">
      <w:pPr>
        <w:spacing w:before="240" w:after="240" w:line="360" w:lineRule="auto"/>
        <w:ind w:right="49"/>
        <w:jc w:val="both"/>
        <w:rPr>
          <w:rFonts w:ascii="Palatino Linotype" w:hAnsi="Palatino Linotype"/>
          <w:sz w:val="22"/>
          <w:szCs w:val="22"/>
        </w:rPr>
      </w:pPr>
      <w:r w:rsidRPr="009E7B76">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para su atención a la Tesorería Municipal, a la </w:t>
      </w:r>
      <w:r w:rsidRPr="009E7B76">
        <w:rPr>
          <w:rFonts w:ascii="Palatino Linotype" w:hAnsi="Palatino Linotype"/>
          <w:sz w:val="22"/>
          <w:szCs w:val="22"/>
        </w:rPr>
        <w:t>Director General de Servicios Públicos y a la</w:t>
      </w:r>
      <w:r w:rsidRPr="009E7B76">
        <w:rPr>
          <w:rFonts w:ascii="Palatino Linotype" w:eastAsia="Palatino Linotype" w:hAnsi="Palatino Linotype" w:cs="Palatino Linotype"/>
          <w:sz w:val="22"/>
          <w:szCs w:val="22"/>
        </w:rPr>
        <w:t xml:space="preserve"> </w:t>
      </w:r>
      <w:r w:rsidRPr="009E7B76">
        <w:rPr>
          <w:rFonts w:ascii="Palatino Linotype" w:hAnsi="Palatino Linotype"/>
          <w:sz w:val="22"/>
          <w:szCs w:val="22"/>
        </w:rPr>
        <w:t>Dirección General de Obras Públicas, como las áreas competentes para contar con la información que es del interés de la persona solicitante.</w:t>
      </w:r>
    </w:p>
    <w:p w14:paraId="4E44535B" w14:textId="5758D011" w:rsidR="002519E5" w:rsidRPr="009E7B76" w:rsidRDefault="002519E5" w:rsidP="002519E5">
      <w:pPr>
        <w:spacing w:line="360" w:lineRule="auto"/>
        <w:ind w:right="-28"/>
        <w:contextualSpacing/>
        <w:jc w:val="both"/>
        <w:rPr>
          <w:rFonts w:ascii="Palatino Linotype" w:eastAsia="Palatino Linotype" w:hAnsi="Palatino Linotype" w:cs="Palatino Linotype"/>
          <w:sz w:val="22"/>
          <w:szCs w:val="22"/>
        </w:rPr>
      </w:pPr>
      <w:r w:rsidRPr="009E7B76">
        <w:rPr>
          <w:rFonts w:ascii="Palatino Linotype" w:hAnsi="Palatino Linotype"/>
          <w:sz w:val="22"/>
          <w:szCs w:val="22"/>
        </w:rPr>
        <w:t xml:space="preserve">Al respecto, </w:t>
      </w:r>
      <w:r w:rsidRPr="009E7B76">
        <w:rPr>
          <w:rFonts w:ascii="Palatino Linotype" w:eastAsia="Palatino Linotype" w:hAnsi="Palatino Linotype" w:cs="Palatino Linotype"/>
          <w:sz w:val="22"/>
          <w:szCs w:val="22"/>
        </w:rPr>
        <w:t xml:space="preserve">es necesario traer al estudio el artículo 90, fracción I, numerales 2, 6, 8 y 10 del Bando Municipal de Toluca, 2025, en relación con los artículos 3.1, 3.2, fracción I, numerales 2, 6, 8 y 10; 3.21, 3.22, 3.24, 3.31, 3.36 y 3.40, del Código Reglamentario Municipal, los cuales establecen que el </w:t>
      </w:r>
      <w:r w:rsidRPr="009E7B76">
        <w:rPr>
          <w:rFonts w:ascii="Palatino Linotype" w:eastAsia="Palatino Linotype" w:hAnsi="Palatino Linotype" w:cs="Palatino Linotype"/>
          <w:b/>
          <w:sz w:val="22"/>
          <w:szCs w:val="22"/>
        </w:rPr>
        <w:t>Sujeto Obligado</w:t>
      </w:r>
      <w:r w:rsidRPr="009E7B76">
        <w:rPr>
          <w:rFonts w:ascii="Palatino Linotype" w:eastAsia="Palatino Linotype" w:hAnsi="Palatino Linotype" w:cs="Palatino Linotype"/>
          <w:sz w:val="22"/>
          <w:szCs w:val="22"/>
        </w:rPr>
        <w:t xml:space="preserve"> para el ejercicio de sus funciones contará con diversas unidades administrativas, entre otras, las siguientes:</w:t>
      </w:r>
    </w:p>
    <w:p w14:paraId="2E3EB7AE" w14:textId="77777777" w:rsidR="002519E5" w:rsidRPr="009E7B76" w:rsidRDefault="002519E5" w:rsidP="002519E5">
      <w:pPr>
        <w:spacing w:before="240" w:after="240" w:line="360" w:lineRule="auto"/>
        <w:ind w:right="49"/>
        <w:jc w:val="both"/>
        <w:rPr>
          <w:rFonts w:ascii="Palatino Linotype" w:hAnsi="Palatino Linotype"/>
          <w:sz w:val="22"/>
          <w:szCs w:val="22"/>
        </w:rPr>
      </w:pPr>
      <w:r w:rsidRPr="009E7B76">
        <w:rPr>
          <w:rFonts w:ascii="Palatino Linotype" w:hAnsi="Palatino Linotype"/>
          <w:b/>
          <w:sz w:val="22"/>
          <w:szCs w:val="22"/>
        </w:rPr>
        <w:t>Tesorería Municipal:</w:t>
      </w:r>
      <w:r w:rsidRPr="009E7B76">
        <w:rPr>
          <w:rFonts w:ascii="Palatino Linotype" w:hAnsi="Palatino Linotype"/>
          <w:sz w:val="22"/>
          <w:szCs w:val="22"/>
        </w:rPr>
        <w:t xml:space="preserve"> Encargada de realizar las erogaciones y realizar la contabilidad y ejercicio del presupuesto municipal, quien se auxiliará de diversas administrativas entre otras la Subdirección de Egresos, y la Dirección de Contaduría, a quienes en su conjunto llevarán a cabo la realización de diversas atribuciones, entre otras las siguientes:</w:t>
      </w:r>
    </w:p>
    <w:p w14:paraId="37195E16"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Otorgar suficiencia presupuestal a las solicitudes de adquisiciones y servicios, así como las ampliaciones del monto del gasto operativo de las dependencias y organismos auxiliares;</w:t>
      </w:r>
    </w:p>
    <w:p w14:paraId="633B3D98"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72B6D49F"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Proponer al Ayuntamiento los presupuestos de egresos; informar de su ejercicio y sugerir las modificaciones, en caso necesario;</w:t>
      </w:r>
    </w:p>
    <w:p w14:paraId="6B07C0E2"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Determinar el flujo de efectivo y realizar la programación de los pagos que se deben efectuar con cargo al presupuesto de egresos del Ayuntamiento y verificar que se lleve a cabo;</w:t>
      </w:r>
    </w:p>
    <w:p w14:paraId="237F9850"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Operar y controlar las cuentas bancarias del Ayuntamiento e invertir sus recursos financieros;</w:t>
      </w:r>
    </w:p>
    <w:p w14:paraId="7102F26D"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Registrar y controlar las operaciones financieras, presupuestales y contables que emanen de las dependencias de la administración pública municipal;</w:t>
      </w:r>
    </w:p>
    <w:p w14:paraId="191B36BD"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Registrar contable y presupuestalmente los ingresos y egresos públicos y las operaciones financieras del municipio para emitir información veraz y oportuna que permita la toma de decisiones; y</w:t>
      </w:r>
    </w:p>
    <w:p w14:paraId="440F9CF1" w14:textId="77777777" w:rsidR="002519E5" w:rsidRPr="009E7B76" w:rsidRDefault="002519E5" w:rsidP="002519E5">
      <w:pPr>
        <w:tabs>
          <w:tab w:val="left" w:pos="426"/>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Recopilar, organizar y consolidar la información financiera, presupuestal y programática, así como la documentación generada por las dependencias para integrar y presentar los informes mensuales, financieros y la cuenta pública anual, conforme a los lineamientos establecidos por la entidad fiscalizadora y al Manual Único de Contabilidad Gubernamental.</w:t>
      </w:r>
    </w:p>
    <w:p w14:paraId="2604B0CE" w14:textId="77777777" w:rsidR="002519E5" w:rsidRPr="009E7B76" w:rsidRDefault="002519E5" w:rsidP="002519E5">
      <w:pPr>
        <w:spacing w:before="240" w:after="240" w:line="360" w:lineRule="auto"/>
        <w:ind w:right="49"/>
        <w:jc w:val="both"/>
        <w:rPr>
          <w:rFonts w:ascii="Palatino Linotype" w:hAnsi="Palatino Linotype"/>
          <w:sz w:val="22"/>
          <w:szCs w:val="22"/>
        </w:rPr>
      </w:pPr>
      <w:r w:rsidRPr="009E7B76">
        <w:rPr>
          <w:rFonts w:ascii="Palatino Linotype" w:hAnsi="Palatino Linotype"/>
          <w:b/>
          <w:sz w:val="22"/>
          <w:szCs w:val="22"/>
        </w:rPr>
        <w:t>Dirección General de Administración</w:t>
      </w:r>
      <w:r w:rsidRPr="009E7B76">
        <w:rPr>
          <w:rFonts w:ascii="Palatino Linotype" w:hAnsi="Palatino Linotype"/>
          <w:sz w:val="22"/>
          <w:szCs w:val="22"/>
        </w:rPr>
        <w:t>: quien para el ejercicio de sus atribuciones contará con la Dirección de Recursos Humanos y la Dirección de Recursos Materiales, encargada de llevar a cabo el desarrollo de la administración del personal, conforme a las disposiciones en materia de trabajo entre otras el registro de asistencia de los servidores públicos, además de realizar los procesos de adquisiciones y contratación de los recursos materiales que requieran las áreas de la Administración, a quienes además les corresponden el ejercicio de diversas atribuciones entre otras, las siguientes:</w:t>
      </w:r>
    </w:p>
    <w:p w14:paraId="1CFF8DDA"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12F1B4D2"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Coordinar la elaboración del programa anual de adquisiciones del Ayuntamiento, con base en los montos establecidos para cada partida por objeto de gasto en el presupuesto, con el fin de ponerlo a disposición de los comités para su debida aprobación;</w:t>
      </w:r>
    </w:p>
    <w:p w14:paraId="5DB2A0D9"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Revisar, suscribir y vigilar todos aquellos contratos que se formalicen con proveedores, así como su ejecución y ejercicio, relativos a fallos de adjudicación de procesos de licitación pública o de sus excepciones, mismos que deberán cumplir con la normatividad en la materia; y</w:t>
      </w:r>
    </w:p>
    <w:p w14:paraId="28D18664"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Autorizar y suscribir los pedidos-contrato que se finquen relativos a procedimientos de adquisiciones y compras de bienes, materiales y suministros.</w:t>
      </w:r>
    </w:p>
    <w:p w14:paraId="091D70D7" w14:textId="77777777" w:rsidR="002519E5" w:rsidRPr="009E7B76" w:rsidRDefault="002519E5" w:rsidP="002519E5">
      <w:pPr>
        <w:spacing w:before="240" w:after="240" w:line="360" w:lineRule="auto"/>
        <w:ind w:right="49"/>
        <w:jc w:val="both"/>
        <w:rPr>
          <w:rFonts w:ascii="Palatino Linotype" w:hAnsi="Palatino Linotype"/>
          <w:sz w:val="22"/>
          <w:szCs w:val="22"/>
        </w:rPr>
      </w:pPr>
      <w:r w:rsidRPr="009E7B76">
        <w:rPr>
          <w:rFonts w:ascii="Palatino Linotype" w:hAnsi="Palatino Linotype"/>
          <w:b/>
          <w:sz w:val="22"/>
          <w:szCs w:val="22"/>
        </w:rPr>
        <w:t xml:space="preserve"> Dirección General de Servicios Públicos</w:t>
      </w:r>
      <w:r w:rsidRPr="009E7B76">
        <w:rPr>
          <w:rFonts w:ascii="Palatino Linotype" w:hAnsi="Palatino Linotype"/>
          <w:sz w:val="22"/>
          <w:szCs w:val="22"/>
        </w:rPr>
        <w:t>: Contará con el ejercicio de diversas atribuciones, entre otras las siguientes:</w:t>
      </w:r>
    </w:p>
    <w:p w14:paraId="497E98A9"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Dirigir, coordinar, administrar y planear la prestación de los servicios públicos cuidando que la prestación de estos tenga el menor impacto negativo para el medio ambiente;</w:t>
      </w:r>
    </w:p>
    <w:p w14:paraId="18B359D9"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Proponer e instrumentar programas, en coordinación con las autoridades federales y estatales competentes, para mantener y ampliar la red de la infraestructura urbana municipal;</w:t>
      </w:r>
    </w:p>
    <w:p w14:paraId="338A9421"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Coordinar los servicios de limpia, recolección, transporte, transferencia y disposición final de residuos sólidos;</w:t>
      </w:r>
    </w:p>
    <w:p w14:paraId="6661759A"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Coordinar el transporte y depósito de residuos sólidos urbanos y de manejo especial a los sitios de disposición final que establezca el Ayuntamiento; promoviendo su reutilización; y</w:t>
      </w:r>
    </w:p>
    <w:p w14:paraId="43E976F4"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Coordinar y vigilar las acciones de instalación, conservación y mantenimiento de la infraestructura urbana municipal.</w:t>
      </w:r>
    </w:p>
    <w:p w14:paraId="6E853898" w14:textId="77777777" w:rsidR="002519E5" w:rsidRPr="009E7B76" w:rsidRDefault="002519E5" w:rsidP="002519E5">
      <w:pPr>
        <w:spacing w:before="240" w:after="240" w:line="360" w:lineRule="auto"/>
        <w:ind w:right="49"/>
        <w:jc w:val="both"/>
        <w:rPr>
          <w:rFonts w:ascii="Palatino Linotype" w:hAnsi="Palatino Linotype"/>
          <w:bCs/>
          <w:sz w:val="22"/>
          <w:szCs w:val="22"/>
        </w:rPr>
      </w:pPr>
      <w:r w:rsidRPr="009E7B76">
        <w:rPr>
          <w:rFonts w:ascii="Palatino Linotype" w:hAnsi="Palatino Linotype"/>
          <w:b/>
          <w:sz w:val="22"/>
          <w:szCs w:val="22"/>
        </w:rPr>
        <w:t xml:space="preserve">Dirección General de Obras Públicas: </w:t>
      </w:r>
      <w:r w:rsidRPr="009E7B76">
        <w:rPr>
          <w:rFonts w:ascii="Palatino Linotype" w:hAnsi="Palatino Linotype"/>
          <w:bCs/>
          <w:sz w:val="22"/>
          <w:szCs w:val="22"/>
        </w:rPr>
        <w:t>es responsable de coordinar la planificación y ejecución del Programa Anual de Obra Pública en alineación con el Plan de Desarrollo Municipal. Llevará a cabo, además, la presupuestación, adjudicación, contratación, ejecución y supervisión de la obra pública municipal, así como en su caso, la rescisión y/o terminación anticipada de contratos de obra pública, entre cuyas atribuciones se encuentran las siguientes:</w:t>
      </w:r>
    </w:p>
    <w:p w14:paraId="07D903C7"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w:t>
      </w:r>
      <w:r w:rsidRPr="009E7B76">
        <w:rPr>
          <w:rFonts w:ascii="Palatino Linotype" w:hAnsi="Palatino Linotype"/>
          <w:sz w:val="22"/>
          <w:szCs w:val="22"/>
        </w:rPr>
        <w:tab/>
        <w:t>Coordinar actos relativos a la planeación, programación, presupuestación, adjudicación y contratación de la Obra Pública, así como los servicios relacionados con las mismas.</w:t>
      </w:r>
    </w:p>
    <w:p w14:paraId="2B7293C7"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 Programar, proyectar y vigilar la construcción, conservación, mantenimiento o mejoramiento de la obra pública y servicios relacionados en el Municipio de Toluca, verificando que se realicen con perspectiva de género, inclusivos, sustentables y sostenibles;</w:t>
      </w:r>
    </w:p>
    <w:p w14:paraId="659C12C1"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 Autorizar y vigilar la construcción de obras por contrato, por administración, por licitación pública o cualquier otra modalidad que haya sido adjudicada en términos de la legislación de la materia;</w:t>
      </w:r>
    </w:p>
    <w:p w14:paraId="2F8871AC"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 Vigilar la ejecución de obras por cooperación, así como la construcción, conservación, rehabilitación, mejoramiento y mantenimiento de obras de infraestructura y equipamiento urbano;</w:t>
      </w:r>
    </w:p>
    <w:p w14:paraId="207D9B1E" w14:textId="77777777" w:rsidR="002519E5" w:rsidRPr="009E7B76" w:rsidRDefault="002519E5" w:rsidP="002519E5">
      <w:pPr>
        <w:tabs>
          <w:tab w:val="left" w:pos="567"/>
        </w:tabs>
        <w:spacing w:before="240" w:after="240" w:line="360" w:lineRule="auto"/>
        <w:ind w:left="284" w:right="49"/>
        <w:jc w:val="both"/>
        <w:rPr>
          <w:rFonts w:ascii="Palatino Linotype" w:hAnsi="Palatino Linotype"/>
          <w:sz w:val="22"/>
          <w:szCs w:val="22"/>
        </w:rPr>
      </w:pPr>
      <w:r w:rsidRPr="009E7B76">
        <w:rPr>
          <w:rFonts w:ascii="Palatino Linotype" w:hAnsi="Palatino Linotype"/>
          <w:sz w:val="22"/>
          <w:szCs w:val="22"/>
        </w:rPr>
        <w:t>- Coordinar y vigilar el mantenimiento de calles y vialidades en el Municipio a través de obras de rehabilitación mediante bacheo</w:t>
      </w:r>
    </w:p>
    <w:p w14:paraId="5B892D3D" w14:textId="30644834" w:rsidR="00367756" w:rsidRPr="009E7B76" w:rsidRDefault="002519E5" w:rsidP="00830B23">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Por otro </w:t>
      </w:r>
      <w:r w:rsidR="00367756" w:rsidRPr="009E7B76">
        <w:rPr>
          <w:rFonts w:ascii="Palatino Linotype" w:eastAsia="Palatino Linotype" w:hAnsi="Palatino Linotype" w:cs="Palatino Linotype"/>
          <w:sz w:val="22"/>
          <w:szCs w:val="22"/>
        </w:rPr>
        <w:t>l</w:t>
      </w:r>
      <w:r w:rsidRPr="009E7B76">
        <w:rPr>
          <w:rFonts w:ascii="Palatino Linotype" w:eastAsia="Palatino Linotype" w:hAnsi="Palatino Linotype" w:cs="Palatino Linotype"/>
          <w:sz w:val="22"/>
          <w:szCs w:val="22"/>
        </w:rPr>
        <w:t xml:space="preserve">ado, en lo que respecta a la </w:t>
      </w:r>
      <w:r w:rsidR="00FF67B5" w:rsidRPr="009E7B76">
        <w:rPr>
          <w:rFonts w:ascii="Palatino Linotype" w:eastAsia="Palatino Linotype" w:hAnsi="Palatino Linotype" w:cs="Palatino Linotype"/>
          <w:sz w:val="22"/>
          <w:szCs w:val="22"/>
        </w:rPr>
        <w:t xml:space="preserve">respuesta proporcionada por </w:t>
      </w:r>
      <w:r w:rsidR="00367756" w:rsidRPr="009E7B76">
        <w:rPr>
          <w:rFonts w:ascii="Palatino Linotype" w:eastAsia="Palatino Linotype" w:hAnsi="Palatino Linotype" w:cs="Palatino Linotype"/>
          <w:sz w:val="22"/>
          <w:szCs w:val="22"/>
        </w:rPr>
        <w:t xml:space="preserve">la Dirección General de </w:t>
      </w:r>
      <w:r w:rsidR="00367756" w:rsidRPr="009E7B76">
        <w:rPr>
          <w:rFonts w:ascii="Palatino Linotype" w:hAnsi="Palatino Linotype"/>
          <w:sz w:val="22"/>
          <w:szCs w:val="22"/>
        </w:rPr>
        <w:t xml:space="preserve">Obras Públicas, </w:t>
      </w:r>
      <w:r w:rsidR="00367756" w:rsidRPr="009E7B76">
        <w:rPr>
          <w:rFonts w:ascii="Palatino Linotype" w:eastAsia="Palatino Linotype" w:hAnsi="Palatino Linotype" w:cs="Palatino Linotype"/>
          <w:sz w:val="22"/>
          <w:szCs w:val="22"/>
        </w:rPr>
        <w:t xml:space="preserve">se precisa que lo manifestado por </w:t>
      </w:r>
      <w:r w:rsidR="00A178C1" w:rsidRPr="009E7B76">
        <w:rPr>
          <w:rFonts w:ascii="Palatino Linotype" w:eastAsia="Palatino Linotype" w:hAnsi="Palatino Linotype" w:cs="Palatino Linotype"/>
          <w:sz w:val="22"/>
          <w:szCs w:val="22"/>
        </w:rPr>
        <w:t xml:space="preserve">el </w:t>
      </w:r>
      <w:r w:rsidR="00367756" w:rsidRPr="009E7B76">
        <w:rPr>
          <w:rFonts w:ascii="Palatino Linotype" w:eastAsia="Palatino Linotype" w:hAnsi="Palatino Linotype" w:cs="Palatino Linotype"/>
          <w:sz w:val="22"/>
          <w:szCs w:val="22"/>
        </w:rPr>
        <w:t>servidor público habilitado</w:t>
      </w:r>
      <w:r w:rsidR="00367756" w:rsidRPr="009E7B76">
        <w:rPr>
          <w:rFonts w:ascii="Palatino Linotype" w:hAnsi="Palatino Linotype"/>
          <w:sz w:val="22"/>
          <w:szCs w:val="22"/>
        </w:rPr>
        <w:t xml:space="preserve"> </w:t>
      </w:r>
      <w:r w:rsidR="00367756" w:rsidRPr="009E7B76">
        <w:rPr>
          <w:rFonts w:ascii="Palatino Linotype" w:eastAsia="Palatino Linotype" w:hAnsi="Palatino Linotype" w:cs="Palatino Linotype"/>
          <w:sz w:val="22"/>
          <w:szCs w:val="22"/>
        </w:rPr>
        <w:t>se constituye en una expresión en s</w:t>
      </w:r>
      <w:r w:rsidR="00A178C1" w:rsidRPr="009E7B76">
        <w:rPr>
          <w:rFonts w:ascii="Palatino Linotype" w:eastAsia="Palatino Linotype" w:hAnsi="Palatino Linotype" w:cs="Palatino Linotype"/>
          <w:sz w:val="22"/>
          <w:szCs w:val="22"/>
        </w:rPr>
        <w:t>entido negativo, esto es, niega</w:t>
      </w:r>
      <w:r w:rsidR="00367756" w:rsidRPr="009E7B76">
        <w:rPr>
          <w:rFonts w:ascii="Palatino Linotype" w:eastAsia="Palatino Linotype" w:hAnsi="Palatino Linotype" w:cs="Palatino Linotype"/>
          <w:sz w:val="22"/>
          <w:szCs w:val="22"/>
        </w:rPr>
        <w:t xml:space="preserve"> la existencia de información alguna relacionada con </w:t>
      </w:r>
      <w:r w:rsidR="00A178C1" w:rsidRPr="009E7B76">
        <w:rPr>
          <w:rFonts w:ascii="Palatino Linotype" w:eastAsia="Palatino Linotype" w:hAnsi="Palatino Linotype" w:cs="Palatino Linotype"/>
          <w:sz w:val="22"/>
          <w:szCs w:val="22"/>
        </w:rPr>
        <w:t xml:space="preserve">la </w:t>
      </w:r>
      <w:r w:rsidR="00367756" w:rsidRPr="009E7B76">
        <w:rPr>
          <w:rFonts w:ascii="Palatino Linotype" w:eastAsia="Palatino Linotype" w:hAnsi="Palatino Linotype" w:cs="Palatino Linotype"/>
          <w:sz w:val="22"/>
          <w:szCs w:val="22"/>
        </w:rPr>
        <w:t>contratación</w:t>
      </w:r>
      <w:r w:rsidR="00830B23" w:rsidRPr="009E7B76">
        <w:rPr>
          <w:rFonts w:ascii="Palatino Linotype" w:eastAsia="Palatino Linotype" w:hAnsi="Palatino Linotype" w:cs="Palatino Linotype"/>
          <w:sz w:val="22"/>
          <w:szCs w:val="22"/>
        </w:rPr>
        <w:t xml:space="preserve"> de obras públicas de pavimentación y/o bacheo, en virtud de no haberse generado, </w:t>
      </w:r>
      <w:r w:rsidR="00830B23" w:rsidRPr="009E7B76">
        <w:rPr>
          <w:rFonts w:ascii="Palatino Linotype" w:hAnsi="Palatino Linotype"/>
          <w:sz w:val="22"/>
          <w:szCs w:val="22"/>
        </w:rPr>
        <w:t>ni administrarse expresión documental que dé cuenta</w:t>
      </w:r>
      <w:r w:rsidR="00830B23" w:rsidRPr="009E7B76">
        <w:rPr>
          <w:rFonts w:ascii="Palatino Linotype" w:eastAsia="Palatino Linotype" w:hAnsi="Palatino Linotype" w:cs="Palatino Linotype"/>
          <w:sz w:val="22"/>
          <w:szCs w:val="22"/>
        </w:rPr>
        <w:t xml:space="preserve"> de lo solicitado </w:t>
      </w:r>
      <w:r w:rsidR="00367756" w:rsidRPr="009E7B76">
        <w:rPr>
          <w:rFonts w:ascii="Palatino Linotype" w:eastAsia="Palatino Linotype" w:hAnsi="Palatino Linotype" w:cs="Palatino Linotype"/>
          <w:sz w:val="22"/>
          <w:szCs w:val="22"/>
        </w:rPr>
        <w:t>a la fecha de presen</w:t>
      </w:r>
      <w:r w:rsidR="00A178C1" w:rsidRPr="009E7B76">
        <w:rPr>
          <w:rFonts w:ascii="Palatino Linotype" w:eastAsia="Palatino Linotype" w:hAnsi="Palatino Linotype" w:cs="Palatino Linotype"/>
          <w:sz w:val="22"/>
          <w:szCs w:val="22"/>
        </w:rPr>
        <w:t>tación de la solicitud.</w:t>
      </w:r>
    </w:p>
    <w:p w14:paraId="38996CBB" w14:textId="77777777" w:rsidR="00367756" w:rsidRPr="009E7B76" w:rsidRDefault="00367756" w:rsidP="00367756">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Entonces, si se considera el hecho negativo, resulta obvio que el </w:t>
      </w:r>
      <w:r w:rsidRPr="009E7B76">
        <w:rPr>
          <w:rFonts w:ascii="Palatino Linotype" w:eastAsia="Palatino Linotype" w:hAnsi="Palatino Linotype" w:cs="Palatino Linotype"/>
          <w:b/>
          <w:sz w:val="22"/>
          <w:szCs w:val="22"/>
        </w:rPr>
        <w:t>Sujeto Obligado</w:t>
      </w:r>
      <w:r w:rsidRPr="009E7B76">
        <w:rPr>
          <w:rFonts w:ascii="Palatino Linotype" w:eastAsia="Palatino Linotype" w:hAnsi="Palatino Linotype" w:cs="Palatino Linotype"/>
          <w:sz w:val="22"/>
          <w:szCs w:val="22"/>
        </w:rPr>
        <w:t xml:space="preserve"> no puede tener en sus archivos información que satisfaga el requerimiento de información, ya que no puede probarse por ser lógica y materialmente imposible, ello aunado a que no es obligatorio que la información se haya generado a la fecha de presentación de la solicitud.</w:t>
      </w:r>
    </w:p>
    <w:p w14:paraId="70ED072A" w14:textId="77777777" w:rsidR="00367756" w:rsidRPr="009E7B76" w:rsidRDefault="00367756" w:rsidP="00367756">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Sirve de sustento la siguiente Tesis</w:t>
      </w:r>
      <w:r w:rsidRPr="009E7B76">
        <w:rPr>
          <w:rFonts w:ascii="Palatino Linotype" w:eastAsia="Palatino Linotype" w:hAnsi="Palatino Linotype" w:cs="Palatino Linotype"/>
          <w:sz w:val="22"/>
          <w:szCs w:val="22"/>
          <w:vertAlign w:val="superscript"/>
        </w:rPr>
        <w:footnoteReference w:id="1"/>
      </w:r>
      <w:r w:rsidRPr="009E7B76">
        <w:rPr>
          <w:rFonts w:ascii="Palatino Linotype" w:eastAsia="Palatino Linotype" w:hAnsi="Palatino Linotype" w:cs="Palatino Linotype"/>
          <w:sz w:val="22"/>
          <w:szCs w:val="22"/>
        </w:rPr>
        <w:t xml:space="preserve"> emitida por la Segunda Sala de la Suprema Corte de la Nación, que es del tenor literal siguiente:</w:t>
      </w:r>
    </w:p>
    <w:p w14:paraId="5038D02A" w14:textId="77777777" w:rsidR="00367756" w:rsidRPr="009E7B76" w:rsidRDefault="00367756" w:rsidP="00367756">
      <w:pPr>
        <w:pBdr>
          <w:top w:val="nil"/>
          <w:left w:val="nil"/>
          <w:bottom w:val="nil"/>
          <w:right w:val="nil"/>
          <w:between w:val="nil"/>
        </w:pBdr>
        <w:spacing w:before="120" w:after="120"/>
        <w:ind w:left="851" w:right="900"/>
        <w:jc w:val="both"/>
        <w:rPr>
          <w:rFonts w:ascii="Palatino Linotype" w:hAnsi="Palatino Linotype"/>
          <w:sz w:val="22"/>
          <w:szCs w:val="22"/>
        </w:rPr>
      </w:pPr>
      <w:r w:rsidRPr="009E7B76">
        <w:rPr>
          <w:rFonts w:ascii="Palatino Linotype" w:eastAsia="Palatino Linotype" w:hAnsi="Palatino Linotype" w:cs="Palatino Linotype"/>
          <w:b/>
          <w:i/>
          <w:sz w:val="22"/>
          <w:szCs w:val="22"/>
        </w:rPr>
        <w:t xml:space="preserve">“HECHOS NEGATIVOS, NO SON SUSCEPTIBLES DE DEMOSTRACIÓN. </w:t>
      </w:r>
      <w:r w:rsidRPr="009E7B76">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2E96C97B" w14:textId="7A2C6F2E" w:rsidR="00367756" w:rsidRPr="009E7B76" w:rsidRDefault="00367756" w:rsidP="00367756">
      <w:pPr>
        <w:spacing w:before="240" w:after="240" w:line="360" w:lineRule="auto"/>
        <w:ind w:right="18"/>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 tal manera que basta con la aseveración por parte de</w:t>
      </w:r>
      <w:r w:rsidR="00A178C1" w:rsidRPr="009E7B76">
        <w:rPr>
          <w:rFonts w:ascii="Palatino Linotype" w:eastAsia="Palatino Linotype" w:hAnsi="Palatino Linotype" w:cs="Palatino Linotype"/>
          <w:sz w:val="22"/>
          <w:szCs w:val="22"/>
        </w:rPr>
        <w:t xml:space="preserve">l </w:t>
      </w:r>
      <w:r w:rsidRPr="009E7B76">
        <w:rPr>
          <w:rFonts w:ascii="Palatino Linotype" w:eastAsia="Palatino Linotype" w:hAnsi="Palatino Linotype" w:cs="Palatino Linotype"/>
          <w:sz w:val="22"/>
          <w:szCs w:val="22"/>
        </w:rPr>
        <w:t>servidor público habilitado</w:t>
      </w:r>
      <w:r w:rsidR="00885B61" w:rsidRPr="009E7B76">
        <w:rPr>
          <w:rFonts w:ascii="Palatino Linotype" w:eastAsia="Palatino Linotype" w:hAnsi="Palatino Linotype" w:cs="Palatino Linotype"/>
          <w:sz w:val="22"/>
          <w:szCs w:val="22"/>
        </w:rPr>
        <w:t xml:space="preserve"> </w:t>
      </w:r>
      <w:r w:rsidRPr="009E7B76">
        <w:rPr>
          <w:rFonts w:ascii="Palatino Linotype" w:eastAsia="Palatino Linotype" w:hAnsi="Palatino Linotype" w:cs="Palatino Linotype"/>
          <w:sz w:val="22"/>
          <w:szCs w:val="22"/>
        </w:rPr>
        <w:t>respeto de la inexistencia de la</w:t>
      </w:r>
      <w:r w:rsidR="00885B61" w:rsidRPr="009E7B76">
        <w:rPr>
          <w:rFonts w:ascii="Palatino Linotype" w:eastAsia="Palatino Linotype" w:hAnsi="Palatino Linotype" w:cs="Palatino Linotype"/>
          <w:sz w:val="22"/>
          <w:szCs w:val="22"/>
        </w:rPr>
        <w:t xml:space="preserve"> información en </w:t>
      </w:r>
      <w:r w:rsidR="00A178C1" w:rsidRPr="009E7B76">
        <w:rPr>
          <w:rFonts w:ascii="Palatino Linotype" w:eastAsia="Palatino Linotype" w:hAnsi="Palatino Linotype" w:cs="Palatino Linotype"/>
          <w:sz w:val="22"/>
          <w:szCs w:val="22"/>
        </w:rPr>
        <w:t xml:space="preserve">el </w:t>
      </w:r>
      <w:r w:rsidR="00885B61" w:rsidRPr="009E7B76">
        <w:rPr>
          <w:rFonts w:ascii="Palatino Linotype" w:eastAsia="Palatino Linotype" w:hAnsi="Palatino Linotype" w:cs="Palatino Linotype"/>
          <w:sz w:val="22"/>
          <w:szCs w:val="22"/>
        </w:rPr>
        <w:t>área a su cargo</w:t>
      </w:r>
      <w:r w:rsidRPr="009E7B76">
        <w:rPr>
          <w:rFonts w:ascii="Palatino Linotype" w:eastAsia="Palatino Linotype" w:hAnsi="Palatino Linotype" w:cs="Palatino Linotype"/>
          <w:sz w:val="22"/>
          <w:szCs w:val="22"/>
        </w:rPr>
        <w:t>;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sentido contrario, no están obligados a proporcionar lo que no tengan en sus archivos.</w:t>
      </w:r>
    </w:p>
    <w:p w14:paraId="69BC2E93" w14:textId="77777777" w:rsidR="00367756" w:rsidRPr="009E7B76" w:rsidRDefault="00367756" w:rsidP="00367756">
      <w:pPr>
        <w:spacing w:before="240" w:after="240" w:line="360" w:lineRule="auto"/>
        <w:ind w:right="18"/>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7353B4C3" w14:textId="1A9C3EB6" w:rsidR="00367756" w:rsidRPr="009E7B76" w:rsidRDefault="00367756" w:rsidP="0036775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Aunado a lo anterior,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5C6CBE94" w14:textId="14485E01" w:rsidR="001F707C" w:rsidRPr="009E7B76" w:rsidRDefault="006729A0" w:rsidP="00A812DD">
      <w:pPr>
        <w:spacing w:before="240" w:after="240" w:line="360" w:lineRule="auto"/>
        <w:ind w:right="49"/>
        <w:jc w:val="both"/>
        <w:rPr>
          <w:rFonts w:ascii="Palatino Linotype" w:hAnsi="Palatino Linotype"/>
          <w:sz w:val="22"/>
          <w:szCs w:val="22"/>
        </w:rPr>
      </w:pPr>
      <w:r w:rsidRPr="009E7B76">
        <w:rPr>
          <w:rFonts w:ascii="Palatino Linotype" w:eastAsia="Palatino Linotype" w:hAnsi="Palatino Linotype" w:cs="Palatino Linotype"/>
          <w:sz w:val="22"/>
          <w:szCs w:val="22"/>
        </w:rPr>
        <w:t xml:space="preserve">Por otro lado, la Dirección </w:t>
      </w:r>
      <w:r w:rsidRPr="009E7B76">
        <w:rPr>
          <w:rFonts w:ascii="Palatino Linotype" w:hAnsi="Palatino Linotype"/>
          <w:sz w:val="22"/>
          <w:szCs w:val="22"/>
        </w:rPr>
        <w:t>General de Servicios Públicos reconoció haber realizado</w:t>
      </w:r>
      <w:r w:rsidR="00FF4AD1" w:rsidRPr="009E7B76">
        <w:rPr>
          <w:rFonts w:ascii="Palatino Linotype" w:hAnsi="Palatino Linotype"/>
          <w:sz w:val="22"/>
          <w:szCs w:val="22"/>
        </w:rPr>
        <w:t>, por conducto del Departamento de Bacheo y Señalamiento Vial</w:t>
      </w:r>
      <w:r w:rsidR="00A178C1" w:rsidRPr="009E7B76">
        <w:rPr>
          <w:rFonts w:ascii="Palatino Linotype" w:hAnsi="Palatino Linotype"/>
          <w:sz w:val="22"/>
          <w:szCs w:val="22"/>
        </w:rPr>
        <w:t xml:space="preserve">, </w:t>
      </w:r>
      <w:r w:rsidR="00FF4AD1" w:rsidRPr="009E7B76">
        <w:rPr>
          <w:rFonts w:ascii="Palatino Linotype" w:hAnsi="Palatino Linotype"/>
          <w:sz w:val="22"/>
          <w:szCs w:val="22"/>
        </w:rPr>
        <w:t>obras</w:t>
      </w:r>
      <w:r w:rsidRPr="009E7B76">
        <w:rPr>
          <w:rFonts w:ascii="Palatino Linotype" w:hAnsi="Palatino Linotype"/>
          <w:sz w:val="22"/>
          <w:szCs w:val="22"/>
        </w:rPr>
        <w:t xml:space="preserve"> de bacheo en el periodo señalado en la solicitud,</w:t>
      </w:r>
      <w:r w:rsidR="00FF4AD1" w:rsidRPr="009E7B76">
        <w:rPr>
          <w:rFonts w:ascii="Palatino Linotype" w:hAnsi="Palatino Linotype"/>
          <w:sz w:val="22"/>
          <w:szCs w:val="22"/>
        </w:rPr>
        <w:t xml:space="preserve"> cuyo reporte de avance proporcionó, así como  la descripción del proceso y/o especificaciones técnicas con las que se realiza el bacheo de mezcla asfáltica en caliente</w:t>
      </w:r>
      <w:r w:rsidR="009F2D62" w:rsidRPr="009E7B76">
        <w:rPr>
          <w:rFonts w:ascii="Palatino Linotype" w:hAnsi="Palatino Linotype"/>
          <w:sz w:val="22"/>
          <w:szCs w:val="22"/>
        </w:rPr>
        <w:t xml:space="preserve">, </w:t>
      </w:r>
      <w:r w:rsidR="001F707C" w:rsidRPr="009E7B76">
        <w:rPr>
          <w:rFonts w:ascii="Palatino Linotype" w:hAnsi="Palatino Linotype"/>
          <w:sz w:val="22"/>
          <w:szCs w:val="22"/>
        </w:rPr>
        <w:t xml:space="preserve">y finalmente, indicó que las obras de pavimentación eran competencia de la Dirección General de Obras Públicas, quien </w:t>
      </w:r>
      <w:r w:rsidR="0003579A" w:rsidRPr="009E7B76">
        <w:rPr>
          <w:rFonts w:ascii="Palatino Linotype" w:hAnsi="Palatino Linotype"/>
          <w:sz w:val="22"/>
          <w:szCs w:val="22"/>
        </w:rPr>
        <w:t>negó la existencia de dicha información, al no haberse generado a la fecha de la solicitud, como se precisó anteriormente.</w:t>
      </w:r>
    </w:p>
    <w:p w14:paraId="443A1EB7" w14:textId="5AB1D67E" w:rsidR="00FF4AD1" w:rsidRPr="009E7B76" w:rsidRDefault="00A178C1" w:rsidP="00A812DD">
      <w:pPr>
        <w:spacing w:before="240" w:after="240" w:line="360" w:lineRule="auto"/>
        <w:ind w:right="49"/>
        <w:jc w:val="both"/>
        <w:rPr>
          <w:rFonts w:ascii="Palatino Linotype" w:hAnsi="Palatino Linotype"/>
          <w:sz w:val="22"/>
          <w:szCs w:val="22"/>
        </w:rPr>
      </w:pPr>
      <w:r w:rsidRPr="009E7B76">
        <w:rPr>
          <w:rFonts w:ascii="Palatino Linotype" w:hAnsi="Palatino Linotype"/>
          <w:sz w:val="22"/>
          <w:szCs w:val="22"/>
        </w:rPr>
        <w:t xml:space="preserve">Hasta este punto, </w:t>
      </w:r>
      <w:r w:rsidR="0003579A" w:rsidRPr="009E7B76">
        <w:rPr>
          <w:rFonts w:ascii="Palatino Linotype" w:hAnsi="Palatino Linotype"/>
          <w:sz w:val="22"/>
          <w:szCs w:val="22"/>
        </w:rPr>
        <w:t xml:space="preserve">En este orden de ideas, se colige que la </w:t>
      </w:r>
      <w:r w:rsidR="009F2D62" w:rsidRPr="009E7B76">
        <w:rPr>
          <w:rFonts w:ascii="Palatino Linotype" w:hAnsi="Palatino Linotype"/>
          <w:sz w:val="22"/>
          <w:szCs w:val="22"/>
        </w:rPr>
        <w:t>información</w:t>
      </w:r>
      <w:r w:rsidR="0003579A" w:rsidRPr="009E7B76">
        <w:rPr>
          <w:rFonts w:ascii="Palatino Linotype" w:hAnsi="Palatino Linotype"/>
          <w:sz w:val="22"/>
          <w:szCs w:val="22"/>
        </w:rPr>
        <w:t xml:space="preserve"> proporcionada </w:t>
      </w:r>
      <w:r w:rsidRPr="009E7B76">
        <w:rPr>
          <w:rFonts w:ascii="Palatino Linotype" w:hAnsi="Palatino Linotype"/>
          <w:sz w:val="22"/>
          <w:szCs w:val="22"/>
        </w:rPr>
        <w:t xml:space="preserve">por la Dirección </w:t>
      </w:r>
      <w:r w:rsidRPr="009E7B76">
        <w:rPr>
          <w:rFonts w:ascii="Palatino Linotype" w:eastAsia="Palatino Linotype" w:hAnsi="Palatino Linotype" w:cs="Palatino Linotype"/>
          <w:sz w:val="22"/>
          <w:szCs w:val="22"/>
        </w:rPr>
        <w:t xml:space="preserve">General de </w:t>
      </w:r>
      <w:r w:rsidRPr="009E7B76">
        <w:rPr>
          <w:rFonts w:ascii="Palatino Linotype" w:hAnsi="Palatino Linotype"/>
          <w:sz w:val="22"/>
          <w:szCs w:val="22"/>
        </w:rPr>
        <w:t xml:space="preserve">Obras Públicas y la </w:t>
      </w:r>
      <w:r w:rsidRPr="009E7B76">
        <w:rPr>
          <w:rFonts w:ascii="Palatino Linotype" w:eastAsia="Palatino Linotype" w:hAnsi="Palatino Linotype" w:cs="Palatino Linotype"/>
          <w:sz w:val="22"/>
          <w:szCs w:val="22"/>
        </w:rPr>
        <w:t xml:space="preserve">Dirección </w:t>
      </w:r>
      <w:r w:rsidRPr="009E7B76">
        <w:rPr>
          <w:rFonts w:ascii="Palatino Linotype" w:hAnsi="Palatino Linotype"/>
          <w:sz w:val="22"/>
          <w:szCs w:val="22"/>
        </w:rPr>
        <w:t xml:space="preserve">General de Servicios Públicos </w:t>
      </w:r>
      <w:r w:rsidR="009F2D62" w:rsidRPr="009E7B76">
        <w:rPr>
          <w:rFonts w:ascii="Palatino Linotype" w:hAnsi="Palatino Linotype"/>
          <w:sz w:val="22"/>
          <w:szCs w:val="22"/>
        </w:rPr>
        <w:t xml:space="preserve">atiende los puntos </w:t>
      </w:r>
      <w:r w:rsidR="001F707C" w:rsidRPr="009E7B76">
        <w:rPr>
          <w:rFonts w:ascii="Palatino Linotype" w:hAnsi="Palatino Linotype"/>
          <w:sz w:val="22"/>
          <w:szCs w:val="22"/>
        </w:rPr>
        <w:t xml:space="preserve">1, </w:t>
      </w:r>
      <w:r w:rsidR="009F2D62" w:rsidRPr="009E7B76">
        <w:rPr>
          <w:rFonts w:ascii="Palatino Linotype" w:hAnsi="Palatino Linotype"/>
          <w:sz w:val="22"/>
          <w:szCs w:val="22"/>
        </w:rPr>
        <w:t xml:space="preserve">3, 4 y 5 de la solicitud, en el entendido de que </w:t>
      </w:r>
      <w:r w:rsidRPr="009E7B76">
        <w:rPr>
          <w:rFonts w:ascii="Palatino Linotype" w:hAnsi="Palatino Linotype"/>
          <w:sz w:val="22"/>
          <w:szCs w:val="22"/>
        </w:rPr>
        <w:t xml:space="preserve">en el periodo señalado </w:t>
      </w:r>
      <w:r w:rsidR="0003579A" w:rsidRPr="009E7B76">
        <w:rPr>
          <w:rFonts w:ascii="Palatino Linotype" w:hAnsi="Palatino Linotype"/>
          <w:sz w:val="22"/>
          <w:szCs w:val="22"/>
        </w:rPr>
        <w:t xml:space="preserve">no se llevaron a cabo trabajos de pavimentación, no se celebró contratación alguna para realizar trabajos de pavimentación y bacheo, </w:t>
      </w:r>
      <w:r w:rsidR="00A500A4" w:rsidRPr="009E7B76">
        <w:rPr>
          <w:rFonts w:ascii="Palatino Linotype" w:hAnsi="Palatino Linotype"/>
          <w:sz w:val="22"/>
          <w:szCs w:val="22"/>
        </w:rPr>
        <w:t>siendo el Departamento de Bacheo y Señalamiento Vial quien realizó los trabajos de bacheo</w:t>
      </w:r>
      <w:r w:rsidRPr="009E7B76">
        <w:rPr>
          <w:rFonts w:ascii="Palatino Linotype" w:hAnsi="Palatino Linotype"/>
          <w:sz w:val="22"/>
          <w:szCs w:val="22"/>
        </w:rPr>
        <w:t xml:space="preserve"> efectuados</w:t>
      </w:r>
      <w:r w:rsidR="00A500A4" w:rsidRPr="009E7B76">
        <w:rPr>
          <w:rFonts w:ascii="Palatino Linotype" w:hAnsi="Palatino Linotype"/>
          <w:sz w:val="22"/>
          <w:szCs w:val="22"/>
        </w:rPr>
        <w:t xml:space="preserve">, y se </w:t>
      </w:r>
      <w:r w:rsidR="00EC1E9D" w:rsidRPr="009E7B76">
        <w:rPr>
          <w:rFonts w:ascii="Palatino Linotype" w:hAnsi="Palatino Linotype"/>
          <w:sz w:val="22"/>
          <w:szCs w:val="22"/>
        </w:rPr>
        <w:t>proporcionar</w:t>
      </w:r>
      <w:r w:rsidR="00A500A4" w:rsidRPr="009E7B76">
        <w:rPr>
          <w:rFonts w:ascii="Palatino Linotype" w:hAnsi="Palatino Linotype"/>
          <w:sz w:val="22"/>
          <w:szCs w:val="22"/>
        </w:rPr>
        <w:t>on</w:t>
      </w:r>
      <w:r w:rsidR="00EC1E9D" w:rsidRPr="009E7B76">
        <w:rPr>
          <w:rFonts w:ascii="Palatino Linotype" w:hAnsi="Palatino Linotype"/>
          <w:sz w:val="22"/>
          <w:szCs w:val="22"/>
        </w:rPr>
        <w:t xml:space="preserve"> las especificaciones técnicas con las que se realiza</w:t>
      </w:r>
      <w:r w:rsidR="00A500A4" w:rsidRPr="009E7B76">
        <w:rPr>
          <w:rFonts w:ascii="Palatino Linotype" w:hAnsi="Palatino Linotype"/>
          <w:sz w:val="22"/>
          <w:szCs w:val="22"/>
        </w:rPr>
        <w:t>n las obras de pavimentación y</w:t>
      </w:r>
      <w:r w:rsidR="00EC1E9D" w:rsidRPr="009E7B76">
        <w:rPr>
          <w:rFonts w:ascii="Palatino Linotype" w:hAnsi="Palatino Linotype"/>
          <w:sz w:val="22"/>
          <w:szCs w:val="22"/>
        </w:rPr>
        <w:t xml:space="preserve"> bacheo, </w:t>
      </w:r>
      <w:r w:rsidR="00A500A4" w:rsidRPr="009E7B76">
        <w:rPr>
          <w:rFonts w:ascii="Palatino Linotype" w:hAnsi="Palatino Linotype"/>
          <w:sz w:val="22"/>
          <w:szCs w:val="22"/>
        </w:rPr>
        <w:t>así como</w:t>
      </w:r>
      <w:r w:rsidR="00EC1E9D" w:rsidRPr="009E7B76">
        <w:rPr>
          <w:rFonts w:ascii="Palatino Linotype" w:hAnsi="Palatino Linotype"/>
          <w:sz w:val="22"/>
          <w:szCs w:val="22"/>
        </w:rPr>
        <w:t xml:space="preserve"> el avance de </w:t>
      </w:r>
      <w:r w:rsidR="00A500A4" w:rsidRPr="009E7B76">
        <w:rPr>
          <w:rFonts w:ascii="Palatino Linotype" w:hAnsi="Palatino Linotype"/>
          <w:sz w:val="22"/>
          <w:szCs w:val="22"/>
        </w:rPr>
        <w:t>las obras de bacheo.</w:t>
      </w:r>
    </w:p>
    <w:p w14:paraId="6D66401B" w14:textId="30BA465E" w:rsidR="003E3264" w:rsidRPr="009E7B76" w:rsidRDefault="001F707C" w:rsidP="003E3264">
      <w:pPr>
        <w:spacing w:before="240" w:after="240" w:line="360" w:lineRule="auto"/>
        <w:ind w:right="49"/>
        <w:jc w:val="both"/>
        <w:rPr>
          <w:rFonts w:ascii="Palatino Linotype" w:eastAsia="Palatino Linotype" w:hAnsi="Palatino Linotype" w:cs="Palatino Linotype"/>
          <w:sz w:val="22"/>
          <w:szCs w:val="22"/>
          <w:lang w:val="es-ES"/>
        </w:rPr>
      </w:pPr>
      <w:r w:rsidRPr="009E7B76">
        <w:rPr>
          <w:rFonts w:ascii="Palatino Linotype" w:hAnsi="Palatino Linotype"/>
          <w:sz w:val="22"/>
          <w:szCs w:val="22"/>
        </w:rPr>
        <w:t>No obstante</w:t>
      </w:r>
      <w:r w:rsidR="00E23943" w:rsidRPr="009E7B76">
        <w:rPr>
          <w:rFonts w:ascii="Palatino Linotype" w:hAnsi="Palatino Linotype"/>
          <w:sz w:val="22"/>
          <w:szCs w:val="22"/>
        </w:rPr>
        <w:t>,</w:t>
      </w:r>
      <w:r w:rsidR="00A178C1" w:rsidRPr="009E7B76">
        <w:rPr>
          <w:rFonts w:ascii="Palatino Linotype" w:hAnsi="Palatino Linotype"/>
          <w:sz w:val="22"/>
          <w:szCs w:val="22"/>
        </w:rPr>
        <w:t xml:space="preserve"> por lo que se refiere al </w:t>
      </w:r>
      <w:r w:rsidR="003E3264" w:rsidRPr="009E7B76">
        <w:rPr>
          <w:rFonts w:ascii="Palatino Linotype" w:hAnsi="Palatino Linotype"/>
          <w:sz w:val="22"/>
          <w:szCs w:val="22"/>
        </w:rPr>
        <w:t xml:space="preserve">punto 2 de la solicitud, referente al </w:t>
      </w:r>
      <w:r w:rsidR="00A178C1" w:rsidRPr="009E7B76">
        <w:rPr>
          <w:rFonts w:ascii="Palatino Linotype" w:hAnsi="Palatino Linotype"/>
          <w:sz w:val="22"/>
          <w:szCs w:val="22"/>
        </w:rPr>
        <w:t xml:space="preserve">gasto ejercido en las obras de bacheo, </w:t>
      </w:r>
      <w:r w:rsidR="00E23943" w:rsidRPr="009E7B76">
        <w:rPr>
          <w:rFonts w:ascii="Palatino Linotype" w:hAnsi="Palatino Linotype"/>
          <w:sz w:val="22"/>
          <w:szCs w:val="22"/>
        </w:rPr>
        <w:t>no puede tenerse por</w:t>
      </w:r>
      <w:r w:rsidR="00A178C1" w:rsidRPr="009E7B76">
        <w:rPr>
          <w:rFonts w:ascii="Palatino Linotype" w:hAnsi="Palatino Linotype"/>
          <w:sz w:val="22"/>
          <w:szCs w:val="22"/>
        </w:rPr>
        <w:t xml:space="preserve"> válida la respuesta proporcionada, ya que si bien, se pronunció la Tesorería Municipal como el área competente para conocer de dicha información,</w:t>
      </w:r>
      <w:r w:rsidR="003E3264" w:rsidRPr="009E7B76">
        <w:rPr>
          <w:rFonts w:ascii="Palatino Linotype" w:hAnsi="Palatino Linotype"/>
          <w:sz w:val="22"/>
          <w:szCs w:val="22"/>
        </w:rPr>
        <w:t xml:space="preserve"> </w:t>
      </w:r>
      <w:r w:rsidR="003E3264" w:rsidRPr="009E7B76">
        <w:rPr>
          <w:rFonts w:ascii="Palatino Linotype" w:eastAsia="Palatino Linotype" w:hAnsi="Palatino Linotype" w:cs="Palatino Linotype"/>
          <w:sz w:val="22"/>
          <w:szCs w:val="22"/>
          <w:lang w:val="es-ES"/>
        </w:rPr>
        <w:t>su respuesta no fue clara, pues únicamente se limitó a referir que la información no obraba en sus archivos, en razón de que no se le había remitido ninguna información o documentación relacionada a la solicitud; sin aportar los medios de convicción que permitan tener la certeza de si se generó, poseyó o administró la información requerida o no.</w:t>
      </w:r>
    </w:p>
    <w:p w14:paraId="0810C815" w14:textId="4A003E6B" w:rsidR="003E3264" w:rsidRPr="009E7B76" w:rsidRDefault="003E3264" w:rsidP="003E32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lang w:val="es-ES"/>
        </w:rPr>
        <w:t xml:space="preserve">Además, de la respuesta emitida por la persona servidora pública habilitada de </w:t>
      </w:r>
      <w:r w:rsidRPr="009E7B76">
        <w:rPr>
          <w:rFonts w:ascii="Palatino Linotype" w:eastAsia="Palatino Linotype" w:hAnsi="Palatino Linotype" w:cs="Palatino Linotype"/>
          <w:sz w:val="22"/>
          <w:szCs w:val="22"/>
        </w:rPr>
        <w:t xml:space="preserve">la Dirección de Servicios Públicos, se advierte que si fueron llevados a cabo trabajos de bacheo en el periodo requerido, por lo que, se debe contar con el soporte documental del registro contable por el costo que implicó dichos trabajos, como lo son facturas o comprobantes de los materiales empleados para realizar dichos trabajos, reiterando que los mismos fueron realizados por dicha dependencia. </w:t>
      </w:r>
    </w:p>
    <w:p w14:paraId="06D8933E" w14:textId="77777777" w:rsidR="003E3264" w:rsidRPr="009E7B76" w:rsidRDefault="003E3264" w:rsidP="003E3264">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 esta manera, la respuesta del servidor público habilitado competente de la Tesorería Municipal, tampoco cumple con los principios de congruencia y exhaustividad, al no ser clara.</w:t>
      </w:r>
    </w:p>
    <w:p w14:paraId="57AB4DB2" w14:textId="77777777" w:rsidR="00A11A5F" w:rsidRPr="009E7B76" w:rsidRDefault="00A11A5F" w:rsidP="00A11A5F">
      <w:pPr>
        <w:spacing w:before="240" w:after="240" w:line="360" w:lineRule="auto"/>
        <w:jc w:val="both"/>
        <w:rPr>
          <w:rFonts w:ascii="Palatino Linotype" w:eastAsia="Calibri" w:hAnsi="Palatino Linotype"/>
          <w:sz w:val="22"/>
          <w:szCs w:val="22"/>
          <w:lang w:eastAsia="en-US"/>
        </w:rPr>
      </w:pPr>
      <w:r w:rsidRPr="009E7B76">
        <w:rPr>
          <w:rFonts w:ascii="Palatino Linotype" w:eastAsia="Calibri" w:hAnsi="Palatino Linotype"/>
          <w:sz w:val="22"/>
          <w:szCs w:val="22"/>
          <w:lang w:eastAsia="en-US"/>
        </w:rPr>
        <w:t>Sobre el tema, el artículo 1.8, fracción XIII, del Código Administrativo del Estado de México, establece que para que tenga validez, todo acto administrativo deberá resolver todos los puntos propuestos por los interesados.</w:t>
      </w:r>
    </w:p>
    <w:p w14:paraId="61D08BF0" w14:textId="77777777" w:rsidR="00A11A5F" w:rsidRPr="009E7B76" w:rsidRDefault="00A11A5F" w:rsidP="00A11A5F">
      <w:pPr>
        <w:spacing w:before="240" w:after="240" w:line="360" w:lineRule="auto"/>
        <w:jc w:val="both"/>
        <w:rPr>
          <w:rFonts w:ascii="Palatino Linotype" w:eastAsia="Calibri" w:hAnsi="Palatino Linotype"/>
          <w:sz w:val="22"/>
          <w:szCs w:val="22"/>
          <w:lang w:eastAsia="en-US"/>
        </w:rPr>
      </w:pPr>
      <w:r w:rsidRPr="009E7B76">
        <w:rPr>
          <w:rFonts w:ascii="Palatino Linotype" w:eastAsia="Calibri" w:hAnsi="Palatino Linotype"/>
          <w:sz w:val="22"/>
          <w:szCs w:val="22"/>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9E7B76">
        <w:rPr>
          <w:rFonts w:ascii="Palatino Linotype" w:eastAsia="Calibri" w:hAnsi="Palatino Linotype"/>
          <w:b/>
          <w:bCs/>
          <w:sz w:val="22"/>
          <w:szCs w:val="22"/>
          <w:lang w:eastAsia="en-US"/>
        </w:rPr>
        <w:t>principios de congruencia y exhaustividad,</w:t>
      </w:r>
      <w:r w:rsidRPr="009E7B76">
        <w:rPr>
          <w:rFonts w:ascii="Palatino Linotype" w:eastAsia="Calibri" w:hAnsi="Palatino Linotype"/>
          <w:sz w:val="22"/>
          <w:szCs w:val="22"/>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8957412" w14:textId="77777777" w:rsidR="00A11A5F" w:rsidRPr="009E7B76" w:rsidRDefault="00A11A5F" w:rsidP="00A11A5F">
      <w:pPr>
        <w:pStyle w:val="Prrafodelista"/>
        <w:ind w:left="851" w:right="851"/>
        <w:jc w:val="both"/>
        <w:rPr>
          <w:rFonts w:ascii="Palatino Linotype" w:hAnsi="Palatino Linotype" w:cs="Arial"/>
          <w:i/>
          <w:sz w:val="22"/>
          <w:szCs w:val="22"/>
        </w:rPr>
      </w:pPr>
      <w:r w:rsidRPr="009E7B76">
        <w:rPr>
          <w:rFonts w:ascii="Palatino Linotype" w:hAnsi="Palatino Linotype" w:cs="Arial"/>
          <w:b/>
          <w:i/>
          <w:sz w:val="22"/>
          <w:szCs w:val="22"/>
        </w:rPr>
        <w:t xml:space="preserve"> “Congruencia y exhaustividad. Sus alcances para garantizar el derecho de acceso a la información. </w:t>
      </w:r>
      <w:r w:rsidRPr="009E7B76">
        <w:rPr>
          <w:rFonts w:ascii="Palatino Linotype" w:hAnsi="Palatino Linotype" w:cs="Arial"/>
          <w:i/>
          <w:sz w:val="22"/>
          <w:szCs w:val="22"/>
        </w:rPr>
        <w:t xml:space="preserve">De conformidad con el artículo </w:t>
      </w:r>
      <w:r w:rsidRPr="009E7B76">
        <w:rPr>
          <w:rFonts w:ascii="Palatino Linotype" w:hAnsi="Palatino Linotype"/>
          <w:i/>
          <w:sz w:val="22"/>
          <w:szCs w:val="22"/>
          <w:lang w:val="es-ES_tradnl"/>
        </w:rPr>
        <w:t>3 de la Ley Federal de Procedimiento Administrativo</w:t>
      </w:r>
      <w:r w:rsidRPr="009E7B76">
        <w:rPr>
          <w:rFonts w:ascii="Palatino Linotype" w:hAnsi="Palatino Linotype" w:cs="Arial"/>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E7B76">
        <w:rPr>
          <w:rFonts w:ascii="Palatino Linotype" w:hAnsi="Palatino Linotype" w:cs="Arial"/>
          <w:b/>
          <w:i/>
          <w:sz w:val="22"/>
          <w:szCs w:val="22"/>
        </w:rPr>
        <w:t>la congruencia implica que exista concordancia entre el requerimiento formulado por el particular y la respuesta proporcionada por el sujeto obligado</w:t>
      </w:r>
      <w:r w:rsidRPr="009E7B76">
        <w:rPr>
          <w:rFonts w:ascii="Palatino Linotype" w:hAnsi="Palatino Linotype" w:cs="Arial"/>
          <w:i/>
          <w:sz w:val="22"/>
          <w:szCs w:val="22"/>
        </w:rPr>
        <w:t xml:space="preserve">; mientras que </w:t>
      </w:r>
      <w:r w:rsidRPr="009E7B76">
        <w:rPr>
          <w:rFonts w:ascii="Palatino Linotype" w:hAnsi="Palatino Linotype" w:cs="Arial"/>
          <w:b/>
          <w:i/>
          <w:sz w:val="22"/>
          <w:szCs w:val="22"/>
        </w:rPr>
        <w:t>la exhaustividad significa que dicha respuesta se refiera expresamente a cada uno de los puntos solicitados</w:t>
      </w:r>
      <w:r w:rsidRPr="009E7B76">
        <w:rPr>
          <w:rFonts w:ascii="Palatino Linotype" w:hAnsi="Palatino Linotype" w:cs="Arial"/>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8929003" w14:textId="70FEAF93" w:rsidR="00A11A5F" w:rsidRPr="009E7B76" w:rsidRDefault="00A11A5F" w:rsidP="00A11A5F">
      <w:pPr>
        <w:spacing w:before="240" w:after="240" w:line="360" w:lineRule="auto"/>
        <w:ind w:right="50"/>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Bajo esta línea de pensamiento, es evidente que para tener por satisfecho el Derecho de acceso de la persona solicitante, 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deberá hacer entrega</w:t>
      </w:r>
      <w:r w:rsidR="00671276" w:rsidRPr="009E7B76">
        <w:rPr>
          <w:rFonts w:ascii="Palatino Linotype" w:eastAsia="Palatino Linotype" w:hAnsi="Palatino Linotype" w:cs="Palatino Linotype"/>
          <w:sz w:val="22"/>
          <w:szCs w:val="22"/>
        </w:rPr>
        <w:t xml:space="preserve">, previa búsqueda exhaustiva y razonable, </w:t>
      </w:r>
      <w:r w:rsidRPr="009E7B76">
        <w:rPr>
          <w:rFonts w:ascii="Palatino Linotype" w:eastAsia="Palatino Linotype" w:hAnsi="Palatino Linotype" w:cs="Palatino Linotype"/>
          <w:sz w:val="22"/>
          <w:szCs w:val="22"/>
        </w:rPr>
        <w:t>del</w:t>
      </w:r>
      <w:r w:rsidR="00C13DF2" w:rsidRPr="009E7B76">
        <w:rPr>
          <w:rFonts w:ascii="Palatino Linotype" w:eastAsia="Palatino Linotype" w:hAnsi="Palatino Linotype" w:cs="Palatino Linotype"/>
          <w:sz w:val="22"/>
          <w:szCs w:val="22"/>
        </w:rPr>
        <w:t xml:space="preserve"> o los documentos que den cuenta de</w:t>
      </w:r>
      <w:r w:rsidR="007E18D2" w:rsidRPr="009E7B76">
        <w:rPr>
          <w:rFonts w:ascii="Palatino Linotype" w:eastAsia="Palatino Linotype" w:hAnsi="Palatino Linotype" w:cs="Palatino Linotype"/>
          <w:sz w:val="22"/>
          <w:szCs w:val="22"/>
        </w:rPr>
        <w:t>l gasto ejercido</w:t>
      </w:r>
      <w:r w:rsidR="00776C30" w:rsidRPr="009E7B76">
        <w:rPr>
          <w:rFonts w:ascii="Palatino Linotype" w:eastAsia="Palatino Linotype" w:hAnsi="Palatino Linotype" w:cs="Palatino Linotype"/>
          <w:sz w:val="22"/>
          <w:szCs w:val="22"/>
        </w:rPr>
        <w:t xml:space="preserve"> en las obras de bacheo reportadas en respuesta, </w:t>
      </w:r>
      <w:r w:rsidRPr="009E7B76">
        <w:rPr>
          <w:rFonts w:ascii="Palatino Linotype" w:eastAsia="Palatino Linotype" w:hAnsi="Palatino Linotype" w:cs="Palatino Linotype"/>
          <w:sz w:val="22"/>
          <w:szCs w:val="22"/>
        </w:rPr>
        <w:t>en versión pública de ser procedente</w:t>
      </w:r>
      <w:r w:rsidR="00671276" w:rsidRPr="009E7B76">
        <w:rPr>
          <w:rFonts w:ascii="Palatino Linotype" w:eastAsia="Palatino Linotype" w:hAnsi="Palatino Linotype" w:cs="Palatino Linotype"/>
          <w:sz w:val="22"/>
          <w:szCs w:val="22"/>
        </w:rPr>
        <w:t>.</w:t>
      </w:r>
    </w:p>
    <w:p w14:paraId="19548779" w14:textId="44600341" w:rsidR="00A14BD8" w:rsidRPr="009E7B76" w:rsidRDefault="00A14BD8" w:rsidP="00A14BD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De lo hasta aquí expuesto, se concluye que los motivos de inconformidad de la parte </w:t>
      </w:r>
      <w:r w:rsidRPr="009E7B76">
        <w:rPr>
          <w:rFonts w:ascii="Palatino Linotype" w:eastAsia="Palatino Linotype" w:hAnsi="Palatino Linotype" w:cs="Palatino Linotype"/>
          <w:b/>
          <w:sz w:val="22"/>
          <w:szCs w:val="22"/>
        </w:rPr>
        <w:t xml:space="preserve">Recurrente </w:t>
      </w:r>
      <w:r w:rsidRPr="009E7B76">
        <w:rPr>
          <w:rFonts w:ascii="Palatino Linotype" w:eastAsia="Palatino Linotype" w:hAnsi="Palatino Linotype" w:cs="Palatino Linotype"/>
          <w:sz w:val="22"/>
          <w:szCs w:val="22"/>
        </w:rPr>
        <w:t xml:space="preserve">devienen </w:t>
      </w:r>
      <w:r w:rsidR="00FA0F71" w:rsidRPr="009E7B76">
        <w:rPr>
          <w:rFonts w:ascii="Palatino Linotype" w:eastAsia="Palatino Linotype" w:hAnsi="Palatino Linotype" w:cs="Palatino Linotype"/>
          <w:sz w:val="22"/>
          <w:szCs w:val="22"/>
        </w:rPr>
        <w:t xml:space="preserve">parcialmente </w:t>
      </w:r>
      <w:r w:rsidRPr="009E7B76">
        <w:rPr>
          <w:rFonts w:ascii="Palatino Linotype" w:eastAsia="Palatino Linotype" w:hAnsi="Palatino Linotype" w:cs="Palatino Linotype"/>
          <w:sz w:val="22"/>
          <w:szCs w:val="22"/>
        </w:rPr>
        <w:t xml:space="preserve">fundados, siendo procedente </w:t>
      </w:r>
      <w:r w:rsidR="00A11A5F" w:rsidRPr="009E7B76">
        <w:rPr>
          <w:rFonts w:ascii="Palatino Linotype" w:eastAsia="Palatino Linotype" w:hAnsi="Palatino Linotype" w:cs="Palatino Linotype"/>
          <w:bCs/>
          <w:i/>
          <w:sz w:val="22"/>
          <w:szCs w:val="22"/>
        </w:rPr>
        <w:t>Modificar</w:t>
      </w:r>
      <w:r w:rsidRPr="009E7B76">
        <w:rPr>
          <w:rFonts w:ascii="Palatino Linotype" w:eastAsia="Palatino Linotype" w:hAnsi="Palatino Linotype" w:cs="Palatino Linotype"/>
          <w:i/>
          <w:sz w:val="22"/>
          <w:szCs w:val="22"/>
        </w:rPr>
        <w:t xml:space="preserve"> </w:t>
      </w:r>
      <w:r w:rsidRPr="009E7B76">
        <w:rPr>
          <w:rFonts w:ascii="Palatino Linotype" w:eastAsia="Palatino Linotype" w:hAnsi="Palatino Linotype" w:cs="Palatino Linotype"/>
          <w:sz w:val="22"/>
          <w:szCs w:val="22"/>
        </w:rPr>
        <w:t xml:space="preserve">la respuesta proporcionada por el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0050C26A" w14:textId="77777777" w:rsidR="00FA0F71" w:rsidRPr="009E7B76" w:rsidRDefault="00FA0F71" w:rsidP="00FA0F71">
      <w:pPr>
        <w:spacing w:before="240" w:after="240" w:line="360" w:lineRule="auto"/>
        <w:ind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bCs/>
          <w:sz w:val="22"/>
          <w:szCs w:val="22"/>
        </w:rPr>
        <w:t xml:space="preserve">Quinto. Versión Pública. </w:t>
      </w:r>
      <w:r w:rsidRPr="009E7B76">
        <w:rPr>
          <w:rFonts w:ascii="Palatino Linotype" w:eastAsia="Palatino Linotype" w:hAnsi="Palatino Linotype" w:cs="Palatino Linotype"/>
          <w:sz w:val="22"/>
          <w:szCs w:val="22"/>
        </w:rPr>
        <w:t>Como fue debidamente apuntado, el </w:t>
      </w:r>
      <w:r w:rsidRPr="009E7B76">
        <w:rPr>
          <w:rFonts w:ascii="Palatino Linotype" w:eastAsia="Palatino Linotype" w:hAnsi="Palatino Linotype" w:cs="Palatino Linotype"/>
          <w:b/>
          <w:bCs/>
          <w:sz w:val="22"/>
          <w:szCs w:val="22"/>
        </w:rPr>
        <w:t>Sujeto Obligado</w:t>
      </w:r>
      <w:r w:rsidRPr="009E7B76">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53F062B" w14:textId="77777777" w:rsidR="00FA0F71" w:rsidRPr="009E7B76" w:rsidRDefault="00FA0F71" w:rsidP="00FA0F71">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DDC7929" w14:textId="77777777" w:rsidR="00FA0F71" w:rsidRPr="009E7B76" w:rsidRDefault="00FA0F71" w:rsidP="00FA0F71">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E210472" w14:textId="77777777" w:rsidR="00FA0F71" w:rsidRPr="009E7B76" w:rsidRDefault="00FA0F71" w:rsidP="00FA0F71">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73B44820"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sz w:val="22"/>
          <w:szCs w:val="22"/>
        </w:rPr>
        <w:t> </w:t>
      </w:r>
      <w:r w:rsidRPr="009E7B76">
        <w:rPr>
          <w:rFonts w:ascii="Palatino Linotype" w:eastAsia="Palatino Linotype" w:hAnsi="Palatino Linotype" w:cs="Palatino Linotype"/>
          <w:i/>
          <w:iCs/>
          <w:sz w:val="22"/>
          <w:szCs w:val="22"/>
        </w:rPr>
        <w:t>“</w:t>
      </w:r>
      <w:r w:rsidRPr="009E7B76">
        <w:rPr>
          <w:rFonts w:ascii="Palatino Linotype" w:eastAsia="Palatino Linotype" w:hAnsi="Palatino Linotype" w:cs="Palatino Linotype"/>
          <w:b/>
          <w:bCs/>
          <w:i/>
          <w:iCs/>
          <w:sz w:val="22"/>
          <w:szCs w:val="22"/>
        </w:rPr>
        <w:t>Artículo 3.</w:t>
      </w:r>
      <w:r w:rsidRPr="009E7B76">
        <w:rPr>
          <w:rFonts w:ascii="Palatino Linotype" w:eastAsia="Palatino Linotype" w:hAnsi="Palatino Linotype" w:cs="Palatino Linotype"/>
          <w:i/>
          <w:iCs/>
          <w:sz w:val="22"/>
          <w:szCs w:val="22"/>
        </w:rPr>
        <w:t xml:space="preserve"> Para los efectos de la presente Ley se entenderá por:</w:t>
      </w:r>
    </w:p>
    <w:p w14:paraId="663FF519"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p>
    <w:p w14:paraId="3EAABB7D"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IX. Datos personales</w:t>
      </w:r>
      <w:r w:rsidRPr="009E7B76">
        <w:rPr>
          <w:rFonts w:ascii="Palatino Linotype" w:eastAsia="Palatino Linotype" w:hAnsi="Palatino Linotype" w:cs="Palatino Linotype"/>
          <w:i/>
          <w:iCs/>
          <w:sz w:val="22"/>
          <w:szCs w:val="22"/>
        </w:rPr>
        <w:t>: La información concerniente a una persona, identificada o identificable según lo dispuesto por la Ley de Protección de Datos Personales del Estado de México;</w:t>
      </w:r>
    </w:p>
    <w:p w14:paraId="36E78A78"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p>
    <w:p w14:paraId="6BB7F22F"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XX. Información clasificada</w:t>
      </w:r>
      <w:r w:rsidRPr="009E7B76">
        <w:rPr>
          <w:rFonts w:ascii="Palatino Linotype" w:eastAsia="Palatino Linotype" w:hAnsi="Palatino Linotype" w:cs="Palatino Linotype"/>
          <w:i/>
          <w:iCs/>
          <w:sz w:val="22"/>
          <w:szCs w:val="22"/>
        </w:rPr>
        <w:t>: Aquella considerada por la presente Ley como reservada o confidencial;</w:t>
      </w:r>
    </w:p>
    <w:p w14:paraId="0AD2F80D"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XXI. Información confidencial</w:t>
      </w:r>
      <w:r w:rsidRPr="009E7B76">
        <w:rPr>
          <w:rFonts w:ascii="Palatino Linotype" w:eastAsia="Palatino Linotype" w:hAnsi="Palatino Linotype" w:cs="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82D1AE"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p>
    <w:p w14:paraId="67B2DA93"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XXXII. Protección de Datos Personales</w:t>
      </w:r>
      <w:r w:rsidRPr="009E7B76">
        <w:rPr>
          <w:rFonts w:ascii="Palatino Linotype" w:eastAsia="Palatino Linotype" w:hAnsi="Palatino Linotype" w:cs="Palatino Linotype"/>
          <w:i/>
          <w:iCs/>
          <w:sz w:val="22"/>
          <w:szCs w:val="22"/>
        </w:rPr>
        <w:t>: Derecho humano que tutela la privacidad de datos personales en poder de los sujetos obligados y sujetos particulares;</w:t>
      </w:r>
    </w:p>
    <w:p w14:paraId="5378157D"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p>
    <w:p w14:paraId="40DD3F51" w14:textId="77777777" w:rsidR="00FA0F71" w:rsidRPr="009E7B76"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XLV. Versión pública</w:t>
      </w:r>
      <w:r w:rsidRPr="009E7B76">
        <w:rPr>
          <w:rFonts w:ascii="Palatino Linotype" w:eastAsia="Palatino Linotype" w:hAnsi="Palatino Linotype" w:cs="Palatino Linotype"/>
          <w:i/>
          <w:iCs/>
          <w:sz w:val="22"/>
          <w:szCs w:val="22"/>
        </w:rPr>
        <w:t>: Documento en el que se elimine, suprime o borra la información clasificada como reservada o confidencial para permitir su acceso.</w:t>
      </w:r>
    </w:p>
    <w:p w14:paraId="02D2D747"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 Artículo 6</w:t>
      </w:r>
      <w:r w:rsidRPr="009E7B76">
        <w:rPr>
          <w:rFonts w:ascii="Palatino Linotype" w:eastAsia="Palatino Linotype" w:hAnsi="Palatino Linotype" w:cs="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D9971E4"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p>
    <w:p w14:paraId="32B33363"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Artículo 91.</w:t>
      </w:r>
      <w:r w:rsidRPr="009E7B76">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r w:rsidRPr="009E7B76">
        <w:rPr>
          <w:rFonts w:ascii="Palatino Linotype" w:eastAsia="Palatino Linotype" w:hAnsi="Palatino Linotype" w:cs="Palatino Linotype"/>
          <w:i/>
          <w:iCs/>
          <w:sz w:val="22"/>
          <w:szCs w:val="22"/>
        </w:rPr>
        <w:br/>
        <w:t>…</w:t>
      </w:r>
    </w:p>
    <w:p w14:paraId="1FC73B9A"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Artículo 132.</w:t>
      </w:r>
      <w:r w:rsidRPr="009E7B76">
        <w:rPr>
          <w:rFonts w:ascii="Palatino Linotype" w:eastAsia="Palatino Linotype" w:hAnsi="Palatino Linotype" w:cs="Palatino Linotype"/>
          <w:i/>
          <w:iCs/>
          <w:sz w:val="22"/>
          <w:szCs w:val="22"/>
        </w:rPr>
        <w:t xml:space="preserve"> La clasificación de la información se llevará a cabo en el momento en que:</w:t>
      </w:r>
    </w:p>
    <w:p w14:paraId="3946463B"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w:t>
      </w:r>
      <w:r w:rsidRPr="009E7B76">
        <w:rPr>
          <w:rFonts w:ascii="Palatino Linotype" w:eastAsia="Palatino Linotype" w:hAnsi="Palatino Linotype" w:cs="Palatino Linotype"/>
          <w:i/>
          <w:iCs/>
          <w:sz w:val="22"/>
          <w:szCs w:val="22"/>
        </w:rPr>
        <w:t>. Se reciba una solicitud de acceso a la información;</w:t>
      </w:r>
    </w:p>
    <w:p w14:paraId="5801239E"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w:t>
      </w:r>
      <w:r w:rsidRPr="009E7B76">
        <w:rPr>
          <w:rFonts w:ascii="Palatino Linotype" w:eastAsia="Palatino Linotype" w:hAnsi="Palatino Linotype" w:cs="Palatino Linotype"/>
          <w:i/>
          <w:iCs/>
          <w:sz w:val="22"/>
          <w:szCs w:val="22"/>
        </w:rPr>
        <w:t xml:space="preserve"> Se determine mediante resolución de autoridad competente; o</w:t>
      </w:r>
    </w:p>
    <w:p w14:paraId="3EC04A9A"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III.</w:t>
      </w:r>
      <w:r w:rsidRPr="009E7B76">
        <w:rPr>
          <w:rFonts w:ascii="Palatino Linotype" w:eastAsia="Palatino Linotype" w:hAnsi="Palatino Linotype" w:cs="Palatino Linotype"/>
          <w:i/>
          <w:iCs/>
          <w:sz w:val="22"/>
          <w:szCs w:val="22"/>
        </w:rPr>
        <w:t xml:space="preserve"> Se generen versiones públicas para dar cumplimiento a las obligaciones de transparencia previstas en esta Ley.</w:t>
      </w:r>
    </w:p>
    <w:p w14:paraId="71FAC67E"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w:t>
      </w:r>
    </w:p>
    <w:p w14:paraId="3C9DB3BA"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Artículo 137.</w:t>
      </w:r>
      <w:r w:rsidRPr="009E7B76">
        <w:rPr>
          <w:rFonts w:ascii="Palatino Linotype" w:eastAsia="Palatino Linotype" w:hAnsi="Palatino Linotype" w:cs="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904CC67"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 Artículo 143.</w:t>
      </w:r>
      <w:r w:rsidRPr="009E7B76">
        <w:rPr>
          <w:rFonts w:ascii="Palatino Linotype" w:eastAsia="Palatino Linotype" w:hAnsi="Palatino Linotype" w:cs="Palatino Linotype"/>
          <w:i/>
          <w:iCs/>
          <w:sz w:val="22"/>
          <w:szCs w:val="22"/>
        </w:rPr>
        <w:t xml:space="preserve"> Para los efectos de esta Ley se considera información confidencial, la clasificada como tal, de manera permanente, por su naturaleza, cuando:</w:t>
      </w:r>
    </w:p>
    <w:p w14:paraId="18223921"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w:t>
      </w:r>
      <w:r w:rsidRPr="009E7B76">
        <w:rPr>
          <w:rFonts w:ascii="Palatino Linotype" w:eastAsia="Palatino Linotype" w:hAnsi="Palatino Linotype" w:cs="Palatino Linotype"/>
          <w:i/>
          <w:iCs/>
          <w:sz w:val="22"/>
          <w:szCs w:val="22"/>
        </w:rPr>
        <w:t xml:space="preserve"> Se refiera a la información privada y los datos personales concernientes a una persona física o jurídico colectiva identificada o identificable...”</w:t>
      </w:r>
    </w:p>
    <w:p w14:paraId="73F652D2" w14:textId="77777777" w:rsidR="00FA0F71" w:rsidRPr="009E7B76" w:rsidRDefault="00FA0F71" w:rsidP="00FA0F71">
      <w:pPr>
        <w:spacing w:before="240" w:after="240" w:line="360" w:lineRule="auto"/>
        <w:ind w:right="50"/>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E7B76">
        <w:rPr>
          <w:rFonts w:ascii="Palatino Linotype" w:eastAsia="Palatino Linotype" w:hAnsi="Palatino Linotype" w:cs="Palatino Linotype"/>
          <w:b/>
          <w:bCs/>
          <w:sz w:val="22"/>
          <w:szCs w:val="22"/>
        </w:rPr>
        <w:t>Sujeto Obligado</w:t>
      </w:r>
      <w:r w:rsidRPr="009E7B76">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BD42618" w14:textId="77777777" w:rsidR="00FA0F71" w:rsidRPr="009E7B76" w:rsidRDefault="00FA0F71" w:rsidP="00FA0F71">
      <w:pPr>
        <w:spacing w:before="240" w:after="240" w:line="360" w:lineRule="auto"/>
        <w:ind w:right="50"/>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4C63E76" w14:textId="77777777" w:rsidR="00FA0F71" w:rsidRPr="009E7B76" w:rsidRDefault="00FA0F71" w:rsidP="00FA0F71">
      <w:pPr>
        <w:spacing w:before="240" w:after="240" w:line="360" w:lineRule="auto"/>
        <w:ind w:right="50"/>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457033E"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“Artículo 49.</w:t>
      </w:r>
      <w:r w:rsidRPr="009E7B76">
        <w:rPr>
          <w:rFonts w:ascii="Palatino Linotype" w:eastAsia="Palatino Linotype" w:hAnsi="Palatino Linotype" w:cs="Palatino Linotype"/>
          <w:i/>
          <w:iCs/>
          <w:sz w:val="22"/>
          <w:szCs w:val="22"/>
        </w:rPr>
        <w:t xml:space="preserve"> </w:t>
      </w:r>
      <w:r w:rsidRPr="009E7B76">
        <w:rPr>
          <w:rFonts w:ascii="Palatino Linotype" w:eastAsia="Palatino Linotype" w:hAnsi="Palatino Linotype" w:cs="Palatino Linotype"/>
          <w:b/>
          <w:bCs/>
          <w:i/>
          <w:iCs/>
          <w:sz w:val="22"/>
          <w:szCs w:val="22"/>
        </w:rPr>
        <w:t>Los Comités de Transparencia</w:t>
      </w:r>
      <w:r w:rsidRPr="009E7B76">
        <w:rPr>
          <w:rFonts w:ascii="Palatino Linotype" w:eastAsia="Palatino Linotype" w:hAnsi="Palatino Linotype" w:cs="Palatino Linotype"/>
          <w:i/>
          <w:iCs/>
          <w:sz w:val="22"/>
          <w:szCs w:val="22"/>
        </w:rPr>
        <w:t xml:space="preserve"> tendrán las siguientes atribuciones:</w:t>
      </w:r>
    </w:p>
    <w:p w14:paraId="79243B36"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VIII. Aprobar, modificar o revocar la clasificación de la información</w:t>
      </w:r>
      <w:r w:rsidRPr="009E7B76">
        <w:rPr>
          <w:rFonts w:ascii="Palatino Linotype" w:eastAsia="Palatino Linotype" w:hAnsi="Palatino Linotype" w:cs="Palatino Linotype"/>
          <w:i/>
          <w:iCs/>
          <w:sz w:val="22"/>
          <w:szCs w:val="22"/>
        </w:rPr>
        <w:t>…”</w:t>
      </w:r>
    </w:p>
    <w:p w14:paraId="7E0070B6"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r w:rsidRPr="009E7B76">
        <w:rPr>
          <w:rFonts w:ascii="Palatino Linotype" w:eastAsia="Palatino Linotype" w:hAnsi="Palatino Linotype" w:cs="Palatino Linotype"/>
          <w:b/>
          <w:bCs/>
          <w:i/>
          <w:iCs/>
          <w:sz w:val="22"/>
          <w:szCs w:val="22"/>
        </w:rPr>
        <w:t>Artículo 53.</w:t>
      </w:r>
      <w:r w:rsidRPr="009E7B76">
        <w:rPr>
          <w:rFonts w:ascii="Palatino Linotype" w:eastAsia="Palatino Linotype" w:hAnsi="Palatino Linotype" w:cs="Palatino Linotype"/>
          <w:i/>
          <w:iCs/>
          <w:sz w:val="22"/>
          <w:szCs w:val="22"/>
        </w:rPr>
        <w:t xml:space="preserve"> Las </w:t>
      </w:r>
      <w:r w:rsidRPr="009E7B76">
        <w:rPr>
          <w:rFonts w:ascii="Palatino Linotype" w:eastAsia="Palatino Linotype" w:hAnsi="Palatino Linotype" w:cs="Palatino Linotype"/>
          <w:b/>
          <w:bCs/>
          <w:i/>
          <w:iCs/>
          <w:sz w:val="22"/>
          <w:szCs w:val="22"/>
        </w:rPr>
        <w:t>Unidades de Transparencia</w:t>
      </w:r>
      <w:r w:rsidRPr="009E7B76">
        <w:rPr>
          <w:rFonts w:ascii="Palatino Linotype" w:eastAsia="Palatino Linotype" w:hAnsi="Palatino Linotype" w:cs="Palatino Linotype"/>
          <w:i/>
          <w:iCs/>
          <w:sz w:val="22"/>
          <w:szCs w:val="22"/>
        </w:rPr>
        <w:t xml:space="preserve"> tendrán las siguientes </w:t>
      </w:r>
      <w:r w:rsidRPr="009E7B76">
        <w:rPr>
          <w:rFonts w:ascii="Palatino Linotype" w:eastAsia="Palatino Linotype" w:hAnsi="Palatino Linotype" w:cs="Palatino Linotype"/>
          <w:b/>
          <w:bCs/>
          <w:i/>
          <w:iCs/>
          <w:sz w:val="22"/>
          <w:szCs w:val="22"/>
        </w:rPr>
        <w:t>funciones</w:t>
      </w:r>
      <w:r w:rsidRPr="009E7B76">
        <w:rPr>
          <w:rFonts w:ascii="Palatino Linotype" w:eastAsia="Palatino Linotype" w:hAnsi="Palatino Linotype" w:cs="Palatino Linotype"/>
          <w:i/>
          <w:iCs/>
          <w:sz w:val="22"/>
          <w:szCs w:val="22"/>
        </w:rPr>
        <w:t>:</w:t>
      </w:r>
    </w:p>
    <w:p w14:paraId="71F0FE1C"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X. Presentar ante el Comité, el proyecto de clasificación de información</w:t>
      </w:r>
      <w:r w:rsidRPr="009E7B76">
        <w:rPr>
          <w:rFonts w:ascii="Palatino Linotype" w:eastAsia="Palatino Linotype" w:hAnsi="Palatino Linotype" w:cs="Palatino Linotype"/>
          <w:i/>
          <w:iCs/>
          <w:sz w:val="22"/>
          <w:szCs w:val="22"/>
        </w:rPr>
        <w:t xml:space="preserve">…” </w:t>
      </w:r>
    </w:p>
    <w:p w14:paraId="45516C16"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“Artículo 59.</w:t>
      </w:r>
      <w:r w:rsidRPr="009E7B76">
        <w:rPr>
          <w:rFonts w:ascii="Palatino Linotype" w:eastAsia="Palatino Linotype" w:hAnsi="Palatino Linotype" w:cs="Palatino Linotype"/>
          <w:i/>
          <w:iCs/>
          <w:sz w:val="22"/>
          <w:szCs w:val="22"/>
        </w:rPr>
        <w:t xml:space="preserve"> Los </w:t>
      </w:r>
      <w:r w:rsidRPr="009E7B76">
        <w:rPr>
          <w:rFonts w:ascii="Palatino Linotype" w:eastAsia="Palatino Linotype" w:hAnsi="Palatino Linotype" w:cs="Palatino Linotype"/>
          <w:b/>
          <w:bCs/>
          <w:i/>
          <w:iCs/>
          <w:sz w:val="22"/>
          <w:szCs w:val="22"/>
        </w:rPr>
        <w:t>servidores públicos habilitados</w:t>
      </w:r>
      <w:r w:rsidRPr="009E7B76">
        <w:rPr>
          <w:rFonts w:ascii="Palatino Linotype" w:eastAsia="Palatino Linotype" w:hAnsi="Palatino Linotype" w:cs="Palatino Linotype"/>
          <w:i/>
          <w:iCs/>
          <w:sz w:val="22"/>
          <w:szCs w:val="22"/>
        </w:rPr>
        <w:t xml:space="preserve"> tendrán las </w:t>
      </w:r>
      <w:r w:rsidRPr="009E7B76">
        <w:rPr>
          <w:rFonts w:ascii="Palatino Linotype" w:eastAsia="Palatino Linotype" w:hAnsi="Palatino Linotype" w:cs="Palatino Linotype"/>
          <w:b/>
          <w:bCs/>
          <w:i/>
          <w:iCs/>
          <w:sz w:val="22"/>
          <w:szCs w:val="22"/>
        </w:rPr>
        <w:t>funciones</w:t>
      </w:r>
      <w:r w:rsidRPr="009E7B76">
        <w:rPr>
          <w:rFonts w:ascii="Palatino Linotype" w:eastAsia="Palatino Linotype" w:hAnsi="Palatino Linotype" w:cs="Palatino Linotype"/>
          <w:i/>
          <w:iCs/>
          <w:sz w:val="22"/>
          <w:szCs w:val="22"/>
        </w:rPr>
        <w:t xml:space="preserve"> siguientes:</w:t>
      </w:r>
    </w:p>
    <w:p w14:paraId="5FAC61D4"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V. Integrar y presentar al responsable de la Unidad de Transparencia la propuesta de clasificación de información</w:t>
      </w:r>
      <w:r w:rsidRPr="009E7B76">
        <w:rPr>
          <w:rFonts w:ascii="Palatino Linotype" w:eastAsia="Palatino Linotype" w:hAnsi="Palatino Linotype" w:cs="Palatino Linotype"/>
          <w:i/>
          <w:iCs/>
          <w:sz w:val="22"/>
          <w:szCs w:val="22"/>
        </w:rPr>
        <w:t>, la cual tendrá los fundamentos y argumentos en que se basa dicha propuesta…”</w:t>
      </w:r>
    </w:p>
    <w:p w14:paraId="7331FA0C" w14:textId="77777777" w:rsidR="00FA0F71" w:rsidRPr="009E7B76" w:rsidRDefault="00FA0F71" w:rsidP="00FA0F71">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F529E1C" w14:textId="77777777" w:rsidR="00FA0F71" w:rsidRPr="009E7B76" w:rsidRDefault="00FA0F71" w:rsidP="00FA0F71">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F888CD5"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r w:rsidRPr="009E7B76">
        <w:rPr>
          <w:rFonts w:ascii="Palatino Linotype" w:eastAsia="Palatino Linotype" w:hAnsi="Palatino Linotype" w:cs="Palatino Linotype"/>
          <w:b/>
          <w:bCs/>
          <w:i/>
          <w:iCs/>
          <w:sz w:val="22"/>
          <w:szCs w:val="22"/>
        </w:rPr>
        <w:t>Artículo 149.</w:t>
      </w:r>
      <w:r w:rsidRPr="009E7B76">
        <w:rPr>
          <w:rFonts w:ascii="Palatino Linotype" w:eastAsia="Palatino Linotype" w:hAnsi="Palatino Linotype" w:cs="Palatino Linotype"/>
          <w:i/>
          <w:iCs/>
          <w:sz w:val="22"/>
          <w:szCs w:val="22"/>
        </w:rPr>
        <w:t xml:space="preserve"> El </w:t>
      </w:r>
      <w:r w:rsidRPr="009E7B76">
        <w:rPr>
          <w:rFonts w:ascii="Palatino Linotype" w:eastAsia="Palatino Linotype" w:hAnsi="Palatino Linotype" w:cs="Palatino Linotype"/>
          <w:b/>
          <w:bCs/>
          <w:i/>
          <w:iCs/>
          <w:sz w:val="22"/>
          <w:szCs w:val="22"/>
        </w:rPr>
        <w:t>acuerdo que clasifique la información como confidencial</w:t>
      </w:r>
      <w:r w:rsidRPr="009E7B76">
        <w:rPr>
          <w:rFonts w:ascii="Palatino Linotype" w:eastAsia="Palatino Linotype" w:hAnsi="Palatino Linotype" w:cs="Palatino Linotype"/>
          <w:i/>
          <w:iCs/>
          <w:sz w:val="22"/>
          <w:szCs w:val="22"/>
        </w:rPr>
        <w:t xml:space="preserve"> deberá contener un razonamiento lógico en el que demuestre que la información se encuentra en alguna o algunas de las hipótesis previstas en la presente Ley.” </w:t>
      </w:r>
    </w:p>
    <w:p w14:paraId="348FC077" w14:textId="77777777" w:rsidR="00FA0F71" w:rsidRPr="009E7B76" w:rsidRDefault="00FA0F71" w:rsidP="00FA0F71">
      <w:pPr>
        <w:spacing w:before="240" w:after="240" w:line="360" w:lineRule="auto"/>
        <w:ind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Es decir, el </w:t>
      </w:r>
      <w:r w:rsidRPr="009E7B76">
        <w:rPr>
          <w:rFonts w:ascii="Palatino Linotype" w:eastAsia="Palatino Linotype" w:hAnsi="Palatino Linotype" w:cs="Palatino Linotype"/>
          <w:b/>
          <w:bCs/>
          <w:sz w:val="22"/>
          <w:szCs w:val="22"/>
        </w:rPr>
        <w:t>Sujeto Obligado</w:t>
      </w:r>
      <w:r w:rsidRPr="009E7B7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9D75D17" w14:textId="77777777" w:rsidR="00FA0F71" w:rsidRPr="009E7B76" w:rsidRDefault="00FA0F71" w:rsidP="00FA0F7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9E7B76">
        <w:rPr>
          <w:rFonts w:ascii="Palatino Linotype" w:eastAsia="Palatino Linotype" w:hAnsi="Palatino Linotype" w:cs="Palatino Linotype"/>
          <w:b/>
          <w:bCs/>
          <w:sz w:val="22"/>
          <w:szCs w:val="22"/>
        </w:rPr>
        <w:t>Sujeto Obligado</w:t>
      </w:r>
      <w:r w:rsidRPr="009E7B76">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61AF640"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 xml:space="preserve"> “Quincuagésimo. </w:t>
      </w:r>
      <w:r w:rsidRPr="009E7B76">
        <w:rPr>
          <w:rFonts w:ascii="Palatino Linotype" w:eastAsia="Palatino Linotype" w:hAnsi="Palatino Linotype" w:cs="Palatino Linotype"/>
          <w:i/>
          <w:iCs/>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365C63F"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 xml:space="preserve">Quincuagésimo primero. </w:t>
      </w:r>
      <w:r w:rsidRPr="009E7B76">
        <w:rPr>
          <w:rFonts w:ascii="Palatino Linotype" w:eastAsia="Palatino Linotype" w:hAnsi="Palatino Linotype" w:cs="Palatino Linotype"/>
          <w:i/>
          <w:iCs/>
          <w:sz w:val="22"/>
          <w:szCs w:val="22"/>
        </w:rPr>
        <w:t xml:space="preserve">Toda acta del Comité de Transparencia deberá contener: </w:t>
      </w:r>
    </w:p>
    <w:p w14:paraId="2273464A"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w:t>
      </w:r>
      <w:r w:rsidRPr="009E7B76">
        <w:rPr>
          <w:rFonts w:ascii="Palatino Linotype" w:eastAsia="Palatino Linotype" w:hAnsi="Palatino Linotype" w:cs="Palatino Linotype"/>
          <w:i/>
          <w:iCs/>
          <w:sz w:val="22"/>
          <w:szCs w:val="22"/>
        </w:rPr>
        <w:t xml:space="preserve"> El número de sesión y fecha; </w:t>
      </w:r>
    </w:p>
    <w:p w14:paraId="3B5C51D6"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w:t>
      </w:r>
      <w:r w:rsidRPr="009E7B76">
        <w:rPr>
          <w:rFonts w:ascii="Palatino Linotype" w:eastAsia="Palatino Linotype" w:hAnsi="Palatino Linotype" w:cs="Palatino Linotype"/>
          <w:i/>
          <w:iCs/>
          <w:sz w:val="22"/>
          <w:szCs w:val="22"/>
        </w:rPr>
        <w:t xml:space="preserve">. El nombre del área que solicitó la clasificación de información; </w:t>
      </w:r>
    </w:p>
    <w:p w14:paraId="5FBC471F"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III</w:t>
      </w:r>
      <w:r w:rsidRPr="009E7B76">
        <w:rPr>
          <w:rFonts w:ascii="Palatino Linotype" w:eastAsia="Palatino Linotype" w:hAnsi="Palatino Linotype" w:cs="Palatino Linotype"/>
          <w:i/>
          <w:iCs/>
          <w:sz w:val="22"/>
          <w:szCs w:val="22"/>
        </w:rPr>
        <w:t xml:space="preserve">. La fundamentación legal y motivación correspondiente; </w:t>
      </w:r>
    </w:p>
    <w:p w14:paraId="55015BEF"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IV</w:t>
      </w:r>
      <w:r w:rsidRPr="009E7B76">
        <w:rPr>
          <w:rFonts w:ascii="Palatino Linotype" w:eastAsia="Palatino Linotype" w:hAnsi="Palatino Linotype" w:cs="Palatino Linotype"/>
          <w:i/>
          <w:iCs/>
          <w:sz w:val="22"/>
          <w:szCs w:val="22"/>
        </w:rPr>
        <w:t xml:space="preserve">. La resolución o resoluciones aprobadas; y </w:t>
      </w:r>
    </w:p>
    <w:p w14:paraId="3030BA57"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V</w:t>
      </w:r>
      <w:r w:rsidRPr="009E7B76">
        <w:rPr>
          <w:rFonts w:ascii="Palatino Linotype" w:eastAsia="Palatino Linotype" w:hAnsi="Palatino Linotype" w:cs="Palatino Linotype"/>
          <w:i/>
          <w:iCs/>
          <w:sz w:val="22"/>
          <w:szCs w:val="22"/>
        </w:rPr>
        <w:t xml:space="preserve">. La rúbrica o firma digital de cada integrante del Comité de Transparencia. </w:t>
      </w:r>
    </w:p>
    <w:p w14:paraId="58695F44"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5D788E5D"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w:t>
      </w:r>
      <w:r w:rsidRPr="009E7B76">
        <w:rPr>
          <w:rFonts w:ascii="Palatino Linotype" w:eastAsia="Palatino Linotype" w:hAnsi="Palatino Linotype" w:cs="Palatino Linotype"/>
          <w:i/>
          <w:iCs/>
          <w:sz w:val="22"/>
          <w:szCs w:val="22"/>
        </w:rPr>
        <w:t xml:space="preserve"> Los motivos y razonamientos que sustenten la confirmación o modificación de la prueba de daño;</w:t>
      </w:r>
    </w:p>
    <w:p w14:paraId="74FA7DBE"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9E7B76">
        <w:rPr>
          <w:rFonts w:ascii="Palatino Linotype" w:eastAsia="Palatino Linotype" w:hAnsi="Palatino Linotype" w:cs="Palatino Linotype"/>
          <w:b/>
          <w:bCs/>
          <w:i/>
          <w:iCs/>
          <w:sz w:val="22"/>
          <w:szCs w:val="22"/>
        </w:rPr>
        <w:t>II</w:t>
      </w:r>
      <w:r w:rsidRPr="009E7B76">
        <w:rPr>
          <w:rFonts w:ascii="Palatino Linotype" w:eastAsia="Palatino Linotype" w:hAnsi="Palatino Linotype" w:cs="Palatino Linotype"/>
          <w:i/>
          <w:iCs/>
          <w:sz w:val="22"/>
          <w:szCs w:val="22"/>
        </w:rPr>
        <w:t>. Descripción de las partes o secciones reservadas, en caso de clasificación parcial</w:t>
      </w:r>
      <w:r w:rsidRPr="009E7B76">
        <w:rPr>
          <w:rFonts w:ascii="Palatino Linotype" w:eastAsia="Palatino Linotype" w:hAnsi="Palatino Linotype" w:cs="Palatino Linotype"/>
          <w:b/>
          <w:bCs/>
          <w:i/>
          <w:iCs/>
          <w:sz w:val="22"/>
          <w:szCs w:val="22"/>
        </w:rPr>
        <w:t xml:space="preserve">; </w:t>
      </w:r>
    </w:p>
    <w:p w14:paraId="48B6DACF"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III.</w:t>
      </w:r>
      <w:r w:rsidRPr="009E7B76">
        <w:rPr>
          <w:rFonts w:ascii="Palatino Linotype" w:eastAsia="Palatino Linotype" w:hAnsi="Palatino Linotype" w:cs="Palatino Linotype"/>
          <w:i/>
          <w:iCs/>
          <w:sz w:val="22"/>
          <w:szCs w:val="22"/>
        </w:rPr>
        <w:t xml:space="preserve"> El periodo por el que mantendrá su clasificación y fecha de expiración; y </w:t>
      </w:r>
    </w:p>
    <w:p w14:paraId="29F5098C"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IV.</w:t>
      </w:r>
      <w:r w:rsidRPr="009E7B76">
        <w:rPr>
          <w:rFonts w:ascii="Palatino Linotype" w:eastAsia="Palatino Linotype" w:hAnsi="Palatino Linotype" w:cs="Palatino Linotype"/>
          <w:i/>
          <w:iCs/>
          <w:sz w:val="22"/>
          <w:szCs w:val="22"/>
        </w:rPr>
        <w:t xml:space="preserve"> El nombre del titular y área encargada de realizar la versión pública del documento, en su caso. </w:t>
      </w:r>
    </w:p>
    <w:p w14:paraId="387C0B3D"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09C7F2AA" w14:textId="77777777" w:rsidR="00FA0F71" w:rsidRPr="009E7B76"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6B50C85" w14:textId="77777777" w:rsidR="00FA0F71" w:rsidRPr="009E7B76" w:rsidRDefault="00FA0F71" w:rsidP="00FA0F71">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AAE1CF6"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r w:rsidRPr="009E7B76">
        <w:rPr>
          <w:rFonts w:ascii="Palatino Linotype" w:eastAsia="Palatino Linotype" w:hAnsi="Palatino Linotype" w:cs="Palatino Linotype"/>
          <w:b/>
          <w:bCs/>
          <w:i/>
          <w:iCs/>
          <w:sz w:val="22"/>
          <w:szCs w:val="22"/>
        </w:rPr>
        <w:t>Quincuagésimo segundo</w:t>
      </w:r>
      <w:r w:rsidRPr="009E7B76">
        <w:rPr>
          <w:rFonts w:ascii="Palatino Linotype" w:eastAsia="Palatino Linotype" w:hAnsi="Palatino Linotype" w:cs="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499F09F"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 xml:space="preserve">En el caso específico de la clasificación y elaboración de versiones públicas de documentos que contengan información confidencial, las áreas de los sujetos obligados deberán: </w:t>
      </w:r>
    </w:p>
    <w:p w14:paraId="20B0C2EE"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w:t>
      </w:r>
      <w:r w:rsidRPr="009E7B76">
        <w:rPr>
          <w:rFonts w:ascii="Palatino Linotype" w:eastAsia="Palatino Linotype" w:hAnsi="Palatino Linotype" w:cs="Palatino Linotype"/>
          <w:i/>
          <w:iCs/>
          <w:sz w:val="22"/>
          <w:szCs w:val="22"/>
        </w:rPr>
        <w:t xml:space="preserve"> Fijar la fecha en que se elaboró la versión pública y la fecha en la cual el Comité de Transparencia confirmó dicha versión;</w:t>
      </w:r>
    </w:p>
    <w:p w14:paraId="3832DCA8"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w:t>
      </w:r>
      <w:r w:rsidRPr="009E7B76">
        <w:rPr>
          <w:rFonts w:ascii="Palatino Linotype" w:eastAsia="Palatino Linotype" w:hAnsi="Palatino Linotype" w:cs="Palatino Linotype"/>
          <w:i/>
          <w:iCs/>
          <w:sz w:val="22"/>
          <w:szCs w:val="22"/>
        </w:rPr>
        <w:t xml:space="preserve"> Señalar dentro del documento el tipo de información confidencial que fue testada en cada caso específico, de conformidad con el lineamiento trigésimo octavo; y</w:t>
      </w:r>
    </w:p>
    <w:p w14:paraId="1247FBB7"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III.</w:t>
      </w:r>
      <w:r w:rsidRPr="009E7B76">
        <w:rPr>
          <w:rFonts w:ascii="Palatino Linotype" w:eastAsia="Palatino Linotype" w:hAnsi="Palatino Linotype" w:cs="Palatino Linotype"/>
          <w:i/>
          <w:iCs/>
          <w:sz w:val="22"/>
          <w:szCs w:val="22"/>
        </w:rPr>
        <w:t xml:space="preserve"> Señalar las personas o instancias autorizadas a acceder a la información clasificada.</w:t>
      </w:r>
    </w:p>
    <w:p w14:paraId="6E90576C" w14:textId="77777777" w:rsidR="00FA0F71" w:rsidRPr="009E7B76" w:rsidRDefault="00FA0F71" w:rsidP="00FA0F71">
      <w:pP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3276B010" w14:textId="77777777" w:rsidR="00FA0F71" w:rsidRPr="009E7B76" w:rsidRDefault="00FA0F71" w:rsidP="00FA0F71">
      <w:pPr>
        <w:pBdr>
          <w:top w:val="nil"/>
          <w:left w:val="nil"/>
          <w:bottom w:val="nil"/>
          <w:right w:val="nil"/>
          <w:between w:val="nil"/>
        </w:pBdr>
        <w:spacing w:before="120" w:after="120"/>
        <w:ind w:left="851" w:right="900"/>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w:t>
      </w:r>
    </w:p>
    <w:p w14:paraId="0E4D29F6" w14:textId="77777777" w:rsidR="00FA0F71" w:rsidRPr="009E7B76" w:rsidRDefault="00FA0F71" w:rsidP="00FA0F71">
      <w:pPr>
        <w:pBdr>
          <w:top w:val="nil"/>
          <w:left w:val="nil"/>
          <w:bottom w:val="nil"/>
          <w:right w:val="nil"/>
          <w:between w:val="nil"/>
        </w:pBdr>
        <w:spacing w:before="120" w:after="120"/>
        <w:ind w:left="851" w:right="900"/>
        <w:jc w:val="both"/>
        <w:rPr>
          <w:rFonts w:ascii="Palatino Linotype" w:eastAsia="Palatino Linotype" w:hAnsi="Palatino Linotype" w:cs="Palatino Linotype"/>
          <w:b/>
          <w:bCs/>
          <w:i/>
          <w:iCs/>
          <w:sz w:val="22"/>
          <w:szCs w:val="22"/>
        </w:rPr>
      </w:pPr>
      <w:r w:rsidRPr="009E7B76">
        <w:rPr>
          <w:rFonts w:ascii="Palatino Linotype" w:eastAsia="Palatino Linotype" w:hAnsi="Palatino Linotype" w:cs="Palatino Linotype"/>
          <w:b/>
          <w:bCs/>
          <w:i/>
          <w:iCs/>
          <w:sz w:val="22"/>
          <w:szCs w:val="22"/>
        </w:rPr>
        <w:t xml:space="preserve">Quincuagésimo cuarto. </w:t>
      </w:r>
      <w:r w:rsidRPr="009E7B76">
        <w:rPr>
          <w:rFonts w:ascii="Palatino Linotype" w:eastAsia="Palatino Linotype" w:hAnsi="Palatino Linotype" w:cs="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E7B76">
        <w:rPr>
          <w:rFonts w:ascii="Palatino Linotype" w:eastAsia="Palatino Linotype" w:hAnsi="Palatino Linotype" w:cs="Palatino Linotype"/>
          <w:b/>
          <w:bCs/>
          <w:i/>
          <w:iCs/>
          <w:sz w:val="22"/>
          <w:szCs w:val="22"/>
        </w:rPr>
        <w:t xml:space="preserve"> </w:t>
      </w:r>
    </w:p>
    <w:p w14:paraId="414F752B"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 xml:space="preserve">Quincuagésimo quinto. </w:t>
      </w:r>
      <w:r w:rsidRPr="009E7B76">
        <w:rPr>
          <w:rFonts w:ascii="Palatino Linotype" w:eastAsia="Palatino Linotype" w:hAnsi="Palatino Linotype" w:cs="Palatino Linotype"/>
          <w:i/>
          <w:iCs/>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04ED24F" w14:textId="77777777" w:rsidR="00FA0F71" w:rsidRPr="009E7B76" w:rsidRDefault="00FA0F71" w:rsidP="00FA0F71">
      <w:pPr>
        <w:spacing w:before="120" w:after="120"/>
        <w:ind w:left="851" w:right="902"/>
        <w:jc w:val="both"/>
        <w:rPr>
          <w:rFonts w:ascii="Palatino Linotype" w:eastAsia="Palatino Linotype" w:hAnsi="Palatino Linotype" w:cs="Palatino Linotype"/>
          <w:b/>
          <w:bCs/>
          <w:i/>
          <w:iCs/>
          <w:sz w:val="22"/>
          <w:szCs w:val="22"/>
        </w:rPr>
      </w:pPr>
      <w:r w:rsidRPr="009E7B76">
        <w:rPr>
          <w:rFonts w:ascii="Palatino Linotype" w:eastAsia="Palatino Linotype" w:hAnsi="Palatino Linotype" w:cs="Palatino Linotype"/>
          <w:b/>
          <w:bCs/>
          <w:i/>
          <w:iCs/>
          <w:sz w:val="22"/>
          <w:szCs w:val="22"/>
        </w:rPr>
        <w:t>...</w:t>
      </w:r>
    </w:p>
    <w:p w14:paraId="0AE6D275"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Quincuagésimo séptimo</w:t>
      </w:r>
      <w:r w:rsidRPr="009E7B76">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542476FE"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w:t>
      </w:r>
      <w:r w:rsidRPr="009E7B76">
        <w:rPr>
          <w:rFonts w:ascii="Palatino Linotype" w:eastAsia="Palatino Linotype" w:hAnsi="Palatino Linotype" w:cs="Palatino Linotype"/>
          <w:i/>
          <w:iCs/>
          <w:sz w:val="22"/>
          <w:szCs w:val="22"/>
        </w:rPr>
        <w:t xml:space="preserve">. La relativa a las Obligaciones de Transparencia que contempla el Título V de la Ley General y las demás disposiciones legales aplicables; </w:t>
      </w:r>
    </w:p>
    <w:p w14:paraId="15F5D9B9"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w:t>
      </w:r>
      <w:r w:rsidRPr="009E7B76">
        <w:rPr>
          <w:rFonts w:ascii="Palatino Linotype" w:eastAsia="Palatino Linotype" w:hAnsi="Palatino Linotype" w:cs="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3AE53D2"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III</w:t>
      </w:r>
      <w:r w:rsidRPr="009E7B76">
        <w:rPr>
          <w:rFonts w:ascii="Palatino Linotype" w:eastAsia="Palatino Linotype" w:hAnsi="Palatino Linotype" w:cs="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1D248F4"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1B456BD2" w14:textId="77777777" w:rsidR="00FA0F71" w:rsidRPr="009E7B76" w:rsidRDefault="00FA0F71" w:rsidP="00FA0F71">
      <w:pPr>
        <w:spacing w:before="120" w:after="120"/>
        <w:ind w:left="851" w:right="902"/>
        <w:jc w:val="both"/>
        <w:rPr>
          <w:rFonts w:ascii="Palatino Linotype" w:eastAsia="Palatino Linotype" w:hAnsi="Palatino Linotype" w:cs="Palatino Linotype"/>
          <w:i/>
          <w:iCs/>
          <w:sz w:val="22"/>
          <w:szCs w:val="22"/>
        </w:rPr>
      </w:pPr>
      <w:r w:rsidRPr="009E7B76">
        <w:rPr>
          <w:rFonts w:ascii="Palatino Linotype" w:eastAsia="Palatino Linotype" w:hAnsi="Palatino Linotype" w:cs="Palatino Linotype"/>
          <w:b/>
          <w:bCs/>
          <w:i/>
          <w:iCs/>
          <w:sz w:val="22"/>
          <w:szCs w:val="22"/>
        </w:rPr>
        <w:t>Quincuagésimo octavo</w:t>
      </w:r>
      <w:r w:rsidRPr="009E7B76">
        <w:rPr>
          <w:rFonts w:ascii="Palatino Linotype" w:eastAsia="Palatino Linotype" w:hAnsi="Palatino Linotype" w:cs="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3BE77F5" w14:textId="77777777" w:rsidR="003E4149" w:rsidRPr="009E7B76" w:rsidRDefault="003E4149" w:rsidP="003E4149">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7FA99318" w14:textId="77777777" w:rsidR="00C8599E" w:rsidRPr="009E7B76" w:rsidRDefault="00812BF1" w:rsidP="00B24180">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E7B76">
        <w:rPr>
          <w:rFonts w:ascii="Palatino Linotype" w:eastAsia="Palatino Linotype" w:hAnsi="Palatino Linotype" w:cs="Palatino Linotype"/>
          <w:b/>
          <w:sz w:val="22"/>
          <w:szCs w:val="22"/>
        </w:rPr>
        <w:t>III. R E S U E L V E</w:t>
      </w:r>
    </w:p>
    <w:p w14:paraId="277CEF24" w14:textId="17E054D5"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9E7B76">
        <w:rPr>
          <w:rFonts w:ascii="Palatino Linotype" w:eastAsia="Palatino Linotype" w:hAnsi="Palatino Linotype" w:cs="Palatino Linotype"/>
          <w:b/>
          <w:sz w:val="22"/>
          <w:szCs w:val="22"/>
        </w:rPr>
        <w:t xml:space="preserve">Primero. </w:t>
      </w:r>
      <w:r w:rsidRPr="009E7B76">
        <w:rPr>
          <w:rFonts w:ascii="Palatino Linotype" w:eastAsia="Palatino Linotype" w:hAnsi="Palatino Linotype" w:cs="Palatino Linotype"/>
          <w:sz w:val="22"/>
          <w:szCs w:val="22"/>
        </w:rPr>
        <w:t>Resultan</w:t>
      </w:r>
      <w:r w:rsidRPr="009E7B76">
        <w:rPr>
          <w:rFonts w:ascii="Palatino Linotype" w:eastAsia="Palatino Linotype" w:hAnsi="Palatino Linotype" w:cs="Palatino Linotype"/>
          <w:b/>
          <w:sz w:val="22"/>
          <w:szCs w:val="22"/>
        </w:rPr>
        <w:t xml:space="preserve"> </w:t>
      </w:r>
      <w:r w:rsidR="00FA0F71" w:rsidRPr="009E7B76">
        <w:rPr>
          <w:rFonts w:ascii="Palatino Linotype" w:eastAsia="Palatino Linotype" w:hAnsi="Palatino Linotype" w:cs="Palatino Linotype"/>
          <w:b/>
          <w:sz w:val="22"/>
          <w:szCs w:val="22"/>
        </w:rPr>
        <w:t xml:space="preserve">parcialmente </w:t>
      </w:r>
      <w:r w:rsidRPr="009E7B76">
        <w:rPr>
          <w:rFonts w:ascii="Palatino Linotype" w:eastAsia="Palatino Linotype" w:hAnsi="Palatino Linotype" w:cs="Palatino Linotype"/>
          <w:b/>
          <w:sz w:val="22"/>
          <w:szCs w:val="22"/>
        </w:rPr>
        <w:t>fundadas</w:t>
      </w:r>
      <w:r w:rsidRPr="009E7B76">
        <w:rPr>
          <w:rFonts w:ascii="Palatino Linotype" w:eastAsia="Palatino Linotype" w:hAnsi="Palatino Linotype" w:cs="Palatino Linotype"/>
          <w:sz w:val="22"/>
          <w:szCs w:val="22"/>
        </w:rPr>
        <w:t xml:space="preserve"> las razones o motivos de inconformidad hechos valer por la parte</w:t>
      </w:r>
      <w:r w:rsidRPr="009E7B76">
        <w:rPr>
          <w:rFonts w:ascii="Palatino Linotype" w:eastAsia="Palatino Linotype" w:hAnsi="Palatino Linotype" w:cs="Palatino Linotype"/>
          <w:b/>
          <w:sz w:val="22"/>
          <w:szCs w:val="22"/>
        </w:rPr>
        <w:t xml:space="preserve"> Recurrente</w:t>
      </w:r>
      <w:r w:rsidRPr="009E7B76">
        <w:rPr>
          <w:rFonts w:ascii="Palatino Linotype" w:eastAsia="Palatino Linotype" w:hAnsi="Palatino Linotype" w:cs="Palatino Linotype"/>
          <w:sz w:val="22"/>
          <w:szCs w:val="22"/>
        </w:rPr>
        <w:t xml:space="preserve"> en el recurso de revisión </w:t>
      </w:r>
      <w:r w:rsidR="00CF7678" w:rsidRPr="009E7B76">
        <w:rPr>
          <w:rFonts w:ascii="Palatino Linotype" w:eastAsia="Palatino Linotype" w:hAnsi="Palatino Linotype" w:cs="Palatino Linotype"/>
          <w:b/>
          <w:bCs/>
          <w:sz w:val="22"/>
          <w:szCs w:val="22"/>
        </w:rPr>
        <w:t>0</w:t>
      </w:r>
      <w:r w:rsidR="00D73542" w:rsidRPr="009E7B76">
        <w:rPr>
          <w:rFonts w:ascii="Palatino Linotype" w:eastAsia="Palatino Linotype" w:hAnsi="Palatino Linotype" w:cs="Palatino Linotype"/>
          <w:b/>
          <w:bCs/>
          <w:sz w:val="22"/>
          <w:szCs w:val="22"/>
        </w:rPr>
        <w:t>8954</w:t>
      </w:r>
      <w:r w:rsidRPr="009E7B76">
        <w:rPr>
          <w:rFonts w:ascii="Palatino Linotype" w:eastAsia="Palatino Linotype" w:hAnsi="Palatino Linotype" w:cs="Palatino Linotype"/>
          <w:b/>
          <w:sz w:val="22"/>
          <w:szCs w:val="22"/>
        </w:rPr>
        <w:t>/INFOEM/IP/RR/2025</w:t>
      </w:r>
      <w:r w:rsidRPr="009E7B76">
        <w:rPr>
          <w:rFonts w:ascii="Palatino Linotype" w:eastAsia="Palatino Linotype" w:hAnsi="Palatino Linotype" w:cs="Palatino Linotype"/>
          <w:sz w:val="22"/>
          <w:szCs w:val="22"/>
        </w:rPr>
        <w:t xml:space="preserve">; por lo que, en términos del </w:t>
      </w:r>
      <w:r w:rsidRPr="009E7B76">
        <w:rPr>
          <w:rFonts w:ascii="Palatino Linotype" w:eastAsia="Palatino Linotype" w:hAnsi="Palatino Linotype" w:cs="Palatino Linotype"/>
          <w:b/>
          <w:sz w:val="22"/>
          <w:szCs w:val="22"/>
        </w:rPr>
        <w:t>Considerando</w:t>
      </w:r>
      <w:r w:rsidRPr="009E7B76">
        <w:rPr>
          <w:rFonts w:ascii="Palatino Linotype" w:eastAsia="Palatino Linotype" w:hAnsi="Palatino Linotype" w:cs="Palatino Linotype"/>
          <w:sz w:val="22"/>
          <w:szCs w:val="22"/>
        </w:rPr>
        <w:t xml:space="preserve"> </w:t>
      </w:r>
      <w:r w:rsidRPr="009E7B76">
        <w:rPr>
          <w:rFonts w:ascii="Palatino Linotype" w:eastAsia="Palatino Linotype" w:hAnsi="Palatino Linotype" w:cs="Palatino Linotype"/>
          <w:b/>
          <w:sz w:val="22"/>
          <w:szCs w:val="22"/>
        </w:rPr>
        <w:t xml:space="preserve">Cuarto </w:t>
      </w:r>
      <w:r w:rsidRPr="009E7B76">
        <w:rPr>
          <w:rFonts w:ascii="Palatino Linotype" w:eastAsia="Palatino Linotype" w:hAnsi="Palatino Linotype" w:cs="Palatino Linotype"/>
          <w:sz w:val="22"/>
          <w:szCs w:val="22"/>
        </w:rPr>
        <w:t xml:space="preserve">de esta resolución, se </w:t>
      </w:r>
      <w:r w:rsidR="00D73542" w:rsidRPr="009E7B76">
        <w:rPr>
          <w:rFonts w:ascii="Palatino Linotype" w:eastAsia="Palatino Linotype" w:hAnsi="Palatino Linotype" w:cs="Palatino Linotype"/>
          <w:b/>
          <w:sz w:val="22"/>
          <w:szCs w:val="22"/>
        </w:rPr>
        <w:t>Modifi</w:t>
      </w:r>
      <w:r w:rsidR="00CF7678" w:rsidRPr="009E7B76">
        <w:rPr>
          <w:rFonts w:ascii="Palatino Linotype" w:eastAsia="Palatino Linotype" w:hAnsi="Palatino Linotype" w:cs="Palatino Linotype"/>
          <w:b/>
          <w:sz w:val="22"/>
          <w:szCs w:val="22"/>
        </w:rPr>
        <w:t>ca</w:t>
      </w:r>
      <w:r w:rsidRPr="009E7B76">
        <w:rPr>
          <w:rFonts w:ascii="Palatino Linotype" w:eastAsia="Palatino Linotype" w:hAnsi="Palatino Linotype" w:cs="Palatino Linotype"/>
          <w:sz w:val="22"/>
          <w:szCs w:val="22"/>
        </w:rPr>
        <w:t xml:space="preserve"> la respuesta emitida por el </w:t>
      </w:r>
      <w:r w:rsidRPr="009E7B76">
        <w:rPr>
          <w:rFonts w:ascii="Palatino Linotype" w:eastAsia="Palatino Linotype" w:hAnsi="Palatino Linotype" w:cs="Palatino Linotype"/>
          <w:b/>
          <w:sz w:val="22"/>
          <w:szCs w:val="22"/>
        </w:rPr>
        <w:t xml:space="preserve">Sujeto Obligado. </w:t>
      </w:r>
    </w:p>
    <w:p w14:paraId="7EEF0660" w14:textId="29164A35" w:rsidR="00C8599E" w:rsidRPr="009E7B76" w:rsidRDefault="00812BF1" w:rsidP="00B24180">
      <w:pPr>
        <w:spacing w:before="240" w:after="240" w:line="360" w:lineRule="auto"/>
        <w:ind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sz w:val="22"/>
          <w:szCs w:val="22"/>
        </w:rPr>
        <w:t xml:space="preserve">Segundo. </w:t>
      </w:r>
      <w:r w:rsidRPr="009E7B76">
        <w:rPr>
          <w:rFonts w:ascii="Palatino Linotype" w:eastAsia="Palatino Linotype" w:hAnsi="Palatino Linotype" w:cs="Palatino Linotype"/>
          <w:sz w:val="22"/>
          <w:szCs w:val="22"/>
        </w:rPr>
        <w:t xml:space="preserve">Se </w:t>
      </w:r>
      <w:r w:rsidRPr="009E7B76">
        <w:rPr>
          <w:rFonts w:ascii="Palatino Linotype" w:eastAsia="Palatino Linotype" w:hAnsi="Palatino Linotype" w:cs="Palatino Linotype"/>
          <w:b/>
          <w:sz w:val="22"/>
          <w:szCs w:val="22"/>
        </w:rPr>
        <w:t xml:space="preserve">Ordena </w:t>
      </w:r>
      <w:r w:rsidRPr="009E7B76">
        <w:rPr>
          <w:rFonts w:ascii="Palatino Linotype" w:eastAsia="Palatino Linotype" w:hAnsi="Palatino Linotype" w:cs="Palatino Linotype"/>
          <w:sz w:val="22"/>
          <w:szCs w:val="22"/>
        </w:rPr>
        <w:t xml:space="preserve">al </w:t>
      </w:r>
      <w:r w:rsidRPr="009E7B76">
        <w:rPr>
          <w:rFonts w:ascii="Palatino Linotype" w:eastAsia="Palatino Linotype" w:hAnsi="Palatino Linotype" w:cs="Palatino Linotype"/>
          <w:b/>
          <w:sz w:val="22"/>
          <w:szCs w:val="22"/>
        </w:rPr>
        <w:t xml:space="preserve">Sujeto Obligado, </w:t>
      </w:r>
      <w:r w:rsidRPr="009E7B76">
        <w:rPr>
          <w:rFonts w:ascii="Palatino Linotype" w:eastAsia="Palatino Linotype" w:hAnsi="Palatino Linotype" w:cs="Palatino Linotype"/>
          <w:sz w:val="22"/>
          <w:szCs w:val="22"/>
        </w:rPr>
        <w:t>en términos de</w:t>
      </w:r>
      <w:r w:rsidR="005B0A3D" w:rsidRPr="009E7B76">
        <w:rPr>
          <w:rFonts w:ascii="Palatino Linotype" w:eastAsia="Palatino Linotype" w:hAnsi="Palatino Linotype" w:cs="Palatino Linotype"/>
          <w:sz w:val="22"/>
          <w:szCs w:val="22"/>
        </w:rPr>
        <w:t xml:space="preserve"> </w:t>
      </w:r>
      <w:r w:rsidR="00CF7678" w:rsidRPr="009E7B76">
        <w:rPr>
          <w:rFonts w:ascii="Palatino Linotype" w:eastAsia="Palatino Linotype" w:hAnsi="Palatino Linotype" w:cs="Palatino Linotype"/>
          <w:sz w:val="22"/>
          <w:szCs w:val="22"/>
        </w:rPr>
        <w:t>l</w:t>
      </w:r>
      <w:r w:rsidR="005B0A3D" w:rsidRPr="009E7B76">
        <w:rPr>
          <w:rFonts w:ascii="Palatino Linotype" w:eastAsia="Palatino Linotype" w:hAnsi="Palatino Linotype" w:cs="Palatino Linotype"/>
          <w:sz w:val="22"/>
          <w:szCs w:val="22"/>
        </w:rPr>
        <w:t>os</w:t>
      </w:r>
      <w:r w:rsidR="00CF7678" w:rsidRPr="009E7B76">
        <w:rPr>
          <w:rFonts w:ascii="Palatino Linotype" w:eastAsia="Palatino Linotype" w:hAnsi="Palatino Linotype" w:cs="Palatino Linotype"/>
          <w:sz w:val="22"/>
          <w:szCs w:val="22"/>
        </w:rPr>
        <w:t xml:space="preserve"> </w:t>
      </w:r>
      <w:r w:rsidRPr="009E7B76">
        <w:rPr>
          <w:rFonts w:ascii="Palatino Linotype" w:eastAsia="Palatino Linotype" w:hAnsi="Palatino Linotype" w:cs="Palatino Linotype"/>
          <w:b/>
          <w:sz w:val="22"/>
          <w:szCs w:val="22"/>
        </w:rPr>
        <w:t>Considerando</w:t>
      </w:r>
      <w:r w:rsidR="005B0A3D" w:rsidRPr="009E7B76">
        <w:rPr>
          <w:rFonts w:ascii="Palatino Linotype" w:eastAsia="Palatino Linotype" w:hAnsi="Palatino Linotype" w:cs="Palatino Linotype"/>
          <w:b/>
          <w:sz w:val="22"/>
          <w:szCs w:val="22"/>
        </w:rPr>
        <w:t>s</w:t>
      </w:r>
      <w:r w:rsidRPr="009E7B76">
        <w:rPr>
          <w:rFonts w:ascii="Palatino Linotype" w:eastAsia="Palatino Linotype" w:hAnsi="Palatino Linotype" w:cs="Palatino Linotype"/>
          <w:sz w:val="22"/>
          <w:szCs w:val="22"/>
        </w:rPr>
        <w:t xml:space="preserve"> </w:t>
      </w:r>
      <w:r w:rsidRPr="009E7B76">
        <w:rPr>
          <w:rFonts w:ascii="Palatino Linotype" w:eastAsia="Palatino Linotype" w:hAnsi="Palatino Linotype" w:cs="Palatino Linotype"/>
          <w:b/>
          <w:sz w:val="22"/>
          <w:szCs w:val="22"/>
        </w:rPr>
        <w:t>Cuarto</w:t>
      </w:r>
      <w:r w:rsidR="005B0A3D" w:rsidRPr="009E7B76">
        <w:rPr>
          <w:rFonts w:ascii="Palatino Linotype" w:eastAsia="Palatino Linotype" w:hAnsi="Palatino Linotype" w:cs="Palatino Linotype"/>
          <w:b/>
          <w:sz w:val="22"/>
          <w:szCs w:val="22"/>
        </w:rPr>
        <w:t xml:space="preserve"> </w:t>
      </w:r>
      <w:r w:rsidR="005B0A3D" w:rsidRPr="009E7B76">
        <w:rPr>
          <w:rFonts w:ascii="Palatino Linotype" w:eastAsia="Palatino Linotype" w:hAnsi="Palatino Linotype" w:cs="Palatino Linotype"/>
          <w:sz w:val="22"/>
          <w:szCs w:val="22"/>
        </w:rPr>
        <w:t xml:space="preserve">y </w:t>
      </w:r>
      <w:r w:rsidR="005B0A3D" w:rsidRPr="009E7B76">
        <w:rPr>
          <w:rFonts w:ascii="Palatino Linotype" w:eastAsia="Palatino Linotype" w:hAnsi="Palatino Linotype" w:cs="Palatino Linotype"/>
          <w:b/>
          <w:sz w:val="22"/>
          <w:szCs w:val="22"/>
        </w:rPr>
        <w:t>Quinto</w:t>
      </w:r>
      <w:r w:rsidR="005B0A3D" w:rsidRPr="009E7B76">
        <w:rPr>
          <w:rFonts w:ascii="Palatino Linotype" w:eastAsia="Palatino Linotype" w:hAnsi="Palatino Linotype" w:cs="Palatino Linotype"/>
          <w:sz w:val="22"/>
          <w:szCs w:val="22"/>
        </w:rPr>
        <w:t xml:space="preserve"> </w:t>
      </w:r>
      <w:r w:rsidRPr="009E7B76">
        <w:rPr>
          <w:rFonts w:ascii="Palatino Linotype" w:eastAsia="Palatino Linotype" w:hAnsi="Palatino Linotype" w:cs="Palatino Linotype"/>
          <w:sz w:val="22"/>
          <w:szCs w:val="22"/>
        </w:rPr>
        <w:t xml:space="preserve">de esta resolución, haga entrega, vía </w:t>
      </w:r>
      <w:r w:rsidRPr="009E7B76">
        <w:rPr>
          <w:rFonts w:ascii="Palatino Linotype" w:eastAsia="Palatino Linotype" w:hAnsi="Palatino Linotype" w:cs="Palatino Linotype"/>
          <w:b/>
          <w:sz w:val="22"/>
          <w:szCs w:val="22"/>
        </w:rPr>
        <w:t>SAIMEX</w:t>
      </w:r>
      <w:r w:rsidRPr="009E7B76">
        <w:rPr>
          <w:rFonts w:ascii="Palatino Linotype" w:eastAsia="Palatino Linotype" w:hAnsi="Palatino Linotype" w:cs="Palatino Linotype"/>
          <w:sz w:val="22"/>
          <w:szCs w:val="22"/>
        </w:rPr>
        <w:t>, previa búsqueda exh</w:t>
      </w:r>
      <w:r w:rsidR="005B0A3D" w:rsidRPr="009E7B76">
        <w:rPr>
          <w:rFonts w:ascii="Palatino Linotype" w:eastAsia="Palatino Linotype" w:hAnsi="Palatino Linotype" w:cs="Palatino Linotype"/>
          <w:sz w:val="22"/>
          <w:szCs w:val="22"/>
        </w:rPr>
        <w:t xml:space="preserve">austiva y razonable, en versión pública de ser procedente, </w:t>
      </w:r>
      <w:r w:rsidRPr="009E7B76">
        <w:rPr>
          <w:rFonts w:ascii="Palatino Linotype" w:eastAsia="Palatino Linotype" w:hAnsi="Palatino Linotype" w:cs="Palatino Linotype"/>
          <w:sz w:val="22"/>
          <w:szCs w:val="22"/>
        </w:rPr>
        <w:t>de lo siguiente:</w:t>
      </w:r>
    </w:p>
    <w:p w14:paraId="2766AA68" w14:textId="4B078DFD" w:rsidR="00D73542" w:rsidRPr="009E7B76" w:rsidRDefault="00D73542" w:rsidP="001E11FD">
      <w:pPr>
        <w:spacing w:before="240" w:after="240" w:line="360" w:lineRule="auto"/>
        <w:ind w:left="284" w:right="49"/>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1. El o los documentos que den cuenta del gasto ejercido </w:t>
      </w:r>
      <w:r w:rsidR="000A02A1" w:rsidRPr="009E7B76">
        <w:rPr>
          <w:rFonts w:ascii="Palatino Linotype" w:eastAsia="Palatino Linotype" w:hAnsi="Palatino Linotype" w:cs="Palatino Linotype"/>
          <w:sz w:val="22"/>
          <w:szCs w:val="22"/>
        </w:rPr>
        <w:t xml:space="preserve">en las obras de bacheo </w:t>
      </w:r>
      <w:r w:rsidR="003E3264" w:rsidRPr="009E7B76">
        <w:rPr>
          <w:rFonts w:ascii="Palatino Linotype" w:eastAsia="Palatino Linotype" w:hAnsi="Palatino Linotype" w:cs="Palatino Linotype"/>
          <w:sz w:val="22"/>
          <w:szCs w:val="22"/>
        </w:rPr>
        <w:t xml:space="preserve">realizadas en el periodo comprendido del uno de enero al veintiséis de junio de dos mil veinticinco, </w:t>
      </w:r>
      <w:r w:rsidR="000A02A1" w:rsidRPr="009E7B76">
        <w:rPr>
          <w:rFonts w:ascii="Palatino Linotype" w:eastAsia="Palatino Linotype" w:hAnsi="Palatino Linotype" w:cs="Palatino Linotype"/>
          <w:sz w:val="22"/>
          <w:szCs w:val="22"/>
        </w:rPr>
        <w:t>re</w:t>
      </w:r>
      <w:r w:rsidR="003E3264" w:rsidRPr="009E7B76">
        <w:rPr>
          <w:rFonts w:ascii="Palatino Linotype" w:eastAsia="Palatino Linotype" w:hAnsi="Palatino Linotype" w:cs="Palatino Linotype"/>
          <w:sz w:val="22"/>
          <w:szCs w:val="22"/>
        </w:rPr>
        <w:t>feridas</w:t>
      </w:r>
      <w:r w:rsidR="000A02A1" w:rsidRPr="009E7B76">
        <w:rPr>
          <w:rFonts w:ascii="Palatino Linotype" w:eastAsia="Palatino Linotype" w:hAnsi="Palatino Linotype" w:cs="Palatino Linotype"/>
          <w:sz w:val="22"/>
          <w:szCs w:val="22"/>
        </w:rPr>
        <w:t xml:space="preserve"> en respuesta.</w:t>
      </w:r>
    </w:p>
    <w:p w14:paraId="49C6010A" w14:textId="77777777" w:rsidR="001977D5" w:rsidRPr="009E7B76" w:rsidRDefault="001977D5" w:rsidP="001E11FD">
      <w:pPr>
        <w:spacing w:before="120" w:after="120"/>
        <w:ind w:left="284" w:right="49"/>
        <w:jc w:val="both"/>
        <w:rPr>
          <w:rFonts w:ascii="Palatino Linotype" w:eastAsia="Palatino Linotype" w:hAnsi="Palatino Linotype" w:cs="Palatino Linotype"/>
          <w:i/>
          <w:sz w:val="20"/>
          <w:szCs w:val="20"/>
        </w:rPr>
      </w:pPr>
      <w:bookmarkStart w:id="10" w:name="_heading=h.1fob9te" w:colFirst="0" w:colLast="0"/>
      <w:bookmarkEnd w:id="10"/>
      <w:r w:rsidRPr="009E7B76">
        <w:rPr>
          <w:rFonts w:ascii="Palatino Linotype" w:eastAsia="Palatino Linotype" w:hAnsi="Palatino Linotype" w:cs="Palatino Linotype"/>
          <w:i/>
          <w:sz w:val="20"/>
          <w:szCs w:val="20"/>
        </w:rPr>
        <w:t>De ser necesaria la versión pública, se deberán proporcionar junto con el Acuerdo de Clasificación donde el Comité de Transparencia, confirme la eliminación de los datos clasificados como confidenciales, de conformidad con los artículos 49, fracciones II y VIII, 132, fracción II, 143, fracción I y 149 de la Ley de Transparencia y Acceso a la Información Pública del Estado de México y Municipios.</w:t>
      </w:r>
    </w:p>
    <w:p w14:paraId="2FD5EDBB"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b/>
          <w:sz w:val="22"/>
          <w:szCs w:val="22"/>
        </w:rPr>
        <w:t xml:space="preserve">Tercero. Notifíquese, </w:t>
      </w:r>
      <w:r w:rsidRPr="009E7B76">
        <w:rPr>
          <w:rFonts w:ascii="Palatino Linotype" w:eastAsia="Palatino Linotype" w:hAnsi="Palatino Linotype" w:cs="Palatino Linotype"/>
          <w:sz w:val="22"/>
          <w:szCs w:val="22"/>
        </w:rPr>
        <w:t xml:space="preserve">vía </w:t>
      </w:r>
      <w:r w:rsidRPr="009E7B76">
        <w:rPr>
          <w:rFonts w:ascii="Palatino Linotype" w:eastAsia="Palatino Linotype" w:hAnsi="Palatino Linotype" w:cs="Palatino Linotype"/>
          <w:b/>
          <w:sz w:val="22"/>
          <w:szCs w:val="22"/>
        </w:rPr>
        <w:t>SAIMEX</w:t>
      </w:r>
      <w:r w:rsidRPr="009E7B76">
        <w:rPr>
          <w:rFonts w:ascii="Palatino Linotype" w:eastAsia="Palatino Linotype" w:hAnsi="Palatino Linotype" w:cs="Palatino Linotype"/>
          <w:sz w:val="22"/>
          <w:szCs w:val="22"/>
        </w:rPr>
        <w:t xml:space="preserve">, al Titular de la Unidad de Transparencia del </w:t>
      </w:r>
      <w:r w:rsidRPr="009E7B76">
        <w:rPr>
          <w:rFonts w:ascii="Palatino Linotype" w:eastAsia="Palatino Linotype" w:hAnsi="Palatino Linotype" w:cs="Palatino Linotype"/>
          <w:b/>
          <w:sz w:val="22"/>
          <w:szCs w:val="22"/>
        </w:rPr>
        <w:t>Sujeto Obligado,</w:t>
      </w:r>
      <w:r w:rsidRPr="009E7B76">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0DDFF9"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r w:rsidRPr="009E7B76">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9E7B76">
        <w:rPr>
          <w:rFonts w:ascii="Palatino Linotype" w:eastAsia="Palatino Linotype" w:hAnsi="Palatino Linotype" w:cs="Palatino Linotype"/>
          <w:b/>
          <w:sz w:val="22"/>
          <w:szCs w:val="22"/>
        </w:rPr>
        <w:t>Sujeto Obligado</w:t>
      </w:r>
      <w:r w:rsidRPr="009E7B76">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8562068" w14:textId="77777777" w:rsidR="00C8599E" w:rsidRPr="009E7B76" w:rsidRDefault="00812BF1" w:rsidP="00B24180">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9E7B76">
        <w:rPr>
          <w:rFonts w:ascii="Palatino Linotype" w:eastAsia="Palatino Linotype" w:hAnsi="Palatino Linotype" w:cs="Palatino Linotype"/>
          <w:b/>
          <w:sz w:val="22"/>
          <w:szCs w:val="22"/>
        </w:rPr>
        <w:t xml:space="preserve">Cuarto.  Notifíquese, </w:t>
      </w:r>
      <w:r w:rsidRPr="009E7B76">
        <w:rPr>
          <w:rFonts w:ascii="Palatino Linotype" w:eastAsia="Palatino Linotype" w:hAnsi="Palatino Linotype" w:cs="Palatino Linotype"/>
          <w:sz w:val="22"/>
          <w:szCs w:val="22"/>
        </w:rPr>
        <w:t xml:space="preserve">vía </w:t>
      </w:r>
      <w:r w:rsidRPr="009E7B76">
        <w:rPr>
          <w:rFonts w:ascii="Palatino Linotype" w:eastAsia="Palatino Linotype" w:hAnsi="Palatino Linotype" w:cs="Palatino Linotype"/>
          <w:b/>
          <w:sz w:val="22"/>
          <w:szCs w:val="22"/>
        </w:rPr>
        <w:t>SAIMEX</w:t>
      </w:r>
      <w:r w:rsidRPr="009E7B76">
        <w:rPr>
          <w:rFonts w:ascii="Palatino Linotype" w:eastAsia="Palatino Linotype" w:hAnsi="Palatino Linotype" w:cs="Palatino Linotype"/>
          <w:sz w:val="22"/>
          <w:szCs w:val="22"/>
        </w:rPr>
        <w:t xml:space="preserve"> a la parte </w:t>
      </w:r>
      <w:r w:rsidRPr="009E7B76">
        <w:rPr>
          <w:rFonts w:ascii="Palatino Linotype" w:eastAsia="Palatino Linotype" w:hAnsi="Palatino Linotype" w:cs="Palatino Linotype"/>
          <w:b/>
          <w:sz w:val="22"/>
          <w:szCs w:val="22"/>
        </w:rPr>
        <w:t>Recurrente</w:t>
      </w:r>
      <w:r w:rsidRPr="009E7B7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262486" w14:textId="7A7630B9" w:rsidR="00C8599E" w:rsidRPr="00EA0406" w:rsidRDefault="00812BF1" w:rsidP="00B24180">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9E7B7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E7B76">
        <w:rPr>
          <w:rFonts w:ascii="Palatino Linotype" w:eastAsia="Palatino Linotype" w:hAnsi="Palatino Linotype" w:cs="Palatino Linotype"/>
          <w:sz w:val="22"/>
          <w:szCs w:val="22"/>
        </w:rPr>
        <w:t xml:space="preserve"> </w:t>
      </w:r>
      <w:r w:rsidR="009E7B76" w:rsidRPr="009E7B76">
        <w:rPr>
          <w:rFonts w:ascii="Palatino Linotype" w:eastAsia="Palatino Linotype" w:hAnsi="Palatino Linotype" w:cs="Palatino Linotype"/>
          <w:sz w:val="22"/>
          <w:szCs w:val="22"/>
        </w:rPr>
        <w:t>(AUSENCIA JUSTIFICADA)</w:t>
      </w:r>
      <w:r w:rsidRPr="009E7B76">
        <w:rPr>
          <w:rFonts w:ascii="Palatino Linotype" w:eastAsia="Palatino Linotype" w:hAnsi="Palatino Linotype" w:cs="Palatino Linotype"/>
          <w:sz w:val="22"/>
          <w:szCs w:val="22"/>
        </w:rPr>
        <w:t xml:space="preserve">, SHARON CRISTINA MORALES MARTÍNEZ, LUIS GUSTAVO PARRA NORIEGA, Y GUADALUPE RAMÍREZ PEÑA, EN LA </w:t>
      </w:r>
      <w:r w:rsidR="00ED23A8" w:rsidRPr="009E7B76">
        <w:rPr>
          <w:rFonts w:ascii="Palatino Linotype" w:eastAsia="Palatino Linotype" w:hAnsi="Palatino Linotype" w:cs="Palatino Linotype"/>
          <w:sz w:val="22"/>
          <w:szCs w:val="22"/>
        </w:rPr>
        <w:t>T</w:t>
      </w:r>
      <w:r w:rsidR="00A84BBB" w:rsidRPr="009E7B76">
        <w:rPr>
          <w:rFonts w:ascii="Palatino Linotype" w:eastAsia="Palatino Linotype" w:hAnsi="Palatino Linotype" w:cs="Palatino Linotype"/>
          <w:sz w:val="22"/>
          <w:szCs w:val="22"/>
        </w:rPr>
        <w:t xml:space="preserve">ERCERA </w:t>
      </w:r>
      <w:r w:rsidRPr="009E7B76">
        <w:rPr>
          <w:rFonts w:ascii="Palatino Linotype" w:eastAsia="Palatino Linotype" w:hAnsi="Palatino Linotype" w:cs="Palatino Linotype"/>
          <w:sz w:val="22"/>
          <w:szCs w:val="22"/>
        </w:rPr>
        <w:t xml:space="preserve">SESIÓN ORDINARIA CELEBRADA EL </w:t>
      </w:r>
      <w:r w:rsidR="00A84BBB" w:rsidRPr="009E7B76">
        <w:rPr>
          <w:rFonts w:ascii="Palatino Linotype" w:eastAsia="Palatino Linotype" w:hAnsi="Palatino Linotype" w:cs="Palatino Linotype"/>
          <w:sz w:val="22"/>
          <w:szCs w:val="22"/>
        </w:rPr>
        <w:t xml:space="preserve">VEINTIOCHO DE ENERO DE </w:t>
      </w:r>
      <w:r w:rsidRPr="009E7B76">
        <w:rPr>
          <w:rFonts w:ascii="Palatino Linotype" w:eastAsia="Palatino Linotype" w:hAnsi="Palatino Linotype" w:cs="Palatino Linotype"/>
          <w:sz w:val="22"/>
          <w:szCs w:val="22"/>
        </w:rPr>
        <w:t>DOS MIL VEINTI</w:t>
      </w:r>
      <w:r w:rsidR="00A84BBB" w:rsidRPr="009E7B76">
        <w:rPr>
          <w:rFonts w:ascii="Palatino Linotype" w:eastAsia="Palatino Linotype" w:hAnsi="Palatino Linotype" w:cs="Palatino Linotype"/>
          <w:sz w:val="22"/>
          <w:szCs w:val="22"/>
        </w:rPr>
        <w:t>SÉIS</w:t>
      </w:r>
      <w:r w:rsidRPr="009E7B76">
        <w:rPr>
          <w:rFonts w:ascii="Palatino Linotype" w:eastAsia="Palatino Linotype" w:hAnsi="Palatino Linotype" w:cs="Palatino Linotype"/>
          <w:sz w:val="22"/>
          <w:szCs w:val="22"/>
        </w:rPr>
        <w:t>, ANTE EL SECRETARIO TÉCNICO DEL PLENO ALEXIS TAPIA RAMÍREZ.</w:t>
      </w:r>
    </w:p>
    <w:p w14:paraId="3A4EEF63"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01428AFA"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70DA3C69"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7F4C6CB2"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31F2EB44"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4F385A42"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3FEB658D"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44A3A851"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557CF9F3"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368DC6E7"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78146DC5"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42C42750"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7A24EE91"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75E12DF4"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5AACDE74"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34DEE8E0"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66989FF5"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083D57E5"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34619028"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1DE42F91"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560189C4"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140F17F8"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221750EC"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738840AD"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4D262FF9"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4D0B3880"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p>
    <w:p w14:paraId="4283668F" w14:textId="77777777" w:rsidR="00C8599E" w:rsidRPr="00EA0406" w:rsidRDefault="00C8599E" w:rsidP="00B24180">
      <w:pPr>
        <w:spacing w:line="360" w:lineRule="auto"/>
        <w:jc w:val="both"/>
        <w:rPr>
          <w:rFonts w:ascii="Palatino Linotype" w:eastAsia="Palatino Linotype" w:hAnsi="Palatino Linotype" w:cs="Palatino Linotype"/>
          <w:sz w:val="22"/>
          <w:szCs w:val="22"/>
        </w:rPr>
      </w:pPr>
      <w:bookmarkStart w:id="13" w:name="_heading=h.dluxxr715a9d" w:colFirst="0" w:colLast="0"/>
      <w:bookmarkEnd w:id="13"/>
    </w:p>
    <w:p w14:paraId="72274280" w14:textId="77777777" w:rsidR="00C536D8" w:rsidRPr="00EA0406" w:rsidRDefault="00C536D8">
      <w:pPr>
        <w:spacing w:line="360" w:lineRule="auto"/>
        <w:jc w:val="both"/>
        <w:rPr>
          <w:rFonts w:ascii="Palatino Linotype" w:eastAsia="Palatino Linotype" w:hAnsi="Palatino Linotype" w:cs="Palatino Linotype"/>
          <w:sz w:val="22"/>
          <w:szCs w:val="22"/>
        </w:rPr>
      </w:pPr>
    </w:p>
    <w:p w14:paraId="1AD90BC5" w14:textId="77777777" w:rsidR="005B0A3D" w:rsidRPr="00EA0406" w:rsidRDefault="005B0A3D">
      <w:pPr>
        <w:spacing w:line="360" w:lineRule="auto"/>
        <w:jc w:val="both"/>
        <w:rPr>
          <w:rFonts w:ascii="Palatino Linotype" w:eastAsia="Palatino Linotype" w:hAnsi="Palatino Linotype" w:cs="Palatino Linotype"/>
          <w:sz w:val="22"/>
          <w:szCs w:val="22"/>
        </w:rPr>
      </w:pPr>
    </w:p>
    <w:sectPr w:rsidR="005B0A3D" w:rsidRPr="00EA0406">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B39D9" w14:textId="77777777" w:rsidR="00C21537" w:rsidRDefault="00C21537">
      <w:r>
        <w:separator/>
      </w:r>
    </w:p>
  </w:endnote>
  <w:endnote w:type="continuationSeparator" w:id="0">
    <w:p w14:paraId="37525B16" w14:textId="77777777" w:rsidR="00C21537" w:rsidRDefault="00C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B7BD" w14:textId="2AFF3D07" w:rsidR="001167AB" w:rsidRDefault="001167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0B51">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0B51">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409C8316" w14:textId="77777777" w:rsidR="001167AB" w:rsidRDefault="001167A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FD19" w14:textId="55F4FD5D" w:rsidR="001167AB" w:rsidRDefault="001167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0B5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0B51">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p>
  <w:p w14:paraId="13DC87EB" w14:textId="77777777" w:rsidR="001167AB" w:rsidRDefault="001167A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22121" w14:textId="77777777" w:rsidR="00C21537" w:rsidRDefault="00C21537">
      <w:r>
        <w:separator/>
      </w:r>
    </w:p>
  </w:footnote>
  <w:footnote w:type="continuationSeparator" w:id="0">
    <w:p w14:paraId="1EB22E07" w14:textId="77777777" w:rsidR="00C21537" w:rsidRDefault="00C21537">
      <w:r>
        <w:continuationSeparator/>
      </w:r>
    </w:p>
  </w:footnote>
  <w:footnote w:id="1">
    <w:p w14:paraId="6D4A843D" w14:textId="77777777" w:rsidR="00367756" w:rsidRDefault="00367756" w:rsidP="0036775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59D0" w14:textId="77777777" w:rsidR="001167AB" w:rsidRDefault="001167AB">
    <w:pPr>
      <w:rPr>
        <w:rFonts w:ascii="Cambria" w:eastAsia="Cambria" w:hAnsi="Cambria" w:cs="Cambria"/>
        <w:color w:val="000000"/>
      </w:rPr>
    </w:pPr>
    <w:r>
      <w:rPr>
        <w:noProof/>
      </w:rPr>
      <w:drawing>
        <wp:anchor distT="0" distB="0" distL="0" distR="0" simplePos="0" relativeHeight="251658240" behindDoc="1" locked="0" layoutInCell="1" hidden="0" allowOverlap="1" wp14:anchorId="1A9F9F53" wp14:editId="78AFF2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528" w:type="dxa"/>
      <w:tblInd w:w="3261" w:type="dxa"/>
      <w:tblLayout w:type="fixed"/>
      <w:tblLook w:val="0400" w:firstRow="0" w:lastRow="0" w:firstColumn="0" w:lastColumn="0" w:noHBand="0" w:noVBand="1"/>
    </w:tblPr>
    <w:tblGrid>
      <w:gridCol w:w="2409"/>
      <w:gridCol w:w="3119"/>
    </w:tblGrid>
    <w:tr w:rsidR="001167AB" w14:paraId="6EDDB215" w14:textId="77777777" w:rsidTr="005920EA">
      <w:tc>
        <w:tcPr>
          <w:tcW w:w="2409" w:type="dxa"/>
        </w:tcPr>
        <w:p w14:paraId="302A7228" w14:textId="77777777" w:rsidR="001167AB" w:rsidRDefault="00116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76A2A17" w14:textId="4D2E1CEF" w:rsidR="001167AB" w:rsidRDefault="00A84B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08954</w:t>
          </w:r>
          <w:r w:rsidR="001167AB">
            <w:rPr>
              <w:rFonts w:ascii="Palatino Linotype" w:eastAsia="Palatino Linotype" w:hAnsi="Palatino Linotype" w:cs="Palatino Linotype"/>
              <w:b/>
              <w:sz w:val="22"/>
              <w:szCs w:val="22"/>
            </w:rPr>
            <w:t>/INFOEM/IP/RR/2025</w:t>
          </w:r>
        </w:p>
      </w:tc>
    </w:tr>
    <w:tr w:rsidR="001167AB" w14:paraId="4E9B0392" w14:textId="77777777" w:rsidTr="005920EA">
      <w:trPr>
        <w:trHeight w:val="228"/>
      </w:trPr>
      <w:tc>
        <w:tcPr>
          <w:tcW w:w="2409" w:type="dxa"/>
          <w:vAlign w:val="center"/>
        </w:tcPr>
        <w:p w14:paraId="4A05C7E3" w14:textId="77777777" w:rsidR="001167AB" w:rsidRDefault="00116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AD23DD5" w14:textId="55E63183" w:rsidR="001167AB" w:rsidRDefault="001167AB">
          <w:pPr>
            <w:ind w:left="-45" w:right="176"/>
            <w:jc w:val="both"/>
            <w:rPr>
              <w:rFonts w:ascii="Palatino Linotype" w:eastAsia="Palatino Linotype" w:hAnsi="Palatino Linotype" w:cs="Palatino Linotype"/>
              <w:b/>
              <w:sz w:val="22"/>
              <w:szCs w:val="22"/>
            </w:rPr>
          </w:pPr>
          <w:r w:rsidRPr="00677B67">
            <w:rPr>
              <w:rFonts w:ascii="Palatino Linotype" w:eastAsia="Palatino Linotype" w:hAnsi="Palatino Linotype" w:cs="Palatino Linotype"/>
              <w:b/>
              <w:sz w:val="22"/>
              <w:szCs w:val="22"/>
            </w:rPr>
            <w:t>Ayuntamiento de T</w:t>
          </w:r>
          <w:r w:rsidR="00A84BBB">
            <w:rPr>
              <w:rFonts w:ascii="Palatino Linotype" w:eastAsia="Palatino Linotype" w:hAnsi="Palatino Linotype" w:cs="Palatino Linotype"/>
              <w:b/>
              <w:sz w:val="22"/>
              <w:szCs w:val="22"/>
            </w:rPr>
            <w:t>oluca</w:t>
          </w:r>
        </w:p>
      </w:tc>
    </w:tr>
    <w:tr w:rsidR="001167AB" w14:paraId="0D6CEC7C" w14:textId="77777777" w:rsidTr="005920EA">
      <w:tc>
        <w:tcPr>
          <w:tcW w:w="2409" w:type="dxa"/>
          <w:vAlign w:val="center"/>
        </w:tcPr>
        <w:p w14:paraId="2BE4E729" w14:textId="77777777" w:rsidR="001167AB" w:rsidRDefault="001167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784D1AF" w14:textId="77777777" w:rsidR="001167AB" w:rsidRDefault="001167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B91695" w14:textId="77777777" w:rsidR="001167AB" w:rsidRDefault="001167A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983" w14:textId="77777777" w:rsidR="001167AB" w:rsidRDefault="001167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E74C60" wp14:editId="1469C7A2">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670" w:type="dxa"/>
      <w:tblInd w:w="3261" w:type="dxa"/>
      <w:tblLayout w:type="fixed"/>
      <w:tblLook w:val="0400" w:firstRow="0" w:lastRow="0" w:firstColumn="0" w:lastColumn="0" w:noHBand="0" w:noVBand="1"/>
    </w:tblPr>
    <w:tblGrid>
      <w:gridCol w:w="2489"/>
      <w:gridCol w:w="3181"/>
    </w:tblGrid>
    <w:tr w:rsidR="001167AB" w14:paraId="204201FA" w14:textId="77777777" w:rsidTr="005920EA">
      <w:tc>
        <w:tcPr>
          <w:tcW w:w="2489" w:type="dxa"/>
        </w:tcPr>
        <w:p w14:paraId="47B83E8E" w14:textId="77777777" w:rsidR="001167AB" w:rsidRDefault="00116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81" w:type="dxa"/>
          <w:vAlign w:val="center"/>
        </w:tcPr>
        <w:p w14:paraId="0244B0DF" w14:textId="1242CC5E" w:rsidR="001167AB" w:rsidRDefault="001167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84BBB">
            <w:rPr>
              <w:rFonts w:ascii="Palatino Linotype" w:eastAsia="Palatino Linotype" w:hAnsi="Palatino Linotype" w:cs="Palatino Linotype"/>
              <w:b/>
              <w:sz w:val="22"/>
              <w:szCs w:val="22"/>
            </w:rPr>
            <w:t>895</w:t>
          </w:r>
          <w:r>
            <w:rPr>
              <w:rFonts w:ascii="Palatino Linotype" w:eastAsia="Palatino Linotype" w:hAnsi="Palatino Linotype" w:cs="Palatino Linotype"/>
              <w:b/>
              <w:sz w:val="22"/>
              <w:szCs w:val="22"/>
            </w:rPr>
            <w:t>4/INFOEM/IP/RR/2025</w:t>
          </w:r>
        </w:p>
      </w:tc>
    </w:tr>
    <w:tr w:rsidR="001167AB" w14:paraId="3C7A527A" w14:textId="77777777" w:rsidTr="005920EA">
      <w:tc>
        <w:tcPr>
          <w:tcW w:w="2489" w:type="dxa"/>
        </w:tcPr>
        <w:p w14:paraId="1F5298AF" w14:textId="77777777" w:rsidR="001167AB" w:rsidRDefault="00116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81" w:type="dxa"/>
          <w:vAlign w:val="center"/>
        </w:tcPr>
        <w:p w14:paraId="3EB83948" w14:textId="368F943B" w:rsidR="001167AB" w:rsidRDefault="001167AB">
          <w:pPr>
            <w:ind w:right="175"/>
            <w:jc w:val="both"/>
            <w:rPr>
              <w:rFonts w:ascii="Palatino Linotype" w:eastAsia="Palatino Linotype" w:hAnsi="Palatino Linotype" w:cs="Palatino Linotype"/>
              <w:b/>
              <w:color w:val="FF0000"/>
              <w:sz w:val="22"/>
              <w:szCs w:val="22"/>
              <w:highlight w:val="yellow"/>
            </w:rPr>
          </w:pPr>
        </w:p>
      </w:tc>
    </w:tr>
    <w:tr w:rsidR="001167AB" w14:paraId="4955EEF1" w14:textId="77777777" w:rsidTr="005920EA">
      <w:trPr>
        <w:trHeight w:val="228"/>
      </w:trPr>
      <w:tc>
        <w:tcPr>
          <w:tcW w:w="2489" w:type="dxa"/>
          <w:vAlign w:val="center"/>
        </w:tcPr>
        <w:p w14:paraId="3BBAEB8F" w14:textId="77777777" w:rsidR="001167AB" w:rsidRDefault="00116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81" w:type="dxa"/>
          <w:vAlign w:val="center"/>
        </w:tcPr>
        <w:p w14:paraId="0CEBB39B" w14:textId="0430B4D3" w:rsidR="001167AB" w:rsidRDefault="001167AB">
          <w:pPr>
            <w:ind w:left="-45" w:right="176"/>
            <w:jc w:val="both"/>
            <w:rPr>
              <w:rFonts w:ascii="Palatino Linotype" w:eastAsia="Palatino Linotype" w:hAnsi="Palatino Linotype" w:cs="Palatino Linotype"/>
              <w:b/>
              <w:sz w:val="22"/>
              <w:szCs w:val="22"/>
            </w:rPr>
          </w:pPr>
          <w:r w:rsidRPr="00677B67">
            <w:rPr>
              <w:rFonts w:ascii="Palatino Linotype" w:eastAsia="Palatino Linotype" w:hAnsi="Palatino Linotype" w:cs="Palatino Linotype"/>
              <w:b/>
              <w:sz w:val="22"/>
              <w:szCs w:val="22"/>
            </w:rPr>
            <w:t>Ayuntamiento de T</w:t>
          </w:r>
          <w:r w:rsidR="00A84BBB">
            <w:rPr>
              <w:rFonts w:ascii="Palatino Linotype" w:eastAsia="Palatino Linotype" w:hAnsi="Palatino Linotype" w:cs="Palatino Linotype"/>
              <w:b/>
              <w:sz w:val="22"/>
              <w:szCs w:val="22"/>
            </w:rPr>
            <w:t>oluca</w:t>
          </w:r>
        </w:p>
      </w:tc>
    </w:tr>
    <w:tr w:rsidR="001167AB" w14:paraId="18829BB7" w14:textId="77777777" w:rsidTr="005920EA">
      <w:tc>
        <w:tcPr>
          <w:tcW w:w="2489" w:type="dxa"/>
          <w:vAlign w:val="center"/>
        </w:tcPr>
        <w:p w14:paraId="00BC5EC8" w14:textId="77777777" w:rsidR="001167AB" w:rsidRDefault="001167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81" w:type="dxa"/>
          <w:vAlign w:val="center"/>
        </w:tcPr>
        <w:p w14:paraId="558CE038" w14:textId="77777777" w:rsidR="001167AB" w:rsidRDefault="001167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9C727A" w14:textId="77777777" w:rsidR="001167AB" w:rsidRDefault="001167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625ED"/>
    <w:multiLevelType w:val="hybridMultilevel"/>
    <w:tmpl w:val="B832050E"/>
    <w:lvl w:ilvl="0" w:tplc="361E9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F33047"/>
    <w:multiLevelType w:val="hybridMultilevel"/>
    <w:tmpl w:val="67EE9D30"/>
    <w:lvl w:ilvl="0" w:tplc="8D5EF93E">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CB2028"/>
    <w:multiLevelType w:val="hybridMultilevel"/>
    <w:tmpl w:val="5D2E27C8"/>
    <w:lvl w:ilvl="0" w:tplc="FF226B36">
      <w:start w:val="4"/>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7ED3330D"/>
    <w:multiLevelType w:val="multilevel"/>
    <w:tmpl w:val="7CAE87E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9E"/>
    <w:rsid w:val="00004FFD"/>
    <w:rsid w:val="00021536"/>
    <w:rsid w:val="0003579A"/>
    <w:rsid w:val="00040F29"/>
    <w:rsid w:val="0004321C"/>
    <w:rsid w:val="00043B5E"/>
    <w:rsid w:val="00043FA8"/>
    <w:rsid w:val="00045104"/>
    <w:rsid w:val="00055EEC"/>
    <w:rsid w:val="00061F68"/>
    <w:rsid w:val="0006520C"/>
    <w:rsid w:val="0007660B"/>
    <w:rsid w:val="00076E58"/>
    <w:rsid w:val="00083734"/>
    <w:rsid w:val="00092105"/>
    <w:rsid w:val="00092FC0"/>
    <w:rsid w:val="000A02A1"/>
    <w:rsid w:val="000B144D"/>
    <w:rsid w:val="000C2BE9"/>
    <w:rsid w:val="000F6931"/>
    <w:rsid w:val="001167AB"/>
    <w:rsid w:val="00116B26"/>
    <w:rsid w:val="00141E19"/>
    <w:rsid w:val="00157369"/>
    <w:rsid w:val="00157732"/>
    <w:rsid w:val="001614A0"/>
    <w:rsid w:val="00161E36"/>
    <w:rsid w:val="00163298"/>
    <w:rsid w:val="001748C3"/>
    <w:rsid w:val="00187C33"/>
    <w:rsid w:val="001977D5"/>
    <w:rsid w:val="001A3DA5"/>
    <w:rsid w:val="001B3413"/>
    <w:rsid w:val="001B6366"/>
    <w:rsid w:val="001C0D7C"/>
    <w:rsid w:val="001C1EF8"/>
    <w:rsid w:val="001E11FD"/>
    <w:rsid w:val="001F642E"/>
    <w:rsid w:val="001F707C"/>
    <w:rsid w:val="00207832"/>
    <w:rsid w:val="00212601"/>
    <w:rsid w:val="0021383D"/>
    <w:rsid w:val="002165ED"/>
    <w:rsid w:val="00232C62"/>
    <w:rsid w:val="00244B02"/>
    <w:rsid w:val="00251742"/>
    <w:rsid w:val="002519E5"/>
    <w:rsid w:val="00264B9A"/>
    <w:rsid w:val="00267C10"/>
    <w:rsid w:val="00277A28"/>
    <w:rsid w:val="00280E04"/>
    <w:rsid w:val="00291E2D"/>
    <w:rsid w:val="00295018"/>
    <w:rsid w:val="002A237B"/>
    <w:rsid w:val="002A43CF"/>
    <w:rsid w:val="002C3C3F"/>
    <w:rsid w:val="002C6792"/>
    <w:rsid w:val="002D524C"/>
    <w:rsid w:val="002D7414"/>
    <w:rsid w:val="002D76C7"/>
    <w:rsid w:val="002E5417"/>
    <w:rsid w:val="002F3A5F"/>
    <w:rsid w:val="00313949"/>
    <w:rsid w:val="003235C6"/>
    <w:rsid w:val="00333BC9"/>
    <w:rsid w:val="00344EA9"/>
    <w:rsid w:val="00367756"/>
    <w:rsid w:val="00381837"/>
    <w:rsid w:val="00382805"/>
    <w:rsid w:val="00382ABD"/>
    <w:rsid w:val="0038769D"/>
    <w:rsid w:val="00393E6B"/>
    <w:rsid w:val="003A30A1"/>
    <w:rsid w:val="003A3FEF"/>
    <w:rsid w:val="003B027F"/>
    <w:rsid w:val="003D454C"/>
    <w:rsid w:val="003D742F"/>
    <w:rsid w:val="003E3264"/>
    <w:rsid w:val="003E4149"/>
    <w:rsid w:val="00401AE4"/>
    <w:rsid w:val="0041305E"/>
    <w:rsid w:val="004138D6"/>
    <w:rsid w:val="004145A4"/>
    <w:rsid w:val="004204CC"/>
    <w:rsid w:val="004321C0"/>
    <w:rsid w:val="00433A14"/>
    <w:rsid w:val="00440B51"/>
    <w:rsid w:val="00444765"/>
    <w:rsid w:val="004509C7"/>
    <w:rsid w:val="004566DE"/>
    <w:rsid w:val="00470D01"/>
    <w:rsid w:val="00480F57"/>
    <w:rsid w:val="0048315A"/>
    <w:rsid w:val="004833D5"/>
    <w:rsid w:val="00485F32"/>
    <w:rsid w:val="004909CF"/>
    <w:rsid w:val="004909E1"/>
    <w:rsid w:val="004946BC"/>
    <w:rsid w:val="004A322D"/>
    <w:rsid w:val="004B653B"/>
    <w:rsid w:val="004C54A8"/>
    <w:rsid w:val="004D1FEE"/>
    <w:rsid w:val="004E7791"/>
    <w:rsid w:val="004F2ACC"/>
    <w:rsid w:val="004F5257"/>
    <w:rsid w:val="00506AE7"/>
    <w:rsid w:val="005235A8"/>
    <w:rsid w:val="005308D8"/>
    <w:rsid w:val="0053319D"/>
    <w:rsid w:val="005464BF"/>
    <w:rsid w:val="0056181C"/>
    <w:rsid w:val="00577044"/>
    <w:rsid w:val="00577EE8"/>
    <w:rsid w:val="005830AB"/>
    <w:rsid w:val="005908FE"/>
    <w:rsid w:val="00591E70"/>
    <w:rsid w:val="005920EA"/>
    <w:rsid w:val="00597BEC"/>
    <w:rsid w:val="005A0DBB"/>
    <w:rsid w:val="005A19C2"/>
    <w:rsid w:val="005A1C30"/>
    <w:rsid w:val="005A286F"/>
    <w:rsid w:val="005B0A3D"/>
    <w:rsid w:val="005B1976"/>
    <w:rsid w:val="005C06D7"/>
    <w:rsid w:val="005C6B05"/>
    <w:rsid w:val="005D55D0"/>
    <w:rsid w:val="005E73F0"/>
    <w:rsid w:val="005F21AF"/>
    <w:rsid w:val="006044DA"/>
    <w:rsid w:val="00613D00"/>
    <w:rsid w:val="006321B6"/>
    <w:rsid w:val="006327AB"/>
    <w:rsid w:val="00635A45"/>
    <w:rsid w:val="00635DF2"/>
    <w:rsid w:val="0063705A"/>
    <w:rsid w:val="00657AC9"/>
    <w:rsid w:val="00671276"/>
    <w:rsid w:val="006729A0"/>
    <w:rsid w:val="00677B67"/>
    <w:rsid w:val="00677EB2"/>
    <w:rsid w:val="00693769"/>
    <w:rsid w:val="006A4C30"/>
    <w:rsid w:val="006B21B8"/>
    <w:rsid w:val="00715A84"/>
    <w:rsid w:val="00722C58"/>
    <w:rsid w:val="00724AE6"/>
    <w:rsid w:val="00761680"/>
    <w:rsid w:val="00761CAF"/>
    <w:rsid w:val="00761E4F"/>
    <w:rsid w:val="00774593"/>
    <w:rsid w:val="00776C30"/>
    <w:rsid w:val="00780B0E"/>
    <w:rsid w:val="00782376"/>
    <w:rsid w:val="00782C32"/>
    <w:rsid w:val="00783695"/>
    <w:rsid w:val="007A172B"/>
    <w:rsid w:val="007A743C"/>
    <w:rsid w:val="007B3847"/>
    <w:rsid w:val="007E0AB9"/>
    <w:rsid w:val="007E18D2"/>
    <w:rsid w:val="007E479F"/>
    <w:rsid w:val="007F25D9"/>
    <w:rsid w:val="00801DB1"/>
    <w:rsid w:val="008064ED"/>
    <w:rsid w:val="00812BF1"/>
    <w:rsid w:val="00830B23"/>
    <w:rsid w:val="008445CF"/>
    <w:rsid w:val="0084627A"/>
    <w:rsid w:val="00846596"/>
    <w:rsid w:val="008510DD"/>
    <w:rsid w:val="008670A6"/>
    <w:rsid w:val="00877544"/>
    <w:rsid w:val="0088152A"/>
    <w:rsid w:val="00885B61"/>
    <w:rsid w:val="00886009"/>
    <w:rsid w:val="00895395"/>
    <w:rsid w:val="008A2F0C"/>
    <w:rsid w:val="008A6067"/>
    <w:rsid w:val="008B4DFE"/>
    <w:rsid w:val="008B6147"/>
    <w:rsid w:val="008B73D7"/>
    <w:rsid w:val="008D0BFF"/>
    <w:rsid w:val="008E1D2D"/>
    <w:rsid w:val="008E29CD"/>
    <w:rsid w:val="009147E1"/>
    <w:rsid w:val="009463E7"/>
    <w:rsid w:val="009474C2"/>
    <w:rsid w:val="00953E53"/>
    <w:rsid w:val="00960036"/>
    <w:rsid w:val="00962527"/>
    <w:rsid w:val="00964BF0"/>
    <w:rsid w:val="00972A0A"/>
    <w:rsid w:val="009B0D0A"/>
    <w:rsid w:val="009B5B05"/>
    <w:rsid w:val="009C1DCB"/>
    <w:rsid w:val="009D7227"/>
    <w:rsid w:val="009D7BCF"/>
    <w:rsid w:val="009E273A"/>
    <w:rsid w:val="009E6144"/>
    <w:rsid w:val="009E7B76"/>
    <w:rsid w:val="009F2D62"/>
    <w:rsid w:val="00A036AC"/>
    <w:rsid w:val="00A11A5F"/>
    <w:rsid w:val="00A14BD8"/>
    <w:rsid w:val="00A15511"/>
    <w:rsid w:val="00A178C1"/>
    <w:rsid w:val="00A500A4"/>
    <w:rsid w:val="00A812DD"/>
    <w:rsid w:val="00A84BBB"/>
    <w:rsid w:val="00A968FF"/>
    <w:rsid w:val="00AA4ED8"/>
    <w:rsid w:val="00AA755E"/>
    <w:rsid w:val="00AB5798"/>
    <w:rsid w:val="00AD16A1"/>
    <w:rsid w:val="00AD53CE"/>
    <w:rsid w:val="00AD79F8"/>
    <w:rsid w:val="00AE5A1B"/>
    <w:rsid w:val="00AE7275"/>
    <w:rsid w:val="00B24180"/>
    <w:rsid w:val="00B87048"/>
    <w:rsid w:val="00BA045E"/>
    <w:rsid w:val="00BB5551"/>
    <w:rsid w:val="00BB6FD2"/>
    <w:rsid w:val="00BC58DA"/>
    <w:rsid w:val="00BD3F67"/>
    <w:rsid w:val="00BF0A93"/>
    <w:rsid w:val="00C00B62"/>
    <w:rsid w:val="00C02A3B"/>
    <w:rsid w:val="00C0463D"/>
    <w:rsid w:val="00C13DF2"/>
    <w:rsid w:val="00C21537"/>
    <w:rsid w:val="00C261BB"/>
    <w:rsid w:val="00C36B95"/>
    <w:rsid w:val="00C3718E"/>
    <w:rsid w:val="00C536D8"/>
    <w:rsid w:val="00C53DDE"/>
    <w:rsid w:val="00C64849"/>
    <w:rsid w:val="00C74AFC"/>
    <w:rsid w:val="00C8599E"/>
    <w:rsid w:val="00CA3D09"/>
    <w:rsid w:val="00CD0CD7"/>
    <w:rsid w:val="00CD7F4C"/>
    <w:rsid w:val="00CF1EB6"/>
    <w:rsid w:val="00CF3CAC"/>
    <w:rsid w:val="00CF7678"/>
    <w:rsid w:val="00D0053F"/>
    <w:rsid w:val="00D00E61"/>
    <w:rsid w:val="00D07DB1"/>
    <w:rsid w:val="00D10577"/>
    <w:rsid w:val="00D14547"/>
    <w:rsid w:val="00D33B8E"/>
    <w:rsid w:val="00D42A6B"/>
    <w:rsid w:val="00D445CD"/>
    <w:rsid w:val="00D4752F"/>
    <w:rsid w:val="00D506F5"/>
    <w:rsid w:val="00D52C68"/>
    <w:rsid w:val="00D73542"/>
    <w:rsid w:val="00D80601"/>
    <w:rsid w:val="00D8325A"/>
    <w:rsid w:val="00D86C25"/>
    <w:rsid w:val="00D922DE"/>
    <w:rsid w:val="00D93A6B"/>
    <w:rsid w:val="00DC684A"/>
    <w:rsid w:val="00DE5210"/>
    <w:rsid w:val="00DF7027"/>
    <w:rsid w:val="00E23943"/>
    <w:rsid w:val="00E35285"/>
    <w:rsid w:val="00E3663C"/>
    <w:rsid w:val="00E41761"/>
    <w:rsid w:val="00E4587D"/>
    <w:rsid w:val="00E50201"/>
    <w:rsid w:val="00E51194"/>
    <w:rsid w:val="00E54D20"/>
    <w:rsid w:val="00E55CF0"/>
    <w:rsid w:val="00E85970"/>
    <w:rsid w:val="00E860AF"/>
    <w:rsid w:val="00EA0406"/>
    <w:rsid w:val="00EB3B22"/>
    <w:rsid w:val="00EB4AA0"/>
    <w:rsid w:val="00EC1E9D"/>
    <w:rsid w:val="00EC53BD"/>
    <w:rsid w:val="00ED23A8"/>
    <w:rsid w:val="00EF46DC"/>
    <w:rsid w:val="00F24B90"/>
    <w:rsid w:val="00F36DE8"/>
    <w:rsid w:val="00F538EC"/>
    <w:rsid w:val="00F64D67"/>
    <w:rsid w:val="00F65A76"/>
    <w:rsid w:val="00F67E05"/>
    <w:rsid w:val="00F72403"/>
    <w:rsid w:val="00F77899"/>
    <w:rsid w:val="00FA0F71"/>
    <w:rsid w:val="00FA27C0"/>
    <w:rsid w:val="00FC5895"/>
    <w:rsid w:val="00FF4AD1"/>
    <w:rsid w:val="00FF658B"/>
    <w:rsid w:val="00FF67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1807D"/>
  <w15:docId w15:val="{A40F929D-76F9-49F9-A018-66F6070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i9+B5xi+r+YBIpValnNc0xA3g==">CgMxLjAyDmguZGFqM2oyeG82cTY2MghoLmdqZGd4czIJaC4zZHk2dmttMgloLjMwajB6bGwyCWguMnM4ZXlvMTIIaC50eWpjd3QyCWguM3pueXNoNzIJaC4yZXQ5MnAwMgloLjF0M2g1c2YyCWguMWZvYjl0ZTIOaC5obnp4c2NoNWd5c3oyDmgub3QzcXE2dnhhMDhmMghoLmxueGJ6OTIOaC5kbHV4eHI3MTVhOWQ4AHIhMXllTk0xZE5yaFRXN25XZTR1cjE5RWdlMlJENGdUaE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9981</Words>
  <Characters>54897</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2026-01-30T00:13:00Z</cp:lastPrinted>
  <dcterms:created xsi:type="dcterms:W3CDTF">2026-03-23T17:53:00Z</dcterms:created>
  <dcterms:modified xsi:type="dcterms:W3CDTF">2026-03-23T17:53:00Z</dcterms:modified>
</cp:coreProperties>
</file>