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305" w:rsidRPr="00812BBB" w:rsidRDefault="00E97EF6">
      <w:pPr>
        <w:spacing w:line="360" w:lineRule="auto"/>
        <w:jc w:val="both"/>
        <w:rPr>
          <w:rFonts w:ascii="Palatino Linotype" w:eastAsia="Palatino Linotype" w:hAnsi="Palatino Linotype" w:cs="Palatino Linotype"/>
          <w:b/>
        </w:rPr>
      </w:pPr>
      <w:r w:rsidRPr="00812BBB">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Pr="00812BBB">
        <w:rPr>
          <w:rFonts w:ascii="Palatino Linotype" w:eastAsia="Palatino Linotype" w:hAnsi="Palatino Linotype" w:cs="Palatino Linotype"/>
          <w:b/>
        </w:rPr>
        <w:t>veintisiete</w:t>
      </w:r>
      <w:r w:rsidR="00812BBB" w:rsidRPr="00812BBB">
        <w:rPr>
          <w:rFonts w:ascii="Palatino Linotype" w:eastAsia="Palatino Linotype" w:hAnsi="Palatino Linotype" w:cs="Palatino Linotype"/>
          <w:b/>
        </w:rPr>
        <w:t xml:space="preserve"> (27)</w:t>
      </w:r>
      <w:r w:rsidRPr="00812BBB">
        <w:rPr>
          <w:rFonts w:ascii="Palatino Linotype" w:eastAsia="Palatino Linotype" w:hAnsi="Palatino Linotype" w:cs="Palatino Linotype"/>
          <w:b/>
        </w:rPr>
        <w:t xml:space="preserve"> de mayo de dos mil veintiséis.</w:t>
      </w:r>
    </w:p>
    <w:p w:rsidR="00766305" w:rsidRPr="00812BBB" w:rsidRDefault="00766305">
      <w:pPr>
        <w:jc w:val="both"/>
        <w:rPr>
          <w:rFonts w:ascii="Palatino Linotype" w:eastAsia="Palatino Linotype" w:hAnsi="Palatino Linotype" w:cs="Palatino Linotype"/>
        </w:rPr>
      </w:pPr>
    </w:p>
    <w:p w:rsidR="00766305" w:rsidRPr="00812BBB" w:rsidRDefault="00E97EF6">
      <w:pPr>
        <w:spacing w:line="360" w:lineRule="auto"/>
        <w:jc w:val="both"/>
        <w:rPr>
          <w:rFonts w:ascii="Palatino Linotype" w:eastAsia="Palatino Linotype" w:hAnsi="Palatino Linotype" w:cs="Palatino Linotype"/>
        </w:rPr>
      </w:pPr>
      <w:r w:rsidRPr="00812BBB">
        <w:rPr>
          <w:rFonts w:ascii="Palatino Linotype" w:eastAsia="Palatino Linotype" w:hAnsi="Palatino Linotype" w:cs="Palatino Linotype"/>
          <w:b/>
          <w:bCs/>
        </w:rPr>
        <w:t>VISTO</w:t>
      </w:r>
      <w:r w:rsidRPr="00812BBB">
        <w:rPr>
          <w:rFonts w:ascii="Palatino Linotype" w:eastAsia="Palatino Linotype" w:hAnsi="Palatino Linotype" w:cs="Palatino Linotype"/>
        </w:rPr>
        <w:t xml:space="preserve"> el expediente electrónico formado con motivo del recurso de revisión </w:t>
      </w:r>
      <w:r w:rsidRPr="00812BBB">
        <w:rPr>
          <w:rFonts w:ascii="Palatino Linotype" w:eastAsia="Palatino Linotype" w:hAnsi="Palatino Linotype" w:cs="Palatino Linotype"/>
          <w:b/>
          <w:bCs/>
        </w:rPr>
        <w:t xml:space="preserve">11743/INFOEM/IP/RR/2025, </w:t>
      </w:r>
      <w:r w:rsidRPr="00812BBB">
        <w:rPr>
          <w:rFonts w:ascii="Palatino Linotype" w:eastAsia="Palatino Linotype" w:hAnsi="Palatino Linotype" w:cs="Palatino Linotype"/>
        </w:rPr>
        <w:t>promovido por un</w:t>
      </w:r>
      <w:r w:rsidRPr="00812BBB">
        <w:rPr>
          <w:rFonts w:ascii="Palatino Linotype" w:eastAsia="Palatino Linotype" w:hAnsi="Palatino Linotype" w:cs="Palatino Linotype"/>
          <w:b/>
          <w:bCs/>
        </w:rPr>
        <w:t xml:space="preserve"> RECURRENTE,</w:t>
      </w:r>
      <w:r w:rsidRPr="00812BBB">
        <w:rPr>
          <w:rFonts w:ascii="Palatino Linotype" w:eastAsia="Palatino Linotype" w:hAnsi="Palatino Linotype" w:cs="Palatino Linotype"/>
        </w:rPr>
        <w:t xml:space="preserve"> en contra de la respuesta del </w:t>
      </w:r>
      <w:r w:rsidRPr="00812BBB">
        <w:rPr>
          <w:rFonts w:ascii="Palatino Linotype" w:eastAsia="Palatino Linotype" w:hAnsi="Palatino Linotype" w:cs="Palatino Linotype"/>
          <w:b/>
          <w:bCs/>
        </w:rPr>
        <w:t xml:space="preserve">Ayuntamiento de Cuautitlán, </w:t>
      </w:r>
      <w:r w:rsidRPr="00812BBB">
        <w:rPr>
          <w:rFonts w:ascii="Palatino Linotype" w:eastAsia="Palatino Linotype" w:hAnsi="Palatino Linotype" w:cs="Palatino Linotype"/>
        </w:rPr>
        <w:t>en adelante el</w:t>
      </w:r>
      <w:r w:rsidRPr="00812BBB">
        <w:rPr>
          <w:rFonts w:ascii="Palatino Linotype" w:eastAsia="Palatino Linotype" w:hAnsi="Palatino Linotype" w:cs="Palatino Linotype"/>
          <w:b/>
          <w:bCs/>
        </w:rPr>
        <w:t xml:space="preserve"> SUJETO OBLIGADO</w:t>
      </w:r>
      <w:r w:rsidRPr="00812BBB">
        <w:rPr>
          <w:rFonts w:ascii="Palatino Linotype" w:eastAsia="Palatino Linotype" w:hAnsi="Palatino Linotype" w:cs="Palatino Linotype"/>
        </w:rPr>
        <w:t>, por lo que se procede a dictar la presente resolución, con base en los siguientes:</w:t>
      </w:r>
    </w:p>
    <w:p w:rsidR="00766305" w:rsidRPr="00812BBB" w:rsidRDefault="00766305">
      <w:pPr>
        <w:jc w:val="both"/>
        <w:rPr>
          <w:rFonts w:ascii="Palatino Linotype" w:eastAsia="Palatino Linotype" w:hAnsi="Palatino Linotype" w:cs="Palatino Linotype"/>
        </w:rPr>
      </w:pPr>
    </w:p>
    <w:p w:rsidR="00766305" w:rsidRPr="00812BBB" w:rsidRDefault="00E97EF6">
      <w:pPr>
        <w:keepNext/>
        <w:keepLines/>
        <w:spacing w:line="360" w:lineRule="auto"/>
        <w:jc w:val="center"/>
        <w:rPr>
          <w:rFonts w:ascii="Palatino Linotype" w:eastAsia="Palatino Linotype" w:hAnsi="Palatino Linotype" w:cs="Palatino Linotype"/>
          <w:b/>
          <w:bCs/>
        </w:rPr>
      </w:pPr>
      <w:r w:rsidRPr="00812BBB">
        <w:rPr>
          <w:rFonts w:ascii="Palatino Linotype" w:eastAsia="Palatino Linotype" w:hAnsi="Palatino Linotype" w:cs="Palatino Linotype"/>
          <w:b/>
          <w:bCs/>
        </w:rPr>
        <w:t>A N T E C E D E N T E S</w:t>
      </w:r>
    </w:p>
    <w:p w:rsidR="00766305" w:rsidRPr="00812BBB" w:rsidRDefault="00766305">
      <w:pPr>
        <w:rPr>
          <w:rFonts w:ascii="Palatino Linotype" w:eastAsia="Palatino Linotype" w:hAnsi="Palatino Linotype" w:cs="Palatino Linotype"/>
        </w:rPr>
      </w:pPr>
    </w:p>
    <w:p w:rsidR="00766305" w:rsidRPr="00812BBB" w:rsidRDefault="00E97EF6">
      <w:pPr>
        <w:numPr>
          <w:ilvl w:val="0"/>
          <w:numId w:val="2"/>
        </w:numPr>
        <w:spacing w:line="360" w:lineRule="auto"/>
        <w:ind w:left="0" w:firstLine="0"/>
        <w:jc w:val="both"/>
        <w:rPr>
          <w:rFonts w:ascii="Palatino Linotype" w:eastAsia="Palatino Linotype" w:hAnsi="Palatino Linotype" w:cs="Palatino Linotype"/>
        </w:rPr>
      </w:pPr>
      <w:bookmarkStart w:id="0" w:name="_heading=h.qn6jjtok8s7g" w:colFirst="0" w:colLast="0"/>
      <w:bookmarkEnd w:id="0"/>
      <w:r w:rsidRPr="00812BBB">
        <w:rPr>
          <w:rFonts w:ascii="Palatino Linotype" w:eastAsia="Palatino Linotype" w:hAnsi="Palatino Linotype" w:cs="Palatino Linotype"/>
        </w:rPr>
        <w:t>El ocho de septiembre de dos mil veinticinco, la</w:t>
      </w:r>
      <w:r w:rsidRPr="00812BBB">
        <w:rPr>
          <w:rFonts w:ascii="Palatino Linotype" w:eastAsia="Palatino Linotype" w:hAnsi="Palatino Linotype" w:cs="Palatino Linotype"/>
          <w:b/>
          <w:bCs/>
        </w:rPr>
        <w:t xml:space="preserve"> RECURRENTE </w:t>
      </w:r>
      <w:r w:rsidRPr="00812BBB">
        <w:rPr>
          <w:rFonts w:ascii="Palatino Linotype" w:eastAsia="Palatino Linotype" w:hAnsi="Palatino Linotype" w:cs="Palatino Linotype"/>
        </w:rPr>
        <w:t xml:space="preserve">presentó ante el </w:t>
      </w:r>
      <w:r w:rsidRPr="00812BBB">
        <w:rPr>
          <w:rFonts w:ascii="Palatino Linotype" w:eastAsia="Palatino Linotype" w:hAnsi="Palatino Linotype" w:cs="Palatino Linotype"/>
          <w:b/>
          <w:bCs/>
        </w:rPr>
        <w:t>SUJETO OBLIGADO,</w:t>
      </w:r>
      <w:r w:rsidRPr="00812BBB">
        <w:rPr>
          <w:rFonts w:ascii="Palatino Linotype" w:eastAsia="Palatino Linotype" w:hAnsi="Palatino Linotype" w:cs="Palatino Linotype"/>
        </w:rPr>
        <w:t xml:space="preserve"> a través del el Sistema de Acceso a la Información Mexiquense </w:t>
      </w:r>
      <w:r w:rsidRPr="00812BBB">
        <w:rPr>
          <w:rFonts w:ascii="Palatino Linotype" w:eastAsia="Palatino Linotype" w:hAnsi="Palatino Linotype" w:cs="Palatino Linotype"/>
          <w:b/>
          <w:bCs/>
        </w:rPr>
        <w:t>(SAIMEX),</w:t>
      </w:r>
      <w:r w:rsidRPr="00812BBB">
        <w:rPr>
          <w:rFonts w:ascii="Palatino Linotype" w:eastAsia="Palatino Linotype" w:hAnsi="Palatino Linotype" w:cs="Palatino Linotype"/>
        </w:rPr>
        <w:t xml:space="preserve"> la solicitud de información pública </w:t>
      </w:r>
      <w:r w:rsidRPr="00812BBB">
        <w:rPr>
          <w:rFonts w:ascii="Palatino Linotype" w:eastAsia="Palatino Linotype" w:hAnsi="Palatino Linotype" w:cs="Palatino Linotype"/>
          <w:b/>
          <w:bCs/>
        </w:rPr>
        <w:t>00550/CUAUTIT/IP/2025</w:t>
      </w:r>
      <w:r w:rsidRPr="00812BBB">
        <w:rPr>
          <w:rFonts w:ascii="Palatino Linotype" w:eastAsia="Palatino Linotype" w:hAnsi="Palatino Linotype" w:cs="Palatino Linotype"/>
        </w:rPr>
        <w:t>, en la que solicitó:</w:t>
      </w:r>
    </w:p>
    <w:p w:rsidR="00766305" w:rsidRPr="00812BBB" w:rsidRDefault="00766305">
      <w:pPr>
        <w:jc w:val="both"/>
        <w:rPr>
          <w:rFonts w:ascii="Palatino Linotype" w:eastAsia="Palatino Linotype" w:hAnsi="Palatino Linotype" w:cs="Palatino Linotype"/>
          <w:i/>
          <w:iCs/>
        </w:rPr>
      </w:pPr>
    </w:p>
    <w:p w:rsidR="00766305" w:rsidRPr="00812BBB" w:rsidRDefault="00E97EF6">
      <w:pPr>
        <w:ind w:left="567" w:right="538"/>
        <w:jc w:val="both"/>
        <w:rPr>
          <w:rFonts w:ascii="Palatino Linotype" w:eastAsia="Palatino Linotype" w:hAnsi="Palatino Linotype" w:cs="Palatino Linotype"/>
          <w:i/>
          <w:iCs/>
        </w:rPr>
      </w:pPr>
      <w:r w:rsidRPr="00812BBB">
        <w:rPr>
          <w:rFonts w:ascii="Palatino Linotype" w:eastAsia="Palatino Linotype" w:hAnsi="Palatino Linotype" w:cs="Palatino Linotype"/>
          <w:i/>
          <w:iCs/>
          <w:color w:val="000000"/>
        </w:rPr>
        <w:t>“</w:t>
      </w:r>
      <w:r w:rsidRPr="00812BBB">
        <w:rPr>
          <w:rFonts w:ascii="Palatino Linotype" w:eastAsia="Palatino Linotype" w:hAnsi="Palatino Linotype" w:cs="Palatino Linotype"/>
          <w:i/>
          <w:iCs/>
        </w:rPr>
        <w:t>de la cantidad de retiro de sellos se suspención provisional requiero el recibo de pago del monto que se les ha multado</w:t>
      </w:r>
      <w:r w:rsidRPr="00812BBB">
        <w:rPr>
          <w:rFonts w:ascii="Palatino Linotype" w:eastAsia="Palatino Linotype" w:hAnsi="Palatino Linotype" w:cs="Palatino Linotype"/>
          <w:i/>
          <w:iCs/>
          <w:color w:val="000000"/>
        </w:rPr>
        <w:t xml:space="preserve">” (Sic) </w:t>
      </w:r>
      <w:bookmarkStart w:id="1" w:name="_GoBack"/>
      <w:bookmarkEnd w:id="1"/>
    </w:p>
    <w:p w:rsidR="00766305" w:rsidRDefault="00766305">
      <w:pPr>
        <w:pBdr>
          <w:top w:val="nil"/>
          <w:left w:val="nil"/>
          <w:bottom w:val="nil"/>
          <w:right w:val="nil"/>
          <w:between w:val="nil"/>
        </w:pBdr>
        <w:jc w:val="both"/>
        <w:rPr>
          <w:rFonts w:ascii="Palatino Linotype" w:eastAsia="Palatino Linotype" w:hAnsi="Palatino Linotype" w:cs="Palatino Linotype"/>
          <w:color w:val="000000"/>
        </w:rPr>
      </w:pPr>
    </w:p>
    <w:p w:rsidR="00812BBB" w:rsidRPr="00812BBB" w:rsidRDefault="00812BBB">
      <w:pPr>
        <w:pBdr>
          <w:top w:val="nil"/>
          <w:left w:val="nil"/>
          <w:bottom w:val="nil"/>
          <w:right w:val="nil"/>
          <w:between w:val="nil"/>
        </w:pBdr>
        <w:jc w:val="both"/>
        <w:rPr>
          <w:rFonts w:ascii="Palatino Linotype" w:eastAsia="Palatino Linotype" w:hAnsi="Palatino Linotype" w:cs="Palatino Linotype"/>
          <w:color w:val="000000"/>
        </w:rPr>
      </w:pPr>
    </w:p>
    <w:p w:rsidR="00766305" w:rsidRPr="00812BBB" w:rsidRDefault="00E97EF6">
      <w:pPr>
        <w:numPr>
          <w:ilvl w:val="0"/>
          <w:numId w:val="2"/>
        </w:numPr>
        <w:spacing w:line="360" w:lineRule="auto"/>
        <w:ind w:left="0" w:firstLine="0"/>
        <w:jc w:val="both"/>
        <w:rPr>
          <w:rFonts w:ascii="Palatino Linotype" w:eastAsia="Palatino Linotype" w:hAnsi="Palatino Linotype" w:cs="Palatino Linotype"/>
        </w:rPr>
      </w:pPr>
      <w:r w:rsidRPr="00812BBB">
        <w:rPr>
          <w:rFonts w:ascii="Palatino Linotype" w:eastAsia="Palatino Linotype" w:hAnsi="Palatino Linotype" w:cs="Palatino Linotype"/>
        </w:rPr>
        <w:t xml:space="preserve">Se hace constar que se señaló como modalidad de entrega de la información a través del </w:t>
      </w:r>
      <w:r w:rsidRPr="00812BBB">
        <w:rPr>
          <w:rFonts w:ascii="Palatino Linotype" w:eastAsia="Palatino Linotype" w:hAnsi="Palatino Linotype" w:cs="Palatino Linotype"/>
          <w:b/>
          <w:bCs/>
        </w:rPr>
        <w:t>SAIMEX.</w:t>
      </w:r>
    </w:p>
    <w:p w:rsidR="00766305" w:rsidRPr="00812BBB" w:rsidRDefault="00766305">
      <w:pPr>
        <w:spacing w:line="360" w:lineRule="auto"/>
        <w:jc w:val="both"/>
        <w:rPr>
          <w:rFonts w:ascii="Palatino Linotype" w:eastAsia="Palatino Linotype" w:hAnsi="Palatino Linotype" w:cs="Palatino Linotype"/>
        </w:rPr>
      </w:pPr>
    </w:p>
    <w:p w:rsidR="00766305" w:rsidRPr="00812BBB" w:rsidRDefault="00E97EF6">
      <w:pPr>
        <w:numPr>
          <w:ilvl w:val="0"/>
          <w:numId w:val="2"/>
        </w:numPr>
        <w:spacing w:line="360" w:lineRule="auto"/>
        <w:ind w:left="0" w:firstLine="0"/>
        <w:jc w:val="both"/>
        <w:rPr>
          <w:rFonts w:ascii="Palatino Linotype" w:eastAsia="Palatino Linotype" w:hAnsi="Palatino Linotype" w:cs="Palatino Linotype"/>
        </w:rPr>
      </w:pPr>
      <w:r w:rsidRPr="00812BBB">
        <w:rPr>
          <w:rFonts w:ascii="Palatino Linotype" w:eastAsia="Palatino Linotype" w:hAnsi="Palatino Linotype" w:cs="Palatino Linotype"/>
        </w:rPr>
        <w:t xml:space="preserve">El once de septiembre de dos mil veinticinco, el </w:t>
      </w:r>
      <w:r w:rsidRPr="00812BBB">
        <w:rPr>
          <w:rFonts w:ascii="Palatino Linotype" w:eastAsia="Palatino Linotype" w:hAnsi="Palatino Linotype" w:cs="Palatino Linotype"/>
          <w:b/>
          <w:bCs/>
        </w:rPr>
        <w:t>SUJETO OBLIGADO</w:t>
      </w:r>
      <w:r w:rsidRPr="00812BBB">
        <w:rPr>
          <w:rFonts w:ascii="Palatino Linotype" w:eastAsia="Palatino Linotype" w:hAnsi="Palatino Linotype" w:cs="Palatino Linotype"/>
        </w:rPr>
        <w:t xml:space="preserve"> realizó un requerimiento de aclaración de la solicitud de información, en los siguientes términos:</w:t>
      </w:r>
    </w:p>
    <w:p w:rsidR="00766305" w:rsidRPr="00812BBB" w:rsidRDefault="00E97EF6">
      <w:pPr>
        <w:ind w:left="566" w:right="542"/>
        <w:jc w:val="both"/>
        <w:rPr>
          <w:rFonts w:ascii="Palatino Linotype" w:eastAsia="Palatino Linotype" w:hAnsi="Palatino Linotype" w:cs="Palatino Linotype"/>
          <w:i/>
          <w:iCs/>
          <w:highlight w:val="white"/>
        </w:rPr>
      </w:pPr>
      <w:r w:rsidRPr="00812BBB">
        <w:rPr>
          <w:rFonts w:ascii="Palatino Linotype" w:eastAsia="Palatino Linotype" w:hAnsi="Palatino Linotype" w:cs="Palatino Linotype"/>
          <w:i/>
          <w:iCs/>
        </w:rPr>
        <w:t xml:space="preserve">“Con fundamento en el articulo 159 de la Ley de Transparencia y Acceso a la Información Pública del Estado de México y Municipios, se le requiere para que dentro del plazo de diez días hábiles realice lo siguiente: Por medio del presente reciba un cordial saludo, así mismo se le requiere de manera respetuosa para que en un término de diez días hábiles a partir de la fecha de notificación de la presente aclaración de la solicitud de información con número </w:t>
      </w:r>
      <w:r w:rsidRPr="00812BBB">
        <w:rPr>
          <w:rFonts w:ascii="Palatino Linotype" w:eastAsia="Palatino Linotype" w:hAnsi="Palatino Linotype" w:cs="Palatino Linotype"/>
          <w:i/>
          <w:iCs/>
        </w:rPr>
        <w:lastRenderedPageBreak/>
        <w:t>de folio 00550/CUAUTIT/IP/2025, sea tan amable de especificar con mayor exactitud su requerimiento. En caso de que no</w:t>
      </w:r>
      <w:r w:rsidRPr="00812BBB">
        <w:rPr>
          <w:rFonts w:ascii="Palatino Linotype" w:eastAsia="Palatino Linotype" w:hAnsi="Palatino Linotype" w:cs="Palatino Linotype"/>
          <w:i/>
          <w:iCs/>
          <w:highlight w:val="white"/>
        </w:rPr>
        <w:t xml:space="preserve"> se desahogue el requerimiento señalado dentro del plazo citado se tendrá por no presentada la solicitud de información, quedando a salvo sus derechos para volver a presentar la solicitud, lo anterior con fundamento en el artículo 159 de la Ley invocada. En caso de que no se desahogue el requerimiento señalado dentro del plazo citado se tendrá por no presentada la solicitud de información, quedando a salvo sus derechos para volver a presentar la solicitud, lo anterior con fundamento en el artículo 159 de la Ley invocada.”</w:t>
      </w:r>
    </w:p>
    <w:p w:rsidR="00766305" w:rsidRPr="00812BBB" w:rsidRDefault="00766305">
      <w:pPr>
        <w:spacing w:line="360" w:lineRule="auto"/>
        <w:jc w:val="both"/>
        <w:rPr>
          <w:rFonts w:ascii="Palatino Linotype" w:eastAsia="Palatino Linotype" w:hAnsi="Palatino Linotype" w:cs="Palatino Linotype"/>
          <w:highlight w:val="white"/>
        </w:rPr>
      </w:pPr>
    </w:p>
    <w:p w:rsidR="00766305" w:rsidRPr="00812BBB" w:rsidRDefault="00E97EF6">
      <w:pPr>
        <w:numPr>
          <w:ilvl w:val="0"/>
          <w:numId w:val="2"/>
        </w:numPr>
        <w:spacing w:line="360" w:lineRule="auto"/>
        <w:ind w:left="0" w:firstLine="0"/>
        <w:jc w:val="both"/>
        <w:rPr>
          <w:rFonts w:ascii="Palatino Linotype" w:eastAsia="Palatino Linotype" w:hAnsi="Palatino Linotype" w:cs="Palatino Linotype"/>
          <w:highlight w:val="white"/>
        </w:rPr>
      </w:pPr>
      <w:r w:rsidRPr="00812BBB">
        <w:rPr>
          <w:rFonts w:ascii="Palatino Linotype" w:eastAsia="Palatino Linotype" w:hAnsi="Palatino Linotype" w:cs="Palatino Linotype"/>
          <w:highlight w:val="white"/>
        </w:rPr>
        <w:t xml:space="preserve">El once de septiembre de dos mil veinticinco, la parte </w:t>
      </w:r>
      <w:r w:rsidRPr="00812BBB">
        <w:rPr>
          <w:rFonts w:ascii="Palatino Linotype" w:eastAsia="Palatino Linotype" w:hAnsi="Palatino Linotype" w:cs="Palatino Linotype"/>
          <w:b/>
          <w:bCs/>
          <w:highlight w:val="white"/>
        </w:rPr>
        <w:t>RECURRENTE</w:t>
      </w:r>
      <w:r w:rsidRPr="00812BBB">
        <w:rPr>
          <w:rFonts w:ascii="Palatino Linotype" w:eastAsia="Palatino Linotype" w:hAnsi="Palatino Linotype" w:cs="Palatino Linotype"/>
          <w:highlight w:val="white"/>
        </w:rPr>
        <w:t xml:space="preserve"> atendió el requerimiento de aclaración, en los siguientes términos:</w:t>
      </w:r>
    </w:p>
    <w:p w:rsidR="00766305" w:rsidRPr="00812BBB" w:rsidRDefault="00E97EF6">
      <w:pPr>
        <w:ind w:left="566" w:right="542"/>
        <w:jc w:val="both"/>
        <w:rPr>
          <w:rFonts w:ascii="Palatino Linotype" w:eastAsia="Palatino Linotype" w:hAnsi="Palatino Linotype" w:cs="Palatino Linotype"/>
          <w:i/>
          <w:iCs/>
          <w:highlight w:val="white"/>
        </w:rPr>
      </w:pPr>
      <w:r w:rsidRPr="00812BBB">
        <w:rPr>
          <w:rFonts w:ascii="Palatino Linotype" w:eastAsia="Palatino Linotype" w:hAnsi="Palatino Linotype" w:cs="Palatino Linotype"/>
          <w:i/>
          <w:iCs/>
          <w:highlight w:val="white"/>
        </w:rPr>
        <w:t>“Es de aclarar que de los procedimientos que llevan por concepto de suspensiones provisionales dentro del municipio, requiero el numero exacto de cuantos retiros de sellos se han realizado y cuanto de estos se les ha proporcionado recibo de pago para hacer el pago de su multa de la cantidad contestada afirmativamente que el retiro de sellos de suspensión provisional requiero el recibo de pago con el cual el contribuyente realiza el pago en tesoreria 3.- para que la informacion que me proporcionen no contenga vicios ocultos requiero una carta firmada BAJO PROTESTA DE DECIR VERDAD por el director del area de desarrollo metropolitano sostenible del mu nicipo de cuautitlan RATIFICA QUE LA INFORMACION PROPORCIONADA NO SUFRIO MODIFICACIONES” (Sic)</w:t>
      </w:r>
    </w:p>
    <w:p w:rsidR="00766305" w:rsidRPr="00812BBB" w:rsidRDefault="00766305">
      <w:pPr>
        <w:spacing w:line="360" w:lineRule="auto"/>
        <w:jc w:val="both"/>
        <w:rPr>
          <w:rFonts w:ascii="Palatino Linotype" w:eastAsia="Palatino Linotype" w:hAnsi="Palatino Linotype" w:cs="Palatino Linotype"/>
          <w:highlight w:val="white"/>
        </w:rPr>
      </w:pPr>
    </w:p>
    <w:p w:rsidR="00766305" w:rsidRPr="00812BBB" w:rsidRDefault="00E97EF6">
      <w:pPr>
        <w:numPr>
          <w:ilvl w:val="0"/>
          <w:numId w:val="2"/>
        </w:numPr>
        <w:spacing w:line="360" w:lineRule="auto"/>
        <w:ind w:left="0" w:firstLine="0"/>
        <w:jc w:val="both"/>
        <w:rPr>
          <w:rFonts w:ascii="Palatino Linotype" w:eastAsia="Palatino Linotype" w:hAnsi="Palatino Linotype" w:cs="Palatino Linotype"/>
          <w:highlight w:val="white"/>
        </w:rPr>
      </w:pPr>
      <w:r w:rsidRPr="00812BBB">
        <w:rPr>
          <w:rFonts w:ascii="Palatino Linotype" w:eastAsia="Palatino Linotype" w:hAnsi="Palatino Linotype" w:cs="Palatino Linotype"/>
          <w:highlight w:val="white"/>
        </w:rPr>
        <w:t xml:space="preserve">El tres de octubre de dos mil veinticinco, el </w:t>
      </w:r>
      <w:r w:rsidRPr="00812BBB">
        <w:rPr>
          <w:rFonts w:ascii="Palatino Linotype" w:eastAsia="Palatino Linotype" w:hAnsi="Palatino Linotype" w:cs="Palatino Linotype"/>
          <w:b/>
          <w:bCs/>
          <w:highlight w:val="white"/>
        </w:rPr>
        <w:t>SUJETO OBLIGADO</w:t>
      </w:r>
      <w:r w:rsidRPr="00812BBB">
        <w:rPr>
          <w:rFonts w:ascii="Palatino Linotype" w:eastAsia="Palatino Linotype" w:hAnsi="Palatino Linotype" w:cs="Palatino Linotype"/>
          <w:b/>
          <w:bCs/>
          <w:i/>
          <w:iCs/>
          <w:highlight w:val="white"/>
        </w:rPr>
        <w:t xml:space="preserve"> </w:t>
      </w:r>
      <w:r w:rsidRPr="00812BBB">
        <w:rPr>
          <w:rFonts w:ascii="Palatino Linotype" w:eastAsia="Palatino Linotype" w:hAnsi="Palatino Linotype" w:cs="Palatino Linotype"/>
          <w:highlight w:val="white"/>
        </w:rPr>
        <w:t>dio respuesta a la solicitud de información, en los siguientes términos:</w:t>
      </w:r>
    </w:p>
    <w:p w:rsidR="00766305" w:rsidRPr="00812BBB" w:rsidRDefault="00E97EF6">
      <w:pPr>
        <w:ind w:left="567" w:right="567"/>
        <w:jc w:val="both"/>
        <w:rPr>
          <w:rFonts w:ascii="Palatino Linotype" w:eastAsia="Palatino Linotype" w:hAnsi="Palatino Linotype" w:cs="Palatino Linotype"/>
          <w:i/>
          <w:iCs/>
          <w:color w:val="000000"/>
          <w:highlight w:val="white"/>
        </w:rPr>
      </w:pPr>
      <w:r w:rsidRPr="00812BBB">
        <w:rPr>
          <w:rFonts w:ascii="Palatino Linotype" w:eastAsia="Palatino Linotype" w:hAnsi="Palatino Linotype" w:cs="Palatino Linotype"/>
          <w:i/>
          <w:iCs/>
          <w:highlight w:val="white"/>
        </w:rPr>
        <w:t>“LE ENVÍO UN CORDIAL SALUDO Y DE ACUERDO A LAS FACULTADES DE LA UNIDAD DE TRANSPARENCIA LE INFORMO QUE SE SOLICITÓ A LAS ÁREAS RESPONSABLES LA INFORMACIÓN DE LA SOLICITUD DE MÉRITO. ADJUNTO EN ARCHIVO EN FORMATO DIGITAL LA RESPUESTA OTORGADA POR LA DIRECCIÓN DE DESARROLLO METROPOLITANO SOSTENIBLE.</w:t>
      </w:r>
      <w:r w:rsidRPr="00812BBB">
        <w:rPr>
          <w:rFonts w:ascii="Palatino Linotype" w:eastAsia="Palatino Linotype" w:hAnsi="Palatino Linotype" w:cs="Palatino Linotype"/>
          <w:i/>
          <w:iCs/>
          <w:color w:val="000000"/>
          <w:highlight w:val="white"/>
        </w:rPr>
        <w:t>” (Sic)</w:t>
      </w:r>
    </w:p>
    <w:p w:rsidR="00766305" w:rsidRPr="00812BBB" w:rsidRDefault="00766305">
      <w:pPr>
        <w:ind w:right="567"/>
        <w:jc w:val="both"/>
        <w:rPr>
          <w:rFonts w:ascii="Palatino Linotype" w:eastAsia="Palatino Linotype" w:hAnsi="Palatino Linotype" w:cs="Palatino Linotype"/>
          <w:i/>
          <w:iCs/>
          <w:color w:val="000000"/>
          <w:highlight w:val="white"/>
        </w:rPr>
      </w:pPr>
    </w:p>
    <w:p w:rsidR="00766305" w:rsidRPr="00812BBB" w:rsidRDefault="00E97EF6">
      <w:pPr>
        <w:ind w:right="567"/>
        <w:jc w:val="both"/>
        <w:rPr>
          <w:rFonts w:ascii="Palatino Linotype" w:eastAsia="Palatino Linotype" w:hAnsi="Palatino Linotype" w:cs="Palatino Linotype"/>
          <w:b/>
          <w:bCs/>
          <w:highlight w:val="white"/>
        </w:rPr>
      </w:pPr>
      <w:r w:rsidRPr="00812BBB">
        <w:rPr>
          <w:rFonts w:ascii="Palatino Linotype" w:eastAsia="Palatino Linotype" w:hAnsi="Palatino Linotype" w:cs="Palatino Linotype"/>
          <w:b/>
          <w:bCs/>
          <w:highlight w:val="white"/>
        </w:rPr>
        <w:t>Archivos electrónicos adjuntos:</w:t>
      </w:r>
      <w:r w:rsidRPr="00812BBB">
        <w:rPr>
          <w:rFonts w:ascii="Palatino Linotype" w:eastAsia="Palatino Linotype" w:hAnsi="Palatino Linotype" w:cs="Palatino Linotype"/>
          <w:highlight w:val="white"/>
        </w:rPr>
        <w:t xml:space="preserve"> </w:t>
      </w:r>
    </w:p>
    <w:p w:rsidR="00766305" w:rsidRPr="00812BBB" w:rsidRDefault="008C4BAC">
      <w:pPr>
        <w:ind w:left="566" w:right="567"/>
        <w:jc w:val="both"/>
        <w:rPr>
          <w:rFonts w:ascii="Palatino Linotype" w:eastAsia="Palatino Linotype" w:hAnsi="Palatino Linotype" w:cs="Palatino Linotype"/>
          <w:highlight w:val="white"/>
        </w:rPr>
      </w:pPr>
      <w:hyperlink r:id="rId8">
        <w:r w:rsidR="00E97EF6" w:rsidRPr="00812BBB">
          <w:rPr>
            <w:rFonts w:ascii="Palatino Linotype" w:eastAsia="Palatino Linotype" w:hAnsi="Palatino Linotype" w:cs="Palatino Linotype"/>
            <w:b/>
            <w:bCs/>
            <w:highlight w:val="white"/>
          </w:rPr>
          <w:t>00550.pdf</w:t>
        </w:r>
      </w:hyperlink>
      <w:r w:rsidR="00E97EF6" w:rsidRPr="00812BBB">
        <w:rPr>
          <w:rFonts w:ascii="Palatino Linotype" w:eastAsia="Palatino Linotype" w:hAnsi="Palatino Linotype" w:cs="Palatino Linotype"/>
          <w:b/>
          <w:bCs/>
          <w:highlight w:val="white"/>
        </w:rPr>
        <w:t xml:space="preserve">: </w:t>
      </w:r>
      <w:r w:rsidR="00E97EF6" w:rsidRPr="00812BBB">
        <w:rPr>
          <w:rFonts w:ascii="Palatino Linotype" w:eastAsia="Palatino Linotype" w:hAnsi="Palatino Linotype" w:cs="Palatino Linotype"/>
          <w:highlight w:val="white"/>
        </w:rPr>
        <w:t xml:space="preserve">Oficio </w:t>
      </w:r>
      <w:r w:rsidR="00E97EF6" w:rsidRPr="00812BBB">
        <w:rPr>
          <w:rFonts w:ascii="Palatino Linotype" w:eastAsia="Palatino Linotype" w:hAnsi="Palatino Linotype" w:cs="Palatino Linotype"/>
          <w:b/>
          <w:bCs/>
          <w:highlight w:val="white"/>
        </w:rPr>
        <w:t xml:space="preserve">DDMS/SDU/SPH/1859/2025, </w:t>
      </w:r>
      <w:r w:rsidR="00E97EF6" w:rsidRPr="00812BBB">
        <w:rPr>
          <w:rFonts w:ascii="Palatino Linotype" w:eastAsia="Palatino Linotype" w:hAnsi="Palatino Linotype" w:cs="Palatino Linotype"/>
          <w:highlight w:val="white"/>
        </w:rPr>
        <w:t xml:space="preserve">suscrito por el Director de Desarrollo Metropolitano Sostenible, mediante el cual, señaló que el número exacto de retiros de sellos son la cantidad de 65, de los cuales, refirió adjuntar de forma </w:t>
      </w:r>
      <w:r w:rsidR="00E97EF6" w:rsidRPr="00812BBB">
        <w:rPr>
          <w:rFonts w:ascii="Palatino Linotype" w:eastAsia="Palatino Linotype" w:hAnsi="Palatino Linotype" w:cs="Palatino Linotype"/>
          <w:highlight w:val="white"/>
        </w:rPr>
        <w:lastRenderedPageBreak/>
        <w:t>impresa y digital 46 órdenes de pago en versión pública, documento con el que se paga en Tesorería, respecto a multas por retiro de sellos que se han cobrado.</w:t>
      </w:r>
    </w:p>
    <w:p w:rsidR="00766305" w:rsidRPr="00812BBB" w:rsidRDefault="00766305">
      <w:pPr>
        <w:ind w:right="567"/>
        <w:jc w:val="both"/>
        <w:rPr>
          <w:rFonts w:ascii="Palatino Linotype" w:eastAsia="Palatino Linotype" w:hAnsi="Palatino Linotype" w:cs="Palatino Linotype"/>
          <w:b/>
          <w:bCs/>
          <w:highlight w:val="white"/>
        </w:rPr>
      </w:pPr>
    </w:p>
    <w:p w:rsidR="00766305" w:rsidRPr="00812BBB" w:rsidRDefault="008C4BAC">
      <w:pPr>
        <w:ind w:left="566" w:right="567"/>
        <w:jc w:val="both"/>
        <w:rPr>
          <w:rFonts w:ascii="Palatino Linotype" w:eastAsia="Palatino Linotype" w:hAnsi="Palatino Linotype" w:cs="Palatino Linotype"/>
          <w:highlight w:val="white"/>
        </w:rPr>
      </w:pPr>
      <w:hyperlink r:id="rId9">
        <w:r w:rsidR="00E97EF6" w:rsidRPr="00812BBB">
          <w:rPr>
            <w:rFonts w:ascii="Palatino Linotype" w:eastAsia="Palatino Linotype" w:hAnsi="Palatino Linotype" w:cs="Palatino Linotype"/>
            <w:b/>
            <w:bCs/>
            <w:highlight w:val="white"/>
          </w:rPr>
          <w:t>SAIMEX 00550.pdf</w:t>
        </w:r>
      </w:hyperlink>
      <w:r w:rsidR="00E97EF6" w:rsidRPr="00812BBB">
        <w:rPr>
          <w:rFonts w:ascii="Palatino Linotype" w:eastAsia="Palatino Linotype" w:hAnsi="Palatino Linotype" w:cs="Palatino Linotype"/>
          <w:b/>
          <w:bCs/>
          <w:highlight w:val="white"/>
        </w:rPr>
        <w:t xml:space="preserve">: </w:t>
      </w:r>
      <w:r w:rsidR="00E97EF6" w:rsidRPr="00812BBB">
        <w:rPr>
          <w:rFonts w:ascii="Palatino Linotype" w:eastAsia="Palatino Linotype" w:hAnsi="Palatino Linotype" w:cs="Palatino Linotype"/>
          <w:highlight w:val="white"/>
        </w:rPr>
        <w:t>Documento consistente en las órdenes de pago remitidas por el Director de Desarrollo Metropolitano Sostenible.</w:t>
      </w:r>
    </w:p>
    <w:p w:rsidR="00766305" w:rsidRPr="00812BBB" w:rsidRDefault="00766305">
      <w:pPr>
        <w:ind w:left="566" w:right="567"/>
        <w:jc w:val="both"/>
        <w:rPr>
          <w:rFonts w:ascii="Palatino Linotype" w:eastAsia="Palatino Linotype" w:hAnsi="Palatino Linotype" w:cs="Palatino Linotype"/>
          <w:b/>
          <w:bCs/>
          <w:highlight w:val="white"/>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rPr>
      </w:pPr>
      <w:r w:rsidRPr="00812BBB">
        <w:rPr>
          <w:rFonts w:ascii="Palatino Linotype" w:eastAsia="Palatino Linotype" w:hAnsi="Palatino Linotype" w:cs="Palatino Linotype"/>
          <w:highlight w:val="white"/>
        </w:rPr>
        <w:t>El diez de octubre de dos mil veinticinco,</w:t>
      </w:r>
      <w:r w:rsidRPr="00812BBB">
        <w:rPr>
          <w:rFonts w:ascii="Palatino Linotype" w:eastAsia="Palatino Linotype" w:hAnsi="Palatino Linotype" w:cs="Palatino Linotype"/>
          <w:b/>
          <w:bCs/>
          <w:highlight w:val="white"/>
        </w:rPr>
        <w:t xml:space="preserve"> </w:t>
      </w:r>
      <w:r w:rsidRPr="00812BBB">
        <w:rPr>
          <w:rFonts w:ascii="Palatino Linotype" w:eastAsia="Palatino Linotype" w:hAnsi="Palatino Linotype" w:cs="Palatino Linotype"/>
          <w:highlight w:val="white"/>
        </w:rPr>
        <w:t xml:space="preserve">el </w:t>
      </w:r>
      <w:r w:rsidRPr="00812BBB">
        <w:rPr>
          <w:rFonts w:ascii="Palatino Linotype" w:eastAsia="Palatino Linotype" w:hAnsi="Palatino Linotype" w:cs="Palatino Linotype"/>
          <w:b/>
          <w:bCs/>
          <w:highlight w:val="white"/>
        </w:rPr>
        <w:t>RECU</w:t>
      </w:r>
      <w:r w:rsidRPr="00812BBB">
        <w:rPr>
          <w:rFonts w:ascii="Palatino Linotype" w:eastAsia="Palatino Linotype" w:hAnsi="Palatino Linotype" w:cs="Palatino Linotype"/>
          <w:b/>
          <w:bCs/>
        </w:rPr>
        <w:t>RRENTE</w:t>
      </w:r>
      <w:r w:rsidRPr="00812BBB">
        <w:rPr>
          <w:rFonts w:ascii="Palatino Linotype" w:eastAsia="Palatino Linotype" w:hAnsi="Palatino Linotype" w:cs="Palatino Linotype"/>
        </w:rPr>
        <w:t xml:space="preserve"> interpuso el recurso de revisión en contra de la respuesta, señalando como:</w:t>
      </w:r>
    </w:p>
    <w:p w:rsidR="00766305" w:rsidRPr="00812BBB" w:rsidRDefault="00766305">
      <w:pPr>
        <w:ind w:right="1"/>
        <w:jc w:val="both"/>
        <w:rPr>
          <w:rFonts w:ascii="Palatino Linotype" w:eastAsia="Palatino Linotype" w:hAnsi="Palatino Linotype" w:cs="Palatino Linotype"/>
        </w:rPr>
      </w:pPr>
    </w:p>
    <w:p w:rsidR="00766305" w:rsidRPr="00812BBB" w:rsidRDefault="00E97EF6">
      <w:pPr>
        <w:ind w:left="567" w:right="568"/>
        <w:jc w:val="both"/>
        <w:rPr>
          <w:rFonts w:ascii="Palatino Linotype" w:eastAsia="Palatino Linotype" w:hAnsi="Palatino Linotype" w:cs="Palatino Linotype"/>
          <w:i/>
          <w:iCs/>
        </w:rPr>
      </w:pPr>
      <w:r w:rsidRPr="00812BBB">
        <w:rPr>
          <w:rFonts w:ascii="Palatino Linotype" w:eastAsia="Palatino Linotype" w:hAnsi="Palatino Linotype" w:cs="Palatino Linotype"/>
          <w:b/>
          <w:bCs/>
        </w:rPr>
        <w:t>Acto impugnado</w:t>
      </w:r>
      <w:r w:rsidRPr="00812BBB">
        <w:rPr>
          <w:rFonts w:ascii="Palatino Linotype" w:eastAsia="Palatino Linotype" w:hAnsi="Palatino Linotype" w:cs="Palatino Linotype"/>
          <w:b/>
          <w:bCs/>
          <w:i/>
          <w:iCs/>
        </w:rPr>
        <w:t>:</w:t>
      </w:r>
      <w:r w:rsidRPr="00812BBB">
        <w:rPr>
          <w:rFonts w:ascii="Palatino Linotype" w:eastAsia="Palatino Linotype" w:hAnsi="Palatino Linotype" w:cs="Palatino Linotype"/>
          <w:i/>
          <w:iCs/>
          <w:color w:val="000000"/>
        </w:rPr>
        <w:t xml:space="preserve"> "</w:t>
      </w:r>
      <w:r w:rsidRPr="00812BBB">
        <w:rPr>
          <w:rFonts w:ascii="Palatino Linotype" w:eastAsia="Palatino Linotype" w:hAnsi="Palatino Linotype" w:cs="Palatino Linotype"/>
          <w:i/>
          <w:iCs/>
        </w:rPr>
        <w:t>respuesta incompleta y vulnera el derecho de acceso a la información, al no cumplir con los procedimientos legales ni entregar la información solicitada de manera íntegra y verificable.</w:t>
      </w:r>
      <w:r w:rsidRPr="00812BBB">
        <w:rPr>
          <w:rFonts w:ascii="Palatino Linotype" w:eastAsia="Palatino Linotype" w:hAnsi="Palatino Linotype" w:cs="Palatino Linotype"/>
          <w:i/>
          <w:iCs/>
          <w:color w:val="000000"/>
        </w:rPr>
        <w:t>” (Sic)</w:t>
      </w:r>
    </w:p>
    <w:p w:rsidR="00766305" w:rsidRPr="00812BBB" w:rsidRDefault="00766305">
      <w:pPr>
        <w:ind w:left="567" w:right="568"/>
        <w:jc w:val="both"/>
        <w:rPr>
          <w:rFonts w:ascii="Palatino Linotype" w:eastAsia="Palatino Linotype" w:hAnsi="Palatino Linotype" w:cs="Palatino Linotype"/>
        </w:rPr>
      </w:pPr>
    </w:p>
    <w:p w:rsidR="00766305" w:rsidRPr="00812BBB" w:rsidRDefault="00E97EF6">
      <w:pPr>
        <w:ind w:left="567" w:right="568"/>
        <w:jc w:val="both"/>
        <w:rPr>
          <w:rFonts w:ascii="Palatino Linotype" w:eastAsia="Palatino Linotype" w:hAnsi="Palatino Linotype" w:cs="Palatino Linotype"/>
          <w:i/>
          <w:iCs/>
        </w:rPr>
      </w:pPr>
      <w:r w:rsidRPr="00812BBB">
        <w:rPr>
          <w:rFonts w:ascii="Palatino Linotype" w:eastAsia="Palatino Linotype" w:hAnsi="Palatino Linotype" w:cs="Palatino Linotype"/>
          <w:b/>
          <w:bCs/>
        </w:rPr>
        <w:t>Razones o Motivos de inconformidad:</w:t>
      </w:r>
      <w:r w:rsidRPr="00812BBB">
        <w:rPr>
          <w:rFonts w:ascii="Palatino Linotype" w:eastAsia="Palatino Linotype" w:hAnsi="Palatino Linotype" w:cs="Palatino Linotype"/>
          <w:b/>
          <w:bCs/>
          <w:i/>
          <w:iCs/>
        </w:rPr>
        <w:t xml:space="preserve"> </w:t>
      </w:r>
      <w:r w:rsidRPr="00812BBB">
        <w:rPr>
          <w:rFonts w:ascii="Palatino Linotype" w:eastAsia="Palatino Linotype" w:hAnsi="Palatino Linotype" w:cs="Palatino Linotype"/>
          <w:i/>
          <w:iCs/>
          <w:color w:val="000000"/>
        </w:rPr>
        <w:t>“</w:t>
      </w:r>
      <w:r w:rsidRPr="00812BBB">
        <w:rPr>
          <w:rFonts w:ascii="Palatino Linotype" w:eastAsia="Palatino Linotype" w:hAnsi="Palatino Linotype" w:cs="Palatino Linotype"/>
          <w:i/>
          <w:iCs/>
        </w:rPr>
        <w:t>Que la respuesta que dio Fabián Mariano Gómez Zuppa a la solicitud de petición “De la cantidad de retiro de sellos se suspención provisional requiero el recibo de pago del monto que se les ha multado” ENTREGA 65 DE FORMA DIGITAL Y 46 ÓRDENES DE PAGO, RECIBOS EN EL CUAL NO VIENEN EN ORDEN CRONOLIGICO Y TAMPOCO CUENTA CON LA APROBACION DEL COMITÉ DE TRANSPARENCIA PARA VALIDARLO COMO VERSION PUBLICA PARCIAL ASI COMO LO MARCA LA LEY Y NO SATISFACE MI REQUERIMIENTO DE INFORMACION, aunado a que su anexo me exhiben 59 ordenes de pago testados, con una suma de 111 en total, creando una discrepancia de la información y vulnerando mi derecho a la información ya que no entregaron la información como lo solicita. así como tampoco no se consideró el comité de transparencia para que autorice su supuesta versión publica actuando con todas las agravantes con dolo y mala fe.</w:t>
      </w:r>
      <w:r w:rsidRPr="00812BBB">
        <w:rPr>
          <w:rFonts w:ascii="Palatino Linotype" w:eastAsia="Palatino Linotype" w:hAnsi="Palatino Linotype" w:cs="Palatino Linotype"/>
          <w:i/>
          <w:iCs/>
          <w:color w:val="000000"/>
        </w:rPr>
        <w:t>” (Sic)</w:t>
      </w:r>
    </w:p>
    <w:p w:rsidR="00766305" w:rsidRPr="00812BBB" w:rsidRDefault="00766305">
      <w:pPr>
        <w:ind w:right="568"/>
        <w:jc w:val="both"/>
        <w:rPr>
          <w:rFonts w:ascii="Palatino Linotype" w:eastAsia="Palatino Linotype" w:hAnsi="Palatino Linotype" w:cs="Palatino Linotype"/>
          <w:b/>
          <w:bCs/>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rPr>
      </w:pPr>
      <w:r w:rsidRPr="00812BBB">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812BBB">
        <w:rPr>
          <w:rFonts w:ascii="Palatino Linotype" w:eastAsia="Palatino Linotype" w:hAnsi="Palatino Linotype" w:cs="Palatino Linotype"/>
          <w:b/>
          <w:bCs/>
        </w:rPr>
        <w:t xml:space="preserve">Ley de Transparencia y Acceso a la Información Pública del Estado de México y Municipios </w:t>
      </w:r>
      <w:r w:rsidRPr="00812BBB">
        <w:rPr>
          <w:rFonts w:ascii="Palatino Linotype" w:eastAsia="Palatino Linotype" w:hAnsi="Palatino Linotype" w:cs="Palatino Linotype"/>
        </w:rPr>
        <w:t xml:space="preserve">se turna a la </w:t>
      </w:r>
      <w:r w:rsidRPr="00812BBB">
        <w:rPr>
          <w:rFonts w:ascii="Palatino Linotype" w:eastAsia="Palatino Linotype" w:hAnsi="Palatino Linotype" w:cs="Palatino Linotype"/>
          <w:b/>
          <w:bCs/>
        </w:rPr>
        <w:t xml:space="preserve">Comisionada María del Rosario Mejía Ayala, </w:t>
      </w:r>
      <w:r w:rsidRPr="00812BBB">
        <w:rPr>
          <w:rFonts w:ascii="Palatino Linotype" w:eastAsia="Palatino Linotype" w:hAnsi="Palatino Linotype" w:cs="Palatino Linotype"/>
        </w:rPr>
        <w:t xml:space="preserve">para su análisis. </w:t>
      </w:r>
    </w:p>
    <w:p w:rsidR="00766305" w:rsidRPr="00812BBB" w:rsidRDefault="00766305">
      <w:pPr>
        <w:ind w:right="-592"/>
        <w:jc w:val="both"/>
        <w:rPr>
          <w:rFonts w:ascii="Palatino Linotype" w:eastAsia="Palatino Linotype" w:hAnsi="Palatino Linotype" w:cs="Palatino Linotype"/>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color w:val="000000"/>
        </w:rPr>
      </w:pPr>
      <w:r w:rsidRPr="00812BBB">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catorce de octubre de dos mil </w:t>
      </w:r>
      <w:r w:rsidRPr="00812BBB">
        <w:rPr>
          <w:rFonts w:ascii="Palatino Linotype" w:eastAsia="Palatino Linotype" w:hAnsi="Palatino Linotype" w:cs="Palatino Linotype"/>
        </w:rPr>
        <w:lastRenderedPageBreak/>
        <w:t xml:space="preserve">veinticinco, puso a disposición de las partes el expediente electrónico vía </w:t>
      </w:r>
      <w:r w:rsidRPr="00812BBB">
        <w:rPr>
          <w:rFonts w:ascii="Palatino Linotype" w:eastAsia="Palatino Linotype" w:hAnsi="Palatino Linotype" w:cs="Palatino Linotype"/>
          <w:b/>
          <w:bCs/>
        </w:rPr>
        <w:t xml:space="preserve">SAIMEX </w:t>
      </w:r>
      <w:r w:rsidRPr="00812BBB">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812BBB">
        <w:rPr>
          <w:rFonts w:ascii="Palatino Linotype" w:eastAsia="Palatino Linotype" w:hAnsi="Palatino Linotype" w:cs="Palatino Linotype"/>
          <w:b/>
          <w:bCs/>
        </w:rPr>
        <w:t>SUJETO OBLIGADO</w:t>
      </w:r>
      <w:r w:rsidRPr="00812BBB">
        <w:rPr>
          <w:rFonts w:ascii="Palatino Linotype" w:eastAsia="Palatino Linotype" w:hAnsi="Palatino Linotype" w:cs="Palatino Linotype"/>
        </w:rPr>
        <w:t xml:space="preserve"> presentará el informe justificado procedente. </w:t>
      </w:r>
    </w:p>
    <w:p w:rsidR="00766305" w:rsidRPr="00812BBB" w:rsidRDefault="00766305">
      <w:pPr>
        <w:shd w:val="clear" w:color="auto" w:fill="FFFFFF"/>
        <w:ind w:right="-592"/>
        <w:rPr>
          <w:rFonts w:ascii="Palatino Linotype" w:eastAsia="Palatino Linotype" w:hAnsi="Palatino Linotype" w:cs="Palatino Linotype"/>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color w:val="000000"/>
        </w:rPr>
      </w:pPr>
      <w:r w:rsidRPr="00812BBB">
        <w:rPr>
          <w:rFonts w:ascii="Palatino Linotype" w:eastAsia="Palatino Linotype" w:hAnsi="Palatino Linotype" w:cs="Palatino Linotype"/>
        </w:rPr>
        <w:t>El</w:t>
      </w:r>
      <w:r w:rsidRPr="00812BBB">
        <w:rPr>
          <w:rFonts w:ascii="Palatino Linotype" w:eastAsia="Palatino Linotype" w:hAnsi="Palatino Linotype" w:cs="Palatino Linotype"/>
          <w:highlight w:val="white"/>
        </w:rPr>
        <w:t xml:space="preserve"> veintiuno de octubre de dos mil veinticinco, el </w:t>
      </w:r>
      <w:r w:rsidRPr="00812BBB">
        <w:rPr>
          <w:rFonts w:ascii="Palatino Linotype" w:eastAsia="Palatino Linotype" w:hAnsi="Palatino Linotype" w:cs="Palatino Linotype"/>
          <w:b/>
          <w:bCs/>
          <w:highlight w:val="white"/>
        </w:rPr>
        <w:t>SUJETO OBLIGADO</w:t>
      </w:r>
      <w:r w:rsidRPr="00812BBB">
        <w:rPr>
          <w:rFonts w:ascii="Palatino Linotype" w:eastAsia="Palatino Linotype" w:hAnsi="Palatino Linotype" w:cs="Palatino Linotype"/>
          <w:highlight w:val="white"/>
        </w:rPr>
        <w:t xml:space="preserve"> rindió el informe justificado correspondiente por medio del archivo electrónico denominado </w:t>
      </w:r>
      <w:r w:rsidRPr="00812BBB">
        <w:rPr>
          <w:rFonts w:ascii="Palatino Linotype" w:eastAsia="Palatino Linotype" w:hAnsi="Palatino Linotype" w:cs="Palatino Linotype"/>
          <w:b/>
          <w:bCs/>
          <w:highlight w:val="white"/>
        </w:rPr>
        <w:t xml:space="preserve">Informe Justificado 11743.pdf, </w:t>
      </w:r>
      <w:r w:rsidRPr="00812BBB">
        <w:rPr>
          <w:rFonts w:ascii="Palatino Linotype" w:eastAsia="Palatino Linotype" w:hAnsi="Palatino Linotype" w:cs="Palatino Linotype"/>
          <w:highlight w:val="white"/>
        </w:rPr>
        <w:t xml:space="preserve">mediante el cual, la Dirección de Desarrollo Metropolitano Sostenible </w:t>
      </w:r>
      <w:r w:rsidRPr="00812BBB">
        <w:rPr>
          <w:rFonts w:ascii="Palatino Linotype" w:eastAsia="Palatino Linotype" w:hAnsi="Palatino Linotype" w:cs="Palatino Linotype"/>
        </w:rPr>
        <w:t>r</w:t>
      </w:r>
      <w:r w:rsidRPr="00812BBB">
        <w:rPr>
          <w:rFonts w:ascii="Palatino Linotype" w:eastAsia="Palatino Linotype" w:hAnsi="Palatino Linotype" w:cs="Palatino Linotype"/>
          <w:highlight w:val="white"/>
        </w:rPr>
        <w:t xml:space="preserve">emitió las 46 </w:t>
      </w:r>
      <w:r w:rsidR="00812BBB" w:rsidRPr="00812BBB">
        <w:rPr>
          <w:rFonts w:ascii="Palatino Linotype" w:eastAsia="Palatino Linotype" w:hAnsi="Palatino Linotype" w:cs="Palatino Linotype"/>
          <w:highlight w:val="white"/>
        </w:rPr>
        <w:t>órdenes</w:t>
      </w:r>
      <w:r w:rsidRPr="00812BBB">
        <w:rPr>
          <w:rFonts w:ascii="Palatino Linotype" w:eastAsia="Palatino Linotype" w:hAnsi="Palatino Linotype" w:cs="Palatino Linotype"/>
          <w:highlight w:val="white"/>
        </w:rPr>
        <w:t xml:space="preserve"> de pago referidas en respuesta, así como, el Acuerdo número UT/CUAU/SO002/AVPP021/2025 de la segunda sesión ordinaria de fecha 14 de octubre de 2025, mediante el cual, se aprobó la versión pública.</w:t>
      </w:r>
    </w:p>
    <w:p w:rsidR="00766305" w:rsidRPr="00812BBB" w:rsidRDefault="00766305">
      <w:pPr>
        <w:spacing w:line="360" w:lineRule="auto"/>
        <w:ind w:right="1"/>
        <w:jc w:val="both"/>
        <w:rPr>
          <w:rFonts w:ascii="Palatino Linotype" w:eastAsia="Palatino Linotype" w:hAnsi="Palatino Linotype" w:cs="Palatino Linotype"/>
          <w:highlight w:val="white"/>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color w:val="000000"/>
        </w:rPr>
      </w:pPr>
      <w:r w:rsidRPr="00812BBB">
        <w:rPr>
          <w:rFonts w:ascii="Palatino Linotype" w:eastAsia="Palatino Linotype" w:hAnsi="Palatino Linotype" w:cs="Palatino Linotype"/>
        </w:rPr>
        <w:t xml:space="preserve">Por su parte, el dieciséis de octubre de dos mil veinticinco, el </w:t>
      </w:r>
      <w:r w:rsidRPr="00812BBB">
        <w:rPr>
          <w:rFonts w:ascii="Palatino Linotype" w:eastAsia="Palatino Linotype" w:hAnsi="Palatino Linotype" w:cs="Palatino Linotype"/>
          <w:b/>
          <w:bCs/>
        </w:rPr>
        <w:t xml:space="preserve">RECURRENTE </w:t>
      </w:r>
      <w:r w:rsidRPr="00812BBB">
        <w:rPr>
          <w:rFonts w:ascii="Palatino Linotype" w:eastAsia="Palatino Linotype" w:hAnsi="Palatino Linotype" w:cs="Palatino Linotype"/>
        </w:rPr>
        <w:t xml:space="preserve">adjuntó el archivo electrónico denominado </w:t>
      </w:r>
      <w:r w:rsidRPr="00812BBB">
        <w:rPr>
          <w:rFonts w:ascii="Palatino Linotype" w:eastAsia="Palatino Linotype" w:hAnsi="Palatino Linotype" w:cs="Palatino Linotype"/>
          <w:b/>
          <w:bCs/>
        </w:rPr>
        <w:t xml:space="preserve">00550.pdf, </w:t>
      </w:r>
      <w:r w:rsidRPr="00812BBB">
        <w:rPr>
          <w:rFonts w:ascii="Palatino Linotype" w:eastAsia="Palatino Linotype" w:hAnsi="Palatino Linotype" w:cs="Palatino Linotype"/>
        </w:rPr>
        <w:t xml:space="preserve">del cual, se desprende lo siguiente: </w:t>
      </w:r>
      <w:r w:rsidRPr="00812BBB">
        <w:rPr>
          <w:rFonts w:ascii="Palatino Linotype" w:eastAsia="Palatino Linotype" w:hAnsi="Palatino Linotype" w:cs="Palatino Linotype"/>
          <w:i/>
          <w:iCs/>
        </w:rPr>
        <w:t>“Manifestando que no se entregó la información por las razones expuestas, que la respuesta que dio Fabián Mariano Gómez Zuppa a la solicitud de petición “De la cantidad de retiro de sellos se suspensión provisional requiero el recibo de pago del monto que se les ha multado” ENTREGA 65 DE FORMA DIGITAL Y 46 ÓRDENES DE PAGO, RECIBOS EN EL CUAL NO VIENEN EN ORDEN CRONOLIGICO Y TAMPOCO CUENTA CON LA APROBACION DEL COMITÉ DE TRANSPARENCIA PARA VALIDARLO COMO VERSION PUBLICA PARCIAL ASI COMO LO MARCA LA LEY Y NO SATISFACE MI REQUERIMIENTO DE INFORMACION, aunado a que su anexo me exhiben 59 órdenes de pago testados, con una suma de 111 en total, creando una discrepancia de la información y vulnerando mi derecho a la información ya que no entregaron la información como lo solicita. así como tampoco no se consideró el comité de transparencia para que autorice su supuesta versión publica actuando con todas las agravantes con dolo y mala fe” (Sic)</w:t>
      </w: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rPr>
      </w:pPr>
      <w:r w:rsidRPr="00812BBB">
        <w:rPr>
          <w:rFonts w:ascii="Palatino Linotype" w:eastAsia="Palatino Linotype" w:hAnsi="Palatino Linotype" w:cs="Palatino Linotype"/>
        </w:rPr>
        <w:lastRenderedPageBreak/>
        <w:t>El veintiuno de mayo de dos mil veintiséis, se notificó el acuerdo mediante el cual se amplió el plazo para emitir resolución por un término de 15 días adicionales.</w:t>
      </w:r>
    </w:p>
    <w:p w:rsidR="00766305" w:rsidRPr="00812BBB" w:rsidRDefault="00766305">
      <w:pPr>
        <w:spacing w:line="360" w:lineRule="auto"/>
        <w:ind w:right="1"/>
        <w:jc w:val="both"/>
        <w:rPr>
          <w:rFonts w:ascii="Palatino Linotype" w:eastAsia="Palatino Linotype" w:hAnsi="Palatino Linotype" w:cs="Palatino Linotype"/>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rPr>
      </w:pPr>
      <w:r w:rsidRPr="00812BBB">
        <w:rPr>
          <w:rFonts w:ascii="Palatino Linotype" w:eastAsia="Palatino Linotype" w:hAnsi="Palatino Linotype" w:cs="Palatino Linotype"/>
        </w:rPr>
        <w:t xml:space="preserve">La Comisionada Ponente decretó el cierre de instrucción mediante el acuerdo del veintisiete de mayo de dos mil veintiséis. </w:t>
      </w:r>
    </w:p>
    <w:p w:rsidR="00766305" w:rsidRPr="00812BBB" w:rsidRDefault="00766305">
      <w:pPr>
        <w:rPr>
          <w:rFonts w:ascii="Palatino Linotype" w:eastAsia="Palatino Linotype" w:hAnsi="Palatino Linotype" w:cs="Palatino Linotype"/>
          <w:b/>
          <w:bCs/>
        </w:rPr>
      </w:pPr>
    </w:p>
    <w:p w:rsidR="00766305" w:rsidRPr="00812BBB" w:rsidRDefault="00E97EF6">
      <w:pPr>
        <w:keepNext/>
        <w:keepLines/>
        <w:spacing w:line="360" w:lineRule="auto"/>
        <w:ind w:right="-592"/>
        <w:jc w:val="center"/>
        <w:rPr>
          <w:rFonts w:ascii="Palatino Linotype" w:eastAsia="Palatino Linotype" w:hAnsi="Palatino Linotype" w:cs="Palatino Linotype"/>
          <w:b/>
          <w:bCs/>
        </w:rPr>
      </w:pPr>
      <w:r w:rsidRPr="00812BBB">
        <w:rPr>
          <w:rFonts w:ascii="Palatino Linotype" w:eastAsia="Palatino Linotype" w:hAnsi="Palatino Linotype" w:cs="Palatino Linotype"/>
          <w:b/>
          <w:bCs/>
        </w:rPr>
        <w:t xml:space="preserve">C O N S I D E R A N D O </w:t>
      </w:r>
    </w:p>
    <w:p w:rsidR="00766305" w:rsidRPr="00812BBB" w:rsidRDefault="00766305">
      <w:pPr>
        <w:keepNext/>
        <w:keepLines/>
        <w:ind w:right="-592"/>
        <w:rPr>
          <w:rFonts w:ascii="Palatino Linotype" w:eastAsia="Palatino Linotype" w:hAnsi="Palatino Linotype" w:cs="Palatino Linotype"/>
        </w:rPr>
      </w:pPr>
    </w:p>
    <w:p w:rsidR="00766305" w:rsidRPr="00812BBB" w:rsidRDefault="00E97EF6">
      <w:pPr>
        <w:keepNext/>
        <w:keepLines/>
        <w:spacing w:line="360" w:lineRule="auto"/>
        <w:ind w:right="-592"/>
        <w:rPr>
          <w:rFonts w:ascii="Palatino Linotype" w:eastAsia="Palatino Linotype" w:hAnsi="Palatino Linotype" w:cs="Palatino Linotype"/>
          <w:b/>
          <w:bCs/>
        </w:rPr>
      </w:pPr>
      <w:r w:rsidRPr="00812BBB">
        <w:rPr>
          <w:rFonts w:ascii="Palatino Linotype" w:eastAsia="Palatino Linotype" w:hAnsi="Palatino Linotype" w:cs="Palatino Linotype"/>
          <w:b/>
          <w:bCs/>
        </w:rPr>
        <w:t>PRIMERO. De la competencia.</w:t>
      </w: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rPr>
      </w:pPr>
      <w:bookmarkStart w:id="2" w:name="_heading=h.3znysh7" w:colFirst="0" w:colLast="0"/>
      <w:bookmarkEnd w:id="2"/>
      <w:r w:rsidRPr="00812BBB">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rsidR="00766305" w:rsidRPr="00812BBB" w:rsidRDefault="00766305">
      <w:pPr>
        <w:spacing w:line="360" w:lineRule="auto"/>
        <w:ind w:right="1"/>
        <w:jc w:val="both"/>
        <w:rPr>
          <w:rFonts w:ascii="Palatino Linotype" w:eastAsia="Palatino Linotype" w:hAnsi="Palatino Linotype" w:cs="Palatino Linotype"/>
          <w:b/>
          <w:bCs/>
        </w:rPr>
      </w:pPr>
    </w:p>
    <w:p w:rsidR="00766305" w:rsidRPr="00812BBB" w:rsidRDefault="00E97EF6">
      <w:pPr>
        <w:keepNext/>
        <w:keepLines/>
        <w:spacing w:line="360" w:lineRule="auto"/>
        <w:ind w:right="1"/>
        <w:rPr>
          <w:rFonts w:ascii="Palatino Linotype" w:eastAsia="Palatino Linotype" w:hAnsi="Palatino Linotype" w:cs="Palatino Linotype"/>
          <w:b/>
          <w:bCs/>
        </w:rPr>
      </w:pPr>
      <w:r w:rsidRPr="00812BBB">
        <w:rPr>
          <w:rFonts w:ascii="Palatino Linotype" w:eastAsia="Palatino Linotype" w:hAnsi="Palatino Linotype" w:cs="Palatino Linotype"/>
          <w:b/>
          <w:bCs/>
        </w:rPr>
        <w:t>SEGUNDO. De la oportunidad y procedencia.</w:t>
      </w: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rPr>
      </w:pPr>
      <w:bookmarkStart w:id="3" w:name="_heading=h.3dy6vkm" w:colFirst="0" w:colLast="0"/>
      <w:bookmarkEnd w:id="3"/>
      <w:r w:rsidRPr="00812BBB">
        <w:rPr>
          <w:rFonts w:ascii="Palatino Linotype" w:eastAsia="Palatino Linotype" w:hAnsi="Palatino Linotype" w:cs="Palatino Linotype"/>
        </w:rPr>
        <w:t xml:space="preserve">El medio de impugnación fue presentado a través del </w:t>
      </w:r>
      <w:r w:rsidRPr="00812BBB">
        <w:rPr>
          <w:rFonts w:ascii="Palatino Linotype" w:eastAsia="Palatino Linotype" w:hAnsi="Palatino Linotype" w:cs="Palatino Linotype"/>
          <w:b/>
          <w:bCs/>
        </w:rPr>
        <w:t>SAIMEX,</w:t>
      </w:r>
      <w:r w:rsidRPr="00812BBB">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812BBB">
        <w:rPr>
          <w:rFonts w:ascii="Palatino Linotype" w:eastAsia="Palatino Linotype" w:hAnsi="Palatino Linotype" w:cs="Palatino Linotype"/>
          <w:b/>
          <w:bCs/>
        </w:rPr>
        <w:t>SUJETO OBLIGADO</w:t>
      </w:r>
      <w:r w:rsidRPr="00812BBB">
        <w:rPr>
          <w:rFonts w:ascii="Palatino Linotype" w:eastAsia="Palatino Linotype" w:hAnsi="Palatino Linotype" w:cs="Palatino Linotype"/>
        </w:rPr>
        <w:t xml:space="preserve"> entregó respuesta el tres de octubre de dos mil veinticinco, de tal forma que el plazo para interponer el recurso de revisión transcurrió del seis al veinticuatro de octubre de dos mil veinticinco; en consecuencia, presentó su </w:t>
      </w:r>
      <w:r w:rsidRPr="00812BBB">
        <w:rPr>
          <w:rFonts w:ascii="Palatino Linotype" w:eastAsia="Palatino Linotype" w:hAnsi="Palatino Linotype" w:cs="Palatino Linotype"/>
        </w:rPr>
        <w:lastRenderedPageBreak/>
        <w:t xml:space="preserve">inconformidad el diez de octubre de dos </w:t>
      </w:r>
      <w:r w:rsidR="00812BBB" w:rsidRPr="00812BBB">
        <w:rPr>
          <w:rFonts w:ascii="Palatino Linotype" w:eastAsia="Palatino Linotype" w:hAnsi="Palatino Linotype" w:cs="Palatino Linotype"/>
        </w:rPr>
        <w:t>mil veinticinco</w:t>
      </w:r>
      <w:r w:rsidRPr="00812BBB">
        <w:rPr>
          <w:rFonts w:ascii="Palatino Linotype" w:eastAsia="Palatino Linotype" w:hAnsi="Palatino Linotype" w:cs="Palatino Linotype"/>
        </w:rPr>
        <w:t xml:space="preserve">, por lo que se encuentra dentro de los márgenes temporales previstos en el artículo 178 de la </w:t>
      </w:r>
      <w:r w:rsidRPr="00812BBB">
        <w:rPr>
          <w:rFonts w:ascii="Palatino Linotype" w:eastAsia="Palatino Linotype" w:hAnsi="Palatino Linotype" w:cs="Palatino Linotype"/>
          <w:b/>
          <w:bCs/>
        </w:rPr>
        <w:t xml:space="preserve">Ley de Transparencia y Acceso a la Información Pública del Estado de México y Municipios </w:t>
      </w:r>
      <w:r w:rsidRPr="00812BBB">
        <w:rPr>
          <w:rFonts w:ascii="Palatino Linotype" w:eastAsia="Palatino Linotype" w:hAnsi="Palatino Linotype" w:cs="Palatino Linotype"/>
        </w:rPr>
        <w:t>vigente.</w:t>
      </w:r>
    </w:p>
    <w:p w:rsidR="00766305" w:rsidRPr="00812BBB" w:rsidRDefault="00766305">
      <w:pPr>
        <w:ind w:right="1"/>
        <w:jc w:val="both"/>
        <w:rPr>
          <w:rFonts w:ascii="Palatino Linotype" w:eastAsia="Palatino Linotype" w:hAnsi="Palatino Linotype" w:cs="Palatino Linotype"/>
          <w:b/>
          <w:bCs/>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rPr>
      </w:pPr>
      <w:r w:rsidRPr="00812BBB">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766305" w:rsidRPr="00812BBB" w:rsidRDefault="00766305">
      <w:pPr>
        <w:ind w:right="-592"/>
        <w:jc w:val="both"/>
        <w:rPr>
          <w:rFonts w:ascii="Palatino Linotype" w:eastAsia="Palatino Linotype" w:hAnsi="Palatino Linotype" w:cs="Palatino Linotype"/>
          <w:b/>
          <w:bCs/>
        </w:rPr>
      </w:pPr>
    </w:p>
    <w:p w:rsidR="00766305" w:rsidRPr="00812BBB" w:rsidRDefault="00E97EF6">
      <w:pPr>
        <w:spacing w:line="360" w:lineRule="auto"/>
        <w:ind w:right="-592"/>
        <w:jc w:val="both"/>
        <w:rPr>
          <w:rFonts w:ascii="Palatino Linotype" w:eastAsia="Palatino Linotype" w:hAnsi="Palatino Linotype" w:cs="Palatino Linotype"/>
          <w:b/>
          <w:bCs/>
        </w:rPr>
      </w:pPr>
      <w:bookmarkStart w:id="4" w:name="_heading=h.57w9cmg752eu" w:colFirst="0" w:colLast="0"/>
      <w:bookmarkEnd w:id="4"/>
      <w:r w:rsidRPr="00812BBB">
        <w:rPr>
          <w:rFonts w:ascii="Palatino Linotype" w:eastAsia="Palatino Linotype" w:hAnsi="Palatino Linotype" w:cs="Palatino Linotype"/>
          <w:b/>
          <w:bCs/>
        </w:rPr>
        <w:t>TERCERO. Del Planteamiento de la Litis.</w:t>
      </w: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rPr>
      </w:pPr>
      <w:r w:rsidRPr="00812BBB">
        <w:rPr>
          <w:rFonts w:ascii="Palatino Linotype" w:eastAsia="Palatino Linotype" w:hAnsi="Palatino Linotype" w:cs="Palatino Linotype"/>
        </w:rPr>
        <w:t xml:space="preserve">El </w:t>
      </w:r>
      <w:r w:rsidRPr="00812BBB">
        <w:rPr>
          <w:rFonts w:ascii="Palatino Linotype" w:eastAsia="Palatino Linotype" w:hAnsi="Palatino Linotype" w:cs="Palatino Linotype"/>
          <w:b/>
          <w:bCs/>
        </w:rPr>
        <w:t>RECURRENTE</w:t>
      </w:r>
      <w:r w:rsidRPr="00812BBB">
        <w:rPr>
          <w:rFonts w:ascii="Palatino Linotype" w:eastAsia="Palatino Linotype" w:hAnsi="Palatino Linotype" w:cs="Palatino Linotype"/>
        </w:rPr>
        <w:t xml:space="preserve"> solicitó el número de sellos de suspensión provisional que se han retirado y los recibos de pago de las multas correspondientes.</w:t>
      </w:r>
    </w:p>
    <w:p w:rsidR="00766305" w:rsidRPr="00812BBB" w:rsidRDefault="00766305">
      <w:pPr>
        <w:spacing w:line="360" w:lineRule="auto"/>
        <w:ind w:right="1"/>
        <w:jc w:val="both"/>
        <w:rPr>
          <w:rFonts w:ascii="Palatino Linotype" w:eastAsia="Palatino Linotype" w:hAnsi="Palatino Linotype" w:cs="Palatino Linotype"/>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rPr>
      </w:pPr>
      <w:r w:rsidRPr="00812BBB">
        <w:rPr>
          <w:rFonts w:ascii="Palatino Linotype" w:eastAsia="Palatino Linotype" w:hAnsi="Palatino Linotype" w:cs="Palatino Linotype"/>
        </w:rPr>
        <w:t>El</w:t>
      </w:r>
      <w:r w:rsidRPr="00812BBB">
        <w:rPr>
          <w:rFonts w:ascii="Palatino Linotype" w:eastAsia="Palatino Linotype" w:hAnsi="Palatino Linotype" w:cs="Palatino Linotype"/>
          <w:b/>
          <w:bCs/>
        </w:rPr>
        <w:t xml:space="preserve"> SUJETO OBLIGADO </w:t>
      </w:r>
      <w:r w:rsidRPr="00812BBB">
        <w:rPr>
          <w:rFonts w:ascii="Palatino Linotype" w:eastAsia="Palatino Linotype" w:hAnsi="Palatino Linotype" w:cs="Palatino Linotype"/>
        </w:rPr>
        <w:t xml:space="preserve">emitió respuesta en términos del </w:t>
      </w:r>
      <w:r w:rsidRPr="00812BBB">
        <w:rPr>
          <w:rFonts w:ascii="Palatino Linotype" w:eastAsia="Palatino Linotype" w:hAnsi="Palatino Linotype" w:cs="Palatino Linotype"/>
          <w:b/>
          <w:bCs/>
        </w:rPr>
        <w:t>párrafo 5</w:t>
      </w:r>
      <w:r w:rsidRPr="00812BBB">
        <w:rPr>
          <w:rFonts w:ascii="Palatino Linotype" w:eastAsia="Palatino Linotype" w:hAnsi="Palatino Linotype" w:cs="Palatino Linotype"/>
        </w:rPr>
        <w:t xml:space="preserve"> de la presente resolución.</w:t>
      </w:r>
    </w:p>
    <w:p w:rsidR="00766305" w:rsidRPr="00812BBB" w:rsidRDefault="00766305">
      <w:pPr>
        <w:spacing w:line="360" w:lineRule="auto"/>
        <w:ind w:right="1"/>
        <w:jc w:val="both"/>
        <w:rPr>
          <w:rFonts w:ascii="Palatino Linotype" w:eastAsia="Palatino Linotype" w:hAnsi="Palatino Linotype" w:cs="Palatino Linotype"/>
          <w:b/>
          <w:bCs/>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rPr>
      </w:pPr>
      <w:r w:rsidRPr="00812BBB">
        <w:rPr>
          <w:rFonts w:ascii="Palatino Linotype" w:eastAsia="Palatino Linotype" w:hAnsi="Palatino Linotype" w:cs="Palatino Linotype"/>
        </w:rPr>
        <w:t>En consecuencia, la parte</w:t>
      </w:r>
      <w:r w:rsidRPr="00812BBB">
        <w:rPr>
          <w:rFonts w:ascii="Palatino Linotype" w:eastAsia="Palatino Linotype" w:hAnsi="Palatino Linotype" w:cs="Palatino Linotype"/>
          <w:b/>
          <w:bCs/>
        </w:rPr>
        <w:t xml:space="preserve"> RECURRENTE </w:t>
      </w:r>
      <w:r w:rsidRPr="00812BBB">
        <w:rPr>
          <w:rFonts w:ascii="Palatino Linotype" w:eastAsia="Palatino Linotype" w:hAnsi="Palatino Linotype" w:cs="Palatino Linotype"/>
        </w:rPr>
        <w:t>se inconformó</w:t>
      </w:r>
      <w:r w:rsidRPr="00812BBB">
        <w:rPr>
          <w:rFonts w:ascii="Palatino Linotype" w:eastAsia="Palatino Linotype" w:hAnsi="Palatino Linotype" w:cs="Palatino Linotype"/>
          <w:b/>
          <w:bCs/>
        </w:rPr>
        <w:t xml:space="preserve"> </w:t>
      </w:r>
      <w:r w:rsidRPr="00812BBB">
        <w:rPr>
          <w:rFonts w:ascii="Palatino Linotype" w:eastAsia="Palatino Linotype" w:hAnsi="Palatino Linotype" w:cs="Palatino Linotype"/>
        </w:rPr>
        <w:t>por la</w:t>
      </w:r>
      <w:r w:rsidRPr="00812BBB">
        <w:rPr>
          <w:rFonts w:ascii="Palatino Linotype" w:eastAsia="Palatino Linotype" w:hAnsi="Palatino Linotype" w:cs="Palatino Linotype"/>
          <w:b/>
          <w:bCs/>
        </w:rPr>
        <w:t xml:space="preserve"> clasificación de la información.</w:t>
      </w:r>
    </w:p>
    <w:p w:rsidR="00766305" w:rsidRPr="00812BBB" w:rsidRDefault="00766305">
      <w:pPr>
        <w:spacing w:line="360" w:lineRule="auto"/>
        <w:ind w:right="1"/>
        <w:jc w:val="both"/>
        <w:rPr>
          <w:rFonts w:ascii="Palatino Linotype" w:eastAsia="Palatino Linotype" w:hAnsi="Palatino Linotype" w:cs="Palatino Linotype"/>
          <w:b/>
          <w:bCs/>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rPr>
      </w:pPr>
      <w:r w:rsidRPr="00812BBB">
        <w:rPr>
          <w:rFonts w:ascii="Palatino Linotype" w:eastAsia="Palatino Linotype" w:hAnsi="Palatino Linotype" w:cs="Palatino Linotype"/>
        </w:rPr>
        <w:t xml:space="preserve">En dichas condiciones, la </w:t>
      </w:r>
      <w:r w:rsidRPr="00812BBB">
        <w:rPr>
          <w:rFonts w:ascii="Palatino Linotype" w:eastAsia="Palatino Linotype" w:hAnsi="Palatino Linotype" w:cs="Palatino Linotype"/>
          <w:i/>
          <w:iCs/>
        </w:rPr>
        <w:t>Litis</w:t>
      </w:r>
      <w:r w:rsidRPr="00812BBB">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 </w:t>
      </w:r>
      <w:r w:rsidRPr="00812BBB">
        <w:rPr>
          <w:rFonts w:ascii="Palatino Linotype" w:eastAsia="Palatino Linotype" w:hAnsi="Palatino Linotype" w:cs="Palatino Linotype"/>
          <w:b/>
          <w:bCs/>
        </w:rPr>
        <w:t xml:space="preserve">II </w:t>
      </w:r>
      <w:r w:rsidRPr="00812BBB">
        <w:rPr>
          <w:rFonts w:ascii="Palatino Linotype" w:eastAsia="Palatino Linotype" w:hAnsi="Palatino Linotype" w:cs="Palatino Linotype"/>
        </w:rPr>
        <w:t xml:space="preserve">de la </w:t>
      </w:r>
      <w:r w:rsidRPr="00812BBB">
        <w:rPr>
          <w:rFonts w:ascii="Palatino Linotype" w:eastAsia="Palatino Linotype" w:hAnsi="Palatino Linotype" w:cs="Palatino Linotype"/>
          <w:b/>
          <w:bCs/>
        </w:rPr>
        <w:t>Ley de Transparencia y Acceso a la Información Pública del Estado de México y Municipios</w:t>
      </w:r>
      <w:r w:rsidRPr="00812BBB">
        <w:rPr>
          <w:rFonts w:ascii="Palatino Linotype" w:eastAsia="Palatino Linotype" w:hAnsi="Palatino Linotype" w:cs="Palatino Linotype"/>
        </w:rPr>
        <w:t>.</w:t>
      </w:r>
    </w:p>
    <w:p w:rsidR="00766305" w:rsidRPr="00812BBB" w:rsidRDefault="00766305">
      <w:pPr>
        <w:spacing w:line="360" w:lineRule="auto"/>
        <w:ind w:right="1"/>
        <w:jc w:val="both"/>
        <w:rPr>
          <w:rFonts w:ascii="Palatino Linotype" w:eastAsia="Palatino Linotype" w:hAnsi="Palatino Linotype" w:cs="Palatino Linotype"/>
          <w:b/>
          <w:bCs/>
        </w:rPr>
      </w:pPr>
    </w:p>
    <w:p w:rsidR="00766305" w:rsidRPr="00812BBB" w:rsidRDefault="00E97EF6">
      <w:pPr>
        <w:pStyle w:val="Ttulo2"/>
        <w:spacing w:before="0" w:line="360" w:lineRule="auto"/>
        <w:ind w:right="1"/>
        <w:rPr>
          <w:rFonts w:ascii="Palatino Linotype" w:eastAsia="Palatino Linotype" w:hAnsi="Palatino Linotype" w:cs="Palatino Linotype"/>
          <w:b/>
          <w:bCs/>
          <w:color w:val="000000"/>
          <w:sz w:val="24"/>
          <w:szCs w:val="24"/>
        </w:rPr>
      </w:pPr>
      <w:r w:rsidRPr="00812BBB">
        <w:rPr>
          <w:rFonts w:ascii="Palatino Linotype" w:eastAsia="Palatino Linotype" w:hAnsi="Palatino Linotype" w:cs="Palatino Linotype"/>
          <w:b/>
          <w:bCs/>
          <w:color w:val="000000"/>
          <w:sz w:val="24"/>
          <w:szCs w:val="24"/>
        </w:rPr>
        <w:lastRenderedPageBreak/>
        <w:t>CUARTA. Estudio y resolución del asunto.</w:t>
      </w: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rPr>
      </w:pPr>
      <w:r w:rsidRPr="00812BBB">
        <w:rPr>
          <w:rFonts w:ascii="Palatino Linotype" w:eastAsia="Palatino Linotype" w:hAnsi="Palatino Linotype" w:cs="Palatino Linotype"/>
        </w:rPr>
        <w:t xml:space="preserve">El </w:t>
      </w:r>
      <w:r w:rsidRPr="00812BBB">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w:t>
      </w:r>
      <w:r w:rsidRPr="00812BBB">
        <w:rPr>
          <w:rFonts w:ascii="Palatino Linotype" w:eastAsia="Palatino Linotype" w:hAnsi="Palatino Linotype" w:cs="Palatino Linotype"/>
        </w:rPr>
        <w:t>Particular</w:t>
      </w:r>
      <w:r w:rsidRPr="00812BBB">
        <w:rPr>
          <w:rFonts w:ascii="Palatino Linotype" w:eastAsia="Palatino Linotype" w:hAnsi="Palatino Linotype" w:cs="Palatino Linotype"/>
          <w:color w:val="000000"/>
        </w:rPr>
        <w:t xml:space="preserve"> del Estado de México.</w:t>
      </w:r>
    </w:p>
    <w:p w:rsidR="00766305" w:rsidRPr="00812BBB" w:rsidRDefault="00766305">
      <w:pPr>
        <w:spacing w:line="360" w:lineRule="auto"/>
        <w:ind w:right="1"/>
        <w:jc w:val="both"/>
        <w:rPr>
          <w:rFonts w:ascii="Palatino Linotype" w:eastAsia="Palatino Linotype" w:hAnsi="Palatino Linotype" w:cs="Palatino Linotype"/>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rPr>
      </w:pPr>
      <w:r w:rsidRPr="00812BBB">
        <w:rPr>
          <w:rFonts w:ascii="Palatino Linotype" w:eastAsia="Palatino Linotype" w:hAnsi="Palatino Linotype" w:cs="Palatino Linotype"/>
          <w:color w:val="000000"/>
        </w:rPr>
        <w:t xml:space="preserve">Definiendo </w:t>
      </w:r>
      <w:r w:rsidRPr="00812BBB">
        <w:rPr>
          <w:rFonts w:ascii="Palatino Linotype" w:eastAsia="Palatino Linotype" w:hAnsi="Palatino Linotype" w:cs="Palatino Linotype"/>
        </w:rPr>
        <w:t xml:space="preserve">el Derecho de Acceso a la Información Pública como: </w:t>
      </w:r>
      <w:r w:rsidRPr="00812BBB">
        <w:rPr>
          <w:rFonts w:ascii="Palatino Linotype" w:eastAsia="Palatino Linotype" w:hAnsi="Palatino Linotype" w:cs="Palatino Linotype"/>
          <w:i/>
          <w:iCs/>
          <w:color w:val="000000"/>
        </w:rPr>
        <w:t xml:space="preserve">La igualdad de </w:t>
      </w:r>
      <w:r w:rsidRPr="00812BBB">
        <w:rPr>
          <w:rFonts w:ascii="Palatino Linotype" w:eastAsia="Palatino Linotype" w:hAnsi="Palatino Linotype" w:cs="Palatino Linotype"/>
        </w:rPr>
        <w:t>oportunidades</w:t>
      </w:r>
      <w:r w:rsidRPr="00812BBB">
        <w:rPr>
          <w:rFonts w:ascii="Palatino Linotype" w:eastAsia="Palatino Linotype" w:hAnsi="Palatino Linotype" w:cs="Palatino Linotype"/>
          <w:i/>
          <w:iCs/>
          <w:color w:val="000000"/>
        </w:rPr>
        <w:t xml:space="preserve"> para recibir, buscar e impartir información</w:t>
      </w:r>
      <w:r w:rsidRPr="00812BBB">
        <w:rPr>
          <w:rFonts w:ascii="Palatino Linotype" w:eastAsia="Palatino Linotype" w:hAnsi="Palatino Linotype" w:cs="Palatino Linotype"/>
          <w:vertAlign w:val="superscript"/>
        </w:rPr>
        <w:footnoteReference w:id="1"/>
      </w:r>
      <w:r w:rsidRPr="00812BBB">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812BBB">
        <w:rPr>
          <w:rFonts w:ascii="Palatino Linotype" w:eastAsia="Palatino Linotype" w:hAnsi="Palatino Linotype" w:cs="Palatino Linotype"/>
          <w:vertAlign w:val="superscript"/>
        </w:rPr>
        <w:footnoteReference w:id="2"/>
      </w:r>
      <w:r w:rsidRPr="00812BBB">
        <w:rPr>
          <w:rFonts w:ascii="Palatino Linotype" w:eastAsia="Palatino Linotype" w:hAnsi="Palatino Linotype" w:cs="Palatino Linotype"/>
          <w:color w:val="000000"/>
        </w:rPr>
        <w:t>que se constituye como una herramienta fundamental para ejercer</w:t>
      </w:r>
      <w:r w:rsidRPr="00812BBB">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812BBB">
        <w:rPr>
          <w:rFonts w:ascii="Palatino Linotype" w:eastAsia="Palatino Linotype" w:hAnsi="Palatino Linotype" w:cs="Palatino Linotype"/>
          <w:vertAlign w:val="superscript"/>
        </w:rPr>
        <w:footnoteReference w:id="3"/>
      </w:r>
      <w:r w:rsidRPr="00812BBB">
        <w:rPr>
          <w:rFonts w:ascii="Palatino Linotype" w:eastAsia="Palatino Linotype" w:hAnsi="Palatino Linotype" w:cs="Palatino Linotype"/>
          <w:color w:val="000000"/>
        </w:rPr>
        <w:t>fomentando</w:t>
      </w:r>
      <w:r w:rsidRPr="00812BBB">
        <w:rPr>
          <w:rFonts w:ascii="Palatino Linotype" w:eastAsia="Palatino Linotype" w:hAnsi="Palatino Linotype" w:cs="Palatino Linotype"/>
          <w:i/>
          <w:iCs/>
          <w:color w:val="000000"/>
        </w:rPr>
        <w:t xml:space="preserve"> la transparencia de las actividades estatales y </w:t>
      </w:r>
      <w:r w:rsidRPr="00812BBB">
        <w:rPr>
          <w:rFonts w:ascii="Palatino Linotype" w:eastAsia="Palatino Linotype" w:hAnsi="Palatino Linotype" w:cs="Palatino Linotype"/>
          <w:color w:val="000000"/>
        </w:rPr>
        <w:t>promoviendo</w:t>
      </w:r>
      <w:r w:rsidRPr="00812BBB">
        <w:rPr>
          <w:rFonts w:ascii="Palatino Linotype" w:eastAsia="Palatino Linotype" w:hAnsi="Palatino Linotype" w:cs="Palatino Linotype"/>
          <w:i/>
          <w:iCs/>
          <w:color w:val="000000"/>
        </w:rPr>
        <w:t xml:space="preserve"> la responsabilidad de los funcionarios sobre su gestión pública,</w:t>
      </w:r>
      <w:r w:rsidRPr="00812BBB">
        <w:rPr>
          <w:rFonts w:ascii="Palatino Linotype" w:eastAsia="Palatino Linotype" w:hAnsi="Palatino Linotype" w:cs="Palatino Linotype"/>
          <w:vertAlign w:val="superscript"/>
        </w:rPr>
        <w:footnoteReference w:id="4"/>
      </w:r>
      <w:r w:rsidRPr="00812BBB">
        <w:rPr>
          <w:rFonts w:ascii="Palatino Linotype" w:eastAsia="Palatino Linotype" w:hAnsi="Palatino Linotype" w:cs="Palatino Linotype"/>
          <w:color w:val="000000"/>
        </w:rPr>
        <w:t>que permite</w:t>
      </w:r>
      <w:r w:rsidRPr="00812BBB">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766305" w:rsidRPr="00812BBB" w:rsidRDefault="00766305">
      <w:pPr>
        <w:spacing w:line="360" w:lineRule="auto"/>
        <w:ind w:right="1"/>
        <w:jc w:val="both"/>
        <w:rPr>
          <w:rFonts w:ascii="Palatino Linotype" w:eastAsia="Palatino Linotype" w:hAnsi="Palatino Linotype" w:cs="Palatino Linotype"/>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rPr>
      </w:pPr>
      <w:r w:rsidRPr="00812BBB">
        <w:rPr>
          <w:rFonts w:ascii="Palatino Linotype" w:eastAsia="Palatino Linotype" w:hAnsi="Palatino Linotype" w:cs="Palatino Linotype"/>
          <w:color w:val="000000"/>
        </w:rPr>
        <w:t xml:space="preserve">En </w:t>
      </w:r>
      <w:r w:rsidRPr="00812BBB">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rsidR="00766305" w:rsidRPr="00812BBB" w:rsidRDefault="00E97EF6">
      <w:pPr>
        <w:ind w:left="567" w:right="710"/>
        <w:jc w:val="both"/>
        <w:rPr>
          <w:rFonts w:ascii="Palatino Linotype" w:eastAsia="Palatino Linotype" w:hAnsi="Palatino Linotype" w:cs="Palatino Linotype"/>
          <w:i/>
          <w:iCs/>
        </w:rPr>
      </w:pPr>
      <w:r w:rsidRPr="00812BBB">
        <w:rPr>
          <w:rFonts w:ascii="Palatino Linotype" w:eastAsia="Palatino Linotype" w:hAnsi="Palatino Linotype" w:cs="Palatino Linotype"/>
          <w:i/>
          <w:iCs/>
        </w:rPr>
        <w:lastRenderedPageBreak/>
        <w:t>“</w:t>
      </w:r>
      <w:r w:rsidRPr="00812BBB">
        <w:rPr>
          <w:rFonts w:ascii="Palatino Linotype" w:eastAsia="Palatino Linotype" w:hAnsi="Palatino Linotype" w:cs="Palatino Linotype"/>
          <w:b/>
          <w:bCs/>
          <w:i/>
          <w:iCs/>
        </w:rPr>
        <w:t>Artículo 1.-</w:t>
      </w:r>
      <w:r w:rsidRPr="00812BBB">
        <w:rPr>
          <w:rFonts w:ascii="Palatino Linotype" w:eastAsia="Palatino Linotype" w:hAnsi="Palatino Linotype" w:cs="Palatino Linotype"/>
          <w:i/>
          <w:iCs/>
        </w:rPr>
        <w:t xml:space="preserve"> </w:t>
      </w:r>
    </w:p>
    <w:p w:rsidR="00766305" w:rsidRPr="00812BBB" w:rsidRDefault="00E97EF6">
      <w:pPr>
        <w:ind w:left="567" w:right="710"/>
        <w:jc w:val="both"/>
        <w:rPr>
          <w:rFonts w:ascii="Palatino Linotype" w:eastAsia="Palatino Linotype" w:hAnsi="Palatino Linotype" w:cs="Palatino Linotype"/>
          <w:i/>
          <w:iCs/>
        </w:rPr>
      </w:pPr>
      <w:r w:rsidRPr="00812BBB">
        <w:rPr>
          <w:rFonts w:ascii="Palatino Linotype" w:eastAsia="Palatino Linotype" w:hAnsi="Palatino Linotype" w:cs="Palatino Linotype"/>
          <w:i/>
          <w:iCs/>
        </w:rPr>
        <w:t>(…)</w:t>
      </w:r>
    </w:p>
    <w:p w:rsidR="00766305" w:rsidRPr="00812BBB" w:rsidRDefault="00E97EF6">
      <w:pPr>
        <w:ind w:left="567" w:right="710"/>
        <w:jc w:val="both"/>
        <w:rPr>
          <w:rFonts w:ascii="Palatino Linotype" w:eastAsia="Palatino Linotype" w:hAnsi="Palatino Linotype" w:cs="Palatino Linotype"/>
          <w:i/>
          <w:iCs/>
        </w:rPr>
      </w:pPr>
      <w:r w:rsidRPr="00812BBB">
        <w:rPr>
          <w:rFonts w:ascii="Palatino Linotype" w:eastAsia="Palatino Linotype" w:hAnsi="Palatino Linotype" w:cs="Palatino Linotype"/>
          <w:i/>
          <w:iCs/>
        </w:rPr>
        <w:t>Todas las</w:t>
      </w:r>
      <w:r w:rsidRPr="00812BBB">
        <w:rPr>
          <w:rFonts w:ascii="Palatino Linotype" w:eastAsia="Palatino Linotype" w:hAnsi="Palatino Linotype" w:cs="Palatino Linotype"/>
        </w:rPr>
        <w:t xml:space="preserve"> </w:t>
      </w:r>
      <w:r w:rsidRPr="00812BBB">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766305" w:rsidRPr="00812BBB" w:rsidRDefault="00E97EF6">
      <w:pPr>
        <w:ind w:left="567" w:right="710"/>
        <w:jc w:val="both"/>
        <w:rPr>
          <w:rFonts w:ascii="Palatino Linotype" w:eastAsia="Palatino Linotype" w:hAnsi="Palatino Linotype" w:cs="Palatino Linotype"/>
        </w:rPr>
      </w:pPr>
      <w:r w:rsidRPr="00812BBB">
        <w:rPr>
          <w:rFonts w:ascii="Palatino Linotype" w:eastAsia="Palatino Linotype" w:hAnsi="Palatino Linotype" w:cs="Palatino Linotype"/>
          <w:i/>
          <w:iCs/>
        </w:rPr>
        <w:t>(…)</w:t>
      </w:r>
      <w:r w:rsidRPr="00812BBB">
        <w:rPr>
          <w:rFonts w:ascii="Palatino Linotype" w:eastAsia="Palatino Linotype" w:hAnsi="Palatino Linotype" w:cs="Palatino Linotype"/>
        </w:rPr>
        <w:t>”</w:t>
      </w:r>
    </w:p>
    <w:p w:rsidR="00766305" w:rsidRPr="00812BBB" w:rsidRDefault="00766305">
      <w:pPr>
        <w:ind w:right="-592"/>
        <w:jc w:val="both"/>
        <w:rPr>
          <w:rFonts w:ascii="Palatino Linotype" w:eastAsia="Palatino Linotype" w:hAnsi="Palatino Linotype" w:cs="Palatino Linotype"/>
          <w:b/>
          <w:bCs/>
        </w:rPr>
      </w:pPr>
    </w:p>
    <w:p w:rsidR="00766305" w:rsidRPr="00812BBB" w:rsidRDefault="00E97EF6">
      <w:pPr>
        <w:numPr>
          <w:ilvl w:val="0"/>
          <w:numId w:val="2"/>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b/>
          <w:bCs/>
          <w:color w:val="000000"/>
        </w:rPr>
      </w:pPr>
      <w:r w:rsidRPr="00812BBB">
        <w:rPr>
          <w:rFonts w:ascii="Palatino Linotype" w:eastAsia="Palatino Linotype" w:hAnsi="Palatino Linotype" w:cs="Palatino Linotype"/>
          <w:color w:val="000000"/>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766305" w:rsidRPr="00812BBB" w:rsidRDefault="00766305">
      <w:pPr>
        <w:ind w:right="1"/>
        <w:jc w:val="both"/>
        <w:rPr>
          <w:rFonts w:ascii="Palatino Linotype" w:eastAsia="Palatino Linotype" w:hAnsi="Palatino Linotype" w:cs="Palatino Linotype"/>
          <w:b/>
          <w:bCs/>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rPr>
      </w:pPr>
      <w:r w:rsidRPr="00812BBB">
        <w:rPr>
          <w:rFonts w:ascii="Palatino Linotype" w:eastAsia="Palatino Linotype" w:hAnsi="Palatino Linotype" w:cs="Palatino Linotype"/>
          <w:color w:val="000000"/>
        </w:rPr>
        <w:t xml:space="preserve">Así </w:t>
      </w:r>
      <w:r w:rsidRPr="00812BBB">
        <w:rPr>
          <w:rFonts w:ascii="Palatino Linotype" w:eastAsia="Palatino Linotype" w:hAnsi="Palatino Linotype" w:cs="Palatino Linotype"/>
        </w:rPr>
        <w:t>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766305" w:rsidRPr="00812BBB" w:rsidRDefault="00E97EF6">
      <w:pPr>
        <w:ind w:left="567" w:right="710"/>
        <w:jc w:val="both"/>
        <w:rPr>
          <w:rFonts w:ascii="Palatino Linotype" w:eastAsia="Palatino Linotype" w:hAnsi="Palatino Linotype" w:cs="Palatino Linotype"/>
          <w:b/>
          <w:bCs/>
          <w:i/>
          <w:iCs/>
        </w:rPr>
      </w:pPr>
      <w:r w:rsidRPr="00812BBB">
        <w:rPr>
          <w:rFonts w:ascii="Palatino Linotype" w:eastAsia="Palatino Linotype" w:hAnsi="Palatino Linotype" w:cs="Palatino Linotype"/>
          <w:b/>
          <w:bCs/>
          <w:i/>
          <w:iCs/>
        </w:rPr>
        <w:t>Constitución Política de los Estados Unidos Mexicanos</w:t>
      </w:r>
    </w:p>
    <w:p w:rsidR="00766305" w:rsidRPr="00812BBB" w:rsidRDefault="00E97EF6">
      <w:pPr>
        <w:ind w:left="567" w:right="710"/>
        <w:jc w:val="both"/>
        <w:rPr>
          <w:rFonts w:ascii="Palatino Linotype" w:eastAsia="Palatino Linotype" w:hAnsi="Palatino Linotype" w:cs="Palatino Linotype"/>
          <w:b/>
          <w:bCs/>
          <w:i/>
          <w:iCs/>
        </w:rPr>
      </w:pPr>
      <w:r w:rsidRPr="00812BBB">
        <w:rPr>
          <w:rFonts w:ascii="Palatino Linotype" w:eastAsia="Palatino Linotype" w:hAnsi="Palatino Linotype" w:cs="Palatino Linotype"/>
          <w:b/>
          <w:bCs/>
          <w:i/>
          <w:iCs/>
        </w:rPr>
        <w:t>“Artículo 6.</w:t>
      </w:r>
      <w:r w:rsidRPr="00812BBB">
        <w:rPr>
          <w:rFonts w:ascii="Palatino Linotype" w:eastAsia="Palatino Linotype" w:hAnsi="Palatino Linotype" w:cs="Palatino Linotype"/>
          <w:i/>
          <w:iCs/>
        </w:rPr>
        <w:t xml:space="preserve"> …</w:t>
      </w:r>
    </w:p>
    <w:p w:rsidR="00766305" w:rsidRPr="00812BBB" w:rsidRDefault="00E97EF6">
      <w:pPr>
        <w:ind w:left="567" w:right="710"/>
        <w:jc w:val="both"/>
        <w:rPr>
          <w:rFonts w:ascii="Palatino Linotype" w:eastAsia="Palatino Linotype" w:hAnsi="Palatino Linotype" w:cs="Palatino Linotype"/>
          <w:i/>
          <w:iCs/>
        </w:rPr>
      </w:pPr>
      <w:r w:rsidRPr="00812BBB">
        <w:rPr>
          <w:rFonts w:ascii="Palatino Linotype" w:eastAsia="Palatino Linotype" w:hAnsi="Palatino Linotype" w:cs="Palatino Linotype"/>
          <w:i/>
          <w:iCs/>
        </w:rPr>
        <w:t>…</w:t>
      </w:r>
    </w:p>
    <w:p w:rsidR="00766305" w:rsidRPr="00812BBB" w:rsidRDefault="00E97EF6">
      <w:pPr>
        <w:ind w:left="567" w:right="710"/>
        <w:jc w:val="both"/>
        <w:rPr>
          <w:rFonts w:ascii="Palatino Linotype" w:eastAsia="Palatino Linotype" w:hAnsi="Palatino Linotype" w:cs="Palatino Linotype"/>
          <w:i/>
          <w:iCs/>
        </w:rPr>
      </w:pPr>
      <w:r w:rsidRPr="00812BBB">
        <w:rPr>
          <w:rFonts w:ascii="Palatino Linotype" w:eastAsia="Palatino Linotype" w:hAnsi="Palatino Linotype" w:cs="Palatino Linotype"/>
          <w:i/>
          <w:iCs/>
        </w:rPr>
        <w:t>Para efectos de lo dispuesto en el presente artículo se observará lo siguiente:</w:t>
      </w:r>
    </w:p>
    <w:p w:rsidR="00766305" w:rsidRPr="00812BBB" w:rsidRDefault="00E97EF6">
      <w:pPr>
        <w:ind w:left="567" w:right="710"/>
        <w:jc w:val="both"/>
        <w:rPr>
          <w:rFonts w:ascii="Palatino Linotype" w:eastAsia="Palatino Linotype" w:hAnsi="Palatino Linotype" w:cs="Palatino Linotype"/>
          <w:b/>
          <w:bCs/>
          <w:i/>
          <w:iCs/>
        </w:rPr>
      </w:pPr>
      <w:r w:rsidRPr="00812BBB">
        <w:rPr>
          <w:rFonts w:ascii="Palatino Linotype" w:eastAsia="Palatino Linotype" w:hAnsi="Palatino Linotype" w:cs="Palatino Linotype"/>
          <w:b/>
          <w:bCs/>
          <w:i/>
          <w:iCs/>
        </w:rPr>
        <w:t>A</w:t>
      </w:r>
      <w:r w:rsidRPr="00812BBB">
        <w:rPr>
          <w:rFonts w:ascii="Palatino Linotype" w:eastAsia="Palatino Linotype" w:hAnsi="Palatino Linotype" w:cs="Palatino Linotype"/>
          <w:i/>
          <w:iCs/>
        </w:rPr>
        <w:t xml:space="preserve">. </w:t>
      </w:r>
      <w:r w:rsidRPr="00812BBB">
        <w:rPr>
          <w:rFonts w:ascii="Palatino Linotype" w:eastAsia="Palatino Linotype" w:hAnsi="Palatino Linotype" w:cs="Palatino Linotype"/>
          <w:b/>
          <w:bCs/>
          <w:i/>
          <w:iCs/>
        </w:rPr>
        <w:t>Para el ejercicio del derecho de acceso a la información</w:t>
      </w:r>
      <w:r w:rsidRPr="00812BBB">
        <w:rPr>
          <w:rFonts w:ascii="Palatino Linotype" w:eastAsia="Palatino Linotype" w:hAnsi="Palatino Linotype" w:cs="Palatino Linotype"/>
          <w:i/>
          <w:iCs/>
        </w:rPr>
        <w:t xml:space="preserve">, la Federación y </w:t>
      </w:r>
      <w:r w:rsidRPr="00812BBB">
        <w:rPr>
          <w:rFonts w:ascii="Palatino Linotype" w:eastAsia="Palatino Linotype" w:hAnsi="Palatino Linotype" w:cs="Palatino Linotype"/>
          <w:b/>
          <w:bCs/>
          <w:i/>
          <w:iCs/>
        </w:rPr>
        <w:t>las entidades federativas, en el ámbito de sus respectivas competencias, se regirán por los siguientes principios y bases:</w:t>
      </w:r>
    </w:p>
    <w:p w:rsidR="00766305" w:rsidRPr="00812BBB" w:rsidRDefault="00E97EF6">
      <w:pPr>
        <w:ind w:left="567" w:right="710"/>
        <w:jc w:val="both"/>
        <w:rPr>
          <w:rFonts w:ascii="Palatino Linotype" w:eastAsia="Palatino Linotype" w:hAnsi="Palatino Linotype" w:cs="Palatino Linotype"/>
          <w:i/>
          <w:iCs/>
        </w:rPr>
      </w:pPr>
      <w:r w:rsidRPr="00812BBB">
        <w:rPr>
          <w:rFonts w:ascii="Palatino Linotype" w:eastAsia="Palatino Linotype" w:hAnsi="Palatino Linotype" w:cs="Palatino Linotype"/>
          <w:b/>
          <w:bCs/>
          <w:i/>
          <w:iCs/>
        </w:rPr>
        <w:t xml:space="preserve">I. </w:t>
      </w:r>
      <w:r w:rsidRPr="00812BBB">
        <w:rPr>
          <w:rFonts w:ascii="Palatino Linotype" w:eastAsia="Palatino Linotype" w:hAnsi="Palatino Linotype" w:cs="Palatino Linotype"/>
          <w:b/>
          <w:bCs/>
          <w:i/>
          <w:iCs/>
        </w:rPr>
        <w:tab/>
        <w:t>Toda la información en posesión de cualquier</w:t>
      </w:r>
      <w:r w:rsidRPr="00812BBB">
        <w:rPr>
          <w:rFonts w:ascii="Palatino Linotype" w:eastAsia="Palatino Linotype" w:hAnsi="Palatino Linotype" w:cs="Palatino Linotype"/>
          <w:i/>
          <w:iCs/>
        </w:rPr>
        <w:t xml:space="preserve"> </w:t>
      </w:r>
      <w:r w:rsidRPr="00812BBB">
        <w:rPr>
          <w:rFonts w:ascii="Palatino Linotype" w:eastAsia="Palatino Linotype" w:hAnsi="Palatino Linotype" w:cs="Palatino Linotype"/>
          <w:b/>
          <w:bCs/>
          <w:i/>
          <w:iCs/>
        </w:rPr>
        <w:t>autoridad</w:t>
      </w:r>
      <w:r w:rsidRPr="00812BBB">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812BBB">
        <w:rPr>
          <w:rFonts w:ascii="Palatino Linotype" w:eastAsia="Palatino Linotype" w:hAnsi="Palatino Linotype" w:cs="Palatino Linotype"/>
          <w:b/>
          <w:bCs/>
          <w:i/>
          <w:iCs/>
        </w:rPr>
        <w:t>municipal</w:t>
      </w:r>
      <w:r w:rsidRPr="00812BBB">
        <w:rPr>
          <w:rFonts w:ascii="Palatino Linotype" w:eastAsia="Palatino Linotype" w:hAnsi="Palatino Linotype" w:cs="Palatino Linotype"/>
          <w:i/>
          <w:iCs/>
        </w:rPr>
        <w:t xml:space="preserve">, </w:t>
      </w:r>
      <w:r w:rsidRPr="00812BBB">
        <w:rPr>
          <w:rFonts w:ascii="Palatino Linotype" w:eastAsia="Palatino Linotype" w:hAnsi="Palatino Linotype" w:cs="Palatino Linotype"/>
          <w:b/>
          <w:bCs/>
          <w:i/>
          <w:iCs/>
        </w:rPr>
        <w:t>es pública</w:t>
      </w:r>
      <w:r w:rsidRPr="00812BBB">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812BBB">
        <w:rPr>
          <w:rFonts w:ascii="Palatino Linotype" w:eastAsia="Palatino Linotype" w:hAnsi="Palatino Linotype" w:cs="Palatino Linotype"/>
          <w:b/>
          <w:bCs/>
          <w:i/>
          <w:iCs/>
        </w:rPr>
        <w:t xml:space="preserve">En la </w:t>
      </w:r>
      <w:r w:rsidRPr="00812BBB">
        <w:rPr>
          <w:rFonts w:ascii="Palatino Linotype" w:eastAsia="Palatino Linotype" w:hAnsi="Palatino Linotype" w:cs="Palatino Linotype"/>
          <w:b/>
          <w:bCs/>
          <w:i/>
          <w:iCs/>
        </w:rPr>
        <w:lastRenderedPageBreak/>
        <w:t>interpretación de este derecho deberá prevalecer el principio de máxima publicidad. Los sujetos obligados deberán documentar todo acto que derive del ejercicio de sus facultades, competencias o funciones</w:t>
      </w:r>
      <w:r w:rsidRPr="00812BBB">
        <w:rPr>
          <w:rFonts w:ascii="Palatino Linotype" w:eastAsia="Palatino Linotype" w:hAnsi="Palatino Linotype" w:cs="Palatino Linotype"/>
          <w:i/>
          <w:iCs/>
        </w:rPr>
        <w:t>, la ley determinará los supuestos específicos bajo los cuales procederá la declaración de inexistencia de la información.”</w:t>
      </w:r>
    </w:p>
    <w:p w:rsidR="00766305" w:rsidRPr="00812BBB" w:rsidRDefault="00766305">
      <w:pPr>
        <w:tabs>
          <w:tab w:val="left" w:pos="426"/>
          <w:tab w:val="left" w:pos="567"/>
        </w:tabs>
        <w:ind w:left="567" w:right="710"/>
        <w:jc w:val="both"/>
        <w:rPr>
          <w:rFonts w:ascii="Palatino Linotype" w:eastAsia="Palatino Linotype" w:hAnsi="Palatino Linotype" w:cs="Palatino Linotype"/>
          <w:color w:val="000000"/>
        </w:rPr>
      </w:pPr>
    </w:p>
    <w:p w:rsidR="00766305" w:rsidRPr="00812BBB" w:rsidRDefault="00E97EF6">
      <w:pPr>
        <w:ind w:left="567" w:right="710"/>
        <w:jc w:val="both"/>
        <w:rPr>
          <w:rFonts w:ascii="Palatino Linotype" w:eastAsia="Palatino Linotype" w:hAnsi="Palatino Linotype" w:cs="Palatino Linotype"/>
          <w:b/>
          <w:bCs/>
          <w:i/>
          <w:iCs/>
        </w:rPr>
      </w:pPr>
      <w:r w:rsidRPr="00812BBB">
        <w:rPr>
          <w:rFonts w:ascii="Palatino Linotype" w:eastAsia="Palatino Linotype" w:hAnsi="Palatino Linotype" w:cs="Palatino Linotype"/>
          <w:b/>
          <w:bCs/>
          <w:i/>
          <w:iCs/>
        </w:rPr>
        <w:t>Constitución Política del Estado Libre y Soberano de México</w:t>
      </w:r>
    </w:p>
    <w:p w:rsidR="00766305" w:rsidRPr="00812BBB" w:rsidRDefault="00E97EF6">
      <w:pPr>
        <w:ind w:left="567" w:right="710"/>
        <w:jc w:val="both"/>
        <w:rPr>
          <w:rFonts w:ascii="Palatino Linotype" w:eastAsia="Palatino Linotype" w:hAnsi="Palatino Linotype" w:cs="Palatino Linotype"/>
          <w:i/>
          <w:iCs/>
        </w:rPr>
      </w:pPr>
      <w:r w:rsidRPr="00812BBB">
        <w:rPr>
          <w:rFonts w:ascii="Palatino Linotype" w:eastAsia="Palatino Linotype" w:hAnsi="Palatino Linotype" w:cs="Palatino Linotype"/>
          <w:b/>
          <w:bCs/>
          <w:i/>
          <w:iCs/>
        </w:rPr>
        <w:t>“Artículo 5</w:t>
      </w:r>
      <w:r w:rsidRPr="00812BBB">
        <w:rPr>
          <w:rFonts w:ascii="Palatino Linotype" w:eastAsia="Palatino Linotype" w:hAnsi="Palatino Linotype" w:cs="Palatino Linotype"/>
          <w:i/>
          <w:iCs/>
        </w:rPr>
        <w:t>.-…</w:t>
      </w:r>
    </w:p>
    <w:p w:rsidR="00766305" w:rsidRPr="00812BBB" w:rsidRDefault="00E97EF6">
      <w:pPr>
        <w:ind w:left="567" w:right="710"/>
        <w:jc w:val="both"/>
        <w:rPr>
          <w:rFonts w:ascii="Palatino Linotype" w:eastAsia="Palatino Linotype" w:hAnsi="Palatino Linotype" w:cs="Palatino Linotype"/>
          <w:i/>
          <w:iCs/>
        </w:rPr>
      </w:pPr>
      <w:r w:rsidRPr="00812BBB">
        <w:rPr>
          <w:rFonts w:ascii="Palatino Linotype" w:eastAsia="Palatino Linotype" w:hAnsi="Palatino Linotype" w:cs="Palatino Linotype"/>
          <w:i/>
          <w:iCs/>
        </w:rPr>
        <w:t>…</w:t>
      </w:r>
    </w:p>
    <w:p w:rsidR="00766305" w:rsidRPr="00812BBB" w:rsidRDefault="00E97EF6">
      <w:pPr>
        <w:ind w:left="567" w:right="710"/>
        <w:jc w:val="both"/>
        <w:rPr>
          <w:rFonts w:ascii="Palatino Linotype" w:eastAsia="Palatino Linotype" w:hAnsi="Palatino Linotype" w:cs="Palatino Linotype"/>
          <w:i/>
          <w:iCs/>
        </w:rPr>
      </w:pPr>
      <w:r w:rsidRPr="00812BBB">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812BBB">
        <w:rPr>
          <w:rFonts w:ascii="Palatino Linotype" w:eastAsia="Palatino Linotype" w:hAnsi="Palatino Linotype" w:cs="Palatino Linotype"/>
          <w:i/>
          <w:iCs/>
        </w:rPr>
        <w:t>.</w:t>
      </w:r>
    </w:p>
    <w:p w:rsidR="00766305" w:rsidRPr="00812BBB" w:rsidRDefault="00E97EF6">
      <w:pPr>
        <w:ind w:left="567" w:right="710"/>
        <w:jc w:val="both"/>
        <w:rPr>
          <w:rFonts w:ascii="Palatino Linotype" w:eastAsia="Palatino Linotype" w:hAnsi="Palatino Linotype" w:cs="Palatino Linotype"/>
          <w:i/>
          <w:iCs/>
        </w:rPr>
      </w:pPr>
      <w:r w:rsidRPr="00812BBB">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766305" w:rsidRPr="00812BBB" w:rsidRDefault="00766305">
      <w:pPr>
        <w:ind w:left="567" w:right="710"/>
        <w:jc w:val="both"/>
        <w:rPr>
          <w:rFonts w:ascii="Palatino Linotype" w:eastAsia="Palatino Linotype" w:hAnsi="Palatino Linotype" w:cs="Palatino Linotype"/>
          <w:i/>
          <w:iCs/>
        </w:rPr>
      </w:pPr>
    </w:p>
    <w:p w:rsidR="00766305" w:rsidRPr="00812BBB" w:rsidRDefault="00E97EF6">
      <w:pPr>
        <w:ind w:left="567" w:right="710"/>
        <w:jc w:val="both"/>
        <w:rPr>
          <w:rFonts w:ascii="Palatino Linotype" w:eastAsia="Palatino Linotype" w:hAnsi="Palatino Linotype" w:cs="Palatino Linotype"/>
          <w:i/>
          <w:iCs/>
        </w:rPr>
      </w:pPr>
      <w:r w:rsidRPr="00812BBB">
        <w:rPr>
          <w:rFonts w:ascii="Palatino Linotype" w:eastAsia="Palatino Linotype" w:hAnsi="Palatino Linotype" w:cs="Palatino Linotype"/>
          <w:b/>
          <w:bCs/>
          <w:i/>
          <w:iCs/>
        </w:rPr>
        <w:t>Este derecho se regirá por los principios y bases siguientes</w:t>
      </w:r>
      <w:r w:rsidRPr="00812BBB">
        <w:rPr>
          <w:rFonts w:ascii="Palatino Linotype" w:eastAsia="Palatino Linotype" w:hAnsi="Palatino Linotype" w:cs="Palatino Linotype"/>
          <w:i/>
          <w:iCs/>
        </w:rPr>
        <w:t>:</w:t>
      </w:r>
    </w:p>
    <w:p w:rsidR="00766305" w:rsidRPr="00812BBB" w:rsidRDefault="00E97EF6">
      <w:pPr>
        <w:ind w:left="567" w:right="710"/>
        <w:jc w:val="both"/>
        <w:rPr>
          <w:rFonts w:ascii="Palatino Linotype" w:eastAsia="Palatino Linotype" w:hAnsi="Palatino Linotype" w:cs="Palatino Linotype"/>
          <w:b/>
          <w:bCs/>
        </w:rPr>
      </w:pPr>
      <w:r w:rsidRPr="00812BBB">
        <w:rPr>
          <w:rFonts w:ascii="Palatino Linotype" w:eastAsia="Palatino Linotype" w:hAnsi="Palatino Linotype" w:cs="Palatino Linotype"/>
          <w:b/>
          <w:bCs/>
          <w:i/>
          <w:iCs/>
        </w:rPr>
        <w:t>Toda la información en posesión de cualquier autoridad, entidad, órgano y organismos de los</w:t>
      </w:r>
      <w:r w:rsidRPr="00812BBB">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812BBB">
        <w:rPr>
          <w:rFonts w:ascii="Palatino Linotype" w:eastAsia="Palatino Linotype" w:hAnsi="Palatino Linotype" w:cs="Palatino Linotype"/>
          <w:b/>
          <w:bCs/>
          <w:i/>
          <w:iCs/>
        </w:rPr>
        <w:t>municipales</w:t>
      </w:r>
      <w:r w:rsidRPr="00812BBB">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812BBB">
        <w:rPr>
          <w:rFonts w:ascii="Palatino Linotype" w:eastAsia="Palatino Linotype" w:hAnsi="Palatino Linotype" w:cs="Palatino Linotype"/>
          <w:b/>
          <w:bCs/>
          <w:i/>
          <w:iCs/>
        </w:rPr>
        <w:t>es pública</w:t>
      </w:r>
      <w:r w:rsidRPr="00812BBB">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812BBB">
        <w:rPr>
          <w:rFonts w:ascii="Palatino Linotype" w:eastAsia="Palatino Linotype" w:hAnsi="Palatino Linotype" w:cs="Palatino Linotype"/>
          <w:b/>
          <w:bCs/>
          <w:i/>
          <w:iCs/>
        </w:rPr>
        <w:t>En la interpretación de este derecho deberá prevalecer el principio de máxima publicidad</w:t>
      </w:r>
      <w:r w:rsidRPr="00812BBB">
        <w:rPr>
          <w:rFonts w:ascii="Palatino Linotype" w:eastAsia="Palatino Linotype" w:hAnsi="Palatino Linotype" w:cs="Palatino Linotype"/>
          <w:i/>
          <w:iCs/>
        </w:rPr>
        <w:t xml:space="preserve">. </w:t>
      </w:r>
      <w:r w:rsidRPr="00812BBB">
        <w:rPr>
          <w:rFonts w:ascii="Palatino Linotype" w:eastAsia="Palatino Linotype" w:hAnsi="Palatino Linotype" w:cs="Palatino Linotype"/>
          <w:b/>
          <w:bCs/>
          <w:i/>
          <w:iCs/>
        </w:rPr>
        <w:t>Los sujetos obligados deberán documentar todo acto que derive del ejercicio de sus facultades, competencias o funciones</w:t>
      </w:r>
      <w:r w:rsidRPr="00812BBB">
        <w:rPr>
          <w:rFonts w:ascii="Palatino Linotype" w:eastAsia="Palatino Linotype" w:hAnsi="Palatino Linotype" w:cs="Palatino Linotype"/>
          <w:i/>
          <w:iCs/>
        </w:rPr>
        <w:t>, la ley determinará los supuestos específicos bajo los cuales procederá la declaración de inexistencia de la información.”</w:t>
      </w:r>
    </w:p>
    <w:p w:rsidR="00766305" w:rsidRPr="00812BBB" w:rsidRDefault="00766305">
      <w:pPr>
        <w:rPr>
          <w:rFonts w:ascii="Palatino Linotype" w:eastAsia="Palatino Linotype" w:hAnsi="Palatino Linotype" w:cs="Palatino Linotype"/>
          <w:b/>
          <w:bCs/>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rPr>
      </w:pPr>
      <w:r w:rsidRPr="00812BBB">
        <w:rPr>
          <w:rFonts w:ascii="Palatino Linotype" w:eastAsia="Palatino Linotype" w:hAnsi="Palatino Linotype" w:cs="Palatino Linotype"/>
          <w:color w:val="000000"/>
        </w:rPr>
        <w:t xml:space="preserve">Según </w:t>
      </w:r>
      <w:r w:rsidRPr="00812BBB">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sidRPr="00812BBB">
        <w:rPr>
          <w:rFonts w:ascii="Palatino Linotype" w:eastAsia="Palatino Linotype" w:hAnsi="Palatino Linotype" w:cs="Palatino Linotype"/>
          <w:i/>
          <w:iCs/>
        </w:rPr>
        <w:t xml:space="preserve">por los </w:t>
      </w:r>
      <w:r w:rsidRPr="00812BBB">
        <w:rPr>
          <w:rFonts w:ascii="Palatino Linotype" w:eastAsia="Palatino Linotype" w:hAnsi="Palatino Linotype" w:cs="Palatino Linotype"/>
          <w:i/>
          <w:iCs/>
        </w:rPr>
        <w:lastRenderedPageBreak/>
        <w:t>principios de simplicidad, rapidez gratuidad del procedimiento, auxilio y orientación a los particulares</w:t>
      </w:r>
      <w:r w:rsidRPr="00812BBB">
        <w:rPr>
          <w:rFonts w:ascii="Palatino Linotype" w:eastAsia="Palatino Linotype" w:hAnsi="Palatino Linotype" w:cs="Palatino Linotype"/>
        </w:rPr>
        <w:t>, contemplando el derecho de las personas con discapacidad y hablantes de lengua indígena.</w:t>
      </w:r>
    </w:p>
    <w:p w:rsidR="00766305" w:rsidRPr="00812BBB" w:rsidRDefault="00766305">
      <w:pPr>
        <w:spacing w:line="360" w:lineRule="auto"/>
        <w:ind w:right="1"/>
        <w:jc w:val="both"/>
        <w:rPr>
          <w:rFonts w:ascii="Palatino Linotype" w:eastAsia="Palatino Linotype" w:hAnsi="Palatino Linotype" w:cs="Palatino Linotype"/>
          <w:b/>
          <w:bCs/>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rPr>
      </w:pPr>
      <w:r w:rsidRPr="00812BBB">
        <w:rPr>
          <w:rFonts w:ascii="Palatino Linotype" w:eastAsia="Palatino Linotype" w:hAnsi="Palatino Linotype" w:cs="Palatino Linotype"/>
          <w:color w:val="000000"/>
        </w:rPr>
        <w:t xml:space="preserve">El </w:t>
      </w:r>
      <w:r w:rsidRPr="00812BBB">
        <w:rPr>
          <w:rFonts w:ascii="Palatino Linotype" w:eastAsia="Palatino Linotype" w:hAnsi="Palatino Linotype" w:cs="Palatino Linotype"/>
        </w:rPr>
        <w:t xml:space="preserve">Derecho de Acceso a la Información se garantiza y respeta oportunamente, y según lo que dispone la Ley, las </w:t>
      </w:r>
      <w:r w:rsidRPr="00812BBB">
        <w:rPr>
          <w:rFonts w:ascii="Palatino Linotype" w:eastAsia="Palatino Linotype" w:hAnsi="Palatino Linotype" w:cs="Palatino Linotype"/>
          <w:i/>
          <w:iCs/>
        </w:rPr>
        <w:t>solicitudes de acceso a la información</w:t>
      </w:r>
      <w:r w:rsidRPr="00812BBB">
        <w:rPr>
          <w:rFonts w:ascii="Palatino Linotype" w:eastAsia="Palatino Linotype" w:hAnsi="Palatino Linotype" w:cs="Palatino Linotype"/>
        </w:rPr>
        <w:t>.</w:t>
      </w:r>
    </w:p>
    <w:p w:rsidR="00766305" w:rsidRPr="00812BBB" w:rsidRDefault="00766305">
      <w:pPr>
        <w:ind w:right="1"/>
        <w:jc w:val="both"/>
        <w:rPr>
          <w:rFonts w:ascii="Palatino Linotype" w:eastAsia="Palatino Linotype" w:hAnsi="Palatino Linotype" w:cs="Palatino Linotype"/>
          <w:b/>
          <w:bCs/>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rPr>
      </w:pPr>
      <w:r w:rsidRPr="00812BBB">
        <w:rPr>
          <w:rFonts w:ascii="Palatino Linotype" w:eastAsia="Palatino Linotype" w:hAnsi="Palatino Linotype" w:cs="Palatino Linotype"/>
          <w:color w:val="000000"/>
        </w:rPr>
        <w:t xml:space="preserve">Así </w:t>
      </w:r>
      <w:r w:rsidRPr="00812BBB">
        <w:rPr>
          <w:rFonts w:ascii="Palatino Linotype" w:eastAsia="Palatino Linotype" w:hAnsi="Palatino Linotype" w:cs="Palatino Linotype"/>
        </w:rPr>
        <w:t xml:space="preserve">entonces, se procede analizar, en primer lugar, si el </w:t>
      </w:r>
      <w:r w:rsidRPr="00812BBB">
        <w:rPr>
          <w:rFonts w:ascii="Palatino Linotype" w:eastAsia="Palatino Linotype" w:hAnsi="Palatino Linotype" w:cs="Palatino Linotype"/>
          <w:b/>
          <w:bCs/>
        </w:rPr>
        <w:t>SUJETO OBLIGADO</w:t>
      </w:r>
      <w:r w:rsidRPr="00812BBB">
        <w:rPr>
          <w:rFonts w:ascii="Palatino Linotype" w:eastAsia="Palatino Linotype" w:hAnsi="Palatino Linotype" w:cs="Palatino Linotype"/>
        </w:rPr>
        <w:t xml:space="preserve"> al atender la solicitud de acceso a la información, satisfizo la garantía primaria del derecho según lo dispuesto por el artículo 150 de</w:t>
      </w:r>
      <w:r w:rsidRPr="00812BBB">
        <w:rPr>
          <w:rFonts w:ascii="Palatino Linotype" w:eastAsia="Palatino Linotype" w:hAnsi="Palatino Linotype" w:cs="Palatino Linotype"/>
          <w:highlight w:val="white"/>
        </w:rPr>
        <w:t xml:space="preserve"> la Ley de Transparencia y Acceso a la Información Pública del Estado de México y Municipios y en segundo término si cumplió con su deber de respetar y garantizar el derecho, entregando la información solicitada.</w:t>
      </w:r>
    </w:p>
    <w:p w:rsidR="00766305" w:rsidRPr="00812BBB" w:rsidRDefault="00766305">
      <w:pPr>
        <w:rPr>
          <w:rFonts w:ascii="Palatino Linotype" w:eastAsia="Palatino Linotype" w:hAnsi="Palatino Linotype" w:cs="Palatino Linotype"/>
          <w:b/>
          <w:bCs/>
          <w:highlight w:val="white"/>
        </w:rPr>
      </w:pPr>
    </w:p>
    <w:p w:rsidR="00766305" w:rsidRPr="00812BBB" w:rsidRDefault="00E97EF6">
      <w:pPr>
        <w:keepNext/>
        <w:keepLines/>
        <w:numPr>
          <w:ilvl w:val="1"/>
          <w:numId w:val="3"/>
        </w:numPr>
        <w:spacing w:line="360" w:lineRule="auto"/>
        <w:ind w:left="567" w:right="-592"/>
        <w:jc w:val="both"/>
        <w:rPr>
          <w:rFonts w:ascii="Palatino Linotype" w:eastAsia="Palatino Linotype" w:hAnsi="Palatino Linotype" w:cs="Palatino Linotype"/>
          <w:b/>
          <w:bCs/>
          <w:highlight w:val="white"/>
        </w:rPr>
      </w:pPr>
      <w:r w:rsidRPr="00812BBB">
        <w:rPr>
          <w:rFonts w:ascii="Palatino Linotype" w:eastAsia="Palatino Linotype" w:hAnsi="Palatino Linotype" w:cs="Palatino Linotype"/>
          <w:b/>
          <w:bCs/>
          <w:highlight w:val="white"/>
        </w:rPr>
        <w:t>De la información solicitada y la respuesta del SUJETO OBLIGADO.</w:t>
      </w: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rPr>
      </w:pPr>
      <w:bookmarkStart w:id="5" w:name="_heading=h.30j0zll" w:colFirst="0" w:colLast="0"/>
      <w:bookmarkEnd w:id="5"/>
      <w:r w:rsidRPr="00812BBB">
        <w:rPr>
          <w:rFonts w:ascii="Palatino Linotype" w:eastAsia="Palatino Linotype" w:hAnsi="Palatino Linotype" w:cs="Palatino Linotype"/>
          <w:highlight w:val="white"/>
        </w:rPr>
        <w:t>Derivado del Planteamiento de la Litis, se procede a a</w:t>
      </w:r>
      <w:r w:rsidRPr="00812BBB">
        <w:rPr>
          <w:rFonts w:ascii="Palatino Linotype" w:eastAsia="Palatino Linotype" w:hAnsi="Palatino Linotype" w:cs="Palatino Linotype"/>
        </w:rPr>
        <w:t>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766305" w:rsidRPr="00812BBB" w:rsidRDefault="00766305">
      <w:pPr>
        <w:spacing w:line="360" w:lineRule="auto"/>
        <w:ind w:right="1"/>
        <w:jc w:val="both"/>
        <w:rPr>
          <w:rFonts w:ascii="Palatino Linotype" w:eastAsia="Palatino Linotype" w:hAnsi="Palatino Linotype" w:cs="Palatino Linotype"/>
          <w:b/>
          <w:bCs/>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rPr>
      </w:pPr>
      <w:r w:rsidRPr="00812BBB">
        <w:rPr>
          <w:rFonts w:ascii="Palatino Linotype" w:eastAsia="Palatino Linotype" w:hAnsi="Palatino Linotype" w:cs="Palatino Linotype"/>
        </w:rPr>
        <w:t xml:space="preserve">Así, resulta conveniente reiterar la información solicitada por la parte </w:t>
      </w:r>
      <w:r w:rsidRPr="00812BBB">
        <w:rPr>
          <w:rFonts w:ascii="Palatino Linotype" w:eastAsia="Palatino Linotype" w:hAnsi="Palatino Linotype" w:cs="Palatino Linotype"/>
          <w:b/>
          <w:bCs/>
        </w:rPr>
        <w:t>RECURRENTE</w:t>
      </w:r>
      <w:r w:rsidRPr="00812BBB">
        <w:rPr>
          <w:rFonts w:ascii="Palatino Linotype" w:eastAsia="Palatino Linotype" w:hAnsi="Palatino Linotype" w:cs="Palatino Linotype"/>
        </w:rPr>
        <w:t xml:space="preserve">, así como la respuesta emitida por el </w:t>
      </w:r>
      <w:r w:rsidRPr="00812BBB">
        <w:rPr>
          <w:rFonts w:ascii="Palatino Linotype" w:eastAsia="Palatino Linotype" w:hAnsi="Palatino Linotype" w:cs="Palatino Linotype"/>
          <w:b/>
          <w:bCs/>
        </w:rPr>
        <w:t>SUJETO OBLIGADO</w:t>
      </w:r>
      <w:r w:rsidRPr="00812BBB">
        <w:rPr>
          <w:rFonts w:ascii="Palatino Linotype" w:eastAsia="Palatino Linotype" w:hAnsi="Palatino Linotype" w:cs="Palatino Linotype"/>
        </w:rPr>
        <w:t>, mediante el siguiente cuadro descriptivo:</w:t>
      </w:r>
    </w:p>
    <w:p w:rsidR="00766305" w:rsidRDefault="00766305">
      <w:pPr>
        <w:spacing w:line="360" w:lineRule="auto"/>
        <w:ind w:right="1"/>
        <w:jc w:val="both"/>
        <w:rPr>
          <w:rFonts w:ascii="Palatino Linotype" w:eastAsia="Palatino Linotype" w:hAnsi="Palatino Linotype" w:cs="Palatino Linotype"/>
          <w:b/>
          <w:bCs/>
        </w:rPr>
      </w:pPr>
    </w:p>
    <w:p w:rsidR="00812BBB" w:rsidRPr="00812BBB" w:rsidRDefault="00812BBB">
      <w:pPr>
        <w:spacing w:line="360" w:lineRule="auto"/>
        <w:ind w:right="1"/>
        <w:jc w:val="both"/>
        <w:rPr>
          <w:rFonts w:ascii="Palatino Linotype" w:eastAsia="Palatino Linotype" w:hAnsi="Palatino Linotype" w:cs="Palatino Linotype"/>
          <w:b/>
          <w:bCs/>
        </w:rPr>
      </w:pPr>
    </w:p>
    <w:tbl>
      <w:tblPr>
        <w:tblStyle w:val="a"/>
        <w:tblW w:w="90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5103"/>
      </w:tblGrid>
      <w:tr w:rsidR="00766305" w:rsidRPr="00812BBB">
        <w:trPr>
          <w:jc w:val="center"/>
        </w:trPr>
        <w:tc>
          <w:tcPr>
            <w:tcW w:w="3964" w:type="dxa"/>
            <w:shd w:val="clear" w:color="auto" w:fill="D9D9D9"/>
          </w:tcPr>
          <w:p w:rsidR="00766305" w:rsidRPr="00812BBB" w:rsidRDefault="00E97EF6">
            <w:pPr>
              <w:ind w:right="1"/>
              <w:jc w:val="center"/>
              <w:rPr>
                <w:rFonts w:ascii="Palatino Linotype" w:eastAsia="Palatino Linotype" w:hAnsi="Palatino Linotype" w:cs="Palatino Linotype"/>
                <w:b/>
                <w:bCs/>
              </w:rPr>
            </w:pPr>
            <w:r w:rsidRPr="00812BBB">
              <w:rPr>
                <w:rFonts w:ascii="Palatino Linotype" w:eastAsia="Palatino Linotype" w:hAnsi="Palatino Linotype" w:cs="Palatino Linotype"/>
                <w:b/>
                <w:bCs/>
              </w:rPr>
              <w:lastRenderedPageBreak/>
              <w:t>Información Solicitada</w:t>
            </w:r>
          </w:p>
        </w:tc>
        <w:tc>
          <w:tcPr>
            <w:tcW w:w="5103" w:type="dxa"/>
            <w:tcBorders>
              <w:right w:val="single" w:sz="4" w:space="0" w:color="000000"/>
            </w:tcBorders>
            <w:shd w:val="clear" w:color="auto" w:fill="D9D9D9"/>
          </w:tcPr>
          <w:p w:rsidR="00766305" w:rsidRPr="00812BBB" w:rsidRDefault="00E97EF6">
            <w:pPr>
              <w:ind w:right="1"/>
              <w:jc w:val="center"/>
              <w:rPr>
                <w:rFonts w:ascii="Palatino Linotype" w:eastAsia="Palatino Linotype" w:hAnsi="Palatino Linotype" w:cs="Palatino Linotype"/>
                <w:b/>
                <w:bCs/>
              </w:rPr>
            </w:pPr>
            <w:r w:rsidRPr="00812BBB">
              <w:rPr>
                <w:rFonts w:ascii="Palatino Linotype" w:eastAsia="Palatino Linotype" w:hAnsi="Palatino Linotype" w:cs="Palatino Linotype"/>
                <w:b/>
                <w:bCs/>
              </w:rPr>
              <w:t>Respuesta</w:t>
            </w:r>
          </w:p>
        </w:tc>
      </w:tr>
      <w:tr w:rsidR="00766305" w:rsidRPr="00812BBB">
        <w:trPr>
          <w:trHeight w:val="1928"/>
          <w:jc w:val="center"/>
        </w:trPr>
        <w:tc>
          <w:tcPr>
            <w:tcW w:w="3964" w:type="dxa"/>
          </w:tcPr>
          <w:p w:rsidR="00766305" w:rsidRPr="00812BBB" w:rsidRDefault="00E97EF6">
            <w:pPr>
              <w:ind w:right="1"/>
              <w:jc w:val="both"/>
              <w:rPr>
                <w:rFonts w:ascii="Palatino Linotype" w:eastAsia="Palatino Linotype" w:hAnsi="Palatino Linotype" w:cs="Palatino Linotype"/>
                <w:b/>
                <w:bCs/>
              </w:rPr>
            </w:pPr>
            <w:bookmarkStart w:id="6" w:name="_heading=h.sg69pjfuscz6" w:colFirst="0" w:colLast="0"/>
            <w:bookmarkEnd w:id="6"/>
            <w:r w:rsidRPr="00812BBB">
              <w:rPr>
                <w:rFonts w:ascii="Palatino Linotype" w:eastAsia="Palatino Linotype" w:hAnsi="Palatino Linotype" w:cs="Palatino Linotype"/>
              </w:rPr>
              <w:t>El número de sellos de suspensión provisional que se han retirado y los recibos de pago de las multas correspondientes.</w:t>
            </w:r>
          </w:p>
        </w:tc>
        <w:tc>
          <w:tcPr>
            <w:tcW w:w="5103" w:type="dxa"/>
            <w:tcBorders>
              <w:right w:val="single" w:sz="4" w:space="0" w:color="000000"/>
            </w:tcBorders>
          </w:tcPr>
          <w:p w:rsidR="00766305" w:rsidRPr="00812BBB" w:rsidRDefault="00E97EF6">
            <w:pPr>
              <w:ind w:right="41"/>
              <w:jc w:val="both"/>
              <w:rPr>
                <w:rFonts w:ascii="Palatino Linotype" w:eastAsia="Palatino Linotype" w:hAnsi="Palatino Linotype" w:cs="Palatino Linotype"/>
                <w:highlight w:val="white"/>
              </w:rPr>
            </w:pPr>
            <w:r w:rsidRPr="00812BBB">
              <w:rPr>
                <w:rFonts w:ascii="Palatino Linotype" w:eastAsia="Palatino Linotype" w:hAnsi="Palatino Linotype" w:cs="Palatino Linotype"/>
                <w:highlight w:val="white"/>
              </w:rPr>
              <w:t>El Director de Desarrollo Metropolitano Sostenible, señaló que el número de retiros de sellos es 65, de los cuales, refirió adjuntar de forma impresa y digital 46 órdenes de pago en versión pública, documento con el que se paga en Tesorería (respecto a multas por retiro de sellos que se han cobrado).</w:t>
            </w:r>
          </w:p>
        </w:tc>
      </w:tr>
    </w:tbl>
    <w:p w:rsidR="00766305" w:rsidRPr="00812BBB" w:rsidRDefault="00766305">
      <w:pPr>
        <w:spacing w:line="360" w:lineRule="auto"/>
        <w:ind w:right="1"/>
        <w:jc w:val="both"/>
        <w:rPr>
          <w:rFonts w:ascii="Palatino Linotype" w:eastAsia="Palatino Linotype" w:hAnsi="Palatino Linotype" w:cs="Palatino Linotype"/>
          <w:b/>
          <w:bCs/>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rPr>
      </w:pPr>
      <w:r w:rsidRPr="00812BBB">
        <w:rPr>
          <w:rFonts w:ascii="Palatino Linotype" w:eastAsia="Palatino Linotype" w:hAnsi="Palatino Linotype" w:cs="Palatino Linotype"/>
        </w:rPr>
        <w:t>Inconforme con la respuesta, la parte</w:t>
      </w:r>
      <w:r w:rsidRPr="00812BBB">
        <w:rPr>
          <w:rFonts w:ascii="Palatino Linotype" w:eastAsia="Palatino Linotype" w:hAnsi="Palatino Linotype" w:cs="Palatino Linotype"/>
          <w:b/>
          <w:bCs/>
        </w:rPr>
        <w:t xml:space="preserve"> RECURRENTE </w:t>
      </w:r>
      <w:r w:rsidRPr="00812BBB">
        <w:rPr>
          <w:rFonts w:ascii="Palatino Linotype" w:eastAsia="Palatino Linotype" w:hAnsi="Palatino Linotype" w:cs="Palatino Linotype"/>
        </w:rPr>
        <w:t xml:space="preserve">manifestó </w:t>
      </w:r>
      <w:r w:rsidRPr="00812BBB">
        <w:rPr>
          <w:rFonts w:ascii="Palatino Linotype" w:eastAsia="Palatino Linotype" w:hAnsi="Palatino Linotype" w:cs="Palatino Linotype"/>
          <w:b/>
          <w:bCs/>
        </w:rPr>
        <w:t>la clasificación de la información, asimismo, señaló que esta no le fue entregada de manera cronológica.</w:t>
      </w:r>
    </w:p>
    <w:p w:rsidR="00766305" w:rsidRPr="00812BBB" w:rsidRDefault="00766305">
      <w:pPr>
        <w:spacing w:line="360" w:lineRule="auto"/>
        <w:ind w:right="1"/>
        <w:jc w:val="both"/>
        <w:rPr>
          <w:rFonts w:ascii="Palatino Linotype" w:eastAsia="Palatino Linotype" w:hAnsi="Palatino Linotype" w:cs="Palatino Linotype"/>
          <w:b/>
          <w:bCs/>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rPr>
      </w:pPr>
      <w:r w:rsidRPr="00812BBB">
        <w:rPr>
          <w:rFonts w:ascii="Palatino Linotype" w:eastAsia="Palatino Linotype" w:hAnsi="Palatino Linotype" w:cs="Palatino Linotype"/>
        </w:rPr>
        <w:t>Así, mediante un acto jurídico posterior como lo es el informe justificado, el</w:t>
      </w:r>
      <w:r w:rsidRPr="00812BBB">
        <w:rPr>
          <w:rFonts w:ascii="Palatino Linotype" w:eastAsia="Palatino Linotype" w:hAnsi="Palatino Linotype" w:cs="Palatino Linotype"/>
          <w:b/>
          <w:bCs/>
        </w:rPr>
        <w:t xml:space="preserve"> SUJETO OBLIGADO </w:t>
      </w:r>
      <w:r w:rsidRPr="00812BBB">
        <w:rPr>
          <w:rFonts w:ascii="Palatino Linotype" w:eastAsia="Palatino Linotype" w:hAnsi="Palatino Linotype" w:cs="Palatino Linotype"/>
        </w:rPr>
        <w:t>por medio del Director de Desarrollo Metropolitano Sostenible, r</w:t>
      </w:r>
      <w:r w:rsidRPr="00812BBB">
        <w:rPr>
          <w:rFonts w:ascii="Palatino Linotype" w:eastAsia="Palatino Linotype" w:hAnsi="Palatino Linotype" w:cs="Palatino Linotype"/>
          <w:highlight w:val="white"/>
        </w:rPr>
        <w:t xml:space="preserve">emitió las 46 </w:t>
      </w:r>
      <w:r w:rsidR="00812BBB" w:rsidRPr="00812BBB">
        <w:rPr>
          <w:rFonts w:ascii="Palatino Linotype" w:eastAsia="Palatino Linotype" w:hAnsi="Palatino Linotype" w:cs="Palatino Linotype"/>
          <w:highlight w:val="white"/>
        </w:rPr>
        <w:t>órdenes</w:t>
      </w:r>
      <w:r w:rsidRPr="00812BBB">
        <w:rPr>
          <w:rFonts w:ascii="Palatino Linotype" w:eastAsia="Palatino Linotype" w:hAnsi="Palatino Linotype" w:cs="Palatino Linotype"/>
          <w:highlight w:val="white"/>
        </w:rPr>
        <w:t xml:space="preserve"> de pago referidas en respuesta, así como, el Acuerdo número UT/CUAU/SO002/AVPP021/2025 de la segunda sesión ordinaria de fecha 14 de octubre de 2025, mediante el cual, se aprobó la versión pública.</w:t>
      </w:r>
    </w:p>
    <w:p w:rsidR="00766305" w:rsidRPr="00812BBB" w:rsidRDefault="00766305">
      <w:pPr>
        <w:spacing w:line="360" w:lineRule="auto"/>
        <w:ind w:right="1"/>
        <w:jc w:val="both"/>
        <w:rPr>
          <w:rFonts w:ascii="Palatino Linotype" w:eastAsia="Palatino Linotype" w:hAnsi="Palatino Linotype" w:cs="Palatino Linotype"/>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rPr>
      </w:pPr>
      <w:r w:rsidRPr="00812BBB">
        <w:rPr>
          <w:rFonts w:ascii="Palatino Linotype" w:eastAsia="Palatino Linotype" w:hAnsi="Palatino Linotype" w:cs="Palatino Linotype"/>
        </w:rPr>
        <w:t xml:space="preserve">Así, es necesario señalar que </w:t>
      </w:r>
      <w:r w:rsidRPr="00812BBB">
        <w:rPr>
          <w:rFonts w:ascii="Palatino Linotype" w:eastAsia="Palatino Linotype" w:hAnsi="Palatino Linotype" w:cs="Palatino Linotype"/>
          <w:color w:val="222222"/>
        </w:rPr>
        <w:t xml:space="preserve">se obvia el análisis de la competencia por parte del </w:t>
      </w:r>
      <w:r w:rsidRPr="00812BBB">
        <w:rPr>
          <w:rFonts w:ascii="Palatino Linotype" w:eastAsia="Palatino Linotype" w:hAnsi="Palatino Linotype" w:cs="Palatino Linotype"/>
          <w:b/>
          <w:bCs/>
          <w:color w:val="222222"/>
        </w:rPr>
        <w:t>SUJETO OBLIGADO</w:t>
      </w:r>
      <w:r w:rsidRPr="00812BBB">
        <w:rPr>
          <w:rFonts w:ascii="Palatino Linotype" w:eastAsia="Palatino Linotype" w:hAnsi="Palatino Linotype" w:cs="Palatino Linotype"/>
          <w:color w:val="222222"/>
        </w:rPr>
        <w:t>, para generar, administrar o poseer la información solicitada, dado que éste ha asumido la misma, tan es así que hizo entrega de los contratos solicitados.</w:t>
      </w:r>
    </w:p>
    <w:p w:rsidR="00766305" w:rsidRPr="00812BBB" w:rsidRDefault="00766305">
      <w:pPr>
        <w:spacing w:line="360" w:lineRule="auto"/>
        <w:ind w:left="357" w:right="1"/>
        <w:jc w:val="both"/>
        <w:rPr>
          <w:rFonts w:ascii="Palatino Linotype" w:eastAsia="Palatino Linotype" w:hAnsi="Palatino Linotype" w:cs="Palatino Linotype"/>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rPr>
      </w:pPr>
      <w:r w:rsidRPr="00812BBB">
        <w:rPr>
          <w:rFonts w:ascii="Palatino Linotype" w:eastAsia="Palatino Linotype" w:hAnsi="Palatino Linotype" w:cs="Palatino Linotype"/>
        </w:rPr>
        <w:t xml:space="preserve">En este sentido, </w:t>
      </w:r>
      <w:r w:rsidRPr="00812BBB">
        <w:rPr>
          <w:rFonts w:ascii="Palatino Linotype" w:eastAsia="Palatino Linotype" w:hAnsi="Palatino Linotype" w:cs="Palatino Linotype"/>
          <w:color w:val="222222"/>
        </w:rPr>
        <w:t>el hecho de que el</w:t>
      </w:r>
      <w:r w:rsidRPr="00812BBB">
        <w:rPr>
          <w:rFonts w:ascii="Palatino Linotype" w:eastAsia="Palatino Linotype" w:hAnsi="Palatino Linotype" w:cs="Palatino Linotype"/>
          <w:b/>
          <w:bCs/>
          <w:color w:val="222222"/>
        </w:rPr>
        <w:t xml:space="preserve"> SUJETO OBLIGADO</w:t>
      </w:r>
      <w:r w:rsidRPr="00812BBB">
        <w:rPr>
          <w:rFonts w:ascii="Palatino Linotype" w:eastAsia="Palatino Linotype" w:hAnsi="Palatino Linotype" w:cs="Palatino Linotype"/>
          <w:color w:val="222222"/>
        </w:rPr>
        <w:t xml:space="preserve"> haya asumido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766305" w:rsidRPr="00812BBB" w:rsidRDefault="00E97EF6">
      <w:pPr>
        <w:shd w:val="clear" w:color="auto" w:fill="FFFFFF"/>
        <w:ind w:left="567" w:right="822"/>
        <w:jc w:val="both"/>
        <w:rPr>
          <w:rFonts w:ascii="Palatino Linotype" w:eastAsia="Palatino Linotype" w:hAnsi="Palatino Linotype" w:cs="Palatino Linotype"/>
          <w:i/>
          <w:iCs/>
          <w:color w:val="222222"/>
        </w:rPr>
      </w:pPr>
      <w:r w:rsidRPr="00812BBB">
        <w:rPr>
          <w:rFonts w:ascii="Palatino Linotype" w:eastAsia="Palatino Linotype" w:hAnsi="Palatino Linotype" w:cs="Palatino Linotype"/>
          <w:i/>
          <w:iCs/>
          <w:color w:val="222222"/>
        </w:rPr>
        <w:lastRenderedPageBreak/>
        <w:t>“</w:t>
      </w:r>
      <w:r w:rsidRPr="00812BBB">
        <w:rPr>
          <w:rFonts w:ascii="Palatino Linotype" w:eastAsia="Palatino Linotype" w:hAnsi="Palatino Linotype" w:cs="Palatino Linotype"/>
          <w:b/>
          <w:bCs/>
          <w:i/>
          <w:iCs/>
          <w:color w:val="222222"/>
        </w:rPr>
        <w:t>Artículo 12.</w:t>
      </w:r>
      <w:r w:rsidRPr="00812BBB">
        <w:rPr>
          <w:rFonts w:ascii="Palatino Linotype" w:eastAsia="Palatino Linotype" w:hAnsi="Palatino Linotype" w:cs="Palatino Linotype"/>
          <w:i/>
          <w:iCs/>
          <w:color w:val="222222"/>
        </w:rPr>
        <w:t> Quienes generen, recopilen, administren, manejen, procesen, archiven o conserven información pública serán responsables de la misma en los términos de las disposiciones jurídicas aplicables.</w:t>
      </w:r>
    </w:p>
    <w:p w:rsidR="00766305" w:rsidRPr="00812BBB" w:rsidRDefault="00766305">
      <w:pPr>
        <w:shd w:val="clear" w:color="auto" w:fill="FFFFFF"/>
        <w:ind w:left="567" w:right="822"/>
        <w:jc w:val="both"/>
        <w:rPr>
          <w:rFonts w:ascii="Palatino Linotype" w:eastAsia="Palatino Linotype" w:hAnsi="Palatino Linotype" w:cs="Palatino Linotype"/>
          <w:color w:val="222222"/>
        </w:rPr>
      </w:pPr>
    </w:p>
    <w:p w:rsidR="00766305" w:rsidRPr="00812BBB" w:rsidRDefault="00E97EF6">
      <w:pPr>
        <w:shd w:val="clear" w:color="auto" w:fill="FFFFFF"/>
        <w:ind w:left="567" w:right="822"/>
        <w:jc w:val="both"/>
        <w:rPr>
          <w:rFonts w:ascii="Palatino Linotype" w:eastAsia="Palatino Linotype" w:hAnsi="Palatino Linotype" w:cs="Palatino Linotype"/>
          <w:highlight w:val="white"/>
        </w:rPr>
      </w:pPr>
      <w:r w:rsidRPr="00812BBB">
        <w:rPr>
          <w:rFonts w:ascii="Palatino Linotype" w:eastAsia="Palatino Linotype" w:hAnsi="Palatino Linotype" w:cs="Palatino Linotype"/>
          <w:i/>
          <w:iCs/>
          <w:color w:val="222222"/>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w:t>
      </w:r>
      <w:r w:rsidRPr="00812BBB">
        <w:rPr>
          <w:rFonts w:ascii="Palatino Linotype" w:eastAsia="Palatino Linotype" w:hAnsi="Palatino Linotype" w:cs="Palatino Linotype"/>
          <w:i/>
          <w:iCs/>
          <w:color w:val="222222"/>
          <w:highlight w:val="white"/>
        </w:rPr>
        <w:t>practicar investigaciones.”</w:t>
      </w:r>
    </w:p>
    <w:p w:rsidR="00766305" w:rsidRPr="00812BBB" w:rsidRDefault="00766305">
      <w:pPr>
        <w:spacing w:line="360" w:lineRule="auto"/>
        <w:ind w:right="1"/>
        <w:jc w:val="both"/>
        <w:rPr>
          <w:rFonts w:ascii="Palatino Linotype" w:eastAsia="Palatino Linotype" w:hAnsi="Palatino Linotype" w:cs="Palatino Linotype"/>
          <w:highlight w:val="white"/>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highlight w:val="white"/>
        </w:rPr>
      </w:pPr>
      <w:r w:rsidRPr="00812BBB">
        <w:rPr>
          <w:rFonts w:ascii="Palatino Linotype" w:eastAsia="Palatino Linotype" w:hAnsi="Palatino Linotype" w:cs="Palatino Linotype"/>
          <w:highlight w:val="white"/>
        </w:rPr>
        <w:t xml:space="preserve">No obstante, del análisis realizado a las documentales proporcionadas, se advierte que se realizó una versión pública excesiva en las órdenes de pago proporcionados, toda vez que se testaron datos de carácter público, como lo son: </w:t>
      </w:r>
      <w:r w:rsidRPr="00812BBB">
        <w:rPr>
          <w:rFonts w:ascii="Palatino Linotype" w:eastAsia="Palatino Linotype" w:hAnsi="Palatino Linotype" w:cs="Palatino Linotype"/>
          <w:b/>
          <w:bCs/>
          <w:highlight w:val="white"/>
        </w:rPr>
        <w:t xml:space="preserve">el folio de la orden de pago y el nombre y firma de servidores públicos en el ejercicio de sus funciones. </w:t>
      </w:r>
      <w:r w:rsidRPr="00812BBB">
        <w:rPr>
          <w:rFonts w:ascii="Palatino Linotype" w:eastAsia="Palatino Linotype" w:hAnsi="Palatino Linotype" w:cs="Palatino Linotype"/>
          <w:highlight w:val="white"/>
        </w:rPr>
        <w:t>Se inserta la siguiente captura de pantalla de manera ilustrativa:</w:t>
      </w:r>
    </w:p>
    <w:p w:rsidR="00766305" w:rsidRPr="00812BBB" w:rsidRDefault="00766305">
      <w:pPr>
        <w:spacing w:line="360" w:lineRule="auto"/>
        <w:ind w:left="357" w:right="1"/>
        <w:jc w:val="both"/>
        <w:rPr>
          <w:rFonts w:ascii="Palatino Linotype" w:eastAsia="Palatino Linotype" w:hAnsi="Palatino Linotype" w:cs="Palatino Linotype"/>
          <w:highlight w:val="white"/>
        </w:rPr>
      </w:pPr>
    </w:p>
    <w:p w:rsidR="00766305" w:rsidRPr="00812BBB" w:rsidRDefault="00E97EF6">
      <w:pPr>
        <w:spacing w:line="360" w:lineRule="auto"/>
        <w:ind w:right="1"/>
        <w:jc w:val="both"/>
        <w:rPr>
          <w:rFonts w:ascii="Palatino Linotype" w:eastAsia="Palatino Linotype" w:hAnsi="Palatino Linotype" w:cs="Palatino Linotype"/>
          <w:b/>
          <w:bCs/>
          <w:highlight w:val="white"/>
        </w:rPr>
      </w:pPr>
      <w:r w:rsidRPr="00812BBB">
        <w:rPr>
          <w:rFonts w:ascii="Palatino Linotype" w:eastAsia="Palatino Linotype" w:hAnsi="Palatino Linotype" w:cs="Palatino Linotype"/>
          <w:noProof/>
          <w:highlight w:val="white"/>
        </w:rPr>
        <w:lastRenderedPageBreak/>
        <w:drawing>
          <wp:inline distT="114300" distB="114300" distL="114300" distR="114300">
            <wp:extent cx="5922645" cy="39243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922645" cy="3924300"/>
                    </a:xfrm>
                    <a:prstGeom prst="rect">
                      <a:avLst/>
                    </a:prstGeom>
                    <a:ln/>
                  </pic:spPr>
                </pic:pic>
              </a:graphicData>
            </a:graphic>
          </wp:inline>
        </w:drawing>
      </w: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highlight w:val="white"/>
        </w:rPr>
      </w:pPr>
      <w:r w:rsidRPr="00812BBB">
        <w:rPr>
          <w:rFonts w:ascii="Palatino Linotype" w:eastAsia="Palatino Linotype" w:hAnsi="Palatino Linotype" w:cs="Palatino Linotype"/>
          <w:highlight w:val="white"/>
        </w:rPr>
        <w:t>Al respecto, es importante señalar que la clasificación total o parcial de la información requerida mediante solicitud de acceso a la información pública, constituye una restricción al derecho humano de acceso a la información.</w:t>
      </w:r>
    </w:p>
    <w:p w:rsidR="00812BBB" w:rsidRPr="00812BBB" w:rsidRDefault="00812BBB" w:rsidP="00812BBB">
      <w:pPr>
        <w:spacing w:line="360" w:lineRule="auto"/>
        <w:ind w:right="1"/>
        <w:jc w:val="both"/>
        <w:rPr>
          <w:rFonts w:ascii="Palatino Linotype" w:eastAsia="Palatino Linotype" w:hAnsi="Palatino Linotype" w:cs="Palatino Linotype"/>
          <w:b/>
          <w:bCs/>
          <w:highlight w:val="white"/>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highlight w:val="white"/>
        </w:rPr>
      </w:pPr>
      <w:r w:rsidRPr="00812BBB">
        <w:rPr>
          <w:rFonts w:ascii="Palatino Linotype" w:eastAsia="Palatino Linotype" w:hAnsi="Palatino Linotype" w:cs="Palatino Linotype"/>
          <w:highlight w:val="white"/>
        </w:rPr>
        <w:t>En este caso, es un supuesto que la Ley de Transparencia y Acceso a la Información Pública del Estado de México y Municipios, establece el procedimiento legalmente establecido, para ello.</w:t>
      </w:r>
    </w:p>
    <w:p w:rsidR="00766305" w:rsidRPr="00812BBB" w:rsidRDefault="00766305">
      <w:pPr>
        <w:spacing w:line="360" w:lineRule="auto"/>
        <w:ind w:left="357" w:right="1"/>
        <w:jc w:val="both"/>
        <w:rPr>
          <w:rFonts w:ascii="Palatino Linotype" w:eastAsia="Palatino Linotype" w:hAnsi="Palatino Linotype" w:cs="Palatino Linotype"/>
          <w:highlight w:val="white"/>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highlight w:val="white"/>
        </w:rPr>
      </w:pPr>
      <w:r w:rsidRPr="00812BBB">
        <w:rPr>
          <w:rFonts w:ascii="Palatino Linotype" w:eastAsia="Palatino Linotype" w:hAnsi="Palatino Linotype" w:cs="Palatino Linotype"/>
          <w:highlight w:val="white"/>
        </w:rPr>
        <w:t>Al respecto, los Lineamientos Generales en Materia de Clasificación y Desclasificación de la Información, así Como para la Elaboración de Versiones Públicas, por cuanto hace a la clasificación de la información, señalan lo siguiente:</w:t>
      </w:r>
    </w:p>
    <w:p w:rsidR="00766305" w:rsidRPr="00812BBB" w:rsidRDefault="00766305">
      <w:pPr>
        <w:spacing w:line="360" w:lineRule="auto"/>
        <w:ind w:left="357" w:right="1"/>
        <w:jc w:val="both"/>
        <w:rPr>
          <w:rFonts w:ascii="Palatino Linotype" w:eastAsia="Palatino Linotype" w:hAnsi="Palatino Linotype" w:cs="Palatino Linotype"/>
          <w:highlight w:val="white"/>
        </w:rPr>
      </w:pPr>
    </w:p>
    <w:p w:rsidR="00766305" w:rsidRPr="00812BBB" w:rsidRDefault="00E97EF6">
      <w:pPr>
        <w:tabs>
          <w:tab w:val="left" w:pos="142"/>
          <w:tab w:val="left" w:pos="284"/>
        </w:tabs>
        <w:ind w:left="567" w:right="539"/>
        <w:jc w:val="both"/>
        <w:rPr>
          <w:rFonts w:ascii="Palatino Linotype" w:eastAsia="Palatino Linotype" w:hAnsi="Palatino Linotype" w:cs="Palatino Linotype"/>
          <w:i/>
          <w:iCs/>
          <w:highlight w:val="white"/>
        </w:rPr>
      </w:pPr>
      <w:r w:rsidRPr="00812BBB">
        <w:rPr>
          <w:rFonts w:ascii="Palatino Linotype" w:eastAsia="Palatino Linotype" w:hAnsi="Palatino Linotype" w:cs="Palatino Linotype"/>
          <w:i/>
          <w:iCs/>
          <w:highlight w:val="white"/>
        </w:rPr>
        <w:lastRenderedPageBreak/>
        <w:t>“</w:t>
      </w:r>
      <w:r w:rsidRPr="00812BBB">
        <w:rPr>
          <w:rFonts w:ascii="Palatino Linotype" w:eastAsia="Palatino Linotype" w:hAnsi="Palatino Linotype" w:cs="Palatino Linotype"/>
          <w:b/>
          <w:bCs/>
          <w:i/>
          <w:iCs/>
          <w:highlight w:val="white"/>
        </w:rPr>
        <w:t>Quincuagésimo.</w:t>
      </w:r>
      <w:r w:rsidRPr="00812BBB">
        <w:rPr>
          <w:rFonts w:ascii="Palatino Linotype" w:eastAsia="Palatino Linotype" w:hAnsi="Palatino Linotype" w:cs="Palatino Linotype"/>
          <w:i/>
          <w:iCs/>
          <w:highlight w:val="white"/>
        </w:rPr>
        <w:t xml:space="preserve"> Los titulares de las áreas de los sujetos obligados podrán utilizar los formatos contenidos en el presente Capítulo como modelo para señalar la clasificación de documentos o expedientes, sin perjuicio de que establezcan los propios.</w:t>
      </w:r>
    </w:p>
    <w:p w:rsidR="00766305" w:rsidRPr="00812BBB" w:rsidRDefault="00766305">
      <w:pPr>
        <w:tabs>
          <w:tab w:val="left" w:pos="142"/>
          <w:tab w:val="left" w:pos="284"/>
        </w:tabs>
        <w:ind w:left="567" w:right="539"/>
        <w:jc w:val="both"/>
        <w:rPr>
          <w:rFonts w:ascii="Palatino Linotype" w:eastAsia="Palatino Linotype" w:hAnsi="Palatino Linotype" w:cs="Palatino Linotype"/>
          <w:i/>
          <w:iCs/>
          <w:highlight w:val="white"/>
        </w:rPr>
      </w:pPr>
    </w:p>
    <w:p w:rsidR="00766305" w:rsidRPr="00812BBB" w:rsidRDefault="00E97EF6">
      <w:pPr>
        <w:tabs>
          <w:tab w:val="left" w:pos="142"/>
          <w:tab w:val="left" w:pos="284"/>
        </w:tabs>
        <w:ind w:left="567" w:right="539"/>
        <w:jc w:val="both"/>
        <w:rPr>
          <w:rFonts w:ascii="Palatino Linotype" w:eastAsia="Palatino Linotype" w:hAnsi="Palatino Linotype" w:cs="Palatino Linotype"/>
          <w:i/>
          <w:iCs/>
          <w:highlight w:val="white"/>
        </w:rPr>
      </w:pPr>
      <w:r w:rsidRPr="00812BBB">
        <w:rPr>
          <w:rFonts w:ascii="Palatino Linotype" w:eastAsia="Palatino Linotype" w:hAnsi="Palatino Linotype" w:cs="Palatino Linotype"/>
          <w:b/>
          <w:bCs/>
          <w:i/>
          <w:iCs/>
          <w:highlight w:val="white"/>
        </w:rPr>
        <w:t>Quincuagésimo primero.</w:t>
      </w:r>
      <w:r w:rsidRPr="00812BBB">
        <w:rPr>
          <w:rFonts w:ascii="Palatino Linotype" w:eastAsia="Palatino Linotype" w:hAnsi="Palatino Linotype" w:cs="Palatino Linotype"/>
          <w:i/>
          <w:iCs/>
          <w:highlight w:val="white"/>
        </w:rPr>
        <w:t xml:space="preserve"> La leyenda en los documentos clasificados indicará:</w:t>
      </w:r>
    </w:p>
    <w:p w:rsidR="00766305" w:rsidRPr="00812BBB" w:rsidRDefault="00E97EF6">
      <w:pPr>
        <w:tabs>
          <w:tab w:val="left" w:pos="142"/>
          <w:tab w:val="left" w:pos="284"/>
        </w:tabs>
        <w:ind w:left="567" w:right="539"/>
        <w:jc w:val="both"/>
        <w:rPr>
          <w:rFonts w:ascii="Palatino Linotype" w:eastAsia="Palatino Linotype" w:hAnsi="Palatino Linotype" w:cs="Palatino Linotype"/>
          <w:i/>
          <w:iCs/>
          <w:highlight w:val="white"/>
        </w:rPr>
      </w:pPr>
      <w:r w:rsidRPr="00812BBB">
        <w:rPr>
          <w:rFonts w:ascii="Palatino Linotype" w:eastAsia="Palatino Linotype" w:hAnsi="Palatino Linotype" w:cs="Palatino Linotype"/>
          <w:i/>
          <w:iCs/>
          <w:highlight w:val="white"/>
        </w:rPr>
        <w:t>I. La fecha de sesión del Comité de Transparencia en donde se confirmó la clasificación, en su caso;</w:t>
      </w:r>
    </w:p>
    <w:p w:rsidR="00766305" w:rsidRPr="00812BBB" w:rsidRDefault="00E97EF6">
      <w:pPr>
        <w:tabs>
          <w:tab w:val="left" w:pos="142"/>
          <w:tab w:val="left" w:pos="284"/>
        </w:tabs>
        <w:ind w:left="567" w:right="539"/>
        <w:jc w:val="both"/>
        <w:rPr>
          <w:rFonts w:ascii="Palatino Linotype" w:eastAsia="Palatino Linotype" w:hAnsi="Palatino Linotype" w:cs="Palatino Linotype"/>
          <w:i/>
          <w:iCs/>
          <w:highlight w:val="white"/>
        </w:rPr>
      </w:pPr>
      <w:r w:rsidRPr="00812BBB">
        <w:rPr>
          <w:rFonts w:ascii="Palatino Linotype" w:eastAsia="Palatino Linotype" w:hAnsi="Palatino Linotype" w:cs="Palatino Linotype"/>
          <w:i/>
          <w:iCs/>
          <w:highlight w:val="white"/>
        </w:rPr>
        <w:t>II. El nombre del área;</w:t>
      </w:r>
    </w:p>
    <w:p w:rsidR="00766305" w:rsidRPr="00812BBB" w:rsidRDefault="00E97EF6">
      <w:pPr>
        <w:tabs>
          <w:tab w:val="left" w:pos="142"/>
          <w:tab w:val="left" w:pos="284"/>
        </w:tabs>
        <w:ind w:left="567" w:right="539"/>
        <w:jc w:val="both"/>
        <w:rPr>
          <w:rFonts w:ascii="Palatino Linotype" w:eastAsia="Palatino Linotype" w:hAnsi="Palatino Linotype" w:cs="Palatino Linotype"/>
          <w:i/>
          <w:iCs/>
          <w:highlight w:val="white"/>
        </w:rPr>
      </w:pPr>
      <w:r w:rsidRPr="00812BBB">
        <w:rPr>
          <w:rFonts w:ascii="Palatino Linotype" w:eastAsia="Palatino Linotype" w:hAnsi="Palatino Linotype" w:cs="Palatino Linotype"/>
          <w:i/>
          <w:iCs/>
          <w:highlight w:val="white"/>
        </w:rPr>
        <w:t>III. La palabra reservado o confidencial;</w:t>
      </w:r>
    </w:p>
    <w:p w:rsidR="00766305" w:rsidRPr="00812BBB" w:rsidRDefault="00E97EF6">
      <w:pPr>
        <w:tabs>
          <w:tab w:val="left" w:pos="142"/>
          <w:tab w:val="left" w:pos="284"/>
        </w:tabs>
        <w:ind w:left="567" w:right="539"/>
        <w:jc w:val="both"/>
        <w:rPr>
          <w:rFonts w:ascii="Palatino Linotype" w:eastAsia="Palatino Linotype" w:hAnsi="Palatino Linotype" w:cs="Palatino Linotype"/>
          <w:i/>
          <w:iCs/>
          <w:highlight w:val="white"/>
        </w:rPr>
      </w:pPr>
      <w:r w:rsidRPr="00812BBB">
        <w:rPr>
          <w:rFonts w:ascii="Palatino Linotype" w:eastAsia="Palatino Linotype" w:hAnsi="Palatino Linotype" w:cs="Palatino Linotype"/>
          <w:i/>
          <w:iCs/>
          <w:highlight w:val="white"/>
        </w:rPr>
        <w:t>IV. Las partes o secciones reservadas o confidenciales, en su caso;</w:t>
      </w:r>
    </w:p>
    <w:p w:rsidR="00766305" w:rsidRPr="00812BBB" w:rsidRDefault="00E97EF6">
      <w:pPr>
        <w:tabs>
          <w:tab w:val="left" w:pos="142"/>
          <w:tab w:val="left" w:pos="284"/>
        </w:tabs>
        <w:ind w:left="567" w:right="539"/>
        <w:jc w:val="both"/>
        <w:rPr>
          <w:rFonts w:ascii="Palatino Linotype" w:eastAsia="Palatino Linotype" w:hAnsi="Palatino Linotype" w:cs="Palatino Linotype"/>
          <w:i/>
          <w:iCs/>
          <w:highlight w:val="white"/>
        </w:rPr>
      </w:pPr>
      <w:r w:rsidRPr="00812BBB">
        <w:rPr>
          <w:rFonts w:ascii="Palatino Linotype" w:eastAsia="Palatino Linotype" w:hAnsi="Palatino Linotype" w:cs="Palatino Linotype"/>
          <w:i/>
          <w:iCs/>
          <w:highlight w:val="white"/>
        </w:rPr>
        <w:t>V. El fundamento legal;</w:t>
      </w:r>
    </w:p>
    <w:p w:rsidR="00766305" w:rsidRPr="00812BBB" w:rsidRDefault="00E97EF6">
      <w:pPr>
        <w:tabs>
          <w:tab w:val="left" w:pos="142"/>
          <w:tab w:val="left" w:pos="284"/>
        </w:tabs>
        <w:ind w:left="567" w:right="539"/>
        <w:jc w:val="both"/>
        <w:rPr>
          <w:rFonts w:ascii="Palatino Linotype" w:eastAsia="Palatino Linotype" w:hAnsi="Palatino Linotype" w:cs="Palatino Linotype"/>
          <w:i/>
          <w:iCs/>
          <w:highlight w:val="white"/>
        </w:rPr>
      </w:pPr>
      <w:r w:rsidRPr="00812BBB">
        <w:rPr>
          <w:rFonts w:ascii="Palatino Linotype" w:eastAsia="Palatino Linotype" w:hAnsi="Palatino Linotype" w:cs="Palatino Linotype"/>
          <w:i/>
          <w:iCs/>
          <w:highlight w:val="white"/>
        </w:rPr>
        <w:t>VI. El periodo de reserva, y</w:t>
      </w:r>
    </w:p>
    <w:p w:rsidR="00766305" w:rsidRPr="00812BBB" w:rsidRDefault="00E97EF6">
      <w:pPr>
        <w:tabs>
          <w:tab w:val="left" w:pos="142"/>
          <w:tab w:val="left" w:pos="284"/>
        </w:tabs>
        <w:ind w:left="567" w:right="539"/>
        <w:jc w:val="both"/>
        <w:rPr>
          <w:rFonts w:ascii="Palatino Linotype" w:eastAsia="Palatino Linotype" w:hAnsi="Palatino Linotype" w:cs="Palatino Linotype"/>
          <w:highlight w:val="white"/>
        </w:rPr>
      </w:pPr>
      <w:r w:rsidRPr="00812BBB">
        <w:rPr>
          <w:rFonts w:ascii="Palatino Linotype" w:eastAsia="Palatino Linotype" w:hAnsi="Palatino Linotype" w:cs="Palatino Linotype"/>
          <w:i/>
          <w:iCs/>
          <w:highlight w:val="white"/>
        </w:rPr>
        <w:t>VII. La rúbrica del titular del área.”</w:t>
      </w:r>
    </w:p>
    <w:p w:rsidR="00766305" w:rsidRPr="00812BBB" w:rsidRDefault="00766305">
      <w:pPr>
        <w:spacing w:line="360" w:lineRule="auto"/>
        <w:ind w:left="357" w:right="1"/>
        <w:jc w:val="both"/>
        <w:rPr>
          <w:rFonts w:ascii="Palatino Linotype" w:eastAsia="Palatino Linotype" w:hAnsi="Palatino Linotype" w:cs="Palatino Linotype"/>
          <w:highlight w:val="white"/>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highlight w:val="white"/>
        </w:rPr>
      </w:pPr>
      <w:r w:rsidRPr="00812BBB">
        <w:rPr>
          <w:rFonts w:ascii="Palatino Linotype" w:eastAsia="Palatino Linotype" w:hAnsi="Palatino Linotype" w:cs="Palatino Linotype"/>
          <w:highlight w:val="white"/>
        </w:rPr>
        <w:t xml:space="preserve">Así, una vez hecho lo anterior, </w:t>
      </w:r>
      <w:r w:rsidRPr="00812BBB">
        <w:rPr>
          <w:rFonts w:ascii="Palatino Linotype" w:eastAsia="Palatino Linotype" w:hAnsi="Palatino Linotype" w:cs="Palatino Linotype"/>
          <w:b/>
          <w:bCs/>
          <w:highlight w:val="white"/>
        </w:rPr>
        <w:t>se remite la información al Titular de la Unidad de Transparencia, con el acuerdo de clasificación correspondiente, para que sea sometido al conocimiento del Comité de Transparencia.</w:t>
      </w:r>
    </w:p>
    <w:p w:rsidR="00766305" w:rsidRPr="00812BBB" w:rsidRDefault="00766305">
      <w:pPr>
        <w:spacing w:line="360" w:lineRule="auto"/>
        <w:ind w:left="357" w:right="1"/>
        <w:jc w:val="both"/>
        <w:rPr>
          <w:rFonts w:ascii="Palatino Linotype" w:eastAsia="Palatino Linotype" w:hAnsi="Palatino Linotype" w:cs="Palatino Linotype"/>
          <w:highlight w:val="white"/>
        </w:rPr>
      </w:pPr>
    </w:p>
    <w:p w:rsidR="00766305" w:rsidRPr="00812BBB" w:rsidRDefault="00E97EF6">
      <w:pPr>
        <w:tabs>
          <w:tab w:val="left" w:pos="142"/>
          <w:tab w:val="left" w:pos="284"/>
          <w:tab w:val="left" w:pos="426"/>
        </w:tabs>
        <w:spacing w:line="360" w:lineRule="auto"/>
        <w:ind w:left="567"/>
        <w:jc w:val="both"/>
        <w:rPr>
          <w:rFonts w:ascii="Palatino Linotype" w:eastAsia="Palatino Linotype" w:hAnsi="Palatino Linotype" w:cs="Palatino Linotype"/>
          <w:b/>
          <w:bCs/>
          <w:highlight w:val="white"/>
        </w:rPr>
      </w:pPr>
      <w:bookmarkStart w:id="7" w:name="_heading=h.ejwzhtv1x8tr" w:colFirst="0" w:colLast="0"/>
      <w:bookmarkEnd w:id="7"/>
      <w:r w:rsidRPr="00812BBB">
        <w:rPr>
          <w:rFonts w:ascii="Palatino Linotype" w:eastAsia="Palatino Linotype" w:hAnsi="Palatino Linotype" w:cs="Palatino Linotype"/>
          <w:b/>
          <w:bCs/>
          <w:highlight w:val="white"/>
        </w:rPr>
        <w:t>La intervención del Comité de Transparencia.</w:t>
      </w:r>
    </w:p>
    <w:p w:rsidR="00766305" w:rsidRPr="00812BBB" w:rsidRDefault="00E97EF6">
      <w:pPr>
        <w:numPr>
          <w:ilvl w:val="0"/>
          <w:numId w:val="1"/>
        </w:numPr>
        <w:tabs>
          <w:tab w:val="left" w:pos="142"/>
          <w:tab w:val="left" w:pos="284"/>
          <w:tab w:val="left" w:pos="426"/>
        </w:tabs>
        <w:spacing w:line="360" w:lineRule="auto"/>
        <w:jc w:val="both"/>
        <w:rPr>
          <w:rFonts w:ascii="Palatino Linotype" w:eastAsia="Palatino Linotype" w:hAnsi="Palatino Linotype" w:cs="Palatino Linotype"/>
          <w:b/>
          <w:bCs/>
          <w:highlight w:val="white"/>
        </w:rPr>
      </w:pPr>
      <w:r w:rsidRPr="00812BBB">
        <w:rPr>
          <w:rFonts w:ascii="Palatino Linotype" w:eastAsia="Palatino Linotype" w:hAnsi="Palatino Linotype" w:cs="Palatino Linotype"/>
          <w:b/>
          <w:bCs/>
          <w:highlight w:val="white"/>
        </w:rPr>
        <w:t>Formalidades para emitir el Acuerdo de Clasificación.</w:t>
      </w: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highlight w:val="white"/>
        </w:rPr>
      </w:pPr>
      <w:r w:rsidRPr="00812BBB">
        <w:rPr>
          <w:rFonts w:ascii="Palatino Linotype" w:eastAsia="Palatino Linotype" w:hAnsi="Palatino Linotype" w:cs="Palatino Linotype"/>
          <w:highlight w:val="white"/>
        </w:rPr>
        <w:t xml:space="preserve">El Comité de Transparencia, según lo dispuesto en los artículos 128 y 103 de la Ley Estatal y de la Ley General, respectivamente, y la fracción III del numeral Segundo de los Lineamientos generales en materia de clasificación y desclasificación de la información, así como para la elaboración de versiones públicas, en adelante los Lineamientos Generales, cuenta con las facultades para </w:t>
      </w:r>
      <w:r w:rsidRPr="00812BBB">
        <w:rPr>
          <w:rFonts w:ascii="Palatino Linotype" w:eastAsia="Palatino Linotype" w:hAnsi="Palatino Linotype" w:cs="Palatino Linotype"/>
          <w:b/>
          <w:bCs/>
          <w:highlight w:val="white"/>
          <w:u w:val="single"/>
        </w:rPr>
        <w:t>confirmar, modificar o revocar</w:t>
      </w:r>
      <w:r w:rsidRPr="00812BBB">
        <w:rPr>
          <w:rFonts w:ascii="Palatino Linotype" w:eastAsia="Palatino Linotype" w:hAnsi="Palatino Linotype" w:cs="Palatino Linotype"/>
          <w:highlight w:val="white"/>
        </w:rPr>
        <w:t xml:space="preserve"> la clasificación de la información que ha hecho el titular del área que administra la información. Por lo tanto, el Comité </w:t>
      </w:r>
      <w:r w:rsidRPr="00812BBB">
        <w:rPr>
          <w:rFonts w:ascii="Palatino Linotype" w:eastAsia="Palatino Linotype" w:hAnsi="Palatino Linotype" w:cs="Palatino Linotype"/>
          <w:b/>
          <w:bCs/>
          <w:highlight w:val="white"/>
          <w:u w:val="single"/>
        </w:rPr>
        <w:t>no aprueba</w:t>
      </w:r>
      <w:r w:rsidRPr="00812BBB">
        <w:rPr>
          <w:rFonts w:ascii="Palatino Linotype" w:eastAsia="Palatino Linotype" w:hAnsi="Palatino Linotype" w:cs="Palatino Linotype"/>
          <w:highlight w:val="white"/>
        </w:rPr>
        <w:t xml:space="preserve"> la clasificación, sino que revisa lo que ha hecho el titular del área y confirma, modifica o revoca la decisión a través de un acuerdo.</w:t>
      </w:r>
    </w:p>
    <w:p w:rsidR="00766305" w:rsidRPr="00812BBB" w:rsidRDefault="00766305">
      <w:pPr>
        <w:spacing w:line="360" w:lineRule="auto"/>
        <w:ind w:left="357" w:right="1"/>
        <w:jc w:val="both"/>
        <w:rPr>
          <w:rFonts w:ascii="Palatino Linotype" w:eastAsia="Palatino Linotype" w:hAnsi="Palatino Linotype" w:cs="Palatino Linotype"/>
          <w:highlight w:val="white"/>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highlight w:val="white"/>
        </w:rPr>
      </w:pPr>
      <w:r w:rsidRPr="00812BBB">
        <w:rPr>
          <w:rFonts w:ascii="Palatino Linotype" w:eastAsia="Palatino Linotype" w:hAnsi="Palatino Linotype" w:cs="Palatino Linotype"/>
          <w:highlight w:val="white"/>
        </w:rPr>
        <w:lastRenderedPageBreak/>
        <w:t xml:space="preserve">Evidentemente, esta decisión implica una restricción a un derecho humano, por lo tanto, puede generar un agravio al Particular y, en consecuencia, es necesario que </w:t>
      </w:r>
      <w:r w:rsidRPr="00812BBB">
        <w:rPr>
          <w:rFonts w:ascii="Palatino Linotype" w:eastAsia="Palatino Linotype" w:hAnsi="Palatino Linotype" w:cs="Palatino Linotype"/>
          <w:b/>
          <w:bCs/>
          <w:highlight w:val="white"/>
          <w:u w:val="single"/>
        </w:rPr>
        <w:t>el acto reúna con los requisitos elementales</w:t>
      </w:r>
      <w:r w:rsidRPr="00812BBB">
        <w:rPr>
          <w:rFonts w:ascii="Palatino Linotype" w:eastAsia="Palatino Linotype" w:hAnsi="Palatino Linotype" w:cs="Palatino Linotype"/>
          <w:highlight w:val="white"/>
        </w:rPr>
        <w:t>, entre ellos, que la autoridad que va a emitir el acto de autoridad sea la legalmente facultada para ello, es decir, que cumpla con el principio de reserva de ley,  por lo que no está demás señalar que el artículo 45 de la Ley Estatal, claramente señala que el Comité de Transparencia, legalmente facultado para emitir el acuerdo de clasificación, se integra por el Titular de la Unidad de Transparencia, el responsable del área coordinadora de archivos y el titular del órgano interno de control, integrado siempre por un número impar y que no debe de existir dependencia jerárquica entre sus integrantes. Cualquier otra composición del Comité puede generar vicios de legalidad de origen en el acto que restringe un derecho humano.</w:t>
      </w:r>
    </w:p>
    <w:p w:rsidR="00766305" w:rsidRPr="00812BBB" w:rsidRDefault="00766305">
      <w:pPr>
        <w:spacing w:line="360" w:lineRule="auto"/>
        <w:ind w:left="357" w:right="1"/>
        <w:jc w:val="both"/>
        <w:rPr>
          <w:rFonts w:ascii="Palatino Linotype" w:eastAsia="Palatino Linotype" w:hAnsi="Palatino Linotype" w:cs="Palatino Linotype"/>
          <w:highlight w:val="white"/>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highlight w:val="white"/>
        </w:rPr>
      </w:pPr>
      <w:r w:rsidRPr="00812BBB">
        <w:rPr>
          <w:rFonts w:ascii="Palatino Linotype" w:eastAsia="Palatino Linotype" w:hAnsi="Palatino Linotype" w:cs="Palatino Linotype"/>
          <w:highlight w:val="white"/>
        </w:rPr>
        <w:t>La decisión de confirmar, modificar o revocar la clasificación deberá de asentarse en un documento que registre la determinación a la que se llegue después de un análisis minucioso a partir de lo aprobado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rsidR="00812BBB" w:rsidRDefault="00812BBB" w:rsidP="00812BBB">
      <w:pPr>
        <w:pStyle w:val="Prrafodelista"/>
        <w:rPr>
          <w:rFonts w:ascii="Palatino Linotype" w:eastAsia="Palatino Linotype" w:hAnsi="Palatino Linotype" w:cs="Palatino Linotype"/>
          <w:b/>
          <w:bCs/>
          <w:highlight w:val="white"/>
        </w:rPr>
      </w:pPr>
    </w:p>
    <w:p w:rsidR="00812BBB" w:rsidRPr="00812BBB" w:rsidRDefault="00812BBB" w:rsidP="00812BBB">
      <w:pPr>
        <w:spacing w:line="360" w:lineRule="auto"/>
        <w:ind w:right="1"/>
        <w:jc w:val="both"/>
        <w:rPr>
          <w:rFonts w:ascii="Palatino Linotype" w:eastAsia="Palatino Linotype" w:hAnsi="Palatino Linotype" w:cs="Palatino Linotype"/>
          <w:b/>
          <w:bCs/>
          <w:highlight w:val="white"/>
        </w:rPr>
      </w:pPr>
    </w:p>
    <w:p w:rsidR="00766305" w:rsidRPr="00812BBB" w:rsidRDefault="00E97EF6">
      <w:pPr>
        <w:tabs>
          <w:tab w:val="left" w:pos="142"/>
          <w:tab w:val="left" w:pos="284"/>
          <w:tab w:val="left" w:pos="426"/>
        </w:tabs>
        <w:spacing w:line="360" w:lineRule="auto"/>
        <w:ind w:left="567"/>
        <w:jc w:val="both"/>
        <w:rPr>
          <w:rFonts w:ascii="Palatino Linotype" w:eastAsia="Palatino Linotype" w:hAnsi="Palatino Linotype" w:cs="Palatino Linotype"/>
          <w:highlight w:val="white"/>
        </w:rPr>
      </w:pPr>
      <w:r w:rsidRPr="00812BBB">
        <w:rPr>
          <w:rFonts w:ascii="Palatino Linotype" w:eastAsia="Palatino Linotype" w:hAnsi="Palatino Linotype" w:cs="Palatino Linotype"/>
          <w:b/>
          <w:bCs/>
          <w:highlight w:val="white"/>
        </w:rPr>
        <w:t>b) Requisitos de fondo del Acuerdo de Clasificación.</w:t>
      </w: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highlight w:val="white"/>
        </w:rPr>
      </w:pPr>
      <w:r w:rsidRPr="00812BBB">
        <w:rPr>
          <w:rFonts w:ascii="Palatino Linotype" w:eastAsia="Palatino Linotype" w:hAnsi="Palatino Linotype" w:cs="Palatino Linotype"/>
          <w:highlight w:val="white"/>
        </w:rPr>
        <w:t xml:space="preserve">Como se ha señalado antes, al hacer el juicio de subsunción o encaje entre el supuesto de hecho y la hipótesis jurídica, se debe acreditar la estricta correspondencia entre un elemento y otro. </w:t>
      </w:r>
    </w:p>
    <w:p w:rsidR="00766305" w:rsidRPr="00812BBB" w:rsidRDefault="00766305">
      <w:pPr>
        <w:spacing w:line="360" w:lineRule="auto"/>
        <w:ind w:right="1"/>
        <w:jc w:val="both"/>
        <w:rPr>
          <w:rFonts w:ascii="Palatino Linotype" w:eastAsia="Palatino Linotype" w:hAnsi="Palatino Linotype" w:cs="Palatino Linotype"/>
          <w:highlight w:val="white"/>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highlight w:val="white"/>
        </w:rPr>
      </w:pPr>
      <w:r w:rsidRPr="00812BBB">
        <w:rPr>
          <w:rFonts w:ascii="Palatino Linotype" w:eastAsia="Palatino Linotype" w:hAnsi="Palatino Linotype" w:cs="Palatino Linotype"/>
          <w:highlight w:val="white"/>
        </w:rPr>
        <w:lastRenderedPageBreak/>
        <w:t>Ahora, en esta parte del procedimiento, que se desahoga en sede del Comité de Transparencia, la ley nos aporta mayores luces para cumplir con dicha acreditación. En los artículos 131 y 105 segundo párrafo de la Ley Estatal y de la Ley General respectivamente, y el lineamiento sexagésimo segundo de los Lineamientos Generales, al señalar que la carga de la prueba, para justificar las restricciones, corresponde a los sujetos obligados, por lo que deberán fundar y motivar debidamente la clasificación.</w:t>
      </w:r>
    </w:p>
    <w:p w:rsidR="00766305" w:rsidRPr="00812BBB" w:rsidRDefault="00766305">
      <w:pPr>
        <w:spacing w:line="360" w:lineRule="auto"/>
        <w:ind w:right="1"/>
        <w:jc w:val="both"/>
        <w:rPr>
          <w:rFonts w:ascii="Palatino Linotype" w:eastAsia="Palatino Linotype" w:hAnsi="Palatino Linotype" w:cs="Palatino Linotype"/>
          <w:highlight w:val="white"/>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highlight w:val="white"/>
        </w:rPr>
      </w:pPr>
      <w:r w:rsidRPr="00812BBB">
        <w:rPr>
          <w:rFonts w:ascii="Palatino Linotype" w:eastAsia="Palatino Linotype" w:hAnsi="Palatino Linotype" w:cs="Palatino Linotype"/>
          <w:highlight w:val="white"/>
        </w:rPr>
        <w:t xml:space="preserve">De lo anterior, se desprende que, </w:t>
      </w:r>
      <w:r w:rsidRPr="00812BBB">
        <w:rPr>
          <w:rFonts w:ascii="Palatino Linotype" w:eastAsia="Palatino Linotype" w:hAnsi="Palatino Linotype" w:cs="Palatino Linotype"/>
          <w:b/>
          <w:bCs/>
          <w:highlight w:val="white"/>
          <w:u w:val="single"/>
        </w:rPr>
        <w:t>para una correcta clasificación total o parcial, esto es determinar los datos que se suprimen en las versiones públicas</w:t>
      </w:r>
      <w:r w:rsidRPr="00812BBB">
        <w:rPr>
          <w:rFonts w:ascii="Palatino Linotype" w:eastAsia="Palatino Linotype" w:hAnsi="Palatino Linotype" w:cs="Palatino Linotype"/>
          <w:highlight w:val="white"/>
        </w:rPr>
        <w:t xml:space="preserve">, </w:t>
      </w:r>
      <w:r w:rsidRPr="00812BBB">
        <w:rPr>
          <w:rFonts w:ascii="Palatino Linotype" w:eastAsia="Palatino Linotype" w:hAnsi="Palatino Linotype" w:cs="Palatino Linotype"/>
          <w:b/>
          <w:bCs/>
          <w:highlight w:val="white"/>
          <w:u w:val="single"/>
        </w:rPr>
        <w:t>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766305" w:rsidRPr="00812BBB" w:rsidRDefault="00766305">
      <w:pPr>
        <w:spacing w:line="360" w:lineRule="auto"/>
        <w:ind w:right="1"/>
        <w:jc w:val="both"/>
        <w:rPr>
          <w:rFonts w:ascii="Palatino Linotype" w:eastAsia="Palatino Linotype" w:hAnsi="Palatino Linotype" w:cs="Palatino Linotype"/>
          <w:highlight w:val="white"/>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highlight w:val="white"/>
        </w:rPr>
      </w:pPr>
      <w:r w:rsidRPr="00812BBB">
        <w:rPr>
          <w:rFonts w:ascii="Palatino Linotype" w:eastAsia="Palatino Linotype" w:hAnsi="Palatino Linotype" w:cs="Palatino Linotype"/>
          <w:highlight w:val="white"/>
        </w:rPr>
        <w:t>Por su parte, el intérprete judicial del país ha establecido una jurisprudencia respecto a qué debe entenderse por fundamentación y motivación, en los siguientes términos:</w:t>
      </w:r>
    </w:p>
    <w:p w:rsidR="00766305" w:rsidRPr="00812BBB" w:rsidRDefault="00E97EF6">
      <w:pPr>
        <w:spacing w:before="240" w:after="240"/>
        <w:ind w:left="567" w:right="539"/>
        <w:jc w:val="both"/>
        <w:rPr>
          <w:rFonts w:ascii="Palatino Linotype" w:eastAsia="Palatino Linotype" w:hAnsi="Palatino Linotype" w:cs="Palatino Linotype"/>
          <w:b/>
          <w:bCs/>
          <w:highlight w:val="white"/>
          <w:u w:val="single"/>
        </w:rPr>
      </w:pPr>
      <w:r w:rsidRPr="00812BBB">
        <w:rPr>
          <w:rFonts w:ascii="Palatino Linotype" w:eastAsia="Palatino Linotype" w:hAnsi="Palatino Linotype" w:cs="Palatino Linotype"/>
          <w:b/>
          <w:bCs/>
          <w:i/>
          <w:iCs/>
          <w:highlight w:val="white"/>
        </w:rPr>
        <w:t>FUNDAMENTACIÓN Y MOTIVACIÓN.</w:t>
      </w:r>
      <w:r w:rsidRPr="00812BBB">
        <w:rPr>
          <w:rFonts w:ascii="Palatino Linotype" w:eastAsia="Palatino Linotype" w:hAnsi="Palatino Linotype" w:cs="Palatino Linotype"/>
          <w:i/>
          <w:iCs/>
          <w:highlight w:val="white"/>
        </w:rPr>
        <w:t xml:space="preserve"> “La </w:t>
      </w:r>
      <w:r w:rsidRPr="00812BBB">
        <w:rPr>
          <w:rFonts w:ascii="Palatino Linotype" w:eastAsia="Palatino Linotype" w:hAnsi="Palatino Linotype" w:cs="Palatino Linotype"/>
          <w:i/>
          <w:iCs/>
          <w:highlight w:val="white"/>
          <w:u w:val="single"/>
        </w:rPr>
        <w:t>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r w:rsidRPr="00812BBB">
        <w:rPr>
          <w:rFonts w:ascii="Palatino Linotype" w:eastAsia="Palatino Linotype" w:hAnsi="Palatino Linotype" w:cs="Palatino Linotype"/>
          <w:i/>
          <w:iCs/>
          <w:highlight w:val="white"/>
        </w:rPr>
        <w:t>.”</w:t>
      </w:r>
    </w:p>
    <w:p w:rsidR="00766305" w:rsidRPr="00812BBB" w:rsidRDefault="00766305">
      <w:pPr>
        <w:ind w:left="567" w:right="539"/>
        <w:jc w:val="both"/>
        <w:rPr>
          <w:rFonts w:ascii="Palatino Linotype" w:eastAsia="Palatino Linotype" w:hAnsi="Palatino Linotype" w:cs="Palatino Linotype"/>
          <w:i/>
          <w:iCs/>
          <w:highlight w:val="white"/>
        </w:rPr>
      </w:pPr>
    </w:p>
    <w:p w:rsidR="00766305" w:rsidRPr="00812BBB" w:rsidRDefault="00E97EF6">
      <w:pPr>
        <w:ind w:left="567" w:right="539"/>
        <w:jc w:val="both"/>
        <w:rPr>
          <w:rFonts w:ascii="Palatino Linotype" w:eastAsia="Palatino Linotype" w:hAnsi="Palatino Linotype" w:cs="Palatino Linotype"/>
          <w:i/>
          <w:iCs/>
          <w:highlight w:val="white"/>
        </w:rPr>
      </w:pPr>
      <w:r w:rsidRPr="00812BBB">
        <w:rPr>
          <w:rFonts w:ascii="Palatino Linotype" w:eastAsia="Palatino Linotype" w:hAnsi="Palatino Linotype" w:cs="Palatino Linotype"/>
          <w:i/>
          <w:iCs/>
          <w:highlight w:val="white"/>
        </w:rPr>
        <w:t>SEGUNDO TRIBUNAL COLEGIADO DEL SEXTO CIRCUITO.</w:t>
      </w:r>
    </w:p>
    <w:p w:rsidR="00766305" w:rsidRPr="00812BBB" w:rsidRDefault="00E97EF6">
      <w:pPr>
        <w:ind w:left="567" w:right="539"/>
        <w:jc w:val="both"/>
        <w:rPr>
          <w:rFonts w:ascii="Palatino Linotype" w:eastAsia="Palatino Linotype" w:hAnsi="Palatino Linotype" w:cs="Palatino Linotype"/>
          <w:i/>
          <w:iCs/>
          <w:highlight w:val="white"/>
        </w:rPr>
      </w:pPr>
      <w:r w:rsidRPr="00812BBB">
        <w:rPr>
          <w:rFonts w:ascii="Palatino Linotype" w:eastAsia="Palatino Linotype" w:hAnsi="Palatino Linotype" w:cs="Palatino Linotype"/>
          <w:i/>
          <w:iCs/>
          <w:highlight w:val="white"/>
        </w:rPr>
        <w:t>Amparo directo 194/88. Bufete Industrial Construcciones, S.A. de C.V. 28 de junio de 1988. Unanimidad de votos. Ponente: Gustavo Calvillo Rangel. Secretario: Jorge Alberto González Álvarez.</w:t>
      </w:r>
    </w:p>
    <w:p w:rsidR="00766305" w:rsidRPr="00812BBB" w:rsidRDefault="00E97EF6">
      <w:pPr>
        <w:ind w:left="567" w:right="539"/>
        <w:jc w:val="both"/>
        <w:rPr>
          <w:rFonts w:ascii="Palatino Linotype" w:eastAsia="Palatino Linotype" w:hAnsi="Palatino Linotype" w:cs="Palatino Linotype"/>
          <w:i/>
          <w:iCs/>
          <w:highlight w:val="white"/>
        </w:rPr>
      </w:pPr>
      <w:r w:rsidRPr="00812BBB">
        <w:rPr>
          <w:rFonts w:ascii="Palatino Linotype" w:eastAsia="Palatino Linotype" w:hAnsi="Palatino Linotype" w:cs="Palatino Linotype"/>
          <w:i/>
          <w:iCs/>
          <w:highlight w:val="white"/>
        </w:rPr>
        <w:t>Revisión fiscal 103/88. Instituto Mexicano del Seguro Social. 18 de octubre de 1988. Unanimidad de votos. Ponente: Arnoldo Nájera Virgen. Secretario: Alejandro Esponda Rincón.</w:t>
      </w:r>
    </w:p>
    <w:p w:rsidR="00766305" w:rsidRPr="00812BBB" w:rsidRDefault="00E97EF6">
      <w:pPr>
        <w:ind w:left="567" w:right="539"/>
        <w:jc w:val="both"/>
        <w:rPr>
          <w:rFonts w:ascii="Palatino Linotype" w:eastAsia="Palatino Linotype" w:hAnsi="Palatino Linotype" w:cs="Palatino Linotype"/>
          <w:i/>
          <w:iCs/>
          <w:highlight w:val="white"/>
        </w:rPr>
      </w:pPr>
      <w:r w:rsidRPr="00812BBB">
        <w:rPr>
          <w:rFonts w:ascii="Palatino Linotype" w:eastAsia="Palatino Linotype" w:hAnsi="Palatino Linotype" w:cs="Palatino Linotype"/>
          <w:i/>
          <w:iCs/>
          <w:highlight w:val="white"/>
        </w:rPr>
        <w:lastRenderedPageBreak/>
        <w:t>Amparo en revisión 333/88. Adilia Romero. 26 de octubre de 1988. Unanimidad de votos. Ponente: Arnoldo Nájera Virgen. Secretario: Enrique Crispín Campos Ramírez.</w:t>
      </w:r>
    </w:p>
    <w:p w:rsidR="00766305" w:rsidRPr="00812BBB" w:rsidRDefault="00E97EF6">
      <w:pPr>
        <w:ind w:left="567" w:right="539"/>
        <w:jc w:val="both"/>
        <w:rPr>
          <w:rFonts w:ascii="Palatino Linotype" w:eastAsia="Palatino Linotype" w:hAnsi="Palatino Linotype" w:cs="Palatino Linotype"/>
          <w:i/>
          <w:iCs/>
          <w:highlight w:val="white"/>
        </w:rPr>
      </w:pPr>
      <w:r w:rsidRPr="00812BBB">
        <w:rPr>
          <w:rFonts w:ascii="Palatino Linotype" w:eastAsia="Palatino Linotype" w:hAnsi="Palatino Linotype" w:cs="Palatino Linotype"/>
          <w:i/>
          <w:iCs/>
          <w:highlight w:val="white"/>
        </w:rPr>
        <w:t>Amparo en revisión 597/95. Emilio Maurer Bretón. 15 de noviembre de 1995. Unanimidad de votos. Ponente: Clementina Ramírez Moguel Goyzueta. Secretario: Gonzalo Carrera Molina.</w:t>
      </w:r>
    </w:p>
    <w:p w:rsidR="00766305" w:rsidRPr="00812BBB" w:rsidRDefault="00E97EF6">
      <w:pPr>
        <w:ind w:left="567" w:right="539"/>
        <w:jc w:val="both"/>
        <w:rPr>
          <w:rFonts w:ascii="Palatino Linotype" w:eastAsia="Palatino Linotype" w:hAnsi="Palatino Linotype" w:cs="Palatino Linotype"/>
          <w:highlight w:val="white"/>
        </w:rPr>
      </w:pPr>
      <w:r w:rsidRPr="00812BBB">
        <w:rPr>
          <w:rFonts w:ascii="Palatino Linotype" w:eastAsia="Palatino Linotype" w:hAnsi="Palatino Linotype" w:cs="Palatino Linotype"/>
          <w:i/>
          <w:iCs/>
          <w:highlight w:val="white"/>
        </w:rPr>
        <w:t>Amparo directo 7/96. Pedro Vicente López Miro. 21 de febrero de 1996. Unanimidad de votos. Ponente: María Eugenia Estela Martínez Cardiel. Secretario: Enrique Baigts Muñoz.</w:t>
      </w:r>
    </w:p>
    <w:p w:rsidR="00766305" w:rsidRPr="00812BBB" w:rsidRDefault="00766305">
      <w:pPr>
        <w:spacing w:line="360" w:lineRule="auto"/>
        <w:ind w:left="357" w:right="1"/>
        <w:jc w:val="both"/>
        <w:rPr>
          <w:rFonts w:ascii="Palatino Linotype" w:eastAsia="Palatino Linotype" w:hAnsi="Palatino Linotype" w:cs="Palatino Linotype"/>
          <w:highlight w:val="white"/>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highlight w:val="white"/>
        </w:rPr>
      </w:pPr>
      <w:r w:rsidRPr="00812BBB">
        <w:rPr>
          <w:rFonts w:ascii="Palatino Linotype" w:eastAsia="Palatino Linotype" w:hAnsi="Palatino Linotype" w:cs="Palatino Linotype"/>
          <w:highlight w:val="whit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w:t>
      </w:r>
    </w:p>
    <w:p w:rsidR="00766305" w:rsidRPr="00812BBB" w:rsidRDefault="00766305">
      <w:pPr>
        <w:spacing w:line="360" w:lineRule="auto"/>
        <w:ind w:left="357" w:right="1"/>
        <w:jc w:val="both"/>
        <w:rPr>
          <w:rFonts w:ascii="Palatino Linotype" w:eastAsia="Palatino Linotype" w:hAnsi="Palatino Linotype" w:cs="Palatino Linotype"/>
          <w:highlight w:val="white"/>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highlight w:val="white"/>
        </w:rPr>
      </w:pPr>
      <w:r w:rsidRPr="00812BBB">
        <w:rPr>
          <w:rFonts w:ascii="Palatino Linotype" w:eastAsia="Palatino Linotype" w:hAnsi="Palatino Linotype" w:cs="Palatino Linotype"/>
          <w:highlight w:val="white"/>
        </w:rPr>
        <w:t xml:space="preserve">En consecuencia, la fundamentación y motivación implica que, en el acto de autoridad, además de contenerse los supuestos jurídicos aplicables se expliquen claramente por qué a través de la utilización de la norma se emitió el acto. </w:t>
      </w:r>
    </w:p>
    <w:p w:rsidR="00766305" w:rsidRPr="00812BBB" w:rsidRDefault="00766305">
      <w:pPr>
        <w:spacing w:line="360" w:lineRule="auto"/>
        <w:ind w:left="357" w:right="1"/>
        <w:jc w:val="both"/>
        <w:rPr>
          <w:rFonts w:ascii="Palatino Linotype" w:eastAsia="Palatino Linotype" w:hAnsi="Palatino Linotype" w:cs="Palatino Linotype"/>
          <w:highlight w:val="white"/>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highlight w:val="white"/>
        </w:rPr>
      </w:pPr>
      <w:r w:rsidRPr="00812BBB">
        <w:rPr>
          <w:rFonts w:ascii="Palatino Linotype" w:eastAsia="Palatino Linotype" w:hAnsi="Palatino Linotype" w:cs="Palatino Linotype"/>
          <w:highlight w:val="white"/>
        </w:rPr>
        <w:t>De este modo, la persona que se sienta afectada pueda impugnar la decisión, permitiéndole una real y auténtica defensa. En ese mismo sentido, el numeral trigésimo tercero fracción V de los Lineamientos Generales, precisa que para motivar la clasificación se deben acreditar las circunstancias de tiempo, modo y lugar.</w:t>
      </w:r>
    </w:p>
    <w:p w:rsidR="00766305" w:rsidRPr="00812BBB" w:rsidRDefault="00766305">
      <w:pPr>
        <w:spacing w:line="360" w:lineRule="auto"/>
        <w:ind w:left="357" w:right="1"/>
        <w:jc w:val="both"/>
        <w:rPr>
          <w:rFonts w:ascii="Palatino Linotype" w:eastAsia="Palatino Linotype" w:hAnsi="Palatino Linotype" w:cs="Palatino Linotype"/>
          <w:highlight w:val="cyan"/>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rPr>
      </w:pPr>
      <w:r w:rsidRPr="00812BBB">
        <w:rPr>
          <w:rFonts w:ascii="Palatino Linotype" w:eastAsia="Palatino Linotype" w:hAnsi="Palatino Linotype" w:cs="Palatino Linotype"/>
        </w:rPr>
        <w:t xml:space="preserve">Motivo por el cual, analizadas las constancias que forman el expediente electrónico, </w:t>
      </w:r>
      <w:r w:rsidRPr="00812BBB">
        <w:rPr>
          <w:rFonts w:ascii="Palatino Linotype" w:eastAsia="Palatino Linotype" w:hAnsi="Palatino Linotype" w:cs="Palatino Linotype"/>
          <w:b/>
          <w:bCs/>
        </w:rPr>
        <w:t>resultan fundadas</w:t>
      </w:r>
      <w:r w:rsidRPr="00812BBB">
        <w:rPr>
          <w:rFonts w:ascii="Palatino Linotype" w:eastAsia="Palatino Linotype" w:hAnsi="Palatino Linotype" w:cs="Palatino Linotype"/>
        </w:rPr>
        <w:t xml:space="preserve"> las razones o motivos de inconformidad hechos valer por el </w:t>
      </w:r>
      <w:r w:rsidRPr="00812BBB">
        <w:rPr>
          <w:rFonts w:ascii="Palatino Linotype" w:eastAsia="Palatino Linotype" w:hAnsi="Palatino Linotype" w:cs="Palatino Linotype"/>
          <w:b/>
          <w:bCs/>
        </w:rPr>
        <w:t>RECURRENTE</w:t>
      </w:r>
      <w:r w:rsidRPr="00812BBB">
        <w:rPr>
          <w:rFonts w:ascii="Palatino Linotype" w:eastAsia="Palatino Linotype" w:hAnsi="Palatino Linotype" w:cs="Palatino Linotype"/>
        </w:rPr>
        <w:t xml:space="preserve"> dentro del recurso de revisión </w:t>
      </w:r>
      <w:r w:rsidRPr="00812BBB">
        <w:rPr>
          <w:rFonts w:ascii="Palatino Linotype" w:eastAsia="Palatino Linotype" w:hAnsi="Palatino Linotype" w:cs="Palatino Linotype"/>
          <w:b/>
          <w:bCs/>
        </w:rPr>
        <w:t>11743/INFOEM/IP/RR/2025,</w:t>
      </w:r>
      <w:r w:rsidRPr="00812BBB">
        <w:rPr>
          <w:rFonts w:ascii="Palatino Linotype" w:eastAsia="Palatino Linotype" w:hAnsi="Palatino Linotype" w:cs="Palatino Linotype"/>
        </w:rPr>
        <w:t xml:space="preserve"> por ello, y con fundamento en la fracción III del numeral 186 de la Ley de Transparencia y Acceso a la Información Pública del Estado de México y Municipios, se </w:t>
      </w:r>
      <w:r w:rsidRPr="00812BBB">
        <w:rPr>
          <w:rFonts w:ascii="Palatino Linotype" w:eastAsia="Palatino Linotype" w:hAnsi="Palatino Linotype" w:cs="Palatino Linotype"/>
          <w:b/>
          <w:bCs/>
        </w:rPr>
        <w:t>MODIFICA</w:t>
      </w:r>
      <w:r w:rsidRPr="00812BBB">
        <w:rPr>
          <w:rFonts w:ascii="Palatino Linotype" w:eastAsia="Palatino Linotype" w:hAnsi="Palatino Linotype" w:cs="Palatino Linotype"/>
        </w:rPr>
        <w:t xml:space="preserve"> la respuesta del </w:t>
      </w:r>
      <w:r w:rsidRPr="00812BBB">
        <w:rPr>
          <w:rFonts w:ascii="Palatino Linotype" w:eastAsia="Palatino Linotype" w:hAnsi="Palatino Linotype" w:cs="Palatino Linotype"/>
          <w:b/>
          <w:bCs/>
        </w:rPr>
        <w:lastRenderedPageBreak/>
        <w:t>SUJETO OBLIGADO</w:t>
      </w:r>
      <w:r w:rsidRPr="00812BBB">
        <w:rPr>
          <w:rFonts w:ascii="Palatino Linotype" w:eastAsia="Palatino Linotype" w:hAnsi="Palatino Linotype" w:cs="Palatino Linotype"/>
        </w:rPr>
        <w:t xml:space="preserve"> y se ordena la entrega, </w:t>
      </w:r>
      <w:r w:rsidRPr="00812BBB">
        <w:rPr>
          <w:rFonts w:ascii="Palatino Linotype" w:eastAsia="Palatino Linotype" w:hAnsi="Palatino Linotype" w:cs="Palatino Linotype"/>
          <w:b/>
          <w:bCs/>
        </w:rPr>
        <w:t>en correcta versión pública, las órdenes de pago remitidas mediante informe justificado, con el respectivo Acuerdo de Clasificación,</w:t>
      </w:r>
      <w:r w:rsidRPr="00812BBB">
        <w:rPr>
          <w:rFonts w:ascii="Palatino Linotype" w:eastAsia="Palatino Linotype" w:hAnsi="Palatino Linotype" w:cs="Palatino Linotype"/>
        </w:rPr>
        <w:t xml:space="preserve"> de Conformidad con lo establecido en el </w:t>
      </w:r>
      <w:r w:rsidRPr="00812BBB">
        <w:rPr>
          <w:rFonts w:ascii="Palatino Linotype" w:eastAsia="Palatino Linotype" w:hAnsi="Palatino Linotype" w:cs="Palatino Linotype"/>
          <w:b/>
          <w:bCs/>
        </w:rPr>
        <w:t>Considerando QUINTO</w:t>
      </w:r>
      <w:r w:rsidRPr="00812BBB">
        <w:rPr>
          <w:rFonts w:ascii="Palatino Linotype" w:eastAsia="Palatino Linotype" w:hAnsi="Palatino Linotype" w:cs="Palatino Linotype"/>
        </w:rPr>
        <w:t xml:space="preserve"> de la presente Resolución.</w:t>
      </w:r>
    </w:p>
    <w:p w:rsidR="00766305" w:rsidRPr="00812BBB" w:rsidRDefault="00766305">
      <w:pPr>
        <w:spacing w:line="360" w:lineRule="auto"/>
        <w:ind w:right="1"/>
        <w:jc w:val="both"/>
        <w:rPr>
          <w:rFonts w:ascii="Palatino Linotype" w:eastAsia="Palatino Linotype" w:hAnsi="Palatino Linotype" w:cs="Palatino Linotype"/>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rPr>
      </w:pPr>
      <w:r w:rsidRPr="00812BBB">
        <w:rPr>
          <w:rFonts w:ascii="Palatino Linotype" w:eastAsia="Palatino Linotype" w:hAnsi="Palatino Linotype" w:cs="Palatino Linotype"/>
          <w:color w:val="000000"/>
        </w:rPr>
        <w:t xml:space="preserve">Ahora bien, </w:t>
      </w:r>
      <w:r w:rsidRPr="00812BBB">
        <w:rPr>
          <w:rFonts w:ascii="Palatino Linotype" w:eastAsia="Palatino Linotype" w:hAnsi="Palatino Linotype" w:cs="Palatino Linotype"/>
        </w:rPr>
        <w:t>es importante señalar que el artículo 4, párrafo segundo de la Ley de Transparencia y Acceso a la Información Pública del Estado de México y Municipios, dispone:</w:t>
      </w:r>
    </w:p>
    <w:p w:rsidR="00766305" w:rsidRPr="00812BBB" w:rsidRDefault="00E97EF6">
      <w:pPr>
        <w:tabs>
          <w:tab w:val="left" w:pos="426"/>
          <w:tab w:val="left" w:pos="567"/>
        </w:tabs>
        <w:ind w:left="567" w:right="565"/>
        <w:jc w:val="both"/>
        <w:rPr>
          <w:rFonts w:ascii="Palatino Linotype" w:eastAsia="Palatino Linotype" w:hAnsi="Palatino Linotype" w:cs="Palatino Linotype"/>
          <w:i/>
          <w:iCs/>
        </w:rPr>
      </w:pPr>
      <w:r w:rsidRPr="00812BBB">
        <w:rPr>
          <w:rFonts w:ascii="Palatino Linotype" w:eastAsia="Palatino Linotype" w:hAnsi="Palatino Linotype" w:cs="Palatino Linotype"/>
          <w:i/>
          <w:iCs/>
        </w:rPr>
        <w:t>“</w:t>
      </w:r>
      <w:r w:rsidRPr="00812BBB">
        <w:rPr>
          <w:rFonts w:ascii="Palatino Linotype" w:eastAsia="Palatino Linotype" w:hAnsi="Palatino Linotype" w:cs="Palatino Linotype"/>
          <w:b/>
          <w:bCs/>
          <w:i/>
          <w:iCs/>
        </w:rPr>
        <w:t>Artículo 4. …</w:t>
      </w:r>
    </w:p>
    <w:p w:rsidR="00766305" w:rsidRPr="00812BBB" w:rsidRDefault="00E97EF6">
      <w:pPr>
        <w:tabs>
          <w:tab w:val="left" w:pos="426"/>
          <w:tab w:val="left" w:pos="567"/>
        </w:tabs>
        <w:ind w:left="567" w:right="565"/>
        <w:jc w:val="both"/>
        <w:rPr>
          <w:rFonts w:ascii="Palatino Linotype" w:eastAsia="Palatino Linotype" w:hAnsi="Palatino Linotype" w:cs="Palatino Linotype"/>
          <w:i/>
          <w:iCs/>
        </w:rPr>
      </w:pPr>
      <w:r w:rsidRPr="00812BBB">
        <w:rPr>
          <w:rFonts w:ascii="Palatino Linotype" w:eastAsia="Palatino Linotype" w:hAnsi="Palatino Linotype" w:cs="Palatino Linotype"/>
          <w:i/>
          <w:iC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766305" w:rsidRDefault="00766305">
      <w:pPr>
        <w:tabs>
          <w:tab w:val="left" w:pos="426"/>
          <w:tab w:val="left" w:pos="567"/>
        </w:tabs>
        <w:ind w:right="565"/>
        <w:jc w:val="both"/>
        <w:rPr>
          <w:rFonts w:ascii="Palatino Linotype" w:eastAsia="Palatino Linotype" w:hAnsi="Palatino Linotype" w:cs="Palatino Linotype"/>
          <w:i/>
          <w:iCs/>
        </w:rPr>
      </w:pPr>
    </w:p>
    <w:p w:rsidR="00812BBB" w:rsidRPr="00812BBB" w:rsidRDefault="00812BBB">
      <w:pPr>
        <w:tabs>
          <w:tab w:val="left" w:pos="426"/>
          <w:tab w:val="left" w:pos="567"/>
        </w:tabs>
        <w:ind w:right="565"/>
        <w:jc w:val="both"/>
        <w:rPr>
          <w:rFonts w:ascii="Palatino Linotype" w:eastAsia="Palatino Linotype" w:hAnsi="Palatino Linotype" w:cs="Palatino Linotype"/>
          <w:i/>
          <w:iCs/>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rPr>
      </w:pPr>
      <w:r w:rsidRPr="00812BBB">
        <w:rPr>
          <w:rFonts w:ascii="Palatino Linotype" w:eastAsia="Palatino Linotype" w:hAnsi="Palatino Linotype" w:cs="Palatino Linotype"/>
          <w:color w:val="000000"/>
        </w:rPr>
        <w:t xml:space="preserve">De lo anterior, se desprende </w:t>
      </w:r>
      <w:r w:rsidRPr="00812BBB">
        <w:rPr>
          <w:rFonts w:ascii="Palatino Linotype" w:eastAsia="Palatino Linotype" w:hAnsi="Palatino Linotype" w:cs="Palatino Linotype"/>
        </w:rPr>
        <w:t xml:space="preserve">que la información generada, obtenida, adquirida, transmitida, administrada o en posesión de los Sujetos Obligados, será accesible de manera permanente a cualquier persona, privilegiando el principio de máxima publicidad de la información. </w:t>
      </w:r>
    </w:p>
    <w:p w:rsidR="00766305" w:rsidRPr="00812BBB" w:rsidRDefault="00766305">
      <w:pPr>
        <w:spacing w:line="360" w:lineRule="auto"/>
        <w:ind w:right="1"/>
        <w:jc w:val="both"/>
        <w:rPr>
          <w:rFonts w:ascii="Palatino Linotype" w:eastAsia="Palatino Linotype" w:hAnsi="Palatino Linotype" w:cs="Palatino Linotype"/>
          <w:b/>
          <w:bCs/>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rPr>
      </w:pPr>
      <w:r w:rsidRPr="00812BBB">
        <w:rPr>
          <w:rFonts w:ascii="Palatino Linotype" w:eastAsia="Palatino Linotype" w:hAnsi="Palatino Linotype" w:cs="Palatino Linotype"/>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rsidR="00766305" w:rsidRPr="00812BBB" w:rsidRDefault="00766305">
      <w:pPr>
        <w:spacing w:line="360" w:lineRule="auto"/>
        <w:ind w:right="1"/>
        <w:jc w:val="both"/>
        <w:rPr>
          <w:rFonts w:ascii="Palatino Linotype" w:eastAsia="Palatino Linotype" w:hAnsi="Palatino Linotype" w:cs="Palatino Linotype"/>
          <w:color w:val="000000"/>
        </w:rPr>
      </w:pPr>
    </w:p>
    <w:p w:rsidR="00766305" w:rsidRPr="00812BBB" w:rsidRDefault="00E97EF6">
      <w:pPr>
        <w:tabs>
          <w:tab w:val="left" w:pos="1134"/>
        </w:tabs>
        <w:ind w:left="567" w:right="565"/>
        <w:jc w:val="both"/>
        <w:rPr>
          <w:rFonts w:ascii="Palatino Linotype" w:eastAsia="Palatino Linotype" w:hAnsi="Palatino Linotype" w:cs="Palatino Linotype"/>
          <w:i/>
          <w:iCs/>
        </w:rPr>
      </w:pPr>
      <w:r w:rsidRPr="00812BBB">
        <w:rPr>
          <w:rFonts w:ascii="Palatino Linotype" w:eastAsia="Palatino Linotype" w:hAnsi="Palatino Linotype" w:cs="Palatino Linotype"/>
          <w:i/>
          <w:iCs/>
        </w:rPr>
        <w:lastRenderedPageBreak/>
        <w:t>“</w:t>
      </w:r>
      <w:r w:rsidRPr="00812BBB">
        <w:rPr>
          <w:rFonts w:ascii="Palatino Linotype" w:eastAsia="Palatino Linotype" w:hAnsi="Palatino Linotype" w:cs="Palatino Linotype"/>
          <w:b/>
          <w:bCs/>
          <w:i/>
          <w:iCs/>
        </w:rPr>
        <w:t>Artículo 12.</w:t>
      </w:r>
      <w:r w:rsidRPr="00812BBB">
        <w:rPr>
          <w:rFonts w:ascii="Palatino Linotype" w:eastAsia="Palatino Linotype" w:hAnsi="Palatino Linotype" w:cs="Palatino Linotype"/>
          <w:i/>
          <w:iCs/>
        </w:rPr>
        <w:t xml:space="preserve"> Quienes generen, recopilen, administren, manejen, procesen, archiven o conserven información pública serán responsables de la misma en los términos de las disposiciones jurídicas aplicables. </w:t>
      </w:r>
    </w:p>
    <w:p w:rsidR="00766305" w:rsidRPr="00812BBB" w:rsidRDefault="00766305">
      <w:pPr>
        <w:tabs>
          <w:tab w:val="left" w:pos="1134"/>
        </w:tabs>
        <w:ind w:left="567" w:right="565"/>
        <w:jc w:val="both"/>
        <w:rPr>
          <w:rFonts w:ascii="Palatino Linotype" w:eastAsia="Palatino Linotype" w:hAnsi="Palatino Linotype" w:cs="Palatino Linotype"/>
          <w:i/>
          <w:iCs/>
        </w:rPr>
      </w:pPr>
    </w:p>
    <w:p w:rsidR="00766305" w:rsidRPr="00812BBB" w:rsidRDefault="00E97EF6">
      <w:pPr>
        <w:tabs>
          <w:tab w:val="left" w:pos="1134"/>
        </w:tabs>
        <w:ind w:left="567" w:right="565"/>
        <w:jc w:val="both"/>
        <w:rPr>
          <w:rFonts w:ascii="Palatino Linotype" w:eastAsia="Palatino Linotype" w:hAnsi="Palatino Linotype" w:cs="Palatino Linotype"/>
          <w:i/>
          <w:iCs/>
        </w:rPr>
      </w:pPr>
      <w:r w:rsidRPr="00812BBB">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766305" w:rsidRDefault="00766305">
      <w:pPr>
        <w:tabs>
          <w:tab w:val="left" w:pos="1134"/>
        </w:tabs>
        <w:ind w:right="565"/>
        <w:jc w:val="both"/>
        <w:rPr>
          <w:rFonts w:ascii="Palatino Linotype" w:eastAsia="Palatino Linotype" w:hAnsi="Palatino Linotype" w:cs="Palatino Linotype"/>
          <w:i/>
          <w:iCs/>
        </w:rPr>
      </w:pPr>
    </w:p>
    <w:p w:rsidR="00812BBB" w:rsidRPr="00812BBB" w:rsidRDefault="00812BBB">
      <w:pPr>
        <w:tabs>
          <w:tab w:val="left" w:pos="1134"/>
        </w:tabs>
        <w:ind w:right="565"/>
        <w:jc w:val="both"/>
        <w:rPr>
          <w:rFonts w:ascii="Palatino Linotype" w:eastAsia="Palatino Linotype" w:hAnsi="Palatino Linotype" w:cs="Palatino Linotype"/>
          <w:i/>
          <w:iCs/>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rPr>
      </w:pPr>
      <w:r w:rsidRPr="00812BBB">
        <w:rPr>
          <w:rFonts w:ascii="Palatino Linotype" w:eastAsia="Palatino Linotype" w:hAnsi="Palatino Linotype" w:cs="Palatino Linotype"/>
          <w:color w:val="000000"/>
        </w:rPr>
        <w:t xml:space="preserve">En síntesis, </w:t>
      </w:r>
      <w:r w:rsidRPr="00812BBB">
        <w:rPr>
          <w:rFonts w:ascii="Palatino Linotype" w:eastAsia="Palatino Linotype" w:hAnsi="Palatino Linotype" w:cs="Palatino Linotype"/>
        </w:rPr>
        <w:t xml:space="preserve">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 </w:t>
      </w:r>
    </w:p>
    <w:p w:rsidR="00766305" w:rsidRPr="00812BBB" w:rsidRDefault="00766305">
      <w:pPr>
        <w:spacing w:line="360" w:lineRule="auto"/>
        <w:ind w:right="1"/>
        <w:jc w:val="both"/>
        <w:rPr>
          <w:rFonts w:ascii="Palatino Linotype" w:eastAsia="Palatino Linotype" w:hAnsi="Palatino Linotype" w:cs="Palatino Linotype"/>
          <w:b/>
          <w:bCs/>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rPr>
      </w:pPr>
      <w:r w:rsidRPr="00812BBB">
        <w:rPr>
          <w:rFonts w:ascii="Palatino Linotype" w:eastAsia="Palatino Linotype" w:hAnsi="Palatino Linotype" w:cs="Palatino Linotype"/>
        </w:rPr>
        <w:t xml:space="preserve">Como apoyo a lo anterior, es aplicable el Criterio 03-17, emitido por el Instituto Nacional de Transparencia, Acceso a la Información y Protección de Datos Personales, que dice: </w:t>
      </w:r>
    </w:p>
    <w:p w:rsidR="00766305" w:rsidRPr="00812BBB" w:rsidRDefault="00E97EF6">
      <w:pPr>
        <w:tabs>
          <w:tab w:val="left" w:pos="709"/>
          <w:tab w:val="left" w:pos="1985"/>
        </w:tabs>
        <w:ind w:left="567" w:right="565"/>
        <w:jc w:val="both"/>
        <w:rPr>
          <w:rFonts w:ascii="Palatino Linotype" w:eastAsia="Palatino Linotype" w:hAnsi="Palatino Linotype" w:cs="Palatino Linotype"/>
          <w:i/>
          <w:iCs/>
        </w:rPr>
      </w:pPr>
      <w:r w:rsidRPr="00812BBB">
        <w:rPr>
          <w:rFonts w:ascii="Palatino Linotype" w:eastAsia="Palatino Linotype" w:hAnsi="Palatino Linotype" w:cs="Palatino Linotype"/>
          <w:b/>
          <w:bCs/>
          <w:i/>
          <w:iCs/>
        </w:rPr>
        <w:t>“No existe obligación de elaborar documentos ad hoc para atender las solicitudes de acceso a la información.</w:t>
      </w:r>
      <w:r w:rsidRPr="00812BBB">
        <w:rPr>
          <w:rFonts w:ascii="Palatino Linotype" w:eastAsia="Palatino Linotype" w:hAnsi="Palatino Linotype" w:cs="Palatino Linotype"/>
          <w:i/>
          <w:iCs/>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rsidR="00766305" w:rsidRPr="00812BBB" w:rsidRDefault="00766305">
      <w:pPr>
        <w:tabs>
          <w:tab w:val="left" w:pos="709"/>
          <w:tab w:val="left" w:pos="1985"/>
        </w:tabs>
        <w:ind w:left="567" w:right="565"/>
        <w:jc w:val="both"/>
        <w:rPr>
          <w:rFonts w:ascii="Palatino Linotype" w:eastAsia="Palatino Linotype" w:hAnsi="Palatino Linotype" w:cs="Palatino Linotype"/>
          <w:i/>
          <w:iCs/>
        </w:rPr>
      </w:pPr>
    </w:p>
    <w:p w:rsidR="00766305" w:rsidRPr="00812BBB" w:rsidRDefault="00E97EF6">
      <w:pPr>
        <w:tabs>
          <w:tab w:val="left" w:pos="709"/>
          <w:tab w:val="left" w:pos="1985"/>
        </w:tabs>
        <w:ind w:left="567" w:right="565"/>
        <w:jc w:val="both"/>
        <w:rPr>
          <w:rFonts w:ascii="Palatino Linotype" w:eastAsia="Palatino Linotype" w:hAnsi="Palatino Linotype" w:cs="Palatino Linotype"/>
          <w:i/>
          <w:iCs/>
        </w:rPr>
      </w:pPr>
      <w:r w:rsidRPr="00812BBB">
        <w:rPr>
          <w:rFonts w:ascii="Palatino Linotype" w:eastAsia="Palatino Linotype" w:hAnsi="Palatino Linotype" w:cs="Palatino Linotype"/>
          <w:i/>
          <w:iCs/>
        </w:rPr>
        <w:t xml:space="preserve">Resoluciones: </w:t>
      </w:r>
    </w:p>
    <w:p w:rsidR="00766305" w:rsidRPr="00812BBB" w:rsidRDefault="00E97EF6">
      <w:pPr>
        <w:tabs>
          <w:tab w:val="left" w:pos="709"/>
          <w:tab w:val="left" w:pos="1985"/>
        </w:tabs>
        <w:ind w:left="567" w:right="565"/>
        <w:jc w:val="both"/>
        <w:rPr>
          <w:rFonts w:ascii="Palatino Linotype" w:eastAsia="Palatino Linotype" w:hAnsi="Palatino Linotype" w:cs="Palatino Linotype"/>
          <w:i/>
          <w:iCs/>
        </w:rPr>
      </w:pPr>
      <w:r w:rsidRPr="00812BBB">
        <w:rPr>
          <w:rFonts w:ascii="Noto Sans Symbols" w:eastAsia="Noto Sans Symbols" w:hAnsi="Noto Sans Symbols" w:cs="Noto Sans Symbols"/>
          <w:i/>
          <w:iCs/>
        </w:rPr>
        <w:lastRenderedPageBreak/>
        <w:t>∙</w:t>
      </w:r>
      <w:r w:rsidRPr="00812BBB">
        <w:rPr>
          <w:rFonts w:ascii="Palatino Linotype" w:eastAsia="Palatino Linotype" w:hAnsi="Palatino Linotype" w:cs="Palatino Linotype"/>
          <w:i/>
          <w:iCs/>
        </w:rPr>
        <w:t xml:space="preserve"> RRA 0050/16. Instituto Nacional para la Evaluación de la Educación. 13 julio de 2016. Por unanimidad. Comisionado Ponente: Francisco Javier Acuña Llamas. </w:t>
      </w:r>
    </w:p>
    <w:p w:rsidR="00766305" w:rsidRPr="00812BBB" w:rsidRDefault="00E97EF6">
      <w:pPr>
        <w:tabs>
          <w:tab w:val="left" w:pos="709"/>
          <w:tab w:val="left" w:pos="1985"/>
        </w:tabs>
        <w:ind w:left="567" w:right="565"/>
        <w:jc w:val="both"/>
        <w:rPr>
          <w:rFonts w:ascii="Palatino Linotype" w:eastAsia="Palatino Linotype" w:hAnsi="Palatino Linotype" w:cs="Palatino Linotype"/>
          <w:i/>
          <w:iCs/>
        </w:rPr>
      </w:pPr>
      <w:r w:rsidRPr="00812BBB">
        <w:rPr>
          <w:rFonts w:ascii="Noto Sans Symbols" w:eastAsia="Noto Sans Symbols" w:hAnsi="Noto Sans Symbols" w:cs="Noto Sans Symbols"/>
          <w:i/>
          <w:iCs/>
        </w:rPr>
        <w:t>∙</w:t>
      </w:r>
      <w:r w:rsidRPr="00812BBB">
        <w:rPr>
          <w:rFonts w:ascii="Palatino Linotype" w:eastAsia="Palatino Linotype" w:hAnsi="Palatino Linotype" w:cs="Palatino Linotype"/>
          <w:i/>
          <w:iCs/>
        </w:rPr>
        <w:t xml:space="preserve"> RRA 0310/16. Instituto Nacional de Transparencia, Acceso a la Información y Protección de Datos Personales. 10 de agosto de 2016. Por unanimidad. Comisionada Ponente. Areli Cano Guadiana. </w:t>
      </w:r>
    </w:p>
    <w:p w:rsidR="00766305" w:rsidRPr="00812BBB" w:rsidRDefault="00E97EF6">
      <w:pPr>
        <w:tabs>
          <w:tab w:val="left" w:pos="709"/>
          <w:tab w:val="left" w:pos="1985"/>
        </w:tabs>
        <w:ind w:left="567" w:right="565"/>
        <w:jc w:val="both"/>
        <w:rPr>
          <w:rFonts w:ascii="Palatino Linotype" w:eastAsia="Palatino Linotype" w:hAnsi="Palatino Linotype" w:cs="Palatino Linotype"/>
          <w:color w:val="000000"/>
        </w:rPr>
      </w:pPr>
      <w:r w:rsidRPr="00812BBB">
        <w:rPr>
          <w:rFonts w:ascii="Noto Sans Symbols" w:eastAsia="Noto Sans Symbols" w:hAnsi="Noto Sans Symbols" w:cs="Noto Sans Symbols"/>
          <w:i/>
          <w:iCs/>
        </w:rPr>
        <w:t>∙</w:t>
      </w:r>
      <w:r w:rsidRPr="00812BBB">
        <w:rPr>
          <w:rFonts w:ascii="Palatino Linotype" w:eastAsia="Palatino Linotype" w:hAnsi="Palatino Linotype" w:cs="Palatino Linotype"/>
          <w:i/>
          <w:iCs/>
        </w:rPr>
        <w:t xml:space="preserve"> RRA 1889/16. Secretaría de Hacienda y Crédito Público. 05 de octubre de 2016. Por unanimidad. Comisionada Ponente. Ximena Puente de la Mora.”</w:t>
      </w:r>
    </w:p>
    <w:p w:rsidR="00766305" w:rsidRPr="00812BBB" w:rsidRDefault="00766305">
      <w:pPr>
        <w:spacing w:line="360" w:lineRule="auto"/>
        <w:ind w:right="1"/>
        <w:jc w:val="both"/>
        <w:rPr>
          <w:rFonts w:ascii="Palatino Linotype" w:eastAsia="Palatino Linotype" w:hAnsi="Palatino Linotype" w:cs="Palatino Linotype"/>
          <w:b/>
          <w:bCs/>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rPr>
      </w:pPr>
      <w:r w:rsidRPr="00812BBB">
        <w:rPr>
          <w:rFonts w:ascii="Palatino Linotype" w:eastAsia="Palatino Linotype" w:hAnsi="Palatino Linotype" w:cs="Palatino Linotype"/>
          <w:color w:val="000000"/>
        </w:rPr>
        <w:t xml:space="preserve">Asimos, </w:t>
      </w:r>
      <w:r w:rsidRPr="00812BBB">
        <w:rPr>
          <w:rFonts w:ascii="Palatino Linotype" w:eastAsia="Palatino Linotype" w:hAnsi="Palatino Linotype" w:cs="Palatino Linotype"/>
        </w:rPr>
        <w:t xml:space="preserve">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w:t>
      </w:r>
    </w:p>
    <w:p w:rsidR="00766305" w:rsidRPr="00812BBB" w:rsidRDefault="00766305">
      <w:pPr>
        <w:spacing w:line="360" w:lineRule="auto"/>
        <w:ind w:right="1"/>
        <w:jc w:val="both"/>
        <w:rPr>
          <w:rFonts w:ascii="Palatino Linotype" w:eastAsia="Palatino Linotype" w:hAnsi="Palatino Linotype" w:cs="Palatino Linotype"/>
          <w:b/>
          <w:bCs/>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rPr>
      </w:pPr>
      <w:r w:rsidRPr="00812BBB">
        <w:rPr>
          <w:rFonts w:ascii="Palatino Linotype" w:eastAsia="Palatino Linotype" w:hAnsi="Palatino Linotype" w:cs="Palatino Linotype"/>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766305" w:rsidRPr="00812BBB" w:rsidRDefault="00E97EF6">
      <w:pPr>
        <w:tabs>
          <w:tab w:val="left" w:pos="426"/>
          <w:tab w:val="left" w:pos="567"/>
        </w:tabs>
        <w:ind w:left="567" w:right="565"/>
        <w:jc w:val="both"/>
        <w:rPr>
          <w:rFonts w:ascii="Palatino Linotype" w:eastAsia="Palatino Linotype" w:hAnsi="Palatino Linotype" w:cs="Palatino Linotype"/>
          <w:i/>
          <w:iCs/>
        </w:rPr>
      </w:pPr>
      <w:r w:rsidRPr="00812BBB">
        <w:rPr>
          <w:rFonts w:ascii="Palatino Linotype" w:eastAsia="Palatino Linotype" w:hAnsi="Palatino Linotype" w:cs="Palatino Linotype"/>
          <w:b/>
          <w:bCs/>
          <w:i/>
          <w:iCs/>
        </w:rPr>
        <w:t>“Artículo 3.</w:t>
      </w:r>
      <w:r w:rsidRPr="00812BBB">
        <w:rPr>
          <w:rFonts w:ascii="Palatino Linotype" w:eastAsia="Palatino Linotype" w:hAnsi="Palatino Linotype" w:cs="Palatino Linotype"/>
          <w:i/>
          <w:iCs/>
        </w:rPr>
        <w:t xml:space="preserve"> Para los efectos de la presente Ley se entenderá por: </w:t>
      </w:r>
    </w:p>
    <w:p w:rsidR="00766305" w:rsidRPr="00812BBB" w:rsidRDefault="00E97EF6">
      <w:pPr>
        <w:tabs>
          <w:tab w:val="left" w:pos="426"/>
          <w:tab w:val="left" w:pos="567"/>
        </w:tabs>
        <w:ind w:left="567" w:right="565"/>
        <w:jc w:val="both"/>
        <w:rPr>
          <w:rFonts w:ascii="Palatino Linotype" w:eastAsia="Palatino Linotype" w:hAnsi="Palatino Linotype" w:cs="Palatino Linotype"/>
          <w:i/>
          <w:iCs/>
        </w:rPr>
      </w:pPr>
      <w:r w:rsidRPr="00812BBB">
        <w:rPr>
          <w:rFonts w:ascii="Palatino Linotype" w:eastAsia="Palatino Linotype" w:hAnsi="Palatino Linotype" w:cs="Palatino Linotype"/>
          <w:i/>
          <w:iCs/>
        </w:rPr>
        <w:t xml:space="preserve">(…) </w:t>
      </w:r>
    </w:p>
    <w:p w:rsidR="00766305" w:rsidRPr="00812BBB" w:rsidRDefault="00E97EF6">
      <w:pPr>
        <w:tabs>
          <w:tab w:val="left" w:pos="426"/>
          <w:tab w:val="left" w:pos="567"/>
        </w:tabs>
        <w:ind w:left="567" w:right="565"/>
        <w:jc w:val="both"/>
        <w:rPr>
          <w:rFonts w:ascii="Palatino Linotype" w:eastAsia="Palatino Linotype" w:hAnsi="Palatino Linotype" w:cs="Palatino Linotype"/>
          <w:b/>
          <w:bCs/>
          <w:i/>
          <w:iCs/>
        </w:rPr>
      </w:pPr>
      <w:r w:rsidRPr="00812BBB">
        <w:rPr>
          <w:rFonts w:ascii="Palatino Linotype" w:eastAsia="Palatino Linotype" w:hAnsi="Palatino Linotype" w:cs="Palatino Linotype"/>
          <w:b/>
          <w:bCs/>
          <w:i/>
          <w:iCs/>
        </w:rPr>
        <w:t>XI. Documento:</w:t>
      </w:r>
      <w:r w:rsidRPr="00812BBB">
        <w:rPr>
          <w:rFonts w:ascii="Palatino Linotype" w:eastAsia="Palatino Linotype" w:hAnsi="Palatino Linotype" w:cs="Palatino Linotype"/>
          <w:i/>
          <w:iCs/>
        </w:rPr>
        <w:t xml:space="preserve"> Los expedientes, reportes, estudios, actas, resoluciones, oficios, correspondencia, acuerdos, directivas, directrices, circulares, contratos, convenios, </w:t>
      </w:r>
      <w:r w:rsidRPr="00812BBB">
        <w:rPr>
          <w:rFonts w:ascii="Palatino Linotype" w:eastAsia="Palatino Linotype" w:hAnsi="Palatino Linotype" w:cs="Palatino Linotype"/>
          <w:i/>
          <w:iCs/>
        </w:rPr>
        <w:lastRenderedPageBreak/>
        <w:t xml:space="preserve">instructivos, notas, memorandos, estadísticas o bien, cualquier otro registro que documente el ejercicio de las facultades, funciones y competencias de los sujetos obligados, sus servidores públicos e integrantes, sin importar su fuente o fecha de elaboración. </w:t>
      </w:r>
      <w:r w:rsidRPr="00812BBB">
        <w:rPr>
          <w:rFonts w:ascii="Palatino Linotype" w:eastAsia="Palatino Linotype" w:hAnsi="Palatino Linotype" w:cs="Palatino Linotype"/>
          <w:b/>
          <w:bCs/>
          <w:i/>
          <w:iCs/>
        </w:rPr>
        <w:t xml:space="preserve">Los documentos podrán estar en cualquier medio, sea escrito, impreso, sonoro, visual, electrónico, informático u holográfico; </w:t>
      </w:r>
    </w:p>
    <w:p w:rsidR="00766305" w:rsidRPr="00812BBB" w:rsidRDefault="00E97EF6">
      <w:pPr>
        <w:tabs>
          <w:tab w:val="left" w:pos="426"/>
          <w:tab w:val="left" w:pos="567"/>
        </w:tabs>
        <w:ind w:left="567" w:right="565"/>
        <w:jc w:val="both"/>
        <w:rPr>
          <w:rFonts w:ascii="Palatino Linotype" w:eastAsia="Palatino Linotype" w:hAnsi="Palatino Linotype" w:cs="Palatino Linotype"/>
          <w:i/>
          <w:iCs/>
          <w:color w:val="000000"/>
        </w:rPr>
      </w:pPr>
      <w:r w:rsidRPr="00812BBB">
        <w:rPr>
          <w:rFonts w:ascii="Palatino Linotype" w:eastAsia="Palatino Linotype" w:hAnsi="Palatino Linotype" w:cs="Palatino Linotype"/>
          <w:i/>
          <w:iCs/>
        </w:rPr>
        <w:t>(…)”</w:t>
      </w:r>
    </w:p>
    <w:p w:rsidR="00766305" w:rsidRPr="00812BBB" w:rsidRDefault="00766305">
      <w:pPr>
        <w:spacing w:line="360" w:lineRule="auto"/>
        <w:ind w:right="1"/>
        <w:jc w:val="both"/>
        <w:rPr>
          <w:rFonts w:ascii="Palatino Linotype" w:eastAsia="Palatino Linotype" w:hAnsi="Palatino Linotype" w:cs="Palatino Linotype"/>
          <w:b/>
          <w:bCs/>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rPr>
      </w:pPr>
      <w:r w:rsidRPr="00812BBB">
        <w:rPr>
          <w:rFonts w:ascii="Palatino Linotype" w:eastAsia="Palatino Linotype" w:hAnsi="Palatino Linotype" w:cs="Palatino Linotype"/>
          <w:color w:val="000000"/>
        </w:rPr>
        <w:t xml:space="preserve">Siendo </w:t>
      </w:r>
      <w:r w:rsidRPr="00812BBB">
        <w:rPr>
          <w:rFonts w:ascii="Palatino Linotype" w:eastAsia="Palatino Linotype" w:hAnsi="Palatino Linotype" w:cs="Palatino Linotype"/>
        </w:rPr>
        <w:t>aplicable el Criterio de interpretación en el orden administrativo número 0002- 11,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766305" w:rsidRPr="00812BBB" w:rsidRDefault="00E97EF6">
      <w:pPr>
        <w:tabs>
          <w:tab w:val="left" w:pos="426"/>
          <w:tab w:val="left" w:pos="567"/>
        </w:tabs>
        <w:ind w:left="567" w:right="565"/>
        <w:jc w:val="both"/>
        <w:rPr>
          <w:rFonts w:ascii="Palatino Linotype" w:eastAsia="Palatino Linotype" w:hAnsi="Palatino Linotype" w:cs="Palatino Linotype"/>
          <w:i/>
          <w:iCs/>
        </w:rPr>
      </w:pPr>
      <w:r w:rsidRPr="00812BBB">
        <w:rPr>
          <w:rFonts w:ascii="Palatino Linotype" w:eastAsia="Palatino Linotype" w:hAnsi="Palatino Linotype" w:cs="Palatino Linotype"/>
          <w:i/>
          <w:iCs/>
        </w:rPr>
        <w:t>“CRITERIO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rsidR="00766305" w:rsidRDefault="00766305">
      <w:pPr>
        <w:spacing w:line="360" w:lineRule="auto"/>
        <w:ind w:right="1"/>
        <w:jc w:val="both"/>
        <w:rPr>
          <w:rFonts w:ascii="Palatino Linotype" w:eastAsia="Palatino Linotype" w:hAnsi="Palatino Linotype" w:cs="Palatino Linotype"/>
          <w:b/>
          <w:bCs/>
        </w:rPr>
      </w:pPr>
    </w:p>
    <w:p w:rsidR="00812BBB" w:rsidRDefault="00812BBB">
      <w:pPr>
        <w:spacing w:line="360" w:lineRule="auto"/>
        <w:ind w:right="1"/>
        <w:jc w:val="both"/>
        <w:rPr>
          <w:rFonts w:ascii="Palatino Linotype" w:eastAsia="Palatino Linotype" w:hAnsi="Palatino Linotype" w:cs="Palatino Linotype"/>
          <w:b/>
          <w:bCs/>
        </w:rPr>
      </w:pPr>
    </w:p>
    <w:p w:rsidR="00812BBB" w:rsidRDefault="00812BBB">
      <w:pPr>
        <w:spacing w:line="360" w:lineRule="auto"/>
        <w:ind w:right="1"/>
        <w:jc w:val="both"/>
        <w:rPr>
          <w:rFonts w:ascii="Palatino Linotype" w:eastAsia="Palatino Linotype" w:hAnsi="Palatino Linotype" w:cs="Palatino Linotype"/>
          <w:b/>
          <w:bCs/>
        </w:rPr>
      </w:pPr>
    </w:p>
    <w:p w:rsidR="00812BBB" w:rsidRDefault="00812BBB">
      <w:pPr>
        <w:spacing w:line="360" w:lineRule="auto"/>
        <w:ind w:right="1"/>
        <w:jc w:val="both"/>
        <w:rPr>
          <w:rFonts w:ascii="Palatino Linotype" w:eastAsia="Palatino Linotype" w:hAnsi="Palatino Linotype" w:cs="Palatino Linotype"/>
          <w:b/>
          <w:bCs/>
        </w:rPr>
      </w:pPr>
    </w:p>
    <w:p w:rsidR="00812BBB" w:rsidRPr="00812BBB" w:rsidRDefault="00812BBB">
      <w:pPr>
        <w:spacing w:line="360" w:lineRule="auto"/>
        <w:ind w:right="1"/>
        <w:jc w:val="both"/>
        <w:rPr>
          <w:rFonts w:ascii="Palatino Linotype" w:eastAsia="Palatino Linotype" w:hAnsi="Palatino Linotype" w:cs="Palatino Linotype"/>
          <w:b/>
          <w:bCs/>
        </w:rPr>
      </w:pPr>
    </w:p>
    <w:p w:rsidR="00766305" w:rsidRPr="00812BBB" w:rsidRDefault="00E97EF6">
      <w:pPr>
        <w:spacing w:before="240" w:after="240" w:line="360" w:lineRule="auto"/>
        <w:ind w:right="48"/>
        <w:jc w:val="both"/>
        <w:rPr>
          <w:rFonts w:ascii="Palatino Linotype" w:eastAsia="Palatino Linotype" w:hAnsi="Palatino Linotype" w:cs="Palatino Linotype"/>
          <w:b/>
          <w:bCs/>
          <w:color w:val="000000"/>
        </w:rPr>
      </w:pPr>
      <w:r w:rsidRPr="00812BBB">
        <w:rPr>
          <w:rFonts w:ascii="Palatino Linotype" w:eastAsia="Palatino Linotype" w:hAnsi="Palatino Linotype" w:cs="Palatino Linotype"/>
          <w:b/>
          <w:bCs/>
          <w:color w:val="000000"/>
        </w:rPr>
        <w:lastRenderedPageBreak/>
        <w:t>QUINTO. VERSIÓN PÚBLICA.</w:t>
      </w:r>
    </w:p>
    <w:p w:rsidR="00766305" w:rsidRPr="00812BBB" w:rsidRDefault="00E97EF6">
      <w:pPr>
        <w:keepNext/>
        <w:keepLines/>
        <w:numPr>
          <w:ilvl w:val="0"/>
          <w:numId w:val="4"/>
        </w:numPr>
        <w:spacing w:line="360" w:lineRule="auto"/>
        <w:ind w:left="284" w:firstLine="0"/>
        <w:rPr>
          <w:rFonts w:ascii="Palatino Linotype" w:eastAsia="Palatino Linotype" w:hAnsi="Palatino Linotype" w:cs="Palatino Linotype"/>
          <w:b/>
          <w:bCs/>
          <w:color w:val="000000"/>
        </w:rPr>
      </w:pPr>
      <w:r w:rsidRPr="00812BBB">
        <w:rPr>
          <w:rFonts w:ascii="Palatino Linotype" w:eastAsia="Palatino Linotype" w:hAnsi="Palatino Linotype" w:cs="Palatino Linotype"/>
          <w:b/>
          <w:bCs/>
          <w:color w:val="000000"/>
        </w:rPr>
        <w:t xml:space="preserve">Nociones generales. </w:t>
      </w: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rPr>
      </w:pPr>
      <w:r w:rsidRPr="00812BBB">
        <w:rPr>
          <w:rFonts w:ascii="Palatino Linotype" w:eastAsia="Palatino Linotype" w:hAnsi="Palatino Linotype" w:cs="Palatino Linotype"/>
        </w:rPr>
        <w:t xml:space="preserve">Debe </w:t>
      </w:r>
      <w:r w:rsidRPr="00812BBB">
        <w:rPr>
          <w:rFonts w:ascii="Palatino Linotype" w:eastAsia="Palatino Linotype" w:hAnsi="Palatino Linotype" w:cs="Palatino Linotype"/>
          <w:color w:val="000000"/>
        </w:rPr>
        <w:t xml:space="preserve">destacarse que, debido a la naturaleza de la información solicitada, eventualmente pudiera obrar datos personales susceptibles de protegerse, el </w:t>
      </w:r>
      <w:r w:rsidRPr="00812BBB">
        <w:rPr>
          <w:rFonts w:ascii="Palatino Linotype" w:eastAsia="Palatino Linotype" w:hAnsi="Palatino Linotype" w:cs="Palatino Linotype"/>
          <w:b/>
          <w:bCs/>
          <w:color w:val="000000"/>
        </w:rPr>
        <w:t xml:space="preserve">SUJETO OBLIGADO </w:t>
      </w:r>
      <w:r w:rsidRPr="00812BBB">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766305" w:rsidRPr="00812BBB" w:rsidRDefault="00766305">
      <w:pPr>
        <w:spacing w:line="360" w:lineRule="auto"/>
        <w:ind w:left="357" w:right="1"/>
        <w:jc w:val="both"/>
        <w:rPr>
          <w:rFonts w:ascii="Palatino Linotype" w:eastAsia="Palatino Linotype" w:hAnsi="Palatino Linotype" w:cs="Palatino Linotype"/>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rPr>
      </w:pPr>
      <w:r w:rsidRPr="00812BBB">
        <w:rPr>
          <w:rFonts w:ascii="Palatino Linotype" w:eastAsia="Palatino Linotype" w:hAnsi="Palatino Linotype" w:cs="Palatino Linotype"/>
          <w:color w:val="000000"/>
        </w:rPr>
        <w:t>No pasa desapercibido para este Órgano Garante que los Sujetos Obligados</w:t>
      </w:r>
      <w:r w:rsidRPr="00812BBB">
        <w:rPr>
          <w:rFonts w:ascii="Palatino Linotype" w:eastAsia="Palatino Linotype" w:hAnsi="Palatino Linotype" w:cs="Palatino Linotype"/>
          <w:b/>
          <w:bCs/>
          <w:color w:val="000000"/>
        </w:rPr>
        <w:t xml:space="preserve"> </w:t>
      </w:r>
      <w:r w:rsidRPr="00812BBB">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766305" w:rsidRPr="00812BBB" w:rsidRDefault="00766305">
      <w:pPr>
        <w:spacing w:line="360" w:lineRule="auto"/>
        <w:jc w:val="both"/>
        <w:rPr>
          <w:rFonts w:ascii="Palatino Linotype" w:eastAsia="Palatino Linotype" w:hAnsi="Palatino Linotype" w:cs="Palatino Linotype"/>
          <w:color w:val="000000"/>
        </w:rPr>
      </w:pPr>
    </w:p>
    <w:tbl>
      <w:tblPr>
        <w:tblStyle w:val="a0"/>
        <w:tblW w:w="1006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547"/>
        <w:gridCol w:w="7513"/>
      </w:tblGrid>
      <w:tr w:rsidR="00766305" w:rsidRPr="00812BBB" w:rsidTr="00812BBB">
        <w:tc>
          <w:tcPr>
            <w:tcW w:w="2547" w:type="dxa"/>
          </w:tcPr>
          <w:p w:rsidR="00766305" w:rsidRPr="00812BBB" w:rsidRDefault="00E97EF6">
            <w:pPr>
              <w:rPr>
                <w:rFonts w:ascii="Palatino Linotype" w:eastAsia="Palatino Linotype" w:hAnsi="Palatino Linotype" w:cs="Palatino Linotype"/>
              </w:rPr>
            </w:pPr>
            <w:r w:rsidRPr="00812BBB">
              <w:rPr>
                <w:rFonts w:ascii="Palatino Linotype" w:eastAsia="Palatino Linotype" w:hAnsi="Palatino Linotype" w:cs="Palatino Linotype"/>
              </w:rPr>
              <w:t>a) Requisitos previos.</w:t>
            </w:r>
          </w:p>
        </w:tc>
        <w:tc>
          <w:tcPr>
            <w:tcW w:w="7513" w:type="dxa"/>
          </w:tcPr>
          <w:p w:rsidR="00766305" w:rsidRPr="00812BBB" w:rsidRDefault="00E97EF6">
            <w:pPr>
              <w:ind w:right="49"/>
              <w:jc w:val="both"/>
              <w:rPr>
                <w:rFonts w:ascii="Palatino Linotype" w:eastAsia="Palatino Linotype" w:hAnsi="Palatino Linotype" w:cs="Palatino Linotype"/>
                <w:color w:val="000000"/>
              </w:rPr>
            </w:pPr>
            <w:r w:rsidRPr="00812BBB">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766305" w:rsidRPr="00812BBB" w:rsidRDefault="00E97EF6">
            <w:pPr>
              <w:ind w:right="49"/>
              <w:jc w:val="both"/>
              <w:rPr>
                <w:rFonts w:ascii="Palatino Linotype" w:eastAsia="Palatino Linotype" w:hAnsi="Palatino Linotype" w:cs="Palatino Linotype"/>
                <w:color w:val="000000"/>
              </w:rPr>
            </w:pPr>
            <w:r w:rsidRPr="00812BBB">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766305" w:rsidRPr="00812BBB" w:rsidRDefault="00E97EF6">
            <w:pPr>
              <w:ind w:right="49"/>
              <w:jc w:val="both"/>
              <w:rPr>
                <w:rFonts w:ascii="Palatino Linotype" w:eastAsia="Palatino Linotype" w:hAnsi="Palatino Linotype" w:cs="Palatino Linotype"/>
                <w:color w:val="000000"/>
              </w:rPr>
            </w:pPr>
            <w:r w:rsidRPr="00812BBB">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766305" w:rsidRPr="00812BBB" w:rsidRDefault="00E97EF6">
            <w:pPr>
              <w:jc w:val="both"/>
              <w:rPr>
                <w:rFonts w:ascii="Palatino Linotype" w:eastAsia="Palatino Linotype" w:hAnsi="Palatino Linotype" w:cs="Palatino Linotype"/>
              </w:rPr>
            </w:pPr>
            <w:r w:rsidRPr="00812BBB">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812BBB">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812BBB">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766305" w:rsidRPr="00812BBB" w:rsidTr="00812BBB">
        <w:tc>
          <w:tcPr>
            <w:tcW w:w="2547" w:type="dxa"/>
          </w:tcPr>
          <w:p w:rsidR="00766305" w:rsidRPr="00812BBB" w:rsidRDefault="00E97EF6">
            <w:pPr>
              <w:rPr>
                <w:rFonts w:ascii="Palatino Linotype" w:eastAsia="Palatino Linotype" w:hAnsi="Palatino Linotype" w:cs="Palatino Linotype"/>
              </w:rPr>
            </w:pPr>
            <w:r w:rsidRPr="00812BBB">
              <w:rPr>
                <w:rFonts w:ascii="Palatino Linotype" w:eastAsia="Palatino Linotype" w:hAnsi="Palatino Linotype" w:cs="Palatino Linotype"/>
              </w:rPr>
              <w:lastRenderedPageBreak/>
              <w:t>b) Supuestos de clasificación.</w:t>
            </w:r>
          </w:p>
        </w:tc>
        <w:tc>
          <w:tcPr>
            <w:tcW w:w="7513" w:type="dxa"/>
          </w:tcPr>
          <w:p w:rsidR="00766305" w:rsidRPr="00812BBB" w:rsidRDefault="00E97EF6">
            <w:pPr>
              <w:ind w:right="49"/>
              <w:jc w:val="both"/>
              <w:rPr>
                <w:rFonts w:ascii="Palatino Linotype" w:eastAsia="Palatino Linotype" w:hAnsi="Palatino Linotype" w:cs="Palatino Linotype"/>
                <w:color w:val="000000"/>
              </w:rPr>
            </w:pPr>
            <w:r w:rsidRPr="00812BBB">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766305" w:rsidRPr="00812BBB" w:rsidRDefault="00E97EF6">
            <w:pPr>
              <w:ind w:right="49"/>
              <w:jc w:val="both"/>
              <w:rPr>
                <w:rFonts w:ascii="Palatino Linotype" w:eastAsia="Palatino Linotype" w:hAnsi="Palatino Linotype" w:cs="Palatino Linotype"/>
                <w:color w:val="000000"/>
              </w:rPr>
            </w:pPr>
            <w:r w:rsidRPr="00812BBB">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766305" w:rsidRPr="00812BBB" w:rsidRDefault="00E97EF6">
            <w:pPr>
              <w:jc w:val="both"/>
              <w:rPr>
                <w:rFonts w:ascii="Palatino Linotype" w:eastAsia="Palatino Linotype" w:hAnsi="Palatino Linotype" w:cs="Palatino Linotype"/>
              </w:rPr>
            </w:pPr>
            <w:r w:rsidRPr="00812BBB">
              <w:rPr>
                <w:rFonts w:ascii="Palatino Linotype" w:eastAsia="Palatino Linotype" w:hAnsi="Palatino Linotype" w:cs="Palatino Linotype"/>
                <w:color w:val="000000"/>
              </w:rPr>
              <w:t xml:space="preserve">El </w:t>
            </w:r>
            <w:r w:rsidRPr="00812BBB">
              <w:rPr>
                <w:rFonts w:ascii="Palatino Linotype" w:eastAsia="Palatino Linotype" w:hAnsi="Palatino Linotype" w:cs="Palatino Linotype"/>
                <w:b/>
                <w:bCs/>
                <w:color w:val="000000"/>
              </w:rPr>
              <w:t>Sujeto Obligado</w:t>
            </w:r>
            <w:r w:rsidRPr="00812BBB">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766305" w:rsidRPr="00812BBB" w:rsidTr="00812BBB">
        <w:tc>
          <w:tcPr>
            <w:tcW w:w="2547" w:type="dxa"/>
          </w:tcPr>
          <w:p w:rsidR="00766305" w:rsidRPr="00812BBB" w:rsidRDefault="00E97EF6">
            <w:pPr>
              <w:rPr>
                <w:rFonts w:ascii="Palatino Linotype" w:eastAsia="Palatino Linotype" w:hAnsi="Palatino Linotype" w:cs="Palatino Linotype"/>
              </w:rPr>
            </w:pPr>
            <w:r w:rsidRPr="00812BBB">
              <w:rPr>
                <w:rFonts w:ascii="Palatino Linotype" w:eastAsia="Palatino Linotype" w:hAnsi="Palatino Linotype" w:cs="Palatino Linotype"/>
              </w:rPr>
              <w:t>c) Formalidades para emitir el acuerdo de clasificación.</w:t>
            </w:r>
          </w:p>
        </w:tc>
        <w:tc>
          <w:tcPr>
            <w:tcW w:w="7513" w:type="dxa"/>
          </w:tcPr>
          <w:p w:rsidR="00766305" w:rsidRPr="00812BBB" w:rsidRDefault="00E97EF6">
            <w:pPr>
              <w:ind w:right="49"/>
              <w:jc w:val="both"/>
              <w:rPr>
                <w:rFonts w:ascii="Palatino Linotype" w:eastAsia="Palatino Linotype" w:hAnsi="Palatino Linotype" w:cs="Palatino Linotype"/>
                <w:color w:val="000000"/>
              </w:rPr>
            </w:pPr>
            <w:r w:rsidRPr="00812BBB">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766305" w:rsidRPr="00812BBB" w:rsidRDefault="00E97EF6">
            <w:pPr>
              <w:ind w:right="49"/>
              <w:jc w:val="both"/>
              <w:rPr>
                <w:rFonts w:ascii="Palatino Linotype" w:eastAsia="Palatino Linotype" w:hAnsi="Palatino Linotype" w:cs="Palatino Linotype"/>
                <w:color w:val="000000"/>
              </w:rPr>
            </w:pPr>
            <w:r w:rsidRPr="00812BBB">
              <w:rPr>
                <w:rFonts w:ascii="Palatino Linotype" w:eastAsia="Palatino Linotype" w:hAnsi="Palatino Linotype" w:cs="Palatino Linotype"/>
                <w:color w:val="000000"/>
              </w:rPr>
              <w:t xml:space="preserve">Es necesario que </w:t>
            </w:r>
            <w:r w:rsidRPr="00812BBB">
              <w:rPr>
                <w:rFonts w:ascii="Palatino Linotype" w:eastAsia="Palatino Linotype" w:hAnsi="Palatino Linotype" w:cs="Palatino Linotype"/>
                <w:b/>
                <w:bCs/>
                <w:color w:val="000000"/>
                <w:u w:val="single"/>
              </w:rPr>
              <w:t>el acto reúna con los requisitos elementales</w:t>
            </w:r>
            <w:r w:rsidRPr="00812BBB">
              <w:rPr>
                <w:rFonts w:ascii="Palatino Linotype" w:eastAsia="Palatino Linotype" w:hAnsi="Palatino Linotype" w:cs="Palatino Linotype"/>
                <w:color w:val="000000"/>
              </w:rPr>
              <w:t>, entre ellos, que la autoridad que va a emitir el acto de autoridad sea la legalmente facultada para ello.</w:t>
            </w:r>
          </w:p>
          <w:p w:rsidR="00766305" w:rsidRPr="00812BBB" w:rsidRDefault="00E97EF6">
            <w:pPr>
              <w:jc w:val="both"/>
              <w:rPr>
                <w:rFonts w:ascii="Palatino Linotype" w:eastAsia="Palatino Linotype" w:hAnsi="Palatino Linotype" w:cs="Palatino Linotype"/>
              </w:rPr>
            </w:pPr>
            <w:r w:rsidRPr="00812BBB">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766305" w:rsidRPr="00812BBB" w:rsidTr="00812BBB">
        <w:tc>
          <w:tcPr>
            <w:tcW w:w="2547" w:type="dxa"/>
          </w:tcPr>
          <w:p w:rsidR="00766305" w:rsidRPr="00812BBB" w:rsidRDefault="00766305">
            <w:pPr>
              <w:rPr>
                <w:rFonts w:ascii="Palatino Linotype" w:eastAsia="Palatino Linotype" w:hAnsi="Palatino Linotype" w:cs="Palatino Linotype"/>
              </w:rPr>
            </w:pPr>
          </w:p>
          <w:p w:rsidR="00766305" w:rsidRPr="00812BBB" w:rsidRDefault="00E97EF6">
            <w:pPr>
              <w:jc w:val="both"/>
              <w:rPr>
                <w:rFonts w:ascii="Palatino Linotype" w:eastAsia="Palatino Linotype" w:hAnsi="Palatino Linotype" w:cs="Palatino Linotype"/>
              </w:rPr>
            </w:pPr>
            <w:r w:rsidRPr="00812BBB">
              <w:rPr>
                <w:rFonts w:ascii="Palatino Linotype" w:eastAsia="Palatino Linotype" w:hAnsi="Palatino Linotype" w:cs="Palatino Linotype"/>
                <w:color w:val="000000"/>
              </w:rPr>
              <w:t xml:space="preserve">d) Requisitos de fondo del acuerdo de clasificación. </w:t>
            </w:r>
          </w:p>
        </w:tc>
        <w:tc>
          <w:tcPr>
            <w:tcW w:w="7513" w:type="dxa"/>
          </w:tcPr>
          <w:p w:rsidR="00766305" w:rsidRPr="00812BBB" w:rsidRDefault="00E97EF6">
            <w:pPr>
              <w:ind w:right="49"/>
              <w:jc w:val="both"/>
              <w:rPr>
                <w:rFonts w:ascii="Palatino Linotype" w:eastAsia="Palatino Linotype" w:hAnsi="Palatino Linotype" w:cs="Palatino Linotype"/>
                <w:color w:val="000000"/>
              </w:rPr>
            </w:pPr>
            <w:r w:rsidRPr="00812BBB">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812BBB">
              <w:rPr>
                <w:rFonts w:ascii="Palatino Linotype" w:eastAsia="Palatino Linotype" w:hAnsi="Palatino Linotype" w:cs="Palatino Linotype"/>
                <w:b/>
                <w:bCs/>
                <w:color w:val="000000"/>
              </w:rPr>
              <w:t>Sujetos Obligados</w:t>
            </w:r>
            <w:r w:rsidRPr="00812BBB">
              <w:rPr>
                <w:rFonts w:ascii="Palatino Linotype" w:eastAsia="Palatino Linotype" w:hAnsi="Palatino Linotype" w:cs="Palatino Linotype"/>
                <w:color w:val="000000"/>
              </w:rPr>
              <w:t xml:space="preserve">, por lo que deberán fundar y motivar debidamente la clasificación. </w:t>
            </w:r>
          </w:p>
          <w:p w:rsidR="00766305" w:rsidRPr="00812BBB" w:rsidRDefault="00E97EF6">
            <w:pPr>
              <w:ind w:right="49"/>
              <w:jc w:val="both"/>
              <w:rPr>
                <w:rFonts w:ascii="Palatino Linotype" w:eastAsia="Palatino Linotype" w:hAnsi="Palatino Linotype" w:cs="Palatino Linotype"/>
                <w:color w:val="000000"/>
              </w:rPr>
            </w:pPr>
            <w:r w:rsidRPr="00812BBB">
              <w:rPr>
                <w:rFonts w:ascii="Palatino Linotype" w:eastAsia="Palatino Linotype" w:hAnsi="Palatino Linotype" w:cs="Palatino Linotype"/>
                <w:color w:val="000000"/>
              </w:rPr>
              <w:lastRenderedPageBreak/>
              <w:t xml:space="preserve">De lo anterior, se desprende que para una correcta </w:t>
            </w:r>
            <w:r w:rsidRPr="00812BBB">
              <w:rPr>
                <w:rFonts w:ascii="Palatino Linotype" w:eastAsia="Palatino Linotype" w:hAnsi="Palatino Linotype" w:cs="Palatino Linotype"/>
                <w:b/>
                <w:bCs/>
                <w:color w:val="000000"/>
              </w:rPr>
              <w:t>clasificación total o parcial</w:t>
            </w:r>
            <w:r w:rsidRPr="00812BBB">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766305" w:rsidRPr="00812BBB" w:rsidRDefault="00E97EF6">
            <w:pPr>
              <w:ind w:right="49"/>
              <w:jc w:val="both"/>
              <w:rPr>
                <w:rFonts w:ascii="Palatino Linotype" w:eastAsia="Palatino Linotype" w:hAnsi="Palatino Linotype" w:cs="Palatino Linotype"/>
                <w:color w:val="000000"/>
              </w:rPr>
            </w:pPr>
            <w:r w:rsidRPr="00812BBB">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766305" w:rsidRPr="00812BBB" w:rsidRDefault="00E97EF6">
            <w:pPr>
              <w:ind w:right="49"/>
              <w:jc w:val="both"/>
              <w:rPr>
                <w:rFonts w:ascii="Palatino Linotype" w:eastAsia="Palatino Linotype" w:hAnsi="Palatino Linotype" w:cs="Palatino Linotype"/>
                <w:color w:val="000000"/>
              </w:rPr>
            </w:pPr>
            <w:r w:rsidRPr="00812BBB">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766305" w:rsidRPr="00812BBB" w:rsidRDefault="00E97EF6">
            <w:pPr>
              <w:ind w:right="49"/>
              <w:jc w:val="both"/>
              <w:rPr>
                <w:rFonts w:ascii="Palatino Linotype" w:eastAsia="Palatino Linotype" w:hAnsi="Palatino Linotype" w:cs="Palatino Linotype"/>
                <w:color w:val="000000"/>
              </w:rPr>
            </w:pPr>
            <w:r w:rsidRPr="00812BBB">
              <w:rPr>
                <w:rFonts w:ascii="Palatino Linotype" w:eastAsia="Palatino Linotype" w:hAnsi="Palatino Linotype" w:cs="Palatino Linotype"/>
                <w:color w:val="000000"/>
              </w:rPr>
              <w:t xml:space="preserve">Ahora bien, </w:t>
            </w:r>
            <w:r w:rsidRPr="00812BBB">
              <w:rPr>
                <w:rFonts w:ascii="Palatino Linotype" w:eastAsia="Palatino Linotype" w:hAnsi="Palatino Linotype" w:cs="Palatino Linotype"/>
                <w:b/>
                <w:bCs/>
                <w:color w:val="000000"/>
                <w:u w:val="single"/>
              </w:rPr>
              <w:t>para cada caso además de fundar y motivar</w:t>
            </w:r>
            <w:r w:rsidRPr="00812BBB">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766305" w:rsidRPr="00812BBB" w:rsidTr="00812BBB">
        <w:tc>
          <w:tcPr>
            <w:tcW w:w="2547" w:type="dxa"/>
          </w:tcPr>
          <w:p w:rsidR="00766305" w:rsidRPr="00812BBB" w:rsidRDefault="00E97EF6">
            <w:pPr>
              <w:ind w:right="49"/>
              <w:jc w:val="both"/>
              <w:rPr>
                <w:rFonts w:ascii="Palatino Linotype" w:eastAsia="Palatino Linotype" w:hAnsi="Palatino Linotype" w:cs="Palatino Linotype"/>
              </w:rPr>
            </w:pPr>
            <w:r w:rsidRPr="00812BBB">
              <w:rPr>
                <w:rFonts w:ascii="Palatino Linotype" w:eastAsia="Palatino Linotype" w:hAnsi="Palatino Linotype" w:cs="Palatino Linotype"/>
              </w:rPr>
              <w:lastRenderedPageBreak/>
              <w:t xml:space="preserve">e) Condiciones especiales de la clasificación de la información como confidencial. </w:t>
            </w:r>
          </w:p>
        </w:tc>
        <w:tc>
          <w:tcPr>
            <w:tcW w:w="7513" w:type="dxa"/>
          </w:tcPr>
          <w:p w:rsidR="00766305" w:rsidRPr="00812BBB" w:rsidRDefault="00E97EF6">
            <w:pPr>
              <w:ind w:right="49"/>
              <w:jc w:val="both"/>
              <w:rPr>
                <w:rFonts w:ascii="Palatino Linotype" w:eastAsia="Palatino Linotype" w:hAnsi="Palatino Linotype" w:cs="Palatino Linotype"/>
                <w:color w:val="000000"/>
              </w:rPr>
            </w:pPr>
            <w:r w:rsidRPr="00812BBB">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766305" w:rsidRPr="00812BBB" w:rsidRDefault="00E97EF6">
            <w:pPr>
              <w:ind w:right="49"/>
              <w:jc w:val="both"/>
              <w:rPr>
                <w:rFonts w:ascii="Palatino Linotype" w:eastAsia="Palatino Linotype" w:hAnsi="Palatino Linotype" w:cs="Palatino Linotype"/>
                <w:color w:val="000000"/>
              </w:rPr>
            </w:pPr>
            <w:r w:rsidRPr="00812BBB">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766305" w:rsidRPr="00812BBB" w:rsidRDefault="00E97EF6">
            <w:pPr>
              <w:ind w:right="49"/>
              <w:rPr>
                <w:rFonts w:ascii="Palatino Linotype" w:eastAsia="Palatino Linotype" w:hAnsi="Palatino Linotype" w:cs="Palatino Linotype"/>
              </w:rPr>
            </w:pPr>
            <w:r w:rsidRPr="00812BBB">
              <w:rPr>
                <w:rFonts w:ascii="Palatino Linotype" w:eastAsia="Palatino Linotype" w:hAnsi="Palatino Linotype" w:cs="Palatino Linotype"/>
                <w:color w:val="000000"/>
              </w:rPr>
              <w:t xml:space="preserve">Pero si la información que se pretende clasificar como confidencial no se encuentra en los supuestos de los artículos señalados y es posible, se deberá consultar al titular de los datos si permite o no el </w:t>
            </w:r>
            <w:r w:rsidRPr="00812BBB">
              <w:rPr>
                <w:rFonts w:ascii="Palatino Linotype" w:eastAsia="Palatino Linotype" w:hAnsi="Palatino Linotype" w:cs="Palatino Linotype"/>
                <w:color w:val="000000"/>
              </w:rPr>
              <w:lastRenderedPageBreak/>
              <w:t>acceso. De no ser posible, la realización de la consulta, procede, fundando y motivando, la clasificación.</w:t>
            </w:r>
          </w:p>
        </w:tc>
      </w:tr>
    </w:tbl>
    <w:p w:rsidR="00766305" w:rsidRPr="00812BBB" w:rsidRDefault="00766305">
      <w:pPr>
        <w:spacing w:line="360" w:lineRule="auto"/>
        <w:ind w:right="1"/>
        <w:jc w:val="both"/>
        <w:rPr>
          <w:rFonts w:ascii="Palatino Linotype" w:eastAsia="Palatino Linotype" w:hAnsi="Palatino Linotype" w:cs="Palatino Linotype"/>
          <w:b/>
          <w:bCs/>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rPr>
      </w:pPr>
      <w:r w:rsidRPr="00812BBB">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766305" w:rsidRPr="00812BBB" w:rsidRDefault="00766305">
      <w:pPr>
        <w:spacing w:line="360" w:lineRule="auto"/>
        <w:ind w:right="1"/>
        <w:jc w:val="both"/>
        <w:rPr>
          <w:rFonts w:ascii="Palatino Linotype" w:eastAsia="Palatino Linotype" w:hAnsi="Palatino Linotype" w:cs="Palatino Linotype"/>
          <w:b/>
          <w:bCs/>
        </w:rPr>
      </w:pPr>
    </w:p>
    <w:p w:rsidR="00766305" w:rsidRPr="00812BBB" w:rsidRDefault="00E97EF6">
      <w:pPr>
        <w:numPr>
          <w:ilvl w:val="0"/>
          <w:numId w:val="2"/>
        </w:numPr>
        <w:spacing w:line="360" w:lineRule="auto"/>
        <w:ind w:left="0" w:right="1" w:firstLine="0"/>
        <w:jc w:val="both"/>
        <w:rPr>
          <w:rFonts w:ascii="Palatino Linotype" w:eastAsia="Palatino Linotype" w:hAnsi="Palatino Linotype" w:cs="Palatino Linotype"/>
          <w:b/>
          <w:bCs/>
        </w:rPr>
      </w:pPr>
      <w:r w:rsidRPr="00812BBB">
        <w:rPr>
          <w:rFonts w:ascii="Palatino Linotype" w:eastAsia="Palatino Linotype" w:hAnsi="Palatino Linotype" w:cs="Palatino Linotype"/>
        </w:rPr>
        <w:t xml:space="preserve">Por </w:t>
      </w:r>
      <w:r w:rsidRPr="00812BBB">
        <w:rPr>
          <w:rFonts w:ascii="Palatino Linotype" w:eastAsia="Palatino Linotype" w:hAnsi="Palatino Linotype" w:cs="Palatino Linotype"/>
          <w:color w:val="222222"/>
        </w:rPr>
        <w:t xml:space="preserve">lo anteriormente expuesto y fundado, este </w:t>
      </w:r>
      <w:r w:rsidRPr="00812BBB">
        <w:rPr>
          <w:rFonts w:ascii="Palatino Linotype" w:eastAsia="Palatino Linotype" w:hAnsi="Palatino Linotype" w:cs="Palatino Linotype"/>
          <w:b/>
          <w:bCs/>
          <w:color w:val="222222"/>
        </w:rPr>
        <w:t>ÓRGANO GARANTE</w:t>
      </w:r>
      <w:r w:rsidRPr="00812BBB">
        <w:rPr>
          <w:rFonts w:ascii="Palatino Linotype" w:eastAsia="Palatino Linotype" w:hAnsi="Palatino Linotype" w:cs="Palatino Linotype"/>
          <w:color w:val="222222"/>
        </w:rPr>
        <w:t xml:space="preserve"> emite los siguientes:</w:t>
      </w:r>
    </w:p>
    <w:p w:rsidR="00766305" w:rsidRPr="00812BBB" w:rsidRDefault="00766305">
      <w:pPr>
        <w:spacing w:line="360" w:lineRule="auto"/>
        <w:ind w:right="1"/>
        <w:jc w:val="both"/>
        <w:rPr>
          <w:rFonts w:ascii="Palatino Linotype" w:eastAsia="Palatino Linotype" w:hAnsi="Palatino Linotype" w:cs="Palatino Linotype"/>
          <w:b/>
          <w:bCs/>
        </w:rPr>
      </w:pPr>
    </w:p>
    <w:p w:rsidR="00766305" w:rsidRPr="00812BBB" w:rsidRDefault="00E97EF6">
      <w:pPr>
        <w:keepNext/>
        <w:keepLines/>
        <w:spacing w:line="360" w:lineRule="auto"/>
        <w:ind w:right="-592"/>
        <w:jc w:val="center"/>
        <w:rPr>
          <w:rFonts w:ascii="Palatino Linotype" w:eastAsia="Palatino Linotype" w:hAnsi="Palatino Linotype" w:cs="Palatino Linotype"/>
          <w:b/>
          <w:bCs/>
          <w:color w:val="000000"/>
        </w:rPr>
      </w:pPr>
      <w:bookmarkStart w:id="8" w:name="_heading=h.ili7lk47j2e1" w:colFirst="0" w:colLast="0"/>
      <w:bookmarkEnd w:id="8"/>
      <w:r w:rsidRPr="00812BBB">
        <w:rPr>
          <w:rFonts w:ascii="Palatino Linotype" w:eastAsia="Palatino Linotype" w:hAnsi="Palatino Linotype" w:cs="Palatino Linotype"/>
          <w:b/>
          <w:bCs/>
          <w:color w:val="000000"/>
        </w:rPr>
        <w:t>R E S O L U T I V O S</w:t>
      </w:r>
    </w:p>
    <w:p w:rsidR="00766305" w:rsidRPr="00812BBB" w:rsidRDefault="00766305">
      <w:pPr>
        <w:keepNext/>
        <w:keepLines/>
        <w:spacing w:line="360" w:lineRule="auto"/>
        <w:ind w:right="-592"/>
        <w:rPr>
          <w:rFonts w:ascii="Palatino Linotype" w:eastAsia="Palatino Linotype" w:hAnsi="Palatino Linotype" w:cs="Palatino Linotype"/>
          <w:b/>
          <w:bCs/>
          <w:color w:val="000000"/>
        </w:rPr>
      </w:pPr>
    </w:p>
    <w:p w:rsidR="00766305" w:rsidRPr="00812BBB" w:rsidRDefault="00E97EF6">
      <w:pPr>
        <w:spacing w:line="360" w:lineRule="auto"/>
        <w:jc w:val="both"/>
        <w:rPr>
          <w:rFonts w:ascii="Palatino Linotype" w:eastAsia="Palatino Linotype" w:hAnsi="Palatino Linotype" w:cs="Palatino Linotype"/>
        </w:rPr>
      </w:pPr>
      <w:r w:rsidRPr="00812BBB">
        <w:rPr>
          <w:rFonts w:ascii="Palatino Linotype" w:eastAsia="Palatino Linotype" w:hAnsi="Palatino Linotype" w:cs="Palatino Linotype"/>
          <w:b/>
          <w:bCs/>
        </w:rPr>
        <w:t>PRIMERO</w:t>
      </w:r>
      <w:r w:rsidRPr="00812BBB">
        <w:rPr>
          <w:rFonts w:ascii="Palatino Linotype" w:eastAsia="Palatino Linotype" w:hAnsi="Palatino Linotype" w:cs="Palatino Linotype"/>
        </w:rPr>
        <w:t xml:space="preserve">. Resultan fundadas las razones o motivos de inconformidad hechos valer en el Recursos de Revisión </w:t>
      </w:r>
      <w:r w:rsidRPr="00812BBB">
        <w:rPr>
          <w:rFonts w:ascii="Palatino Linotype" w:eastAsia="Palatino Linotype" w:hAnsi="Palatino Linotype" w:cs="Palatino Linotype"/>
          <w:b/>
          <w:bCs/>
        </w:rPr>
        <w:t xml:space="preserve">11743/INFOEM/IP/RR/2025 </w:t>
      </w:r>
      <w:r w:rsidRPr="00812BBB">
        <w:rPr>
          <w:rFonts w:ascii="Palatino Linotype" w:eastAsia="Palatino Linotype" w:hAnsi="Palatino Linotype" w:cs="Palatino Linotype"/>
        </w:rPr>
        <w:t xml:space="preserve">en términos del </w:t>
      </w:r>
      <w:r w:rsidRPr="00812BBB">
        <w:rPr>
          <w:rFonts w:ascii="Palatino Linotype" w:eastAsia="Palatino Linotype" w:hAnsi="Palatino Linotype" w:cs="Palatino Linotype"/>
          <w:b/>
          <w:bCs/>
        </w:rPr>
        <w:t xml:space="preserve">Considerando CUARTO </w:t>
      </w:r>
      <w:r w:rsidRPr="00812BBB">
        <w:rPr>
          <w:rFonts w:ascii="Palatino Linotype" w:eastAsia="Palatino Linotype" w:hAnsi="Palatino Linotype" w:cs="Palatino Linotype"/>
        </w:rPr>
        <w:t>de la presente resolución.</w:t>
      </w:r>
    </w:p>
    <w:p w:rsidR="00766305" w:rsidRPr="00812BBB" w:rsidRDefault="00766305">
      <w:pPr>
        <w:jc w:val="both"/>
        <w:rPr>
          <w:rFonts w:ascii="Palatino Linotype" w:eastAsia="Palatino Linotype" w:hAnsi="Palatino Linotype" w:cs="Palatino Linotype"/>
        </w:rPr>
      </w:pPr>
    </w:p>
    <w:p w:rsidR="00766305" w:rsidRPr="00812BBB" w:rsidRDefault="00E97EF6">
      <w:pPr>
        <w:tabs>
          <w:tab w:val="left" w:pos="2834"/>
          <w:tab w:val="right" w:pos="8838"/>
        </w:tabs>
        <w:spacing w:line="360" w:lineRule="auto"/>
        <w:jc w:val="both"/>
        <w:rPr>
          <w:rFonts w:ascii="Palatino Linotype" w:eastAsia="Palatino Linotype" w:hAnsi="Palatino Linotype" w:cs="Palatino Linotype"/>
          <w:b/>
          <w:bCs/>
          <w:color w:val="000000"/>
          <w:highlight w:val="white"/>
        </w:rPr>
      </w:pPr>
      <w:bookmarkStart w:id="9" w:name="_heading=h.26in1rg" w:colFirst="0" w:colLast="0"/>
      <w:bookmarkEnd w:id="9"/>
      <w:r w:rsidRPr="00812BBB">
        <w:rPr>
          <w:rFonts w:ascii="Palatino Linotype" w:eastAsia="Palatino Linotype" w:hAnsi="Palatino Linotype" w:cs="Palatino Linotype"/>
          <w:b/>
          <w:bCs/>
        </w:rPr>
        <w:t xml:space="preserve">SEGUNDO. </w:t>
      </w:r>
      <w:r w:rsidRPr="00812BBB">
        <w:rPr>
          <w:rFonts w:ascii="Palatino Linotype" w:eastAsia="Palatino Linotype" w:hAnsi="Palatino Linotype" w:cs="Palatino Linotype"/>
          <w:color w:val="000000"/>
        </w:rPr>
        <w:t>Se</w:t>
      </w:r>
      <w:r w:rsidRPr="00812BBB">
        <w:rPr>
          <w:rFonts w:ascii="Palatino Linotype" w:eastAsia="Palatino Linotype" w:hAnsi="Palatino Linotype" w:cs="Palatino Linotype"/>
          <w:b/>
          <w:bCs/>
          <w:color w:val="000000"/>
        </w:rPr>
        <w:t xml:space="preserve"> </w:t>
      </w:r>
      <w:r w:rsidRPr="00812BBB">
        <w:rPr>
          <w:rFonts w:ascii="Palatino Linotype" w:eastAsia="Palatino Linotype" w:hAnsi="Palatino Linotype" w:cs="Palatino Linotype"/>
          <w:b/>
          <w:bCs/>
        </w:rPr>
        <w:t>MODIFICA</w:t>
      </w:r>
      <w:r w:rsidRPr="00812BBB">
        <w:rPr>
          <w:rFonts w:ascii="Palatino Linotype" w:eastAsia="Palatino Linotype" w:hAnsi="Palatino Linotype" w:cs="Palatino Linotype"/>
          <w:b/>
          <w:bCs/>
          <w:color w:val="000000"/>
        </w:rPr>
        <w:t xml:space="preserve"> </w:t>
      </w:r>
      <w:r w:rsidRPr="00812BBB">
        <w:rPr>
          <w:rFonts w:ascii="Palatino Linotype" w:eastAsia="Palatino Linotype" w:hAnsi="Palatino Linotype" w:cs="Palatino Linotype"/>
          <w:color w:val="000000"/>
        </w:rPr>
        <w:t xml:space="preserve">la respuesta emitida por </w:t>
      </w:r>
      <w:r w:rsidRPr="00812BBB">
        <w:rPr>
          <w:rFonts w:ascii="Palatino Linotype" w:eastAsia="Palatino Linotype" w:hAnsi="Palatino Linotype" w:cs="Palatino Linotype"/>
          <w:b/>
          <w:bCs/>
          <w:color w:val="000000"/>
        </w:rPr>
        <w:t>el</w:t>
      </w:r>
      <w:r w:rsidRPr="00812BBB">
        <w:rPr>
          <w:rFonts w:ascii="Palatino Linotype" w:eastAsia="Palatino Linotype" w:hAnsi="Palatino Linotype" w:cs="Palatino Linotype"/>
          <w:b/>
          <w:bCs/>
          <w:color w:val="000000"/>
          <w:highlight w:val="white"/>
        </w:rPr>
        <w:t xml:space="preserve"> </w:t>
      </w:r>
      <w:r w:rsidRPr="00812BBB">
        <w:rPr>
          <w:rFonts w:ascii="Palatino Linotype" w:eastAsia="Palatino Linotype" w:hAnsi="Palatino Linotype" w:cs="Palatino Linotype"/>
          <w:b/>
          <w:bCs/>
          <w:highlight w:val="white"/>
        </w:rPr>
        <w:t>Ayuntamiento de Cuautitlán</w:t>
      </w:r>
      <w:r w:rsidRPr="00812BBB">
        <w:rPr>
          <w:rFonts w:ascii="Palatino Linotype" w:eastAsia="Palatino Linotype" w:hAnsi="Palatino Linotype" w:cs="Palatino Linotype"/>
          <w:b/>
          <w:bCs/>
          <w:color w:val="000000"/>
          <w:highlight w:val="white"/>
        </w:rPr>
        <w:t xml:space="preserve">, </w:t>
      </w:r>
      <w:r w:rsidRPr="00812BBB">
        <w:rPr>
          <w:rFonts w:ascii="Palatino Linotype" w:eastAsia="Palatino Linotype" w:hAnsi="Palatino Linotype" w:cs="Palatino Linotype"/>
          <w:color w:val="000000"/>
          <w:highlight w:val="white"/>
        </w:rPr>
        <w:t xml:space="preserve">a la </w:t>
      </w:r>
      <w:r w:rsidRPr="00812BBB">
        <w:rPr>
          <w:rFonts w:ascii="Palatino Linotype" w:eastAsia="Palatino Linotype" w:hAnsi="Palatino Linotype" w:cs="Palatino Linotype"/>
          <w:highlight w:val="white"/>
        </w:rPr>
        <w:t>solicitud de información pública registrada con el número</w:t>
      </w:r>
      <w:r w:rsidRPr="00812BBB">
        <w:rPr>
          <w:rFonts w:ascii="Palatino Linotype" w:eastAsia="Palatino Linotype" w:hAnsi="Palatino Linotype" w:cs="Palatino Linotype"/>
          <w:b/>
          <w:bCs/>
          <w:highlight w:val="white"/>
        </w:rPr>
        <w:t xml:space="preserve"> 00550/CUAUTIT/IP/2025 </w:t>
      </w:r>
      <w:r w:rsidRPr="00812BBB">
        <w:rPr>
          <w:rFonts w:ascii="Palatino Linotype" w:eastAsia="Palatino Linotype" w:hAnsi="Palatino Linotype" w:cs="Palatino Linotype"/>
          <w:color w:val="000000"/>
          <w:highlight w:val="white"/>
        </w:rPr>
        <w:t xml:space="preserve">y se </w:t>
      </w:r>
      <w:r w:rsidRPr="00812BBB">
        <w:rPr>
          <w:rFonts w:ascii="Palatino Linotype" w:eastAsia="Palatino Linotype" w:hAnsi="Palatino Linotype" w:cs="Palatino Linotype"/>
          <w:b/>
          <w:bCs/>
          <w:color w:val="000000"/>
          <w:highlight w:val="white"/>
        </w:rPr>
        <w:t>ORDENA</w:t>
      </w:r>
      <w:r w:rsidRPr="00812BBB">
        <w:rPr>
          <w:rFonts w:ascii="Palatino Linotype" w:eastAsia="Palatino Linotype" w:hAnsi="Palatino Linotype" w:cs="Palatino Linotype"/>
          <w:color w:val="000000"/>
          <w:highlight w:val="white"/>
        </w:rPr>
        <w:t xml:space="preserve"> entregar vía Sistema de Acceso a la Información Mexiquense </w:t>
      </w:r>
      <w:r w:rsidRPr="00812BBB">
        <w:rPr>
          <w:rFonts w:ascii="Palatino Linotype" w:eastAsia="Palatino Linotype" w:hAnsi="Palatino Linotype" w:cs="Palatino Linotype"/>
          <w:b/>
          <w:bCs/>
          <w:color w:val="000000"/>
          <w:highlight w:val="white"/>
        </w:rPr>
        <w:t>(SAIMEX),</w:t>
      </w:r>
      <w:r w:rsidRPr="00812BBB">
        <w:rPr>
          <w:rFonts w:ascii="Palatino Linotype" w:eastAsia="Palatino Linotype" w:hAnsi="Palatino Linotype" w:cs="Palatino Linotype"/>
          <w:b/>
          <w:bCs/>
          <w:highlight w:val="white"/>
        </w:rPr>
        <w:t xml:space="preserve"> en versión pública correcta, las órdenes de pago remitidas mediante informe justificado.</w:t>
      </w:r>
    </w:p>
    <w:p w:rsidR="00766305" w:rsidRPr="00812BBB" w:rsidRDefault="00766305">
      <w:pPr>
        <w:tabs>
          <w:tab w:val="left" w:pos="8080"/>
        </w:tabs>
        <w:spacing w:line="360" w:lineRule="auto"/>
        <w:jc w:val="both"/>
        <w:rPr>
          <w:rFonts w:ascii="Palatino Linotype" w:eastAsia="Palatino Linotype" w:hAnsi="Palatino Linotype" w:cs="Palatino Linotype"/>
          <w:highlight w:val="white"/>
        </w:rPr>
      </w:pPr>
    </w:p>
    <w:p w:rsidR="00766305" w:rsidRPr="00812BBB" w:rsidRDefault="00E97EF6">
      <w:pPr>
        <w:tabs>
          <w:tab w:val="left" w:pos="8080"/>
        </w:tabs>
        <w:spacing w:line="360" w:lineRule="auto"/>
        <w:jc w:val="both"/>
        <w:rPr>
          <w:rFonts w:ascii="Palatino Linotype" w:eastAsia="Palatino Linotype" w:hAnsi="Palatino Linotype" w:cs="Palatino Linotype"/>
          <w:b/>
          <w:bCs/>
          <w:highlight w:val="white"/>
        </w:rPr>
      </w:pPr>
      <w:r w:rsidRPr="00812BBB">
        <w:rPr>
          <w:rFonts w:ascii="Palatino Linotype" w:eastAsia="Palatino Linotype" w:hAnsi="Palatino Linotype" w:cs="Palatino Linotype"/>
          <w:highlight w:val="white"/>
        </w:rPr>
        <w:t xml:space="preserve">Para efecto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w:t>
      </w:r>
      <w:r w:rsidRPr="00812BBB">
        <w:rPr>
          <w:rFonts w:ascii="Palatino Linotype" w:eastAsia="Palatino Linotype" w:hAnsi="Palatino Linotype" w:cs="Palatino Linotype"/>
          <w:highlight w:val="white"/>
        </w:rPr>
        <w:lastRenderedPageBreak/>
        <w:t xml:space="preserve">objeto de las versiones públicas que se formulen, y se pongan a disposición del </w:t>
      </w:r>
      <w:r w:rsidRPr="00812BBB">
        <w:rPr>
          <w:rFonts w:ascii="Palatino Linotype" w:eastAsia="Palatino Linotype" w:hAnsi="Palatino Linotype" w:cs="Palatino Linotype"/>
          <w:b/>
          <w:bCs/>
          <w:highlight w:val="white"/>
        </w:rPr>
        <w:t>RECURRENTE.</w:t>
      </w:r>
    </w:p>
    <w:p w:rsidR="00766305" w:rsidRPr="00812BBB" w:rsidRDefault="00766305">
      <w:pPr>
        <w:tabs>
          <w:tab w:val="left" w:pos="8080"/>
        </w:tabs>
        <w:spacing w:line="360" w:lineRule="auto"/>
        <w:ind w:right="49"/>
        <w:jc w:val="both"/>
        <w:rPr>
          <w:rFonts w:ascii="Palatino Linotype" w:eastAsia="Palatino Linotype" w:hAnsi="Palatino Linotype" w:cs="Palatino Linotype"/>
        </w:rPr>
      </w:pPr>
    </w:p>
    <w:p w:rsidR="00766305" w:rsidRPr="00812BBB" w:rsidRDefault="00E97EF6">
      <w:pPr>
        <w:tabs>
          <w:tab w:val="left" w:pos="8080"/>
        </w:tabs>
        <w:spacing w:line="360" w:lineRule="auto"/>
        <w:ind w:right="49"/>
        <w:jc w:val="both"/>
        <w:rPr>
          <w:rFonts w:ascii="Palatino Linotype" w:eastAsia="Palatino Linotype" w:hAnsi="Palatino Linotype" w:cs="Palatino Linotype"/>
          <w:b/>
          <w:bCs/>
        </w:rPr>
      </w:pPr>
      <w:r w:rsidRPr="00812BBB">
        <w:rPr>
          <w:rFonts w:ascii="Palatino Linotype" w:eastAsia="Palatino Linotype" w:hAnsi="Palatino Linotype" w:cs="Palatino Linotype"/>
          <w:b/>
          <w:bCs/>
        </w:rPr>
        <w:t xml:space="preserve">TERCERO. NOTIFÍQUESE </w:t>
      </w:r>
      <w:r w:rsidRPr="00812BBB">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812BBB">
        <w:rPr>
          <w:rFonts w:ascii="Palatino Linotype" w:eastAsia="Palatino Linotype" w:hAnsi="Palatino Linotype" w:cs="Palatino Linotype"/>
          <w:b/>
          <w:bCs/>
        </w:rPr>
        <w:t>dé cumplimiento a lo ordenado dentro del plazo de diez días hábiles,</w:t>
      </w:r>
      <w:r w:rsidRPr="00812BBB">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66305" w:rsidRPr="00812BBB" w:rsidRDefault="00766305">
      <w:pPr>
        <w:tabs>
          <w:tab w:val="left" w:pos="8080"/>
        </w:tabs>
        <w:spacing w:line="360" w:lineRule="auto"/>
        <w:ind w:right="49"/>
        <w:jc w:val="both"/>
        <w:rPr>
          <w:rFonts w:ascii="Palatino Linotype" w:eastAsia="Palatino Linotype" w:hAnsi="Palatino Linotype" w:cs="Palatino Linotype"/>
        </w:rPr>
      </w:pPr>
    </w:p>
    <w:p w:rsidR="00766305" w:rsidRPr="00812BBB" w:rsidRDefault="00E97EF6">
      <w:pPr>
        <w:spacing w:line="360" w:lineRule="auto"/>
        <w:jc w:val="both"/>
        <w:rPr>
          <w:rFonts w:ascii="Palatino Linotype" w:eastAsia="Palatino Linotype" w:hAnsi="Palatino Linotype" w:cs="Palatino Linotype"/>
        </w:rPr>
      </w:pPr>
      <w:r w:rsidRPr="00812BBB">
        <w:rPr>
          <w:rFonts w:ascii="Palatino Linotype" w:eastAsia="Palatino Linotype" w:hAnsi="Palatino Linotype" w:cs="Palatino Linotype"/>
          <w:b/>
          <w:bCs/>
        </w:rPr>
        <w:t xml:space="preserve">CUARTO. </w:t>
      </w:r>
      <w:r w:rsidRPr="00812BBB">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812BBB">
        <w:rPr>
          <w:rFonts w:ascii="Palatino Linotype" w:eastAsia="Palatino Linotype" w:hAnsi="Palatino Linotype" w:cs="Palatino Linotype"/>
          <w:b/>
          <w:bCs/>
        </w:rPr>
        <w:t>SUJETO OBLIGADO</w:t>
      </w:r>
      <w:r w:rsidRPr="00812BBB">
        <w:rPr>
          <w:rFonts w:ascii="Palatino Linotype" w:eastAsia="Palatino Linotype" w:hAnsi="Palatino Linotype" w:cs="Palatino Linotype"/>
        </w:rPr>
        <w:t xml:space="preserve"> de manera fundada y motivada, podrá solicitar una ampliación de plazo para el cumplimiento de la presente resolución.</w:t>
      </w:r>
    </w:p>
    <w:p w:rsidR="00766305" w:rsidRPr="00812BBB" w:rsidRDefault="00766305">
      <w:pPr>
        <w:spacing w:line="360" w:lineRule="auto"/>
        <w:jc w:val="both"/>
        <w:rPr>
          <w:rFonts w:ascii="Palatino Linotype" w:eastAsia="Palatino Linotype" w:hAnsi="Palatino Linotype" w:cs="Palatino Linotype"/>
        </w:rPr>
      </w:pPr>
    </w:p>
    <w:p w:rsidR="00766305" w:rsidRPr="00812BBB" w:rsidRDefault="00E97EF6">
      <w:pPr>
        <w:tabs>
          <w:tab w:val="left" w:pos="8080"/>
        </w:tabs>
        <w:spacing w:line="360" w:lineRule="auto"/>
        <w:ind w:right="49"/>
        <w:jc w:val="both"/>
        <w:rPr>
          <w:rFonts w:ascii="Palatino Linotype" w:eastAsia="Palatino Linotype" w:hAnsi="Palatino Linotype" w:cs="Palatino Linotype"/>
        </w:rPr>
      </w:pPr>
      <w:bookmarkStart w:id="10" w:name="_heading=h.35nkun2" w:colFirst="0" w:colLast="0"/>
      <w:bookmarkEnd w:id="10"/>
      <w:r w:rsidRPr="00812BBB">
        <w:rPr>
          <w:rFonts w:ascii="Palatino Linotype" w:eastAsia="Palatino Linotype" w:hAnsi="Palatino Linotype" w:cs="Palatino Linotype"/>
          <w:b/>
          <w:bCs/>
        </w:rPr>
        <w:t xml:space="preserve">QUINTO. </w:t>
      </w:r>
      <w:r w:rsidRPr="00812BBB">
        <w:rPr>
          <w:rFonts w:ascii="Palatino Linotype" w:eastAsia="Palatino Linotype" w:hAnsi="Palatino Linotype" w:cs="Palatino Linotype"/>
        </w:rPr>
        <w:t>Notifíquese a la parte</w:t>
      </w:r>
      <w:r w:rsidRPr="00812BBB">
        <w:rPr>
          <w:rFonts w:ascii="Palatino Linotype" w:eastAsia="Palatino Linotype" w:hAnsi="Palatino Linotype" w:cs="Palatino Linotype"/>
          <w:b/>
          <w:bCs/>
        </w:rPr>
        <w:t xml:space="preserve"> RECURRENTE</w:t>
      </w:r>
      <w:r w:rsidRPr="00812BBB">
        <w:rPr>
          <w:rFonts w:ascii="Palatino Linotype" w:eastAsia="Palatino Linotype" w:hAnsi="Palatino Linotype" w:cs="Palatino Linotype"/>
        </w:rPr>
        <w:t xml:space="preserve"> la presente resolución, vía </w:t>
      </w:r>
      <w:r w:rsidRPr="00812BBB">
        <w:rPr>
          <w:rFonts w:ascii="Palatino Linotype" w:eastAsia="Palatino Linotype" w:hAnsi="Palatino Linotype" w:cs="Palatino Linotype"/>
          <w:b/>
          <w:bCs/>
        </w:rPr>
        <w:t>SAIMEX.</w:t>
      </w:r>
    </w:p>
    <w:p w:rsidR="00766305" w:rsidRPr="00812BBB" w:rsidRDefault="00766305">
      <w:pPr>
        <w:tabs>
          <w:tab w:val="left" w:pos="8080"/>
        </w:tabs>
        <w:spacing w:line="360" w:lineRule="auto"/>
        <w:ind w:right="49"/>
        <w:jc w:val="both"/>
        <w:rPr>
          <w:rFonts w:ascii="Palatino Linotype" w:eastAsia="Palatino Linotype" w:hAnsi="Palatino Linotype" w:cs="Palatino Linotype"/>
        </w:rPr>
      </w:pPr>
    </w:p>
    <w:p w:rsidR="00766305" w:rsidRPr="00812BBB" w:rsidRDefault="00E97EF6">
      <w:pPr>
        <w:spacing w:before="240" w:after="240" w:line="360" w:lineRule="auto"/>
        <w:ind w:right="1"/>
        <w:jc w:val="both"/>
        <w:rPr>
          <w:rFonts w:ascii="Palatino Linotype" w:eastAsia="Palatino Linotype" w:hAnsi="Palatino Linotype" w:cs="Palatino Linotype"/>
        </w:rPr>
      </w:pPr>
      <w:r w:rsidRPr="00812BBB">
        <w:rPr>
          <w:rFonts w:ascii="Palatino Linotype" w:eastAsia="Palatino Linotype" w:hAnsi="Palatino Linotype" w:cs="Palatino Linotype"/>
          <w:b/>
          <w:bCs/>
        </w:rPr>
        <w:t>SEXTO.</w:t>
      </w:r>
      <w:r w:rsidRPr="00812BBB">
        <w:rPr>
          <w:rFonts w:ascii="Palatino Linotype" w:eastAsia="Palatino Linotype" w:hAnsi="Palatino Linotype" w:cs="Palatino Linotype"/>
        </w:rPr>
        <w:t xml:space="preserve"> Se hace del conocimiento de la parte</w:t>
      </w:r>
      <w:r w:rsidRPr="00812BBB">
        <w:rPr>
          <w:rFonts w:ascii="Palatino Linotype" w:eastAsia="Palatino Linotype" w:hAnsi="Palatino Linotype" w:cs="Palatino Linotype"/>
          <w:b/>
          <w:bCs/>
        </w:rPr>
        <w:t xml:space="preserve"> RECURRENTE</w:t>
      </w:r>
      <w:r w:rsidRPr="00812BBB">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DF39FD" w:rsidRPr="00812BBB" w:rsidRDefault="00DF39FD" w:rsidP="00DF39FD">
      <w:pPr>
        <w:spacing w:before="240" w:after="240" w:line="360" w:lineRule="auto"/>
        <w:ind w:firstLine="1"/>
        <w:jc w:val="both"/>
        <w:rPr>
          <w:rFonts w:ascii="Palatino Linotype" w:hAnsi="Palatino Linotype"/>
        </w:rPr>
      </w:pPr>
      <w:bookmarkStart w:id="11" w:name="_Hlk99014733"/>
      <w:r w:rsidRPr="00812BBB">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NOVENA SESIÓN ORDINARIA, CELEBRADA EL VEINTISIETE (27) DE MAYO DE DOS MIL VEINTISÉIS, ANTE EL SECRETARIO TÉCNICO DEL PLENO </w:t>
      </w:r>
      <w:r w:rsidRPr="00812BBB">
        <w:rPr>
          <w:rFonts w:ascii="Palatino Linotype" w:hAnsi="Palatino Linotype" w:cs="Palatino Linotype"/>
          <w:color w:val="000000" w:themeColor="text1"/>
        </w:rPr>
        <w:t>ALEXIS TAPIA RAMÍREZ.</w:t>
      </w:r>
    </w:p>
    <w:bookmarkEnd w:id="11"/>
    <w:p w:rsidR="00766305" w:rsidRPr="00812BBB" w:rsidRDefault="00766305">
      <w:pPr>
        <w:spacing w:line="360" w:lineRule="auto"/>
        <w:ind w:right="-592"/>
        <w:jc w:val="both"/>
        <w:rPr>
          <w:rFonts w:ascii="Palatino Linotype" w:eastAsia="Palatino Linotype" w:hAnsi="Palatino Linotype" w:cs="Palatino Linotype"/>
        </w:rPr>
      </w:pPr>
    </w:p>
    <w:p w:rsidR="00766305" w:rsidRPr="00812BBB" w:rsidRDefault="00766305">
      <w:pPr>
        <w:spacing w:line="360" w:lineRule="auto"/>
        <w:ind w:right="-592"/>
        <w:jc w:val="both"/>
        <w:rPr>
          <w:rFonts w:ascii="Palatino Linotype" w:eastAsia="Palatino Linotype" w:hAnsi="Palatino Linotype" w:cs="Palatino Linotype"/>
        </w:rPr>
      </w:pPr>
    </w:p>
    <w:p w:rsidR="00766305" w:rsidRPr="00812BBB" w:rsidRDefault="00766305">
      <w:pPr>
        <w:spacing w:line="360" w:lineRule="auto"/>
        <w:ind w:right="-592"/>
        <w:jc w:val="both"/>
        <w:rPr>
          <w:rFonts w:ascii="Palatino Linotype" w:eastAsia="Palatino Linotype" w:hAnsi="Palatino Linotype" w:cs="Palatino Linotype"/>
        </w:rPr>
      </w:pPr>
    </w:p>
    <w:p w:rsidR="00766305" w:rsidRDefault="00766305">
      <w:pPr>
        <w:spacing w:line="360" w:lineRule="auto"/>
        <w:ind w:right="-592"/>
        <w:jc w:val="both"/>
        <w:rPr>
          <w:rFonts w:ascii="Palatino Linotype" w:eastAsia="Palatino Linotype" w:hAnsi="Palatino Linotype" w:cs="Palatino Linotype"/>
        </w:rPr>
      </w:pPr>
    </w:p>
    <w:p w:rsidR="00812BBB" w:rsidRDefault="00812BBB">
      <w:pPr>
        <w:spacing w:line="360" w:lineRule="auto"/>
        <w:ind w:right="-592"/>
        <w:jc w:val="both"/>
        <w:rPr>
          <w:rFonts w:ascii="Palatino Linotype" w:eastAsia="Palatino Linotype" w:hAnsi="Palatino Linotype" w:cs="Palatino Linotype"/>
        </w:rPr>
      </w:pPr>
    </w:p>
    <w:p w:rsidR="00812BBB" w:rsidRDefault="00812BBB">
      <w:pPr>
        <w:spacing w:line="360" w:lineRule="auto"/>
        <w:ind w:right="-592"/>
        <w:jc w:val="both"/>
        <w:rPr>
          <w:rFonts w:ascii="Palatino Linotype" w:eastAsia="Palatino Linotype" w:hAnsi="Palatino Linotype" w:cs="Palatino Linotype"/>
        </w:rPr>
      </w:pPr>
    </w:p>
    <w:p w:rsidR="00812BBB" w:rsidRDefault="00812BBB">
      <w:pPr>
        <w:spacing w:line="360" w:lineRule="auto"/>
        <w:ind w:right="-592"/>
        <w:jc w:val="both"/>
        <w:rPr>
          <w:rFonts w:ascii="Palatino Linotype" w:eastAsia="Palatino Linotype" w:hAnsi="Palatino Linotype" w:cs="Palatino Linotype"/>
        </w:rPr>
      </w:pPr>
    </w:p>
    <w:p w:rsidR="00812BBB" w:rsidRDefault="00812BBB">
      <w:pPr>
        <w:spacing w:line="360" w:lineRule="auto"/>
        <w:ind w:right="-592"/>
        <w:jc w:val="both"/>
        <w:rPr>
          <w:rFonts w:ascii="Palatino Linotype" w:eastAsia="Palatino Linotype" w:hAnsi="Palatino Linotype" w:cs="Palatino Linotype"/>
        </w:rPr>
      </w:pPr>
    </w:p>
    <w:p w:rsidR="00812BBB" w:rsidRDefault="00812BBB">
      <w:pPr>
        <w:spacing w:line="360" w:lineRule="auto"/>
        <w:ind w:right="-592"/>
        <w:jc w:val="both"/>
        <w:rPr>
          <w:rFonts w:ascii="Palatino Linotype" w:eastAsia="Palatino Linotype" w:hAnsi="Palatino Linotype" w:cs="Palatino Linotype"/>
        </w:rPr>
      </w:pPr>
    </w:p>
    <w:p w:rsidR="00812BBB" w:rsidRDefault="00812BBB">
      <w:pPr>
        <w:spacing w:line="360" w:lineRule="auto"/>
        <w:ind w:right="-592"/>
        <w:jc w:val="both"/>
        <w:rPr>
          <w:rFonts w:ascii="Palatino Linotype" w:eastAsia="Palatino Linotype" w:hAnsi="Palatino Linotype" w:cs="Palatino Linotype"/>
        </w:rPr>
      </w:pPr>
    </w:p>
    <w:p w:rsidR="00812BBB" w:rsidRPr="00812BBB" w:rsidRDefault="00812BBB">
      <w:pPr>
        <w:spacing w:line="360" w:lineRule="auto"/>
        <w:ind w:right="-592"/>
        <w:jc w:val="both"/>
        <w:rPr>
          <w:rFonts w:ascii="Palatino Linotype" w:eastAsia="Palatino Linotype" w:hAnsi="Palatino Linotype" w:cs="Palatino Linotype"/>
        </w:rPr>
      </w:pPr>
    </w:p>
    <w:p w:rsidR="00766305" w:rsidRPr="00812BBB" w:rsidRDefault="00766305">
      <w:pPr>
        <w:spacing w:line="360" w:lineRule="auto"/>
        <w:ind w:right="-592"/>
        <w:jc w:val="both"/>
        <w:rPr>
          <w:rFonts w:ascii="Palatino Linotype" w:eastAsia="Palatino Linotype" w:hAnsi="Palatino Linotype" w:cs="Palatino Linotype"/>
        </w:rPr>
      </w:pPr>
    </w:p>
    <w:p w:rsidR="00766305" w:rsidRPr="00812BBB" w:rsidRDefault="00766305">
      <w:pPr>
        <w:spacing w:line="360" w:lineRule="auto"/>
        <w:ind w:right="-592"/>
        <w:jc w:val="both"/>
        <w:rPr>
          <w:rFonts w:ascii="Palatino Linotype" w:eastAsia="Palatino Linotype" w:hAnsi="Palatino Linotype" w:cs="Palatino Linotype"/>
        </w:rPr>
      </w:pPr>
    </w:p>
    <w:p w:rsidR="00766305" w:rsidRPr="00812BBB" w:rsidRDefault="00766305">
      <w:pPr>
        <w:spacing w:line="360" w:lineRule="auto"/>
        <w:ind w:right="-592"/>
        <w:jc w:val="both"/>
        <w:rPr>
          <w:rFonts w:ascii="Palatino Linotype" w:eastAsia="Palatino Linotype" w:hAnsi="Palatino Linotype" w:cs="Palatino Linotype"/>
        </w:rPr>
      </w:pPr>
    </w:p>
    <w:p w:rsidR="00766305" w:rsidRPr="00812BBB" w:rsidRDefault="00766305">
      <w:pPr>
        <w:spacing w:line="360" w:lineRule="auto"/>
        <w:ind w:right="-592"/>
        <w:rPr>
          <w:rFonts w:ascii="Palatino Linotype" w:eastAsia="Palatino Linotype" w:hAnsi="Palatino Linotype" w:cs="Palatino Linotype"/>
        </w:rPr>
      </w:pPr>
    </w:p>
    <w:p w:rsidR="00766305" w:rsidRPr="00812BBB" w:rsidRDefault="00766305">
      <w:pPr>
        <w:spacing w:line="360" w:lineRule="auto"/>
        <w:ind w:right="-592"/>
        <w:rPr>
          <w:rFonts w:ascii="Palatino Linotype" w:eastAsia="Palatino Linotype" w:hAnsi="Palatino Linotype" w:cs="Palatino Linotype"/>
        </w:rPr>
      </w:pPr>
    </w:p>
    <w:p w:rsidR="00766305" w:rsidRPr="00812BBB" w:rsidRDefault="00766305">
      <w:pPr>
        <w:spacing w:line="360" w:lineRule="auto"/>
        <w:ind w:right="-592"/>
        <w:rPr>
          <w:rFonts w:ascii="Palatino Linotype" w:eastAsia="Palatino Linotype" w:hAnsi="Palatino Linotype" w:cs="Palatino Linotype"/>
        </w:rPr>
      </w:pPr>
    </w:p>
    <w:p w:rsidR="00766305" w:rsidRPr="00812BBB" w:rsidRDefault="00766305">
      <w:pPr>
        <w:spacing w:line="360" w:lineRule="auto"/>
        <w:ind w:right="-592"/>
        <w:rPr>
          <w:rFonts w:ascii="Palatino Linotype" w:eastAsia="Palatino Linotype" w:hAnsi="Palatino Linotype" w:cs="Palatino Linotype"/>
        </w:rPr>
      </w:pPr>
    </w:p>
    <w:p w:rsidR="00766305" w:rsidRPr="00812BBB" w:rsidRDefault="00766305">
      <w:pPr>
        <w:spacing w:line="360" w:lineRule="auto"/>
        <w:ind w:right="-592"/>
        <w:rPr>
          <w:rFonts w:ascii="Palatino Linotype" w:eastAsia="Palatino Linotype" w:hAnsi="Palatino Linotype" w:cs="Palatino Linotype"/>
        </w:rPr>
      </w:pPr>
    </w:p>
    <w:p w:rsidR="00766305" w:rsidRPr="00812BBB" w:rsidRDefault="00766305">
      <w:pPr>
        <w:spacing w:line="360" w:lineRule="auto"/>
        <w:ind w:right="-592"/>
        <w:rPr>
          <w:rFonts w:ascii="Palatino Linotype" w:eastAsia="Palatino Linotype" w:hAnsi="Palatino Linotype" w:cs="Palatino Linotype"/>
        </w:rPr>
      </w:pPr>
    </w:p>
    <w:p w:rsidR="00766305" w:rsidRPr="00812BBB" w:rsidRDefault="00766305">
      <w:pPr>
        <w:ind w:right="-592"/>
        <w:rPr>
          <w:rFonts w:ascii="Palatino Linotype" w:eastAsia="Palatino Linotype" w:hAnsi="Palatino Linotype" w:cs="Palatino Linotype"/>
        </w:rPr>
      </w:pPr>
    </w:p>
    <w:sectPr w:rsidR="00766305" w:rsidRPr="00812BBB" w:rsidSect="00812BBB">
      <w:headerReference w:type="even" r:id="rId11"/>
      <w:headerReference w:type="default" r:id="rId12"/>
      <w:footerReference w:type="default" r:id="rId13"/>
      <w:headerReference w:type="first" r:id="rId14"/>
      <w:footerReference w:type="first" r:id="rId15"/>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4BAC" w:rsidRDefault="008C4BAC">
      <w:r>
        <w:separator/>
      </w:r>
    </w:p>
  </w:endnote>
  <w:endnote w:type="continuationSeparator" w:id="0">
    <w:p w:rsidR="008C4BAC" w:rsidRDefault="008C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8B3DA58F-6400-44EE-8D37-D47B44B4B986}"/>
    <w:embedBold r:id="rId2" w:fontKey="{F3333B28-C890-4C93-B69F-D91DFAC8A869}"/>
    <w:embedItalic r:id="rId3" w:fontKey="{FD705678-07F8-4528-915F-F795D8F576EB}"/>
    <w:embedBoldItalic r:id="rId4" w:fontKey="{4DB98110-849E-46AB-9EB7-5C6926DF4CFD}"/>
  </w:font>
  <w:font w:name="Calibri">
    <w:panose1 w:val="020F0502020204030204"/>
    <w:charset w:val="00"/>
    <w:family w:val="swiss"/>
    <w:pitch w:val="variable"/>
    <w:sig w:usb0="E4002EFF" w:usb1="C200247B" w:usb2="00000009" w:usb3="00000000" w:csb0="000001FF" w:csb1="00000000"/>
    <w:embedRegular r:id="rId5" w:fontKey="{B7434BFA-2ECA-41FF-BFCF-D6E2FDA374E2}"/>
  </w:font>
  <w:font w:name="Georgia">
    <w:panose1 w:val="02040502050405020303"/>
    <w:charset w:val="00"/>
    <w:family w:val="roman"/>
    <w:pitch w:val="variable"/>
    <w:sig w:usb0="00000287" w:usb1="00000000" w:usb2="00000000" w:usb3="00000000" w:csb0="0000009F" w:csb1="00000000"/>
    <w:embedItalic r:id="rId6" w:fontKey="{072E16FF-08EF-4180-92C6-292720628123}"/>
  </w:font>
  <w:font w:name="Noto Sans Symbols">
    <w:altName w:val="Times New Roman"/>
    <w:charset w:val="00"/>
    <w:family w:val="auto"/>
    <w:pitch w:val="default"/>
    <w:embedItalic r:id="rId7" w:fontKey="{2855BB87-C1FA-459A-9599-140582574220}"/>
  </w:font>
  <w:font w:name="Garamond">
    <w:panose1 w:val="02020404030301010803"/>
    <w:charset w:val="00"/>
    <w:family w:val="roman"/>
    <w:pitch w:val="variable"/>
    <w:sig w:usb0="00000287" w:usb1="00000000" w:usb2="00000000" w:usb3="00000000" w:csb0="0000009F" w:csb1="00000000"/>
    <w:embedRegular r:id="rId8" w:fontKey="{FDE6A55F-9B1F-4D92-8CE7-53197B5B680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5FB3754B-DB4C-4376-9C80-CC030104E4D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305" w:rsidRPr="00812BBB" w:rsidRDefault="00E97EF6">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812BBB">
      <w:rPr>
        <w:rFonts w:ascii="Palatino Linotype" w:hAnsi="Palatino Linotype"/>
        <w:color w:val="000000"/>
        <w:sz w:val="22"/>
      </w:rPr>
      <w:t xml:space="preserve">Página </w:t>
    </w:r>
    <w:r w:rsidRPr="00812BBB">
      <w:rPr>
        <w:rFonts w:ascii="Palatino Linotype" w:hAnsi="Palatino Linotype"/>
        <w:b/>
        <w:bCs/>
        <w:color w:val="000000"/>
        <w:sz w:val="22"/>
      </w:rPr>
      <w:fldChar w:fldCharType="begin"/>
    </w:r>
    <w:r w:rsidRPr="00812BBB">
      <w:rPr>
        <w:rFonts w:ascii="Palatino Linotype" w:hAnsi="Palatino Linotype"/>
        <w:b/>
        <w:bCs/>
        <w:color w:val="000000"/>
        <w:sz w:val="22"/>
      </w:rPr>
      <w:instrText>PAGE</w:instrText>
    </w:r>
    <w:r w:rsidRPr="00812BBB">
      <w:rPr>
        <w:rFonts w:ascii="Palatino Linotype" w:hAnsi="Palatino Linotype"/>
        <w:b/>
        <w:bCs/>
        <w:color w:val="000000"/>
        <w:sz w:val="22"/>
      </w:rPr>
      <w:fldChar w:fldCharType="separate"/>
    </w:r>
    <w:r w:rsidR="008009D8">
      <w:rPr>
        <w:rFonts w:ascii="Palatino Linotype" w:hAnsi="Palatino Linotype"/>
        <w:b/>
        <w:bCs/>
        <w:noProof/>
        <w:color w:val="000000"/>
        <w:sz w:val="22"/>
      </w:rPr>
      <w:t>7</w:t>
    </w:r>
    <w:r w:rsidRPr="00812BBB">
      <w:rPr>
        <w:rFonts w:ascii="Palatino Linotype" w:hAnsi="Palatino Linotype"/>
        <w:b/>
        <w:bCs/>
        <w:color w:val="000000"/>
        <w:sz w:val="22"/>
      </w:rPr>
      <w:fldChar w:fldCharType="end"/>
    </w:r>
    <w:r w:rsidRPr="00812BBB">
      <w:rPr>
        <w:rFonts w:ascii="Palatino Linotype" w:hAnsi="Palatino Linotype"/>
        <w:color w:val="000000"/>
        <w:sz w:val="22"/>
      </w:rPr>
      <w:t xml:space="preserve"> de </w:t>
    </w:r>
    <w:r w:rsidRPr="00812BBB">
      <w:rPr>
        <w:rFonts w:ascii="Palatino Linotype" w:hAnsi="Palatino Linotype"/>
        <w:b/>
        <w:bCs/>
        <w:color w:val="000000"/>
        <w:sz w:val="22"/>
      </w:rPr>
      <w:fldChar w:fldCharType="begin"/>
    </w:r>
    <w:r w:rsidRPr="00812BBB">
      <w:rPr>
        <w:rFonts w:ascii="Palatino Linotype" w:hAnsi="Palatino Linotype"/>
        <w:b/>
        <w:bCs/>
        <w:color w:val="000000"/>
        <w:sz w:val="22"/>
      </w:rPr>
      <w:instrText>NUMPAGES</w:instrText>
    </w:r>
    <w:r w:rsidRPr="00812BBB">
      <w:rPr>
        <w:rFonts w:ascii="Palatino Linotype" w:hAnsi="Palatino Linotype"/>
        <w:b/>
        <w:bCs/>
        <w:color w:val="000000"/>
        <w:sz w:val="22"/>
      </w:rPr>
      <w:fldChar w:fldCharType="separate"/>
    </w:r>
    <w:r w:rsidR="008009D8">
      <w:rPr>
        <w:rFonts w:ascii="Palatino Linotype" w:hAnsi="Palatino Linotype"/>
        <w:b/>
        <w:bCs/>
        <w:noProof/>
        <w:color w:val="000000"/>
        <w:sz w:val="22"/>
      </w:rPr>
      <w:t>28</w:t>
    </w:r>
    <w:r w:rsidRPr="00812BBB">
      <w:rPr>
        <w:rFonts w:ascii="Palatino Linotype" w:hAnsi="Palatino Linotype"/>
        <w:b/>
        <w:bCs/>
        <w:color w:val="000000"/>
        <w:sz w:val="22"/>
      </w:rPr>
      <w:fldChar w:fldCharType="end"/>
    </w:r>
  </w:p>
  <w:p w:rsidR="00766305" w:rsidRDefault="00766305">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305" w:rsidRPr="00812BBB" w:rsidRDefault="00E97EF6">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812BBB">
      <w:rPr>
        <w:rFonts w:ascii="Palatino Linotype" w:hAnsi="Palatino Linotype"/>
        <w:color w:val="000000"/>
        <w:sz w:val="22"/>
      </w:rPr>
      <w:t xml:space="preserve">Página </w:t>
    </w:r>
    <w:r w:rsidRPr="00812BBB">
      <w:rPr>
        <w:rFonts w:ascii="Palatino Linotype" w:hAnsi="Palatino Linotype"/>
        <w:b/>
        <w:bCs/>
        <w:color w:val="000000"/>
        <w:sz w:val="22"/>
      </w:rPr>
      <w:fldChar w:fldCharType="begin"/>
    </w:r>
    <w:r w:rsidRPr="00812BBB">
      <w:rPr>
        <w:rFonts w:ascii="Palatino Linotype" w:hAnsi="Palatino Linotype"/>
        <w:b/>
        <w:bCs/>
        <w:color w:val="000000"/>
        <w:sz w:val="22"/>
      </w:rPr>
      <w:instrText>PAGE</w:instrText>
    </w:r>
    <w:r w:rsidRPr="00812BBB">
      <w:rPr>
        <w:rFonts w:ascii="Palatino Linotype" w:hAnsi="Palatino Linotype"/>
        <w:b/>
        <w:bCs/>
        <w:color w:val="000000"/>
        <w:sz w:val="22"/>
      </w:rPr>
      <w:fldChar w:fldCharType="separate"/>
    </w:r>
    <w:r w:rsidR="008009D8">
      <w:rPr>
        <w:rFonts w:ascii="Palatino Linotype" w:hAnsi="Palatino Linotype"/>
        <w:b/>
        <w:bCs/>
        <w:noProof/>
        <w:color w:val="000000"/>
        <w:sz w:val="22"/>
      </w:rPr>
      <w:t>1</w:t>
    </w:r>
    <w:r w:rsidRPr="00812BBB">
      <w:rPr>
        <w:rFonts w:ascii="Palatino Linotype" w:hAnsi="Palatino Linotype"/>
        <w:b/>
        <w:bCs/>
        <w:color w:val="000000"/>
        <w:sz w:val="22"/>
      </w:rPr>
      <w:fldChar w:fldCharType="end"/>
    </w:r>
    <w:r w:rsidRPr="00812BBB">
      <w:rPr>
        <w:rFonts w:ascii="Palatino Linotype" w:hAnsi="Palatino Linotype"/>
        <w:color w:val="000000"/>
        <w:sz w:val="22"/>
      </w:rPr>
      <w:t xml:space="preserve"> de </w:t>
    </w:r>
    <w:r w:rsidRPr="00812BBB">
      <w:rPr>
        <w:rFonts w:ascii="Palatino Linotype" w:hAnsi="Palatino Linotype"/>
        <w:b/>
        <w:bCs/>
        <w:color w:val="000000"/>
        <w:sz w:val="22"/>
      </w:rPr>
      <w:fldChar w:fldCharType="begin"/>
    </w:r>
    <w:r w:rsidRPr="00812BBB">
      <w:rPr>
        <w:rFonts w:ascii="Palatino Linotype" w:hAnsi="Palatino Linotype"/>
        <w:b/>
        <w:bCs/>
        <w:color w:val="000000"/>
        <w:sz w:val="22"/>
      </w:rPr>
      <w:instrText>NUMPAGES</w:instrText>
    </w:r>
    <w:r w:rsidRPr="00812BBB">
      <w:rPr>
        <w:rFonts w:ascii="Palatino Linotype" w:hAnsi="Palatino Linotype"/>
        <w:b/>
        <w:bCs/>
        <w:color w:val="000000"/>
        <w:sz w:val="22"/>
      </w:rPr>
      <w:fldChar w:fldCharType="separate"/>
    </w:r>
    <w:r w:rsidR="008009D8">
      <w:rPr>
        <w:rFonts w:ascii="Palatino Linotype" w:hAnsi="Palatino Linotype"/>
        <w:b/>
        <w:bCs/>
        <w:noProof/>
        <w:color w:val="000000"/>
        <w:sz w:val="22"/>
      </w:rPr>
      <w:t>28</w:t>
    </w:r>
    <w:r w:rsidRPr="00812BBB">
      <w:rPr>
        <w:rFonts w:ascii="Palatino Linotype" w:hAnsi="Palatino Linotype"/>
        <w:b/>
        <w:bCs/>
        <w:color w:val="000000"/>
        <w:sz w:val="22"/>
      </w:rPr>
      <w:fldChar w:fldCharType="end"/>
    </w:r>
  </w:p>
  <w:p w:rsidR="00766305" w:rsidRDefault="0076630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4BAC" w:rsidRDefault="008C4BAC">
      <w:r>
        <w:separator/>
      </w:r>
    </w:p>
  </w:footnote>
  <w:footnote w:type="continuationSeparator" w:id="0">
    <w:p w:rsidR="008C4BAC" w:rsidRDefault="008C4BAC">
      <w:r>
        <w:continuationSeparator/>
      </w:r>
    </w:p>
  </w:footnote>
  <w:footnote w:id="1">
    <w:p w:rsidR="00766305" w:rsidRDefault="00E97EF6">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766305" w:rsidRDefault="00E97EF6">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766305" w:rsidRDefault="00E97EF6">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766305" w:rsidRDefault="00E97EF6">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305" w:rsidRDefault="008C4BAC">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348" w:type="dxa"/>
      <w:tblInd w:w="0" w:type="dxa"/>
      <w:tblLayout w:type="fixed"/>
      <w:tblLook w:val="0400" w:firstRow="0" w:lastRow="0" w:firstColumn="0" w:lastColumn="0" w:noHBand="0" w:noVBand="1"/>
    </w:tblPr>
    <w:tblGrid>
      <w:gridCol w:w="2268"/>
      <w:gridCol w:w="8080"/>
    </w:tblGrid>
    <w:tr w:rsidR="00766305" w:rsidTr="00812BBB">
      <w:trPr>
        <w:trHeight w:val="1435"/>
      </w:trPr>
      <w:tc>
        <w:tcPr>
          <w:tcW w:w="2268" w:type="dxa"/>
          <w:shd w:val="clear" w:color="auto" w:fill="auto"/>
        </w:tcPr>
        <w:p w:rsidR="00766305" w:rsidRDefault="00766305">
          <w:pPr>
            <w:tabs>
              <w:tab w:val="right" w:pos="4273"/>
            </w:tabs>
            <w:rPr>
              <w:rFonts w:ascii="Garamond" w:eastAsia="Garamond" w:hAnsi="Garamond" w:cs="Garamond"/>
              <w:sz w:val="16"/>
              <w:szCs w:val="16"/>
            </w:rPr>
          </w:pPr>
        </w:p>
      </w:tc>
      <w:tc>
        <w:tcPr>
          <w:tcW w:w="8080" w:type="dxa"/>
          <w:shd w:val="clear" w:color="auto" w:fill="auto"/>
        </w:tcPr>
        <w:tbl>
          <w:tblPr>
            <w:tblStyle w:val="a2"/>
            <w:tblW w:w="7642" w:type="dxa"/>
            <w:tblInd w:w="311" w:type="dxa"/>
            <w:tblLayout w:type="fixed"/>
            <w:tblLook w:val="0400" w:firstRow="0" w:lastRow="0" w:firstColumn="0" w:lastColumn="0" w:noHBand="0" w:noVBand="1"/>
          </w:tblPr>
          <w:tblGrid>
            <w:gridCol w:w="3673"/>
            <w:gridCol w:w="3969"/>
          </w:tblGrid>
          <w:tr w:rsidR="00766305" w:rsidTr="00812BBB">
            <w:trPr>
              <w:trHeight w:val="359"/>
            </w:trPr>
            <w:tc>
              <w:tcPr>
                <w:tcW w:w="3673" w:type="dxa"/>
                <w:shd w:val="clear" w:color="auto" w:fill="auto"/>
              </w:tcPr>
              <w:p w:rsidR="00766305" w:rsidRPr="00812BBB" w:rsidRDefault="00E97EF6">
                <w:pPr>
                  <w:tabs>
                    <w:tab w:val="right" w:pos="8838"/>
                  </w:tabs>
                  <w:ind w:left="850" w:right="-105"/>
                  <w:jc w:val="both"/>
                  <w:rPr>
                    <w:rFonts w:ascii="Palatino Linotype" w:eastAsia="Palatino Linotype" w:hAnsi="Palatino Linotype" w:cs="Palatino Linotype"/>
                    <w:b/>
                    <w:bCs/>
                    <w:szCs w:val="18"/>
                  </w:rPr>
                </w:pPr>
                <w:r w:rsidRPr="00812BBB">
                  <w:rPr>
                    <w:rFonts w:ascii="Palatino Linotype" w:eastAsia="Palatino Linotype" w:hAnsi="Palatino Linotype" w:cs="Palatino Linotype"/>
                    <w:b/>
                    <w:bCs/>
                    <w:szCs w:val="18"/>
                  </w:rPr>
                  <w:t>Recurso de Revisión:</w:t>
                </w:r>
              </w:p>
            </w:tc>
            <w:tc>
              <w:tcPr>
                <w:tcW w:w="3969" w:type="dxa"/>
                <w:shd w:val="clear" w:color="auto" w:fill="auto"/>
              </w:tcPr>
              <w:p w:rsidR="00766305" w:rsidRPr="00812BBB" w:rsidRDefault="00E97EF6">
                <w:pPr>
                  <w:tabs>
                    <w:tab w:val="right" w:pos="8838"/>
                  </w:tabs>
                  <w:ind w:right="-781"/>
                  <w:jc w:val="both"/>
                  <w:rPr>
                    <w:rFonts w:ascii="Palatino Linotype" w:eastAsia="Palatino Linotype" w:hAnsi="Palatino Linotype" w:cs="Palatino Linotype"/>
                    <w:szCs w:val="18"/>
                  </w:rPr>
                </w:pPr>
                <w:r w:rsidRPr="00812BBB">
                  <w:rPr>
                    <w:rFonts w:ascii="Palatino Linotype" w:eastAsia="Palatino Linotype" w:hAnsi="Palatino Linotype" w:cs="Palatino Linotype"/>
                    <w:szCs w:val="18"/>
                  </w:rPr>
                  <w:t>11743/INFOEM/IP/RR/2025</w:t>
                </w:r>
              </w:p>
            </w:tc>
          </w:tr>
          <w:tr w:rsidR="00766305" w:rsidTr="00812BBB">
            <w:trPr>
              <w:trHeight w:val="295"/>
            </w:trPr>
            <w:tc>
              <w:tcPr>
                <w:tcW w:w="3673" w:type="dxa"/>
                <w:shd w:val="clear" w:color="auto" w:fill="auto"/>
              </w:tcPr>
              <w:p w:rsidR="00766305" w:rsidRPr="00812BBB" w:rsidRDefault="00E97EF6">
                <w:pPr>
                  <w:tabs>
                    <w:tab w:val="right" w:pos="8838"/>
                  </w:tabs>
                  <w:ind w:left="850" w:right="-105"/>
                  <w:jc w:val="both"/>
                  <w:rPr>
                    <w:rFonts w:ascii="Palatino Linotype" w:eastAsia="Palatino Linotype" w:hAnsi="Palatino Linotype" w:cs="Palatino Linotype"/>
                    <w:b/>
                    <w:bCs/>
                    <w:szCs w:val="18"/>
                  </w:rPr>
                </w:pPr>
                <w:r w:rsidRPr="00812BBB">
                  <w:rPr>
                    <w:rFonts w:ascii="Palatino Linotype" w:eastAsia="Palatino Linotype" w:hAnsi="Palatino Linotype" w:cs="Palatino Linotype"/>
                    <w:b/>
                    <w:bCs/>
                    <w:szCs w:val="18"/>
                  </w:rPr>
                  <w:t>Sujeto Obligado:</w:t>
                </w:r>
              </w:p>
            </w:tc>
            <w:tc>
              <w:tcPr>
                <w:tcW w:w="3969" w:type="dxa"/>
                <w:shd w:val="clear" w:color="auto" w:fill="auto"/>
              </w:tcPr>
              <w:p w:rsidR="00766305" w:rsidRPr="00812BBB" w:rsidRDefault="00E97EF6">
                <w:pPr>
                  <w:tabs>
                    <w:tab w:val="left" w:pos="2834"/>
                    <w:tab w:val="right" w:pos="8838"/>
                  </w:tabs>
                  <w:ind w:right="-1552"/>
                  <w:jc w:val="both"/>
                  <w:rPr>
                    <w:rFonts w:ascii="Palatino Linotype" w:eastAsia="Palatino Linotype" w:hAnsi="Palatino Linotype" w:cs="Palatino Linotype"/>
                    <w:szCs w:val="18"/>
                  </w:rPr>
                </w:pPr>
                <w:r w:rsidRPr="00812BBB">
                  <w:rPr>
                    <w:rFonts w:ascii="Palatino Linotype" w:eastAsia="Palatino Linotype" w:hAnsi="Palatino Linotype" w:cs="Palatino Linotype"/>
                    <w:szCs w:val="18"/>
                  </w:rPr>
                  <w:t>Ayuntamiento de Cuautitlán</w:t>
                </w:r>
              </w:p>
            </w:tc>
          </w:tr>
          <w:tr w:rsidR="00766305" w:rsidTr="00812BBB">
            <w:trPr>
              <w:trHeight w:val="295"/>
            </w:trPr>
            <w:tc>
              <w:tcPr>
                <w:tcW w:w="3673" w:type="dxa"/>
                <w:shd w:val="clear" w:color="auto" w:fill="auto"/>
              </w:tcPr>
              <w:p w:rsidR="00766305" w:rsidRPr="00812BBB" w:rsidRDefault="00E97EF6">
                <w:pPr>
                  <w:tabs>
                    <w:tab w:val="right" w:pos="8838"/>
                  </w:tabs>
                  <w:ind w:left="850" w:right="-105"/>
                  <w:jc w:val="both"/>
                  <w:rPr>
                    <w:rFonts w:ascii="Palatino Linotype" w:eastAsia="Palatino Linotype" w:hAnsi="Palatino Linotype" w:cs="Palatino Linotype"/>
                    <w:b/>
                    <w:bCs/>
                    <w:szCs w:val="18"/>
                  </w:rPr>
                </w:pPr>
                <w:r w:rsidRPr="00812BBB">
                  <w:rPr>
                    <w:rFonts w:ascii="Palatino Linotype" w:eastAsia="Palatino Linotype" w:hAnsi="Palatino Linotype" w:cs="Palatino Linotype"/>
                    <w:b/>
                    <w:bCs/>
                    <w:szCs w:val="18"/>
                  </w:rPr>
                  <w:t>Comisionada ponente:</w:t>
                </w:r>
              </w:p>
            </w:tc>
            <w:tc>
              <w:tcPr>
                <w:tcW w:w="3969" w:type="dxa"/>
                <w:shd w:val="clear" w:color="auto" w:fill="auto"/>
              </w:tcPr>
              <w:p w:rsidR="00766305" w:rsidRPr="00812BBB" w:rsidRDefault="00E97EF6">
                <w:pPr>
                  <w:tabs>
                    <w:tab w:val="right" w:pos="8838"/>
                  </w:tabs>
                  <w:ind w:right="-781"/>
                  <w:jc w:val="both"/>
                  <w:rPr>
                    <w:rFonts w:ascii="Palatino Linotype" w:eastAsia="Palatino Linotype" w:hAnsi="Palatino Linotype" w:cs="Palatino Linotype"/>
                    <w:szCs w:val="18"/>
                  </w:rPr>
                </w:pPr>
                <w:r w:rsidRPr="00812BBB">
                  <w:rPr>
                    <w:rFonts w:ascii="Palatino Linotype" w:eastAsia="Palatino Linotype" w:hAnsi="Palatino Linotype" w:cs="Palatino Linotype"/>
                    <w:szCs w:val="18"/>
                  </w:rPr>
                  <w:t>María del Rosario Mejía Ayala</w:t>
                </w:r>
              </w:p>
              <w:p w:rsidR="00766305" w:rsidRPr="00812BBB" w:rsidRDefault="00766305">
                <w:pPr>
                  <w:tabs>
                    <w:tab w:val="right" w:pos="8838"/>
                  </w:tabs>
                  <w:ind w:left="141" w:right="-781"/>
                  <w:jc w:val="both"/>
                  <w:rPr>
                    <w:rFonts w:ascii="Palatino Linotype" w:eastAsia="Palatino Linotype" w:hAnsi="Palatino Linotype" w:cs="Palatino Linotype"/>
                    <w:szCs w:val="18"/>
                  </w:rPr>
                </w:pPr>
              </w:p>
            </w:tc>
          </w:tr>
        </w:tbl>
        <w:p w:rsidR="00766305" w:rsidRDefault="00766305">
          <w:pPr>
            <w:tabs>
              <w:tab w:val="right" w:pos="8838"/>
            </w:tabs>
            <w:ind w:left="-28"/>
            <w:jc w:val="both"/>
            <w:rPr>
              <w:rFonts w:ascii="Arial" w:eastAsia="Arial" w:hAnsi="Arial" w:cs="Arial"/>
              <w:b/>
              <w:bCs/>
              <w:sz w:val="18"/>
              <w:szCs w:val="18"/>
            </w:rPr>
          </w:pPr>
        </w:p>
      </w:tc>
    </w:tr>
  </w:tbl>
  <w:p w:rsidR="00766305" w:rsidRDefault="008C4BAC">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10065" w:type="dxa"/>
      <w:tblInd w:w="0" w:type="dxa"/>
      <w:tblLayout w:type="fixed"/>
      <w:tblLook w:val="0400" w:firstRow="0" w:lastRow="0" w:firstColumn="0" w:lastColumn="0" w:noHBand="0" w:noVBand="1"/>
    </w:tblPr>
    <w:tblGrid>
      <w:gridCol w:w="2265"/>
      <w:gridCol w:w="7800"/>
    </w:tblGrid>
    <w:tr w:rsidR="00766305">
      <w:trPr>
        <w:trHeight w:val="1435"/>
      </w:trPr>
      <w:tc>
        <w:tcPr>
          <w:tcW w:w="2265" w:type="dxa"/>
          <w:shd w:val="clear" w:color="auto" w:fill="auto"/>
        </w:tcPr>
        <w:p w:rsidR="00766305" w:rsidRDefault="00766305">
          <w:pPr>
            <w:tabs>
              <w:tab w:val="right" w:pos="4273"/>
            </w:tabs>
            <w:rPr>
              <w:rFonts w:ascii="Garamond" w:eastAsia="Garamond" w:hAnsi="Garamond" w:cs="Garamond"/>
              <w:sz w:val="22"/>
              <w:szCs w:val="22"/>
            </w:rPr>
          </w:pPr>
        </w:p>
      </w:tc>
      <w:tc>
        <w:tcPr>
          <w:tcW w:w="7800" w:type="dxa"/>
          <w:shd w:val="clear" w:color="auto" w:fill="auto"/>
        </w:tcPr>
        <w:tbl>
          <w:tblPr>
            <w:tblStyle w:val="a4"/>
            <w:tblW w:w="7785" w:type="dxa"/>
            <w:tblInd w:w="1164" w:type="dxa"/>
            <w:tblLayout w:type="fixed"/>
            <w:tblLook w:val="0400" w:firstRow="0" w:lastRow="0" w:firstColumn="0" w:lastColumn="0" w:noHBand="0" w:noVBand="1"/>
          </w:tblPr>
          <w:tblGrid>
            <w:gridCol w:w="2865"/>
            <w:gridCol w:w="4920"/>
          </w:tblGrid>
          <w:tr w:rsidR="00766305" w:rsidTr="00812BBB">
            <w:trPr>
              <w:trHeight w:val="144"/>
            </w:trPr>
            <w:tc>
              <w:tcPr>
                <w:tcW w:w="2865" w:type="dxa"/>
                <w:shd w:val="clear" w:color="auto" w:fill="auto"/>
              </w:tcPr>
              <w:p w:rsidR="00766305" w:rsidRPr="00812BBB" w:rsidRDefault="00E97EF6">
                <w:pPr>
                  <w:tabs>
                    <w:tab w:val="right" w:pos="8838"/>
                  </w:tabs>
                  <w:ind w:left="-264" w:right="-105" w:firstLine="195"/>
                  <w:rPr>
                    <w:rFonts w:ascii="Palatino Linotype" w:eastAsia="Palatino Linotype" w:hAnsi="Palatino Linotype" w:cs="Palatino Linotype"/>
                    <w:b/>
                    <w:bCs/>
                    <w:szCs w:val="18"/>
                  </w:rPr>
                </w:pPr>
                <w:r w:rsidRPr="00812BBB">
                  <w:rPr>
                    <w:rFonts w:ascii="Palatino Linotype" w:eastAsia="Palatino Linotype" w:hAnsi="Palatino Linotype" w:cs="Palatino Linotype"/>
                    <w:b/>
                    <w:bCs/>
                    <w:szCs w:val="18"/>
                  </w:rPr>
                  <w:t>Recurso de Revisión:</w:t>
                </w:r>
              </w:p>
            </w:tc>
            <w:tc>
              <w:tcPr>
                <w:tcW w:w="4920" w:type="dxa"/>
                <w:shd w:val="clear" w:color="auto" w:fill="auto"/>
              </w:tcPr>
              <w:p w:rsidR="00766305" w:rsidRPr="00812BBB" w:rsidRDefault="00E97EF6">
                <w:pPr>
                  <w:tabs>
                    <w:tab w:val="right" w:pos="8838"/>
                  </w:tabs>
                  <w:ind w:right="-1552"/>
                  <w:rPr>
                    <w:rFonts w:ascii="Palatino Linotype" w:eastAsia="Palatino Linotype" w:hAnsi="Palatino Linotype" w:cs="Palatino Linotype"/>
                    <w:szCs w:val="18"/>
                  </w:rPr>
                </w:pPr>
                <w:r w:rsidRPr="00812BBB">
                  <w:rPr>
                    <w:rFonts w:ascii="Palatino Linotype" w:eastAsia="Palatino Linotype" w:hAnsi="Palatino Linotype" w:cs="Palatino Linotype"/>
                    <w:szCs w:val="18"/>
                  </w:rPr>
                  <w:t>11743/INFOEM/IP/RR/2025</w:t>
                </w:r>
              </w:p>
            </w:tc>
          </w:tr>
          <w:tr w:rsidR="00766305" w:rsidTr="00812BBB">
            <w:trPr>
              <w:trHeight w:val="144"/>
            </w:trPr>
            <w:tc>
              <w:tcPr>
                <w:tcW w:w="2865" w:type="dxa"/>
                <w:shd w:val="clear" w:color="auto" w:fill="auto"/>
              </w:tcPr>
              <w:p w:rsidR="00766305" w:rsidRPr="00812BBB" w:rsidRDefault="00E97EF6">
                <w:pPr>
                  <w:tabs>
                    <w:tab w:val="right" w:pos="8838"/>
                  </w:tabs>
                  <w:ind w:left="-74" w:right="-105"/>
                  <w:rPr>
                    <w:rFonts w:ascii="Palatino Linotype" w:eastAsia="Palatino Linotype" w:hAnsi="Palatino Linotype" w:cs="Palatino Linotype"/>
                    <w:b/>
                    <w:bCs/>
                    <w:szCs w:val="18"/>
                  </w:rPr>
                </w:pPr>
                <w:r w:rsidRPr="00812BBB">
                  <w:rPr>
                    <w:rFonts w:ascii="Palatino Linotype" w:eastAsia="Palatino Linotype" w:hAnsi="Palatino Linotype" w:cs="Palatino Linotype"/>
                    <w:b/>
                    <w:bCs/>
                    <w:szCs w:val="18"/>
                  </w:rPr>
                  <w:t>Recurrente:</w:t>
                </w:r>
              </w:p>
            </w:tc>
            <w:tc>
              <w:tcPr>
                <w:tcW w:w="4920" w:type="dxa"/>
                <w:shd w:val="clear" w:color="auto" w:fill="auto"/>
              </w:tcPr>
              <w:p w:rsidR="00766305" w:rsidRPr="00812BBB" w:rsidRDefault="00766305">
                <w:pPr>
                  <w:tabs>
                    <w:tab w:val="left" w:pos="3122"/>
                    <w:tab w:val="right" w:pos="8838"/>
                  </w:tabs>
                  <w:ind w:right="-1552"/>
                  <w:rPr>
                    <w:rFonts w:ascii="Palatino Linotype" w:eastAsia="Palatino Linotype" w:hAnsi="Palatino Linotype" w:cs="Palatino Linotype"/>
                    <w:szCs w:val="18"/>
                  </w:rPr>
                </w:pPr>
              </w:p>
            </w:tc>
          </w:tr>
          <w:tr w:rsidR="00766305" w:rsidTr="00812BBB">
            <w:trPr>
              <w:trHeight w:val="80"/>
            </w:trPr>
            <w:tc>
              <w:tcPr>
                <w:tcW w:w="2865" w:type="dxa"/>
                <w:shd w:val="clear" w:color="auto" w:fill="auto"/>
              </w:tcPr>
              <w:p w:rsidR="00766305" w:rsidRPr="00812BBB" w:rsidRDefault="00E97EF6">
                <w:pPr>
                  <w:tabs>
                    <w:tab w:val="right" w:pos="8838"/>
                  </w:tabs>
                  <w:ind w:left="-74" w:right="-105"/>
                  <w:rPr>
                    <w:rFonts w:ascii="Palatino Linotype" w:eastAsia="Palatino Linotype" w:hAnsi="Palatino Linotype" w:cs="Palatino Linotype"/>
                    <w:b/>
                    <w:bCs/>
                    <w:szCs w:val="18"/>
                  </w:rPr>
                </w:pPr>
                <w:r w:rsidRPr="00812BBB">
                  <w:rPr>
                    <w:rFonts w:ascii="Palatino Linotype" w:eastAsia="Palatino Linotype" w:hAnsi="Palatino Linotype" w:cs="Palatino Linotype"/>
                    <w:b/>
                    <w:bCs/>
                    <w:szCs w:val="18"/>
                  </w:rPr>
                  <w:t>Sujeto Obligado:</w:t>
                </w:r>
              </w:p>
            </w:tc>
            <w:tc>
              <w:tcPr>
                <w:tcW w:w="4920" w:type="dxa"/>
                <w:shd w:val="clear" w:color="auto" w:fill="auto"/>
              </w:tcPr>
              <w:p w:rsidR="00766305" w:rsidRPr="00812BBB" w:rsidRDefault="00E97EF6">
                <w:pPr>
                  <w:tabs>
                    <w:tab w:val="left" w:pos="2834"/>
                    <w:tab w:val="right" w:pos="8838"/>
                  </w:tabs>
                  <w:ind w:right="-1552"/>
                  <w:rPr>
                    <w:rFonts w:ascii="Palatino Linotype" w:eastAsia="Palatino Linotype" w:hAnsi="Palatino Linotype" w:cs="Palatino Linotype"/>
                    <w:szCs w:val="18"/>
                  </w:rPr>
                </w:pPr>
                <w:r w:rsidRPr="00812BBB">
                  <w:rPr>
                    <w:rFonts w:ascii="Palatino Linotype" w:eastAsia="Palatino Linotype" w:hAnsi="Palatino Linotype" w:cs="Palatino Linotype"/>
                    <w:szCs w:val="18"/>
                  </w:rPr>
                  <w:t>Ayuntamiento de Cuautitlán</w:t>
                </w:r>
              </w:p>
            </w:tc>
          </w:tr>
          <w:tr w:rsidR="00766305" w:rsidTr="00812BBB">
            <w:trPr>
              <w:trHeight w:val="283"/>
            </w:trPr>
            <w:tc>
              <w:tcPr>
                <w:tcW w:w="2865" w:type="dxa"/>
                <w:shd w:val="clear" w:color="auto" w:fill="auto"/>
              </w:tcPr>
              <w:p w:rsidR="00766305" w:rsidRPr="00812BBB" w:rsidRDefault="00E97EF6" w:rsidP="00812BBB">
                <w:pPr>
                  <w:tabs>
                    <w:tab w:val="right" w:pos="8838"/>
                  </w:tabs>
                  <w:ind w:left="-85" w:right="-105"/>
                  <w:rPr>
                    <w:rFonts w:ascii="Palatino Linotype" w:eastAsia="Palatino Linotype" w:hAnsi="Palatino Linotype" w:cs="Palatino Linotype"/>
                    <w:b/>
                    <w:bCs/>
                    <w:szCs w:val="18"/>
                  </w:rPr>
                </w:pPr>
                <w:r w:rsidRPr="00812BBB">
                  <w:rPr>
                    <w:rFonts w:ascii="Palatino Linotype" w:eastAsia="Palatino Linotype" w:hAnsi="Palatino Linotype" w:cs="Palatino Linotype"/>
                    <w:b/>
                    <w:bCs/>
                    <w:szCs w:val="18"/>
                  </w:rPr>
                  <w:t>Comisionada ponente:</w:t>
                </w:r>
              </w:p>
            </w:tc>
            <w:tc>
              <w:tcPr>
                <w:tcW w:w="4920" w:type="dxa"/>
                <w:shd w:val="clear" w:color="auto" w:fill="auto"/>
              </w:tcPr>
              <w:p w:rsidR="00766305" w:rsidRPr="00812BBB" w:rsidRDefault="00E97EF6">
                <w:pPr>
                  <w:tabs>
                    <w:tab w:val="right" w:pos="8838"/>
                  </w:tabs>
                  <w:ind w:right="-1552"/>
                  <w:rPr>
                    <w:rFonts w:ascii="Palatino Linotype" w:eastAsia="Palatino Linotype" w:hAnsi="Palatino Linotype" w:cs="Palatino Linotype"/>
                    <w:szCs w:val="18"/>
                  </w:rPr>
                </w:pPr>
                <w:r w:rsidRPr="00812BBB">
                  <w:rPr>
                    <w:rFonts w:ascii="Palatino Linotype" w:eastAsia="Palatino Linotype" w:hAnsi="Palatino Linotype" w:cs="Palatino Linotype"/>
                    <w:szCs w:val="18"/>
                  </w:rPr>
                  <w:t>María del Rosario Mejía Ayala</w:t>
                </w:r>
              </w:p>
              <w:p w:rsidR="00766305" w:rsidRPr="00812BBB" w:rsidRDefault="00766305">
                <w:pPr>
                  <w:tabs>
                    <w:tab w:val="right" w:pos="8838"/>
                  </w:tabs>
                  <w:ind w:right="-1552"/>
                  <w:rPr>
                    <w:rFonts w:ascii="Palatino Linotype" w:eastAsia="Palatino Linotype" w:hAnsi="Palatino Linotype" w:cs="Palatino Linotype"/>
                    <w:szCs w:val="18"/>
                  </w:rPr>
                </w:pPr>
              </w:p>
            </w:tc>
          </w:tr>
        </w:tbl>
        <w:p w:rsidR="00766305" w:rsidRDefault="00766305">
          <w:pPr>
            <w:tabs>
              <w:tab w:val="right" w:pos="8838"/>
            </w:tabs>
            <w:ind w:left="-28"/>
            <w:jc w:val="both"/>
            <w:rPr>
              <w:rFonts w:ascii="Arial" w:eastAsia="Arial" w:hAnsi="Arial" w:cs="Arial"/>
              <w:b/>
              <w:bCs/>
              <w:sz w:val="22"/>
              <w:szCs w:val="22"/>
            </w:rPr>
          </w:pPr>
        </w:p>
      </w:tc>
    </w:tr>
  </w:tbl>
  <w:p w:rsidR="00766305" w:rsidRDefault="008C4BAC">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B7F4B"/>
    <w:multiLevelType w:val="multilevel"/>
    <w:tmpl w:val="7F926BCE"/>
    <w:lvl w:ilvl="0">
      <w:start w:val="1"/>
      <w:numFmt w:val="lowerLetter"/>
      <w:lvlText w:val="%1)"/>
      <w:lvlJc w:val="left"/>
      <w:pPr>
        <w:ind w:left="927" w:hanging="360"/>
      </w:pPr>
      <w:rPr>
        <w:u w:val="none"/>
      </w:rPr>
    </w:lvl>
    <w:lvl w:ilvl="1">
      <w:start w:val="1"/>
      <w:numFmt w:val="lowerLetter"/>
      <w:lvlText w:val="%2."/>
      <w:lvlJc w:val="left"/>
      <w:pPr>
        <w:ind w:left="1647" w:hanging="360"/>
      </w:pPr>
      <w:rPr>
        <w:u w:val="none"/>
      </w:rPr>
    </w:lvl>
    <w:lvl w:ilvl="2">
      <w:start w:val="1"/>
      <w:numFmt w:val="lowerRoman"/>
      <w:lvlText w:val="%3."/>
      <w:lvlJc w:val="right"/>
      <w:pPr>
        <w:ind w:left="2367" w:hanging="180"/>
      </w:pPr>
      <w:rPr>
        <w:u w:val="none"/>
      </w:rPr>
    </w:lvl>
    <w:lvl w:ilvl="3">
      <w:start w:val="1"/>
      <w:numFmt w:val="decimal"/>
      <w:lvlText w:val="%4."/>
      <w:lvlJc w:val="left"/>
      <w:pPr>
        <w:ind w:left="3087" w:hanging="360"/>
      </w:pPr>
      <w:rPr>
        <w:u w:val="none"/>
      </w:rPr>
    </w:lvl>
    <w:lvl w:ilvl="4">
      <w:start w:val="1"/>
      <w:numFmt w:val="lowerLetter"/>
      <w:lvlText w:val="%5."/>
      <w:lvlJc w:val="left"/>
      <w:pPr>
        <w:ind w:left="3807" w:hanging="360"/>
      </w:pPr>
      <w:rPr>
        <w:u w:val="none"/>
      </w:rPr>
    </w:lvl>
    <w:lvl w:ilvl="5">
      <w:start w:val="1"/>
      <w:numFmt w:val="lowerRoman"/>
      <w:lvlText w:val="%6."/>
      <w:lvlJc w:val="right"/>
      <w:pPr>
        <w:ind w:left="4527" w:hanging="180"/>
      </w:pPr>
      <w:rPr>
        <w:u w:val="none"/>
      </w:rPr>
    </w:lvl>
    <w:lvl w:ilvl="6">
      <w:start w:val="1"/>
      <w:numFmt w:val="decimal"/>
      <w:lvlText w:val="%7."/>
      <w:lvlJc w:val="left"/>
      <w:pPr>
        <w:ind w:left="5247" w:hanging="360"/>
      </w:pPr>
      <w:rPr>
        <w:u w:val="none"/>
      </w:rPr>
    </w:lvl>
    <w:lvl w:ilvl="7">
      <w:start w:val="1"/>
      <w:numFmt w:val="lowerLetter"/>
      <w:lvlText w:val="%8."/>
      <w:lvlJc w:val="left"/>
      <w:pPr>
        <w:ind w:left="5967" w:hanging="360"/>
      </w:pPr>
      <w:rPr>
        <w:u w:val="none"/>
      </w:rPr>
    </w:lvl>
    <w:lvl w:ilvl="8">
      <w:start w:val="1"/>
      <w:numFmt w:val="lowerRoman"/>
      <w:lvlText w:val="%9."/>
      <w:lvlJc w:val="right"/>
      <w:pPr>
        <w:ind w:left="6687" w:hanging="180"/>
      </w:pPr>
      <w:rPr>
        <w:u w:val="none"/>
      </w:rPr>
    </w:lvl>
  </w:abstractNum>
  <w:abstractNum w:abstractNumId="1" w15:restartNumberingAfterBreak="0">
    <w:nsid w:val="1843077F"/>
    <w:multiLevelType w:val="multilevel"/>
    <w:tmpl w:val="6F885816"/>
    <w:lvl w:ilvl="0">
      <w:start w:val="1"/>
      <w:numFmt w:val="decimal"/>
      <w:lvlText w:val="%1."/>
      <w:lvlJc w:val="left"/>
      <w:pPr>
        <w:ind w:left="357"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BB638D2"/>
    <w:multiLevelType w:val="multilevel"/>
    <w:tmpl w:val="35FA37C4"/>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3B709CD"/>
    <w:multiLevelType w:val="multilevel"/>
    <w:tmpl w:val="45E0F4A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305"/>
    <w:rsid w:val="00516A4D"/>
    <w:rsid w:val="005A1E77"/>
    <w:rsid w:val="00766305"/>
    <w:rsid w:val="008009D8"/>
    <w:rsid w:val="00812BBB"/>
    <w:rsid w:val="008C4BAC"/>
    <w:rsid w:val="00DF39FD"/>
    <w:rsid w:val="00E97EF6"/>
    <w:rsid w:val="00F93B3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F9777E5-1F12-4DEB-B47E-66A06C3E1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DF39FD"/>
    <w:pPr>
      <w:tabs>
        <w:tab w:val="center" w:pos="4419"/>
        <w:tab w:val="right" w:pos="8838"/>
      </w:tabs>
    </w:pPr>
  </w:style>
  <w:style w:type="character" w:customStyle="1" w:styleId="PiedepginaCar">
    <w:name w:val="Pie de página Car"/>
    <w:basedOn w:val="Fuentedeprrafopredeter"/>
    <w:link w:val="Piedepgina"/>
    <w:uiPriority w:val="99"/>
    <w:rsid w:val="00DF39FD"/>
  </w:style>
  <w:style w:type="paragraph" w:styleId="Prrafodelista">
    <w:name w:val="List Paragraph"/>
    <w:basedOn w:val="Normal"/>
    <w:uiPriority w:val="34"/>
    <w:qFormat/>
    <w:rsid w:val="00812B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582299.pag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saimex.org.mx/saimex/solicitud/downloadAttach/2582300.page"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u0OWA++lVfWmWvX6OjsjbGlE2w==">CgMxLjAyDmgucW42amp0b2s4czdnMgloLjN6bnlzaDcyCWguM2R5NnZrbTIOaC41N3c5Y21nNzUyZXUyDmguc2c2OXBqZnVzY3o2MgloLjMwajB6bGwyDmguc2c2OXBqZnVzY3o2Mg5oLmVqd3podHYxeDh0cjIOaC5pbGk3bGs0N2oyZTEyCWguMjZpbjFyZzIJaC4zNW5rdW4yOAByITF2VWlmTGNiVUdJc0haM0hSSnRGSEtpaWdIUkVfa3FJQg==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28</Pages>
  <Words>7159</Words>
  <Characters>39377</Characters>
  <Application>Microsoft Office Word</Application>
  <DocSecurity>0</DocSecurity>
  <Lines>328</Lines>
  <Paragraphs>92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46444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6</cp:revision>
  <cp:lastPrinted>2026-05-29T00:15:00Z</cp:lastPrinted>
  <dcterms:created xsi:type="dcterms:W3CDTF">2026-05-27T21:16:00Z</dcterms:created>
  <dcterms:modified xsi:type="dcterms:W3CDTF">2026-06-03T00:07:00Z</dcterms:modified>
</cp:coreProperties>
</file>