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F4C" w:rsidRDefault="002B3769">
      <w:pPr>
        <w:tabs>
          <w:tab w:val="left" w:pos="567"/>
        </w:tabs>
        <w:spacing w:line="360" w:lineRule="auto"/>
        <w:jc w:val="both"/>
        <w:rPr>
          <w:rFonts w:ascii="Palatino Linotype" w:eastAsia="Palatino Linotype" w:hAnsi="Palatino Linotype" w:cs="Palatino Linotype"/>
          <w:b/>
          <w:bCs/>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w:t>
      </w:r>
      <w:r w:rsidR="00892E1F">
        <w:rPr>
          <w:rFonts w:ascii="Palatino Linotype" w:eastAsia="Palatino Linotype" w:hAnsi="Palatino Linotype" w:cs="Palatino Linotype"/>
        </w:rPr>
        <w:t xml:space="preserve"> fecha</w:t>
      </w:r>
      <w:r>
        <w:rPr>
          <w:rFonts w:ascii="Palatino Linotype" w:eastAsia="Palatino Linotype" w:hAnsi="Palatino Linotype" w:cs="Palatino Linotype"/>
        </w:rPr>
        <w:t xml:space="preserve"> </w:t>
      </w:r>
      <w:r w:rsidR="00FB4941" w:rsidRPr="00FB4941">
        <w:rPr>
          <w:rFonts w:ascii="Palatino Linotype" w:eastAsia="Palatino Linotype" w:hAnsi="Palatino Linotype" w:cs="Palatino Linotype"/>
          <w:bCs/>
        </w:rPr>
        <w:t>cinco</w:t>
      </w:r>
      <w:r w:rsidRPr="00FB4941">
        <w:rPr>
          <w:rFonts w:ascii="Palatino Linotype" w:eastAsia="Palatino Linotype" w:hAnsi="Palatino Linotype" w:cs="Palatino Linotype"/>
          <w:bCs/>
        </w:rPr>
        <w:t xml:space="preserve"> </w:t>
      </w:r>
      <w:r w:rsidR="00892E1F">
        <w:rPr>
          <w:rFonts w:ascii="Palatino Linotype" w:eastAsia="Palatino Linotype" w:hAnsi="Palatino Linotype" w:cs="Palatino Linotype"/>
          <w:bCs/>
        </w:rPr>
        <w:t xml:space="preserve">(05) </w:t>
      </w:r>
      <w:r w:rsidRPr="00FB4941">
        <w:rPr>
          <w:rFonts w:ascii="Palatino Linotype" w:eastAsia="Palatino Linotype" w:hAnsi="Palatino Linotype" w:cs="Palatino Linotype"/>
          <w:bCs/>
        </w:rPr>
        <w:t>de febrero de dos mil veintiséis.</w:t>
      </w:r>
    </w:p>
    <w:p w:rsidR="00C74F4C" w:rsidRDefault="00C74F4C">
      <w:pPr>
        <w:tabs>
          <w:tab w:val="left" w:pos="567"/>
        </w:tabs>
        <w:spacing w:line="360" w:lineRule="auto"/>
        <w:jc w:val="both"/>
        <w:rPr>
          <w:rFonts w:ascii="Palatino Linotype" w:eastAsia="Palatino Linotype" w:hAnsi="Palatino Linotype" w:cs="Palatino Linotype"/>
        </w:rPr>
      </w:pPr>
    </w:p>
    <w:p w:rsidR="00C74F4C" w:rsidRDefault="002B3769">
      <w:pPr>
        <w:spacing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bCs/>
        </w:rPr>
        <w:t xml:space="preserve">09323/INFOEM/IP/RR/2025,  </w:t>
      </w:r>
      <w:r>
        <w:rPr>
          <w:rFonts w:ascii="Palatino Linotype" w:eastAsia="Palatino Linotype" w:hAnsi="Palatino Linotype" w:cs="Palatino Linotype"/>
        </w:rPr>
        <w:t xml:space="preserve">promovido por </w:t>
      </w:r>
      <w:r w:rsidR="00B90BB1">
        <w:rPr>
          <w:rFonts w:ascii="Palatino Linotype" w:eastAsia="Palatino Linotype" w:hAnsi="Palatino Linotype" w:cs="Palatino Linotype"/>
          <w:b/>
          <w:bCs/>
        </w:rPr>
        <w:t>XXXX</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bCs/>
        </w:rPr>
        <w:t xml:space="preserve">Hospital Regional de Alta Especialidad de Zumpango, </w:t>
      </w:r>
      <w:r>
        <w:rPr>
          <w:rFonts w:ascii="Palatino Linotype" w:eastAsia="Palatino Linotype" w:hAnsi="Palatino Linotype" w:cs="Palatino Linotype"/>
        </w:rPr>
        <w:t>en adelante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se procede a dictar la presente resolución, con base en los siguientes:</w:t>
      </w:r>
    </w:p>
    <w:p w:rsidR="00C74F4C" w:rsidRDefault="00C74F4C">
      <w:pPr>
        <w:spacing w:line="360" w:lineRule="auto"/>
        <w:jc w:val="both"/>
        <w:rPr>
          <w:rFonts w:ascii="Palatino Linotype" w:eastAsia="Palatino Linotype" w:hAnsi="Palatino Linotype" w:cs="Palatino Linotype"/>
        </w:rPr>
      </w:pPr>
    </w:p>
    <w:p w:rsidR="00C74F4C" w:rsidRDefault="002B3769">
      <w:pPr>
        <w:pStyle w:val="Ttulo1"/>
        <w:tabs>
          <w:tab w:val="left" w:pos="567"/>
        </w:tabs>
        <w:spacing w:before="0" w:line="360" w:lineRule="auto"/>
        <w:jc w:val="center"/>
      </w:pPr>
      <w:bookmarkStart w:id="2" w:name="_heading=h.30j0zll" w:colFirst="0" w:colLast="0"/>
      <w:bookmarkEnd w:id="2"/>
      <w:r>
        <w:t>A N T E C E D E N T E S</w:t>
      </w:r>
    </w:p>
    <w:p w:rsidR="00C74F4C" w:rsidRDefault="00C74F4C">
      <w:pPr>
        <w:rPr>
          <w:rFonts w:ascii="Palatino Linotype" w:eastAsia="Palatino Linotype" w:hAnsi="Palatino Linotype" w:cs="Palatino Linotype"/>
        </w:rPr>
      </w:pPr>
    </w:p>
    <w:p w:rsidR="00C74F4C" w:rsidRDefault="002B37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tres de julio de dos mil veinticinco,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bCs/>
          <w:color w:val="000000"/>
        </w:rPr>
        <w:t xml:space="preserve">  00122/HRZUM/IP/2025; </w:t>
      </w:r>
      <w:r w:rsidR="00892E1F">
        <w:rPr>
          <w:rFonts w:ascii="Palatino Linotype" w:eastAsia="Palatino Linotype" w:hAnsi="Palatino Linotype" w:cs="Palatino Linotype"/>
          <w:color w:val="000000"/>
        </w:rPr>
        <w:t>en la que</w:t>
      </w:r>
      <w:r>
        <w:rPr>
          <w:rFonts w:ascii="Palatino Linotype" w:eastAsia="Palatino Linotype" w:hAnsi="Palatino Linotype" w:cs="Palatino Linotype"/>
          <w:color w:val="000000"/>
        </w:rPr>
        <w:t xml:space="preserve"> se solicitó la siguiente información:</w:t>
      </w:r>
    </w:p>
    <w:p w:rsidR="00C74F4C" w:rsidRDefault="00C74F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74F4C" w:rsidRDefault="002B3769">
      <w:pPr>
        <w:pBdr>
          <w:top w:val="nil"/>
          <w:left w:val="nil"/>
          <w:bottom w:val="nil"/>
          <w:right w:val="nil"/>
          <w:between w:val="nil"/>
        </w:pBdr>
        <w:ind w:left="426" w:right="47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“Buen día Solicito de la manera más atenta en archivo (s) electrónico (s) de Excel, el detalle completo de todas las </w:t>
      </w:r>
      <w:r>
        <w:rPr>
          <w:rFonts w:ascii="Palatino Linotype" w:eastAsia="Palatino Linotype" w:hAnsi="Palatino Linotype" w:cs="Palatino Linotype"/>
          <w:i/>
          <w:iCs/>
          <w:color w:val="000000"/>
          <w:u w:val="single"/>
        </w:rPr>
        <w:t>ENTRADAS, COMPRAS o ADQUISICIONES de todos los PRODUCTOS AUXILIARES PARA LA SALUD (PAPS) los cuales están conformados dentro del Compendio Nacional de Insumos para la Salud (CNIS) por: MATERIAL DE CURACIÓN, AUXILIARES DE DIAGNÓSTICO, INSTRUMENTAL Y EQUIPO MÉDICO, OSTEOSÍNTESIS, ENDOPRÓTESIS Y AYUDAS FUNCIONALES, INSUMOS PARA LA SALUD, MATERIAL RADIOLÓGICO y MATERIAL DE LABORATORIO</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i/>
          <w:iCs/>
          <w:color w:val="000000"/>
          <w:u w:val="single"/>
        </w:rPr>
        <w:t xml:space="preserve">En el Hospital Regional de Alta Especialidad de Zumpango del periodo 01 al 30 de JUNIO 2025 Con el siguiente detalle de información: Clave completa del cuadro básico del producto Mes de compra Tipo de evento (licitación, adjudicación directa o invitación a 3) Número del tipo de evento Número de factura o contrato Proveedor que entregó Descripción </w:t>
      </w:r>
      <w:r>
        <w:rPr>
          <w:rFonts w:ascii="Palatino Linotype" w:eastAsia="Palatino Linotype" w:hAnsi="Palatino Linotype" w:cs="Palatino Linotype"/>
          <w:i/>
          <w:iCs/>
          <w:color w:val="000000"/>
          <w:u w:val="single"/>
        </w:rPr>
        <w:lastRenderedPageBreak/>
        <w:t>completa y clara del producto Marca o fabricante Número de piezas Adquiridas Precio Unitario e importe total por cada registro adquirido Especificar el registro en que hospital se entrega</w:t>
      </w:r>
      <w:r>
        <w:rPr>
          <w:rFonts w:ascii="Palatino Linotype" w:eastAsia="Palatino Linotype" w:hAnsi="Palatino Linotype" w:cs="Palatino Linotype"/>
          <w:i/>
          <w:iCs/>
          <w:color w:val="000000"/>
        </w:rPr>
        <w:t xml:space="preserve"> Con base en los Artículos 4, 7, 9, 13, 17,18, 19, 40, 43 y 63 (inciso VI) de la Ley General de Transparencia y cceso a la Información Pública Gubernamental, y considerando que, en los términos del Capítulo III de la misma la presente solicitud no está abarcando ninguna información confidencial. Favor de no omitir información Gracias por su amable atención..” </w:t>
      </w:r>
      <w:r>
        <w:rPr>
          <w:rFonts w:ascii="Palatino Linotype" w:eastAsia="Palatino Linotype" w:hAnsi="Palatino Linotype" w:cs="Palatino Linotype"/>
          <w:color w:val="000000"/>
        </w:rPr>
        <w:t>(Sic)</w:t>
      </w:r>
    </w:p>
    <w:p w:rsidR="00C74F4C" w:rsidRDefault="00C74F4C">
      <w:pPr>
        <w:pBdr>
          <w:top w:val="nil"/>
          <w:left w:val="nil"/>
          <w:bottom w:val="nil"/>
          <w:right w:val="nil"/>
          <w:between w:val="nil"/>
        </w:pBdr>
        <w:ind w:left="426" w:right="476"/>
        <w:jc w:val="both"/>
        <w:rPr>
          <w:rFonts w:ascii="Palatino Linotype" w:eastAsia="Palatino Linotype" w:hAnsi="Palatino Linotype" w:cs="Palatino Linotype"/>
          <w:color w:val="000000"/>
        </w:rPr>
      </w:pPr>
    </w:p>
    <w:p w:rsidR="00C74F4C" w:rsidRDefault="002B3769">
      <w:pPr>
        <w:numPr>
          <w:ilvl w:val="0"/>
          <w:numId w:val="2"/>
        </w:numPr>
        <w:pBdr>
          <w:top w:val="nil"/>
          <w:left w:val="nil"/>
          <w:bottom w:val="nil"/>
          <w:right w:val="nil"/>
          <w:between w:val="nil"/>
        </w:pBdr>
        <w:ind w:left="851"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bCs/>
          <w:color w:val="000000"/>
        </w:rPr>
        <w:t>SAIMEX.</w:t>
      </w:r>
    </w:p>
    <w:p w:rsidR="00C74F4C" w:rsidRDefault="00C74F4C">
      <w:pPr>
        <w:tabs>
          <w:tab w:val="left" w:pos="0"/>
        </w:tabs>
        <w:ind w:right="49"/>
        <w:jc w:val="center"/>
        <w:rPr>
          <w:rFonts w:ascii="Palatino Linotype" w:eastAsia="Palatino Linotype" w:hAnsi="Palatino Linotype" w:cs="Palatino Linotype"/>
          <w:i/>
          <w:iCs/>
          <w:color w:val="000000"/>
        </w:rPr>
      </w:pPr>
    </w:p>
    <w:p w:rsidR="00C74F4C" w:rsidRDefault="00C74F4C">
      <w:pPr>
        <w:rPr>
          <w:rFonts w:ascii="Palatino Linotype" w:eastAsia="Palatino Linotype" w:hAnsi="Palatino Linotype" w:cs="Palatino Linotype"/>
        </w:rPr>
      </w:pPr>
    </w:p>
    <w:p w:rsidR="00C74F4C" w:rsidRDefault="002B37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cinco de agosto de dos mil veinticinco, EL SUJETO OBLIGADO, </w:t>
      </w:r>
      <w:r>
        <w:rPr>
          <w:rFonts w:ascii="Palatino Linotype" w:eastAsia="Palatino Linotype" w:hAnsi="Palatino Linotype" w:cs="Palatino Linotype"/>
          <w:color w:val="000000"/>
        </w:rPr>
        <w:t>dio respuesta como se muestra a continuación:</w:t>
      </w:r>
    </w:p>
    <w:p w:rsidR="00C74F4C" w:rsidRDefault="002B3769">
      <w:pPr>
        <w:numPr>
          <w:ilvl w:val="0"/>
          <w:numId w:val="6"/>
        </w:numPr>
        <w:pBdr>
          <w:top w:val="nil"/>
          <w:left w:val="nil"/>
          <w:bottom w:val="nil"/>
          <w:right w:val="nil"/>
          <w:between w:val="nil"/>
        </w:pBdr>
        <w:spacing w:line="360" w:lineRule="auto"/>
        <w:ind w:right="992"/>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SAIMEX 122-2025.pdf: </w:t>
      </w:r>
      <w:r>
        <w:rPr>
          <w:rFonts w:ascii="Palatino Linotype" w:eastAsia="Palatino Linotype" w:hAnsi="Palatino Linotype" w:cs="Palatino Linotype"/>
          <w:color w:val="000000"/>
        </w:rPr>
        <w:t xml:space="preserve">Oficio firmado por el Subdirector de Recursos Materiales y Servicios Generales, por el que </w:t>
      </w:r>
      <w:r>
        <w:rPr>
          <w:rFonts w:ascii="Palatino Linotype" w:eastAsia="Palatino Linotype" w:hAnsi="Palatino Linotype" w:cs="Palatino Linotype"/>
        </w:rPr>
        <w:t>informó</w:t>
      </w:r>
      <w:r>
        <w:rPr>
          <w:rFonts w:ascii="Palatino Linotype" w:eastAsia="Palatino Linotype" w:hAnsi="Palatino Linotype" w:cs="Palatino Linotype"/>
          <w:color w:val="000000"/>
        </w:rPr>
        <w:t xml:space="preserve"> que la solicitud de información que nos ocupa se turnó a la Dirección de Recursos Materiales.</w:t>
      </w:r>
    </w:p>
    <w:p w:rsidR="00C74F4C" w:rsidRDefault="002B3769">
      <w:pPr>
        <w:numPr>
          <w:ilvl w:val="0"/>
          <w:numId w:val="6"/>
        </w:numPr>
        <w:pBdr>
          <w:top w:val="nil"/>
          <w:left w:val="nil"/>
          <w:bottom w:val="nil"/>
          <w:right w:val="nil"/>
          <w:between w:val="nil"/>
        </w:pBdr>
        <w:spacing w:line="360" w:lineRule="auto"/>
        <w:ind w:right="992"/>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SAIMEX 00122.xlsx: </w:t>
      </w:r>
      <w:r>
        <w:rPr>
          <w:rFonts w:ascii="Palatino Linotype" w:eastAsia="Palatino Linotype" w:hAnsi="Palatino Linotype" w:cs="Palatino Linotype"/>
          <w:color w:val="000000"/>
        </w:rPr>
        <w:t xml:space="preserve">Archivo en formato </w:t>
      </w:r>
      <w:r w:rsidR="00892E1F">
        <w:rPr>
          <w:rFonts w:ascii="Palatino Linotype" w:eastAsia="Palatino Linotype" w:hAnsi="Palatino Linotype" w:cs="Palatino Linotype"/>
          <w:color w:val="000000"/>
        </w:rPr>
        <w:t>Excel</w:t>
      </w:r>
      <w:r>
        <w:rPr>
          <w:rFonts w:ascii="Palatino Linotype" w:eastAsia="Palatino Linotype" w:hAnsi="Palatino Linotype" w:cs="Palatino Linotype"/>
          <w:color w:val="000000"/>
        </w:rPr>
        <w:t xml:space="preserve"> en el que se observa, clave, descripción, fecha de ingreso y existencia de productos del mes de junio de dos mil veinticinco.</w:t>
      </w:r>
    </w:p>
    <w:p w:rsidR="00C74F4C" w:rsidRDefault="00C74F4C">
      <w:pPr>
        <w:pBdr>
          <w:top w:val="nil"/>
          <w:left w:val="nil"/>
          <w:bottom w:val="nil"/>
          <w:right w:val="nil"/>
          <w:between w:val="nil"/>
        </w:pBdr>
        <w:tabs>
          <w:tab w:val="left" w:pos="567"/>
        </w:tabs>
        <w:ind w:left="426" w:right="709"/>
        <w:jc w:val="both"/>
        <w:rPr>
          <w:rFonts w:ascii="Palatino Linotype" w:eastAsia="Palatino Linotype" w:hAnsi="Palatino Linotype" w:cs="Palatino Linotype"/>
          <w:i/>
          <w:iCs/>
          <w:color w:val="000000"/>
        </w:rPr>
      </w:pPr>
    </w:p>
    <w:p w:rsidR="00C74F4C" w:rsidRDefault="002B37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con lo anterior, el </w:t>
      </w:r>
      <w:r>
        <w:rPr>
          <w:rFonts w:ascii="Palatino Linotype" w:eastAsia="Palatino Linotype" w:hAnsi="Palatino Linotype" w:cs="Palatino Linotype"/>
          <w:b/>
          <w:bCs/>
          <w:color w:val="000000"/>
        </w:rPr>
        <w:t>PARTICULAR</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bCs/>
          <w:color w:val="000000"/>
        </w:rPr>
        <w:t xml:space="preserve">siete de agosto de dos mil veinticinco, </w:t>
      </w:r>
      <w:r>
        <w:rPr>
          <w:rFonts w:ascii="Palatino Linotype" w:eastAsia="Palatino Linotype" w:hAnsi="Palatino Linotype" w:cs="Palatino Linotype"/>
          <w:color w:val="000000"/>
        </w:rPr>
        <w:t>interpuso el recurso de revisión en contra de la respuesta, manifestando las siguientes razones o motivos de inconformidad:</w:t>
      </w:r>
    </w:p>
    <w:p w:rsidR="00C74F4C" w:rsidRDefault="00C74F4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C74F4C" w:rsidRDefault="00892E1F" w:rsidP="00892E1F">
      <w:pPr>
        <w:numPr>
          <w:ilvl w:val="0"/>
          <w:numId w:val="2"/>
        </w:numPr>
        <w:pBdr>
          <w:top w:val="nil"/>
          <w:left w:val="nil"/>
          <w:bottom w:val="nil"/>
          <w:right w:val="nil"/>
          <w:between w:val="nil"/>
        </w:pBdr>
        <w:ind w:left="0" w:right="425" w:firstLine="0"/>
        <w:jc w:val="both"/>
        <w:rPr>
          <w:rFonts w:ascii="Palatino Linotype" w:eastAsia="Palatino Linotype" w:hAnsi="Palatino Linotype" w:cs="Palatino Linotype"/>
          <w:b/>
          <w:bCs/>
          <w:i/>
          <w:iCs/>
          <w:color w:val="000000"/>
        </w:rPr>
      </w:pPr>
      <w:bookmarkStart w:id="3" w:name="_heading=h.1fob9te" w:colFirst="0" w:colLast="0"/>
      <w:bookmarkEnd w:id="3"/>
      <w:r>
        <w:rPr>
          <w:rFonts w:ascii="Palatino Linotype" w:eastAsia="Palatino Linotype" w:hAnsi="Palatino Linotype" w:cs="Palatino Linotype"/>
          <w:b/>
          <w:bCs/>
          <w:color w:val="000000"/>
        </w:rPr>
        <w:t>ACTO IMPUGNADO</w:t>
      </w:r>
      <w:r w:rsidR="002B3769">
        <w:rPr>
          <w:rFonts w:ascii="Palatino Linotype" w:eastAsia="Palatino Linotype" w:hAnsi="Palatino Linotype" w:cs="Palatino Linotype"/>
          <w:color w:val="000000"/>
        </w:rPr>
        <w:t xml:space="preserve">: </w:t>
      </w:r>
      <w:r w:rsidR="002B3769">
        <w:rPr>
          <w:rFonts w:ascii="Palatino Linotype" w:eastAsia="Palatino Linotype" w:hAnsi="Palatino Linotype" w:cs="Palatino Linotype"/>
          <w:i/>
          <w:iCs/>
          <w:color w:val="000000"/>
        </w:rPr>
        <w:t>“Envían informacion errónea” (sic)</w:t>
      </w:r>
    </w:p>
    <w:p w:rsidR="00C74F4C" w:rsidRDefault="00C74F4C" w:rsidP="00892E1F">
      <w:pPr>
        <w:pBdr>
          <w:top w:val="nil"/>
          <w:left w:val="nil"/>
          <w:bottom w:val="nil"/>
          <w:right w:val="nil"/>
          <w:between w:val="nil"/>
        </w:pBdr>
        <w:ind w:right="425"/>
        <w:jc w:val="both"/>
        <w:rPr>
          <w:rFonts w:ascii="Palatino Linotype" w:eastAsia="Palatino Linotype" w:hAnsi="Palatino Linotype" w:cs="Palatino Linotype"/>
          <w:b/>
          <w:bCs/>
          <w:i/>
          <w:iCs/>
          <w:color w:val="000000"/>
        </w:rPr>
      </w:pPr>
    </w:p>
    <w:p w:rsidR="00C74F4C" w:rsidRDefault="00892E1F" w:rsidP="00892E1F">
      <w:pPr>
        <w:numPr>
          <w:ilvl w:val="0"/>
          <w:numId w:val="2"/>
        </w:numPr>
        <w:pBdr>
          <w:top w:val="nil"/>
          <w:left w:val="nil"/>
          <w:bottom w:val="nil"/>
          <w:right w:val="nil"/>
          <w:between w:val="nil"/>
        </w:pBdr>
        <w:ind w:left="0" w:right="425" w:firstLine="0"/>
        <w:jc w:val="both"/>
        <w:rPr>
          <w:rFonts w:ascii="Palatino Linotype" w:eastAsia="Palatino Linotype" w:hAnsi="Palatino Linotype" w:cs="Palatino Linotype"/>
          <w:i/>
          <w:iCs/>
          <w:color w:val="000000"/>
        </w:rPr>
      </w:pPr>
      <w:bookmarkStart w:id="4" w:name="_heading=h.3znysh7" w:colFirst="0" w:colLast="0"/>
      <w:bookmarkEnd w:id="4"/>
      <w:r>
        <w:rPr>
          <w:rFonts w:ascii="Palatino Linotype" w:eastAsia="Palatino Linotype" w:hAnsi="Palatino Linotype" w:cs="Palatino Linotype"/>
          <w:b/>
          <w:bCs/>
          <w:color w:val="000000"/>
        </w:rPr>
        <w:t>RAZONES O MOTIVOS DE INCONFORMIDAD</w:t>
      </w:r>
      <w:r w:rsidR="002B3769">
        <w:rPr>
          <w:rFonts w:ascii="Palatino Linotype" w:eastAsia="Palatino Linotype" w:hAnsi="Palatino Linotype" w:cs="Palatino Linotype"/>
          <w:b/>
          <w:bCs/>
          <w:color w:val="000000"/>
        </w:rPr>
        <w:t xml:space="preserve">: </w:t>
      </w:r>
      <w:r w:rsidR="002B3769">
        <w:rPr>
          <w:rFonts w:ascii="Palatino Linotype" w:eastAsia="Palatino Linotype" w:hAnsi="Palatino Linotype" w:cs="Palatino Linotype"/>
          <w:i/>
          <w:iCs/>
          <w:color w:val="000000"/>
        </w:rPr>
        <w:t>“Mi queja es por que solicite las COMPRAS” (sic)</w:t>
      </w:r>
    </w:p>
    <w:p w:rsidR="00C74F4C" w:rsidRDefault="00892E1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Comisionada p</w:t>
      </w:r>
      <w:r w:rsidR="002B3769">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w:t>
      </w:r>
      <w:r w:rsidR="002B3769">
        <w:rPr>
          <w:rFonts w:ascii="Palatino Linotype" w:eastAsia="Palatino Linotype" w:hAnsi="Palatino Linotype" w:cs="Palatino Linotype"/>
        </w:rPr>
        <w:t>notificado</w:t>
      </w:r>
      <w:r w:rsidR="002B3769">
        <w:rPr>
          <w:rFonts w:ascii="Palatino Linotype" w:eastAsia="Palatino Linotype" w:hAnsi="Palatino Linotype" w:cs="Palatino Linotype"/>
          <w:color w:val="000000"/>
        </w:rPr>
        <w:t xml:space="preserve"> en fecha </w:t>
      </w:r>
      <w:r w:rsidR="002B3769">
        <w:rPr>
          <w:rFonts w:ascii="Palatino Linotype" w:eastAsia="Palatino Linotype" w:hAnsi="Palatino Linotype" w:cs="Palatino Linotype"/>
          <w:b/>
          <w:bCs/>
          <w:color w:val="000000"/>
        </w:rPr>
        <w:t>once de agosto de dos mil veinticinco</w:t>
      </w:r>
      <w:r w:rsidR="002B3769">
        <w:rPr>
          <w:rFonts w:ascii="Palatino Linotype" w:eastAsia="Palatino Linotype" w:hAnsi="Palatino Linotype" w:cs="Palatino Linotype"/>
          <w:color w:val="000000"/>
        </w:rPr>
        <w:t xml:space="preserve">, puso a disposición de las partes el expediente electrónico vía </w:t>
      </w:r>
      <w:r w:rsidR="002B3769">
        <w:rPr>
          <w:rFonts w:ascii="Palatino Linotype" w:eastAsia="Palatino Linotype" w:hAnsi="Palatino Linotype" w:cs="Palatino Linotype"/>
          <w:b/>
          <w:bCs/>
          <w:color w:val="000000"/>
        </w:rPr>
        <w:t xml:space="preserve">SAIMEX </w:t>
      </w:r>
      <w:r w:rsidR="002B3769">
        <w:rPr>
          <w:rFonts w:ascii="Palatino Linotype" w:eastAsia="Palatino Linotype" w:hAnsi="Palatino Linotype" w:cs="Palatino Linotype"/>
          <w:color w:val="000000"/>
        </w:rPr>
        <w:t xml:space="preserve">a efecto de que en un plazo máximo de siete días </w:t>
      </w:r>
      <w:r w:rsidR="002B3769">
        <w:rPr>
          <w:rFonts w:ascii="Palatino Linotype" w:eastAsia="Palatino Linotype" w:hAnsi="Palatino Linotype" w:cs="Palatino Linotype"/>
        </w:rPr>
        <w:t>manifestara</w:t>
      </w:r>
      <w:r w:rsidR="002B3769">
        <w:rPr>
          <w:rFonts w:ascii="Palatino Linotype" w:eastAsia="Palatino Linotype" w:hAnsi="Palatino Linotype" w:cs="Palatino Linotype"/>
          <w:color w:val="000000"/>
        </w:rPr>
        <w:t xml:space="preserve"> lo que a su derecho conviniera, </w:t>
      </w:r>
      <w:r w:rsidR="002B3769">
        <w:rPr>
          <w:rFonts w:ascii="Palatino Linotype" w:eastAsia="Palatino Linotype" w:hAnsi="Palatino Linotype" w:cs="Palatino Linotype"/>
        </w:rPr>
        <w:t>ofreciera</w:t>
      </w:r>
      <w:r w:rsidR="002B3769">
        <w:rPr>
          <w:rFonts w:ascii="Palatino Linotype" w:eastAsia="Palatino Linotype" w:hAnsi="Palatino Linotype" w:cs="Palatino Linotype"/>
          <w:color w:val="000000"/>
        </w:rPr>
        <w:t xml:space="preserve"> pruebas y alegatos según corresponda a los casos concretos, y el </w:t>
      </w:r>
      <w:r w:rsidR="002B3769">
        <w:rPr>
          <w:rFonts w:ascii="Palatino Linotype" w:eastAsia="Palatino Linotype" w:hAnsi="Palatino Linotype" w:cs="Palatino Linotype"/>
          <w:b/>
          <w:bCs/>
          <w:color w:val="000000"/>
        </w:rPr>
        <w:t>SUJETO OBLIGADO</w:t>
      </w:r>
      <w:r w:rsidR="002B3769">
        <w:rPr>
          <w:rFonts w:ascii="Palatino Linotype" w:eastAsia="Palatino Linotype" w:hAnsi="Palatino Linotype" w:cs="Palatino Linotype"/>
          <w:color w:val="000000"/>
        </w:rPr>
        <w:t xml:space="preserve"> presentará el Informe Justificado procedente.</w:t>
      </w:r>
    </w:p>
    <w:p w:rsidR="00C74F4C" w:rsidRDefault="00C74F4C">
      <w:pPr>
        <w:pStyle w:val="Ttulo1"/>
        <w:tabs>
          <w:tab w:val="left" w:pos="567"/>
        </w:tabs>
        <w:spacing w:before="0" w:line="360" w:lineRule="auto"/>
        <w:jc w:val="center"/>
      </w:pPr>
    </w:p>
    <w:p w:rsidR="00C74F4C" w:rsidRDefault="002B37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5" w:name="_heading=h.2et92p0" w:colFirst="0" w:colLast="0"/>
      <w:bookmarkEnd w:id="5"/>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no </w:t>
      </w:r>
      <w:r>
        <w:rPr>
          <w:rFonts w:ascii="Palatino Linotype" w:eastAsia="Palatino Linotype" w:hAnsi="Palatino Linotype" w:cs="Palatino Linotype"/>
        </w:rPr>
        <w:t>realizó</w:t>
      </w:r>
      <w:r>
        <w:rPr>
          <w:rFonts w:ascii="Palatino Linotype" w:eastAsia="Palatino Linotype" w:hAnsi="Palatino Linotype" w:cs="Palatino Linotype"/>
          <w:color w:val="000000"/>
        </w:rPr>
        <w:t xml:space="preserve"> manifestaciones conforme a su derecho conviniera y/o asistiera. </w:t>
      </w:r>
    </w:p>
    <w:p w:rsidR="00C74F4C" w:rsidRDefault="00C74F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74F4C" w:rsidRDefault="002B37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SUJETO OBLIGADO</w:t>
      </w:r>
      <w:r>
        <w:rPr>
          <w:rFonts w:ascii="Palatino Linotype" w:eastAsia="Palatino Linotype" w:hAnsi="Palatino Linotype" w:cs="Palatino Linotype"/>
          <w:color w:val="000000"/>
        </w:rPr>
        <w:t>, rindió el Informe Justificado a través de los archivos siguientes:</w:t>
      </w:r>
    </w:p>
    <w:p w:rsidR="00C74F4C" w:rsidRDefault="002B376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MANIF RR9323.pdf: </w:t>
      </w:r>
      <w:r>
        <w:rPr>
          <w:rFonts w:ascii="Palatino Linotype" w:eastAsia="Palatino Linotype" w:hAnsi="Palatino Linotype" w:cs="Palatino Linotype"/>
          <w:color w:val="000000"/>
        </w:rPr>
        <w:t xml:space="preserve">Oficio firmado por el Subdirector de Recursos Materiales y Servicios Generales por el que </w:t>
      </w:r>
      <w:r>
        <w:rPr>
          <w:rFonts w:ascii="Palatino Linotype" w:eastAsia="Palatino Linotype" w:hAnsi="Palatino Linotype" w:cs="Palatino Linotype"/>
        </w:rPr>
        <w:t>informó</w:t>
      </w:r>
      <w:r>
        <w:rPr>
          <w:rFonts w:ascii="Palatino Linotype" w:eastAsia="Palatino Linotype" w:hAnsi="Palatino Linotype" w:cs="Palatino Linotype"/>
          <w:color w:val="000000"/>
        </w:rPr>
        <w:t xml:space="preserve"> que en atención a los motivos de inconformidad, remite lo siguiente:</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cumplimiento de las disposiciones previstas en la Ley de Transparencia y Acceso a la Información Pública del estado de México y Municipios, y tras realizar un análisis cualitativo y exhaustivo de los datos entregados inicialmente, se envía lo siguiente en formato Excel: </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De la solicitud inicial: </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1. Clave completa del cuadro básico del producto </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2. Mes de compra </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3. Proveedor que </w:t>
      </w:r>
      <w:r>
        <w:rPr>
          <w:rFonts w:ascii="Palatino Linotype" w:eastAsia="Palatino Linotype" w:hAnsi="Palatino Linotype" w:cs="Palatino Linotype"/>
          <w:i/>
          <w:iCs/>
        </w:rPr>
        <w:t>entregó</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 4. Descripción completa y clara del producto</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5. Marca o fabricante </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6. Número de piezas adquiridas </w:t>
      </w:r>
    </w:p>
    <w:p w:rsidR="00C74F4C" w:rsidRDefault="002B3769">
      <w:pPr>
        <w:pBdr>
          <w:top w:val="nil"/>
          <w:left w:val="nil"/>
          <w:bottom w:val="nil"/>
          <w:right w:val="nil"/>
          <w:between w:val="nil"/>
        </w:pBdr>
        <w:spacing w:line="360" w:lineRule="auto"/>
        <w:ind w:left="709" w:right="85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7. Precio Unitario e importe de cada uno de los registros</w:t>
      </w:r>
    </w:p>
    <w:p w:rsidR="00C74F4C" w:rsidRDefault="00C74F4C">
      <w:pPr>
        <w:pBdr>
          <w:top w:val="nil"/>
          <w:left w:val="nil"/>
          <w:bottom w:val="nil"/>
          <w:right w:val="nil"/>
          <w:between w:val="nil"/>
        </w:pBdr>
        <w:spacing w:line="360" w:lineRule="auto"/>
        <w:ind w:left="720"/>
        <w:jc w:val="both"/>
        <w:rPr>
          <w:rFonts w:ascii="Palatino Linotype" w:eastAsia="Palatino Linotype" w:hAnsi="Palatino Linotype" w:cs="Palatino Linotype"/>
          <w:b/>
          <w:bCs/>
          <w:i/>
          <w:iCs/>
          <w:color w:val="000000"/>
        </w:rPr>
      </w:pPr>
    </w:p>
    <w:p w:rsidR="00C74F4C" w:rsidRDefault="002B3769">
      <w:pPr>
        <w:numPr>
          <w:ilvl w:val="0"/>
          <w:numId w:val="7"/>
        </w:numPr>
        <w:pBdr>
          <w:top w:val="nil"/>
          <w:left w:val="nil"/>
          <w:bottom w:val="nil"/>
          <w:right w:val="nil"/>
          <w:between w:val="nil"/>
        </w:pBdr>
        <w:spacing w:line="360" w:lineRule="auto"/>
        <w:ind w:right="70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SAIMEX 00122-2025.xlsx: </w:t>
      </w:r>
      <w:r>
        <w:rPr>
          <w:rFonts w:ascii="Palatino Linotype" w:eastAsia="Palatino Linotype" w:hAnsi="Palatino Linotype" w:cs="Palatino Linotype"/>
          <w:color w:val="000000"/>
        </w:rPr>
        <w:t xml:space="preserve">Archivo en formato </w:t>
      </w:r>
      <w:r w:rsidR="00892E1F">
        <w:rPr>
          <w:rFonts w:ascii="Palatino Linotype" w:eastAsia="Palatino Linotype" w:hAnsi="Palatino Linotype" w:cs="Palatino Linotype"/>
          <w:color w:val="000000"/>
        </w:rPr>
        <w:t>Excel</w:t>
      </w:r>
      <w:r>
        <w:rPr>
          <w:rFonts w:ascii="Palatino Linotype" w:eastAsia="Palatino Linotype" w:hAnsi="Palatino Linotype" w:cs="Palatino Linotype"/>
          <w:color w:val="000000"/>
        </w:rPr>
        <w:t>, con una hoja denominada “</w:t>
      </w:r>
      <w:r>
        <w:rPr>
          <w:rFonts w:ascii="Palatino Linotype" w:eastAsia="Palatino Linotype" w:hAnsi="Palatino Linotype" w:cs="Palatino Linotype"/>
          <w:i/>
          <w:iCs/>
          <w:color w:val="000000"/>
        </w:rPr>
        <w:t xml:space="preserve">ENTRADAS” </w:t>
      </w:r>
      <w:r>
        <w:rPr>
          <w:rFonts w:ascii="Palatino Linotype" w:eastAsia="Palatino Linotype" w:hAnsi="Palatino Linotype" w:cs="Palatino Linotype"/>
          <w:color w:val="000000"/>
        </w:rPr>
        <w:t>con las características referidas en el archivo anterior.</w:t>
      </w:r>
    </w:p>
    <w:p w:rsidR="00C74F4C" w:rsidRDefault="00C74F4C">
      <w:pPr>
        <w:pBdr>
          <w:top w:val="nil"/>
          <w:left w:val="nil"/>
          <w:bottom w:val="nil"/>
          <w:right w:val="nil"/>
          <w:between w:val="nil"/>
        </w:pBdr>
        <w:spacing w:line="360" w:lineRule="auto"/>
        <w:ind w:left="720" w:right="709"/>
        <w:jc w:val="both"/>
        <w:rPr>
          <w:rFonts w:ascii="Palatino Linotype" w:eastAsia="Palatino Linotype" w:hAnsi="Palatino Linotype" w:cs="Palatino Linotype"/>
          <w:b/>
          <w:bCs/>
          <w:i/>
          <w:iCs/>
          <w:color w:val="000000"/>
        </w:rPr>
      </w:pPr>
    </w:p>
    <w:p w:rsidR="00C74F4C" w:rsidRDefault="002B37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 xml:space="preserve">veintisiete de enero de dos mil veintiséis, </w:t>
      </w:r>
      <w:r>
        <w:rPr>
          <w:rFonts w:ascii="Palatino Linotype" w:eastAsia="Palatino Linotype" w:hAnsi="Palatino Linotype" w:cs="Palatino Linotype"/>
        </w:rPr>
        <w:t>se notificó el acuerdo por el que se amplió el plazo para resolver el recurso de revisión que nos ocupa.</w:t>
      </w:r>
    </w:p>
    <w:p w:rsidR="00C74F4C" w:rsidRDefault="00C74F4C"/>
    <w:p w:rsidR="00C74F4C" w:rsidRDefault="00C74F4C"/>
    <w:p w:rsidR="00C74F4C" w:rsidRDefault="002B37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Finalmente, </w:t>
      </w:r>
      <w:r w:rsidR="00B90BB1">
        <w:rPr>
          <w:rFonts w:ascii="Palatino Linotype" w:eastAsia="Palatino Linotype" w:hAnsi="Palatino Linotype" w:cs="Palatino Linotype"/>
          <w:color w:val="000000"/>
        </w:rPr>
        <w:t xml:space="preserve">en </w:t>
      </w:r>
      <w:r>
        <w:rPr>
          <w:rFonts w:ascii="Palatino Linotype" w:eastAsia="Palatino Linotype" w:hAnsi="Palatino Linotype" w:cs="Palatino Linotype"/>
          <w:color w:val="000000"/>
        </w:rPr>
        <w:t>acuerdo de</w:t>
      </w:r>
      <w:r w:rsidR="00B90BB1">
        <w:rPr>
          <w:rFonts w:ascii="Palatino Linotype" w:eastAsia="Palatino Linotype" w:hAnsi="Palatino Linotype" w:cs="Palatino Linotype"/>
          <w:color w:val="000000"/>
        </w:rPr>
        <w:t xml:space="preserve"> fecha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tres de febrero de dos mil veintiséis</w:t>
      </w:r>
      <w:r>
        <w:rPr>
          <w:rFonts w:ascii="Palatino Linotype" w:eastAsia="Palatino Linotype" w:hAnsi="Palatino Linotype" w:cs="Palatino Linotype"/>
          <w:color w:val="000000"/>
        </w:rPr>
        <w:t>, se  decretó el cierre de instrucción, por lo que no habiendo más que hacer constar, y</w:t>
      </w:r>
    </w:p>
    <w:p w:rsidR="00C74F4C" w:rsidRDefault="00C74F4C">
      <w:pPr>
        <w:pBdr>
          <w:top w:val="nil"/>
          <w:left w:val="nil"/>
          <w:bottom w:val="nil"/>
          <w:right w:val="nil"/>
          <w:between w:val="nil"/>
        </w:pBdr>
        <w:ind w:left="720"/>
        <w:rPr>
          <w:rFonts w:ascii="Palatino Linotype" w:eastAsia="Palatino Linotype" w:hAnsi="Palatino Linotype" w:cs="Palatino Linotype"/>
          <w:b/>
          <w:bCs/>
          <w:color w:val="000000"/>
        </w:rPr>
      </w:pPr>
    </w:p>
    <w:p w:rsidR="00C74F4C" w:rsidRDefault="002B3769">
      <w:pPr>
        <w:pStyle w:val="Ttulo1"/>
        <w:tabs>
          <w:tab w:val="left" w:pos="567"/>
        </w:tabs>
        <w:spacing w:before="0" w:line="360" w:lineRule="auto"/>
        <w:jc w:val="center"/>
      </w:pPr>
      <w:bookmarkStart w:id="6" w:name="_heading=h.tyjcwt" w:colFirst="0" w:colLast="0"/>
      <w:bookmarkEnd w:id="6"/>
      <w:r>
        <w:t>C O N S I D E R A N D O</w:t>
      </w:r>
    </w:p>
    <w:p w:rsidR="00C74F4C" w:rsidRDefault="00C74F4C">
      <w:pPr>
        <w:spacing w:line="360" w:lineRule="auto"/>
        <w:rPr>
          <w:rFonts w:ascii="Palatino Linotype" w:eastAsia="Palatino Linotype" w:hAnsi="Palatino Linotype" w:cs="Palatino Linotype"/>
        </w:rPr>
      </w:pPr>
    </w:p>
    <w:p w:rsidR="00C74F4C" w:rsidRDefault="002B3769">
      <w:pPr>
        <w:pStyle w:val="Ttulo1"/>
        <w:tabs>
          <w:tab w:val="left" w:pos="567"/>
        </w:tabs>
        <w:spacing w:before="0" w:line="360" w:lineRule="auto"/>
      </w:pPr>
      <w:bookmarkStart w:id="7" w:name="_heading=h.3dy6vkm" w:colFirst="0" w:colLast="0"/>
      <w:bookmarkEnd w:id="7"/>
      <w:r>
        <w:t>PRIMERO. De la competencia</w:t>
      </w:r>
    </w:p>
    <w:p w:rsidR="00C74F4C" w:rsidRDefault="002B3769">
      <w:pPr>
        <w:numPr>
          <w:ilvl w:val="0"/>
          <w:numId w:val="1"/>
        </w:numP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w:t>
      </w:r>
      <w:r>
        <w:rPr>
          <w:rFonts w:ascii="Palatino Linotype" w:eastAsia="Palatino Linotype" w:hAnsi="Palatino Linotype" w:cs="Palatino Linotype"/>
          <w:color w:val="000000"/>
        </w:rPr>
        <w:lastRenderedPageBreak/>
        <w:t>Municipios; y 7, 9 fracciones I y XXIV, y 11 del Reglamento Interior del Instituto de Transparencia, Acceso a la Información Pública y Protección de Datos Personales del Estado de México y Municipios.</w:t>
      </w:r>
    </w:p>
    <w:p w:rsidR="00C74F4C" w:rsidRDefault="00C74F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74F4C" w:rsidRDefault="002B3769">
      <w:pPr>
        <w:pStyle w:val="Ttulo1"/>
        <w:tabs>
          <w:tab w:val="left" w:pos="567"/>
        </w:tabs>
        <w:spacing w:before="0" w:line="360" w:lineRule="auto"/>
      </w:pPr>
      <w:bookmarkStart w:id="8" w:name="_heading=h.1t3h5sf" w:colFirst="0" w:colLast="0"/>
      <w:bookmarkEnd w:id="8"/>
      <w:r>
        <w:t>SEGUNDO. De la oportunidad y procedencia.</w:t>
      </w:r>
    </w:p>
    <w:p w:rsidR="00C74F4C" w:rsidRDefault="002B3769">
      <w:pPr>
        <w:numPr>
          <w:ilvl w:val="0"/>
          <w:numId w:val="1"/>
        </w:numP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entregó su respuesta el </w:t>
      </w:r>
      <w:r>
        <w:rPr>
          <w:rFonts w:ascii="Palatino Linotype" w:eastAsia="Palatino Linotype" w:hAnsi="Palatino Linotype" w:cs="Palatino Linotype"/>
          <w:b/>
          <w:bCs/>
          <w:color w:val="000000"/>
        </w:rPr>
        <w:t xml:space="preserve">cinco de agosto de dos mil veinticinco,                                                                                                                                                                                                                                                                                                                                                                     </w:t>
      </w:r>
      <w:r>
        <w:rPr>
          <w:rFonts w:ascii="Palatino Linotype" w:eastAsia="Palatino Linotype" w:hAnsi="Palatino Linotype" w:cs="Palatino Linotype"/>
          <w:color w:val="000000"/>
        </w:rPr>
        <w:t xml:space="preserve">de tal forma que el plazo para interponer el recurso de revisión transcurrió del </w:t>
      </w:r>
      <w:r>
        <w:rPr>
          <w:rFonts w:ascii="Palatino Linotype" w:eastAsia="Palatino Linotype" w:hAnsi="Palatino Linotype" w:cs="Palatino Linotype"/>
          <w:b/>
          <w:bCs/>
          <w:color w:val="000000"/>
        </w:rPr>
        <w:t>seis al seis al veintiséis de agosto al  de dos mil veinticinco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presentó su inconformidad el </w:t>
      </w:r>
      <w:r>
        <w:rPr>
          <w:rFonts w:ascii="Palatino Linotype" w:eastAsia="Palatino Linotype" w:hAnsi="Palatino Linotype" w:cs="Palatino Linotype"/>
          <w:b/>
          <w:bCs/>
          <w:color w:val="000000"/>
        </w:rPr>
        <w:t>siete de agosto de dos mil veinticinco</w:t>
      </w:r>
      <w:r>
        <w:rPr>
          <w:rFonts w:ascii="Palatino Linotype" w:eastAsia="Palatino Linotype" w:hAnsi="Palatino Linotype" w:cs="Palatino Linotype"/>
          <w:color w:val="000000"/>
        </w:rPr>
        <w:t>; por lo que se estima que la inconformidad se presentó dentro del lapso legalmente establecido para tal efecto.</w:t>
      </w:r>
    </w:p>
    <w:p w:rsidR="00C74F4C" w:rsidRDefault="00C74F4C">
      <w:pPr>
        <w:spacing w:line="360" w:lineRule="auto"/>
        <w:ind w:right="48"/>
        <w:jc w:val="both"/>
        <w:rPr>
          <w:rFonts w:ascii="Palatino Linotype" w:eastAsia="Palatino Linotype" w:hAnsi="Palatino Linotype" w:cs="Palatino Linotype"/>
          <w:color w:val="000000"/>
        </w:rPr>
      </w:pPr>
    </w:p>
    <w:p w:rsidR="00C74F4C" w:rsidRDefault="002B3769">
      <w:pPr>
        <w:spacing w:line="360" w:lineRule="auto"/>
        <w:ind w:right="4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TERCERO. De las causales de sobreseimiento</w:t>
      </w: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las causas de sobreseimiento contenidas en la fracción III del artículo 192 de la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rPr>
        <w:t xml:space="preserve">, es oportuno señalar que estos requisitos privilegian la existencia de elementos de fondo, tales como el desistimiento o fallecimiento del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o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bCs/>
          <w:u w:val="single"/>
        </w:rPr>
        <w:t>modifique o revoque el acto</w:t>
      </w:r>
      <w:r>
        <w:rPr>
          <w:rFonts w:ascii="Palatino Linotype" w:eastAsia="Palatino Linotype" w:hAnsi="Palatino Linotype" w:cs="Palatino Linotype"/>
        </w:rPr>
        <w:t>; de ahí que la actualización de alguno de éstos trae como consecuencia que el medio de impugnación se concluya sin que se analice el objeto de estudio planteado, es decir se sobresea.</w:t>
      </w:r>
    </w:p>
    <w:p w:rsidR="00C74F4C" w:rsidRDefault="00C74F4C">
      <w:pPr>
        <w:spacing w:line="360" w:lineRule="auto"/>
        <w:ind w:right="-518"/>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Para los efectos de esta resolución, es oportuno precisar los alcances jurídicos de la fracción III de la disposición legal transcrita. Así, procede el sobreseimiento del recurso de revisión cuando el </w:t>
      </w:r>
      <w:r>
        <w:rPr>
          <w:rFonts w:ascii="Palatino Linotype" w:eastAsia="Palatino Linotype" w:hAnsi="Palatino Linotype" w:cs="Palatino Linotype"/>
          <w:b/>
          <w:bCs/>
        </w:rPr>
        <w:t>SUJETO OBLIGADO</w:t>
      </w:r>
      <w:r>
        <w:rPr>
          <w:rFonts w:ascii="Palatino Linotype" w:eastAsia="Palatino Linotype" w:hAnsi="Palatino Linotype" w:cs="Palatino Linotype"/>
        </w:rPr>
        <w:t>:</w:t>
      </w:r>
    </w:p>
    <w:p w:rsidR="00C74F4C" w:rsidRDefault="002B3769">
      <w:pPr>
        <w:numPr>
          <w:ilvl w:val="0"/>
          <w:numId w:val="3"/>
        </w:numPr>
        <w:spacing w:line="360" w:lineRule="auto"/>
        <w:ind w:left="567" w:right="474"/>
        <w:jc w:val="both"/>
        <w:rPr>
          <w:rFonts w:ascii="Palatino Linotype" w:eastAsia="Palatino Linotype" w:hAnsi="Palatino Linotype" w:cs="Palatino Linotype"/>
        </w:rPr>
      </w:pPr>
      <w:r>
        <w:rPr>
          <w:rFonts w:ascii="Palatino Linotype" w:eastAsia="Palatino Linotype" w:hAnsi="Palatino Linotype" w:cs="Palatino Linotype"/>
          <w:b/>
          <w:bCs/>
        </w:rPr>
        <w:t>Modifique el acto impugnado:</w:t>
      </w:r>
      <w:r>
        <w:rPr>
          <w:rFonts w:ascii="Palatino Linotype" w:eastAsia="Palatino Linotype" w:hAnsi="Palatino Linotype" w:cs="Palatino Linotype"/>
        </w:rPr>
        <w:t xml:space="preserve"> Se actualiza cuando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después de haber otorgado una respuesta y hasta antes de dictada la resolución del recurso de revisión, emite una diversa en la que subsane las deficiencias que hubiera tenido.</w:t>
      </w:r>
    </w:p>
    <w:p w:rsidR="00C74F4C" w:rsidRDefault="002B3769">
      <w:pPr>
        <w:numPr>
          <w:ilvl w:val="0"/>
          <w:numId w:val="3"/>
        </w:numPr>
        <w:spacing w:line="360" w:lineRule="auto"/>
        <w:ind w:left="567" w:right="474"/>
        <w:jc w:val="both"/>
        <w:rPr>
          <w:rFonts w:ascii="Palatino Linotype" w:eastAsia="Palatino Linotype" w:hAnsi="Palatino Linotype" w:cs="Palatino Linotype"/>
        </w:rPr>
      </w:pPr>
      <w:r>
        <w:rPr>
          <w:rFonts w:ascii="Palatino Linotype" w:eastAsia="Palatino Linotype" w:hAnsi="Palatino Linotype" w:cs="Palatino Linotype"/>
          <w:b/>
          <w:bCs/>
        </w:rPr>
        <w:t>Revoque el acto impugnado:</w:t>
      </w:r>
      <w:r>
        <w:rPr>
          <w:rFonts w:ascii="Palatino Linotype" w:eastAsia="Palatino Linotype" w:hAnsi="Palatino Linotype" w:cs="Palatino Linotype"/>
        </w:rPr>
        <w:t xml:space="preserve"> En este supuesto,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deja sin efectos la primera respuesta y en su lugar emite otra que satisfaga lo solicitado por el particular en un primer momento.</w:t>
      </w:r>
    </w:p>
    <w:p w:rsidR="00C74F4C" w:rsidRDefault="00C74F4C">
      <w:pPr>
        <w:spacing w:line="360" w:lineRule="auto"/>
        <w:ind w:right="-518"/>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previo al estudio de fondo, respecto la fuente obligacional, resulta necesario referir que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asume que genera, posee y/o administra la información solicitada, ya que la pone a disposición del ahora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 xml:space="preserve">por lo que se considera innecesario realizar el estudio correspondiente. </w:t>
      </w:r>
    </w:p>
    <w:p w:rsidR="00C74F4C" w:rsidRDefault="00C74F4C">
      <w:pPr>
        <w:spacing w:line="360" w:lineRule="auto"/>
        <w:ind w:right="48"/>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rPr>
      </w:pPr>
      <w:bookmarkStart w:id="9" w:name="_heading=h.y4gcdlqxy2x" w:colFirst="0" w:colLast="0"/>
      <w:bookmarkEnd w:id="9"/>
      <w:r>
        <w:rPr>
          <w:rFonts w:ascii="Palatino Linotype" w:eastAsia="Palatino Linotype" w:hAnsi="Palatino Linotype" w:cs="Palatino Linotype"/>
          <w:color w:val="000000"/>
        </w:rPr>
        <w:t>En ese tenor</w:t>
      </w:r>
      <w:r>
        <w:rPr>
          <w:rFonts w:ascii="Palatino Linotype" w:eastAsia="Palatino Linotype" w:hAnsi="Palatino Linotype" w:cs="Palatino Linotype"/>
        </w:rPr>
        <w:t xml:space="preserve">, se reitera que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solicito lo siguiente:</w:t>
      </w:r>
    </w:p>
    <w:p w:rsidR="00C74F4C" w:rsidRDefault="002B3769">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 xml:space="preserve">Del mes de junio de dos mil veinticinco, de todas las </w:t>
      </w:r>
      <w:r>
        <w:rPr>
          <w:rFonts w:ascii="Palatino Linotype" w:eastAsia="Palatino Linotype" w:hAnsi="Palatino Linotype" w:cs="Palatino Linotype"/>
          <w:b/>
          <w:bCs/>
        </w:rPr>
        <w:t>entradas, compras o adquisiciones</w:t>
      </w:r>
      <w:r>
        <w:rPr>
          <w:rFonts w:ascii="Palatino Linotype" w:eastAsia="Palatino Linotype" w:hAnsi="Palatino Linotype" w:cs="Palatino Linotype"/>
        </w:rPr>
        <w:t xml:space="preserve"> de todos los productos auxiliares para la salud (PAPS) los cuales están conformados dentro del Compendio Nacional de Insumos para la Salud (CNIS) por: material de curación, auxiliares de diagnóstico, instrumental y equipo médico, osteosíntesis, endoprótesis y ayudas funcionales, insumos para la salud, material radiológico y material de laboratorio, en el Hospital Regional de Alta Especialidad de Zumpango, que incluya:</w:t>
      </w:r>
    </w:p>
    <w:p w:rsidR="00C74F4C" w:rsidRDefault="00C74F4C">
      <w:pPr>
        <w:spacing w:line="360" w:lineRule="auto"/>
        <w:ind w:left="1701" w:right="48"/>
        <w:jc w:val="both"/>
        <w:rPr>
          <w:rFonts w:ascii="Palatino Linotype" w:eastAsia="Palatino Linotype" w:hAnsi="Palatino Linotype" w:cs="Palatino Linotype"/>
        </w:rPr>
      </w:pP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clave completa del cuadro básico del producto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Mes de compra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Tipo de evento (licitación, adjudicación directa o invitación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Número del tipo de evento Número de factura o contrato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Proveedor que entregó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Descripción completa y clara del producto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Marca o fabricante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Número de piezas Adquiridas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Precio Unitario e importe total por cada registro adquirido </w:t>
      </w:r>
    </w:p>
    <w:p w:rsidR="00C74F4C" w:rsidRDefault="002B3769">
      <w:pPr>
        <w:numPr>
          <w:ilvl w:val="0"/>
          <w:numId w:val="7"/>
        </w:numPr>
        <w:pBdr>
          <w:top w:val="nil"/>
          <w:left w:val="nil"/>
          <w:bottom w:val="nil"/>
          <w:right w:val="nil"/>
          <w:between w:val="nil"/>
        </w:pBdr>
        <w:ind w:left="1701" w:right="4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Especificar el registro en que hospital se entrega </w:t>
      </w:r>
    </w:p>
    <w:p w:rsidR="00C74F4C" w:rsidRDefault="00C74F4C">
      <w:pPr>
        <w:spacing w:line="276" w:lineRule="auto"/>
        <w:ind w:right="539"/>
        <w:jc w:val="both"/>
        <w:rPr>
          <w:rFonts w:ascii="Palatino Linotype" w:eastAsia="Palatino Linotype" w:hAnsi="Palatino Linotype" w:cs="Palatino Linotype"/>
          <w:i/>
          <w:iCs/>
        </w:rPr>
      </w:pPr>
    </w:p>
    <w:p w:rsidR="00C74F4C" w:rsidRDefault="002B3769">
      <w:pPr>
        <w:numPr>
          <w:ilvl w:val="0"/>
          <w:numId w:val="1"/>
        </w:numPr>
        <w:spacing w:line="360" w:lineRule="auto"/>
        <w:ind w:right="48"/>
        <w:jc w:val="both"/>
        <w:rPr>
          <w:rFonts w:ascii="Palatino Linotype" w:eastAsia="Palatino Linotype" w:hAnsi="Palatino Linotype" w:cs="Palatino Linotype"/>
          <w:b/>
          <w:bCs/>
          <w:i/>
          <w:iCs/>
        </w:rPr>
      </w:pPr>
      <w:r>
        <w:rPr>
          <w:rFonts w:ascii="Palatino Linotype" w:eastAsia="Palatino Linotype" w:hAnsi="Palatino Linotype" w:cs="Palatino Linotype"/>
        </w:rPr>
        <w:t xml:space="preserve">En respuesta, el Subdirector de Recursos Materiales y Servicios Generales, remitió un listado en formato Excel, con la información solicitada del mes de junio de dos mil veinticinco, que incluye la clave, descripción, fecha de ingreso y existencia. </w:t>
      </w:r>
    </w:p>
    <w:p w:rsidR="00C74F4C" w:rsidRDefault="00C74F4C">
      <w:pPr>
        <w:spacing w:line="360" w:lineRule="auto"/>
        <w:ind w:right="48"/>
        <w:jc w:val="both"/>
        <w:rPr>
          <w:rFonts w:ascii="Palatino Linotype" w:eastAsia="Palatino Linotype" w:hAnsi="Palatino Linotype" w:cs="Palatino Linotype"/>
          <w:b/>
          <w:bCs/>
          <w:i/>
          <w:iCs/>
        </w:rPr>
      </w:pPr>
    </w:p>
    <w:p w:rsidR="00C74F4C" w:rsidRDefault="002B3769">
      <w:pPr>
        <w:numPr>
          <w:ilvl w:val="0"/>
          <w:numId w:val="1"/>
        </w:numPr>
        <w:spacing w:line="360" w:lineRule="auto"/>
        <w:ind w:right="48"/>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Posteriormente, en la etapa de manifestaciones, a través del Informe Justificado, informo que tras realizar un análisis cualitativo y exhaustivo de los datos entregados inicialmente, se agregan los precios, proveedores y mes de adquisición, remitiendo un archivo en formato Excel más amplio, con las especificaciones siguientes: </w:t>
      </w: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De la solicitud inicial: </w:t>
      </w:r>
    </w:p>
    <w:p w:rsidR="00C74F4C" w:rsidRDefault="00C74F4C">
      <w:pPr>
        <w:ind w:left="1276" w:right="48"/>
        <w:rPr>
          <w:rFonts w:ascii="Palatino Linotype" w:eastAsia="Palatino Linotype" w:hAnsi="Palatino Linotype" w:cs="Palatino Linotype"/>
          <w:i/>
          <w:iCs/>
          <w:color w:val="000000"/>
        </w:rPr>
      </w:pP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1. Clave completa del cuadro básico del producto </w:t>
      </w: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2. Mes de compra </w:t>
      </w: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3. Proveedor que entrego</w:t>
      </w: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4. Descripción completa y clara del producto</w:t>
      </w: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5. Marca o fabricante</w:t>
      </w: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6. Número de piezas adquiridas </w:t>
      </w:r>
    </w:p>
    <w:p w:rsidR="00C74F4C" w:rsidRDefault="002B3769">
      <w:pPr>
        <w:ind w:left="1276" w:right="48"/>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7. Precio Unitario e importe de cada uno de los registros</w:t>
      </w: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orden de ideas, respecto los motivos de inconformidad, de advierte que el </w:t>
      </w:r>
      <w:r>
        <w:rPr>
          <w:rFonts w:ascii="Palatino Linotype" w:eastAsia="Palatino Linotype" w:hAnsi="Palatino Linotype" w:cs="Palatino Linotype"/>
          <w:b/>
          <w:bCs/>
        </w:rPr>
        <w:t xml:space="preserve">PARTICULAR, </w:t>
      </w:r>
      <w:r>
        <w:rPr>
          <w:rFonts w:ascii="Palatino Linotype" w:eastAsia="Palatino Linotype" w:hAnsi="Palatino Linotype" w:cs="Palatino Linotype"/>
        </w:rPr>
        <w:t xml:space="preserve">arguyo que la información solicitada es errónea derivado de que el solicito </w:t>
      </w:r>
      <w:r>
        <w:rPr>
          <w:rFonts w:ascii="Palatino Linotype" w:eastAsia="Palatino Linotype" w:hAnsi="Palatino Linotype" w:cs="Palatino Linotype"/>
          <w:u w:val="single"/>
        </w:rPr>
        <w:t xml:space="preserve">“COMPRAS”, </w:t>
      </w:r>
      <w:r>
        <w:rPr>
          <w:rFonts w:ascii="Palatino Linotype" w:eastAsia="Palatino Linotype" w:hAnsi="Palatino Linotype" w:cs="Palatino Linotype"/>
        </w:rPr>
        <w:t xml:space="preserve">sin que se advierta inconformidad respecto del contenido de la información, por lo que el resto de la información proporcionada por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se tiene como actos consentidos, 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C74F4C" w:rsidRDefault="00C74F4C">
      <w:pPr>
        <w:spacing w:line="360" w:lineRule="auto"/>
        <w:ind w:right="48"/>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C74F4C" w:rsidRDefault="002B3769">
      <w:pPr>
        <w:tabs>
          <w:tab w:val="left" w:pos="851"/>
        </w:tabs>
        <w:spacing w:line="360" w:lineRule="auto"/>
        <w:ind w:left="502"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“ACTOS CONSENTIDOS. SON LOS QUE NO SE IMPUGNAN MEDIANTE EL RECURSO IDÓNEO. </w:t>
      </w:r>
      <w:r>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74F4C" w:rsidRDefault="00C74F4C">
      <w:pPr>
        <w:spacing w:line="360" w:lineRule="auto"/>
        <w:ind w:left="502"/>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del criterio antes citado, se advierte que cuando el particular impugnó la respuesta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está conforme con la respuesta proporcionada por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al no contravenir la misma. </w:t>
      </w: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lastRenderedPageBreak/>
        <w:t>Atento a ello, es importante traer a contexto la Tesis Jurisprudencial Número 3ª./J.7/91, Publicada en el Semanario Judicial de la Federación y su Gaceta bajo el número de registro 174,177, que establece lo siguiente:</w:t>
      </w:r>
    </w:p>
    <w:p w:rsidR="00C74F4C" w:rsidRDefault="002B3769">
      <w:pPr>
        <w:tabs>
          <w:tab w:val="left" w:pos="7937"/>
          <w:tab w:val="left" w:pos="8222"/>
        </w:tabs>
        <w:spacing w:line="360" w:lineRule="auto"/>
        <w:ind w:left="502"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“REVISIÓN EN AMPARO. LOS RESOLUTIVOS NO COMBATIDOS DEBEN DECLARARSE FIRMES. </w:t>
      </w:r>
      <w:r>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74F4C" w:rsidRDefault="00C74F4C">
      <w:pPr>
        <w:spacing w:line="360" w:lineRule="auto"/>
        <w:ind w:right="48"/>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resulta necesario señalar, a efecto de precisión que, el ahora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dentro de la solicitud de información que nos ocupa, solicito a la literalidad “</w:t>
      </w:r>
      <w:r>
        <w:rPr>
          <w:rFonts w:ascii="Palatino Linotype" w:eastAsia="Palatino Linotype" w:hAnsi="Palatino Linotype" w:cs="Palatino Linotype"/>
          <w:b/>
          <w:bCs/>
          <w:i/>
          <w:iCs/>
        </w:rPr>
        <w:t>ENTRADAS, COMPRAS o ADQUISICIONES</w:t>
      </w:r>
      <w:r>
        <w:rPr>
          <w:rFonts w:ascii="Palatino Linotype" w:eastAsia="Palatino Linotype" w:hAnsi="Palatino Linotype" w:cs="Palatino Linotype"/>
        </w:rPr>
        <w:t>”, es decir, cualquiera de las tres.</w:t>
      </w:r>
    </w:p>
    <w:p w:rsidR="00C74F4C" w:rsidRDefault="00C74F4C">
      <w:pPr>
        <w:spacing w:line="360" w:lineRule="auto"/>
        <w:ind w:right="48"/>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una vez analizada la información remitida en respuesta e informe justificado, este Órgano Resolutor, arriba a la conclusión de tener por colmada en su totalidad la solicitud de información que nos ocupa, pues si bien es cierto, dentro de los archivos </w:t>
      </w:r>
      <w:r w:rsidR="00892E1F">
        <w:rPr>
          <w:rFonts w:ascii="Palatino Linotype" w:eastAsia="Palatino Linotype" w:hAnsi="Palatino Linotype" w:cs="Palatino Linotype"/>
        </w:rPr>
        <w:t>Excel</w:t>
      </w:r>
      <w:r>
        <w:rPr>
          <w:rFonts w:ascii="Palatino Linotype" w:eastAsia="Palatino Linotype" w:hAnsi="Palatino Linotype" w:cs="Palatino Linotype"/>
        </w:rPr>
        <w:t xml:space="preserve"> se aprecia la leyenda “</w:t>
      </w:r>
      <w:r>
        <w:rPr>
          <w:rFonts w:ascii="Palatino Linotype" w:eastAsia="Palatino Linotype" w:hAnsi="Palatino Linotype" w:cs="Palatino Linotype"/>
          <w:i/>
          <w:iCs/>
        </w:rPr>
        <w:t xml:space="preserve">ENTRADAS” </w:t>
      </w:r>
      <w:r>
        <w:rPr>
          <w:rFonts w:ascii="Palatino Linotype" w:eastAsia="Palatino Linotype" w:hAnsi="Palatino Linotype" w:cs="Palatino Linotype"/>
        </w:rPr>
        <w:t>(como se muestra a continuación),</w:t>
      </w:r>
      <w:r>
        <w:rPr>
          <w:rFonts w:ascii="Palatino Linotype" w:eastAsia="Palatino Linotype" w:hAnsi="Palatino Linotype" w:cs="Palatino Linotype"/>
          <w:i/>
          <w:iCs/>
        </w:rPr>
        <w:t xml:space="preserve"> </w:t>
      </w:r>
      <w:r>
        <w:rPr>
          <w:rFonts w:ascii="Palatino Linotype" w:eastAsia="Palatino Linotype" w:hAnsi="Palatino Linotype" w:cs="Palatino Linotype"/>
        </w:rPr>
        <w:t xml:space="preserve">contrario a lo manifestado por el </w:t>
      </w:r>
      <w:r>
        <w:rPr>
          <w:rFonts w:ascii="Palatino Linotype" w:eastAsia="Palatino Linotype" w:hAnsi="Palatino Linotype" w:cs="Palatino Linotype"/>
          <w:b/>
          <w:bCs/>
        </w:rPr>
        <w:t xml:space="preserve">PARTICULAR, </w:t>
      </w:r>
      <w:r>
        <w:rPr>
          <w:rFonts w:ascii="Palatino Linotype" w:eastAsia="Palatino Linotype" w:hAnsi="Palatino Linotype" w:cs="Palatino Linotype"/>
        </w:rPr>
        <w:t xml:space="preserve">esta si corresponde a lo solicitado. </w:t>
      </w:r>
    </w:p>
    <w:p w:rsidR="00892E1F" w:rsidRDefault="00892E1F" w:rsidP="00892E1F">
      <w:pPr>
        <w:spacing w:line="360" w:lineRule="auto"/>
        <w:ind w:right="48"/>
        <w:jc w:val="both"/>
        <w:rPr>
          <w:rFonts w:ascii="Palatino Linotype" w:eastAsia="Palatino Linotype" w:hAnsi="Palatino Linotype" w:cs="Palatino Linotype"/>
        </w:rPr>
      </w:pPr>
    </w:p>
    <w:p w:rsidR="00C74F4C" w:rsidRDefault="002B3769">
      <w:pPr>
        <w:spacing w:line="360" w:lineRule="auto"/>
        <w:ind w:right="48"/>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2019582" cy="371527"/>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19582" cy="371527"/>
                    </a:xfrm>
                    <a:prstGeom prst="rect">
                      <a:avLst/>
                    </a:prstGeom>
                    <a:ln/>
                  </pic:spPr>
                </pic:pic>
              </a:graphicData>
            </a:graphic>
          </wp:inline>
        </w:drawing>
      </w: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Aunado a lo anterior, no se soslaya que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hizo entrega de la información solicitada al grado de desagregación ya referido, siendo esta la que obra en sus archivos y misma que –se insiste-  da cuenta de lo solicitado, resultando infundados los motivos de inconformidad hechos valer. </w:t>
      </w:r>
    </w:p>
    <w:p w:rsidR="00C74F4C" w:rsidRDefault="00C74F4C">
      <w:pPr>
        <w:spacing w:line="360" w:lineRule="auto"/>
        <w:ind w:right="48"/>
        <w:jc w:val="both"/>
        <w:rPr>
          <w:rFonts w:ascii="Palatino Linotype" w:eastAsia="Palatino Linotype" w:hAnsi="Palatino Linotype" w:cs="Palatino Linotype"/>
        </w:rPr>
      </w:pPr>
    </w:p>
    <w:p w:rsidR="00C74F4C" w:rsidRDefault="002B3769">
      <w:pPr>
        <w:numPr>
          <w:ilvl w:val="0"/>
          <w:numId w:val="1"/>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de lo anterior, se colige que la información remitida da cuenta de lo solicitado, resultando dable sobreseer el recurso de información que nos ocupa, ya que en un primer momento se proporcionó un archivo en formato Excel para posteriormente remitir otro con un grado de desagregación mayor, permitiendo observar información que no fue remitida en respuesta primigenia, teniendo como consecuencia la modificación de la misma. </w:t>
      </w:r>
    </w:p>
    <w:p w:rsidR="00C74F4C" w:rsidRDefault="00C74F4C">
      <w:pPr>
        <w:spacing w:line="360" w:lineRule="auto"/>
        <w:jc w:val="both"/>
        <w:rPr>
          <w:rFonts w:ascii="Palatino Linotype" w:eastAsia="Palatino Linotype" w:hAnsi="Palatino Linotype" w:cs="Palatino Linotype"/>
          <w:i/>
          <w:iCs/>
          <w:sz w:val="22"/>
          <w:szCs w:val="22"/>
        </w:rPr>
      </w:pPr>
    </w:p>
    <w:p w:rsidR="00C74F4C" w:rsidRDefault="002B3769">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la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C74F4C" w:rsidRDefault="002B3769">
      <w:pPr>
        <w:pBdr>
          <w:top w:val="nil"/>
          <w:left w:val="nil"/>
          <w:bottom w:val="nil"/>
          <w:right w:val="nil"/>
          <w:between w:val="nil"/>
        </w:pBdr>
        <w:spacing w:line="360" w:lineRule="auto"/>
        <w:ind w:left="644" w:right="902"/>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C74F4C" w:rsidRDefault="00C74F4C">
      <w:pPr>
        <w:spacing w:line="360" w:lineRule="auto"/>
        <w:ind w:right="902"/>
        <w:jc w:val="both"/>
        <w:rPr>
          <w:rFonts w:ascii="Palatino Linotype" w:eastAsia="Palatino Linotype" w:hAnsi="Palatino Linotype" w:cs="Palatino Linotype"/>
          <w:b/>
          <w:bCs/>
          <w:i/>
          <w:iCs/>
        </w:rPr>
      </w:pPr>
    </w:p>
    <w:p w:rsidR="00C74F4C" w:rsidRDefault="002B3769">
      <w:pPr>
        <w:numPr>
          <w:ilvl w:val="0"/>
          <w:numId w:val="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Numerales que compelen al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apegarse en todo momento a los criterios ya expuestos, </w:t>
      </w:r>
      <w:r w:rsidR="00892E1F">
        <w:rPr>
          <w:rFonts w:ascii="Palatino Linotype" w:eastAsia="Palatino Linotype" w:hAnsi="Palatino Linotype" w:cs="Palatino Linotype"/>
        </w:rPr>
        <w:t>impidiendo</w:t>
      </w:r>
      <w:r>
        <w:rPr>
          <w:rFonts w:ascii="Palatino Linotype" w:eastAsia="Palatino Linotype" w:hAnsi="Palatino Linotype" w:cs="Palatino Linotype"/>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C74F4C" w:rsidRDefault="00C74F4C">
      <w:pPr>
        <w:spacing w:line="360" w:lineRule="auto"/>
        <w:jc w:val="both"/>
        <w:rPr>
          <w:rFonts w:ascii="Palatino Linotype" w:eastAsia="Palatino Linotype" w:hAnsi="Palatino Linotype" w:cs="Palatino Linotype"/>
        </w:rPr>
      </w:pPr>
    </w:p>
    <w:p w:rsidR="00C74F4C" w:rsidRPr="00892E1F" w:rsidRDefault="002B3769" w:rsidP="00892E1F">
      <w:pPr>
        <w:pStyle w:val="Prrafodelista"/>
        <w:numPr>
          <w:ilvl w:val="0"/>
          <w:numId w:val="5"/>
        </w:numPr>
        <w:spacing w:line="360" w:lineRule="auto"/>
        <w:ind w:left="0" w:right="48" w:firstLine="0"/>
        <w:jc w:val="both"/>
        <w:rPr>
          <w:rFonts w:ascii="Palatino Linotype" w:eastAsia="Palatino Linotype" w:hAnsi="Palatino Linotype" w:cs="Palatino Linotype"/>
          <w:color w:val="000000"/>
        </w:rPr>
      </w:pPr>
      <w:r w:rsidRPr="00892E1F">
        <w:rPr>
          <w:rFonts w:ascii="Palatino Linotype" w:eastAsia="Palatino Linotype" w:hAnsi="Palatino Linotype" w:cs="Palatino Linotype"/>
        </w:rPr>
        <w:t xml:space="preserve">Es así que, </w:t>
      </w:r>
      <w:r w:rsidRPr="00892E1F">
        <w:rPr>
          <w:rFonts w:ascii="Palatino Linotype" w:eastAsia="Palatino Linotype" w:hAnsi="Palatino Linotype" w:cs="Palatino Linotype"/>
          <w:color w:val="000000"/>
        </w:rPr>
        <w:t>l</w:t>
      </w:r>
      <w:r w:rsidRPr="00892E1F">
        <w:rPr>
          <w:rFonts w:ascii="Palatino Linotype" w:eastAsia="Palatino Linotype" w:hAnsi="Palatino Linotype" w:cs="Palatino Linotype"/>
        </w:rPr>
        <w:t xml:space="preserve">as consecuencias jurídicas de esta modificación o revocación es que el </w:t>
      </w:r>
      <w:r w:rsidRPr="00892E1F">
        <w:rPr>
          <w:rFonts w:ascii="Palatino Linotype" w:eastAsia="Palatino Linotype" w:hAnsi="Palatino Linotype" w:cs="Palatino Linotype"/>
          <w:color w:val="000000"/>
        </w:rPr>
        <w:t>recurso</w:t>
      </w:r>
      <w:r w:rsidRPr="00892E1F">
        <w:rPr>
          <w:rFonts w:ascii="Palatino Linotype" w:eastAsia="Palatino Linotype" w:hAnsi="Palatino Linotype" w:cs="Palatino Linotype"/>
        </w:rPr>
        <w:t xml:space="preserve"> de revisión interpuesto quede sin efectos o sin materia, ya que un acto impugnado queda sin efectos, cuando aun existiendo jurídicamente, no genera consecuencia legal alguna; queda sin materia, cuando ha sido satisfecha la pretensión del particular, ya sea porque se hizo la entrega de la información solicitada o porque se completó la misma, como ocurrió en el caso que nos ocupa, al pronunciarse el Servidor Público Habilitado para tal efecto. </w:t>
      </w:r>
    </w:p>
    <w:p w:rsidR="00C74F4C" w:rsidRDefault="00C74F4C">
      <w:pPr>
        <w:spacing w:line="360" w:lineRule="auto"/>
        <w:ind w:right="48"/>
        <w:jc w:val="both"/>
        <w:rPr>
          <w:rFonts w:ascii="Palatino Linotype" w:eastAsia="Palatino Linotype" w:hAnsi="Palatino Linotype" w:cs="Palatino Linotype"/>
          <w:color w:val="000000"/>
        </w:rPr>
      </w:pP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este Pleno advierte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con la información enviada a través del informe de justificación, </w:t>
      </w:r>
      <w:r>
        <w:rPr>
          <w:rFonts w:ascii="Palatino Linotype" w:eastAsia="Palatino Linotype" w:hAnsi="Palatino Linotype" w:cs="Palatino Linotype"/>
          <w:b/>
          <w:bCs/>
        </w:rPr>
        <w:t>modifica</w:t>
      </w:r>
      <w:r>
        <w:rPr>
          <w:rFonts w:ascii="Palatino Linotype" w:eastAsia="Palatino Linotype" w:hAnsi="Palatino Linotype" w:cs="Palatino Linotype"/>
        </w:rPr>
        <w:t xml:space="preserve"> el acto que le dio origen al recurso de revisión, lo que trae como consecuencia que, el presente recurso quede sin materia, actualizándose de este modo, la hipótesis jurídica contenida en la fracción III del artículo 192 de la Ley de Transparencia y Acceso a la Información Pública del Estado de México y Municipios</w:t>
      </w:r>
    </w:p>
    <w:p w:rsidR="00C74F4C" w:rsidRDefault="00C74F4C">
      <w:pPr>
        <w:ind w:right="-518"/>
        <w:rPr>
          <w:rFonts w:ascii="Palatino Linotype" w:eastAsia="Palatino Linotype" w:hAnsi="Palatino Linotype" w:cs="Palatino Linotype"/>
        </w:rPr>
      </w:pP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Dicho lo anterior este Órgano Resolutor arriba a la conclusión que, con la información proporcionada al momento de rendir el Informe Justificado correspondiente, se modificó la respuesta primigenia, quedando colmada en su totalidad la solicitud</w:t>
      </w:r>
      <w:r>
        <w:rPr>
          <w:rFonts w:ascii="Palatino Linotype" w:eastAsia="Palatino Linotype" w:hAnsi="Palatino Linotype" w:cs="Palatino Linotype"/>
          <w:b/>
          <w:bCs/>
        </w:rPr>
        <w:t xml:space="preserve"> 00122/HRZUM/IP/2025.</w:t>
      </w:r>
    </w:p>
    <w:p w:rsidR="00C74F4C" w:rsidRDefault="00C74F4C">
      <w:pPr>
        <w:spacing w:line="360" w:lineRule="auto"/>
        <w:ind w:right="-518"/>
        <w:jc w:val="both"/>
        <w:rPr>
          <w:rFonts w:ascii="Palatino Linotype" w:eastAsia="Palatino Linotype" w:hAnsi="Palatino Linotype" w:cs="Palatino Linotype"/>
        </w:rPr>
      </w:pP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la ley prevé que cuando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Pr>
          <w:rFonts w:ascii="Palatino Linotype" w:eastAsia="Palatino Linotype" w:hAnsi="Palatino Linotype" w:cs="Palatino Linotype"/>
          <w:i/>
          <w:iCs/>
        </w:rPr>
        <w:t>Litis</w:t>
      </w:r>
      <w:r>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C74F4C" w:rsidRDefault="00C74F4C">
      <w:pPr>
        <w:spacing w:line="360" w:lineRule="auto"/>
        <w:ind w:left="720" w:right="-518"/>
        <w:rPr>
          <w:rFonts w:ascii="Palatino Linotype" w:eastAsia="Palatino Linotype" w:hAnsi="Palatino Linotype" w:cs="Palatino Linotype"/>
        </w:rPr>
      </w:pP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la siguiente jurisprudencia por contradicción, cuyo rubro, texto y datos de identificación son los siguientes:</w:t>
      </w:r>
    </w:p>
    <w:p w:rsidR="00C74F4C" w:rsidRDefault="002B3769">
      <w:pPr>
        <w:spacing w:line="276" w:lineRule="auto"/>
        <w:ind w:left="567" w:right="992"/>
        <w:jc w:val="both"/>
        <w:rPr>
          <w:rFonts w:ascii="Palatino Linotype" w:eastAsia="Palatino Linotype" w:hAnsi="Palatino Linotype" w:cs="Palatino Linotype"/>
          <w:i/>
          <w:iCs/>
        </w:rPr>
      </w:pPr>
      <w:r>
        <w:rPr>
          <w:rFonts w:ascii="Palatino Linotype" w:eastAsia="Palatino Linotype" w:hAnsi="Palatino Linotype" w:cs="Palatino Linotype"/>
          <w:b/>
          <w:bCs/>
          <w:i/>
          <w:iC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Pr>
          <w:rFonts w:ascii="Palatino Linotype" w:eastAsia="Palatino Linotype" w:hAnsi="Palatino Linotype" w:cs="Palatino Linotype"/>
          <w:i/>
          <w:iC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w:t>
      </w:r>
      <w:r>
        <w:rPr>
          <w:rFonts w:ascii="Palatino Linotype" w:eastAsia="Palatino Linotype" w:hAnsi="Palatino Linotype" w:cs="Palatino Linotype"/>
          <w:i/>
          <w:iCs/>
        </w:rPr>
        <w:lastRenderedPageBreak/>
        <w:t>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C74F4C" w:rsidRDefault="00C74F4C">
      <w:pPr>
        <w:spacing w:line="360" w:lineRule="auto"/>
        <w:ind w:left="708" w:right="-518"/>
        <w:jc w:val="both"/>
        <w:rPr>
          <w:rFonts w:ascii="Palatino Linotype" w:eastAsia="Palatino Linotype" w:hAnsi="Palatino Linotype" w:cs="Palatino Linotype"/>
          <w:i/>
          <w:iCs/>
        </w:rPr>
      </w:pPr>
    </w:p>
    <w:p w:rsidR="00C74F4C" w:rsidRDefault="002B3769" w:rsidP="00892E1F">
      <w:pPr>
        <w:numPr>
          <w:ilvl w:val="0"/>
          <w:numId w:val="5"/>
        </w:num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La anterior jurisprudencia resulta aplicable al presente asunto, en dos aspectos:</w:t>
      </w:r>
    </w:p>
    <w:p w:rsidR="00C74F4C" w:rsidRDefault="002B3769">
      <w:pPr>
        <w:numPr>
          <w:ilvl w:val="0"/>
          <w:numId w:val="4"/>
        </w:numPr>
        <w:spacing w:line="276" w:lineRule="auto"/>
        <w:ind w:left="709" w:right="616" w:hanging="283"/>
        <w:jc w:val="both"/>
        <w:rPr>
          <w:rFonts w:ascii="Palatino Linotype" w:eastAsia="Palatino Linotype" w:hAnsi="Palatino Linotype" w:cs="Palatino Linotype"/>
        </w:rPr>
      </w:pPr>
      <w:r>
        <w:rPr>
          <w:rFonts w:ascii="Palatino Linotype" w:eastAsia="Palatino Linotype" w:hAnsi="Palatino Linotype" w:cs="Palatino Linotype"/>
          <w:b/>
          <w:bCs/>
        </w:rPr>
        <w:t>La cesación de los efectos perniciosos del acto de autoridad:</w:t>
      </w:r>
      <w:r>
        <w:rPr>
          <w:rFonts w:ascii="Palatino Linotype" w:eastAsia="Palatino Linotype" w:hAnsi="Palatino Linotype" w:cs="Palatino Linotype"/>
        </w:rPr>
        <w:t xml:space="preserve"> Al respecto, la Ley de Transparencia contempla la figura jurídica del sobreseimiento cuando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w:t>
      </w:r>
      <w:r>
        <w:rPr>
          <w:rFonts w:ascii="Palatino Linotype" w:eastAsia="Palatino Linotype" w:hAnsi="Palatino Linotype" w:cs="Palatino Linotype"/>
          <w:i/>
          <w:iCs/>
        </w:rPr>
        <w:t>motu proprio</w:t>
      </w:r>
      <w:r>
        <w:rPr>
          <w:rFonts w:ascii="Palatino Linotype" w:eastAsia="Palatino Linotype" w:hAnsi="Palatino Linotype" w:cs="Palatino Linotype"/>
        </w:rPr>
        <w:t xml:space="preserve"> modifica o revoca de tal manera el acto motivo de la impugnación que lo deja sin materia; es decir, cesan los efectos de éste y el derecho de acceso a la información pública se encuentra satisfecho.</w:t>
      </w:r>
    </w:p>
    <w:p w:rsidR="00C74F4C" w:rsidRDefault="002B3769">
      <w:pPr>
        <w:numPr>
          <w:ilvl w:val="0"/>
          <w:numId w:val="4"/>
        </w:numPr>
        <w:spacing w:line="276" w:lineRule="auto"/>
        <w:ind w:left="709" w:right="616" w:hanging="283"/>
        <w:jc w:val="both"/>
        <w:rPr>
          <w:rFonts w:ascii="Palatino Linotype" w:eastAsia="Palatino Linotype" w:hAnsi="Palatino Linotype" w:cs="Palatino Linotype"/>
        </w:rPr>
      </w:pPr>
      <w:r>
        <w:rPr>
          <w:rFonts w:ascii="Palatino Linotype" w:eastAsia="Palatino Linotype" w:hAnsi="Palatino Linotype" w:cs="Palatino Linotype"/>
          <w:b/>
          <w:bCs/>
        </w:rPr>
        <w:t>El momento procesal para modificar el acto impugnado:</w:t>
      </w:r>
      <w:r>
        <w:rPr>
          <w:rFonts w:ascii="Palatino Linotype" w:eastAsia="Palatino Linotype" w:hAnsi="Palatino Linotype" w:cs="Palatino Linotype"/>
        </w:rPr>
        <w:t xml:space="preserve"> Para que se actualice el sobreseimiento de un recurso de revisión,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puede entregar o completar la información al momento de rendir su informe de justificación o </w:t>
      </w:r>
      <w:r>
        <w:rPr>
          <w:rFonts w:ascii="Palatino Linotype" w:eastAsia="Palatino Linotype" w:hAnsi="Palatino Linotype" w:cs="Palatino Linotype"/>
          <w:b/>
          <w:bCs/>
          <w:u w:val="single"/>
        </w:rPr>
        <w:t>posteriormente</w:t>
      </w:r>
      <w:r>
        <w:rPr>
          <w:rFonts w:ascii="Palatino Linotype" w:eastAsia="Palatino Linotype" w:hAnsi="Palatino Linotype" w:cs="Palatino Linotype"/>
        </w:rPr>
        <w:t xml:space="preserve"> a éste, siempre y cuando el Pleno del Instituto no haya dictado resolución definitiva.</w:t>
      </w:r>
    </w:p>
    <w:p w:rsidR="00C74F4C" w:rsidRDefault="00C74F4C">
      <w:pPr>
        <w:spacing w:line="360" w:lineRule="auto"/>
        <w:ind w:right="-518"/>
        <w:jc w:val="both"/>
        <w:rPr>
          <w:rFonts w:ascii="Palatino Linotype" w:eastAsia="Palatino Linotype" w:hAnsi="Palatino Linotype" w:cs="Palatino Linotype"/>
        </w:rPr>
      </w:pP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Eduardo Pallares, en su artículo </w:t>
      </w:r>
      <w:r>
        <w:rPr>
          <w:rFonts w:ascii="Palatino Linotype" w:eastAsia="Palatino Linotype" w:hAnsi="Palatino Linotype" w:cs="Palatino Linotype"/>
          <w:i/>
          <w:iCs/>
        </w:rPr>
        <w:t>“La caducidad y el sobreseimiento en el amparo”</w:t>
      </w:r>
      <w:r>
        <w:rPr>
          <w:rFonts w:ascii="Palatino Linotype" w:eastAsia="Palatino Linotype" w:hAnsi="Palatino Linotype" w:cs="Palatino Linotype"/>
        </w:rPr>
        <w:t xml:space="preserve">, cita la definición de Aguilera Paz, aduciendo que se </w:t>
      </w:r>
      <w:r>
        <w:rPr>
          <w:rFonts w:ascii="Palatino Linotype" w:eastAsia="Palatino Linotype" w:hAnsi="Palatino Linotype" w:cs="Palatino Linotype"/>
          <w:i/>
          <w:iCs/>
        </w:rPr>
        <w:t>“...entiende por sobreseimiento en el tecnicismo forense, el hecho de cesar en el procedimiento o curso de la causa, por no existir méritos bastantes para entrar en un juicio o para entablar la contienda judicial que debe ser objeto del mismo...”</w:t>
      </w:r>
      <w:r>
        <w:rPr>
          <w:rFonts w:ascii="Palatino Linotype" w:eastAsia="Palatino Linotype" w:hAnsi="Palatino Linotype" w:cs="Palatino Linotype"/>
        </w:rPr>
        <w:t>. Asimismo señala que existe el sobreseimiento provisional y el definitivo</w:t>
      </w:r>
      <w:r>
        <w:rPr>
          <w:rFonts w:ascii="Palatino Linotype" w:eastAsia="Palatino Linotype" w:hAnsi="Palatino Linotype" w:cs="Palatino Linotype"/>
          <w:i/>
          <w:iCs/>
        </w:rPr>
        <w:t>: “...el definitivo es una verdadera sentencia que pone fin al juicio, y que una vez dictada, produce cosa juzgada, mientras que el provisorio tiene por efectos suspender la prosecución de la causa...”</w:t>
      </w: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para que se actualice el sobreseimiento de un recurso de revisión, el </w:t>
      </w:r>
      <w:r>
        <w:rPr>
          <w:rFonts w:ascii="Palatino Linotype" w:eastAsia="Palatino Linotype" w:hAnsi="Palatino Linotype" w:cs="Palatino Linotype"/>
          <w:b/>
          <w:bCs/>
          <w:color w:val="000000"/>
        </w:rPr>
        <w:t>SUJETO</w:t>
      </w:r>
      <w:r>
        <w:rPr>
          <w:rFonts w:ascii="Palatino Linotype" w:eastAsia="Palatino Linotype" w:hAnsi="Palatino Linotype" w:cs="Palatino Linotype"/>
          <w:b/>
          <w:bCs/>
        </w:rPr>
        <w:t xml:space="preserve"> OBLIGADO</w:t>
      </w:r>
      <w:r>
        <w:rPr>
          <w:rFonts w:ascii="Palatino Linotype" w:eastAsia="Palatino Linotype" w:hAnsi="Palatino Linotype" w:cs="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tal como aconteció en el presente recurso.</w:t>
      </w:r>
    </w:p>
    <w:p w:rsidR="00C74F4C" w:rsidRDefault="00C74F4C">
      <w:pPr>
        <w:spacing w:line="360" w:lineRule="auto"/>
        <w:ind w:right="-518"/>
        <w:jc w:val="both"/>
        <w:rPr>
          <w:rFonts w:ascii="Palatino Linotype" w:eastAsia="Palatino Linotype" w:hAnsi="Palatino Linotype" w:cs="Palatino Linotype"/>
        </w:rPr>
      </w:pP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Bajo</w:t>
      </w:r>
      <w:r>
        <w:rPr>
          <w:rFonts w:ascii="Palatino Linotype" w:eastAsia="Palatino Linotype" w:hAnsi="Palatino Linotype" w:cs="Palatino Linotype"/>
        </w:rPr>
        <w:t xml:space="preserve"> ese tenor, con la nueva información remitida por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se colige que se colma la solicitud de información </w:t>
      </w:r>
      <w:r>
        <w:rPr>
          <w:rFonts w:ascii="Palatino Linotype" w:eastAsia="Palatino Linotype" w:hAnsi="Palatino Linotype" w:cs="Palatino Linotype"/>
          <w:b/>
          <w:bCs/>
        </w:rPr>
        <w:t xml:space="preserve">00122/HRZUM/IP/2025, </w:t>
      </w:r>
      <w:r>
        <w:rPr>
          <w:rFonts w:ascii="Palatino Linotype" w:eastAsia="Palatino Linotype" w:hAnsi="Palatino Linotype" w:cs="Palatino Linotype"/>
        </w:rPr>
        <w:t xml:space="preserve">y consecuentemente, los motivos de inconformidad hechos valer por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devienen inatendibles por actualizarse la figura del sobreseimiento, al cumplimentarse su derecho de acceso a la información y al quedarse si materia el presente recurso, por lo que, en términos del artículo 186 fracción I este Pleno determina el </w:t>
      </w:r>
      <w:r>
        <w:rPr>
          <w:rFonts w:ascii="Palatino Linotype" w:eastAsia="Palatino Linotype" w:hAnsi="Palatino Linotype" w:cs="Palatino Linotype"/>
          <w:b/>
          <w:bCs/>
        </w:rPr>
        <w:t xml:space="preserve">SOBRESEIMIENTO </w:t>
      </w:r>
      <w:r>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w:t>
      </w:r>
    </w:p>
    <w:p w:rsidR="00C74F4C" w:rsidRDefault="00C74F4C">
      <w:pPr>
        <w:tabs>
          <w:tab w:val="left" w:pos="284"/>
        </w:tabs>
        <w:spacing w:line="360" w:lineRule="auto"/>
        <w:ind w:right="-518"/>
        <w:jc w:val="both"/>
        <w:rPr>
          <w:rFonts w:ascii="Palatino Linotype" w:eastAsia="Palatino Linotype" w:hAnsi="Palatino Linotype" w:cs="Palatino Linotype"/>
        </w:rPr>
      </w:pPr>
    </w:p>
    <w:p w:rsidR="00C74F4C" w:rsidRDefault="002B3769" w:rsidP="00892E1F">
      <w:pPr>
        <w:numPr>
          <w:ilvl w:val="0"/>
          <w:numId w:val="5"/>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expuesto y fundado, este </w:t>
      </w:r>
      <w:r>
        <w:rPr>
          <w:rFonts w:ascii="Palatino Linotype" w:eastAsia="Palatino Linotype" w:hAnsi="Palatino Linotype" w:cs="Palatino Linotype"/>
          <w:b/>
          <w:bCs/>
        </w:rPr>
        <w:t>ÓRGANO GARANTE</w:t>
      </w:r>
      <w:r>
        <w:rPr>
          <w:rFonts w:ascii="Palatino Linotype" w:eastAsia="Palatino Linotype" w:hAnsi="Palatino Linotype" w:cs="Palatino Linotype"/>
        </w:rPr>
        <w:t xml:space="preserve"> emite los siguientes:</w:t>
      </w:r>
    </w:p>
    <w:p w:rsidR="00C74F4C" w:rsidRDefault="00C74F4C">
      <w:pPr>
        <w:spacing w:line="360" w:lineRule="auto"/>
        <w:ind w:right="-518"/>
        <w:jc w:val="both"/>
        <w:rPr>
          <w:rFonts w:ascii="Palatino Linotype" w:eastAsia="Palatino Linotype" w:hAnsi="Palatino Linotype" w:cs="Palatino Linotype"/>
        </w:rPr>
      </w:pPr>
    </w:p>
    <w:p w:rsidR="00C74F4C" w:rsidRDefault="002B3769">
      <w:pPr>
        <w:keepNext/>
        <w:keepLines/>
        <w:spacing w:line="360" w:lineRule="auto"/>
        <w:ind w:right="-518"/>
        <w:jc w:val="center"/>
        <w:rPr>
          <w:rFonts w:ascii="Palatino Linotype" w:eastAsia="Palatino Linotype" w:hAnsi="Palatino Linotype" w:cs="Palatino Linotype"/>
          <w:b/>
          <w:bCs/>
        </w:rPr>
      </w:pPr>
      <w:bookmarkStart w:id="10" w:name="_heading=h.uwoywgj4gxv2" w:colFirst="0" w:colLast="0"/>
      <w:bookmarkEnd w:id="10"/>
      <w:r>
        <w:rPr>
          <w:rFonts w:ascii="Palatino Linotype" w:eastAsia="Palatino Linotype" w:hAnsi="Palatino Linotype" w:cs="Palatino Linotype"/>
          <w:b/>
          <w:bCs/>
        </w:rPr>
        <w:t>R E S O L U T I V O S</w:t>
      </w:r>
    </w:p>
    <w:p w:rsidR="00C74F4C" w:rsidRDefault="00C74F4C">
      <w:pPr>
        <w:keepNext/>
        <w:keepLines/>
        <w:spacing w:line="360" w:lineRule="auto"/>
        <w:ind w:right="-518"/>
        <w:jc w:val="center"/>
        <w:rPr>
          <w:rFonts w:ascii="Palatino Linotype" w:eastAsia="Palatino Linotype" w:hAnsi="Palatino Linotype" w:cs="Palatino Linotype"/>
          <w:b/>
          <w:bCs/>
        </w:rPr>
      </w:pPr>
    </w:p>
    <w:p w:rsidR="00C74F4C" w:rsidRDefault="002B376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SOBRESEE</w:t>
      </w:r>
      <w:r>
        <w:rPr>
          <w:rFonts w:ascii="Palatino Linotype" w:eastAsia="Palatino Linotype" w:hAnsi="Palatino Linotype" w:cs="Palatino Linotype"/>
        </w:rPr>
        <w:t xml:space="preserve"> el Recurso de Revisión número</w:t>
      </w:r>
      <w:r>
        <w:rPr>
          <w:rFonts w:ascii="Palatino Linotype" w:eastAsia="Palatino Linotype" w:hAnsi="Palatino Linotype" w:cs="Palatino Linotype"/>
          <w:b/>
          <w:bCs/>
        </w:rPr>
        <w:t xml:space="preserve"> 09323/INFOEM/IP/RR/2025</w:t>
      </w:r>
      <w:r>
        <w:rPr>
          <w:rFonts w:ascii="Palatino Linotype" w:eastAsia="Palatino Linotype" w:hAnsi="Palatino Linotype" w:cs="Palatino Linotype"/>
        </w:rPr>
        <w:t xml:space="preserve">, conforme al artículo 192 fracción III, porque al modificar la respuesta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el recurso de revisión quedó sin materia en términos del  Considerando </w:t>
      </w:r>
      <w:r>
        <w:rPr>
          <w:rFonts w:ascii="Palatino Linotype" w:eastAsia="Palatino Linotype" w:hAnsi="Palatino Linotype" w:cs="Palatino Linotype"/>
          <w:b/>
          <w:bCs/>
        </w:rPr>
        <w:t>TERCERO</w:t>
      </w:r>
      <w:r>
        <w:rPr>
          <w:rFonts w:ascii="Palatino Linotype" w:eastAsia="Palatino Linotype" w:hAnsi="Palatino Linotype" w:cs="Palatino Linotype"/>
        </w:rPr>
        <w:t xml:space="preserve"> de la presente resolución.</w:t>
      </w:r>
    </w:p>
    <w:p w:rsidR="00C74F4C" w:rsidRDefault="002B3769">
      <w:pPr>
        <w:spacing w:line="360" w:lineRule="auto"/>
        <w:jc w:val="both"/>
        <w:rPr>
          <w:rFonts w:ascii="Palatino Linotype" w:eastAsia="Palatino Linotype" w:hAnsi="Palatino Linotype" w:cs="Palatino Linotype"/>
          <w:b/>
          <w:bCs/>
        </w:rPr>
      </w:pPr>
      <w:bookmarkStart w:id="11" w:name="_heading=h.cq4ksc5b2k86" w:colFirst="0" w:colLast="0"/>
      <w:bookmarkEnd w:id="11"/>
      <w:r>
        <w:rPr>
          <w:rFonts w:ascii="Palatino Linotype" w:eastAsia="Palatino Linotype" w:hAnsi="Palatino Linotype" w:cs="Palatino Linotype"/>
          <w:b/>
          <w:bCs/>
        </w:rPr>
        <w:lastRenderedPageBreak/>
        <w:t xml:space="preserve">SEGUNDO. Notifíquese </w:t>
      </w:r>
      <w:r>
        <w:rPr>
          <w:rFonts w:ascii="Palatino Linotype" w:eastAsia="Palatino Linotype" w:hAnsi="Palatino Linotype" w:cs="Palatino Linotype"/>
        </w:rPr>
        <w:t xml:space="preserve">a través del Sistema de Acceso a la Información Mexiquense </w:t>
      </w:r>
      <w:r>
        <w:rPr>
          <w:rFonts w:ascii="Palatino Linotype" w:eastAsia="Palatino Linotype" w:hAnsi="Palatino Linotype" w:cs="Palatino Linotype"/>
          <w:b/>
          <w:bCs/>
        </w:rPr>
        <w:t xml:space="preserve">(SAIMEX) </w:t>
      </w:r>
      <w:r>
        <w:rPr>
          <w:rFonts w:ascii="Palatino Linotype" w:eastAsia="Palatino Linotype" w:hAnsi="Palatino Linotype" w:cs="Palatino Linotype"/>
        </w:rPr>
        <w:t>la presente resolución al Titular de la Unidad de Transparencia del</w:t>
      </w:r>
      <w:r>
        <w:rPr>
          <w:rFonts w:ascii="Palatino Linotype" w:eastAsia="Palatino Linotype" w:hAnsi="Palatino Linotype" w:cs="Palatino Linotype"/>
          <w:b/>
          <w:bCs/>
        </w:rPr>
        <w:t xml:space="preserve"> SUJETO OBLIGADO. </w:t>
      </w:r>
    </w:p>
    <w:p w:rsidR="00C74F4C" w:rsidRDefault="00C74F4C">
      <w:pPr>
        <w:spacing w:line="360" w:lineRule="auto"/>
        <w:jc w:val="both"/>
        <w:rPr>
          <w:rFonts w:ascii="Palatino Linotype" w:eastAsia="Palatino Linotype" w:hAnsi="Palatino Linotype" w:cs="Palatino Linotype"/>
          <w:b/>
          <w:bCs/>
        </w:rPr>
      </w:pPr>
    </w:p>
    <w:p w:rsidR="00C74F4C" w:rsidRDefault="002B376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la presente resolución, vía SAIMEX.</w:t>
      </w:r>
    </w:p>
    <w:p w:rsidR="00C74F4C" w:rsidRDefault="00C74F4C">
      <w:pPr>
        <w:tabs>
          <w:tab w:val="left" w:pos="8080"/>
        </w:tabs>
        <w:spacing w:line="360" w:lineRule="auto"/>
        <w:jc w:val="both"/>
        <w:rPr>
          <w:rFonts w:ascii="Palatino Linotype" w:eastAsia="Palatino Linotype" w:hAnsi="Palatino Linotype" w:cs="Palatino Linotype"/>
          <w:b/>
          <w:bCs/>
        </w:rPr>
      </w:pPr>
    </w:p>
    <w:p w:rsidR="00C74F4C" w:rsidRDefault="002B3769">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CUARTO.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74F4C" w:rsidRDefault="00C74F4C">
      <w:pPr>
        <w:shd w:val="clear" w:color="auto" w:fill="FFFFFF"/>
        <w:spacing w:line="360" w:lineRule="auto"/>
        <w:jc w:val="both"/>
        <w:rPr>
          <w:rFonts w:ascii="Palatino Linotype" w:eastAsia="Palatino Linotype" w:hAnsi="Palatino Linotype" w:cs="Palatino Linotype"/>
        </w:rPr>
      </w:pPr>
    </w:p>
    <w:p w:rsidR="00FB4941" w:rsidRDefault="00FB4941" w:rsidP="00FB4941">
      <w:pPr>
        <w:spacing w:before="240" w:after="240" w:line="360" w:lineRule="auto"/>
        <w:ind w:firstLine="1"/>
        <w:jc w:val="both"/>
        <w:rPr>
          <w:rFonts w:ascii="Palatino Linotype" w:hAnsi="Palatino Linotype"/>
        </w:rPr>
      </w:pPr>
      <w:bookmarkStart w:id="12" w:name="_heading=h.7htkoomwawa9" w:colFirst="0" w:colLast="0"/>
      <w:bookmarkStart w:id="13" w:name="_Hlk99014733"/>
      <w:bookmarkEnd w:id="12"/>
      <w:r>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8304B6">
        <w:rPr>
          <w:rFonts w:ascii="Palatino Linotype" w:hAnsi="Palatino Linotype" w:cs="Palatino Linotype"/>
          <w:color w:val="000000" w:themeColor="text1"/>
        </w:rPr>
        <w:t>ALEXIS TAPIA RAMÍREZ.</w:t>
      </w:r>
    </w:p>
    <w:bookmarkEnd w:id="13"/>
    <w:p w:rsidR="00C74F4C" w:rsidRDefault="00C74F4C">
      <w:pPr>
        <w:spacing w:line="360" w:lineRule="auto"/>
        <w:ind w:right="48"/>
        <w:jc w:val="both"/>
        <w:rPr>
          <w:rFonts w:ascii="Palatino Linotype" w:eastAsia="Palatino Linotype" w:hAnsi="Palatino Linotype" w:cs="Palatino Linotype"/>
        </w:rPr>
      </w:pPr>
    </w:p>
    <w:p w:rsidR="00C74F4C" w:rsidRDefault="00C74F4C"/>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p w:rsidR="00632D6D" w:rsidRDefault="00632D6D"/>
    <w:sectPr w:rsidR="00632D6D" w:rsidSect="00892E1F">
      <w:headerReference w:type="default" r:id="rId9"/>
      <w:footerReference w:type="default" r:id="rId10"/>
      <w:headerReference w:type="first" r:id="rId11"/>
      <w:footerReference w:type="first" r:id="rId12"/>
      <w:pgSz w:w="12240" w:h="15840"/>
      <w:pgMar w:top="1691" w:right="616"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EE7" w:rsidRDefault="003C3EE7">
      <w:r>
        <w:separator/>
      </w:r>
    </w:p>
  </w:endnote>
  <w:endnote w:type="continuationSeparator" w:id="0">
    <w:p w:rsidR="003C3EE7" w:rsidRDefault="003C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091BFD70-2702-4330-A223-8AFAF599D8A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255B933-84E2-455E-BDB1-73EB92CD0F5A}"/>
    <w:embedBold r:id="rId3" w:fontKey="{E31A93A0-8423-4DC6-9B59-A82BC252D5B6}"/>
    <w:embedItalic r:id="rId4" w:fontKey="{AB631756-7FA7-44A8-A190-5812DBE390CD}"/>
    <w:embedBoldItalic r:id="rId5" w:fontKey="{06CA77F6-392B-419F-9F3F-509824ED4277}"/>
  </w:font>
  <w:font w:name="Cambria">
    <w:panose1 w:val="02040503050406030204"/>
    <w:charset w:val="00"/>
    <w:family w:val="roman"/>
    <w:pitch w:val="variable"/>
    <w:sig w:usb0="E00006FF" w:usb1="420024FF" w:usb2="02000000" w:usb3="00000000" w:csb0="0000019F" w:csb1="00000000"/>
    <w:embedRegular r:id="rId6" w:fontKey="{6828F594-787F-4ACA-A614-A640C23814A1}"/>
    <w:embedBold r:id="rId7" w:fontKey="{F04DF066-C041-4121-B0A4-79036B95491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94C1BDB7-A86F-45A3-BFC9-80AA56109BCB}"/>
  </w:font>
  <w:font w:name="Calibri Light">
    <w:panose1 w:val="020F0302020204030204"/>
    <w:charset w:val="00"/>
    <w:family w:val="swiss"/>
    <w:pitch w:val="variable"/>
    <w:sig w:usb0="E4002EFF" w:usb1="C200247B" w:usb2="00000009" w:usb3="00000000" w:csb0="000001FF" w:csb1="00000000"/>
    <w:embedRegular r:id="rId9" w:fontKey="{E0EEB8F0-048F-40B2-989D-8B3F18071B35}"/>
  </w:font>
  <w:font w:name="Calibri">
    <w:panose1 w:val="020F0502020204030204"/>
    <w:charset w:val="00"/>
    <w:family w:val="swiss"/>
    <w:pitch w:val="variable"/>
    <w:sig w:usb0="E4002EFF" w:usb1="C200247B" w:usb2="00000009" w:usb3="00000000" w:csb0="000001FF" w:csb1="00000000"/>
    <w:embedRegular r:id="rId10" w:fontKey="{0803730E-2B2C-4687-97C7-63E21A69D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F4C" w:rsidRPr="00892E1F" w:rsidRDefault="002B3769">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bCs/>
        <w:color w:val="000000"/>
        <w:sz w:val="22"/>
        <w:szCs w:val="22"/>
      </w:rPr>
    </w:pPr>
    <w:r w:rsidRPr="00892E1F">
      <w:rPr>
        <w:rFonts w:ascii="Palatino Linotype" w:eastAsia="Palatino Linotype" w:hAnsi="Palatino Linotype" w:cs="Palatino Linotype"/>
        <w:b/>
        <w:color w:val="000000"/>
        <w:sz w:val="22"/>
        <w:szCs w:val="22"/>
      </w:rPr>
      <w:t xml:space="preserve">Página </w:t>
    </w:r>
    <w:r w:rsidRPr="00892E1F">
      <w:rPr>
        <w:rFonts w:ascii="Palatino Linotype" w:eastAsia="Palatino Linotype" w:hAnsi="Palatino Linotype" w:cs="Palatino Linotype"/>
        <w:b/>
        <w:bCs/>
        <w:color w:val="000000"/>
        <w:sz w:val="22"/>
        <w:szCs w:val="22"/>
      </w:rPr>
      <w:fldChar w:fldCharType="begin"/>
    </w:r>
    <w:r w:rsidRPr="00892E1F">
      <w:rPr>
        <w:rFonts w:ascii="Palatino Linotype" w:eastAsia="Palatino Linotype" w:hAnsi="Palatino Linotype" w:cs="Palatino Linotype"/>
        <w:b/>
        <w:bCs/>
        <w:color w:val="000000"/>
        <w:sz w:val="22"/>
        <w:szCs w:val="22"/>
      </w:rPr>
      <w:instrText>PAGE</w:instrText>
    </w:r>
    <w:r w:rsidRPr="00892E1F">
      <w:rPr>
        <w:rFonts w:ascii="Palatino Linotype" w:eastAsia="Palatino Linotype" w:hAnsi="Palatino Linotype" w:cs="Palatino Linotype"/>
        <w:b/>
        <w:bCs/>
        <w:color w:val="000000"/>
        <w:sz w:val="22"/>
        <w:szCs w:val="22"/>
      </w:rPr>
      <w:fldChar w:fldCharType="separate"/>
    </w:r>
    <w:r w:rsidR="00B90BB1">
      <w:rPr>
        <w:rFonts w:ascii="Palatino Linotype" w:eastAsia="Palatino Linotype" w:hAnsi="Palatino Linotype" w:cs="Palatino Linotype"/>
        <w:b/>
        <w:bCs/>
        <w:noProof/>
        <w:color w:val="000000"/>
        <w:sz w:val="22"/>
        <w:szCs w:val="22"/>
      </w:rPr>
      <w:t>16</w:t>
    </w:r>
    <w:r w:rsidRPr="00892E1F">
      <w:rPr>
        <w:rFonts w:ascii="Palatino Linotype" w:eastAsia="Palatino Linotype" w:hAnsi="Palatino Linotype" w:cs="Palatino Linotype"/>
        <w:b/>
        <w:bCs/>
        <w:color w:val="000000"/>
        <w:sz w:val="22"/>
        <w:szCs w:val="22"/>
      </w:rPr>
      <w:fldChar w:fldCharType="end"/>
    </w:r>
    <w:r w:rsidRPr="00892E1F">
      <w:rPr>
        <w:rFonts w:ascii="Palatino Linotype" w:eastAsia="Palatino Linotype" w:hAnsi="Palatino Linotype" w:cs="Palatino Linotype"/>
        <w:b/>
        <w:color w:val="000000"/>
        <w:sz w:val="22"/>
        <w:szCs w:val="22"/>
      </w:rPr>
      <w:t xml:space="preserve"> de </w:t>
    </w:r>
    <w:r w:rsidRPr="00892E1F">
      <w:rPr>
        <w:rFonts w:ascii="Palatino Linotype" w:eastAsia="Palatino Linotype" w:hAnsi="Palatino Linotype" w:cs="Palatino Linotype"/>
        <w:b/>
        <w:bCs/>
        <w:color w:val="000000"/>
        <w:sz w:val="22"/>
        <w:szCs w:val="22"/>
      </w:rPr>
      <w:fldChar w:fldCharType="begin"/>
    </w:r>
    <w:r w:rsidRPr="00892E1F">
      <w:rPr>
        <w:rFonts w:ascii="Palatino Linotype" w:eastAsia="Palatino Linotype" w:hAnsi="Palatino Linotype" w:cs="Palatino Linotype"/>
        <w:b/>
        <w:bCs/>
        <w:color w:val="000000"/>
        <w:sz w:val="22"/>
        <w:szCs w:val="22"/>
      </w:rPr>
      <w:instrText>NUMPAGES</w:instrText>
    </w:r>
    <w:r w:rsidRPr="00892E1F">
      <w:rPr>
        <w:rFonts w:ascii="Palatino Linotype" w:eastAsia="Palatino Linotype" w:hAnsi="Palatino Linotype" w:cs="Palatino Linotype"/>
        <w:b/>
        <w:bCs/>
        <w:color w:val="000000"/>
        <w:sz w:val="22"/>
        <w:szCs w:val="22"/>
      </w:rPr>
      <w:fldChar w:fldCharType="separate"/>
    </w:r>
    <w:r w:rsidR="00B90BB1">
      <w:rPr>
        <w:rFonts w:ascii="Palatino Linotype" w:eastAsia="Palatino Linotype" w:hAnsi="Palatino Linotype" w:cs="Palatino Linotype"/>
        <w:b/>
        <w:bCs/>
        <w:noProof/>
        <w:color w:val="000000"/>
        <w:sz w:val="22"/>
        <w:szCs w:val="22"/>
      </w:rPr>
      <w:t>16</w:t>
    </w:r>
    <w:r w:rsidRPr="00892E1F">
      <w:rPr>
        <w:rFonts w:ascii="Palatino Linotype" w:eastAsia="Palatino Linotype" w:hAnsi="Palatino Linotype" w:cs="Palatino Linotype"/>
        <w:b/>
        <w:bCs/>
        <w:color w:val="000000"/>
        <w:sz w:val="22"/>
        <w:szCs w:val="22"/>
      </w:rPr>
      <w:fldChar w:fldCharType="end"/>
    </w:r>
  </w:p>
  <w:p w:rsidR="00C74F4C" w:rsidRDefault="00C74F4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C74F4C" w:rsidRDefault="00C74F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F4C" w:rsidRPr="00892E1F" w:rsidRDefault="002B3769">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892E1F">
      <w:rPr>
        <w:rFonts w:ascii="Palatino Linotype" w:eastAsia="Palatino Linotype" w:hAnsi="Palatino Linotype" w:cs="Palatino Linotype"/>
        <w:b/>
        <w:color w:val="000000"/>
        <w:sz w:val="22"/>
        <w:szCs w:val="22"/>
      </w:rPr>
      <w:t xml:space="preserve">Página </w:t>
    </w:r>
    <w:r w:rsidRPr="00892E1F">
      <w:rPr>
        <w:rFonts w:ascii="Palatino Linotype" w:eastAsia="Palatino Linotype" w:hAnsi="Palatino Linotype" w:cs="Palatino Linotype"/>
        <w:b/>
        <w:color w:val="000000"/>
        <w:sz w:val="22"/>
        <w:szCs w:val="22"/>
      </w:rPr>
      <w:fldChar w:fldCharType="begin"/>
    </w:r>
    <w:r w:rsidRPr="00892E1F">
      <w:rPr>
        <w:rFonts w:ascii="Palatino Linotype" w:eastAsia="Palatino Linotype" w:hAnsi="Palatino Linotype" w:cs="Palatino Linotype"/>
        <w:b/>
        <w:color w:val="000000"/>
        <w:sz w:val="22"/>
        <w:szCs w:val="22"/>
      </w:rPr>
      <w:instrText>PAGE</w:instrText>
    </w:r>
    <w:r w:rsidRPr="00892E1F">
      <w:rPr>
        <w:rFonts w:ascii="Palatino Linotype" w:eastAsia="Palatino Linotype" w:hAnsi="Palatino Linotype" w:cs="Palatino Linotype"/>
        <w:b/>
        <w:color w:val="000000"/>
        <w:sz w:val="22"/>
        <w:szCs w:val="22"/>
      </w:rPr>
      <w:fldChar w:fldCharType="separate"/>
    </w:r>
    <w:r w:rsidR="00B90BB1">
      <w:rPr>
        <w:rFonts w:ascii="Palatino Linotype" w:eastAsia="Palatino Linotype" w:hAnsi="Palatino Linotype" w:cs="Palatino Linotype"/>
        <w:b/>
        <w:noProof/>
        <w:color w:val="000000"/>
        <w:sz w:val="22"/>
        <w:szCs w:val="22"/>
      </w:rPr>
      <w:t>1</w:t>
    </w:r>
    <w:r w:rsidRPr="00892E1F">
      <w:rPr>
        <w:rFonts w:ascii="Palatino Linotype" w:eastAsia="Palatino Linotype" w:hAnsi="Palatino Linotype" w:cs="Palatino Linotype"/>
        <w:b/>
        <w:color w:val="000000"/>
        <w:sz w:val="22"/>
        <w:szCs w:val="22"/>
      </w:rPr>
      <w:fldChar w:fldCharType="end"/>
    </w:r>
    <w:r w:rsidRPr="00892E1F">
      <w:rPr>
        <w:rFonts w:ascii="Palatino Linotype" w:eastAsia="Palatino Linotype" w:hAnsi="Palatino Linotype" w:cs="Palatino Linotype"/>
        <w:b/>
        <w:color w:val="000000"/>
        <w:sz w:val="22"/>
        <w:szCs w:val="22"/>
      </w:rPr>
      <w:t xml:space="preserve"> de </w:t>
    </w:r>
    <w:r w:rsidRPr="00892E1F">
      <w:rPr>
        <w:rFonts w:ascii="Palatino Linotype" w:eastAsia="Palatino Linotype" w:hAnsi="Palatino Linotype" w:cs="Palatino Linotype"/>
        <w:b/>
        <w:color w:val="000000"/>
        <w:sz w:val="22"/>
        <w:szCs w:val="22"/>
      </w:rPr>
      <w:fldChar w:fldCharType="begin"/>
    </w:r>
    <w:r w:rsidRPr="00892E1F">
      <w:rPr>
        <w:rFonts w:ascii="Palatino Linotype" w:eastAsia="Palatino Linotype" w:hAnsi="Palatino Linotype" w:cs="Palatino Linotype"/>
        <w:b/>
        <w:color w:val="000000"/>
        <w:sz w:val="22"/>
        <w:szCs w:val="22"/>
      </w:rPr>
      <w:instrText>NUMPAGES</w:instrText>
    </w:r>
    <w:r w:rsidRPr="00892E1F">
      <w:rPr>
        <w:rFonts w:ascii="Palatino Linotype" w:eastAsia="Palatino Linotype" w:hAnsi="Palatino Linotype" w:cs="Palatino Linotype"/>
        <w:b/>
        <w:color w:val="000000"/>
        <w:sz w:val="22"/>
        <w:szCs w:val="22"/>
      </w:rPr>
      <w:fldChar w:fldCharType="separate"/>
    </w:r>
    <w:r w:rsidR="00B90BB1">
      <w:rPr>
        <w:rFonts w:ascii="Palatino Linotype" w:eastAsia="Palatino Linotype" w:hAnsi="Palatino Linotype" w:cs="Palatino Linotype"/>
        <w:b/>
        <w:noProof/>
        <w:color w:val="000000"/>
        <w:sz w:val="22"/>
        <w:szCs w:val="22"/>
      </w:rPr>
      <w:t>16</w:t>
    </w:r>
    <w:r w:rsidRPr="00892E1F">
      <w:rPr>
        <w:rFonts w:ascii="Palatino Linotype" w:eastAsia="Palatino Linotype" w:hAnsi="Palatino Linotype" w:cs="Palatino Linotype"/>
        <w:b/>
        <w:color w:val="000000"/>
        <w:sz w:val="22"/>
        <w:szCs w:val="22"/>
      </w:rPr>
      <w:fldChar w:fldCharType="end"/>
    </w:r>
  </w:p>
  <w:p w:rsidR="00C74F4C" w:rsidRDefault="00C74F4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C74F4C" w:rsidRDefault="00C74F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EE7" w:rsidRDefault="003C3EE7">
      <w:r>
        <w:separator/>
      </w:r>
    </w:p>
  </w:footnote>
  <w:footnote w:type="continuationSeparator" w:id="0">
    <w:p w:rsidR="003C3EE7" w:rsidRDefault="003C3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741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876"/>
      <w:gridCol w:w="4536"/>
    </w:tblGrid>
    <w:tr w:rsidR="00C74F4C" w:rsidTr="00892E1F">
      <w:trPr>
        <w:trHeight w:val="138"/>
      </w:trPr>
      <w:tc>
        <w:tcPr>
          <w:tcW w:w="2876" w:type="dxa"/>
          <w:vAlign w:val="center"/>
        </w:tcPr>
        <w:p w:rsidR="00C74F4C" w:rsidRDefault="002B3769">
          <w:pPr>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536" w:type="dxa"/>
          <w:vAlign w:val="center"/>
        </w:tcPr>
        <w:p w:rsidR="00C74F4C" w:rsidRPr="00892E1F" w:rsidRDefault="002B3769">
          <w:pPr>
            <w:pBdr>
              <w:top w:val="nil"/>
              <w:left w:val="nil"/>
              <w:bottom w:val="nil"/>
              <w:right w:val="nil"/>
              <w:between w:val="nil"/>
            </w:pBdr>
            <w:tabs>
              <w:tab w:val="center" w:pos="4252"/>
              <w:tab w:val="right" w:pos="8504"/>
            </w:tabs>
            <w:rPr>
              <w:rFonts w:ascii="Palatino Linotype" w:eastAsia="Palatino Linotype" w:hAnsi="Palatino Linotype" w:cs="Palatino Linotype"/>
              <w:bCs/>
              <w:color w:val="000000"/>
            </w:rPr>
          </w:pPr>
          <w:r w:rsidRPr="00892E1F">
            <w:rPr>
              <w:rFonts w:ascii="Palatino Linotype" w:eastAsia="Palatino Linotype" w:hAnsi="Palatino Linotype" w:cs="Palatino Linotype"/>
              <w:bCs/>
              <w:color w:val="000000"/>
            </w:rPr>
            <w:t>09323/INFOEM/IP/RR/2025</w:t>
          </w:r>
        </w:p>
      </w:tc>
    </w:tr>
    <w:tr w:rsidR="00C74F4C" w:rsidTr="00892E1F">
      <w:trPr>
        <w:trHeight w:val="321"/>
      </w:trPr>
      <w:tc>
        <w:tcPr>
          <w:tcW w:w="2876" w:type="dxa"/>
          <w:vAlign w:val="center"/>
        </w:tcPr>
        <w:p w:rsidR="00C74F4C" w:rsidRDefault="002B3769">
          <w:pPr>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536" w:type="dxa"/>
          <w:vAlign w:val="center"/>
        </w:tcPr>
        <w:p w:rsidR="00C74F4C" w:rsidRPr="00892E1F" w:rsidRDefault="002B3769">
          <w:pPr>
            <w:rPr>
              <w:rFonts w:ascii="Palatino Linotype" w:eastAsia="Palatino Linotype" w:hAnsi="Palatino Linotype" w:cs="Palatino Linotype"/>
            </w:rPr>
          </w:pPr>
          <w:r w:rsidRPr="00892E1F">
            <w:rPr>
              <w:rFonts w:ascii="Palatino Linotype" w:eastAsia="Palatino Linotype" w:hAnsi="Palatino Linotype" w:cs="Palatino Linotype"/>
              <w:bCs/>
            </w:rPr>
            <w:t>Hospital Regional de Alta Especialidad de Zumpango</w:t>
          </w:r>
        </w:p>
      </w:tc>
    </w:tr>
    <w:tr w:rsidR="00C74F4C" w:rsidTr="00892E1F">
      <w:trPr>
        <w:trHeight w:val="321"/>
      </w:trPr>
      <w:tc>
        <w:tcPr>
          <w:tcW w:w="2876" w:type="dxa"/>
          <w:vAlign w:val="center"/>
        </w:tcPr>
        <w:p w:rsidR="00C74F4C" w:rsidRDefault="002B3769">
          <w:pPr>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536" w:type="dxa"/>
          <w:vAlign w:val="center"/>
        </w:tcPr>
        <w:p w:rsidR="00C74F4C" w:rsidRPr="00892E1F" w:rsidRDefault="002B3769">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rPr>
          </w:pPr>
          <w:r w:rsidRPr="00892E1F">
            <w:rPr>
              <w:rFonts w:ascii="Palatino Linotype" w:eastAsia="Palatino Linotype" w:hAnsi="Palatino Linotype" w:cs="Palatino Linotype"/>
              <w:color w:val="000000"/>
            </w:rPr>
            <w:t>María del Rosario Mejía Ayala</w:t>
          </w:r>
        </w:p>
      </w:tc>
    </w:tr>
  </w:tbl>
  <w:p w:rsidR="00C74F4C" w:rsidRDefault="00892E1F">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page">
            <wp:align>right</wp:align>
          </wp:positionH>
          <wp:positionV relativeFrom="paragraph">
            <wp:posOffset>-1439809</wp:posOffset>
          </wp:positionV>
          <wp:extent cx="7809876" cy="10165823"/>
          <wp:effectExtent l="0" t="0" r="635" b="6985"/>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C74F4C" w:rsidRDefault="00C74F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544" w:type="dxa"/>
      <w:tblInd w:w="25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866"/>
      <w:gridCol w:w="255"/>
      <w:gridCol w:w="4423"/>
    </w:tblGrid>
    <w:tr w:rsidR="00C74F4C" w:rsidTr="00892E1F">
      <w:trPr>
        <w:trHeight w:val="138"/>
      </w:trPr>
      <w:tc>
        <w:tcPr>
          <w:tcW w:w="2866" w:type="dxa"/>
          <w:vAlign w:val="center"/>
        </w:tcPr>
        <w:p w:rsidR="00C74F4C" w:rsidRDefault="002B3769">
          <w:pPr>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255" w:type="dxa"/>
          <w:vAlign w:val="center"/>
        </w:tcPr>
        <w:p w:rsidR="00C74F4C" w:rsidRDefault="00C74F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rPr>
          </w:pPr>
        </w:p>
      </w:tc>
      <w:tc>
        <w:tcPr>
          <w:tcW w:w="4423" w:type="dxa"/>
          <w:vAlign w:val="center"/>
        </w:tcPr>
        <w:p w:rsidR="00C74F4C" w:rsidRPr="00892E1F" w:rsidRDefault="002B3769">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rPr>
          </w:pPr>
          <w:r w:rsidRPr="00892E1F">
            <w:rPr>
              <w:rFonts w:ascii="Palatino Linotype" w:eastAsia="Palatino Linotype" w:hAnsi="Palatino Linotype" w:cs="Palatino Linotype"/>
              <w:bCs/>
              <w:color w:val="000000"/>
            </w:rPr>
            <w:t>09323/INFOEM/IP/RR/2025</w:t>
          </w:r>
        </w:p>
      </w:tc>
    </w:tr>
    <w:tr w:rsidR="00C74F4C" w:rsidTr="00892E1F">
      <w:trPr>
        <w:trHeight w:val="227"/>
      </w:trPr>
      <w:tc>
        <w:tcPr>
          <w:tcW w:w="2866" w:type="dxa"/>
          <w:vAlign w:val="center"/>
        </w:tcPr>
        <w:p w:rsidR="00C74F4C" w:rsidRDefault="002B3769">
          <w:pPr>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255" w:type="dxa"/>
          <w:vAlign w:val="center"/>
        </w:tcPr>
        <w:p w:rsidR="00C74F4C" w:rsidRDefault="00C74F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rPr>
          </w:pPr>
        </w:p>
      </w:tc>
      <w:tc>
        <w:tcPr>
          <w:tcW w:w="4423" w:type="dxa"/>
          <w:vAlign w:val="center"/>
        </w:tcPr>
        <w:p w:rsidR="00C74F4C" w:rsidRPr="00892E1F" w:rsidRDefault="00B90BB1">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rPr>
          </w:pPr>
          <w:r>
            <w:rPr>
              <w:rFonts w:ascii="Palatino Linotype" w:eastAsia="Palatino Linotype" w:hAnsi="Palatino Linotype" w:cs="Palatino Linotype"/>
              <w:bCs/>
              <w:color w:val="000000"/>
            </w:rPr>
            <w:t>XXXX</w:t>
          </w:r>
        </w:p>
      </w:tc>
    </w:tr>
    <w:tr w:rsidR="00C74F4C" w:rsidTr="00892E1F">
      <w:trPr>
        <w:trHeight w:val="232"/>
      </w:trPr>
      <w:tc>
        <w:tcPr>
          <w:tcW w:w="2866" w:type="dxa"/>
          <w:vAlign w:val="center"/>
        </w:tcPr>
        <w:p w:rsidR="00C74F4C" w:rsidRDefault="002B3769">
          <w:pPr>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255" w:type="dxa"/>
          <w:vAlign w:val="center"/>
        </w:tcPr>
        <w:p w:rsidR="00C74F4C" w:rsidRDefault="00C74F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rPr>
          </w:pPr>
        </w:p>
      </w:tc>
      <w:tc>
        <w:tcPr>
          <w:tcW w:w="4423" w:type="dxa"/>
          <w:vAlign w:val="center"/>
        </w:tcPr>
        <w:p w:rsidR="00C74F4C" w:rsidRPr="00892E1F" w:rsidRDefault="002B3769">
          <w:pPr>
            <w:ind w:right="-73"/>
          </w:pPr>
          <w:r w:rsidRPr="00892E1F">
            <w:rPr>
              <w:rFonts w:ascii="Palatino Linotype" w:eastAsia="Palatino Linotype" w:hAnsi="Palatino Linotype" w:cs="Palatino Linotype"/>
              <w:bCs/>
            </w:rPr>
            <w:t>Hospital Regional de Alta Especialidad de Zumpango</w:t>
          </w:r>
        </w:p>
      </w:tc>
    </w:tr>
    <w:tr w:rsidR="00C74F4C" w:rsidTr="00892E1F">
      <w:trPr>
        <w:trHeight w:val="320"/>
      </w:trPr>
      <w:tc>
        <w:tcPr>
          <w:tcW w:w="2866" w:type="dxa"/>
          <w:vAlign w:val="center"/>
        </w:tcPr>
        <w:p w:rsidR="00C74F4C" w:rsidRDefault="002B3769">
          <w:pPr>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255" w:type="dxa"/>
          <w:vAlign w:val="center"/>
        </w:tcPr>
        <w:p w:rsidR="00C74F4C" w:rsidRDefault="00C74F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rPr>
          </w:pPr>
        </w:p>
      </w:tc>
      <w:tc>
        <w:tcPr>
          <w:tcW w:w="4423" w:type="dxa"/>
          <w:vAlign w:val="center"/>
        </w:tcPr>
        <w:p w:rsidR="00C74F4C" w:rsidRPr="00892E1F" w:rsidRDefault="002B3769">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rPr>
          </w:pPr>
          <w:r w:rsidRPr="00892E1F">
            <w:rPr>
              <w:rFonts w:ascii="Palatino Linotype" w:eastAsia="Palatino Linotype" w:hAnsi="Palatino Linotype" w:cs="Palatino Linotype"/>
              <w:color w:val="000000"/>
            </w:rPr>
            <w:t>María del Rosario Mejía Ayala</w:t>
          </w:r>
        </w:p>
      </w:tc>
    </w:tr>
  </w:tbl>
  <w:p w:rsidR="00C74F4C" w:rsidRDefault="00892E1F">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page">
            <wp:align>right</wp:align>
          </wp:positionH>
          <wp:positionV relativeFrom="paragraph">
            <wp:posOffset>-1634323</wp:posOffset>
          </wp:positionV>
          <wp:extent cx="7809876" cy="10165823"/>
          <wp:effectExtent l="0" t="0" r="635" b="6985"/>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C74F4C" w:rsidRDefault="00C74F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D1536"/>
    <w:multiLevelType w:val="multilevel"/>
    <w:tmpl w:val="E88AA888"/>
    <w:lvl w:ilvl="0">
      <w:start w:val="29"/>
      <w:numFmt w:val="decimal"/>
      <w:lvlText w:val="%1."/>
      <w:lvlJc w:val="left"/>
      <w:pPr>
        <w:ind w:left="502" w:hanging="360"/>
      </w:pPr>
      <w:rPr>
        <w:b/>
        <w:bCs/>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280F0F4C"/>
    <w:multiLevelType w:val="multilevel"/>
    <w:tmpl w:val="0C9C3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AF440D"/>
    <w:multiLevelType w:val="multilevel"/>
    <w:tmpl w:val="C50CFB0E"/>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594F24"/>
    <w:multiLevelType w:val="multilevel"/>
    <w:tmpl w:val="9A9267A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4" w15:restartNumberingAfterBreak="0">
    <w:nsid w:val="66E52A29"/>
    <w:multiLevelType w:val="multilevel"/>
    <w:tmpl w:val="2D64BCE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6DDB2906"/>
    <w:multiLevelType w:val="multilevel"/>
    <w:tmpl w:val="2C52C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B77D43"/>
    <w:multiLevelType w:val="multilevel"/>
    <w:tmpl w:val="A83ECC9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F4C"/>
    <w:rsid w:val="002B3769"/>
    <w:rsid w:val="003C3EE7"/>
    <w:rsid w:val="00626A3A"/>
    <w:rsid w:val="00632D6D"/>
    <w:rsid w:val="007F49F1"/>
    <w:rsid w:val="00873853"/>
    <w:rsid w:val="00892E1F"/>
    <w:rsid w:val="00B90BB1"/>
    <w:rsid w:val="00C74F4C"/>
    <w:rsid w:val="00E16927"/>
    <w:rsid w:val="00FB49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44ACA-8B10-4371-8BF2-9D98DDB3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bCs/>
      <w:color w:val="000000"/>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82424C"/>
    <w:rPr>
      <w:rFonts w:ascii="Palatino Linotype" w:eastAsiaTheme="majorEastAsia" w:hAnsi="Palatino Linotype" w:cstheme="majorBidi"/>
      <w:b/>
      <w:color w:val="000000" w:themeColor="text1"/>
      <w:sz w:val="24"/>
      <w:szCs w:val="32"/>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424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424C"/>
    <w:rPr>
      <w:rFonts w:ascii="Cambria" w:eastAsia="Cambria" w:hAnsi="Cambria" w:cs="Cambria"/>
      <w:sz w:val="24"/>
      <w:szCs w:val="24"/>
      <w:lang w:val="es-ES_tradnl" w:eastAsia="es-MX"/>
    </w:rPr>
  </w:style>
  <w:style w:type="paragraph" w:customStyle="1" w:styleId="Default">
    <w:name w:val="Default"/>
    <w:rsid w:val="0082424C"/>
    <w:pPr>
      <w:autoSpaceDE w:val="0"/>
      <w:autoSpaceDN w:val="0"/>
      <w:adjustRightInd w:val="0"/>
    </w:pPr>
    <w:rPr>
      <w:rFonts w:ascii="Arial" w:hAnsi="Arial" w:cs="Arial"/>
      <w:color w:val="000000"/>
    </w:rPr>
  </w:style>
  <w:style w:type="paragraph" w:styleId="Encabezado">
    <w:name w:val="header"/>
    <w:basedOn w:val="Normal"/>
    <w:link w:val="EncabezadoCar"/>
    <w:uiPriority w:val="99"/>
    <w:unhideWhenUsed/>
    <w:rsid w:val="00FA6052"/>
    <w:pPr>
      <w:tabs>
        <w:tab w:val="center" w:pos="4419"/>
        <w:tab w:val="right" w:pos="8838"/>
      </w:tabs>
    </w:pPr>
  </w:style>
  <w:style w:type="character" w:customStyle="1" w:styleId="EncabezadoCar">
    <w:name w:val="Encabezado Car"/>
    <w:basedOn w:val="Fuentedeprrafopredeter"/>
    <w:link w:val="Encabezado"/>
    <w:uiPriority w:val="99"/>
    <w:rsid w:val="00FA6052"/>
    <w:rPr>
      <w:rFonts w:ascii="Cambria" w:eastAsia="Cambria" w:hAnsi="Cambria" w:cs="Cambria"/>
      <w:sz w:val="24"/>
      <w:szCs w:val="24"/>
      <w:lang w:val="es-ES_tradnl" w:eastAsia="es-MX"/>
    </w:rPr>
  </w:style>
  <w:style w:type="paragraph" w:styleId="Piedepgina">
    <w:name w:val="footer"/>
    <w:basedOn w:val="Normal"/>
    <w:link w:val="PiedepginaCar"/>
    <w:uiPriority w:val="99"/>
    <w:unhideWhenUsed/>
    <w:rsid w:val="00FA6052"/>
    <w:pPr>
      <w:tabs>
        <w:tab w:val="center" w:pos="4419"/>
        <w:tab w:val="right" w:pos="8838"/>
      </w:tabs>
    </w:pPr>
  </w:style>
  <w:style w:type="character" w:customStyle="1" w:styleId="PiedepginaCar">
    <w:name w:val="Pie de página Car"/>
    <w:basedOn w:val="Fuentedeprrafopredeter"/>
    <w:link w:val="Piedepgina"/>
    <w:uiPriority w:val="99"/>
    <w:rsid w:val="00FA6052"/>
    <w:rPr>
      <w:rFonts w:ascii="Cambria" w:eastAsia="Cambria" w:hAnsi="Cambria" w:cs="Cambria"/>
      <w:sz w:val="24"/>
      <w:szCs w:val="24"/>
      <w:lang w:val="es-ES_tradnl"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2yRodFhjEJUNv+CK29zk4OkLEQ==">CgMxLjAyCGguZ2pkZ3hzMgloLjMwajB6bGwyCWguMWZvYjl0ZTIJaC4zem55c2g3MgloLjJldDkycDAyCGgudHlqY3d0MgloLjNkeTZ2a20yCWguMXQzaDVzZjINaC55NGdjZGxxeHkyeDIOaC51d295d2dqNGd4djIyDmguY3E0a3NjNWIyazg2Mg5oLjdodGtvb213YXdhOTgAciExcjhVR1pkc2JxV0lJckJLQlRPUHdHVTVlZnpRLWRsd1Y=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3624</Words>
  <Characters>19933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cp:lastPrinted>2026-02-09T17:38:00Z</cp:lastPrinted>
  <dcterms:created xsi:type="dcterms:W3CDTF">2026-01-28T18:48:00Z</dcterms:created>
  <dcterms:modified xsi:type="dcterms:W3CDTF">2026-02-16T23:01:00Z</dcterms:modified>
</cp:coreProperties>
</file>