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CAFE3" w14:textId="77777777" w:rsidR="00951C71" w:rsidRPr="00D339A7" w:rsidRDefault="00957E20">
      <w:pPr>
        <w:spacing w:after="0" w:line="360" w:lineRule="auto"/>
        <w:ind w:right="49"/>
        <w:jc w:val="both"/>
        <w:rPr>
          <w:rFonts w:ascii="Palatino Linotype" w:eastAsia="Palatino Linotype" w:hAnsi="Palatino Linotype" w:cs="Palatino Linotype"/>
        </w:rPr>
      </w:pPr>
      <w:bookmarkStart w:id="0" w:name="_GoBack"/>
      <w:bookmarkEnd w:id="0"/>
      <w:r w:rsidRPr="00D339A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cinco de febrero de dos mil veintiséis. </w:t>
      </w:r>
    </w:p>
    <w:p w14:paraId="4D4463D1" w14:textId="77777777" w:rsidR="00951C71" w:rsidRPr="00D339A7" w:rsidRDefault="00951C71">
      <w:pPr>
        <w:spacing w:after="0" w:line="360" w:lineRule="auto"/>
        <w:ind w:right="49"/>
        <w:jc w:val="center"/>
        <w:rPr>
          <w:rFonts w:ascii="Palatino Linotype" w:eastAsia="Palatino Linotype" w:hAnsi="Palatino Linotype" w:cs="Palatino Linotype"/>
        </w:rPr>
      </w:pPr>
    </w:p>
    <w:p w14:paraId="53B62649"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Visto el expediente relativo al recurso de revisión </w:t>
      </w:r>
      <w:r w:rsidRPr="00D339A7">
        <w:rPr>
          <w:rFonts w:ascii="Palatino Linotype" w:eastAsia="Palatino Linotype" w:hAnsi="Palatino Linotype" w:cs="Palatino Linotype"/>
          <w:b/>
          <w:bCs/>
        </w:rPr>
        <w:t>09839/INFOEM/IP/RR/2025</w:t>
      </w:r>
      <w:r w:rsidRPr="00D339A7">
        <w:rPr>
          <w:rFonts w:ascii="Palatino Linotype" w:eastAsia="Palatino Linotype" w:hAnsi="Palatino Linotype" w:cs="Palatino Linotype"/>
        </w:rPr>
        <w:t xml:space="preserve">, interpuesto por </w:t>
      </w:r>
      <w:r w:rsidRPr="00D339A7">
        <w:rPr>
          <w:rFonts w:ascii="Palatino Linotype" w:eastAsia="Palatino Linotype" w:hAnsi="Palatino Linotype" w:cs="Palatino Linotype"/>
          <w:b/>
          <w:bCs/>
        </w:rPr>
        <w:t>una persona usuaria del Sistema de Acceso a la Información Mexiquense</w:t>
      </w:r>
      <w:r w:rsidRPr="00D339A7">
        <w:rPr>
          <w:rFonts w:ascii="Palatino Linotype" w:eastAsia="Palatino Linotype" w:hAnsi="Palatino Linotype" w:cs="Palatino Linotype"/>
        </w:rPr>
        <w:t xml:space="preserve">, al cual en lo sucesivo se le denominará la parte </w:t>
      </w:r>
      <w:r w:rsidRPr="00D339A7">
        <w:rPr>
          <w:rFonts w:ascii="Palatino Linotype" w:eastAsia="Palatino Linotype" w:hAnsi="Palatino Linotype" w:cs="Palatino Linotype"/>
          <w:b/>
          <w:bCs/>
        </w:rPr>
        <w:t>RECURRENTE</w:t>
      </w:r>
      <w:r w:rsidRPr="00D339A7">
        <w:rPr>
          <w:rFonts w:ascii="Palatino Linotype" w:eastAsia="Palatino Linotype" w:hAnsi="Palatino Linotype" w:cs="Palatino Linotype"/>
        </w:rPr>
        <w:t xml:space="preserve">, en contra de la respuesta a su solicitud de información identificada con número de folio </w:t>
      </w:r>
      <w:r w:rsidRPr="00D339A7">
        <w:rPr>
          <w:rFonts w:ascii="Palatino Linotype" w:eastAsia="Palatino Linotype" w:hAnsi="Palatino Linotype" w:cs="Palatino Linotype"/>
          <w:b/>
          <w:bCs/>
        </w:rPr>
        <w:t>03985/TOLUCA/IP/2025</w:t>
      </w:r>
      <w:r w:rsidRPr="00D339A7">
        <w:rPr>
          <w:rFonts w:ascii="Palatino Linotype" w:eastAsia="Palatino Linotype" w:hAnsi="Palatino Linotype" w:cs="Palatino Linotype"/>
        </w:rPr>
        <w:t xml:space="preserve"> proporcionada por parte del </w:t>
      </w:r>
      <w:r w:rsidRPr="00D339A7">
        <w:rPr>
          <w:rFonts w:ascii="Palatino Linotype" w:eastAsia="Palatino Linotype" w:hAnsi="Palatino Linotype" w:cs="Palatino Linotype"/>
          <w:b/>
          <w:bCs/>
        </w:rPr>
        <w:t>Ayuntamiento de Toluca</w:t>
      </w:r>
      <w:r w:rsidRPr="00D339A7">
        <w:rPr>
          <w:rFonts w:ascii="Palatino Linotype" w:eastAsia="Palatino Linotype" w:hAnsi="Palatino Linotype" w:cs="Palatino Linotype"/>
        </w:rPr>
        <w:t xml:space="preserve"> en lo sucesivo el </w:t>
      </w:r>
      <w:r w:rsidRPr="00D339A7">
        <w:rPr>
          <w:rFonts w:ascii="Palatino Linotype" w:eastAsia="Palatino Linotype" w:hAnsi="Palatino Linotype" w:cs="Palatino Linotype"/>
          <w:b/>
          <w:bCs/>
        </w:rPr>
        <w:t>SUJETO OBLIGADO</w:t>
      </w:r>
      <w:r w:rsidRPr="00D339A7">
        <w:rPr>
          <w:rFonts w:ascii="Palatino Linotype" w:eastAsia="Palatino Linotype" w:hAnsi="Palatino Linotype" w:cs="Palatino Linotype"/>
        </w:rPr>
        <w:t>; se procede a dictar la presente resolución, con base en los siguientes:</w:t>
      </w:r>
    </w:p>
    <w:p w14:paraId="0DE7A4CD" w14:textId="77777777" w:rsidR="00951C71" w:rsidRPr="00D339A7" w:rsidRDefault="00951C71">
      <w:pPr>
        <w:spacing w:after="0" w:line="360" w:lineRule="auto"/>
        <w:ind w:right="49"/>
        <w:jc w:val="both"/>
        <w:rPr>
          <w:rFonts w:ascii="Palatino Linotype" w:eastAsia="Palatino Linotype" w:hAnsi="Palatino Linotype" w:cs="Palatino Linotype"/>
        </w:rPr>
      </w:pPr>
    </w:p>
    <w:p w14:paraId="0AA9FDA1" w14:textId="77777777" w:rsidR="00951C71" w:rsidRPr="00D339A7" w:rsidRDefault="00957E20">
      <w:pPr>
        <w:spacing w:after="0" w:line="360" w:lineRule="auto"/>
        <w:ind w:right="49"/>
        <w:jc w:val="center"/>
        <w:rPr>
          <w:rFonts w:ascii="Palatino Linotype" w:eastAsia="Palatino Linotype" w:hAnsi="Palatino Linotype" w:cs="Palatino Linotype"/>
          <w:b/>
          <w:bCs/>
        </w:rPr>
      </w:pPr>
      <w:r w:rsidRPr="00D339A7">
        <w:rPr>
          <w:rFonts w:ascii="Palatino Linotype" w:eastAsia="Palatino Linotype" w:hAnsi="Palatino Linotype" w:cs="Palatino Linotype"/>
          <w:b/>
          <w:bCs/>
        </w:rPr>
        <w:t>I.</w:t>
      </w:r>
      <w:r w:rsidRPr="00D339A7">
        <w:rPr>
          <w:rFonts w:ascii="Palatino Linotype" w:eastAsia="Palatino Linotype" w:hAnsi="Palatino Linotype" w:cs="Palatino Linotype"/>
          <w:b/>
          <w:bCs/>
        </w:rPr>
        <w:tab/>
        <w:t>A N T E C E D E N T E S</w:t>
      </w:r>
    </w:p>
    <w:p w14:paraId="3673C2F6" w14:textId="77777777" w:rsidR="00951C71" w:rsidRPr="00D339A7" w:rsidRDefault="00951C71">
      <w:pPr>
        <w:spacing w:after="0" w:line="360" w:lineRule="auto"/>
        <w:ind w:right="49"/>
        <w:jc w:val="both"/>
        <w:rPr>
          <w:rFonts w:ascii="Palatino Linotype" w:eastAsia="Palatino Linotype" w:hAnsi="Palatino Linotype" w:cs="Palatino Linotype"/>
        </w:rPr>
      </w:pPr>
      <w:bookmarkStart w:id="1" w:name="_heading=h.3znysh7" w:colFirst="0" w:colLast="0"/>
      <w:bookmarkEnd w:id="1"/>
    </w:p>
    <w:p w14:paraId="120B170F" w14:textId="77777777" w:rsidR="00951C71" w:rsidRPr="00D339A7" w:rsidRDefault="00957E20">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339A7">
        <w:rPr>
          <w:rFonts w:ascii="Palatino Linotype" w:eastAsia="Palatino Linotype" w:hAnsi="Palatino Linotype" w:cs="Palatino Linotype"/>
          <w:b/>
          <w:bCs/>
        </w:rPr>
        <w:t>Solicitud de acceso a la información.</w:t>
      </w:r>
      <w:r w:rsidRPr="00D339A7">
        <w:rPr>
          <w:rFonts w:ascii="Palatino Linotype" w:eastAsia="Palatino Linotype" w:hAnsi="Palatino Linotype" w:cs="Palatino Linotype"/>
        </w:rPr>
        <w:t xml:space="preserve"> Con fecha </w:t>
      </w:r>
      <w:r w:rsidRPr="00D339A7">
        <w:rPr>
          <w:rFonts w:ascii="Palatino Linotype" w:eastAsia="Palatino Linotype" w:hAnsi="Palatino Linotype" w:cs="Palatino Linotype"/>
          <w:b/>
          <w:bCs/>
        </w:rPr>
        <w:t>veintidós de julio de dos mil veinticinco</w:t>
      </w:r>
      <w:r w:rsidRPr="00D339A7">
        <w:rPr>
          <w:rFonts w:ascii="Palatino Linotype" w:eastAsia="Palatino Linotype" w:hAnsi="Palatino Linotype" w:cs="Palatino Linotype"/>
        </w:rPr>
        <w:t xml:space="preserve">, el Recurrente formuló solicitud de acceso a información pública al </w:t>
      </w:r>
      <w:r w:rsidRPr="00D339A7">
        <w:rPr>
          <w:rFonts w:ascii="Palatino Linotype" w:eastAsia="Palatino Linotype" w:hAnsi="Palatino Linotype" w:cs="Palatino Linotype"/>
          <w:b/>
          <w:bCs/>
        </w:rPr>
        <w:t>SUJETO OBLIGADO</w:t>
      </w:r>
      <w:r w:rsidRPr="00D339A7">
        <w:rPr>
          <w:rFonts w:ascii="Palatino Linotype" w:eastAsia="Palatino Linotype" w:hAnsi="Palatino Linotype" w:cs="Palatino Linotype"/>
        </w:rPr>
        <w:t xml:space="preserve"> a través del Sistema de Acceso a la Información Mexiquense, el cual por corresponder a día inhábil quedó registrado el </w:t>
      </w:r>
      <w:r w:rsidRPr="00D339A7">
        <w:rPr>
          <w:rFonts w:ascii="Palatino Linotype" w:eastAsia="Palatino Linotype" w:hAnsi="Palatino Linotype" w:cs="Palatino Linotype"/>
          <w:b/>
          <w:bCs/>
        </w:rPr>
        <w:t>cuatro de agosto de dos mil veinticinco</w:t>
      </w:r>
      <w:r w:rsidRPr="00D339A7">
        <w:rPr>
          <w:rFonts w:ascii="Palatino Linotype" w:eastAsia="Palatino Linotype" w:hAnsi="Palatino Linotype" w:cs="Palatino Linotype"/>
        </w:rPr>
        <w:t xml:space="preserve">, requiriéndole lo siguiente: </w:t>
      </w:r>
    </w:p>
    <w:p w14:paraId="4E805D0F" w14:textId="77777777" w:rsidR="00951C71" w:rsidRPr="00D339A7" w:rsidRDefault="00957E20">
      <w:pPr>
        <w:tabs>
          <w:tab w:val="left" w:pos="1530"/>
        </w:tabs>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ab/>
      </w:r>
    </w:p>
    <w:p w14:paraId="2D7EF4A6" w14:textId="77777777" w:rsidR="00951C71" w:rsidRPr="00D339A7" w:rsidRDefault="00957E20">
      <w:pPr>
        <w:spacing w:after="0"/>
        <w:ind w:left="567" w:right="49"/>
        <w:jc w:val="both"/>
        <w:rPr>
          <w:rFonts w:ascii="Palatino Linotype" w:eastAsia="Palatino Linotype" w:hAnsi="Palatino Linotype" w:cs="Palatino Linotype"/>
          <w:i/>
          <w:iCs/>
        </w:rPr>
      </w:pPr>
      <w:bookmarkStart w:id="2" w:name="_heading=h.30j0zll" w:colFirst="0" w:colLast="0"/>
      <w:bookmarkEnd w:id="2"/>
      <w:r w:rsidRPr="00D339A7">
        <w:rPr>
          <w:rFonts w:ascii="Palatino Linotype" w:eastAsia="Palatino Linotype" w:hAnsi="Palatino Linotype" w:cs="Palatino Linotype"/>
          <w:i/>
          <w:iCs/>
        </w:rPr>
        <w:t>“Se solicitan todas la renuncias del personal del 1 de enero a la fecha y si demandaron cuantos en que estatus esta la demanda cuantos firmaron convenio y de ahi cuantos se les pago”</w:t>
      </w:r>
    </w:p>
    <w:p w14:paraId="7A7C42DE"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 </w:t>
      </w:r>
    </w:p>
    <w:p w14:paraId="0C1E3231"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b/>
          <w:bCs/>
        </w:rPr>
        <w:t>Modalidad elegida para la entrega de la información:</w:t>
      </w:r>
      <w:r w:rsidRPr="00D339A7">
        <w:rPr>
          <w:rFonts w:ascii="Palatino Linotype" w:eastAsia="Palatino Linotype" w:hAnsi="Palatino Linotype" w:cs="Palatino Linotype"/>
        </w:rPr>
        <w:t xml:space="preserve"> a través del Sistema de Acceso a la Información Mexiquense (SAIMEX). </w:t>
      </w:r>
    </w:p>
    <w:p w14:paraId="7D7838DF" w14:textId="77777777" w:rsidR="00951C71" w:rsidRPr="00D339A7" w:rsidRDefault="00951C71">
      <w:pPr>
        <w:spacing w:after="0" w:line="360" w:lineRule="auto"/>
        <w:ind w:right="49"/>
        <w:jc w:val="both"/>
        <w:rPr>
          <w:rFonts w:ascii="Palatino Linotype" w:eastAsia="Palatino Linotype" w:hAnsi="Palatino Linotype" w:cs="Palatino Linotype"/>
        </w:rPr>
      </w:pPr>
    </w:p>
    <w:p w14:paraId="082AB043" w14:textId="77777777" w:rsidR="00951C71" w:rsidRPr="00D339A7" w:rsidRDefault="00957E20">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339A7">
        <w:rPr>
          <w:rFonts w:ascii="Palatino Linotype" w:eastAsia="Palatino Linotype" w:hAnsi="Palatino Linotype" w:cs="Palatino Linotype"/>
          <w:b/>
          <w:bCs/>
        </w:rPr>
        <w:lastRenderedPageBreak/>
        <w:t xml:space="preserve">Respuesta. </w:t>
      </w:r>
      <w:r w:rsidRPr="00D339A7">
        <w:rPr>
          <w:rFonts w:ascii="Palatino Linotype" w:eastAsia="Palatino Linotype" w:hAnsi="Palatino Linotype" w:cs="Palatino Linotype"/>
        </w:rPr>
        <w:t xml:space="preserve">En fecha </w:t>
      </w:r>
      <w:r w:rsidRPr="00D339A7">
        <w:rPr>
          <w:rFonts w:ascii="Palatino Linotype" w:eastAsia="Palatino Linotype" w:hAnsi="Palatino Linotype" w:cs="Palatino Linotype"/>
          <w:b/>
          <w:bCs/>
        </w:rPr>
        <w:t>veinte de agosto de dos mil veinticinco</w:t>
      </w:r>
      <w:r w:rsidRPr="00D339A7">
        <w:rPr>
          <w:rFonts w:ascii="Palatino Linotype" w:eastAsia="Palatino Linotype" w:hAnsi="Palatino Linotype" w:cs="Palatino Linotype"/>
        </w:rPr>
        <w:t xml:space="preserve">, el </w:t>
      </w:r>
      <w:r w:rsidRPr="00D339A7">
        <w:rPr>
          <w:rFonts w:ascii="Palatino Linotype" w:eastAsia="Palatino Linotype" w:hAnsi="Palatino Linotype" w:cs="Palatino Linotype"/>
          <w:b/>
          <w:bCs/>
        </w:rPr>
        <w:t xml:space="preserve">SUJETO OBLIGADO </w:t>
      </w:r>
      <w:r w:rsidRPr="00D339A7">
        <w:rPr>
          <w:rFonts w:ascii="Palatino Linotype" w:eastAsia="Palatino Linotype" w:hAnsi="Palatino Linotype" w:cs="Palatino Linotype"/>
        </w:rPr>
        <w:t xml:space="preserve">emitió respuesta a la solicitud de información, la cual fue previamente del conocimiento de las partes. </w:t>
      </w:r>
    </w:p>
    <w:p w14:paraId="68B8A785" w14:textId="77777777" w:rsidR="00951C71" w:rsidRPr="00D339A7" w:rsidRDefault="00951C7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EFF8777" w14:textId="77777777" w:rsidR="00951C71" w:rsidRPr="00D339A7" w:rsidRDefault="00957E20">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339A7">
        <w:rPr>
          <w:rFonts w:ascii="Palatino Linotype" w:eastAsia="Palatino Linotype" w:hAnsi="Palatino Linotype" w:cs="Palatino Linotype"/>
          <w:b/>
          <w:bCs/>
        </w:rPr>
        <w:t xml:space="preserve">Recurso de Revisión. </w:t>
      </w:r>
      <w:r w:rsidRPr="00D339A7">
        <w:rPr>
          <w:rFonts w:ascii="Palatino Linotype" w:eastAsia="Palatino Linotype" w:hAnsi="Palatino Linotype" w:cs="Palatino Linotype"/>
        </w:rPr>
        <w:t xml:space="preserve">En fecha </w:t>
      </w:r>
      <w:r w:rsidRPr="00D339A7">
        <w:rPr>
          <w:rFonts w:ascii="Palatino Linotype" w:eastAsia="Palatino Linotype" w:hAnsi="Palatino Linotype" w:cs="Palatino Linotype"/>
          <w:b/>
          <w:bCs/>
        </w:rPr>
        <w:t>veinte de agosto de dos mil veinticinco</w:t>
      </w:r>
      <w:r w:rsidRPr="00D339A7">
        <w:rPr>
          <w:rFonts w:ascii="Palatino Linotype" w:eastAsia="Palatino Linotype" w:hAnsi="Palatino Linotype" w:cs="Palatino Linotype"/>
        </w:rPr>
        <w:t xml:space="preserve"> la persona Solicitante interpuso Recurso de Revisión a través del </w:t>
      </w:r>
      <w:r w:rsidRPr="00D339A7">
        <w:rPr>
          <w:rFonts w:ascii="Palatino Linotype" w:eastAsia="Palatino Linotype" w:hAnsi="Palatino Linotype" w:cs="Palatino Linotype"/>
          <w:b/>
          <w:bCs/>
        </w:rPr>
        <w:t>SAIMEX</w:t>
      </w:r>
      <w:r w:rsidRPr="00D339A7">
        <w:rPr>
          <w:rFonts w:ascii="Palatino Linotype" w:eastAsia="Palatino Linotype" w:hAnsi="Palatino Linotype" w:cs="Palatino Linotype"/>
        </w:rPr>
        <w:t>, a través del cual expresó lo siguiente:</w:t>
      </w:r>
    </w:p>
    <w:p w14:paraId="7BFC9427" w14:textId="77777777" w:rsidR="00951C71" w:rsidRPr="00D339A7" w:rsidRDefault="00951C7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3CC97A7" w14:textId="77777777" w:rsidR="00951C71" w:rsidRPr="00D339A7" w:rsidRDefault="00957E20">
      <w:pPr>
        <w:pBdr>
          <w:top w:val="nil"/>
          <w:left w:val="nil"/>
          <w:bottom w:val="nil"/>
          <w:right w:val="nil"/>
          <w:between w:val="nil"/>
        </w:pBdr>
        <w:tabs>
          <w:tab w:val="left" w:pos="1276"/>
        </w:tabs>
        <w:spacing w:after="0"/>
        <w:ind w:left="567" w:right="49"/>
        <w:jc w:val="both"/>
        <w:rPr>
          <w:rFonts w:ascii="Palatino Linotype" w:eastAsia="Palatino Linotype" w:hAnsi="Palatino Linotype" w:cs="Palatino Linotype"/>
          <w:b/>
          <w:bCs/>
        </w:rPr>
      </w:pPr>
      <w:r w:rsidRPr="00D339A7">
        <w:rPr>
          <w:rFonts w:ascii="Palatino Linotype" w:eastAsia="Palatino Linotype" w:hAnsi="Palatino Linotype" w:cs="Palatino Linotype"/>
          <w:b/>
          <w:bCs/>
        </w:rPr>
        <w:t>Acto impugnado</w:t>
      </w:r>
      <w:r w:rsidRPr="00D339A7">
        <w:rPr>
          <w:rFonts w:ascii="Palatino Linotype" w:eastAsia="Palatino Linotype" w:hAnsi="Palatino Linotype" w:cs="Palatino Linotype"/>
          <w:b/>
          <w:bCs/>
          <w:i/>
          <w:iCs/>
        </w:rPr>
        <w:t xml:space="preserve">. </w:t>
      </w:r>
      <w:r w:rsidRPr="00D339A7">
        <w:rPr>
          <w:rFonts w:ascii="Palatino Linotype" w:eastAsia="Palatino Linotype" w:hAnsi="Palatino Linotype" w:cs="Palatino Linotype"/>
          <w:i/>
          <w:iCs/>
        </w:rPr>
        <w:t>“La opacidad del ayuntamiento el infoem que hace para asegurar nuestro derecho de acceso esa dirección de administración ademas de corrupta es opaca y no entrega la información solicitada se exige que entregue la información pues es publica”.</w:t>
      </w:r>
    </w:p>
    <w:p w14:paraId="7AE2A254" w14:textId="77777777" w:rsidR="00951C71" w:rsidRPr="00D339A7" w:rsidRDefault="00951C71">
      <w:pPr>
        <w:pBdr>
          <w:top w:val="nil"/>
          <w:left w:val="nil"/>
          <w:bottom w:val="nil"/>
          <w:right w:val="nil"/>
          <w:between w:val="nil"/>
        </w:pBdr>
        <w:tabs>
          <w:tab w:val="left" w:pos="1276"/>
        </w:tabs>
        <w:spacing w:after="0"/>
        <w:ind w:left="567" w:right="49"/>
        <w:jc w:val="both"/>
        <w:rPr>
          <w:rFonts w:ascii="Palatino Linotype" w:eastAsia="Palatino Linotype" w:hAnsi="Palatino Linotype" w:cs="Palatino Linotype"/>
          <w:b/>
          <w:bCs/>
        </w:rPr>
      </w:pPr>
    </w:p>
    <w:p w14:paraId="637A675A" w14:textId="77777777" w:rsidR="00951C71" w:rsidRPr="00D339A7" w:rsidRDefault="00957E20">
      <w:pPr>
        <w:pBdr>
          <w:top w:val="nil"/>
          <w:left w:val="nil"/>
          <w:bottom w:val="nil"/>
          <w:right w:val="nil"/>
          <w:between w:val="nil"/>
        </w:pBdr>
        <w:tabs>
          <w:tab w:val="left" w:pos="1276"/>
        </w:tabs>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b/>
          <w:bCs/>
        </w:rPr>
        <w:t xml:space="preserve">Razones o motivos de la inconformidad: </w:t>
      </w:r>
      <w:r w:rsidRPr="00D339A7">
        <w:rPr>
          <w:rFonts w:ascii="Palatino Linotype" w:eastAsia="Palatino Linotype" w:hAnsi="Palatino Linotype" w:cs="Palatino Linotype"/>
          <w:i/>
          <w:iCs/>
        </w:rPr>
        <w:t xml:space="preserve">“La opacidad del ayuntamiento el infoem que hace para asegurar nuestro derecho de acceso esa dirección de administración ademas de corrupta es opaca y no entrega la información solicitada se exige que entregue la información pues es publica”. </w:t>
      </w:r>
    </w:p>
    <w:p w14:paraId="69DBC4D4" w14:textId="77777777" w:rsidR="00951C71" w:rsidRPr="00D339A7" w:rsidRDefault="00951C71">
      <w:pPr>
        <w:pBdr>
          <w:top w:val="nil"/>
          <w:left w:val="nil"/>
          <w:bottom w:val="nil"/>
          <w:right w:val="nil"/>
          <w:between w:val="nil"/>
        </w:pBdr>
        <w:tabs>
          <w:tab w:val="left" w:pos="1276"/>
        </w:tabs>
        <w:spacing w:after="0" w:line="360" w:lineRule="auto"/>
        <w:ind w:right="49"/>
        <w:jc w:val="both"/>
        <w:rPr>
          <w:rFonts w:ascii="Palatino Linotype" w:eastAsia="Palatino Linotype" w:hAnsi="Palatino Linotype" w:cs="Palatino Linotype"/>
        </w:rPr>
      </w:pPr>
    </w:p>
    <w:p w14:paraId="2F1AF0C1" w14:textId="77777777" w:rsidR="00951C71" w:rsidRPr="00D339A7" w:rsidRDefault="00957E20">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339A7">
        <w:rPr>
          <w:rFonts w:ascii="Palatino Linotype" w:eastAsia="Palatino Linotype" w:hAnsi="Palatino Linotype" w:cs="Palatino Linotype"/>
          <w:b/>
          <w:bCs/>
        </w:rPr>
        <w:t>Turno.</w:t>
      </w:r>
      <w:r w:rsidRPr="00D339A7">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D339A7">
        <w:rPr>
          <w:rFonts w:ascii="Palatino Linotype" w:eastAsia="Palatino Linotype" w:hAnsi="Palatino Linotype" w:cs="Palatino Linotype"/>
          <w:b/>
          <w:bCs/>
        </w:rPr>
        <w:t>09839/INFOEM/IP/RR/2025</w:t>
      </w:r>
      <w:r w:rsidRPr="00D339A7">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3792D9A1" w14:textId="77777777" w:rsidR="00951C71" w:rsidRPr="00D339A7" w:rsidRDefault="00951C7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7B3D433" w14:textId="77777777" w:rsidR="00951C71" w:rsidRPr="00D339A7" w:rsidRDefault="00957E20">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339A7">
        <w:rPr>
          <w:rFonts w:ascii="Palatino Linotype" w:eastAsia="Palatino Linotype" w:hAnsi="Palatino Linotype" w:cs="Palatino Linotype"/>
          <w:b/>
          <w:bCs/>
        </w:rPr>
        <w:t>Admisión del recurso de revisión</w:t>
      </w:r>
      <w:r w:rsidRPr="00D339A7">
        <w:rPr>
          <w:rFonts w:ascii="Palatino Linotype" w:eastAsia="Palatino Linotype" w:hAnsi="Palatino Linotype" w:cs="Palatino Linotype"/>
        </w:rPr>
        <w:t xml:space="preserve">: En fecha </w:t>
      </w:r>
      <w:r w:rsidRPr="00D339A7">
        <w:rPr>
          <w:rFonts w:ascii="Palatino Linotype" w:eastAsia="Palatino Linotype" w:hAnsi="Palatino Linotype" w:cs="Palatino Linotype"/>
          <w:b/>
          <w:bCs/>
        </w:rPr>
        <w:t>veinticinco de agosto de dos mil veinticinco</w:t>
      </w:r>
      <w:r w:rsidRPr="00D339A7">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w:t>
      </w:r>
      <w:r w:rsidRPr="00D339A7">
        <w:rPr>
          <w:rFonts w:ascii="Palatino Linotype" w:eastAsia="Palatino Linotype" w:hAnsi="Palatino Linotype" w:cs="Palatino Linotype"/>
        </w:rPr>
        <w:lastRenderedPageBreak/>
        <w:t xml:space="preserve">que a su derecho resultara conveniente, ofrecieran pruebas, formularan alegatos y el Sujeto Obligado presentara su informe justificado. </w:t>
      </w:r>
    </w:p>
    <w:p w14:paraId="68E072C7" w14:textId="77777777" w:rsidR="00951C71" w:rsidRPr="00D339A7" w:rsidRDefault="00951C71">
      <w:pPr>
        <w:pBdr>
          <w:top w:val="nil"/>
          <w:left w:val="nil"/>
          <w:bottom w:val="nil"/>
          <w:right w:val="nil"/>
          <w:between w:val="nil"/>
        </w:pBdr>
        <w:ind w:left="720" w:right="49"/>
        <w:rPr>
          <w:rFonts w:ascii="Palatino Linotype" w:eastAsia="Palatino Linotype" w:hAnsi="Palatino Linotype" w:cs="Palatino Linotype"/>
        </w:rPr>
      </w:pPr>
    </w:p>
    <w:p w14:paraId="05A03CB9" w14:textId="77777777" w:rsidR="00951C71" w:rsidRPr="00D339A7" w:rsidRDefault="00957E20">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339A7">
        <w:rPr>
          <w:rFonts w:ascii="Palatino Linotype" w:eastAsia="Palatino Linotype" w:hAnsi="Palatino Linotype" w:cs="Palatino Linotype"/>
          <w:b/>
          <w:bCs/>
        </w:rPr>
        <w:t xml:space="preserve">Manifestaciones. </w:t>
      </w:r>
      <w:r w:rsidRPr="00D339A7">
        <w:rPr>
          <w:rFonts w:ascii="Palatino Linotype" w:eastAsia="Palatino Linotype" w:hAnsi="Palatino Linotype" w:cs="Palatino Linotype"/>
        </w:rPr>
        <w:t xml:space="preserve">En fecha </w:t>
      </w:r>
      <w:r w:rsidRPr="00D339A7">
        <w:rPr>
          <w:rFonts w:ascii="Palatino Linotype" w:eastAsia="Palatino Linotype" w:hAnsi="Palatino Linotype" w:cs="Palatino Linotype"/>
          <w:b/>
          <w:bCs/>
        </w:rPr>
        <w:t>tres y ocho de septiembre de dos mil veinticinco</w:t>
      </w:r>
      <w:r w:rsidRPr="00D339A7">
        <w:rPr>
          <w:rFonts w:ascii="Palatino Linotype" w:eastAsia="Palatino Linotype" w:hAnsi="Palatino Linotype" w:cs="Palatino Linotype"/>
        </w:rPr>
        <w:t xml:space="preserve">, el </w:t>
      </w:r>
      <w:r w:rsidRPr="00D339A7">
        <w:rPr>
          <w:rFonts w:ascii="Palatino Linotype" w:eastAsia="Palatino Linotype" w:hAnsi="Palatino Linotype" w:cs="Palatino Linotype"/>
          <w:b/>
          <w:bCs/>
        </w:rPr>
        <w:t xml:space="preserve">SUJETO OBLIGADO </w:t>
      </w:r>
      <w:r w:rsidRPr="00D339A7">
        <w:rPr>
          <w:rFonts w:ascii="Palatino Linotype" w:eastAsia="Palatino Linotype" w:hAnsi="Palatino Linotype" w:cs="Palatino Linotype"/>
        </w:rPr>
        <w:t>rindió su informe justificado y ratificó su respuesta inicial.</w:t>
      </w:r>
    </w:p>
    <w:p w14:paraId="6F46456B" w14:textId="77777777" w:rsidR="00951C71" w:rsidRPr="00D339A7" w:rsidRDefault="00951C7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5E20D42" w14:textId="77777777" w:rsidR="00951C71" w:rsidRPr="00D339A7" w:rsidRDefault="00957E20">
      <w:pPr>
        <w:pBdr>
          <w:top w:val="nil"/>
          <w:left w:val="nil"/>
          <w:bottom w:val="nil"/>
          <w:right w:val="nil"/>
          <w:between w:val="nil"/>
        </w:pBdr>
        <w:spacing w:after="0" w:line="360" w:lineRule="auto"/>
        <w:ind w:right="49"/>
        <w:jc w:val="both"/>
        <w:rPr>
          <w:rFonts w:ascii="Palatino Linotype" w:eastAsia="Palatino Linotype" w:hAnsi="Palatino Linotype" w:cs="Palatino Linotype"/>
          <w:b/>
          <w:bCs/>
        </w:rPr>
      </w:pPr>
      <w:r w:rsidRPr="00D339A7">
        <w:rPr>
          <w:rFonts w:ascii="Palatino Linotype" w:eastAsia="Palatino Linotype" w:hAnsi="Palatino Linotype" w:cs="Palatino Linotype"/>
        </w:rPr>
        <w:t xml:space="preserve">Documentos que se hicieron del conocimiento de la parte Recurrente en fecha </w:t>
      </w:r>
      <w:r w:rsidRPr="00D339A7">
        <w:rPr>
          <w:rFonts w:ascii="Palatino Linotype" w:eastAsia="Palatino Linotype" w:hAnsi="Palatino Linotype" w:cs="Palatino Linotype"/>
          <w:b/>
          <w:bCs/>
        </w:rPr>
        <w:t xml:space="preserve">veintinueve de enero de dos mil veintiséis. </w:t>
      </w:r>
    </w:p>
    <w:p w14:paraId="7C2392B0" w14:textId="77777777" w:rsidR="00951C71" w:rsidRPr="00D339A7" w:rsidRDefault="00951C71">
      <w:pPr>
        <w:pBdr>
          <w:top w:val="nil"/>
          <w:left w:val="nil"/>
          <w:bottom w:val="nil"/>
          <w:right w:val="nil"/>
          <w:between w:val="nil"/>
        </w:pBdr>
        <w:spacing w:after="0" w:line="360" w:lineRule="auto"/>
        <w:ind w:right="49"/>
        <w:jc w:val="both"/>
        <w:rPr>
          <w:rFonts w:ascii="Palatino Linotype" w:eastAsia="Palatino Linotype" w:hAnsi="Palatino Linotype" w:cs="Palatino Linotype"/>
          <w:b/>
          <w:bCs/>
        </w:rPr>
      </w:pPr>
    </w:p>
    <w:p w14:paraId="7BBF518F" w14:textId="77777777" w:rsidR="00951C71" w:rsidRPr="00D339A7" w:rsidRDefault="00957E2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La parte fue omisa en rendir manifestaciones.  </w:t>
      </w:r>
    </w:p>
    <w:p w14:paraId="75A8E33E" w14:textId="77777777" w:rsidR="00951C71" w:rsidRPr="00D339A7" w:rsidRDefault="00951C7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B22AAF2" w14:textId="77777777" w:rsidR="00951C71" w:rsidRPr="00D339A7" w:rsidRDefault="00957E20">
      <w:pPr>
        <w:numPr>
          <w:ilvl w:val="0"/>
          <w:numId w:val="14"/>
        </w:numPr>
        <w:pBdr>
          <w:top w:val="nil"/>
          <w:left w:val="nil"/>
          <w:bottom w:val="nil"/>
          <w:right w:val="nil"/>
          <w:between w:val="nil"/>
        </w:pBdr>
        <w:tabs>
          <w:tab w:val="left" w:pos="426"/>
        </w:tabs>
        <w:spacing w:after="0" w:line="360" w:lineRule="auto"/>
        <w:ind w:left="0" w:firstLine="0"/>
        <w:jc w:val="both"/>
        <w:rPr>
          <w:rFonts w:ascii="Palatino Linotype" w:eastAsia="Palatino Linotype" w:hAnsi="Palatino Linotype" w:cs="Palatino Linotype"/>
        </w:rPr>
      </w:pPr>
      <w:r w:rsidRPr="00D339A7">
        <w:rPr>
          <w:rFonts w:ascii="Palatino Linotype" w:eastAsia="Palatino Linotype" w:hAnsi="Palatino Linotype" w:cs="Palatino Linotype"/>
          <w:b/>
          <w:bCs/>
        </w:rPr>
        <w:t>Ampliación del plazo.</w:t>
      </w:r>
      <w:r w:rsidRPr="00D339A7">
        <w:rPr>
          <w:rFonts w:ascii="Palatino Linotype" w:eastAsia="Palatino Linotype" w:hAnsi="Palatino Linotype" w:cs="Palatino Linotype"/>
        </w:rPr>
        <w:t xml:space="preserve"> En fecha </w:t>
      </w:r>
      <w:r w:rsidRPr="00D339A7">
        <w:rPr>
          <w:rFonts w:ascii="Palatino Linotype" w:eastAsia="Palatino Linotype" w:hAnsi="Palatino Linotype" w:cs="Palatino Linotype"/>
          <w:b/>
          <w:bCs/>
        </w:rPr>
        <w:t>veintinueve de enero de dos mil veintiséis</w:t>
      </w:r>
      <w:r w:rsidRPr="00D339A7">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2C04F5A2" w14:textId="77777777" w:rsidR="00951C71" w:rsidRPr="00D339A7" w:rsidRDefault="00951C71">
      <w:pPr>
        <w:widowControl w:val="0"/>
        <w:spacing w:after="0" w:line="360" w:lineRule="auto"/>
        <w:jc w:val="both"/>
        <w:rPr>
          <w:rFonts w:ascii="Palatino Linotype" w:eastAsia="Palatino Linotype" w:hAnsi="Palatino Linotype" w:cs="Palatino Linotype"/>
        </w:rPr>
      </w:pPr>
    </w:p>
    <w:p w14:paraId="55501B19"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D2C605A" w14:textId="77777777" w:rsidR="00951C71" w:rsidRPr="00D339A7" w:rsidRDefault="00951C71">
      <w:pPr>
        <w:spacing w:after="0" w:line="360" w:lineRule="auto"/>
        <w:jc w:val="both"/>
        <w:rPr>
          <w:rFonts w:ascii="Palatino Linotype" w:eastAsia="Palatino Linotype" w:hAnsi="Palatino Linotype" w:cs="Palatino Linotype"/>
        </w:rPr>
      </w:pPr>
    </w:p>
    <w:p w14:paraId="2A794778"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9B79A4B"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3A6DE99"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3B68BFF" w14:textId="77777777" w:rsidR="00951C71" w:rsidRPr="00D339A7" w:rsidRDefault="00951C71">
      <w:pPr>
        <w:spacing w:after="0" w:line="360" w:lineRule="auto"/>
        <w:jc w:val="both"/>
        <w:rPr>
          <w:rFonts w:ascii="Palatino Linotype" w:eastAsia="Palatino Linotype" w:hAnsi="Palatino Linotype" w:cs="Palatino Linotype"/>
        </w:rPr>
      </w:pPr>
    </w:p>
    <w:p w14:paraId="5D256524" w14:textId="77777777" w:rsidR="00951C71" w:rsidRPr="00D339A7" w:rsidRDefault="00957E20">
      <w:pPr>
        <w:spacing w:after="0" w:line="360" w:lineRule="auto"/>
        <w:jc w:val="both"/>
        <w:rPr>
          <w:rFonts w:ascii="Palatino Linotype" w:eastAsia="Palatino Linotype" w:hAnsi="Palatino Linotype" w:cs="Palatino Linotype"/>
          <w:strike/>
        </w:rPr>
      </w:pPr>
      <w:r w:rsidRPr="00D339A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EA5F60F" w14:textId="77777777" w:rsidR="00951C71" w:rsidRPr="00D339A7" w:rsidRDefault="00951C71">
      <w:pPr>
        <w:spacing w:after="0" w:line="360" w:lineRule="auto"/>
        <w:jc w:val="both"/>
        <w:rPr>
          <w:rFonts w:ascii="Palatino Linotype" w:eastAsia="Palatino Linotype" w:hAnsi="Palatino Linotype" w:cs="Palatino Linotype"/>
        </w:rPr>
      </w:pPr>
    </w:p>
    <w:p w14:paraId="3FDD9170" w14:textId="77777777" w:rsidR="00951C71" w:rsidRPr="00D339A7" w:rsidRDefault="00957E20">
      <w:pPr>
        <w:numPr>
          <w:ilvl w:val="0"/>
          <w:numId w:val="15"/>
        </w:num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b/>
          <w:bCs/>
        </w:rPr>
        <w:t>Complejidad del Asunto:</w:t>
      </w:r>
      <w:r w:rsidRPr="00D339A7">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3221566C" w14:textId="77777777" w:rsidR="00951C71" w:rsidRPr="00D339A7" w:rsidRDefault="00951C71">
      <w:pPr>
        <w:spacing w:after="0" w:line="360" w:lineRule="auto"/>
        <w:ind w:left="927"/>
        <w:jc w:val="both"/>
        <w:rPr>
          <w:rFonts w:ascii="Palatino Linotype" w:eastAsia="Palatino Linotype" w:hAnsi="Palatino Linotype" w:cs="Palatino Linotype"/>
        </w:rPr>
      </w:pPr>
    </w:p>
    <w:p w14:paraId="43FD33D1" w14:textId="77777777" w:rsidR="00951C71" w:rsidRPr="00D339A7" w:rsidRDefault="00957E20">
      <w:pPr>
        <w:numPr>
          <w:ilvl w:val="0"/>
          <w:numId w:val="15"/>
        </w:num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b/>
          <w:bCs/>
        </w:rPr>
        <w:t>Actividad Procesal del interesado.</w:t>
      </w:r>
      <w:r w:rsidRPr="00D339A7">
        <w:rPr>
          <w:rFonts w:ascii="Palatino Linotype" w:eastAsia="Palatino Linotype" w:hAnsi="Palatino Linotype" w:cs="Palatino Linotype"/>
        </w:rPr>
        <w:t xml:space="preserve"> Acciones u omisiones del interesado.</w:t>
      </w:r>
    </w:p>
    <w:p w14:paraId="63B9B6CF" w14:textId="77777777" w:rsidR="00951C71" w:rsidRPr="00D339A7" w:rsidRDefault="00951C71">
      <w:pPr>
        <w:spacing w:after="0" w:line="360" w:lineRule="auto"/>
        <w:ind w:left="927"/>
        <w:jc w:val="both"/>
        <w:rPr>
          <w:rFonts w:ascii="Palatino Linotype" w:eastAsia="Palatino Linotype" w:hAnsi="Palatino Linotype" w:cs="Palatino Linotype"/>
        </w:rPr>
      </w:pPr>
    </w:p>
    <w:p w14:paraId="66A713E4" w14:textId="77777777" w:rsidR="00951C71" w:rsidRPr="00D339A7" w:rsidRDefault="00957E20">
      <w:pPr>
        <w:numPr>
          <w:ilvl w:val="0"/>
          <w:numId w:val="15"/>
        </w:num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b/>
          <w:bCs/>
        </w:rPr>
        <w:t xml:space="preserve">Conducta de la Autoridad: </w:t>
      </w:r>
      <w:r w:rsidRPr="00D339A7">
        <w:rPr>
          <w:rFonts w:ascii="Palatino Linotype" w:eastAsia="Palatino Linotype" w:hAnsi="Palatino Linotype" w:cs="Palatino Linotype"/>
        </w:rPr>
        <w:t>Las Acciones u omisiones realizadas en el procedimiento. Así como si la autoridad actuó con la debida diligencia.</w:t>
      </w:r>
    </w:p>
    <w:p w14:paraId="32B2F2DD" w14:textId="77777777" w:rsidR="00951C71" w:rsidRPr="00D339A7" w:rsidRDefault="00951C71">
      <w:pPr>
        <w:spacing w:after="0" w:line="360" w:lineRule="auto"/>
        <w:ind w:left="927"/>
        <w:jc w:val="both"/>
        <w:rPr>
          <w:rFonts w:ascii="Palatino Linotype" w:eastAsia="Palatino Linotype" w:hAnsi="Palatino Linotype" w:cs="Palatino Linotype"/>
        </w:rPr>
      </w:pPr>
    </w:p>
    <w:p w14:paraId="161BC461" w14:textId="77777777" w:rsidR="00951C71" w:rsidRPr="00D339A7" w:rsidRDefault="00957E20">
      <w:pPr>
        <w:numPr>
          <w:ilvl w:val="0"/>
          <w:numId w:val="15"/>
        </w:num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 </w:t>
      </w:r>
      <w:r w:rsidRPr="00D339A7">
        <w:rPr>
          <w:rFonts w:ascii="Palatino Linotype" w:eastAsia="Palatino Linotype" w:hAnsi="Palatino Linotype" w:cs="Palatino Linotype"/>
          <w:b/>
          <w:bCs/>
        </w:rPr>
        <w:t>La afectación generada en la situación jurídica de la persona involucrada en el proceso:</w:t>
      </w:r>
      <w:r w:rsidRPr="00D339A7">
        <w:rPr>
          <w:rFonts w:ascii="Palatino Linotype" w:eastAsia="Palatino Linotype" w:hAnsi="Palatino Linotype" w:cs="Palatino Linotype"/>
        </w:rPr>
        <w:t xml:space="preserve"> Violación a sus derechos humanos.</w:t>
      </w:r>
    </w:p>
    <w:p w14:paraId="42498AA4" w14:textId="77777777" w:rsidR="00951C71" w:rsidRPr="00D339A7" w:rsidRDefault="00951C71">
      <w:pPr>
        <w:spacing w:after="0" w:line="360" w:lineRule="auto"/>
        <w:jc w:val="both"/>
        <w:rPr>
          <w:rFonts w:ascii="Palatino Linotype" w:eastAsia="Palatino Linotype" w:hAnsi="Palatino Linotype" w:cs="Palatino Linotype"/>
        </w:rPr>
      </w:pPr>
    </w:p>
    <w:p w14:paraId="1A588168"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06945BA" w14:textId="77777777" w:rsidR="00951C71" w:rsidRPr="00D339A7" w:rsidRDefault="00951C71">
      <w:pPr>
        <w:spacing w:after="0" w:line="360" w:lineRule="auto"/>
        <w:jc w:val="both"/>
        <w:rPr>
          <w:rFonts w:ascii="Palatino Linotype" w:eastAsia="Palatino Linotype" w:hAnsi="Palatino Linotype" w:cs="Palatino Linotype"/>
        </w:rPr>
      </w:pPr>
    </w:p>
    <w:p w14:paraId="71A4CD54" w14:textId="77777777" w:rsidR="00951C71" w:rsidRPr="00D339A7" w:rsidRDefault="00957E20">
      <w:pPr>
        <w:spacing w:after="0" w:line="360" w:lineRule="auto"/>
        <w:jc w:val="both"/>
        <w:rPr>
          <w:rFonts w:ascii="Palatino Linotype" w:eastAsia="Palatino Linotype" w:hAnsi="Palatino Linotype" w:cs="Palatino Linotype"/>
          <w:b/>
          <w:bCs/>
        </w:rPr>
      </w:pPr>
      <w:r w:rsidRPr="00D339A7">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D339A7">
        <w:rPr>
          <w:rFonts w:ascii="Palatino Linotype" w:eastAsia="Palatino Linotype" w:hAnsi="Palatino Linotype" w:cs="Palatino Linotype"/>
          <w:i/>
          <w:iCs/>
        </w:rPr>
        <w:t>“TÉRMINOS PROCESALES. PARA DETERMINAR SI UN FUNCIONARIO JUDICIAL ACTUÓ INDEBIDAMENTE POR NO RESPETARLOS SE DEBE ATENDER AL PRESUPUESTO QUE CONSIDERÓ EL LEGISLADOR AL FIJARLOS Y LAS CARACTERÍSTICAS DEL CASO.”</w:t>
      </w:r>
      <w:r w:rsidRPr="00D339A7">
        <w:rPr>
          <w:rFonts w:ascii="Palatino Linotype" w:eastAsia="Palatino Linotype" w:hAnsi="Palatino Linotype" w:cs="Palatino Linotype"/>
        </w:rPr>
        <w:t>, visible en la Gaceta del Seminario Judicial de la Federación con el registro digital 205635.</w:t>
      </w:r>
    </w:p>
    <w:p w14:paraId="5A660AC5" w14:textId="77777777" w:rsidR="00951C71" w:rsidRPr="00D339A7" w:rsidRDefault="00951C71">
      <w:pPr>
        <w:spacing w:after="0" w:line="360" w:lineRule="auto"/>
        <w:jc w:val="both"/>
        <w:rPr>
          <w:rFonts w:ascii="Palatino Linotype" w:eastAsia="Palatino Linotype" w:hAnsi="Palatino Linotype" w:cs="Palatino Linotype"/>
        </w:rPr>
      </w:pPr>
    </w:p>
    <w:p w14:paraId="17B82021"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DB54F6F" w14:textId="77777777" w:rsidR="00951C71" w:rsidRPr="00D339A7" w:rsidRDefault="00951C71">
      <w:pPr>
        <w:spacing w:after="0" w:line="360" w:lineRule="auto"/>
        <w:jc w:val="both"/>
        <w:rPr>
          <w:rFonts w:ascii="Palatino Linotype" w:eastAsia="Palatino Linotype" w:hAnsi="Palatino Linotype" w:cs="Palatino Linotype"/>
        </w:rPr>
      </w:pPr>
    </w:p>
    <w:p w14:paraId="7FB506B3"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ECEF5C4" w14:textId="77777777" w:rsidR="00951C71" w:rsidRPr="00D339A7" w:rsidRDefault="00951C71">
      <w:pPr>
        <w:spacing w:after="0" w:line="360" w:lineRule="auto"/>
        <w:jc w:val="both"/>
        <w:rPr>
          <w:rFonts w:ascii="Palatino Linotype" w:eastAsia="Palatino Linotype" w:hAnsi="Palatino Linotype" w:cs="Palatino Linotype"/>
        </w:rPr>
      </w:pPr>
    </w:p>
    <w:p w14:paraId="44B73A0B" w14:textId="77777777" w:rsidR="00951C71" w:rsidRPr="00D339A7" w:rsidRDefault="00957E20">
      <w:pPr>
        <w:spacing w:after="0" w:line="360" w:lineRule="auto"/>
        <w:ind w:left="567" w:right="616"/>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 </w:t>
      </w:r>
      <w:r w:rsidRPr="00D339A7">
        <w:rPr>
          <w:rFonts w:ascii="Palatino Linotype" w:eastAsia="Palatino Linotype" w:hAnsi="Palatino Linotype" w:cs="Palatino Linotype"/>
          <w:i/>
          <w:iCs/>
        </w:rPr>
        <w:t>“PLAZO RAZONABLE PARA RESOLVER. DIMENSIÓN Y EFECTOS DE ESTE CONCEPTO CUANDO SE ADUCE EXCESIVA CARGA DE TRABAJO.”</w:t>
      </w:r>
      <w:r w:rsidRPr="00D339A7">
        <w:rPr>
          <w:rFonts w:ascii="Palatino Linotype" w:eastAsia="Palatino Linotype" w:hAnsi="Palatino Linotype" w:cs="Palatino Linotype"/>
        </w:rPr>
        <w:t xml:space="preserve"> consultable en el Seminario Judicial de la Federación y su gaceta, con el registro digital 2002351.</w:t>
      </w:r>
    </w:p>
    <w:p w14:paraId="443A89AB" w14:textId="77777777" w:rsidR="00951C71" w:rsidRPr="00D339A7" w:rsidRDefault="00951C71">
      <w:pPr>
        <w:spacing w:after="0" w:line="360" w:lineRule="auto"/>
        <w:ind w:left="567" w:right="616"/>
        <w:jc w:val="both"/>
        <w:rPr>
          <w:rFonts w:ascii="Palatino Linotype" w:eastAsia="Palatino Linotype" w:hAnsi="Palatino Linotype" w:cs="Palatino Linotype"/>
          <w:b/>
          <w:bCs/>
        </w:rPr>
      </w:pPr>
    </w:p>
    <w:p w14:paraId="14C03E83" w14:textId="77777777" w:rsidR="00951C71" w:rsidRPr="00D339A7" w:rsidRDefault="00957E20">
      <w:pPr>
        <w:spacing w:after="0" w:line="360" w:lineRule="auto"/>
        <w:ind w:left="567" w:right="616"/>
        <w:jc w:val="both"/>
        <w:rPr>
          <w:rFonts w:ascii="Palatino Linotype" w:eastAsia="Palatino Linotype" w:hAnsi="Palatino Linotype" w:cs="Palatino Linotype"/>
        </w:rPr>
      </w:pPr>
      <w:r w:rsidRPr="00D339A7">
        <w:rPr>
          <w:rFonts w:ascii="Palatino Linotype" w:eastAsia="Palatino Linotype" w:hAnsi="Palatino Linotype" w:cs="Palatino Linotype"/>
          <w:i/>
          <w:iCs/>
        </w:rPr>
        <w:t>“PLAZO RAZONABLE PARA RESOLVER. CONCEPTO Y ELEMENTOS QUE LO INTEGRAN A LA LUZ DEL DERECHO INTERNACIONAL DE LOS DERECHOS HUMANOS.”</w:t>
      </w:r>
      <w:r w:rsidRPr="00D339A7">
        <w:rPr>
          <w:rFonts w:ascii="Palatino Linotype" w:eastAsia="Palatino Linotype" w:hAnsi="Palatino Linotype" w:cs="Palatino Linotype"/>
        </w:rPr>
        <w:t>, visible en el Seminario Judicial de la Federación y su gaceta, con el registro digital 2002350.</w:t>
      </w:r>
    </w:p>
    <w:p w14:paraId="2E2AF5D1" w14:textId="77777777" w:rsidR="00951C71" w:rsidRPr="00D339A7" w:rsidRDefault="00951C71">
      <w:pPr>
        <w:spacing w:after="0" w:line="360" w:lineRule="auto"/>
        <w:ind w:left="567" w:right="616"/>
        <w:jc w:val="both"/>
        <w:rPr>
          <w:rFonts w:ascii="Palatino Linotype" w:eastAsia="Palatino Linotype" w:hAnsi="Palatino Linotype" w:cs="Palatino Linotype"/>
        </w:rPr>
      </w:pPr>
    </w:p>
    <w:p w14:paraId="41251EAE"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816C530" w14:textId="77777777" w:rsidR="00951C71" w:rsidRPr="00D339A7" w:rsidRDefault="00951C71">
      <w:pPr>
        <w:spacing w:after="0" w:line="360" w:lineRule="auto"/>
        <w:jc w:val="both"/>
        <w:rPr>
          <w:rFonts w:ascii="Palatino Linotype" w:eastAsia="Palatino Linotype" w:hAnsi="Palatino Linotype" w:cs="Palatino Linotype"/>
        </w:rPr>
      </w:pPr>
    </w:p>
    <w:p w14:paraId="2C97A352" w14:textId="77777777" w:rsidR="00951C71" w:rsidRPr="00D339A7" w:rsidRDefault="00957E20">
      <w:pPr>
        <w:numPr>
          <w:ilvl w:val="0"/>
          <w:numId w:val="14"/>
        </w:numPr>
        <w:pBdr>
          <w:top w:val="nil"/>
          <w:left w:val="nil"/>
          <w:bottom w:val="nil"/>
          <w:right w:val="nil"/>
          <w:between w:val="nil"/>
        </w:pBdr>
        <w:tabs>
          <w:tab w:val="left" w:pos="426"/>
        </w:tabs>
        <w:spacing w:after="0" w:line="360" w:lineRule="auto"/>
        <w:ind w:left="0" w:firstLine="0"/>
        <w:jc w:val="both"/>
        <w:rPr>
          <w:rFonts w:ascii="Palatino Linotype" w:eastAsia="Palatino Linotype" w:hAnsi="Palatino Linotype" w:cs="Palatino Linotype"/>
        </w:rPr>
      </w:pPr>
      <w:r w:rsidRPr="00D339A7">
        <w:rPr>
          <w:rFonts w:ascii="Palatino Linotype" w:eastAsia="Palatino Linotype" w:hAnsi="Palatino Linotype" w:cs="Palatino Linotype"/>
          <w:b/>
          <w:bCs/>
        </w:rPr>
        <w:t xml:space="preserve">Cierre de instrucción. </w:t>
      </w:r>
      <w:r w:rsidRPr="00D339A7">
        <w:rPr>
          <w:rFonts w:ascii="Palatino Linotype" w:eastAsia="Palatino Linotype" w:hAnsi="Palatino Linotype" w:cs="Palatino Linotype"/>
        </w:rPr>
        <w:t xml:space="preserve">El </w:t>
      </w:r>
      <w:r w:rsidRPr="00D339A7">
        <w:rPr>
          <w:rFonts w:ascii="Palatino Linotype" w:eastAsia="Palatino Linotype" w:hAnsi="Palatino Linotype" w:cs="Palatino Linotype"/>
          <w:b/>
          <w:bCs/>
        </w:rPr>
        <w:t>cinco de febrero de dos mil veintiséis</w:t>
      </w:r>
      <w:r w:rsidRPr="00D339A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061554F" w14:textId="77777777" w:rsidR="00951C71" w:rsidRPr="00D339A7" w:rsidRDefault="00951C71">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rPr>
      </w:pPr>
    </w:p>
    <w:p w14:paraId="41128D58"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FC5340B" w14:textId="77777777" w:rsidR="00951C71" w:rsidRPr="00D339A7" w:rsidRDefault="00951C71">
      <w:pPr>
        <w:spacing w:after="0" w:line="360" w:lineRule="auto"/>
        <w:jc w:val="both"/>
        <w:rPr>
          <w:rFonts w:ascii="Palatino Linotype" w:eastAsia="Palatino Linotype" w:hAnsi="Palatino Linotype" w:cs="Palatino Linotype"/>
        </w:rPr>
      </w:pPr>
    </w:p>
    <w:p w14:paraId="4B6A8A59" w14:textId="77777777" w:rsidR="00951C71" w:rsidRPr="00D339A7" w:rsidRDefault="00957E20">
      <w:pPr>
        <w:spacing w:after="0" w:line="360" w:lineRule="auto"/>
        <w:ind w:right="49"/>
        <w:jc w:val="center"/>
        <w:rPr>
          <w:rFonts w:ascii="Palatino Linotype" w:eastAsia="Palatino Linotype" w:hAnsi="Palatino Linotype" w:cs="Palatino Linotype"/>
          <w:b/>
          <w:bCs/>
        </w:rPr>
      </w:pPr>
      <w:r w:rsidRPr="00D339A7">
        <w:rPr>
          <w:rFonts w:ascii="Palatino Linotype" w:eastAsia="Palatino Linotype" w:hAnsi="Palatino Linotype" w:cs="Palatino Linotype"/>
          <w:b/>
          <w:bCs/>
        </w:rPr>
        <w:t>II.</w:t>
      </w:r>
      <w:r w:rsidRPr="00D339A7">
        <w:rPr>
          <w:rFonts w:ascii="Palatino Linotype" w:eastAsia="Palatino Linotype" w:hAnsi="Palatino Linotype" w:cs="Palatino Linotype"/>
          <w:b/>
          <w:bCs/>
        </w:rPr>
        <w:tab/>
        <w:t>C O N S I D E R A N D O:</w:t>
      </w:r>
    </w:p>
    <w:p w14:paraId="514A5804" w14:textId="77777777" w:rsidR="00951C71" w:rsidRPr="00D339A7" w:rsidRDefault="00951C71">
      <w:pPr>
        <w:spacing w:after="0" w:line="360" w:lineRule="auto"/>
        <w:ind w:right="49"/>
        <w:jc w:val="both"/>
        <w:rPr>
          <w:rFonts w:ascii="Palatino Linotype" w:eastAsia="Palatino Linotype" w:hAnsi="Palatino Linotype" w:cs="Palatino Linotype"/>
        </w:rPr>
      </w:pPr>
    </w:p>
    <w:p w14:paraId="2C1F6992"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b/>
          <w:bCs/>
        </w:rPr>
        <w:t xml:space="preserve">Primero. Competencia. </w:t>
      </w:r>
      <w:r w:rsidRPr="00D339A7">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C21D0E4" w14:textId="77777777" w:rsidR="00951C71" w:rsidRPr="00D339A7" w:rsidRDefault="00951C71">
      <w:pPr>
        <w:spacing w:after="0" w:line="360" w:lineRule="auto"/>
        <w:jc w:val="both"/>
        <w:rPr>
          <w:rFonts w:ascii="Palatino Linotype" w:eastAsia="Palatino Linotype" w:hAnsi="Palatino Linotype" w:cs="Palatino Linotype"/>
        </w:rPr>
      </w:pPr>
    </w:p>
    <w:p w14:paraId="4857A646"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b/>
          <w:bCs/>
        </w:rPr>
        <w:t>Segundo. Oportunidad y Procedibilidad del Recurso de Revisión</w:t>
      </w:r>
      <w:r w:rsidRPr="00D339A7">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592B766" w14:textId="77777777" w:rsidR="00951C71" w:rsidRPr="00D339A7" w:rsidRDefault="00951C71">
      <w:pPr>
        <w:spacing w:after="0" w:line="360" w:lineRule="auto"/>
        <w:ind w:right="49"/>
        <w:jc w:val="both"/>
        <w:rPr>
          <w:rFonts w:ascii="Palatino Linotype" w:eastAsia="Palatino Linotype" w:hAnsi="Palatino Linotype" w:cs="Palatino Linotype"/>
        </w:rPr>
      </w:pPr>
    </w:p>
    <w:p w14:paraId="4892BA71"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D339A7">
        <w:rPr>
          <w:rFonts w:ascii="Palatino Linotype" w:eastAsia="Palatino Linotype" w:hAnsi="Palatino Linotype" w:cs="Palatino Linotype"/>
          <w:b/>
          <w:bCs/>
        </w:rPr>
        <w:t>SUJETO OBLIGADO</w:t>
      </w:r>
      <w:r w:rsidRPr="00D339A7">
        <w:rPr>
          <w:rFonts w:ascii="Palatino Linotype" w:eastAsia="Palatino Linotype" w:hAnsi="Palatino Linotype" w:cs="Palatino Linotype"/>
        </w:rPr>
        <w:t xml:space="preserve"> proporcionó su respuesta a la solicitud de información el </w:t>
      </w:r>
      <w:r w:rsidRPr="00D339A7">
        <w:rPr>
          <w:rFonts w:ascii="Palatino Linotype" w:eastAsia="Palatino Linotype" w:hAnsi="Palatino Linotype" w:cs="Palatino Linotype"/>
          <w:b/>
          <w:bCs/>
        </w:rPr>
        <w:t>veinte de agosto de dos mil veinticinco</w:t>
      </w:r>
      <w:r w:rsidRPr="00D339A7">
        <w:rPr>
          <w:rFonts w:ascii="Palatino Linotype" w:eastAsia="Palatino Linotype" w:hAnsi="Palatino Linotype" w:cs="Palatino Linotype"/>
        </w:rPr>
        <w:t xml:space="preserve">, y la parte </w:t>
      </w:r>
      <w:r w:rsidRPr="00D339A7">
        <w:rPr>
          <w:rFonts w:ascii="Palatino Linotype" w:eastAsia="Palatino Linotype" w:hAnsi="Palatino Linotype" w:cs="Palatino Linotype"/>
          <w:b/>
          <w:bCs/>
        </w:rPr>
        <w:t>RECURRENTE</w:t>
      </w:r>
      <w:r w:rsidRPr="00D339A7">
        <w:rPr>
          <w:rFonts w:ascii="Palatino Linotype" w:eastAsia="Palatino Linotype" w:hAnsi="Palatino Linotype" w:cs="Palatino Linotype"/>
        </w:rPr>
        <w:t xml:space="preserve"> presentó su recurso de revisión el </w:t>
      </w:r>
      <w:r w:rsidRPr="00D339A7">
        <w:rPr>
          <w:rFonts w:ascii="Palatino Linotype" w:eastAsia="Palatino Linotype" w:hAnsi="Palatino Linotype" w:cs="Palatino Linotype"/>
          <w:b/>
          <w:bCs/>
        </w:rPr>
        <w:t>veinte de agosto de dos mil veinticinco</w:t>
      </w:r>
      <w:r w:rsidRPr="00D339A7">
        <w:rPr>
          <w:rFonts w:ascii="Palatino Linotype" w:eastAsia="Palatino Linotype" w:hAnsi="Palatino Linotype" w:cs="Palatino Linotype"/>
        </w:rPr>
        <w:t xml:space="preserve">, esto es el mismo día en que tuvo conocimiento de la respuesta. </w:t>
      </w:r>
    </w:p>
    <w:p w14:paraId="40075A97" w14:textId="77777777" w:rsidR="00951C71" w:rsidRPr="00D339A7" w:rsidRDefault="00951C71">
      <w:pPr>
        <w:spacing w:after="0" w:line="360" w:lineRule="auto"/>
        <w:ind w:right="49"/>
        <w:jc w:val="both"/>
        <w:rPr>
          <w:rFonts w:ascii="Palatino Linotype" w:eastAsia="Palatino Linotype" w:hAnsi="Palatino Linotype" w:cs="Palatino Linotype"/>
        </w:rPr>
      </w:pPr>
    </w:p>
    <w:p w14:paraId="752B2F04"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14B79654" w14:textId="77777777" w:rsidR="00951C71" w:rsidRPr="00D339A7" w:rsidRDefault="00951C71">
      <w:pPr>
        <w:spacing w:after="0" w:line="360" w:lineRule="auto"/>
        <w:ind w:right="49"/>
        <w:jc w:val="both"/>
        <w:rPr>
          <w:rFonts w:ascii="Palatino Linotype" w:eastAsia="Palatino Linotype" w:hAnsi="Palatino Linotype" w:cs="Palatino Linotype"/>
        </w:rPr>
      </w:pPr>
    </w:p>
    <w:p w14:paraId="620EE151" w14:textId="77777777" w:rsidR="00951C71" w:rsidRPr="00D339A7" w:rsidRDefault="00957E20">
      <w:pPr>
        <w:spacing w:after="0"/>
        <w:ind w:left="567" w:right="843"/>
        <w:jc w:val="both"/>
        <w:rPr>
          <w:rFonts w:ascii="Palatino Linotype" w:eastAsia="Palatino Linotype" w:hAnsi="Palatino Linotype" w:cs="Palatino Linotype"/>
        </w:rPr>
      </w:pPr>
      <w:r w:rsidRPr="00D339A7">
        <w:rPr>
          <w:rFonts w:ascii="Palatino Linotype" w:eastAsia="Palatino Linotype" w:hAnsi="Palatino Linotype" w:cs="Palatino Linotype"/>
        </w:rPr>
        <w:t>“</w:t>
      </w:r>
      <w:r w:rsidRPr="00D339A7">
        <w:rPr>
          <w:rFonts w:ascii="Palatino Linotype" w:eastAsia="Palatino Linotype" w:hAnsi="Palatino Linotype" w:cs="Palatino Linotype"/>
          <w:b/>
          <w:bCs/>
        </w:rPr>
        <w:t>RECURSO DE RECLAMACIÓN. SU INTERPOSICIÓN NO ES EXTEMPORÁNEA SI SE REALIZA ANTES DE QUE INICIE EL PLAZO PARA HACERLO.</w:t>
      </w:r>
      <w:r w:rsidRPr="00D339A7">
        <w:rPr>
          <w:rFonts w:ascii="Palatino Linotype" w:eastAsia="Palatino Linotype" w:hAnsi="Palatino Linotype" w:cs="Palatino Linotype"/>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FE6C13B" w14:textId="77777777" w:rsidR="00951C71" w:rsidRPr="00D339A7" w:rsidRDefault="00951C71">
      <w:pPr>
        <w:spacing w:after="0" w:line="360" w:lineRule="auto"/>
        <w:ind w:right="49"/>
        <w:jc w:val="both"/>
        <w:rPr>
          <w:rFonts w:ascii="Palatino Linotype" w:eastAsia="Palatino Linotype" w:hAnsi="Palatino Linotype" w:cs="Palatino Linotype"/>
        </w:rPr>
      </w:pPr>
    </w:p>
    <w:p w14:paraId="028FE85A"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Es de suma importancia mencionar que, si bien la persona solicitante no </w:t>
      </w:r>
      <w:r w:rsidRPr="00D339A7">
        <w:rPr>
          <w:rFonts w:ascii="Palatino Linotype" w:eastAsia="Palatino Linotype" w:hAnsi="Palatino Linotype" w:cs="Palatino Linotype"/>
          <w:b/>
          <w:bCs/>
        </w:rPr>
        <w:t xml:space="preserve">proporcionó un nombre o seudónimo </w:t>
      </w:r>
      <w:r w:rsidRPr="00D339A7">
        <w:rPr>
          <w:rFonts w:ascii="Palatino Linotype" w:eastAsia="Palatino Linotype" w:hAnsi="Palatino Linotype" w:cs="Palatino Linotype"/>
        </w:rPr>
        <w:t>para ser identificado, como se advierte en el detalle de seguimiento del SAIMEX,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5D1782B" w14:textId="77777777" w:rsidR="00951C71" w:rsidRPr="00D339A7" w:rsidRDefault="00951C71">
      <w:pPr>
        <w:spacing w:after="0" w:line="360" w:lineRule="auto"/>
        <w:ind w:right="49"/>
        <w:jc w:val="both"/>
        <w:rPr>
          <w:rFonts w:ascii="Palatino Linotype" w:eastAsia="Palatino Linotype" w:hAnsi="Palatino Linotype" w:cs="Palatino Linotype"/>
        </w:rPr>
      </w:pPr>
    </w:p>
    <w:p w14:paraId="2FFC01A9"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w:t>
      </w:r>
      <w:r w:rsidRPr="00D339A7">
        <w:rPr>
          <w:rFonts w:ascii="Palatino Linotype" w:eastAsia="Palatino Linotype" w:hAnsi="Palatino Linotype" w:cs="Palatino Linotype"/>
          <w:b/>
          <w:bCs/>
          <w:i/>
          <w:iCs/>
        </w:rPr>
        <w:t>Las solicitudes anónimas, con nombre incompleto o seudónimo serán procedentes para su trámite por parte del sujeto obligado ante quien se presente.</w:t>
      </w:r>
      <w:r w:rsidRPr="00D339A7">
        <w:rPr>
          <w:rFonts w:ascii="Palatino Linotype" w:eastAsia="Palatino Linotype" w:hAnsi="Palatino Linotype" w:cs="Palatino Linotype"/>
          <w:i/>
          <w:iCs/>
        </w:rPr>
        <w:t xml:space="preserve"> No podrá requerirse información adicional con motivo del nombre proporcionado por el solicitante.</w:t>
      </w:r>
    </w:p>
    <w:p w14:paraId="71D87A6C" w14:textId="77777777" w:rsidR="00951C71" w:rsidRPr="00D339A7" w:rsidRDefault="00951C71">
      <w:pPr>
        <w:spacing w:after="0" w:line="360" w:lineRule="auto"/>
        <w:ind w:right="49"/>
        <w:jc w:val="both"/>
        <w:rPr>
          <w:rFonts w:ascii="Palatino Linotype" w:eastAsia="Palatino Linotype" w:hAnsi="Palatino Linotype" w:cs="Palatino Linotype"/>
        </w:rPr>
      </w:pPr>
    </w:p>
    <w:p w14:paraId="18DD6CC2"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01A21B22" w14:textId="77777777" w:rsidR="00951C71" w:rsidRPr="00D339A7" w:rsidRDefault="00951C71">
      <w:pPr>
        <w:spacing w:after="0" w:line="360" w:lineRule="auto"/>
        <w:ind w:right="49"/>
        <w:jc w:val="both"/>
        <w:rPr>
          <w:rFonts w:ascii="Palatino Linotype" w:eastAsia="Palatino Linotype" w:hAnsi="Palatino Linotype" w:cs="Palatino Linotype"/>
        </w:rPr>
      </w:pPr>
    </w:p>
    <w:p w14:paraId="42F793DC"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Asimismo, resulta procedente la interposición del recurso de revisión al rubro anotado, toda vez que se actualiza la hipótesis prevista en el artículo 179, fracción I de la ley de la materia, que a la letra dice:</w:t>
      </w:r>
    </w:p>
    <w:p w14:paraId="2EF034B8" w14:textId="77777777" w:rsidR="00951C71" w:rsidRPr="00D339A7" w:rsidRDefault="00951C71">
      <w:pPr>
        <w:spacing w:after="0" w:line="360" w:lineRule="auto"/>
        <w:ind w:right="49"/>
        <w:jc w:val="both"/>
        <w:rPr>
          <w:rFonts w:ascii="Palatino Linotype" w:eastAsia="Palatino Linotype" w:hAnsi="Palatino Linotype" w:cs="Palatino Linotype"/>
        </w:rPr>
      </w:pPr>
    </w:p>
    <w:p w14:paraId="502334F5"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w:t>
      </w:r>
      <w:r w:rsidRPr="00D339A7">
        <w:rPr>
          <w:rFonts w:ascii="Palatino Linotype" w:eastAsia="Palatino Linotype" w:hAnsi="Palatino Linotype" w:cs="Palatino Linotype"/>
          <w:b/>
          <w:bCs/>
          <w:i/>
          <w:iCs/>
        </w:rPr>
        <w:t xml:space="preserve">Artículo 179. </w:t>
      </w:r>
      <w:r w:rsidRPr="00D339A7">
        <w:rPr>
          <w:rFonts w:ascii="Palatino Linotype" w:eastAsia="Palatino Linotype" w:hAnsi="Palatino Linotype" w:cs="Palatino Linotype"/>
          <w:i/>
          <w:iCs/>
        </w:rPr>
        <w:t>El recurso de revisión es un medio de protección que la Ley otorga a los particulares, para hacer valer su derecho de acceso a la información pública, y procederá en contra de las siguientes causas:</w:t>
      </w:r>
    </w:p>
    <w:p w14:paraId="71B38B18"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w:t>
      </w:r>
    </w:p>
    <w:p w14:paraId="0FEC0DBC"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I. La negativa de entrega de la información; </w:t>
      </w:r>
    </w:p>
    <w:p w14:paraId="6DD79C11" w14:textId="77777777" w:rsidR="00951C71" w:rsidRPr="00D339A7" w:rsidRDefault="00957E20">
      <w:pPr>
        <w:spacing w:after="0" w:line="360" w:lineRule="auto"/>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 </w:t>
      </w:r>
    </w:p>
    <w:p w14:paraId="038B2FEA" w14:textId="77777777" w:rsidR="00951C71" w:rsidRPr="00D339A7" w:rsidRDefault="00951C71">
      <w:pPr>
        <w:spacing w:after="0" w:line="360" w:lineRule="auto"/>
        <w:ind w:left="567" w:right="49"/>
        <w:jc w:val="both"/>
        <w:rPr>
          <w:rFonts w:ascii="Palatino Linotype" w:eastAsia="Palatino Linotype" w:hAnsi="Palatino Linotype" w:cs="Palatino Linotype"/>
          <w:i/>
          <w:iCs/>
        </w:rPr>
      </w:pPr>
    </w:p>
    <w:p w14:paraId="0DB9E1AD"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b/>
          <w:bCs/>
        </w:rPr>
        <w:t>Tercero. Materia de Revisión</w:t>
      </w:r>
      <w:r w:rsidRPr="00D339A7">
        <w:rPr>
          <w:rFonts w:ascii="Palatino Linotype" w:eastAsia="Palatino Linotype" w:hAnsi="Palatino Linotype" w:cs="Palatino Linotype"/>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14:paraId="2F137022" w14:textId="77777777" w:rsidR="00951C71" w:rsidRPr="00D339A7" w:rsidRDefault="00951C71">
      <w:pPr>
        <w:spacing w:after="0" w:line="360" w:lineRule="auto"/>
        <w:ind w:right="49"/>
        <w:jc w:val="both"/>
        <w:rPr>
          <w:rFonts w:ascii="Palatino Linotype" w:eastAsia="Palatino Linotype" w:hAnsi="Palatino Linotype" w:cs="Palatino Linotype"/>
        </w:rPr>
      </w:pPr>
    </w:p>
    <w:p w14:paraId="17C18A5E"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b/>
          <w:bCs/>
        </w:rPr>
        <w:t>Cuarto.</w:t>
      </w:r>
      <w:r w:rsidRPr="00D339A7">
        <w:rPr>
          <w:rFonts w:ascii="Palatino Linotype" w:eastAsia="Palatino Linotype" w:hAnsi="Palatino Linotype" w:cs="Palatino Linotype"/>
        </w:rPr>
        <w:t xml:space="preserve"> </w:t>
      </w:r>
      <w:r w:rsidRPr="00D339A7">
        <w:rPr>
          <w:rFonts w:ascii="Palatino Linotype" w:eastAsia="Palatino Linotype" w:hAnsi="Palatino Linotype" w:cs="Palatino Linotype"/>
          <w:b/>
          <w:bCs/>
        </w:rPr>
        <w:t>Estudio de fondo del asunto.</w:t>
      </w:r>
      <w:r w:rsidRPr="00D339A7">
        <w:rPr>
          <w:rFonts w:ascii="Palatino Linotype" w:eastAsia="Palatino Linotype" w:hAnsi="Palatino Linotype" w:cs="Palatino Linotype"/>
        </w:rPr>
        <w:t xml:space="preserve">  Es conveniente analizar si la respuesta del Sujeto Obligado</w:t>
      </w:r>
      <w:r w:rsidRPr="00D339A7">
        <w:rPr>
          <w:rFonts w:ascii="Palatino Linotype" w:eastAsia="Palatino Linotype" w:hAnsi="Palatino Linotype" w:cs="Palatino Linotype"/>
          <w:b/>
          <w:bCs/>
        </w:rPr>
        <w:t xml:space="preserve"> </w:t>
      </w:r>
      <w:r w:rsidRPr="00D339A7">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6E5EC98" w14:textId="77777777" w:rsidR="00951C71" w:rsidRPr="00D339A7" w:rsidRDefault="00951C71">
      <w:pPr>
        <w:spacing w:after="0" w:line="360" w:lineRule="auto"/>
        <w:ind w:right="49"/>
        <w:jc w:val="both"/>
        <w:rPr>
          <w:rFonts w:ascii="Palatino Linotype" w:eastAsia="Palatino Linotype" w:hAnsi="Palatino Linotype" w:cs="Palatino Linotype"/>
        </w:rPr>
      </w:pPr>
    </w:p>
    <w:p w14:paraId="6DB2891D" w14:textId="77777777" w:rsidR="00951C71" w:rsidRPr="00D339A7" w:rsidRDefault="00957E20">
      <w:pPr>
        <w:tabs>
          <w:tab w:val="left" w:pos="851"/>
        </w:tabs>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w:t>
      </w:r>
      <w:r w:rsidRPr="00D339A7">
        <w:rPr>
          <w:rFonts w:ascii="Palatino Linotype" w:eastAsia="Palatino Linotype" w:hAnsi="Palatino Linotype" w:cs="Palatino Linotype"/>
          <w:b/>
          <w:bCs/>
          <w:i/>
          <w:iCs/>
        </w:rPr>
        <w:t>Artículo 4</w:t>
      </w:r>
      <w:r w:rsidRPr="00D339A7">
        <w:rPr>
          <w:rFonts w:ascii="Palatino Linotype" w:eastAsia="Palatino Linotype" w:hAnsi="Palatino Linotype" w:cs="Palatino Linotype"/>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5430E26" w14:textId="77777777" w:rsidR="00951C71" w:rsidRPr="00D339A7" w:rsidRDefault="00957E20">
      <w:pPr>
        <w:tabs>
          <w:tab w:val="left" w:pos="851"/>
        </w:tabs>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b/>
          <w:bCs/>
          <w:i/>
          <w:iCs/>
        </w:rPr>
        <w:t>Toda la información generada, obtenida, adquirida, transformada, administrada o en posesión de los sujetos obligados es pública y accesible de manera permanente a cualquier persona</w:t>
      </w:r>
      <w:r w:rsidRPr="00D339A7">
        <w:rPr>
          <w:rFonts w:ascii="Palatino Linotype" w:eastAsia="Palatino Linotype" w:hAnsi="Palatino Linotype" w:cs="Palatino Linotype"/>
          <w:i/>
          <w:iC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882C84F" w14:textId="77777777" w:rsidR="00951C71" w:rsidRPr="00D339A7" w:rsidRDefault="00957E20">
      <w:pPr>
        <w:tabs>
          <w:tab w:val="left" w:pos="851"/>
        </w:tabs>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b/>
          <w:bCs/>
          <w:i/>
          <w:iCs/>
        </w:rPr>
        <w:t>Los sujetos obligados deben poner en práctica, políticas y programas de acceso a la información que se apeguen a criterios de publicidad, veracidad, oportunidad, precisión y suficiencia en beneficio de los solicitantes</w:t>
      </w:r>
      <w:r w:rsidRPr="00D339A7">
        <w:rPr>
          <w:rFonts w:ascii="Palatino Linotype" w:eastAsia="Palatino Linotype" w:hAnsi="Palatino Linotype" w:cs="Palatino Linotype"/>
          <w:i/>
          <w:iCs/>
        </w:rPr>
        <w:t>.”</w:t>
      </w:r>
    </w:p>
    <w:p w14:paraId="3C4B45F5" w14:textId="77777777" w:rsidR="00951C71" w:rsidRPr="00D339A7" w:rsidRDefault="00951C71">
      <w:pPr>
        <w:spacing w:after="0" w:line="360" w:lineRule="auto"/>
        <w:ind w:right="49"/>
        <w:jc w:val="both"/>
        <w:rPr>
          <w:rFonts w:ascii="Palatino Linotype" w:eastAsia="Palatino Linotype" w:hAnsi="Palatino Linotype" w:cs="Palatino Linotype"/>
        </w:rPr>
      </w:pPr>
    </w:p>
    <w:p w14:paraId="2EC797E1"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A1A5E57" w14:textId="77777777" w:rsidR="00951C71" w:rsidRPr="00D339A7" w:rsidRDefault="00951C71">
      <w:pPr>
        <w:spacing w:after="0" w:line="360" w:lineRule="auto"/>
        <w:ind w:right="49"/>
        <w:jc w:val="both"/>
        <w:rPr>
          <w:rFonts w:ascii="Palatino Linotype" w:eastAsia="Palatino Linotype" w:hAnsi="Palatino Linotype" w:cs="Palatino Linotype"/>
        </w:rPr>
      </w:pPr>
    </w:p>
    <w:p w14:paraId="20A21403"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w:t>
      </w:r>
      <w:r w:rsidRPr="00D339A7">
        <w:rPr>
          <w:rFonts w:ascii="Palatino Linotype" w:eastAsia="Palatino Linotype" w:hAnsi="Palatino Linotype" w:cs="Palatino Linotype"/>
          <w:b/>
          <w:bCs/>
          <w:i/>
          <w:iCs/>
        </w:rPr>
        <w:t>Artículo 12.-</w:t>
      </w:r>
      <w:r w:rsidRPr="00D339A7">
        <w:rPr>
          <w:rFonts w:ascii="Palatino Linotype" w:eastAsia="Palatino Linotype" w:hAnsi="Palatino Linotype" w:cs="Palatino Linotype"/>
          <w:i/>
          <w:iCs/>
        </w:rPr>
        <w:t xml:space="preserve"> Quienes generen, recopilen, administren, manejen, procesen, archiven o conserven información pública serán responsables de la misma en los términos de las disposiciones jurídicas aplicables. </w:t>
      </w:r>
    </w:p>
    <w:p w14:paraId="04E679DB" w14:textId="77777777" w:rsidR="00951C71" w:rsidRPr="00D339A7" w:rsidRDefault="00951C71">
      <w:pPr>
        <w:spacing w:after="0"/>
        <w:ind w:left="567" w:right="49"/>
        <w:jc w:val="both"/>
        <w:rPr>
          <w:rFonts w:ascii="Palatino Linotype" w:eastAsia="Palatino Linotype" w:hAnsi="Palatino Linotype" w:cs="Palatino Linotype"/>
          <w:i/>
          <w:iCs/>
        </w:rPr>
      </w:pPr>
    </w:p>
    <w:p w14:paraId="18DD73F8"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b/>
          <w:bCs/>
          <w:i/>
          <w:iCs/>
        </w:rPr>
        <w:t>Los sujetos obligados sólo proporcionarán la información pública que se les requiera y que obre en sus archivos y en el estado en que ésta se encuentre</w:t>
      </w:r>
      <w:r w:rsidRPr="00D339A7">
        <w:rPr>
          <w:rFonts w:ascii="Palatino Linotype" w:eastAsia="Palatino Linotype" w:hAnsi="Palatino Linotype" w:cs="Palatino Linotype"/>
          <w:i/>
          <w:iCs/>
        </w:rPr>
        <w:t xml:space="preserve">. </w:t>
      </w:r>
      <w:r w:rsidRPr="00D339A7">
        <w:rPr>
          <w:rFonts w:ascii="Palatino Linotype" w:eastAsia="Palatino Linotype" w:hAnsi="Palatino Linotype" w:cs="Palatino Linotype"/>
          <w:b/>
          <w:bCs/>
          <w:i/>
          <w:iCs/>
        </w:rPr>
        <w:t>La obligación de proporcionar información no comprende el procesamiento de la misma, ni el presentarla conforme al interés del solicitante; no estarán obligados a generarla, resumirla, efectuar cálculos o practicar investigaciones</w:t>
      </w:r>
      <w:r w:rsidRPr="00D339A7">
        <w:rPr>
          <w:rFonts w:ascii="Palatino Linotype" w:eastAsia="Palatino Linotype" w:hAnsi="Palatino Linotype" w:cs="Palatino Linotype"/>
          <w:i/>
          <w:iCs/>
        </w:rPr>
        <w:t xml:space="preserve">.” </w:t>
      </w:r>
    </w:p>
    <w:p w14:paraId="02B6A76C"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344181CC" w14:textId="77777777" w:rsidR="00951C71" w:rsidRPr="00D339A7" w:rsidRDefault="00951C71">
      <w:pPr>
        <w:spacing w:after="0" w:line="360" w:lineRule="auto"/>
        <w:ind w:right="49"/>
        <w:jc w:val="both"/>
        <w:rPr>
          <w:rFonts w:ascii="Palatino Linotype" w:eastAsia="Palatino Linotype" w:hAnsi="Palatino Linotype" w:cs="Palatino Linotype"/>
        </w:rPr>
      </w:pPr>
    </w:p>
    <w:p w14:paraId="501D455B" w14:textId="77777777" w:rsidR="00951C71" w:rsidRPr="00D339A7" w:rsidRDefault="00957E20">
      <w:pPr>
        <w:spacing w:after="0" w:line="360" w:lineRule="auto"/>
        <w:ind w:right="49"/>
        <w:jc w:val="both"/>
        <w:rPr>
          <w:rFonts w:ascii="Palatino Linotype" w:eastAsia="Palatino Linotype" w:hAnsi="Palatino Linotype" w:cs="Palatino Linotype"/>
          <w:b/>
          <w:bCs/>
        </w:rPr>
      </w:pPr>
      <w:r w:rsidRPr="00D339A7">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D339A7">
        <w:rPr>
          <w:rFonts w:ascii="Palatino Linotype" w:eastAsia="Palatino Linotype" w:hAnsi="Palatino Linotype" w:cs="Palatino Linotype"/>
          <w:b/>
          <w:bCs/>
        </w:rPr>
        <w:t xml:space="preserve"> </w:t>
      </w:r>
    </w:p>
    <w:p w14:paraId="0DFA812A" w14:textId="77777777" w:rsidR="00951C71" w:rsidRPr="00D339A7" w:rsidRDefault="00951C71">
      <w:pPr>
        <w:spacing w:after="0"/>
        <w:ind w:left="851" w:right="49"/>
        <w:jc w:val="both"/>
        <w:rPr>
          <w:rFonts w:ascii="Palatino Linotype" w:eastAsia="Palatino Linotype" w:hAnsi="Palatino Linotype" w:cs="Palatino Linotype"/>
        </w:rPr>
      </w:pPr>
    </w:p>
    <w:p w14:paraId="5E39D836"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w:t>
      </w:r>
      <w:r w:rsidRPr="00D339A7">
        <w:rPr>
          <w:rFonts w:ascii="Palatino Linotype" w:eastAsia="Palatino Linotype" w:hAnsi="Palatino Linotype" w:cs="Palatino Linotype"/>
          <w:b/>
          <w:bCs/>
          <w:i/>
          <w:iCs/>
        </w:rPr>
        <w:t>No existe obligación de elaborar documentos ad hoc para atender las solicitudes de acceso a la información.</w:t>
      </w:r>
      <w:r w:rsidRPr="00D339A7">
        <w:rPr>
          <w:rFonts w:ascii="Palatino Linotype" w:eastAsia="Palatino Linotype" w:hAnsi="Palatino Linotype" w:cs="Palatino Linotype"/>
          <w:i/>
          <w:iC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C28730B" w14:textId="77777777" w:rsidR="00951C71" w:rsidRPr="00D339A7" w:rsidRDefault="00951C71">
      <w:pPr>
        <w:spacing w:after="0"/>
        <w:ind w:left="567" w:right="49"/>
        <w:jc w:val="both"/>
        <w:rPr>
          <w:rFonts w:ascii="Palatino Linotype" w:eastAsia="Palatino Linotype" w:hAnsi="Palatino Linotype" w:cs="Palatino Linotype"/>
          <w:i/>
          <w:iCs/>
        </w:rPr>
      </w:pPr>
    </w:p>
    <w:p w14:paraId="66D26E9F"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1EAACE5" w14:textId="77777777" w:rsidR="00951C71" w:rsidRPr="00D339A7" w:rsidRDefault="00951C71">
      <w:pPr>
        <w:spacing w:after="0" w:line="360" w:lineRule="auto"/>
        <w:ind w:right="49"/>
        <w:jc w:val="both"/>
        <w:rPr>
          <w:rFonts w:ascii="Palatino Linotype" w:eastAsia="Palatino Linotype" w:hAnsi="Palatino Linotype" w:cs="Palatino Linotype"/>
        </w:rPr>
      </w:pPr>
    </w:p>
    <w:p w14:paraId="12F78C95"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DD8FD3B" w14:textId="77777777" w:rsidR="00951C71" w:rsidRPr="00D339A7" w:rsidRDefault="00951C71">
      <w:pPr>
        <w:spacing w:after="0" w:line="360" w:lineRule="auto"/>
        <w:ind w:right="49"/>
        <w:jc w:val="both"/>
        <w:rPr>
          <w:rFonts w:ascii="Palatino Linotype" w:eastAsia="Palatino Linotype" w:hAnsi="Palatino Linotype" w:cs="Palatino Linotype"/>
        </w:rPr>
      </w:pPr>
    </w:p>
    <w:p w14:paraId="487796C0"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EDF272E" w14:textId="77777777" w:rsidR="00951C71" w:rsidRPr="00D339A7" w:rsidRDefault="00951C71">
      <w:pPr>
        <w:spacing w:after="0" w:line="360" w:lineRule="auto"/>
        <w:ind w:right="49"/>
        <w:jc w:val="both"/>
        <w:rPr>
          <w:rFonts w:ascii="Palatino Linotype" w:eastAsia="Palatino Linotype" w:hAnsi="Palatino Linotype" w:cs="Palatino Linotype"/>
        </w:rPr>
      </w:pPr>
    </w:p>
    <w:p w14:paraId="41EEEAF9"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w:t>
      </w:r>
      <w:r w:rsidRPr="00D339A7">
        <w:rPr>
          <w:rFonts w:ascii="Palatino Linotype" w:eastAsia="Palatino Linotype" w:hAnsi="Palatino Linotype" w:cs="Palatino Linotype"/>
          <w:b/>
          <w:bCs/>
          <w:i/>
          <w:iCs/>
        </w:rPr>
        <w:t xml:space="preserve">Artículo 3. </w:t>
      </w:r>
      <w:r w:rsidRPr="00D339A7">
        <w:rPr>
          <w:rFonts w:ascii="Palatino Linotype" w:eastAsia="Palatino Linotype" w:hAnsi="Palatino Linotype" w:cs="Palatino Linotype"/>
          <w:i/>
          <w:iCs/>
        </w:rPr>
        <w:t>Para los efectos de la presente Ley se entenderá por:</w:t>
      </w:r>
    </w:p>
    <w:p w14:paraId="05B93571"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w:t>
      </w:r>
    </w:p>
    <w:p w14:paraId="2D43E181"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b/>
          <w:bCs/>
          <w:i/>
          <w:iCs/>
        </w:rPr>
        <w:t>XI. Documento:</w:t>
      </w:r>
      <w:r w:rsidRPr="00D339A7">
        <w:rPr>
          <w:rFonts w:ascii="Palatino Linotype" w:eastAsia="Palatino Linotype" w:hAnsi="Palatino Linotype" w:cs="Palatino Linotype"/>
          <w:i/>
          <w:iCs/>
        </w:rPr>
        <w:t xml:space="preserve"> Los expedientes, reportes, estudios, actas</w:t>
      </w:r>
      <w:r w:rsidRPr="00D339A7">
        <w:rPr>
          <w:rFonts w:ascii="Palatino Linotype" w:eastAsia="Palatino Linotype" w:hAnsi="Palatino Linotype" w:cs="Palatino Linotype"/>
          <w:b/>
          <w:bCs/>
          <w:i/>
          <w:iCs/>
        </w:rPr>
        <w:t>,</w:t>
      </w:r>
      <w:r w:rsidRPr="00D339A7">
        <w:rPr>
          <w:rFonts w:ascii="Palatino Linotype" w:eastAsia="Palatino Linotype" w:hAnsi="Palatino Linotype" w:cs="Palatino Linotype"/>
          <w:i/>
          <w:iCs/>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02EE735" w14:textId="77777777" w:rsidR="00951C71" w:rsidRPr="00D339A7" w:rsidRDefault="00951C71">
      <w:pPr>
        <w:spacing w:after="0" w:line="360" w:lineRule="auto"/>
        <w:ind w:left="851" w:right="49"/>
        <w:jc w:val="both"/>
        <w:rPr>
          <w:rFonts w:ascii="Palatino Linotype" w:eastAsia="Palatino Linotype" w:hAnsi="Palatino Linotype" w:cs="Palatino Linotype"/>
        </w:rPr>
      </w:pPr>
    </w:p>
    <w:p w14:paraId="4268B1D2"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57AAFC3" w14:textId="77777777" w:rsidR="00951C71" w:rsidRPr="00D339A7" w:rsidRDefault="00951C71">
      <w:pPr>
        <w:spacing w:after="0" w:line="360" w:lineRule="auto"/>
        <w:ind w:left="851" w:right="49"/>
        <w:jc w:val="both"/>
        <w:rPr>
          <w:rFonts w:ascii="Palatino Linotype" w:eastAsia="Palatino Linotype" w:hAnsi="Palatino Linotype" w:cs="Palatino Linotype"/>
        </w:rPr>
      </w:pPr>
    </w:p>
    <w:p w14:paraId="0EB5A9F4" w14:textId="77777777" w:rsidR="00951C71" w:rsidRPr="00D339A7" w:rsidRDefault="00957E20">
      <w:pPr>
        <w:tabs>
          <w:tab w:val="left" w:pos="7797"/>
        </w:tabs>
        <w:spacing w:after="0"/>
        <w:ind w:left="709" w:right="49"/>
        <w:jc w:val="both"/>
        <w:rPr>
          <w:rFonts w:ascii="Palatino Linotype" w:eastAsia="Palatino Linotype" w:hAnsi="Palatino Linotype" w:cs="Palatino Linotype"/>
          <w:b/>
          <w:bCs/>
          <w:i/>
          <w:iCs/>
        </w:rPr>
      </w:pPr>
      <w:r w:rsidRPr="00D339A7">
        <w:rPr>
          <w:rFonts w:ascii="Palatino Linotype" w:eastAsia="Palatino Linotype" w:hAnsi="Palatino Linotype" w:cs="Palatino Linotype"/>
          <w:b/>
          <w:bCs/>
        </w:rPr>
        <w:t>“</w:t>
      </w:r>
      <w:r w:rsidRPr="00D339A7">
        <w:rPr>
          <w:rFonts w:ascii="Palatino Linotype" w:eastAsia="Palatino Linotype" w:hAnsi="Palatino Linotype" w:cs="Palatino Linotype"/>
          <w:b/>
          <w:bCs/>
          <w:i/>
          <w:iCs/>
        </w:rPr>
        <w:t>CRITERIO 0002-11. INFORMACIÓN PÚBLICA, CONCEPTO DE, EN MATERIA DE TRANSPARENCIA. INTERPRETACIÓN SISTEMÁTICA DE LOS ARTÍCULOS 2°, FRACCIÓN V, XV, Y XVI, 3°, 4°, 11 Y 41.</w:t>
      </w:r>
      <w:r w:rsidRPr="00D339A7">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A45AE82" w14:textId="77777777" w:rsidR="00951C71" w:rsidRPr="00D339A7" w:rsidRDefault="00957E20">
      <w:pPr>
        <w:tabs>
          <w:tab w:val="left" w:pos="7797"/>
        </w:tabs>
        <w:spacing w:after="0"/>
        <w:ind w:left="709"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En consecuencia el acceso a la información se refiere a que se cumplan cualquiera de los siguientes tres supuestos:</w:t>
      </w:r>
    </w:p>
    <w:p w14:paraId="0E44AC43" w14:textId="77777777" w:rsidR="00951C71" w:rsidRPr="00D339A7" w:rsidRDefault="00957E20">
      <w:pPr>
        <w:tabs>
          <w:tab w:val="left" w:pos="7797"/>
        </w:tabs>
        <w:spacing w:after="0"/>
        <w:ind w:left="709"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1) Que se trate de información registrada en cualquier soporte documental, que en ejercicio de las atribuciones conferidas, sea generada por los Sujetos Obligados;</w:t>
      </w:r>
    </w:p>
    <w:p w14:paraId="7B91438E" w14:textId="77777777" w:rsidR="00951C71" w:rsidRPr="00D339A7" w:rsidRDefault="00957E20">
      <w:pPr>
        <w:tabs>
          <w:tab w:val="left" w:pos="7797"/>
        </w:tabs>
        <w:spacing w:after="0"/>
        <w:ind w:left="709" w:right="49"/>
        <w:jc w:val="both"/>
        <w:rPr>
          <w:rFonts w:ascii="Palatino Linotype" w:eastAsia="Palatino Linotype" w:hAnsi="Palatino Linotype" w:cs="Palatino Linotype"/>
          <w:b/>
          <w:bCs/>
          <w:i/>
          <w:iCs/>
        </w:rPr>
      </w:pPr>
      <w:r w:rsidRPr="00D339A7">
        <w:rPr>
          <w:rFonts w:ascii="Palatino Linotype" w:eastAsia="Palatino Linotype" w:hAnsi="Palatino Linotype" w:cs="Palatino Linotype"/>
          <w:b/>
          <w:bCs/>
          <w:i/>
          <w:iCs/>
        </w:rPr>
        <w:t>2) Que se trate de información registrada en cualquier soporte documental, que en ejercicio de las atribuciones conferidas, sea administrada por los Sujetos Obligados, y</w:t>
      </w:r>
    </w:p>
    <w:p w14:paraId="0ED987CA" w14:textId="77777777" w:rsidR="00951C71" w:rsidRPr="00D339A7" w:rsidRDefault="00957E20">
      <w:pPr>
        <w:tabs>
          <w:tab w:val="left" w:pos="7797"/>
        </w:tabs>
        <w:spacing w:after="0"/>
        <w:ind w:left="709" w:right="49"/>
        <w:jc w:val="both"/>
        <w:rPr>
          <w:rFonts w:ascii="Palatino Linotype" w:eastAsia="Palatino Linotype" w:hAnsi="Palatino Linotype" w:cs="Palatino Linotype"/>
          <w:b/>
          <w:bCs/>
          <w:i/>
          <w:iCs/>
        </w:rPr>
      </w:pPr>
      <w:r w:rsidRPr="00D339A7">
        <w:rPr>
          <w:rFonts w:ascii="Palatino Linotype" w:eastAsia="Palatino Linotype" w:hAnsi="Palatino Linotype" w:cs="Palatino Linotype"/>
          <w:b/>
          <w:bCs/>
          <w:i/>
          <w:iCs/>
        </w:rPr>
        <w:t xml:space="preserve">3) Que se trate de información registrada en cualquier soporte documental, que en ejercicio de las atribuciones conferidas, se encuentre en posesión de los Sujetos Obligados.” </w:t>
      </w:r>
    </w:p>
    <w:p w14:paraId="4A3B04C2" w14:textId="77777777" w:rsidR="00951C71" w:rsidRPr="00D339A7" w:rsidRDefault="00951C71">
      <w:pPr>
        <w:spacing w:after="0" w:line="360" w:lineRule="auto"/>
        <w:ind w:right="49"/>
        <w:jc w:val="both"/>
        <w:rPr>
          <w:rFonts w:ascii="Palatino Linotype" w:eastAsia="Palatino Linotype" w:hAnsi="Palatino Linotype" w:cs="Palatino Linotype"/>
        </w:rPr>
      </w:pPr>
    </w:p>
    <w:p w14:paraId="55325F0A" w14:textId="77777777" w:rsidR="00951C71" w:rsidRPr="00D339A7" w:rsidRDefault="00957E20">
      <w:pPr>
        <w:spacing w:after="0" w:line="360" w:lineRule="auto"/>
        <w:ind w:right="49"/>
        <w:jc w:val="both"/>
        <w:rPr>
          <w:rFonts w:ascii="Palatino Linotype" w:eastAsia="Palatino Linotype" w:hAnsi="Palatino Linotype" w:cs="Palatino Linotype"/>
          <w:b/>
          <w:bCs/>
        </w:rPr>
      </w:pPr>
      <w:r w:rsidRPr="00D339A7">
        <w:rPr>
          <w:rFonts w:ascii="Palatino Linotype" w:eastAsia="Palatino Linotype" w:hAnsi="Palatino Linotype" w:cs="Palatino Linotype"/>
        </w:rPr>
        <w:t xml:space="preserve">Dicho lo anterior, es de recordar que la parte Solicitante requirió </w:t>
      </w:r>
      <w:r w:rsidRPr="00D339A7">
        <w:rPr>
          <w:rFonts w:ascii="Palatino Linotype" w:eastAsia="Palatino Linotype" w:hAnsi="Palatino Linotype" w:cs="Palatino Linotype"/>
          <w:b/>
          <w:bCs/>
        </w:rPr>
        <w:t xml:space="preserve">todas las renuncias del personal del uno de enero al cuatro de agosto de dos mil veinticinco, conocer si demandaron, el estatus de la demanda, número de los que firmaron convenio y número de a quienes se les pagó. </w:t>
      </w:r>
    </w:p>
    <w:p w14:paraId="0874F74D" w14:textId="77777777" w:rsidR="00951C71" w:rsidRPr="00D339A7" w:rsidRDefault="00951C7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A3FF155" w14:textId="77777777" w:rsidR="00951C71" w:rsidRPr="00D339A7" w:rsidRDefault="00957E2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En respuesta, la Dirección General de Administración refirió que, lo solicitado no constituye un Derecho de Acceso a la Información Pública y, por lo tanto no es atendible mediante una solicitud de acceso a la información, al tratarse de manifestaciones subjetivas vertidas por el particular.</w:t>
      </w:r>
    </w:p>
    <w:p w14:paraId="521A11BC" w14:textId="77777777" w:rsidR="00951C71" w:rsidRPr="00D339A7" w:rsidRDefault="00957E20">
      <w:pPr>
        <w:pBdr>
          <w:top w:val="nil"/>
          <w:left w:val="nil"/>
          <w:bottom w:val="nil"/>
          <w:right w:val="nil"/>
          <w:between w:val="nil"/>
        </w:pBdr>
        <w:spacing w:after="0"/>
        <w:ind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rPr>
        <w:t xml:space="preserve">Derivado de ello, la parte Recurrente se inconformó arguyendo la negativa de la entrega de la información. </w:t>
      </w:r>
    </w:p>
    <w:p w14:paraId="4D273A8E" w14:textId="77777777" w:rsidR="00951C71" w:rsidRPr="00D339A7" w:rsidRDefault="00951C7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4FE2A95" w14:textId="77777777" w:rsidR="00951C71" w:rsidRPr="00D339A7" w:rsidRDefault="00957E2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El Sujeto Obligado ratificó su respuesta inicial.</w:t>
      </w:r>
    </w:p>
    <w:p w14:paraId="55B47D87" w14:textId="77777777" w:rsidR="00951C71" w:rsidRPr="00D339A7" w:rsidRDefault="00951C7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840975D"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Dicho lo anterior se procede a contextualizar la información solicitada para ello, el artículo 108 de la Constitución Política de los Estados Unidos Mexicanos, con relación al diverso 130 de la Constitución Política del Estado Libre y Soberano de México, establecen que se considera como servidor público a toda persona que desempeñe un empleo, cargo o comisión en alguno de los poderes del Estado, organismos autónomos, en los municipios y organismos auxiliares, así como los titulares o quienes hagan sus veces en empresas de participación estatal o municipal, sociedades o asociaciones asimiladas a éstas y en los fideicomisos públicos.</w:t>
      </w:r>
    </w:p>
    <w:p w14:paraId="30FB6CCE" w14:textId="77777777" w:rsidR="00951C71" w:rsidRPr="00D339A7" w:rsidRDefault="00951C71">
      <w:pPr>
        <w:spacing w:after="0"/>
        <w:jc w:val="both"/>
        <w:rPr>
          <w:rFonts w:ascii="Palatino Linotype" w:eastAsia="Palatino Linotype" w:hAnsi="Palatino Linotype" w:cs="Palatino Linotype"/>
        </w:rPr>
      </w:pPr>
    </w:p>
    <w:p w14:paraId="3889E025" w14:textId="77777777" w:rsidR="00951C71" w:rsidRPr="00D339A7" w:rsidRDefault="00957E20">
      <w:pPr>
        <w:spacing w:after="0" w:line="360" w:lineRule="auto"/>
        <w:ind w:right="-93"/>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Ahora bien, cabe traer a la colación el artículo  50 de la Ley del Trabajo de los servidores públicos del Estado y Municipios que señala lo que a continuación: </w:t>
      </w:r>
    </w:p>
    <w:p w14:paraId="1C68C5F5" w14:textId="77777777" w:rsidR="00951C71" w:rsidRPr="00D339A7" w:rsidRDefault="00951C71">
      <w:pPr>
        <w:spacing w:after="0"/>
        <w:ind w:right="539"/>
        <w:jc w:val="both"/>
        <w:rPr>
          <w:rFonts w:ascii="Palatino Linotype" w:eastAsia="Palatino Linotype" w:hAnsi="Palatino Linotype" w:cs="Palatino Linotype"/>
          <w:i/>
          <w:iCs/>
        </w:rPr>
      </w:pPr>
    </w:p>
    <w:p w14:paraId="7A7F0BA9" w14:textId="77777777" w:rsidR="00951C71" w:rsidRPr="00D339A7" w:rsidRDefault="00957E20">
      <w:pPr>
        <w:spacing w:after="0"/>
        <w:ind w:left="567" w:right="539"/>
        <w:jc w:val="both"/>
        <w:rPr>
          <w:rFonts w:ascii="Palatino Linotype" w:eastAsia="Palatino Linotype" w:hAnsi="Palatino Linotype" w:cs="Palatino Linotype"/>
          <w:i/>
          <w:iCs/>
        </w:rPr>
      </w:pPr>
      <w:r w:rsidRPr="00D339A7">
        <w:rPr>
          <w:rFonts w:ascii="Palatino Linotype" w:eastAsia="Palatino Linotype" w:hAnsi="Palatino Linotype" w:cs="Palatino Linotype"/>
          <w:b/>
          <w:bCs/>
          <w:i/>
          <w:iCs/>
        </w:rPr>
        <w:t xml:space="preserve">ARTÍCULO 50.- </w:t>
      </w:r>
      <w:r w:rsidRPr="00D339A7">
        <w:rPr>
          <w:rFonts w:ascii="Palatino Linotype" w:eastAsia="Palatino Linotype" w:hAnsi="Palatino Linotype" w:cs="Palatino Linotype"/>
          <w:i/>
          <w:iCs/>
        </w:rPr>
        <w:t xml:space="preserve">El nombramiento, contrato o formato único de Movimientos de Personal aceptado obliga al servidor público a cumplir con los deberes inherentes al puesto especificado en el mismo y a las consecuencias que sean conforme a la ley, al uso y a la buena fe. </w:t>
      </w:r>
    </w:p>
    <w:p w14:paraId="76EF536B" w14:textId="77777777" w:rsidR="00951C71" w:rsidRPr="00D339A7" w:rsidRDefault="00951C71">
      <w:pPr>
        <w:spacing w:after="0" w:line="360" w:lineRule="auto"/>
        <w:jc w:val="both"/>
        <w:rPr>
          <w:rFonts w:ascii="Palatino Linotype" w:eastAsia="Palatino Linotype" w:hAnsi="Palatino Linotype" w:cs="Palatino Linotype"/>
        </w:rPr>
      </w:pPr>
    </w:p>
    <w:p w14:paraId="566027FB"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Asimismo, los artículos 92 y 94 de la Ley del Trabajo de los Servidores Públicos del Estado de México, precisan que la institución pública, como lo es un Ayuntamiento, podrá rescindir en cualquier momento la relación laboral; para lo cual, deberá dar aviso por escrito al servidor público de manera personal, la fecha y causa de baja.</w:t>
      </w:r>
    </w:p>
    <w:p w14:paraId="41EAA89E" w14:textId="77777777" w:rsidR="00951C71" w:rsidRPr="00D339A7" w:rsidRDefault="00951C71">
      <w:pPr>
        <w:tabs>
          <w:tab w:val="left" w:pos="4962"/>
        </w:tabs>
        <w:spacing w:after="0" w:line="360" w:lineRule="auto"/>
        <w:jc w:val="both"/>
        <w:rPr>
          <w:rFonts w:ascii="Palatino Linotype" w:eastAsia="Palatino Linotype" w:hAnsi="Palatino Linotype" w:cs="Palatino Linotype"/>
        </w:rPr>
      </w:pPr>
    </w:p>
    <w:p w14:paraId="62538678" w14:textId="77777777" w:rsidR="00951C71" w:rsidRPr="00D339A7" w:rsidRDefault="00957E20">
      <w:pPr>
        <w:tabs>
          <w:tab w:val="left" w:pos="4962"/>
        </w:tabs>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Además, se trae por analogía el procedimiento denominado “031 Baja de Servidora Públicas y Servidores Públicos Generales y de Confianza”, del Manual de Normas y Procedimientos de Desarrollo y Administración de Personal emitido por la Secretaría de Finanzas del Estado de México, cuyo objetivo principal es procesar el movimiento de baja de trabajadores gubernamentales que dejan de prestar sus servicios a la institución pública y dar por concluida la relación laboral; además, precisa que las razones de baja, serán las siguientes:</w:t>
      </w:r>
    </w:p>
    <w:p w14:paraId="395A97F7" w14:textId="77777777" w:rsidR="00951C71" w:rsidRPr="00D339A7" w:rsidRDefault="00951C71">
      <w:pPr>
        <w:tabs>
          <w:tab w:val="left" w:pos="4962"/>
        </w:tabs>
        <w:spacing w:after="0" w:line="360" w:lineRule="auto"/>
        <w:jc w:val="both"/>
        <w:rPr>
          <w:rFonts w:ascii="Palatino Linotype" w:eastAsia="Palatino Linotype" w:hAnsi="Palatino Linotype" w:cs="Palatino Linotype"/>
        </w:rPr>
      </w:pPr>
    </w:p>
    <w:p w14:paraId="6384A78F" w14:textId="77777777" w:rsidR="00951C71" w:rsidRPr="00D339A7" w:rsidRDefault="00957E20">
      <w:pPr>
        <w:numPr>
          <w:ilvl w:val="0"/>
          <w:numId w:val="4"/>
        </w:numPr>
        <w:tabs>
          <w:tab w:val="left" w:pos="4962"/>
        </w:tabs>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Renuncia;</w:t>
      </w:r>
    </w:p>
    <w:p w14:paraId="731D0811" w14:textId="77777777" w:rsidR="00951C71" w:rsidRPr="00D339A7" w:rsidRDefault="00957E20">
      <w:pPr>
        <w:numPr>
          <w:ilvl w:val="0"/>
          <w:numId w:val="4"/>
        </w:numPr>
        <w:tabs>
          <w:tab w:val="left" w:pos="4962"/>
        </w:tabs>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Fallecimiento;</w:t>
      </w:r>
    </w:p>
    <w:p w14:paraId="3BCB5C54" w14:textId="77777777" w:rsidR="00951C71" w:rsidRPr="00D339A7" w:rsidRDefault="00957E20">
      <w:pPr>
        <w:numPr>
          <w:ilvl w:val="0"/>
          <w:numId w:val="4"/>
        </w:numPr>
        <w:tabs>
          <w:tab w:val="left" w:pos="4962"/>
        </w:tabs>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Recisión de la relación laboral;</w:t>
      </w:r>
    </w:p>
    <w:p w14:paraId="03A1C894" w14:textId="77777777" w:rsidR="00951C71" w:rsidRPr="00D339A7" w:rsidRDefault="00957E20">
      <w:pPr>
        <w:numPr>
          <w:ilvl w:val="0"/>
          <w:numId w:val="4"/>
        </w:numPr>
        <w:tabs>
          <w:tab w:val="left" w:pos="4962"/>
        </w:tabs>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Aplicación de resolución de autoridad competente;</w:t>
      </w:r>
    </w:p>
    <w:p w14:paraId="709882DF" w14:textId="77777777" w:rsidR="00951C71" w:rsidRPr="00D339A7" w:rsidRDefault="00957E20">
      <w:pPr>
        <w:numPr>
          <w:ilvl w:val="0"/>
          <w:numId w:val="4"/>
        </w:numPr>
        <w:tabs>
          <w:tab w:val="left" w:pos="4962"/>
        </w:tabs>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Pensión por jubilación, retiro y tiempo de servicios o inhabilitación;</w:t>
      </w:r>
    </w:p>
    <w:p w14:paraId="25E18C31" w14:textId="77777777" w:rsidR="00951C71" w:rsidRPr="00D339A7" w:rsidRDefault="00957E20">
      <w:pPr>
        <w:numPr>
          <w:ilvl w:val="0"/>
          <w:numId w:val="4"/>
        </w:numPr>
        <w:tabs>
          <w:tab w:val="left" w:pos="4962"/>
        </w:tabs>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Mutuo consentimiento de las partes, y</w:t>
      </w:r>
    </w:p>
    <w:p w14:paraId="58CBEBEC" w14:textId="77777777" w:rsidR="00951C71" w:rsidRPr="00D339A7" w:rsidRDefault="00957E20">
      <w:pPr>
        <w:numPr>
          <w:ilvl w:val="0"/>
          <w:numId w:val="4"/>
        </w:numPr>
        <w:tabs>
          <w:tab w:val="left" w:pos="4962"/>
        </w:tabs>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Vencimiento o conclusión de obra determinada.</w:t>
      </w:r>
    </w:p>
    <w:p w14:paraId="22269873" w14:textId="77777777" w:rsidR="00951C71" w:rsidRPr="00D339A7" w:rsidRDefault="00951C71">
      <w:pPr>
        <w:spacing w:after="0" w:line="360" w:lineRule="auto"/>
        <w:jc w:val="both"/>
        <w:rPr>
          <w:rFonts w:ascii="Palatino Linotype" w:eastAsia="Palatino Linotype" w:hAnsi="Palatino Linotype" w:cs="Palatino Linotype"/>
        </w:rPr>
      </w:pPr>
    </w:p>
    <w:p w14:paraId="3DB333D7" w14:textId="77777777" w:rsidR="00951C71" w:rsidRPr="00D339A7" w:rsidRDefault="00957E20">
      <w:pPr>
        <w:spacing w:after="0" w:line="360" w:lineRule="auto"/>
        <w:jc w:val="both"/>
        <w:rPr>
          <w:rFonts w:ascii="Palatino Linotype" w:eastAsia="Palatino Linotype" w:hAnsi="Palatino Linotype" w:cs="Palatino Linotype"/>
          <w:b/>
          <w:bCs/>
        </w:rPr>
      </w:pPr>
      <w:r w:rsidRPr="00D339A7">
        <w:rPr>
          <w:rFonts w:ascii="Palatino Linotype" w:eastAsia="Palatino Linotype" w:hAnsi="Palatino Linotype" w:cs="Palatino Linotype"/>
        </w:rPr>
        <w:t>Ahora bien, la Guía técnica 07 “La administración del personal municipal</w:t>
      </w:r>
      <w:r w:rsidRPr="00D339A7">
        <w:rPr>
          <w:rFonts w:ascii="Palatino Linotype" w:eastAsia="Palatino Linotype" w:hAnsi="Palatino Linotype" w:cs="Palatino Linotype"/>
          <w:b/>
          <w:bCs/>
        </w:rPr>
        <w:t xml:space="preserve">” </w:t>
      </w:r>
      <w:r w:rsidRPr="00D339A7">
        <w:rPr>
          <w:rFonts w:ascii="Palatino Linotype" w:eastAsia="Palatino Linotype" w:hAnsi="Palatino Linotype" w:cs="Palatino Linotype"/>
        </w:rPr>
        <w:t>del Instituto Nacional de Administración Pública define a la baja laboral como el proceso de Terminación de la relación laboral que sucede cuando un empleado puede dejar de prestar sus servicios al municipio por diferentes casusas, como son: jubilación, renuncia, terminación, suspensión o rescisión del contrato.</w:t>
      </w:r>
      <w:r w:rsidRPr="00D339A7">
        <w:rPr>
          <w:rFonts w:ascii="Palatino Linotype" w:eastAsia="Palatino Linotype" w:hAnsi="Palatino Linotype" w:cs="Palatino Linotype"/>
          <w:b/>
          <w:bCs/>
        </w:rPr>
        <w:t xml:space="preserve"> </w:t>
      </w:r>
    </w:p>
    <w:p w14:paraId="1ED8A490" w14:textId="77777777" w:rsidR="00951C71" w:rsidRPr="00D339A7" w:rsidRDefault="00951C71">
      <w:pPr>
        <w:spacing w:after="0" w:line="360" w:lineRule="auto"/>
        <w:jc w:val="both"/>
        <w:rPr>
          <w:rFonts w:ascii="Palatino Linotype" w:eastAsia="Palatino Linotype" w:hAnsi="Palatino Linotype" w:cs="Palatino Linotype"/>
        </w:rPr>
      </w:pPr>
    </w:p>
    <w:p w14:paraId="782DD98A" w14:textId="77777777" w:rsidR="00951C71" w:rsidRPr="00D339A7" w:rsidRDefault="00957E20">
      <w:pPr>
        <w:spacing w:after="0" w:line="360" w:lineRule="auto"/>
        <w:jc w:val="both"/>
        <w:rPr>
          <w:rFonts w:ascii="Palatino Linotype" w:eastAsia="Palatino Linotype" w:hAnsi="Palatino Linotype" w:cs="Palatino Linotype"/>
          <w:b/>
          <w:bCs/>
        </w:rPr>
      </w:pPr>
      <w:r w:rsidRPr="00D339A7">
        <w:rPr>
          <w:rFonts w:ascii="Palatino Linotype" w:eastAsia="Palatino Linotype" w:hAnsi="Palatino Linotype" w:cs="Palatino Linotype"/>
        </w:rPr>
        <w:t xml:space="preserve">En ese contexto, al artículo 89 de la Ley del Trabajo de los Servidores Públicos del Estado y Municipios, precisa que son causas de terminación de la relación laboral sin responsabilidad para las instituciones públicas las siguientes: </w:t>
      </w:r>
      <w:r w:rsidRPr="00D339A7">
        <w:rPr>
          <w:rFonts w:ascii="Palatino Linotype" w:eastAsia="Palatino Linotype" w:hAnsi="Palatino Linotype" w:cs="Palatino Linotype"/>
          <w:b/>
          <w:bCs/>
          <w:u w:val="single"/>
        </w:rPr>
        <w:t xml:space="preserve">la renuncia del servidor público, el mutuo acuerdo de las partes, el vencimiento del término o conclusión de la administración en la cual fue contratado, la muerte del servidor público y la incapacidad permanente del servidor público. </w:t>
      </w:r>
    </w:p>
    <w:p w14:paraId="11FF69F0" w14:textId="77777777" w:rsidR="00951C71" w:rsidRPr="00D339A7" w:rsidRDefault="00951C71">
      <w:pPr>
        <w:spacing w:after="0" w:line="360" w:lineRule="auto"/>
        <w:jc w:val="both"/>
        <w:rPr>
          <w:rFonts w:ascii="Palatino Linotype" w:eastAsia="Palatino Linotype" w:hAnsi="Palatino Linotype" w:cs="Palatino Linotype"/>
        </w:rPr>
      </w:pPr>
    </w:p>
    <w:p w14:paraId="0E8FD7C2"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Así, se advierte que derivado de las actividades básicas de la administración de personal, las Instituciones Públicas realizan diversos actos por medio de los cuales se da cuenta de la terminación de la relación laboral con los servidores públicos; tan es así, el Manual de Procedimientos para la afiliación y credencialización de los derechohabientes del ISSEMYM, que establece, que el servidor público designado por la institución pública, que incluye a los Municipios (Usuario Autorizado), será el responsable de generar y entregar con oportunidad a los trabajadores, los Avisos de Movimiento (Alta y Baja), para realizar sus respectivos trámites ante el Instituto de Seguridad Social del Estado de México y Municipios.</w:t>
      </w:r>
    </w:p>
    <w:p w14:paraId="3F54F076" w14:textId="77777777" w:rsidR="00951C71" w:rsidRPr="00D339A7" w:rsidRDefault="00951C71">
      <w:pPr>
        <w:spacing w:after="0" w:line="360" w:lineRule="auto"/>
        <w:jc w:val="both"/>
        <w:rPr>
          <w:rFonts w:ascii="Palatino Linotype" w:eastAsia="Palatino Linotype" w:hAnsi="Palatino Linotype" w:cs="Palatino Linotype"/>
        </w:rPr>
      </w:pPr>
    </w:p>
    <w:p w14:paraId="3899C78B" w14:textId="77777777" w:rsidR="00951C71" w:rsidRPr="00D339A7" w:rsidRDefault="00957E20">
      <w:pPr>
        <w:spacing w:after="0" w:line="360" w:lineRule="auto"/>
        <w:ind w:right="-93"/>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Ahora bien, respecto a los </w:t>
      </w:r>
      <w:r w:rsidRPr="00D339A7">
        <w:rPr>
          <w:rFonts w:ascii="Palatino Linotype" w:eastAsia="Palatino Linotype" w:hAnsi="Palatino Linotype" w:cs="Palatino Linotype"/>
          <w:b/>
          <w:bCs/>
          <w:u w:val="single"/>
        </w:rPr>
        <w:t>convenios</w:t>
      </w:r>
      <w:r w:rsidRPr="00D339A7">
        <w:rPr>
          <w:rFonts w:ascii="Palatino Linotype" w:eastAsia="Palatino Linotype" w:hAnsi="Palatino Linotype" w:cs="Palatino Linotype"/>
        </w:rPr>
        <w:t>, el artículo 233 de la Ley del Trabajo de los Servidores Públicos del Estado de México y Municipios, establece que, en la etapa conciliatoria del juicio ordinario laboral, llevado a cabo ante el Tribunal Estatal de Conciliación y Arbitraje, será de la siguiente manera:</w:t>
      </w:r>
    </w:p>
    <w:p w14:paraId="7E88EFD1" w14:textId="77777777" w:rsidR="00951C71" w:rsidRPr="00D339A7" w:rsidRDefault="00951C71">
      <w:pPr>
        <w:spacing w:after="0" w:line="360" w:lineRule="auto"/>
        <w:ind w:right="-93"/>
        <w:jc w:val="both"/>
        <w:rPr>
          <w:rFonts w:ascii="Palatino Linotype" w:eastAsia="Palatino Linotype" w:hAnsi="Palatino Linotype" w:cs="Palatino Linotype"/>
        </w:rPr>
      </w:pPr>
    </w:p>
    <w:p w14:paraId="66651A56" w14:textId="77777777" w:rsidR="00951C71" w:rsidRPr="00D339A7" w:rsidRDefault="00957E20">
      <w:pPr>
        <w:numPr>
          <w:ilvl w:val="0"/>
          <w:numId w:val="5"/>
        </w:num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Las partes podrán comparecer ante el Tribunal o Sala personalmente o por medio de su apoderado o representante legal;</w:t>
      </w:r>
    </w:p>
    <w:p w14:paraId="4FB0475B" w14:textId="77777777" w:rsidR="00951C71" w:rsidRPr="00D339A7" w:rsidRDefault="00957E20">
      <w:pPr>
        <w:numPr>
          <w:ilvl w:val="0"/>
          <w:numId w:val="5"/>
        </w:num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El Tribunal o la Sala, intervendrán para la celebración de pláticas entre las partes y las exhortarán, para que procuren llegar a un arreglo conciliatorio;</w:t>
      </w:r>
    </w:p>
    <w:p w14:paraId="38AE6066" w14:textId="77777777" w:rsidR="00951C71" w:rsidRPr="00D339A7" w:rsidRDefault="00957E20">
      <w:pPr>
        <w:numPr>
          <w:ilvl w:val="0"/>
          <w:numId w:val="5"/>
        </w:numPr>
        <w:spacing w:after="0" w:line="360" w:lineRule="auto"/>
        <w:jc w:val="both"/>
        <w:rPr>
          <w:rFonts w:ascii="Palatino Linotype" w:eastAsia="Palatino Linotype" w:hAnsi="Palatino Linotype" w:cs="Palatino Linotype"/>
          <w:b/>
          <w:bCs/>
        </w:rPr>
      </w:pPr>
      <w:r w:rsidRPr="00D339A7">
        <w:rPr>
          <w:rFonts w:ascii="Palatino Linotype" w:eastAsia="Palatino Linotype" w:hAnsi="Palatino Linotype" w:cs="Palatino Linotype"/>
        </w:rPr>
        <w:t xml:space="preserve">Si las partes llegan a un acuerdo, se dará por terminado el conflicto, el cual se verá reflejado en un convenio aprobado por el Tribunal o la Sala, </w:t>
      </w:r>
      <w:r w:rsidRPr="00D339A7">
        <w:rPr>
          <w:rFonts w:ascii="Palatino Linotype" w:eastAsia="Palatino Linotype" w:hAnsi="Palatino Linotype" w:cs="Palatino Linotype"/>
          <w:b/>
          <w:bCs/>
        </w:rPr>
        <w:t>mismo que producirá todos los efectos jurídicos de un laudo.</w:t>
      </w:r>
    </w:p>
    <w:p w14:paraId="14B509F1" w14:textId="77777777" w:rsidR="00951C71" w:rsidRPr="00D339A7" w:rsidRDefault="00951C71">
      <w:pPr>
        <w:spacing w:after="0" w:line="360" w:lineRule="auto"/>
        <w:jc w:val="both"/>
        <w:rPr>
          <w:rFonts w:ascii="Palatino Linotype" w:eastAsia="Palatino Linotype" w:hAnsi="Palatino Linotype" w:cs="Palatino Linotype"/>
        </w:rPr>
      </w:pPr>
    </w:p>
    <w:p w14:paraId="004B10B6"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En ese contexto, el Manual de Procedimientos del Tribunal Estatal de Conciliación y Arbitraje, en su apartado IV. Descripción de los Procedimientos, establece en su punto 4.9 y 4.10, los procedimientos de celebración de convenios sin juicio en el Tribunal o Salas Auxiliares, de los cuales, se desprende lo siguiente:</w:t>
      </w:r>
    </w:p>
    <w:p w14:paraId="5ACCC565" w14:textId="77777777" w:rsidR="00951C71" w:rsidRPr="00D339A7" w:rsidRDefault="00951C71">
      <w:pPr>
        <w:spacing w:after="0" w:line="360" w:lineRule="auto"/>
        <w:jc w:val="both"/>
        <w:rPr>
          <w:rFonts w:ascii="Palatino Linotype" w:eastAsia="Palatino Linotype" w:hAnsi="Palatino Linotype" w:cs="Palatino Linotype"/>
        </w:rPr>
      </w:pPr>
    </w:p>
    <w:p w14:paraId="7CBDA522" w14:textId="77777777" w:rsidR="00951C71" w:rsidRPr="00D339A7" w:rsidRDefault="00957E20">
      <w:pPr>
        <w:numPr>
          <w:ilvl w:val="0"/>
          <w:numId w:val="6"/>
        </w:num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Que el objetivo de estos, es la </w:t>
      </w:r>
      <w:r w:rsidRPr="00D339A7">
        <w:rPr>
          <w:rFonts w:ascii="Palatino Linotype" w:eastAsia="Palatino Linotype" w:hAnsi="Palatino Linotype" w:cs="Palatino Linotype"/>
          <w:b/>
          <w:bCs/>
        </w:rPr>
        <w:t>celebración de un convenio –aprobado por el Tribunal o Sala-, entre servidores públicos e instituciones,</w:t>
      </w:r>
      <w:r w:rsidRPr="00D339A7">
        <w:rPr>
          <w:rFonts w:ascii="Palatino Linotype" w:eastAsia="Palatino Linotype" w:hAnsi="Palatino Linotype" w:cs="Palatino Linotype"/>
        </w:rPr>
        <w:t xml:space="preserve"> para formalizar la voluntad de las partes que se encuentren en conflicto, sin que existe la necesidad de resolverlo, a través de un juicio procesal, </w:t>
      </w:r>
      <w:r w:rsidRPr="00D339A7">
        <w:rPr>
          <w:rFonts w:ascii="Palatino Linotype" w:eastAsia="Palatino Linotype" w:hAnsi="Palatino Linotype" w:cs="Palatino Linotype"/>
          <w:b/>
          <w:bCs/>
        </w:rPr>
        <w:t>a fin de otorgar a la parte demandante los beneficios estipulados en dicho acuerdo de voluntades.</w:t>
      </w:r>
    </w:p>
    <w:p w14:paraId="1274F1BB" w14:textId="77777777" w:rsidR="00951C71" w:rsidRPr="00D339A7" w:rsidRDefault="00957E20">
      <w:pPr>
        <w:numPr>
          <w:ilvl w:val="0"/>
          <w:numId w:val="6"/>
        </w:num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El </w:t>
      </w:r>
      <w:r w:rsidRPr="00D339A7">
        <w:rPr>
          <w:rFonts w:ascii="Palatino Linotype" w:eastAsia="Palatino Linotype" w:hAnsi="Palatino Linotype" w:cs="Palatino Linotype"/>
          <w:b/>
          <w:bCs/>
        </w:rPr>
        <w:t xml:space="preserve">convenio sin juicio, </w:t>
      </w:r>
      <w:r w:rsidRPr="00D339A7">
        <w:rPr>
          <w:rFonts w:ascii="Palatino Linotype" w:eastAsia="Palatino Linotype" w:hAnsi="Palatino Linotype" w:cs="Palatino Linotype"/>
        </w:rPr>
        <w:t>es el acuerdo de dos o más personal o Instituciones Públicas para crear, transferir, modificar o extinguir derechos y obligaciones, denunciando ante la Autoridad Laboral para su aprobación.</w:t>
      </w:r>
    </w:p>
    <w:p w14:paraId="2B6A4776" w14:textId="77777777" w:rsidR="00951C71" w:rsidRPr="00D339A7" w:rsidRDefault="00951C71">
      <w:pPr>
        <w:spacing w:after="0" w:line="360" w:lineRule="auto"/>
        <w:jc w:val="both"/>
        <w:rPr>
          <w:rFonts w:ascii="Palatino Linotype" w:eastAsia="Palatino Linotype" w:hAnsi="Palatino Linotype" w:cs="Palatino Linotype"/>
        </w:rPr>
      </w:pPr>
    </w:p>
    <w:p w14:paraId="27443A02"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En lo que compete al Sujeto Obligado, el artículo 3.31 y el 3. 33  del Código Reglamentario de Toluca vigente, refiere lo siguiente:</w:t>
      </w:r>
    </w:p>
    <w:p w14:paraId="7F7224C8" w14:textId="77777777" w:rsidR="00951C71" w:rsidRPr="00D339A7" w:rsidRDefault="00951C71">
      <w:pPr>
        <w:spacing w:after="0" w:line="360" w:lineRule="auto"/>
        <w:jc w:val="both"/>
        <w:rPr>
          <w:rFonts w:ascii="Palatino Linotype" w:eastAsia="Palatino Linotype" w:hAnsi="Palatino Linotype" w:cs="Palatino Linotype"/>
        </w:rPr>
      </w:pPr>
    </w:p>
    <w:p w14:paraId="58FA067D" w14:textId="77777777" w:rsidR="00951C71" w:rsidRPr="00D339A7" w:rsidRDefault="00957E20">
      <w:pPr>
        <w:pBdr>
          <w:top w:val="nil"/>
          <w:left w:val="nil"/>
          <w:bottom w:val="nil"/>
          <w:right w:val="nil"/>
          <w:between w:val="nil"/>
        </w:pBdr>
        <w:spacing w:after="0"/>
        <w:ind w:left="567" w:firstLine="426"/>
        <w:jc w:val="both"/>
        <w:rPr>
          <w:rFonts w:ascii="Palatino Linotype" w:eastAsia="Palatino Linotype" w:hAnsi="Palatino Linotype" w:cs="Palatino Linotype"/>
          <w:b/>
          <w:bCs/>
          <w:i/>
          <w:iCs/>
        </w:rPr>
      </w:pPr>
      <w:r w:rsidRPr="00D339A7">
        <w:rPr>
          <w:rFonts w:ascii="Palatino Linotype" w:eastAsia="Palatino Linotype" w:hAnsi="Palatino Linotype" w:cs="Palatino Linotype"/>
          <w:b/>
          <w:bCs/>
          <w:i/>
          <w:iCs/>
        </w:rPr>
        <w:t>ARTICULO 3.31. La o el titular de la Dirección General de Administración, tiene las siguientes atribuciones:</w:t>
      </w:r>
    </w:p>
    <w:p w14:paraId="0AD7D0BD" w14:textId="77777777" w:rsidR="00951C71" w:rsidRPr="00D339A7" w:rsidRDefault="00951C71">
      <w:pPr>
        <w:spacing w:after="0"/>
        <w:ind w:left="567" w:firstLine="426"/>
        <w:jc w:val="both"/>
        <w:rPr>
          <w:rFonts w:ascii="Palatino Linotype" w:eastAsia="Palatino Linotype" w:hAnsi="Palatino Linotype" w:cs="Palatino Linotype"/>
        </w:rPr>
      </w:pPr>
    </w:p>
    <w:p w14:paraId="146FA8A5" w14:textId="77777777" w:rsidR="00951C71" w:rsidRPr="00D339A7" w:rsidRDefault="00957E20">
      <w:pPr>
        <w:numPr>
          <w:ilvl w:val="0"/>
          <w:numId w:val="3"/>
        </w:numPr>
        <w:pBdr>
          <w:top w:val="nil"/>
          <w:left w:val="nil"/>
          <w:bottom w:val="nil"/>
          <w:right w:val="nil"/>
          <w:between w:val="nil"/>
        </w:pBdr>
        <w:spacing w:after="0"/>
        <w:ind w:left="567" w:firstLine="426"/>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Coordinar y dirigir los sistemas de reclutamiento, selección, contratación e inducción y desarrollo de personal; </w:t>
      </w:r>
    </w:p>
    <w:p w14:paraId="1AA58E72" w14:textId="77777777" w:rsidR="00951C71" w:rsidRPr="00D339A7" w:rsidRDefault="00957E20">
      <w:pPr>
        <w:numPr>
          <w:ilvl w:val="0"/>
          <w:numId w:val="3"/>
        </w:numPr>
        <w:pBdr>
          <w:top w:val="nil"/>
          <w:left w:val="nil"/>
          <w:bottom w:val="nil"/>
          <w:right w:val="nil"/>
          <w:between w:val="nil"/>
        </w:pBdr>
        <w:spacing w:after="0"/>
        <w:ind w:left="567" w:firstLine="426"/>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Verificar que se cumplan las disposiciones en materia de trabajo, seguridad e higiene laboral, así como las del Código Reglamentario, respecto de los derechos y obligaciones del personal; </w:t>
      </w:r>
    </w:p>
    <w:p w14:paraId="5C567059" w14:textId="77777777" w:rsidR="00951C71" w:rsidRPr="00D339A7" w:rsidRDefault="00957E20">
      <w:pPr>
        <w:numPr>
          <w:ilvl w:val="0"/>
          <w:numId w:val="3"/>
        </w:numPr>
        <w:pBdr>
          <w:top w:val="nil"/>
          <w:left w:val="nil"/>
          <w:bottom w:val="nil"/>
          <w:right w:val="nil"/>
          <w:between w:val="nil"/>
        </w:pBdr>
        <w:spacing w:after="0"/>
        <w:ind w:left="567" w:firstLine="426"/>
        <w:jc w:val="both"/>
        <w:rPr>
          <w:rFonts w:ascii="Palatino Linotype" w:eastAsia="Palatino Linotype" w:hAnsi="Palatino Linotype" w:cs="Palatino Linotype"/>
          <w:b/>
          <w:bCs/>
          <w:i/>
          <w:iCs/>
        </w:rPr>
      </w:pPr>
      <w:r w:rsidRPr="00D339A7">
        <w:rPr>
          <w:rFonts w:ascii="Palatino Linotype" w:eastAsia="Palatino Linotype" w:hAnsi="Palatino Linotype" w:cs="Palatino Linotype"/>
          <w:b/>
          <w:bCs/>
          <w:i/>
          <w:iCs/>
        </w:rPr>
        <w:t>Autorizar las altas, bajas, cambios, permisos, licencias, comisiones del personal, entre otras, para su trámite y efectos;</w:t>
      </w:r>
    </w:p>
    <w:p w14:paraId="7B20E45D" w14:textId="77777777" w:rsidR="00951C71" w:rsidRPr="00D339A7" w:rsidRDefault="00951C71">
      <w:pPr>
        <w:pBdr>
          <w:top w:val="nil"/>
          <w:left w:val="nil"/>
          <w:bottom w:val="nil"/>
          <w:right w:val="nil"/>
          <w:between w:val="nil"/>
        </w:pBdr>
        <w:spacing w:after="0"/>
        <w:ind w:left="993"/>
        <w:jc w:val="both"/>
        <w:rPr>
          <w:rFonts w:ascii="Palatino Linotype" w:eastAsia="Palatino Linotype" w:hAnsi="Palatino Linotype" w:cs="Palatino Linotype"/>
          <w:b/>
          <w:bCs/>
          <w:i/>
          <w:iCs/>
        </w:rPr>
      </w:pPr>
    </w:p>
    <w:p w14:paraId="37E5C26A" w14:textId="77777777" w:rsidR="00951C71" w:rsidRPr="00D339A7" w:rsidRDefault="00957E20">
      <w:pPr>
        <w:pBdr>
          <w:top w:val="nil"/>
          <w:left w:val="nil"/>
          <w:bottom w:val="nil"/>
          <w:right w:val="nil"/>
          <w:between w:val="nil"/>
        </w:pBdr>
        <w:spacing w:after="0"/>
        <w:ind w:left="567" w:firstLine="426"/>
        <w:jc w:val="both"/>
        <w:rPr>
          <w:rFonts w:ascii="Palatino Linotype" w:eastAsia="Palatino Linotype" w:hAnsi="Palatino Linotype" w:cs="Palatino Linotype"/>
        </w:rPr>
      </w:pPr>
      <w:r w:rsidRPr="00D339A7">
        <w:rPr>
          <w:rFonts w:ascii="Palatino Linotype" w:eastAsia="Palatino Linotype" w:hAnsi="Palatino Linotype" w:cs="Palatino Linotype"/>
          <w:b/>
          <w:bCs/>
          <w:i/>
          <w:iCs/>
        </w:rPr>
        <w:t>ARTÍCULO 3.33. La o el Titular de la Dirección de Recursos Humanos cuenta con las siguientes atribuciones</w:t>
      </w:r>
      <w:r w:rsidRPr="00D339A7">
        <w:rPr>
          <w:rFonts w:ascii="Palatino Linotype" w:eastAsia="Palatino Linotype" w:hAnsi="Palatino Linotype" w:cs="Palatino Linotype"/>
        </w:rPr>
        <w:t>.</w:t>
      </w:r>
    </w:p>
    <w:p w14:paraId="04603574" w14:textId="77777777" w:rsidR="00951C71" w:rsidRPr="00D339A7" w:rsidRDefault="00951C71">
      <w:pPr>
        <w:pBdr>
          <w:top w:val="nil"/>
          <w:left w:val="nil"/>
          <w:bottom w:val="nil"/>
          <w:right w:val="nil"/>
          <w:between w:val="nil"/>
        </w:pBdr>
        <w:spacing w:after="0"/>
        <w:ind w:left="567" w:firstLine="426"/>
        <w:jc w:val="both"/>
        <w:rPr>
          <w:rFonts w:ascii="Palatino Linotype" w:eastAsia="Palatino Linotype" w:hAnsi="Palatino Linotype" w:cs="Palatino Linotype"/>
        </w:rPr>
      </w:pPr>
    </w:p>
    <w:p w14:paraId="79EF478D" w14:textId="77777777" w:rsidR="00951C71" w:rsidRPr="00D339A7" w:rsidRDefault="00957E20">
      <w:pPr>
        <w:numPr>
          <w:ilvl w:val="0"/>
          <w:numId w:val="2"/>
        </w:numPr>
        <w:pBdr>
          <w:top w:val="nil"/>
          <w:left w:val="nil"/>
          <w:bottom w:val="nil"/>
          <w:right w:val="nil"/>
          <w:between w:val="nil"/>
        </w:pBdr>
        <w:spacing w:after="0"/>
        <w:ind w:left="567" w:firstLine="426"/>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Elaborar, operar y mejorar los procedimientos administrativos para la selección, reclutamiento, contratación, escalafón, inducción, evaluación del desempeño, capacitación, baja, comisión, licencias prejubilatorias, y desarrollo del personal al servicio del Municipio de acuerdo a lo dispuesto en la normatividad aplicable; </w:t>
      </w:r>
    </w:p>
    <w:p w14:paraId="6B98F710" w14:textId="77777777" w:rsidR="00951C71" w:rsidRPr="00D339A7" w:rsidRDefault="00957E20">
      <w:pPr>
        <w:numPr>
          <w:ilvl w:val="0"/>
          <w:numId w:val="2"/>
        </w:numPr>
        <w:pBdr>
          <w:top w:val="nil"/>
          <w:left w:val="nil"/>
          <w:bottom w:val="nil"/>
          <w:right w:val="nil"/>
          <w:between w:val="nil"/>
        </w:pBdr>
        <w:spacing w:after="0"/>
        <w:ind w:left="567" w:firstLine="426"/>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Vigilar que se cumplan las disposiciones en materia de trabajo, seguridad e higiene, igualdad laboral, así como las demás normas aplicables a la institución respecto de los derechos y obligaciones del personal; </w:t>
      </w:r>
    </w:p>
    <w:p w14:paraId="664B10FA" w14:textId="77777777" w:rsidR="00951C71" w:rsidRPr="00D339A7" w:rsidRDefault="00957E20">
      <w:pPr>
        <w:numPr>
          <w:ilvl w:val="0"/>
          <w:numId w:val="2"/>
        </w:numPr>
        <w:pBdr>
          <w:top w:val="nil"/>
          <w:left w:val="nil"/>
          <w:bottom w:val="nil"/>
          <w:right w:val="nil"/>
          <w:between w:val="nil"/>
        </w:pBdr>
        <w:spacing w:after="0"/>
        <w:ind w:left="567" w:firstLine="426"/>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Garantizar que no se soliciten documentos que se consideren discriminatorios, como condicionantes para la contratación del personal; </w:t>
      </w:r>
    </w:p>
    <w:p w14:paraId="68D743E0" w14:textId="77777777" w:rsidR="00951C71" w:rsidRPr="00D339A7" w:rsidRDefault="00957E20">
      <w:pPr>
        <w:numPr>
          <w:ilvl w:val="0"/>
          <w:numId w:val="2"/>
        </w:numPr>
        <w:pBdr>
          <w:top w:val="nil"/>
          <w:left w:val="nil"/>
          <w:bottom w:val="nil"/>
          <w:right w:val="nil"/>
          <w:between w:val="nil"/>
        </w:pBdr>
        <w:spacing w:after="0"/>
        <w:ind w:left="567" w:firstLine="426"/>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Aplicar las disposiciones legales laborales que rigen al personal del Ayuntamiento; </w:t>
      </w:r>
    </w:p>
    <w:p w14:paraId="2553C849" w14:textId="77777777" w:rsidR="00951C71" w:rsidRPr="00D339A7" w:rsidRDefault="00957E20">
      <w:pPr>
        <w:numPr>
          <w:ilvl w:val="0"/>
          <w:numId w:val="2"/>
        </w:numPr>
        <w:pBdr>
          <w:top w:val="nil"/>
          <w:left w:val="nil"/>
          <w:bottom w:val="nil"/>
          <w:right w:val="nil"/>
          <w:between w:val="nil"/>
        </w:pBdr>
        <w:spacing w:after="0"/>
        <w:ind w:left="567" w:firstLine="426"/>
        <w:jc w:val="both"/>
        <w:rPr>
          <w:rFonts w:ascii="Palatino Linotype" w:eastAsia="Palatino Linotype" w:hAnsi="Palatino Linotype" w:cs="Palatino Linotype"/>
          <w:b/>
          <w:bCs/>
          <w:i/>
          <w:iCs/>
        </w:rPr>
      </w:pPr>
      <w:r w:rsidRPr="00D339A7">
        <w:rPr>
          <w:rFonts w:ascii="Palatino Linotype" w:eastAsia="Palatino Linotype" w:hAnsi="Palatino Linotype" w:cs="Palatino Linotype"/>
          <w:b/>
          <w:bCs/>
          <w:i/>
          <w:iCs/>
        </w:rPr>
        <w:t xml:space="preserve">Registrar, controlar y dar seguimiento a los movimientos de personal como, altas, reingresos, bajas, remociones, renuncias, retiro, cambios de categoría y adscripción, promociones, comisiones, entre otras; </w:t>
      </w:r>
    </w:p>
    <w:p w14:paraId="1A375F2E" w14:textId="77777777" w:rsidR="00951C71" w:rsidRPr="00D339A7" w:rsidRDefault="00957E20">
      <w:pPr>
        <w:numPr>
          <w:ilvl w:val="0"/>
          <w:numId w:val="2"/>
        </w:numPr>
        <w:pBdr>
          <w:top w:val="nil"/>
          <w:left w:val="nil"/>
          <w:bottom w:val="nil"/>
          <w:right w:val="nil"/>
          <w:between w:val="nil"/>
        </w:pBdr>
        <w:spacing w:after="0"/>
        <w:ind w:left="567" w:firstLine="426"/>
        <w:jc w:val="both"/>
        <w:rPr>
          <w:rFonts w:ascii="Palatino Linotype" w:eastAsia="Palatino Linotype" w:hAnsi="Palatino Linotype" w:cs="Palatino Linotype"/>
        </w:rPr>
      </w:pPr>
      <w:r w:rsidRPr="00D339A7">
        <w:rPr>
          <w:rFonts w:ascii="Palatino Linotype" w:eastAsia="Palatino Linotype" w:hAnsi="Palatino Linotype" w:cs="Palatino Linotype"/>
          <w:i/>
          <w:iCs/>
        </w:rPr>
        <w:t>Coadyuvar con la Tesorería Municipal en la elaboración y distribución oportuna de la nómina para el pago al personal que labora en el Ayuntamiento, por concepto de sueldos, prestaciones, liquidaciones y finiquitos apegándose al presupuesto autorizado aplicado a través del capítulo 1000; así como en lo relativo a las determinaciones</w:t>
      </w:r>
      <w:r w:rsidRPr="00D339A7">
        <w:rPr>
          <w:rFonts w:ascii="Palatino Linotype" w:eastAsia="Palatino Linotype" w:hAnsi="Palatino Linotype" w:cs="Palatino Linotype"/>
        </w:rPr>
        <w:t xml:space="preserve"> </w:t>
      </w:r>
      <w:r w:rsidRPr="00D339A7">
        <w:rPr>
          <w:rFonts w:ascii="Palatino Linotype" w:eastAsia="Palatino Linotype" w:hAnsi="Palatino Linotype" w:cs="Palatino Linotype"/>
          <w:i/>
          <w:iCs/>
        </w:rPr>
        <w:t>de los impuestos y la emisión de los CFDI correspondientes una vez realizado el pago.</w:t>
      </w:r>
    </w:p>
    <w:p w14:paraId="594B2633" w14:textId="77777777" w:rsidR="00951C71" w:rsidRPr="00D339A7" w:rsidRDefault="00951C71">
      <w:pPr>
        <w:spacing w:after="0" w:line="360" w:lineRule="auto"/>
        <w:jc w:val="both"/>
        <w:rPr>
          <w:rFonts w:ascii="Palatino Linotype" w:eastAsia="Palatino Linotype" w:hAnsi="Palatino Linotype" w:cs="Palatino Linotype"/>
        </w:rPr>
      </w:pPr>
    </w:p>
    <w:p w14:paraId="33055F19"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Ante dicha circunstancia, es necesario precisar que de las constancias que obran en el expediente electrónico, se logra advertir que el Sujeto Obligado turnó la solicitud de información a la </w:t>
      </w:r>
      <w:r w:rsidRPr="00D339A7">
        <w:rPr>
          <w:rFonts w:ascii="Palatino Linotype" w:eastAsia="Palatino Linotype" w:hAnsi="Palatino Linotype" w:cs="Palatino Linotype"/>
          <w:b/>
          <w:bCs/>
        </w:rPr>
        <w:t xml:space="preserve">Dirección de Recursos Humanos </w:t>
      </w:r>
      <w:r w:rsidRPr="00D339A7">
        <w:rPr>
          <w:rFonts w:ascii="Palatino Linotype" w:eastAsia="Palatino Linotype" w:hAnsi="Palatino Linotype" w:cs="Palatino Linotype"/>
        </w:rPr>
        <w:t>dependiente de la Dirección General de Administración, por lo que,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701E237C" w14:textId="77777777" w:rsidR="00951C71" w:rsidRPr="00D339A7" w:rsidRDefault="00951C71">
      <w:pPr>
        <w:spacing w:after="0" w:line="360" w:lineRule="auto"/>
        <w:jc w:val="both"/>
        <w:rPr>
          <w:rFonts w:ascii="Palatino Linotype" w:eastAsia="Palatino Linotype" w:hAnsi="Palatino Linotype" w:cs="Palatino Linotype"/>
        </w:rPr>
      </w:pPr>
    </w:p>
    <w:p w14:paraId="4F445158"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Es así que, se logra colegir que el Sujeto Obligado cumplió con el procedimiento de búsqueda establecido en la Ley de Transparencia y Acceso a la Información Pública del Estado de México y Municipios, toda vez, que turnó la solicitud de información al área competente. </w:t>
      </w:r>
    </w:p>
    <w:p w14:paraId="0AF17C35" w14:textId="77777777" w:rsidR="00951C71" w:rsidRPr="00D339A7" w:rsidRDefault="00951C71">
      <w:pPr>
        <w:spacing w:after="0" w:line="360" w:lineRule="auto"/>
        <w:jc w:val="both"/>
        <w:rPr>
          <w:rFonts w:ascii="Palatino Linotype" w:eastAsia="Palatino Linotype" w:hAnsi="Palatino Linotype" w:cs="Palatino Linotype"/>
        </w:rPr>
      </w:pPr>
    </w:p>
    <w:p w14:paraId="6D36AB8F"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Ahora bien, en cuanto hace a los agravios hechos valer por la parte Recurrente, es de recordar que, en respuesta, el Sujeto Obligado señaló que la solicitud de información se trataba de un derecho de petición. </w:t>
      </w:r>
    </w:p>
    <w:p w14:paraId="65607087" w14:textId="77777777" w:rsidR="00951C71" w:rsidRPr="00D339A7" w:rsidRDefault="00951C71">
      <w:pPr>
        <w:spacing w:after="0" w:line="360" w:lineRule="auto"/>
        <w:jc w:val="both"/>
        <w:rPr>
          <w:rFonts w:ascii="Palatino Linotype" w:eastAsia="Palatino Linotype" w:hAnsi="Palatino Linotype" w:cs="Palatino Linotype"/>
        </w:rPr>
      </w:pPr>
    </w:p>
    <w:p w14:paraId="3FC9D451"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Dicho esto, en lo que respecta a las </w:t>
      </w:r>
      <w:r w:rsidRPr="00D339A7">
        <w:rPr>
          <w:rFonts w:ascii="Palatino Linotype" w:eastAsia="Palatino Linotype" w:hAnsi="Palatino Linotype" w:cs="Palatino Linotype"/>
          <w:b/>
          <w:bCs/>
        </w:rPr>
        <w:t>renuncias, número de denuncias, estatus de la demanda, convenios y el pago</w:t>
      </w:r>
      <w:r w:rsidRPr="00D339A7">
        <w:rPr>
          <w:rFonts w:ascii="Palatino Linotype" w:eastAsia="Palatino Linotype" w:hAnsi="Palatino Linotype" w:cs="Palatino Linotype"/>
        </w:rPr>
        <w:t xml:space="preserve">, esta se trata de información que, no constituye un derecho de petición, sino, contrario a lo que sostiene el Sujeto Obligado, se trata de información que obra en sus archivos, ya que, este cuenta con una unidad administrativa que dentro de sus funciones, atribuciones y competencias, tiene la de conocer acerca de los movimientos del personal adscrito al Ayuntamiento, así como de su expediente personal. </w:t>
      </w:r>
    </w:p>
    <w:p w14:paraId="3CE30922" w14:textId="77777777" w:rsidR="00951C71" w:rsidRPr="00D339A7" w:rsidRDefault="00951C71">
      <w:pPr>
        <w:spacing w:after="0" w:line="360" w:lineRule="auto"/>
        <w:jc w:val="both"/>
        <w:rPr>
          <w:rFonts w:ascii="Palatino Linotype" w:eastAsia="Palatino Linotype" w:hAnsi="Palatino Linotype" w:cs="Palatino Linotype"/>
        </w:rPr>
      </w:pPr>
    </w:p>
    <w:p w14:paraId="6CE231CB" w14:textId="77777777" w:rsidR="00951C71" w:rsidRPr="00D339A7" w:rsidRDefault="00957E20">
      <w:pPr>
        <w:spacing w:after="0" w:line="360" w:lineRule="auto"/>
        <w:ind w:right="51"/>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En cuanto a los requerimiento relacionados específicamente con, </w:t>
      </w:r>
      <w:r w:rsidRPr="00D339A7">
        <w:rPr>
          <w:rFonts w:ascii="Palatino Linotype" w:eastAsia="Palatino Linotype" w:hAnsi="Palatino Linotype" w:cs="Palatino Linotype"/>
          <w:b/>
          <w:bCs/>
        </w:rPr>
        <w:t>cuántas demandas se recibieron, cuántos firmaron convenios y de ello, a cuántos se les pagó</w:t>
      </w:r>
      <w:r w:rsidRPr="00D339A7">
        <w:rPr>
          <w:rFonts w:ascii="Palatino Linotype" w:eastAsia="Palatino Linotype" w:hAnsi="Palatino Linotype" w:cs="Palatino Linotype"/>
        </w:rPr>
        <w:t>, en principio es de mencionar que, se advierte que la pretensión del particular es obtener información estadística, la cual es producto de un proceso sistemático de captación de datos primarios obtenidos sobre hechos que constan en documentos que los sujetos obligados poseen, tal como lo refiere el Criterio orientado 08/23 emitido por el entonces Instituto Nacional de Transparencia, Acceso a la Información y Protección de Datos Personales, que a la letra refiere:</w:t>
      </w:r>
    </w:p>
    <w:p w14:paraId="3C9D2DC9" w14:textId="77777777" w:rsidR="00951C71" w:rsidRPr="00D339A7" w:rsidRDefault="00951C71">
      <w:pPr>
        <w:spacing w:after="0" w:line="360" w:lineRule="auto"/>
        <w:ind w:right="51"/>
        <w:jc w:val="both"/>
        <w:rPr>
          <w:rFonts w:ascii="Palatino Linotype" w:eastAsia="Palatino Linotype" w:hAnsi="Palatino Linotype" w:cs="Palatino Linotype"/>
        </w:rPr>
      </w:pPr>
    </w:p>
    <w:p w14:paraId="74F2475E" w14:textId="77777777" w:rsidR="00951C71" w:rsidRPr="00D339A7" w:rsidRDefault="00957E20">
      <w:pPr>
        <w:spacing w:after="0"/>
        <w:ind w:left="567" w:right="616"/>
        <w:jc w:val="both"/>
        <w:rPr>
          <w:rFonts w:ascii="Palatino Linotype" w:eastAsia="Palatino Linotype" w:hAnsi="Palatino Linotype" w:cs="Palatino Linotype"/>
          <w:i/>
          <w:iCs/>
        </w:rPr>
      </w:pPr>
      <w:r w:rsidRPr="00D339A7">
        <w:rPr>
          <w:rFonts w:ascii="Palatino Linotype" w:eastAsia="Palatino Linotype" w:hAnsi="Palatino Linotype" w:cs="Palatino Linotype"/>
          <w:b/>
          <w:bCs/>
          <w:i/>
          <w:iCs/>
        </w:rPr>
        <w:t>Ejercicio del derecho de Acceso a la Información Pública. La información estadística es de naturaleza pública, independientemente de la materia con la que se encuentre vinculada.</w:t>
      </w:r>
      <w:r w:rsidRPr="00D339A7">
        <w:rPr>
          <w:rFonts w:ascii="Palatino Linotype" w:eastAsia="Palatino Linotype" w:hAnsi="Palatino Linotype" w:cs="Palatino Linotype"/>
          <w:i/>
          <w:iCs/>
        </w:rPr>
        <w:t xml:space="preserve"> Considerando que la información estadística es el producto de un conjunto de resultados cuantitativos obtenidos de un proceso sistemático de captación de datos primarios obtenidos sobre hechos que constan en documentos que los sujetos obligados poseen, derivado del ejercicio de sus atribuciones; con base en lo dispuesto por el artículo 70 fracción XLVIII de la Ley General de Transparencia y Acceso a la Información Pública, los sujetos </w:t>
      </w:r>
      <w:r w:rsidRPr="00D339A7">
        <w:rPr>
          <w:rFonts w:ascii="Palatino Linotype" w:eastAsia="Palatino Linotype" w:hAnsi="Palatino Linotype" w:cs="Palatino Linotype"/>
          <w:b/>
          <w:bCs/>
          <w:i/>
          <w:iCs/>
        </w:rPr>
        <w:t>obligados deberán poner a disposición del público, entre otra, la relativa a la que con base en la información estadística</w:t>
      </w:r>
      <w:r w:rsidRPr="00D339A7">
        <w:rPr>
          <w:rFonts w:ascii="Palatino Linotype" w:eastAsia="Palatino Linotype" w:hAnsi="Palatino Linotype" w:cs="Palatino Linotype"/>
          <w:i/>
          <w:iCs/>
        </w:rPr>
        <w:t>, responda a las preguntas hechas con más frecuencia por el público, por lo que es posible afirmar que la información estadística es de naturaleza pública, siempre y cuando los datos estadísticos no se encuentren individualizados o personalizados a casos o situaciones específicas, que pudieran llegar a justificar su clasificación.</w:t>
      </w:r>
    </w:p>
    <w:p w14:paraId="0DA8C8B4" w14:textId="77777777" w:rsidR="00951C71" w:rsidRPr="00D339A7" w:rsidRDefault="00951C71">
      <w:pPr>
        <w:spacing w:after="0" w:line="360" w:lineRule="auto"/>
        <w:ind w:right="51"/>
        <w:jc w:val="both"/>
        <w:rPr>
          <w:rFonts w:ascii="Palatino Linotype" w:eastAsia="Palatino Linotype" w:hAnsi="Palatino Linotype" w:cs="Palatino Linotype"/>
        </w:rPr>
      </w:pPr>
    </w:p>
    <w:p w14:paraId="1F285611" w14:textId="77777777" w:rsidR="00951C71" w:rsidRPr="00D339A7" w:rsidRDefault="00957E20">
      <w:pPr>
        <w:spacing w:after="0" w:line="360" w:lineRule="auto"/>
        <w:ind w:right="51"/>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Aunado a ello, es de mencionar que, en cumplimiento a las obligaciones fiscales, el Ayuntamiento de Toluca debe proporcionar al Órgano Superior de Fiscalización del Estado de México información relacionada con los juicios laborales vigentes, lo cual se encuentra contenido en el siguiente documento: </w:t>
      </w:r>
    </w:p>
    <w:p w14:paraId="697A9840" w14:textId="77777777" w:rsidR="00951C71" w:rsidRPr="00D339A7" w:rsidRDefault="00951C71">
      <w:pPr>
        <w:spacing w:after="0" w:line="360" w:lineRule="auto"/>
        <w:ind w:right="51"/>
        <w:jc w:val="both"/>
        <w:rPr>
          <w:rFonts w:ascii="Palatino Linotype" w:eastAsia="Palatino Linotype" w:hAnsi="Palatino Linotype" w:cs="Palatino Linotype"/>
        </w:rPr>
      </w:pPr>
    </w:p>
    <w:p w14:paraId="1F2FB36E" w14:textId="77777777" w:rsidR="00951C71" w:rsidRPr="00D339A7" w:rsidRDefault="00957E20">
      <w:pPr>
        <w:spacing w:after="0" w:line="360" w:lineRule="auto"/>
        <w:ind w:right="51"/>
        <w:jc w:val="both"/>
        <w:rPr>
          <w:rFonts w:ascii="Palatino Linotype" w:eastAsia="Palatino Linotype" w:hAnsi="Palatino Linotype" w:cs="Palatino Linotype"/>
        </w:rPr>
      </w:pPr>
      <w:r w:rsidRPr="00D339A7">
        <w:rPr>
          <w:rFonts w:ascii="Palatino Linotype" w:eastAsia="Palatino Linotype" w:hAnsi="Palatino Linotype" w:cs="Palatino Linotype"/>
          <w:noProof/>
        </w:rPr>
        <w:drawing>
          <wp:inline distT="0" distB="0" distL="0" distR="0" wp14:anchorId="3C13A3E3" wp14:editId="58830BA3">
            <wp:extent cx="5756275" cy="4075430"/>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56275" cy="4075430"/>
                    </a:xfrm>
                    <a:prstGeom prst="rect">
                      <a:avLst/>
                    </a:prstGeom>
                    <a:ln/>
                  </pic:spPr>
                </pic:pic>
              </a:graphicData>
            </a:graphic>
          </wp:inline>
        </w:drawing>
      </w:r>
    </w:p>
    <w:p w14:paraId="0403572F" w14:textId="77777777" w:rsidR="00951C71" w:rsidRPr="00D339A7" w:rsidRDefault="00951C71">
      <w:pPr>
        <w:spacing w:after="0" w:line="360" w:lineRule="auto"/>
        <w:ind w:right="51"/>
        <w:jc w:val="both"/>
        <w:rPr>
          <w:rFonts w:ascii="Palatino Linotype" w:eastAsia="Palatino Linotype" w:hAnsi="Palatino Linotype" w:cs="Palatino Linotype"/>
        </w:rPr>
      </w:pPr>
    </w:p>
    <w:p w14:paraId="0F345FD9" w14:textId="77777777" w:rsidR="00951C71" w:rsidRPr="00D339A7" w:rsidRDefault="00957E20">
      <w:pPr>
        <w:spacing w:after="0" w:line="360" w:lineRule="auto"/>
        <w:ind w:right="51"/>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Asimismo, en lo que corresponde, al </w:t>
      </w:r>
      <w:r w:rsidRPr="00D339A7">
        <w:rPr>
          <w:rFonts w:ascii="Palatino Linotype" w:eastAsia="Palatino Linotype" w:hAnsi="Palatino Linotype" w:cs="Palatino Linotype"/>
          <w:b/>
          <w:bCs/>
        </w:rPr>
        <w:t>estatus de la demanda</w:t>
      </w:r>
      <w:r w:rsidRPr="00D339A7">
        <w:rPr>
          <w:rFonts w:ascii="Palatino Linotype" w:eastAsia="Palatino Linotype" w:hAnsi="Palatino Linotype" w:cs="Palatino Linotype"/>
        </w:rPr>
        <w:t xml:space="preserve">, este se refiere al estado actual de la demanda interpuesta. En ese sentido, se señala que revelar el estado de un procedimiento, no interviene en el mismo ni revela mayor información que su situación actual, por lo que, es susceptible de transparentarse. </w:t>
      </w:r>
    </w:p>
    <w:p w14:paraId="674DBD07" w14:textId="77777777" w:rsidR="00951C71" w:rsidRPr="00D339A7" w:rsidRDefault="00951C71">
      <w:pPr>
        <w:widowControl w:val="0"/>
        <w:spacing w:after="0" w:line="360" w:lineRule="auto"/>
        <w:jc w:val="both"/>
        <w:rPr>
          <w:rFonts w:ascii="Palatino Linotype" w:eastAsia="Palatino Linotype" w:hAnsi="Palatino Linotype" w:cs="Palatino Linotype"/>
        </w:rPr>
      </w:pPr>
    </w:p>
    <w:p w14:paraId="2C59B466" w14:textId="77777777" w:rsidR="00951C71" w:rsidRPr="00D339A7" w:rsidRDefault="00957E20">
      <w:pPr>
        <w:widowControl w:val="0"/>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De lo anterior, se considera que, el Sujeto Obligado fue restrictivo en dar atención a la solicitud del particular por lo que, sus agravios devienen </w:t>
      </w:r>
      <w:r w:rsidRPr="00D339A7">
        <w:rPr>
          <w:rFonts w:ascii="Palatino Linotype" w:eastAsia="Palatino Linotype" w:hAnsi="Palatino Linotype" w:cs="Palatino Linotype"/>
          <w:b/>
          <w:bCs/>
        </w:rPr>
        <w:t>PARCIALMENTE FUNDADOS.</w:t>
      </w:r>
      <w:r w:rsidRPr="00D339A7">
        <w:rPr>
          <w:rFonts w:ascii="Palatino Linotype" w:eastAsia="Palatino Linotype" w:hAnsi="Palatino Linotype" w:cs="Palatino Linotype"/>
        </w:rPr>
        <w:t xml:space="preserve"> </w:t>
      </w:r>
    </w:p>
    <w:p w14:paraId="086A7464" w14:textId="77777777" w:rsidR="00951C71" w:rsidRPr="00D339A7" w:rsidRDefault="00951C71">
      <w:pPr>
        <w:spacing w:after="0" w:line="360" w:lineRule="auto"/>
        <w:ind w:right="49"/>
        <w:jc w:val="both"/>
        <w:rPr>
          <w:rFonts w:ascii="Palatino Linotype" w:eastAsia="Palatino Linotype" w:hAnsi="Palatino Linotype" w:cs="Palatino Linotype"/>
        </w:rPr>
      </w:pPr>
    </w:p>
    <w:p w14:paraId="76FFD0CE"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b/>
          <w:bCs/>
        </w:rPr>
        <w:t xml:space="preserve">Quinto. Versión Pública. </w:t>
      </w:r>
      <w:r w:rsidRPr="00D339A7">
        <w:rPr>
          <w:rFonts w:ascii="Palatino Linotype" w:eastAsia="Palatino Linotype" w:hAnsi="Palatino Linotype" w:cs="Palatino Linotype"/>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4EFA5CAE" w14:textId="77777777" w:rsidR="00951C71" w:rsidRPr="00D339A7" w:rsidRDefault="00951C71">
      <w:pPr>
        <w:spacing w:after="0" w:line="360" w:lineRule="auto"/>
        <w:ind w:right="49"/>
        <w:jc w:val="both"/>
        <w:rPr>
          <w:rFonts w:ascii="Palatino Linotype" w:eastAsia="Palatino Linotype" w:hAnsi="Palatino Linotype" w:cs="Palatino Linotype"/>
        </w:rPr>
      </w:pPr>
    </w:p>
    <w:p w14:paraId="75C26423"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14:paraId="3D888641" w14:textId="77777777" w:rsidR="00951C71" w:rsidRPr="00D339A7" w:rsidRDefault="00951C71">
      <w:pPr>
        <w:spacing w:after="0" w:line="360" w:lineRule="auto"/>
        <w:ind w:right="49"/>
        <w:jc w:val="both"/>
        <w:rPr>
          <w:rFonts w:ascii="Palatino Linotype" w:eastAsia="Palatino Linotype" w:hAnsi="Palatino Linotype" w:cs="Palatino Linotype"/>
        </w:rPr>
      </w:pPr>
    </w:p>
    <w:p w14:paraId="3993490D"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Es importante referir que los documentos que dan cuenta de lo solicitado, pueden contar datos personales, tales como los siguientes:</w:t>
      </w:r>
    </w:p>
    <w:p w14:paraId="62663E9A" w14:textId="77777777" w:rsidR="00951C71" w:rsidRPr="00D339A7" w:rsidRDefault="00951C71">
      <w:pPr>
        <w:spacing w:after="0" w:line="360" w:lineRule="auto"/>
        <w:jc w:val="both"/>
        <w:rPr>
          <w:rFonts w:ascii="Palatino Linotype" w:eastAsia="Palatino Linotype" w:hAnsi="Palatino Linotype" w:cs="Palatino Linotype"/>
        </w:rPr>
      </w:pPr>
    </w:p>
    <w:p w14:paraId="077C93B5" w14:textId="77777777" w:rsidR="00951C71" w:rsidRPr="00D339A7" w:rsidRDefault="00957E20">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Motivos personales; </w:t>
      </w:r>
    </w:p>
    <w:p w14:paraId="513B4099" w14:textId="77777777" w:rsidR="00951C71" w:rsidRPr="00D339A7" w:rsidRDefault="00957E20">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Motivos de salud;</w:t>
      </w:r>
    </w:p>
    <w:p w14:paraId="692A101C" w14:textId="77777777" w:rsidR="00951C71" w:rsidRPr="00D339A7" w:rsidRDefault="00957E20">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Firma de servidores públicos; y </w:t>
      </w:r>
    </w:p>
    <w:p w14:paraId="0DB8FCE8" w14:textId="77777777" w:rsidR="00951C71" w:rsidRPr="00D339A7" w:rsidRDefault="00957E20">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Huella dactilar.</w:t>
      </w:r>
    </w:p>
    <w:p w14:paraId="0CCB17FE" w14:textId="77777777" w:rsidR="00951C71" w:rsidRPr="00D339A7" w:rsidRDefault="00951C71">
      <w:pPr>
        <w:pBdr>
          <w:top w:val="nil"/>
          <w:left w:val="nil"/>
          <w:bottom w:val="nil"/>
          <w:right w:val="nil"/>
          <w:between w:val="nil"/>
        </w:pBdr>
        <w:spacing w:after="0" w:line="360" w:lineRule="auto"/>
        <w:ind w:left="720"/>
        <w:jc w:val="both"/>
        <w:rPr>
          <w:rFonts w:ascii="Palatino Linotype" w:eastAsia="Palatino Linotype" w:hAnsi="Palatino Linotype" w:cs="Palatino Linotype"/>
        </w:rPr>
      </w:pPr>
    </w:p>
    <w:p w14:paraId="6664183A"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Bajo ese contexto, se analizarán si los datos mencionados, deben ser considerados confidenciales, en términos del artículo 143, fracción I, de la Ley de Transparencia y Acceso a la Información Pública del Estado de México y Municipios, o públicos.</w:t>
      </w:r>
    </w:p>
    <w:p w14:paraId="290268AD" w14:textId="77777777" w:rsidR="00951C71" w:rsidRPr="00D339A7" w:rsidRDefault="00951C71">
      <w:pPr>
        <w:spacing w:after="0" w:line="360" w:lineRule="auto"/>
        <w:jc w:val="both"/>
        <w:rPr>
          <w:rFonts w:ascii="Palatino Linotype" w:eastAsia="Palatino Linotype" w:hAnsi="Palatino Linotype" w:cs="Palatino Linotype"/>
        </w:rPr>
      </w:pPr>
    </w:p>
    <w:p w14:paraId="5C767522" w14:textId="77777777" w:rsidR="00951C71" w:rsidRPr="00D339A7" w:rsidRDefault="00957E20">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b/>
          <w:bCs/>
        </w:rPr>
      </w:pPr>
      <w:r w:rsidRPr="00D339A7">
        <w:rPr>
          <w:rFonts w:ascii="Palatino Linotype" w:eastAsia="Palatino Linotype" w:hAnsi="Palatino Linotype" w:cs="Palatino Linotype"/>
          <w:b/>
          <w:bCs/>
        </w:rPr>
        <w:t>Motivos de salud</w:t>
      </w:r>
    </w:p>
    <w:p w14:paraId="477893B6" w14:textId="77777777" w:rsidR="00951C71" w:rsidRPr="00D339A7" w:rsidRDefault="00951C71">
      <w:pPr>
        <w:spacing w:after="0" w:line="360" w:lineRule="auto"/>
        <w:jc w:val="both"/>
        <w:rPr>
          <w:rFonts w:ascii="Palatino Linotype" w:eastAsia="Palatino Linotype" w:hAnsi="Palatino Linotype" w:cs="Palatino Linotype"/>
        </w:rPr>
      </w:pPr>
    </w:p>
    <w:p w14:paraId="77C77858" w14:textId="77777777" w:rsidR="00951C71" w:rsidRPr="00D339A7" w:rsidRDefault="00957E20">
      <w:pPr>
        <w:spacing w:after="0" w:line="360" w:lineRule="auto"/>
        <w:jc w:val="both"/>
        <w:rPr>
          <w:rFonts w:ascii="Palatino Linotype" w:eastAsia="Palatino Linotype" w:hAnsi="Palatino Linotype" w:cs="Palatino Linotype"/>
          <w:b/>
          <w:bCs/>
        </w:rPr>
      </w:pPr>
      <w:r w:rsidRPr="00D339A7">
        <w:rPr>
          <w:rFonts w:ascii="Palatino Linotype" w:eastAsia="Palatino Linotype" w:hAnsi="Palatino Linotype" w:cs="Palatino Linotype"/>
        </w:rPr>
        <w:t xml:space="preserve">Al respecto, es de señalar que dichos datos corresponden a la enfermedad o situación específica que presentó el servidor público para que faltara o tuviera inasistencia, es decir, que estos datos </w:t>
      </w:r>
      <w:r w:rsidRPr="00D339A7">
        <w:rPr>
          <w:rFonts w:ascii="Palatino Linotype" w:eastAsia="Palatino Linotype" w:hAnsi="Palatino Linotype" w:cs="Palatino Linotype"/>
          <w:b/>
          <w:bCs/>
        </w:rPr>
        <w:t>dan cuenta del estado de salud de una persona.</w:t>
      </w:r>
    </w:p>
    <w:p w14:paraId="3A60AFE5" w14:textId="77777777" w:rsidR="00951C71" w:rsidRPr="00D339A7" w:rsidRDefault="00951C71">
      <w:pPr>
        <w:spacing w:after="0" w:line="360" w:lineRule="auto"/>
        <w:jc w:val="both"/>
        <w:rPr>
          <w:rFonts w:ascii="Palatino Linotype" w:eastAsia="Palatino Linotype" w:hAnsi="Palatino Linotype" w:cs="Palatino Linotype"/>
          <w:b/>
          <w:bCs/>
        </w:rPr>
      </w:pPr>
    </w:p>
    <w:p w14:paraId="2A48BBA2"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En ese orden de ideas, el artículo 4°, fracciones IX y X, de la Ley General de Protección de Datos Personales en Posesión de Sujetos Obligados y 4°, fracciones XI y XII, de la Ley de Protección de Datos Personales en Posesión de Sujetos Obligados del Estado de México y Municipios, establecen lo siguiente:</w:t>
      </w:r>
    </w:p>
    <w:p w14:paraId="43530EB7" w14:textId="77777777" w:rsidR="00951C71" w:rsidRPr="00D339A7" w:rsidRDefault="00951C71">
      <w:pPr>
        <w:spacing w:after="0" w:line="360" w:lineRule="auto"/>
        <w:jc w:val="both"/>
        <w:rPr>
          <w:rFonts w:ascii="Palatino Linotype" w:eastAsia="Palatino Linotype" w:hAnsi="Palatino Linotype" w:cs="Palatino Linotype"/>
        </w:rPr>
      </w:pPr>
    </w:p>
    <w:p w14:paraId="64686CA7" w14:textId="77777777" w:rsidR="00951C71" w:rsidRPr="00D339A7" w:rsidRDefault="00957E20">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b/>
          <w:bCs/>
        </w:rPr>
        <w:t>Datos Personales:</w:t>
      </w:r>
      <w:r w:rsidRPr="00D339A7">
        <w:rPr>
          <w:rFonts w:ascii="Palatino Linotype" w:eastAsia="Palatino Linotype" w:hAnsi="Palatino Linotype" w:cs="Palatino Linotype"/>
        </w:rPr>
        <w:t xml:space="preserve"> Son cualquier información concerniente a una persona física identificada o identificable, y</w:t>
      </w:r>
    </w:p>
    <w:p w14:paraId="151D2B45" w14:textId="77777777" w:rsidR="00951C71" w:rsidRPr="00D339A7" w:rsidRDefault="00951C71">
      <w:pPr>
        <w:pBdr>
          <w:top w:val="nil"/>
          <w:left w:val="nil"/>
          <w:bottom w:val="nil"/>
          <w:right w:val="nil"/>
          <w:between w:val="nil"/>
        </w:pBdr>
        <w:spacing w:after="0" w:line="360" w:lineRule="auto"/>
        <w:ind w:left="720"/>
        <w:jc w:val="both"/>
        <w:rPr>
          <w:rFonts w:ascii="Palatino Linotype" w:eastAsia="Palatino Linotype" w:hAnsi="Palatino Linotype" w:cs="Palatino Linotype"/>
        </w:rPr>
      </w:pPr>
    </w:p>
    <w:p w14:paraId="1B11BF6C" w14:textId="77777777" w:rsidR="00951C71" w:rsidRPr="00D339A7" w:rsidRDefault="00957E20">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b/>
          <w:bCs/>
        </w:rPr>
        <w:t>Datos Personales Sensibles:</w:t>
      </w:r>
      <w:r w:rsidRPr="00D339A7">
        <w:rPr>
          <w:rFonts w:ascii="Palatino Linotype" w:eastAsia="Palatino Linotype" w:hAnsi="Palatino Linotype" w:cs="Palatino Linotype"/>
        </w:rPr>
        <w:t xml:space="preserve"> Son aquellos que refieran a la esfera más íntima de su titular y cuya utilización indebida pueda dar origen a discriminación o un riesgo grave para su titular, entre los cuales se encuentran aquellos que puedan revelar aspectos como origen racial o étnico, estado de salud, información genética, creencias religiosas, filosóficas y morales, opiniones políticas y preferencia sexual.</w:t>
      </w:r>
    </w:p>
    <w:p w14:paraId="12E96568" w14:textId="77777777" w:rsidR="00951C71" w:rsidRPr="00D339A7" w:rsidRDefault="00951C71">
      <w:pPr>
        <w:spacing w:after="0" w:line="360" w:lineRule="auto"/>
        <w:jc w:val="both"/>
        <w:rPr>
          <w:rFonts w:ascii="Palatino Linotype" w:eastAsia="Palatino Linotype" w:hAnsi="Palatino Linotype" w:cs="Palatino Linotype"/>
        </w:rPr>
      </w:pPr>
    </w:p>
    <w:p w14:paraId="1EE41216"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En ese contexto, Davara, Isabel; Barco, Gregorio, Barco; y Cervantes, Alexis (2019), en el “Diccionario de Protección de Datos Personales Conceptos Fundamentales” (p. 226), precisan que </w:t>
      </w:r>
      <w:r w:rsidRPr="00D339A7">
        <w:rPr>
          <w:rFonts w:ascii="Palatino Linotype" w:eastAsia="Palatino Linotype" w:hAnsi="Palatino Linotype" w:cs="Palatino Linotype"/>
          <w:b/>
          <w:bCs/>
        </w:rPr>
        <w:t>los datos relativos a la salud son datos personales de carácter sensible</w:t>
      </w:r>
      <w:r w:rsidRPr="00D339A7">
        <w:rPr>
          <w:rFonts w:ascii="Palatino Linotype" w:eastAsia="Palatino Linotype" w:hAnsi="Palatino Linotype" w:cs="Palatino Linotype"/>
        </w:rPr>
        <w:t>, en tanto a que refieren al estado de salud física o mental de un individuo, y que se conforma entre otros, por lo siguientes:</w:t>
      </w:r>
    </w:p>
    <w:p w14:paraId="2E969E86" w14:textId="77777777" w:rsidR="00951C71" w:rsidRPr="00D339A7" w:rsidRDefault="00951C71">
      <w:pPr>
        <w:spacing w:after="0" w:line="360" w:lineRule="auto"/>
        <w:jc w:val="both"/>
        <w:rPr>
          <w:rFonts w:ascii="Palatino Linotype" w:eastAsia="Palatino Linotype" w:hAnsi="Palatino Linotype" w:cs="Palatino Linotype"/>
        </w:rPr>
      </w:pPr>
    </w:p>
    <w:p w14:paraId="634C4DEC" w14:textId="77777777" w:rsidR="00951C71" w:rsidRPr="00D339A7" w:rsidRDefault="00957E20">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Números, símbolos o datos asignados a una persona física identificable que la identifique de manera unívoca a efectos sanitarios; </w:t>
      </w:r>
    </w:p>
    <w:p w14:paraId="01564F60" w14:textId="77777777" w:rsidR="00951C71" w:rsidRPr="00D339A7" w:rsidRDefault="00951C71">
      <w:pPr>
        <w:pBdr>
          <w:top w:val="nil"/>
          <w:left w:val="nil"/>
          <w:bottom w:val="nil"/>
          <w:right w:val="nil"/>
          <w:between w:val="nil"/>
        </w:pBdr>
        <w:spacing w:after="0" w:line="360" w:lineRule="auto"/>
        <w:ind w:left="720"/>
        <w:jc w:val="both"/>
        <w:rPr>
          <w:rFonts w:ascii="Palatino Linotype" w:eastAsia="Palatino Linotype" w:hAnsi="Palatino Linotype" w:cs="Palatino Linotype"/>
        </w:rPr>
      </w:pPr>
    </w:p>
    <w:p w14:paraId="672FB3EB" w14:textId="77777777" w:rsidR="00951C71" w:rsidRPr="00D339A7" w:rsidRDefault="00957E20">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La información obtenida de pruebas o exámenes de una parte del cuerpo o sustancia corporal, y </w:t>
      </w:r>
    </w:p>
    <w:p w14:paraId="2C16385B" w14:textId="77777777" w:rsidR="00951C71" w:rsidRPr="00D339A7" w:rsidRDefault="00951C71">
      <w:pPr>
        <w:pBdr>
          <w:top w:val="nil"/>
          <w:left w:val="nil"/>
          <w:bottom w:val="nil"/>
          <w:right w:val="nil"/>
          <w:between w:val="nil"/>
        </w:pBdr>
        <w:spacing w:after="0" w:line="360" w:lineRule="auto"/>
        <w:ind w:left="720"/>
        <w:jc w:val="both"/>
        <w:rPr>
          <w:rFonts w:ascii="Palatino Linotype" w:eastAsia="Palatino Linotype" w:hAnsi="Palatino Linotype" w:cs="Palatino Linotype"/>
        </w:rPr>
      </w:pPr>
    </w:p>
    <w:p w14:paraId="6B7CD545" w14:textId="77777777" w:rsidR="00951C71" w:rsidRPr="00D339A7" w:rsidRDefault="00957E20">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La información relativa a una enfermedad, una discapacidad, el riesgo de padecer enfermedades, el historial médico, el tratamiento clínico o el estado fisiológico o biomédico del interesado</w:t>
      </w:r>
    </w:p>
    <w:p w14:paraId="2F0EAC95" w14:textId="77777777" w:rsidR="00951C71" w:rsidRPr="00D339A7" w:rsidRDefault="00951C71">
      <w:pPr>
        <w:spacing w:after="0" w:line="360" w:lineRule="auto"/>
        <w:jc w:val="both"/>
        <w:rPr>
          <w:rFonts w:ascii="Palatino Linotype" w:eastAsia="Palatino Linotype" w:hAnsi="Palatino Linotype" w:cs="Palatino Linotype"/>
        </w:rPr>
      </w:pPr>
    </w:p>
    <w:p w14:paraId="60FF94FC"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Situación que toma relevancia, púes el apartado ¿Qué son los datos personales?, de la página oficial de este Instituto (consultada en la liga https://www.infoem.org.mx/es/contenido/datospersonales , el catorce de mayo de dos mil veinticinco), reafirma como una categoría de datos personales sensibles los concernientes a la salud de una persona, los cuales se conforman de aquellos datos relacionados con el estado físico o mental, cualquier atención médica, expediente clínico, diagnósticos, padecimientos, vacunas, intervenciones quirúrgicas, incapacidades médicas, discapacidades, uso de aparatos oftalmológicos, ortopédicos, auditivos o prótesis, consumo de sustancias tóxicas y estupefacientes, sintomatologías o análogos.</w:t>
      </w:r>
    </w:p>
    <w:p w14:paraId="480384FA" w14:textId="77777777" w:rsidR="00951C71" w:rsidRPr="00D339A7" w:rsidRDefault="00951C71">
      <w:pPr>
        <w:spacing w:after="0" w:line="360" w:lineRule="auto"/>
        <w:jc w:val="both"/>
        <w:rPr>
          <w:rFonts w:ascii="Palatino Linotype" w:eastAsia="Palatino Linotype" w:hAnsi="Palatino Linotype" w:cs="Palatino Linotype"/>
        </w:rPr>
      </w:pPr>
    </w:p>
    <w:p w14:paraId="4A114735"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Como se logra observar cualquier información o dato que se relacione con el estado de salud de una persona, como lo es un motivo de </w:t>
      </w:r>
      <w:r w:rsidRPr="00D339A7">
        <w:rPr>
          <w:rFonts w:ascii="Palatino Linotype" w:eastAsia="Palatino Linotype" w:hAnsi="Palatino Linotype" w:cs="Palatino Linotype"/>
          <w:b/>
          <w:bCs/>
        </w:rPr>
        <w:t>baja</w:t>
      </w:r>
      <w:r w:rsidRPr="00D339A7">
        <w:rPr>
          <w:rFonts w:ascii="Palatino Linotype" w:eastAsia="Palatino Linotype" w:hAnsi="Palatino Linotype" w:cs="Palatino Linotype"/>
        </w:rPr>
        <w:t>, se considera un dato personal sensible, pues da cuenta del estado de salud físico o mental del titular, lo cual está íntimamente relacionado con su vida privada e íntima y, por lo tanto, actualiza la causal de clasificación, establecida en el artículo 143, fracción I, de la Ley de Transparencia y Acceso a la Información Pública del Estado de México y Municipios.</w:t>
      </w:r>
    </w:p>
    <w:p w14:paraId="13E594AC" w14:textId="77777777" w:rsidR="00951C71" w:rsidRPr="00D339A7" w:rsidRDefault="00951C71">
      <w:pPr>
        <w:spacing w:after="0" w:line="360" w:lineRule="auto"/>
        <w:jc w:val="both"/>
        <w:rPr>
          <w:rFonts w:ascii="Palatino Linotype" w:eastAsia="Palatino Linotype" w:hAnsi="Palatino Linotype" w:cs="Palatino Linotype"/>
        </w:rPr>
      </w:pPr>
    </w:p>
    <w:p w14:paraId="69854AD8" w14:textId="77777777" w:rsidR="00951C71" w:rsidRPr="00D339A7" w:rsidRDefault="00957E20">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bCs/>
        </w:rPr>
      </w:pPr>
      <w:r w:rsidRPr="00D339A7">
        <w:rPr>
          <w:rFonts w:ascii="Palatino Linotype" w:eastAsia="Palatino Linotype" w:hAnsi="Palatino Linotype" w:cs="Palatino Linotype"/>
          <w:b/>
          <w:bCs/>
        </w:rPr>
        <w:t>Motivos personales</w:t>
      </w:r>
    </w:p>
    <w:p w14:paraId="399541CC" w14:textId="77777777" w:rsidR="00951C71" w:rsidRPr="00D339A7" w:rsidRDefault="00951C71">
      <w:pPr>
        <w:pBdr>
          <w:top w:val="nil"/>
          <w:left w:val="nil"/>
          <w:bottom w:val="nil"/>
          <w:right w:val="nil"/>
          <w:between w:val="nil"/>
        </w:pBdr>
        <w:spacing w:after="0" w:line="360" w:lineRule="auto"/>
        <w:ind w:left="720"/>
        <w:jc w:val="both"/>
        <w:rPr>
          <w:rFonts w:ascii="Palatino Linotype" w:eastAsia="Palatino Linotype" w:hAnsi="Palatino Linotype" w:cs="Palatino Linotype"/>
          <w:b/>
          <w:bCs/>
        </w:rPr>
      </w:pPr>
    </w:p>
    <w:p w14:paraId="2E09F638"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Sobre el tema, es necesario señalar que existen motivos para que exista una baja derivada de una licencia sin goce de sueldo por el fallecimiento o enfermedades de familiares, realización de trámites, entre otros; sobre el tema, cabe mencionar que en la fracción II, del artículo 6 de la Constitución Política de los Estados Unidos Mexicanos se prevé que la información que se refiere a la vida privada y los datos personales, será protegida en los términos y con las excepciones que fijen las leyes.</w:t>
      </w:r>
    </w:p>
    <w:p w14:paraId="4F378448" w14:textId="77777777" w:rsidR="00951C71" w:rsidRPr="00D339A7" w:rsidRDefault="00951C71">
      <w:pPr>
        <w:spacing w:after="0" w:line="360" w:lineRule="auto"/>
        <w:jc w:val="both"/>
        <w:rPr>
          <w:rFonts w:ascii="Palatino Linotype" w:eastAsia="Palatino Linotype" w:hAnsi="Palatino Linotype" w:cs="Palatino Linotype"/>
        </w:rPr>
      </w:pPr>
    </w:p>
    <w:p w14:paraId="1FDA9201"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1F1FEDA8" w14:textId="77777777" w:rsidR="00951C71" w:rsidRPr="00D339A7" w:rsidRDefault="00951C71">
      <w:pPr>
        <w:spacing w:after="0" w:line="360" w:lineRule="auto"/>
        <w:jc w:val="both"/>
        <w:rPr>
          <w:rFonts w:ascii="Palatino Linotype" w:eastAsia="Palatino Linotype" w:hAnsi="Palatino Linotype" w:cs="Palatino Linotype"/>
        </w:rPr>
      </w:pPr>
    </w:p>
    <w:p w14:paraId="26ED0FD6"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A su vez, en el Cuadragésimo octavo de los Lineamientos Generales se señala que los documentos y expedientes clasificados como confidenciales sólo podrán ser comunicados a terceros siempre y cuando exista disposición legal expresa que lo justifique o cuando se cuente con el consentimiento del titular.</w:t>
      </w:r>
    </w:p>
    <w:p w14:paraId="6F855B5B" w14:textId="77777777" w:rsidR="00951C71" w:rsidRPr="00D339A7" w:rsidRDefault="00951C71">
      <w:pPr>
        <w:spacing w:after="0" w:line="360" w:lineRule="auto"/>
        <w:jc w:val="both"/>
        <w:rPr>
          <w:rFonts w:ascii="Palatino Linotype" w:eastAsia="Palatino Linotype" w:hAnsi="Palatino Linotype" w:cs="Palatino Linotype"/>
        </w:rPr>
      </w:pPr>
    </w:p>
    <w:p w14:paraId="6A0EB15C"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En ese contexto,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50B707A3" w14:textId="77777777" w:rsidR="00951C71" w:rsidRPr="00D339A7" w:rsidRDefault="00951C71">
      <w:pPr>
        <w:spacing w:after="0" w:line="360" w:lineRule="auto"/>
        <w:jc w:val="both"/>
        <w:rPr>
          <w:rFonts w:ascii="Palatino Linotype" w:eastAsia="Palatino Linotype" w:hAnsi="Palatino Linotype" w:cs="Palatino Linotype"/>
        </w:rPr>
      </w:pPr>
    </w:p>
    <w:p w14:paraId="18ACE3AA" w14:textId="77777777" w:rsidR="00951C71" w:rsidRPr="00D339A7" w:rsidRDefault="00957E20">
      <w:pPr>
        <w:pBdr>
          <w:top w:val="nil"/>
          <w:left w:val="nil"/>
          <w:bottom w:val="nil"/>
          <w:right w:val="nil"/>
          <w:between w:val="nil"/>
        </w:pBdr>
        <w:spacing w:after="0" w:line="360" w:lineRule="auto"/>
        <w:ind w:left="567" w:right="567"/>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“DERECHO A LA VIDA PRIVADA. SU CONTENIDO GENERAL Y LA IMPORTANCIA DE NO DESCONTEXTUALIZAR LAS REFERENCIAS A LA MISMA. 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En un sentido amplio, entonces, la protección constitucional de la vida privada implica poder conducir parte de la vida de uno protegido de la mirada y las injerencias de los demás,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3BA6B65E" w14:textId="77777777" w:rsidR="00951C71" w:rsidRPr="00D339A7" w:rsidRDefault="00951C71">
      <w:pPr>
        <w:pBdr>
          <w:top w:val="nil"/>
          <w:left w:val="nil"/>
          <w:bottom w:val="nil"/>
          <w:right w:val="nil"/>
          <w:between w:val="nil"/>
        </w:pBdr>
        <w:spacing w:after="0" w:line="360" w:lineRule="auto"/>
        <w:ind w:left="567" w:right="567"/>
        <w:jc w:val="both"/>
        <w:rPr>
          <w:rFonts w:ascii="Palatino Linotype" w:eastAsia="Palatino Linotype" w:hAnsi="Palatino Linotype" w:cs="Palatino Linotype"/>
          <w:i/>
          <w:iCs/>
        </w:rPr>
      </w:pPr>
    </w:p>
    <w:p w14:paraId="05AF042D" w14:textId="77777777" w:rsidR="00951C71" w:rsidRPr="00D339A7" w:rsidRDefault="00957E20">
      <w:pPr>
        <w:spacing w:after="0" w:line="360" w:lineRule="auto"/>
        <w:jc w:val="both"/>
        <w:rPr>
          <w:rFonts w:ascii="Palatino Linotype" w:eastAsia="Palatino Linotype" w:hAnsi="Palatino Linotype" w:cs="Palatino Linotype"/>
          <w:b/>
          <w:bCs/>
        </w:rPr>
      </w:pPr>
      <w:r w:rsidRPr="00D339A7">
        <w:rPr>
          <w:rFonts w:ascii="Palatino Linotype" w:eastAsia="Palatino Linotype" w:hAnsi="Palatino Linotype" w:cs="Palatino Linotype"/>
        </w:rPr>
        <w:t xml:space="preserve">De conformidad con lo señalado, se colige que </w:t>
      </w:r>
      <w:r w:rsidRPr="00D339A7">
        <w:rPr>
          <w:rFonts w:ascii="Palatino Linotype" w:eastAsia="Palatino Linotype" w:hAnsi="Palatino Linotype" w:cs="Palatino Linotype"/>
          <w:b/>
          <w:bCs/>
        </w:rPr>
        <w:t>las actividades que realicen los particulares, dentro del ámbito privado, o dentro de la esfera particular, es información que debe protegerse.</w:t>
      </w:r>
    </w:p>
    <w:p w14:paraId="263FE587" w14:textId="77777777" w:rsidR="00951C71" w:rsidRPr="00D339A7" w:rsidRDefault="00951C71">
      <w:pPr>
        <w:spacing w:after="0" w:line="360" w:lineRule="auto"/>
        <w:jc w:val="both"/>
        <w:rPr>
          <w:rFonts w:ascii="Palatino Linotype" w:eastAsia="Palatino Linotype" w:hAnsi="Palatino Linotype" w:cs="Palatino Linotype"/>
          <w:b/>
          <w:bCs/>
        </w:rPr>
      </w:pPr>
    </w:p>
    <w:p w14:paraId="7C5521D7"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En el presente caso, proporcionar el motivo de la renuncia, iría en contra del derecho a la vida privada, pues se daría cuenta de la decisión personal; es decir, un acto de voluntad de dichas personas en ejercicio de sus derechos para dar por terminada una relación laboral, lo cual constituye cuestiones de carácter estrictamente íntimo.</w:t>
      </w:r>
    </w:p>
    <w:p w14:paraId="69001EFA" w14:textId="77777777" w:rsidR="00951C71" w:rsidRPr="00D339A7" w:rsidRDefault="00951C71">
      <w:pPr>
        <w:spacing w:after="0" w:line="360" w:lineRule="auto"/>
        <w:jc w:val="both"/>
        <w:rPr>
          <w:rFonts w:ascii="Palatino Linotype" w:eastAsia="Palatino Linotype" w:hAnsi="Palatino Linotype" w:cs="Palatino Linotype"/>
        </w:rPr>
      </w:pPr>
    </w:p>
    <w:p w14:paraId="44B14FFC"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Sobre dicha situación,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w:t>
      </w:r>
    </w:p>
    <w:p w14:paraId="6156575A" w14:textId="77777777" w:rsidR="00951C71" w:rsidRPr="00D339A7" w:rsidRDefault="00951C71">
      <w:pPr>
        <w:spacing w:after="0" w:line="360" w:lineRule="auto"/>
        <w:jc w:val="both"/>
        <w:rPr>
          <w:rFonts w:ascii="Palatino Linotype" w:eastAsia="Palatino Linotype" w:hAnsi="Palatino Linotype" w:cs="Palatino Linotype"/>
        </w:rPr>
      </w:pPr>
    </w:p>
    <w:p w14:paraId="48620B9C" w14:textId="77777777" w:rsidR="00951C71" w:rsidRPr="00D339A7" w:rsidRDefault="00957E20">
      <w:pPr>
        <w:pBdr>
          <w:top w:val="nil"/>
          <w:left w:val="nil"/>
          <w:bottom w:val="nil"/>
          <w:right w:val="nil"/>
          <w:between w:val="nil"/>
        </w:pBdr>
        <w:spacing w:after="0"/>
        <w:ind w:left="720"/>
        <w:jc w:val="both"/>
        <w:rPr>
          <w:rFonts w:ascii="Palatino Linotype" w:eastAsia="Palatino Linotype" w:hAnsi="Palatino Linotype" w:cs="Palatino Linotype"/>
          <w:i/>
          <w:iCs/>
        </w:rPr>
      </w:pPr>
      <w:r w:rsidRPr="00D339A7">
        <w:rPr>
          <w:rFonts w:ascii="Palatino Linotype" w:eastAsia="Palatino Linotype" w:hAnsi="Palatino Linotype" w:cs="Palatino Linotype"/>
          <w:b/>
          <w:bCs/>
          <w:i/>
          <w:iCs/>
        </w:rPr>
        <w:t>“DERECHO A LA PRIVACIDAD O INTIMIDAD. ESTÁ PROTEGIDO POR EL ARTÍCULO 16, PRIMER PÁRRAFO, DE LA CONSTITUCIÓN POLÍTICA DE LOS ESTADOS UNIDOS MEXICANOS.</w:t>
      </w:r>
      <w:r w:rsidRPr="00D339A7">
        <w:rPr>
          <w:rFonts w:ascii="Palatino Linotype" w:eastAsia="Palatino Linotype" w:hAnsi="Palatino Linotype" w:cs="Palatino Linotype"/>
          <w:i/>
          <w:iCs/>
        </w:rPr>
        <w:t xml:space="preserve"> 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14:paraId="7464396F" w14:textId="77777777" w:rsidR="00951C71" w:rsidRPr="00D339A7" w:rsidRDefault="00951C71">
      <w:pPr>
        <w:pBdr>
          <w:top w:val="nil"/>
          <w:left w:val="nil"/>
          <w:bottom w:val="nil"/>
          <w:right w:val="nil"/>
          <w:between w:val="nil"/>
        </w:pBdr>
        <w:spacing w:after="0" w:line="360" w:lineRule="auto"/>
        <w:ind w:left="720"/>
        <w:jc w:val="both"/>
        <w:rPr>
          <w:rFonts w:ascii="Palatino Linotype" w:eastAsia="Palatino Linotype" w:hAnsi="Palatino Linotype" w:cs="Palatino Linotype"/>
          <w:i/>
          <w:iCs/>
        </w:rPr>
      </w:pPr>
    </w:p>
    <w:p w14:paraId="43FC4864"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Conforme a dicha tesis aislada,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14:paraId="407201EA" w14:textId="77777777" w:rsidR="00951C71" w:rsidRPr="00D339A7" w:rsidRDefault="00951C71">
      <w:pPr>
        <w:spacing w:after="0" w:line="360" w:lineRule="auto"/>
        <w:jc w:val="both"/>
        <w:rPr>
          <w:rFonts w:ascii="Palatino Linotype" w:eastAsia="Palatino Linotype" w:hAnsi="Palatino Linotype" w:cs="Palatino Linotype"/>
        </w:rPr>
      </w:pPr>
    </w:p>
    <w:p w14:paraId="70C042D3" w14:textId="77777777" w:rsidR="00951C71" w:rsidRPr="00D339A7" w:rsidRDefault="00957E20">
      <w:pPr>
        <w:spacing w:after="0" w:line="360" w:lineRule="auto"/>
        <w:jc w:val="both"/>
        <w:rPr>
          <w:rFonts w:ascii="Palatino Linotype" w:eastAsia="Palatino Linotype" w:hAnsi="Palatino Linotype" w:cs="Palatino Linotype"/>
          <w:b/>
          <w:bCs/>
        </w:rPr>
      </w:pPr>
      <w:r w:rsidRPr="00D339A7">
        <w:rPr>
          <w:rFonts w:ascii="Palatino Linotype" w:eastAsia="Palatino Linotype" w:hAnsi="Palatino Linotype" w:cs="Palatino Linotype"/>
        </w:rPr>
        <w:t>Así, en un sentido amplio, dicha garantía puede extenderse a una protección más allá del aseguramiento del domicilio como espacio físico en que se desenvuelve normalmente la privacidad o la intimidad, por lo que en el artículo 16, primer párrafo, constitucional,</w:t>
      </w:r>
      <w:r w:rsidRPr="00D339A7">
        <w:rPr>
          <w:rFonts w:ascii="Palatino Linotype" w:eastAsia="Palatino Linotype" w:hAnsi="Palatino Linotype" w:cs="Palatino Linotype"/>
          <w:b/>
          <w:bCs/>
        </w:rPr>
        <w:t xml:space="preserve"> se da el reconocimiento de un derecho a la privacidad de las personas que implica no ser sujeto de intromisiones o molestias en el ámbito reservado de su vida o intimidad.</w:t>
      </w:r>
    </w:p>
    <w:p w14:paraId="1AD08A2C" w14:textId="77777777" w:rsidR="00951C71" w:rsidRPr="00D339A7" w:rsidRDefault="00951C71">
      <w:pPr>
        <w:spacing w:after="0" w:line="360" w:lineRule="auto"/>
        <w:jc w:val="both"/>
        <w:rPr>
          <w:rFonts w:ascii="Palatino Linotype" w:eastAsia="Palatino Linotype" w:hAnsi="Palatino Linotype" w:cs="Palatino Linotype"/>
        </w:rPr>
      </w:pPr>
    </w:p>
    <w:p w14:paraId="4D5174A7" w14:textId="77777777" w:rsidR="00951C71" w:rsidRPr="00D339A7" w:rsidRDefault="00957E20">
      <w:pPr>
        <w:spacing w:after="0" w:line="360" w:lineRule="auto"/>
        <w:jc w:val="both"/>
        <w:rPr>
          <w:rFonts w:ascii="Palatino Linotype" w:eastAsia="Palatino Linotype" w:hAnsi="Palatino Linotype" w:cs="Palatino Linotype"/>
          <w:b/>
          <w:bCs/>
        </w:rPr>
      </w:pPr>
      <w:r w:rsidRPr="00D339A7">
        <w:rPr>
          <w:rFonts w:ascii="Palatino Linotype" w:eastAsia="Palatino Linotype" w:hAnsi="Palatino Linotype" w:cs="Palatino Linotype"/>
        </w:rPr>
        <w:t xml:space="preserve">Por lo tanto, se considera que dar a conocer los motivos personales, de inasistencias o faltas, implicaría revelar un aspecto de la vida privada e íntima, es decir, </w:t>
      </w:r>
      <w:r w:rsidRPr="00D339A7">
        <w:rPr>
          <w:rFonts w:ascii="Palatino Linotype" w:eastAsia="Palatino Linotype" w:hAnsi="Palatino Linotype" w:cs="Palatino Linotype"/>
          <w:b/>
          <w:bCs/>
        </w:rPr>
        <w:t>reflejaría una situación concreta de los servidores públicos en su vida personal, al dar cuenta de las razones de la decisión particular de presentar su renuncia laboral; por lo que, se considera información confidencial, en términos del artículo 143, fracción I, de la Ley de Transparencia y Acceso a la Información Pública del Estado de México y Municipios.</w:t>
      </w:r>
    </w:p>
    <w:p w14:paraId="48F50D20" w14:textId="77777777" w:rsidR="00951C71" w:rsidRPr="00D339A7" w:rsidRDefault="00951C71">
      <w:pPr>
        <w:spacing w:after="0" w:line="360" w:lineRule="auto"/>
        <w:jc w:val="both"/>
        <w:rPr>
          <w:rFonts w:ascii="Palatino Linotype" w:eastAsia="Palatino Linotype" w:hAnsi="Palatino Linotype" w:cs="Palatino Linotype"/>
          <w:b/>
          <w:bCs/>
        </w:rPr>
      </w:pPr>
    </w:p>
    <w:p w14:paraId="7C055206" w14:textId="77777777" w:rsidR="00951C71" w:rsidRPr="00D339A7" w:rsidRDefault="00957E20">
      <w:pPr>
        <w:numPr>
          <w:ilvl w:val="0"/>
          <w:numId w:val="13"/>
        </w:numPr>
        <w:spacing w:after="0" w:line="360" w:lineRule="auto"/>
        <w:jc w:val="both"/>
        <w:rPr>
          <w:rFonts w:ascii="Palatino Linotype" w:eastAsia="Palatino Linotype" w:hAnsi="Palatino Linotype" w:cs="Palatino Linotype"/>
          <w:b/>
          <w:bCs/>
        </w:rPr>
      </w:pPr>
      <w:r w:rsidRPr="00D339A7">
        <w:rPr>
          <w:rFonts w:ascii="Palatino Linotype" w:eastAsia="Palatino Linotype" w:hAnsi="Palatino Linotype" w:cs="Palatino Linotype"/>
          <w:b/>
          <w:bCs/>
        </w:rPr>
        <w:t>Firma de servidores públicos.</w:t>
      </w:r>
    </w:p>
    <w:p w14:paraId="7328A25E" w14:textId="77777777" w:rsidR="00951C71" w:rsidRPr="00D339A7" w:rsidRDefault="00951C71">
      <w:pPr>
        <w:spacing w:after="0" w:line="360" w:lineRule="auto"/>
        <w:jc w:val="both"/>
        <w:rPr>
          <w:rFonts w:ascii="Palatino Linotype" w:eastAsia="Palatino Linotype" w:hAnsi="Palatino Linotype" w:cs="Palatino Linotype"/>
        </w:rPr>
      </w:pPr>
    </w:p>
    <w:p w14:paraId="78E9E974"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Al respecto, cabe precisar que, en el presente caso, se trata de la firma de servidores públicos que dieron por terminada la relación laboral, al firmar de manera voluntaria su renuncia; por lo que, si bien la firma es un dato personal confidencial, cuando un trabajador gubernamental firma un documento como servidor público, en ejercicio de sus funciones, es de naturaleza pública.</w:t>
      </w:r>
    </w:p>
    <w:p w14:paraId="40AE0A57" w14:textId="77777777" w:rsidR="00951C71" w:rsidRPr="00D339A7" w:rsidRDefault="00951C71">
      <w:pPr>
        <w:spacing w:after="0" w:line="360" w:lineRule="auto"/>
        <w:jc w:val="both"/>
        <w:rPr>
          <w:rFonts w:ascii="Palatino Linotype" w:eastAsia="Palatino Linotype" w:hAnsi="Palatino Linotype" w:cs="Palatino Linotype"/>
        </w:rPr>
      </w:pPr>
    </w:p>
    <w:p w14:paraId="6FCF878A"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Conforme a lo anterior, la firma de servidores públicos, vinculada al ejercicio de la función pública es información de naturaleza pública, pues documenta y rinde cuentas sobre el debido ejercicio de sus atribuciones, lo cual acontece en el presente caso.</w:t>
      </w:r>
    </w:p>
    <w:p w14:paraId="078FB478" w14:textId="77777777" w:rsidR="00951C71" w:rsidRPr="00D339A7" w:rsidRDefault="00951C71">
      <w:pPr>
        <w:spacing w:after="0" w:line="360" w:lineRule="auto"/>
        <w:jc w:val="both"/>
        <w:rPr>
          <w:rFonts w:ascii="Palatino Linotype" w:eastAsia="Palatino Linotype" w:hAnsi="Palatino Linotype" w:cs="Palatino Linotype"/>
        </w:rPr>
      </w:pPr>
    </w:p>
    <w:p w14:paraId="2F0B1279"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Dicha situación, se robustece, con el Criterio de Interpretación, de la Segunda Época, con clave de control SO/002/2019, emitido por el Instituto Nacional de Transparencia, Acceso a la Información y Protección de Datos Personales, que establece lo siguiente:</w:t>
      </w:r>
    </w:p>
    <w:p w14:paraId="56D06C3F" w14:textId="77777777" w:rsidR="00951C71" w:rsidRPr="00D339A7" w:rsidRDefault="00951C71">
      <w:pPr>
        <w:spacing w:after="0" w:line="360" w:lineRule="auto"/>
        <w:jc w:val="both"/>
        <w:rPr>
          <w:rFonts w:ascii="Palatino Linotype" w:eastAsia="Palatino Linotype" w:hAnsi="Palatino Linotype" w:cs="Palatino Linotype"/>
        </w:rPr>
      </w:pPr>
    </w:p>
    <w:p w14:paraId="14D580E2" w14:textId="77777777" w:rsidR="00951C71" w:rsidRPr="00D339A7" w:rsidRDefault="00957E20">
      <w:pPr>
        <w:widowControl w:val="0"/>
        <w:spacing w:after="0" w:line="360" w:lineRule="auto"/>
        <w:ind w:left="567" w:right="567"/>
        <w:jc w:val="both"/>
        <w:rPr>
          <w:rFonts w:ascii="Palatino Linotype" w:eastAsia="Palatino Linotype" w:hAnsi="Palatino Linotype" w:cs="Palatino Linotype"/>
          <w:i/>
          <w:iCs/>
        </w:rPr>
      </w:pPr>
      <w:r w:rsidRPr="00D339A7">
        <w:rPr>
          <w:rFonts w:ascii="Palatino Linotype" w:eastAsia="Palatino Linotype" w:hAnsi="Palatino Linotype" w:cs="Palatino Linotype"/>
          <w:b/>
          <w:bCs/>
          <w:i/>
          <w:iCs/>
        </w:rPr>
        <w:t>“Firma y rúbrica de servidores públicos.</w:t>
      </w:r>
      <w:r w:rsidRPr="00D339A7">
        <w:rPr>
          <w:rFonts w:ascii="Palatino Linotype" w:eastAsia="Palatino Linotype" w:hAnsi="Palatino Linotype" w:cs="Palatino Linotype"/>
          <w:i/>
          <w:iC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5DBE2954" w14:textId="77777777" w:rsidR="00951C71" w:rsidRPr="00D339A7" w:rsidRDefault="00951C71">
      <w:pPr>
        <w:spacing w:after="0" w:line="360" w:lineRule="auto"/>
        <w:jc w:val="both"/>
        <w:rPr>
          <w:rFonts w:ascii="Palatino Linotype" w:eastAsia="Palatino Linotype" w:hAnsi="Palatino Linotype" w:cs="Palatino Linotype"/>
        </w:rPr>
      </w:pPr>
    </w:p>
    <w:p w14:paraId="63446370"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Conforme a lo expuesto, no procede la clasificación, en términos del artículo 143, fracción I de la Ley de Transparencia y Acceso a la Información Pública del Estado de México y Municipios, de la firma del personal que dio por terminada la relación laboral.</w:t>
      </w:r>
    </w:p>
    <w:p w14:paraId="51A7BD6B" w14:textId="77777777" w:rsidR="00951C71" w:rsidRPr="00D339A7" w:rsidRDefault="00951C71">
      <w:pPr>
        <w:widowControl w:val="0"/>
        <w:tabs>
          <w:tab w:val="center" w:pos="4522"/>
        </w:tabs>
        <w:spacing w:after="0" w:line="360" w:lineRule="auto"/>
        <w:jc w:val="both"/>
        <w:rPr>
          <w:rFonts w:ascii="Palatino Linotype" w:eastAsia="Palatino Linotype" w:hAnsi="Palatino Linotype" w:cs="Palatino Linotype"/>
        </w:rPr>
      </w:pPr>
    </w:p>
    <w:p w14:paraId="2B1A83C5" w14:textId="77777777" w:rsidR="00951C71" w:rsidRPr="00D339A7" w:rsidRDefault="00957E20">
      <w:pPr>
        <w:numPr>
          <w:ilvl w:val="0"/>
          <w:numId w:val="7"/>
        </w:numPr>
        <w:spacing w:after="0" w:line="360" w:lineRule="auto"/>
        <w:jc w:val="both"/>
        <w:rPr>
          <w:rFonts w:ascii="Palatino Linotype" w:eastAsia="Palatino Linotype" w:hAnsi="Palatino Linotype" w:cs="Palatino Linotype"/>
          <w:b/>
          <w:bCs/>
        </w:rPr>
      </w:pPr>
      <w:r w:rsidRPr="00D339A7">
        <w:rPr>
          <w:rFonts w:ascii="Palatino Linotype" w:eastAsia="Palatino Linotype" w:hAnsi="Palatino Linotype" w:cs="Palatino Linotype"/>
          <w:b/>
          <w:bCs/>
        </w:rPr>
        <w:t>Huella dactilar</w:t>
      </w:r>
    </w:p>
    <w:p w14:paraId="333DE480" w14:textId="77777777" w:rsidR="00951C71" w:rsidRPr="00D339A7" w:rsidRDefault="00951C71">
      <w:pPr>
        <w:spacing w:after="0" w:line="360" w:lineRule="auto"/>
        <w:ind w:right="-93"/>
        <w:jc w:val="both"/>
        <w:rPr>
          <w:rFonts w:ascii="Palatino Linotype" w:eastAsia="Palatino Linotype" w:hAnsi="Palatino Linotype" w:cs="Palatino Linotype"/>
          <w:b/>
          <w:bCs/>
        </w:rPr>
      </w:pPr>
    </w:p>
    <w:p w14:paraId="6873C45C"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Al respecto, la huella dactilar es la impresión visible o moldeada que produce el contacto de las crestas papilares de un dedo de la mano sobre una superficie. </w:t>
      </w:r>
    </w:p>
    <w:p w14:paraId="3C40F0AA" w14:textId="77777777" w:rsidR="00951C71" w:rsidRPr="00D339A7" w:rsidRDefault="00951C71">
      <w:pPr>
        <w:spacing w:after="0" w:line="360" w:lineRule="auto"/>
        <w:jc w:val="both"/>
        <w:rPr>
          <w:rFonts w:ascii="Palatino Linotype" w:eastAsia="Palatino Linotype" w:hAnsi="Palatino Linotype" w:cs="Palatino Linotype"/>
        </w:rPr>
      </w:pPr>
    </w:p>
    <w:p w14:paraId="225D6B2C"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disponible en </w:t>
      </w:r>
      <w:hyperlink r:id="rId9">
        <w:r w:rsidRPr="00D339A7">
          <w:rPr>
            <w:rFonts w:ascii="Palatino Linotype" w:eastAsia="Palatino Linotype" w:hAnsi="Palatino Linotype" w:cs="Palatino Linotype"/>
            <w:u w:val="single"/>
          </w:rPr>
          <w:t>https://docplayer.es/5455342-Nuevas-tecnologias-biometricas-instituto-nacional-de-ciencias-penales-procuraduria-general-de-la-republica-version-1-0.html</w:t>
        </w:r>
      </w:hyperlink>
      <w:r w:rsidRPr="00D339A7">
        <w:rPr>
          <w:rFonts w:ascii="Palatino Linotype" w:eastAsia="Palatino Linotype" w:hAnsi="Palatino Linotype" w:cs="Palatino Linotype"/>
        </w:rPr>
        <w:t xml:space="preserve">, se indica que existen tres principios fundamentales para la identificación de las huellas dactilares, a saber: </w:t>
      </w:r>
    </w:p>
    <w:p w14:paraId="74E54069" w14:textId="77777777" w:rsidR="00951C71" w:rsidRPr="00D339A7" w:rsidRDefault="00951C71">
      <w:pPr>
        <w:spacing w:after="0" w:line="360" w:lineRule="auto"/>
        <w:jc w:val="both"/>
        <w:rPr>
          <w:rFonts w:ascii="Palatino Linotype" w:eastAsia="Palatino Linotype" w:hAnsi="Palatino Linotype" w:cs="Palatino Linotype"/>
        </w:rPr>
      </w:pPr>
    </w:p>
    <w:p w14:paraId="19E4FCA6" w14:textId="77777777" w:rsidR="00951C71" w:rsidRPr="00D339A7" w:rsidRDefault="00957E20">
      <w:pPr>
        <w:numPr>
          <w:ilvl w:val="0"/>
          <w:numId w:val="12"/>
        </w:num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Primer principio. La huella es una característica individual. No hay dos huellas con características en las crestas que sean idénticas. </w:t>
      </w:r>
    </w:p>
    <w:p w14:paraId="00BD3391" w14:textId="77777777" w:rsidR="00951C71" w:rsidRPr="00D339A7" w:rsidRDefault="00951C71">
      <w:pPr>
        <w:spacing w:after="0" w:line="360" w:lineRule="auto"/>
        <w:jc w:val="both"/>
        <w:rPr>
          <w:rFonts w:ascii="Palatino Linotype" w:eastAsia="Palatino Linotype" w:hAnsi="Palatino Linotype" w:cs="Palatino Linotype"/>
        </w:rPr>
      </w:pPr>
    </w:p>
    <w:p w14:paraId="756FEB2F" w14:textId="77777777" w:rsidR="00951C71" w:rsidRPr="00D339A7" w:rsidRDefault="00957E20">
      <w:pPr>
        <w:numPr>
          <w:ilvl w:val="0"/>
          <w:numId w:val="12"/>
        </w:num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Segundo principio. Una huella permanece sin cambios durante toda la vida de un individuo (sin embargo, puede adquirir cicatrices o cualquier otra deformación que impida su identificación clara). </w:t>
      </w:r>
    </w:p>
    <w:p w14:paraId="619E5C0A" w14:textId="77777777" w:rsidR="00951C71" w:rsidRPr="00D339A7" w:rsidRDefault="00951C71">
      <w:pPr>
        <w:spacing w:after="0" w:line="360" w:lineRule="auto"/>
        <w:jc w:val="both"/>
        <w:rPr>
          <w:rFonts w:ascii="Palatino Linotype" w:eastAsia="Palatino Linotype" w:hAnsi="Palatino Linotype" w:cs="Palatino Linotype"/>
        </w:rPr>
      </w:pPr>
    </w:p>
    <w:p w14:paraId="133DDBA7" w14:textId="77777777" w:rsidR="00951C71" w:rsidRPr="00D339A7" w:rsidRDefault="00957E20">
      <w:pPr>
        <w:numPr>
          <w:ilvl w:val="0"/>
          <w:numId w:val="12"/>
        </w:num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Tercer principio. Las huellas tienen patrones que se forman con sus crestas, lo que hace posible clasificarlas sistemáticamente para agilizar las búsquedas. </w:t>
      </w:r>
    </w:p>
    <w:p w14:paraId="47205E59" w14:textId="77777777" w:rsidR="00951C71" w:rsidRPr="00D339A7" w:rsidRDefault="00951C71">
      <w:pPr>
        <w:spacing w:after="0" w:line="360" w:lineRule="auto"/>
        <w:jc w:val="both"/>
        <w:rPr>
          <w:rFonts w:ascii="Palatino Linotype" w:eastAsia="Palatino Linotype" w:hAnsi="Palatino Linotype" w:cs="Palatino Linotype"/>
        </w:rPr>
      </w:pPr>
    </w:p>
    <w:p w14:paraId="3FD05D84"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14:paraId="37A05AFC" w14:textId="77777777" w:rsidR="00951C71" w:rsidRPr="00D339A7" w:rsidRDefault="00951C71">
      <w:pPr>
        <w:spacing w:after="0" w:line="360" w:lineRule="auto"/>
        <w:jc w:val="both"/>
        <w:rPr>
          <w:rFonts w:ascii="Palatino Linotype" w:eastAsia="Palatino Linotype" w:hAnsi="Palatino Linotype" w:cs="Palatino Linotype"/>
        </w:rPr>
      </w:pPr>
    </w:p>
    <w:p w14:paraId="1DCF3AB5"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Ahora bien, no obstante que dicho dato no se haya recolectado mediante escaneo que permita su sistematización y procesamiento electrónico, incluso su recolección en tinta y papel, también permite su escaneo, lo que puede propiciar un mal uno de dicho dato, sino se aplican las medidas de protección adecuada, tal como lo refiere la siguiente Tesis Aislada:</w:t>
      </w:r>
    </w:p>
    <w:p w14:paraId="320BFE55" w14:textId="77777777" w:rsidR="00951C71" w:rsidRPr="00D339A7" w:rsidRDefault="00951C71">
      <w:pPr>
        <w:spacing w:after="0" w:line="360" w:lineRule="auto"/>
        <w:jc w:val="both"/>
        <w:rPr>
          <w:rFonts w:ascii="Palatino Linotype" w:eastAsia="Palatino Linotype" w:hAnsi="Palatino Linotype" w:cs="Palatino Linotype"/>
        </w:rPr>
      </w:pPr>
    </w:p>
    <w:p w14:paraId="1128CEC9" w14:textId="77777777" w:rsidR="00951C71" w:rsidRPr="00D339A7" w:rsidRDefault="00957E20">
      <w:pPr>
        <w:spacing w:after="0" w:line="360" w:lineRule="auto"/>
        <w:ind w:left="567" w:right="567"/>
        <w:jc w:val="both"/>
        <w:rPr>
          <w:rFonts w:ascii="Palatino Linotype" w:eastAsia="Palatino Linotype" w:hAnsi="Palatino Linotype" w:cs="Palatino Linotype"/>
          <w:i/>
          <w:iCs/>
        </w:rPr>
      </w:pPr>
      <w:r w:rsidRPr="00D339A7">
        <w:rPr>
          <w:rFonts w:ascii="Palatino Linotype" w:eastAsia="Palatino Linotype" w:hAnsi="Palatino Linotype" w:cs="Palatino Linotype"/>
          <w:b/>
          <w:bCs/>
          <w:i/>
          <w:iCs/>
        </w:rPr>
        <w:t>“HUELLA DACTILAR. ES APTA PARA ACREDITAR EL CONSENTIMIENTO EN LA CELEBRACIÓN DE UN CONTRATO</w:t>
      </w:r>
      <w:r w:rsidRPr="00D339A7">
        <w:rPr>
          <w:rFonts w:ascii="Palatino Linotype" w:eastAsia="Palatino Linotype" w:hAnsi="Palatino Linotype" w:cs="Palatino Linotype"/>
          <w:i/>
          <w:iCs/>
        </w:rPr>
        <w:t xml:space="preserve">. </w:t>
      </w:r>
      <w:r w:rsidRPr="00D339A7">
        <w:rPr>
          <w:rFonts w:ascii="Palatino Linotype" w:eastAsia="Palatino Linotype" w:hAnsi="Palatino Linotype" w:cs="Palatino Linotype"/>
          <w:b/>
          <w:bCs/>
          <w:i/>
          <w:iCs/>
        </w:rPr>
        <w:t>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w:t>
      </w:r>
      <w:r w:rsidRPr="00D339A7">
        <w:rPr>
          <w:rFonts w:ascii="Palatino Linotype" w:eastAsia="Palatino Linotype" w:hAnsi="Palatino Linotype" w:cs="Palatino Linotype"/>
          <w:i/>
          <w:iCs/>
        </w:rPr>
        <w:t xml:space="preserve">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como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w:t>
      </w:r>
    </w:p>
    <w:p w14:paraId="6591A891" w14:textId="77777777" w:rsidR="00951C71" w:rsidRPr="00D339A7" w:rsidRDefault="00951C71">
      <w:pPr>
        <w:spacing w:after="0" w:line="360" w:lineRule="auto"/>
        <w:jc w:val="both"/>
        <w:rPr>
          <w:rFonts w:ascii="Palatino Linotype" w:eastAsia="Palatino Linotype" w:hAnsi="Palatino Linotype" w:cs="Palatino Linotype"/>
        </w:rPr>
      </w:pPr>
    </w:p>
    <w:p w14:paraId="1FFCC1AE"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En la actualidad existen sistemas denominados AFIS por sus siglas en inglés </w:t>
      </w:r>
      <w:r w:rsidRPr="00D339A7">
        <w:rPr>
          <w:rFonts w:ascii="Palatino Linotype" w:eastAsia="Palatino Linotype" w:hAnsi="Palatino Linotype" w:cs="Palatino Linotype"/>
          <w:i/>
          <w:iCs/>
        </w:rPr>
        <w:t>Automated Fingerprint Identification System</w:t>
      </w:r>
      <w:r w:rsidRPr="00D339A7">
        <w:rPr>
          <w:rFonts w:ascii="Palatino Linotype" w:eastAsia="Palatino Linotype" w:hAnsi="Palatino Linotype" w:cs="Palatino Linotype"/>
        </w:rP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 </w:t>
      </w:r>
    </w:p>
    <w:p w14:paraId="3E9F057B" w14:textId="77777777" w:rsidR="00951C71" w:rsidRPr="00D339A7" w:rsidRDefault="00951C71">
      <w:pPr>
        <w:spacing w:after="0" w:line="360" w:lineRule="auto"/>
        <w:jc w:val="both"/>
        <w:rPr>
          <w:rFonts w:ascii="Palatino Linotype" w:eastAsia="Palatino Linotype" w:hAnsi="Palatino Linotype" w:cs="Palatino Linotype"/>
        </w:rPr>
      </w:pPr>
    </w:p>
    <w:p w14:paraId="75A20E48"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En términos de la calidad de la imagen se debe observar que en la NOM-151-SCFI-2016 publicada en el Diario Oficial, se determina que la calidad propicia para realizar la digitalización de documentos físicos en formato de imagen es de 200 píxeles por pulgada o superior para 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14:paraId="650ACEC0" w14:textId="77777777" w:rsidR="00951C71" w:rsidRPr="00D339A7" w:rsidRDefault="00951C71">
      <w:pPr>
        <w:spacing w:after="0" w:line="360" w:lineRule="auto"/>
        <w:jc w:val="both"/>
        <w:rPr>
          <w:rFonts w:ascii="Palatino Linotype" w:eastAsia="Palatino Linotype" w:hAnsi="Palatino Linotype" w:cs="Palatino Linotype"/>
        </w:rPr>
      </w:pPr>
    </w:p>
    <w:p w14:paraId="6AAA797C"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En conclusión, con el uso de las tecnologías de digitalización e impresión puestas a disposición de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14:paraId="29036CCE" w14:textId="77777777" w:rsidR="00951C71" w:rsidRPr="00D339A7" w:rsidRDefault="00951C71">
      <w:pPr>
        <w:spacing w:after="0" w:line="360" w:lineRule="auto"/>
        <w:jc w:val="both"/>
        <w:rPr>
          <w:rFonts w:ascii="Palatino Linotype" w:eastAsia="Palatino Linotype" w:hAnsi="Palatino Linotype" w:cs="Palatino Linotype"/>
        </w:rPr>
      </w:pPr>
    </w:p>
    <w:p w14:paraId="0371DDC0" w14:textId="77777777" w:rsidR="00951C71" w:rsidRPr="00D339A7" w:rsidRDefault="00957E20">
      <w:pPr>
        <w:spacing w:after="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términos del artículo 143, fracción I, de la Ley de Transparencia y Acceso a la Información Pública del Estado de México y Municipios.</w:t>
      </w:r>
    </w:p>
    <w:p w14:paraId="4254CA18" w14:textId="77777777" w:rsidR="00951C71" w:rsidRPr="00D339A7" w:rsidRDefault="00957E20">
      <w:pPr>
        <w:spacing w:before="240" w:after="240" w:line="360" w:lineRule="auto"/>
        <w:jc w:val="both"/>
        <w:rPr>
          <w:rFonts w:ascii="Palatino Linotype" w:eastAsia="Palatino Linotype" w:hAnsi="Palatino Linotype" w:cs="Palatino Linotype"/>
        </w:rPr>
      </w:pPr>
      <w:bookmarkStart w:id="3" w:name="_heading=h.wijsjrglxca5" w:colFirst="0" w:colLast="0"/>
      <w:bookmarkEnd w:id="3"/>
      <w:r w:rsidRPr="00D339A7">
        <w:rPr>
          <w:rFonts w:ascii="Palatino Linotype" w:eastAsia="Palatino Linotype" w:hAnsi="Palatino Linotype" w:cs="Palatino Linotype"/>
        </w:rPr>
        <w:t xml:space="preserve">Con relación al </w:t>
      </w:r>
      <w:r w:rsidRPr="00D339A7">
        <w:rPr>
          <w:rFonts w:ascii="Palatino Linotype" w:eastAsia="Palatino Linotype" w:hAnsi="Palatino Linotype" w:cs="Palatino Linotype"/>
          <w:b/>
          <w:bCs/>
        </w:rPr>
        <w:t>número de empleado</w:t>
      </w:r>
      <w:r w:rsidRPr="00D339A7">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D339A7">
        <w:rPr>
          <w:rFonts w:ascii="Palatino Linotype" w:eastAsia="Palatino Linotype" w:hAnsi="Palatino Linotype" w:cs="Palatino Linotype"/>
          <w:vertAlign w:val="superscript"/>
        </w:rPr>
        <w:footnoteReference w:id="1"/>
      </w:r>
      <w:r w:rsidRPr="00D339A7">
        <w:rPr>
          <w:rFonts w:ascii="Palatino Linotype" w:eastAsia="Palatino Linotype" w:hAnsi="Palatino Linotype" w:cs="Palatino Linotype"/>
        </w:rPr>
        <w:t>.</w:t>
      </w:r>
    </w:p>
    <w:p w14:paraId="49D9CF2A" w14:textId="77777777" w:rsidR="00951C71" w:rsidRPr="00D339A7" w:rsidRDefault="00957E20">
      <w:pPr>
        <w:spacing w:before="240" w:after="24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entonces Pleno del el Instituto Nacional de Transparencia, Acceso a la Información, y Protección de Datos Personales, INAI  se ha pronunciado sobre su publicidad, a través del Criterio de interpretación con Clave de control SO/006/2019, que indica lo siguiente:</w:t>
      </w:r>
    </w:p>
    <w:p w14:paraId="43ED4CEF" w14:textId="77777777" w:rsidR="00951C71" w:rsidRPr="00D339A7" w:rsidRDefault="00957E20">
      <w:pPr>
        <w:tabs>
          <w:tab w:val="left" w:pos="7655"/>
        </w:tabs>
        <w:spacing w:before="120" w:after="120"/>
        <w:ind w:left="992" w:right="992"/>
        <w:jc w:val="both"/>
        <w:rPr>
          <w:rFonts w:ascii="Palatino Linotype" w:eastAsia="Palatino Linotype" w:hAnsi="Palatino Linotype" w:cs="Palatino Linotype"/>
          <w:i/>
          <w:iCs/>
        </w:rPr>
      </w:pPr>
      <w:r w:rsidRPr="00D339A7">
        <w:rPr>
          <w:rFonts w:ascii="Palatino Linotype" w:eastAsia="Palatino Linotype" w:hAnsi="Palatino Linotype" w:cs="Palatino Linotype"/>
          <w:b/>
          <w:bCs/>
          <w:i/>
          <w:iCs/>
        </w:rPr>
        <w:t xml:space="preserve">“Número de empleado. </w:t>
      </w:r>
      <w:r w:rsidRPr="00D339A7">
        <w:rPr>
          <w:rFonts w:ascii="Palatino Linotype" w:eastAsia="Palatino Linotype" w:hAnsi="Palatino Linotype" w:cs="Palatino Linotype"/>
          <w:i/>
          <w:iCs/>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01AD3C07" w14:textId="77777777" w:rsidR="00951C71" w:rsidRPr="00D339A7" w:rsidRDefault="00957E20">
      <w:pPr>
        <w:spacing w:before="240" w:after="240" w:line="360" w:lineRule="auto"/>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D339A7">
        <w:rPr>
          <w:rFonts w:ascii="Palatino Linotype" w:eastAsia="Palatino Linotype" w:hAnsi="Palatino Linotype" w:cs="Palatino Linotype"/>
          <w:b/>
          <w:bCs/>
        </w:rPr>
        <w:t>Sujeto Obligado</w:t>
      </w:r>
      <w:r w:rsidRPr="00D339A7">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6DE48BCB" w14:textId="77777777" w:rsidR="00951C71" w:rsidRPr="00D339A7" w:rsidRDefault="00951C71">
      <w:pPr>
        <w:spacing w:after="0" w:line="360" w:lineRule="auto"/>
        <w:ind w:right="49"/>
        <w:jc w:val="both"/>
        <w:rPr>
          <w:rFonts w:ascii="Palatino Linotype" w:eastAsia="Palatino Linotype" w:hAnsi="Palatino Linotype" w:cs="Palatino Linotype"/>
        </w:rPr>
      </w:pPr>
    </w:p>
    <w:p w14:paraId="73D3CDE0"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Lo anterior, de conformidad con lo que señalan los artículos 3 fracciones IX, XX, XXI y XLV, 91, 132 fracciones II y III, y 143 de la Ley de Transparencia y Acceso a la Información Pública del Estado de México y Municipios que establecen:</w:t>
      </w:r>
    </w:p>
    <w:p w14:paraId="1F8E0722" w14:textId="77777777" w:rsidR="00951C71" w:rsidRPr="00D339A7" w:rsidRDefault="00951C71">
      <w:pPr>
        <w:spacing w:after="0" w:line="360" w:lineRule="auto"/>
        <w:ind w:right="49"/>
        <w:jc w:val="both"/>
        <w:rPr>
          <w:rFonts w:ascii="Palatino Linotype" w:eastAsia="Palatino Linotype" w:hAnsi="Palatino Linotype" w:cs="Palatino Linotype"/>
        </w:rPr>
      </w:pPr>
    </w:p>
    <w:p w14:paraId="26B46777"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w:t>
      </w:r>
      <w:r w:rsidRPr="00D339A7">
        <w:rPr>
          <w:rFonts w:ascii="Palatino Linotype" w:eastAsia="Palatino Linotype" w:hAnsi="Palatino Linotype" w:cs="Palatino Linotype"/>
          <w:b/>
          <w:bCs/>
          <w:i/>
          <w:iCs/>
        </w:rPr>
        <w:t>Artículo 3.</w:t>
      </w:r>
      <w:r w:rsidRPr="00D339A7">
        <w:rPr>
          <w:rFonts w:ascii="Palatino Linotype" w:eastAsia="Palatino Linotype" w:hAnsi="Palatino Linotype" w:cs="Palatino Linotype"/>
          <w:i/>
          <w:iCs/>
        </w:rPr>
        <w:t xml:space="preserve"> Para los efectos de la presente Ley se entenderá por:</w:t>
      </w:r>
    </w:p>
    <w:p w14:paraId="71F1F7F9"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w:t>
      </w:r>
    </w:p>
    <w:p w14:paraId="6AC3110D"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IX. Datos personales: La información concerniente a una persona, identificada o identificable según lo dispuesto por la Ley de Protección de Datos Personales del Estado de México; </w:t>
      </w:r>
    </w:p>
    <w:p w14:paraId="58721AD4"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XX. Información clasificada: Aquella considerada por la presente Ley como reservada o confidencial;</w:t>
      </w:r>
    </w:p>
    <w:p w14:paraId="2C7C2191"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1207664"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XLV. Versión pública: Documento en el que se elimine, suprime o borra la información clasificada como reservada o confidencial para permitir su acceso.</w:t>
      </w:r>
    </w:p>
    <w:p w14:paraId="456AB571"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w:t>
      </w:r>
    </w:p>
    <w:p w14:paraId="29BF8519"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b/>
          <w:bCs/>
          <w:i/>
          <w:iCs/>
        </w:rPr>
        <w:t>Artículo 91.</w:t>
      </w:r>
      <w:r w:rsidRPr="00D339A7">
        <w:rPr>
          <w:rFonts w:ascii="Palatino Linotype" w:eastAsia="Palatino Linotype" w:hAnsi="Palatino Linotype" w:cs="Palatino Linotype"/>
          <w:i/>
          <w:iCs/>
        </w:rPr>
        <w:t xml:space="preserve"> El acceso a la información pública será restringido excepcionalmente, cuando ésta sea clasificada como reservada o confidencial.</w:t>
      </w:r>
    </w:p>
    <w:p w14:paraId="3361C9C7"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b/>
          <w:bCs/>
          <w:i/>
          <w:iCs/>
        </w:rPr>
        <w:t>Artículo 132.</w:t>
      </w:r>
      <w:r w:rsidRPr="00D339A7">
        <w:rPr>
          <w:rFonts w:ascii="Palatino Linotype" w:eastAsia="Palatino Linotype" w:hAnsi="Palatino Linotype" w:cs="Palatino Linotype"/>
          <w:i/>
          <w:iCs/>
        </w:rPr>
        <w:t xml:space="preserve"> La clasificación de la información se llevará a cabo en el momento en que:</w:t>
      </w:r>
    </w:p>
    <w:p w14:paraId="4986ABE3" w14:textId="77777777" w:rsidR="00951C71" w:rsidRPr="00D339A7" w:rsidRDefault="00957E20">
      <w:pPr>
        <w:tabs>
          <w:tab w:val="left" w:pos="1134"/>
        </w:tabs>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I. Se reciba una solicitud de acceso a la información;</w:t>
      </w:r>
    </w:p>
    <w:p w14:paraId="4E7D0013" w14:textId="77777777" w:rsidR="00951C71" w:rsidRPr="00D339A7" w:rsidRDefault="00957E20">
      <w:pPr>
        <w:tabs>
          <w:tab w:val="left" w:pos="1134"/>
        </w:tabs>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II. Se determine mediante resolución de autoridad competente; o</w:t>
      </w:r>
    </w:p>
    <w:p w14:paraId="2C78C639" w14:textId="77777777" w:rsidR="00951C71" w:rsidRPr="00D339A7" w:rsidRDefault="00957E20">
      <w:pPr>
        <w:tabs>
          <w:tab w:val="left" w:pos="1134"/>
        </w:tabs>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III. Se generen versiones públicas para dar cumplimiento a las obligaciones de transparencia previstas en esta Ley.</w:t>
      </w:r>
    </w:p>
    <w:p w14:paraId="30595312"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w:t>
      </w:r>
    </w:p>
    <w:p w14:paraId="6DD4B5A0"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b/>
          <w:bCs/>
          <w:i/>
          <w:iCs/>
        </w:rPr>
        <w:t>Artículo 143</w:t>
      </w:r>
      <w:r w:rsidRPr="00D339A7">
        <w:rPr>
          <w:rFonts w:ascii="Palatino Linotype" w:eastAsia="Palatino Linotype" w:hAnsi="Palatino Linotype" w:cs="Palatino Linotype"/>
          <w:i/>
          <w:iCs/>
        </w:rPr>
        <w:t>. Para los efectos de esta Ley se considera información confidencial, la clasificada como tal, de manera permanente, por su naturaleza, cuando:</w:t>
      </w:r>
    </w:p>
    <w:p w14:paraId="14489E09"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I. Se refiera a la información privada y los datos personales concernientes a una persona física o jurídico colectiva identificada o identificable;</w:t>
      </w:r>
    </w:p>
    <w:p w14:paraId="40E369C1"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II. Los secretos bancario, fiduciario, industrial, comercial, fiscal, bursátil y postal, cuya titularidad corresponda a particulares, sujetos de derecho internacional o a sujetos obligados cuando no involucren el ejercicio de recursos públicos; y</w:t>
      </w:r>
    </w:p>
    <w:p w14:paraId="6F5CEA93"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III. La que presenten los particulares a los sujetos obligados, de conformidad con lo dispuesto por las leyes o los tratados internacionales.</w:t>
      </w:r>
    </w:p>
    <w:p w14:paraId="5AA004F5"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La información confidencial no estará sujeta a temporalidad alguna y sólo podrán tener acceso a ella los titulares de la misma, sus representantes y los servidores públicos facultados para ello.</w:t>
      </w:r>
    </w:p>
    <w:p w14:paraId="47EB1913"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No se considerará confidencial la información que se encuentre en los registros públicos o en fuentes de acceso público, ni tampoco la que sea considerada por la presente ley como información pública.”</w:t>
      </w:r>
    </w:p>
    <w:p w14:paraId="212DC13A" w14:textId="77777777" w:rsidR="00951C71" w:rsidRPr="00D339A7" w:rsidRDefault="00951C71">
      <w:pPr>
        <w:spacing w:after="0"/>
        <w:ind w:left="567" w:right="49"/>
        <w:jc w:val="both"/>
        <w:rPr>
          <w:rFonts w:ascii="Palatino Linotype" w:eastAsia="Palatino Linotype" w:hAnsi="Palatino Linotype" w:cs="Palatino Linotype"/>
          <w:i/>
          <w:iCs/>
        </w:rPr>
      </w:pPr>
    </w:p>
    <w:p w14:paraId="735A80F2"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211AA90" w14:textId="77777777" w:rsidR="00951C71" w:rsidRPr="00D339A7" w:rsidRDefault="00951C71">
      <w:pPr>
        <w:spacing w:after="0" w:line="360" w:lineRule="auto"/>
        <w:ind w:right="49"/>
        <w:jc w:val="both"/>
        <w:rPr>
          <w:rFonts w:ascii="Palatino Linotype" w:eastAsia="Palatino Linotype" w:hAnsi="Palatino Linotype" w:cs="Palatino Linotype"/>
        </w:rPr>
      </w:pPr>
    </w:p>
    <w:p w14:paraId="2AC950D2"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082E6188" w14:textId="77777777" w:rsidR="00951C71" w:rsidRPr="00D339A7" w:rsidRDefault="00951C71">
      <w:pPr>
        <w:spacing w:after="0" w:line="360" w:lineRule="auto"/>
        <w:ind w:right="49"/>
        <w:jc w:val="both"/>
        <w:rPr>
          <w:rFonts w:ascii="Palatino Linotype" w:eastAsia="Palatino Linotype" w:hAnsi="Palatino Linotype" w:cs="Palatino Linotype"/>
        </w:rPr>
      </w:pPr>
    </w:p>
    <w:p w14:paraId="76605EB1"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 “</w:t>
      </w:r>
      <w:r w:rsidRPr="00D339A7">
        <w:rPr>
          <w:rFonts w:ascii="Palatino Linotype" w:eastAsia="Palatino Linotype" w:hAnsi="Palatino Linotype" w:cs="Palatino Linotype"/>
          <w:b/>
          <w:bCs/>
          <w:i/>
          <w:iCs/>
        </w:rPr>
        <w:t>Quincuagésimo</w:t>
      </w:r>
      <w:r w:rsidRPr="00D339A7">
        <w:rPr>
          <w:rFonts w:ascii="Palatino Linotype" w:eastAsia="Palatino Linotype" w:hAnsi="Palatino Linotype" w:cs="Palatino Linotype"/>
          <w:i/>
          <w:iCs/>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A1DA6A8" w14:textId="77777777" w:rsidR="00951C71" w:rsidRPr="00D339A7" w:rsidRDefault="00957E20">
      <w:pPr>
        <w:pBdr>
          <w:top w:val="nil"/>
          <w:left w:val="nil"/>
          <w:bottom w:val="nil"/>
          <w:right w:val="nil"/>
          <w:between w:val="nil"/>
        </w:pBd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b/>
          <w:bCs/>
          <w:i/>
          <w:iCs/>
        </w:rPr>
        <w:t>Quincuagésimo primero.</w:t>
      </w:r>
      <w:r w:rsidRPr="00D339A7">
        <w:rPr>
          <w:rFonts w:ascii="Palatino Linotype" w:eastAsia="Palatino Linotype" w:hAnsi="Palatino Linotype" w:cs="Palatino Linotype"/>
          <w:i/>
          <w:iCs/>
        </w:rPr>
        <w:t xml:space="preserve"> Toda acta del Comité de Transparencia deberá contener: </w:t>
      </w:r>
    </w:p>
    <w:p w14:paraId="0E8F6CB3" w14:textId="77777777" w:rsidR="00951C71" w:rsidRPr="00D339A7" w:rsidRDefault="00957E20">
      <w:pPr>
        <w:pBdr>
          <w:top w:val="nil"/>
          <w:left w:val="nil"/>
          <w:bottom w:val="nil"/>
          <w:right w:val="nil"/>
          <w:between w:val="nil"/>
        </w:pBd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I. El número de sesión y fecha; </w:t>
      </w:r>
    </w:p>
    <w:p w14:paraId="2F49D78F" w14:textId="77777777" w:rsidR="00951C71" w:rsidRPr="00D339A7" w:rsidRDefault="00957E20">
      <w:pPr>
        <w:pBdr>
          <w:top w:val="nil"/>
          <w:left w:val="nil"/>
          <w:bottom w:val="nil"/>
          <w:right w:val="nil"/>
          <w:between w:val="nil"/>
        </w:pBd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II. El nombre del área que solicitó la clasificación de información; </w:t>
      </w:r>
    </w:p>
    <w:p w14:paraId="3EDF5C32" w14:textId="77777777" w:rsidR="00951C71" w:rsidRPr="00D339A7" w:rsidRDefault="00957E20">
      <w:pPr>
        <w:pBdr>
          <w:top w:val="nil"/>
          <w:left w:val="nil"/>
          <w:bottom w:val="nil"/>
          <w:right w:val="nil"/>
          <w:between w:val="nil"/>
        </w:pBd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III. La fundamentación legal y motivación correspondiente; </w:t>
      </w:r>
    </w:p>
    <w:p w14:paraId="19E0BC70" w14:textId="77777777" w:rsidR="00951C71" w:rsidRPr="00D339A7" w:rsidRDefault="00957E20">
      <w:pPr>
        <w:pBdr>
          <w:top w:val="nil"/>
          <w:left w:val="nil"/>
          <w:bottom w:val="nil"/>
          <w:right w:val="nil"/>
          <w:between w:val="nil"/>
        </w:pBd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IV. La resolución o resoluciones aprobadas; y </w:t>
      </w:r>
    </w:p>
    <w:p w14:paraId="5DA9D918" w14:textId="77777777" w:rsidR="00951C71" w:rsidRPr="00D339A7" w:rsidRDefault="00957E20">
      <w:pPr>
        <w:pBdr>
          <w:top w:val="nil"/>
          <w:left w:val="nil"/>
          <w:bottom w:val="nil"/>
          <w:right w:val="nil"/>
          <w:between w:val="nil"/>
        </w:pBd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V. La rúbrica o firma digital de cada integrante del Comité de Transparencia. </w:t>
      </w:r>
    </w:p>
    <w:p w14:paraId="57FA67B3" w14:textId="77777777" w:rsidR="00951C71" w:rsidRPr="00D339A7" w:rsidRDefault="00957E20">
      <w:pPr>
        <w:pBdr>
          <w:top w:val="nil"/>
          <w:left w:val="nil"/>
          <w:bottom w:val="nil"/>
          <w:right w:val="nil"/>
          <w:between w:val="nil"/>
        </w:pBd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Las resoluciones del Comité en las que se haya determinado confirmar o modificar la clasificación de información pública como reservada, deberán incluir, cuando menos: </w:t>
      </w:r>
    </w:p>
    <w:p w14:paraId="3C693324" w14:textId="77777777" w:rsidR="00951C71" w:rsidRPr="00D339A7" w:rsidRDefault="00957E20">
      <w:pPr>
        <w:pBdr>
          <w:top w:val="nil"/>
          <w:left w:val="nil"/>
          <w:bottom w:val="nil"/>
          <w:right w:val="nil"/>
          <w:between w:val="nil"/>
        </w:pBd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I. Los motivos y razonamientos que sustenten la confirmación o modificación de la prueba de daño;</w:t>
      </w:r>
    </w:p>
    <w:p w14:paraId="2ADBC23F" w14:textId="77777777" w:rsidR="00951C71" w:rsidRPr="00D339A7" w:rsidRDefault="00957E20">
      <w:pPr>
        <w:pBdr>
          <w:top w:val="nil"/>
          <w:left w:val="nil"/>
          <w:bottom w:val="nil"/>
          <w:right w:val="nil"/>
          <w:between w:val="nil"/>
        </w:pBd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II. Descripción de las partes o secciones reservadas, en caso de clasificación parcial; </w:t>
      </w:r>
    </w:p>
    <w:p w14:paraId="4BB7C061" w14:textId="77777777" w:rsidR="00951C71" w:rsidRPr="00D339A7" w:rsidRDefault="00957E20">
      <w:pPr>
        <w:pBdr>
          <w:top w:val="nil"/>
          <w:left w:val="nil"/>
          <w:bottom w:val="nil"/>
          <w:right w:val="nil"/>
          <w:between w:val="nil"/>
        </w:pBd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III. El periodo por el que mantendrá su clasificación y fecha de expiración; y </w:t>
      </w:r>
    </w:p>
    <w:p w14:paraId="635C2CBE" w14:textId="77777777" w:rsidR="00951C71" w:rsidRPr="00D339A7" w:rsidRDefault="00957E20">
      <w:pPr>
        <w:pBdr>
          <w:top w:val="nil"/>
          <w:left w:val="nil"/>
          <w:bottom w:val="nil"/>
          <w:right w:val="nil"/>
          <w:between w:val="nil"/>
        </w:pBd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IV. El nombre del titular y área encargada de realizar la versión pública del documento, en su caso. </w:t>
      </w:r>
    </w:p>
    <w:p w14:paraId="622D5741" w14:textId="77777777" w:rsidR="00951C71" w:rsidRPr="00D339A7" w:rsidRDefault="00957E20">
      <w:pPr>
        <w:pBdr>
          <w:top w:val="nil"/>
          <w:left w:val="nil"/>
          <w:bottom w:val="nil"/>
          <w:right w:val="nil"/>
          <w:between w:val="nil"/>
        </w:pBd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En los casos en que se clasifique la información como reservada siempre se entregará o anexará la prueba de daño con la respuesta al solicitante. </w:t>
      </w:r>
    </w:p>
    <w:p w14:paraId="0079377A" w14:textId="77777777" w:rsidR="00951C71" w:rsidRPr="00D339A7" w:rsidRDefault="00957E20">
      <w:pPr>
        <w:pBdr>
          <w:top w:val="nil"/>
          <w:left w:val="nil"/>
          <w:bottom w:val="nil"/>
          <w:right w:val="nil"/>
          <w:between w:val="nil"/>
        </w:pBd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En los casos de resoluciones del Comité de Transparencia en las que se confirme la clasificación de información confidencial solo se deberán de identificar los tipos de datos protegidos, de conformidad con el lineamiento trigésimo octavo.</w:t>
      </w:r>
    </w:p>
    <w:p w14:paraId="4551F526"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b/>
          <w:bCs/>
          <w:i/>
          <w:iCs/>
        </w:rPr>
        <w:t>Quincuagésimo segundo.</w:t>
      </w:r>
      <w:r w:rsidRPr="00D339A7">
        <w:rPr>
          <w:rFonts w:ascii="Palatino Linotype" w:eastAsia="Palatino Linotype" w:hAnsi="Palatino Linotype" w:cs="Palatino Linotype"/>
          <w:i/>
          <w:iCs/>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43684A0"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En el caso específico de la clasificación y elaboración de versiones públicas de documentos que contengan información confidencial, las áreas de los sujetos obligados deberán: </w:t>
      </w:r>
    </w:p>
    <w:p w14:paraId="6A8AE0EA"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I. Fijar la fecha en que se elaboró la versión pública y la fecha en la cual el Comité de Transparencia confirmó dicha versión;</w:t>
      </w:r>
    </w:p>
    <w:p w14:paraId="6CE35556"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II. Señalar dentro del documento el tipo de información confidencial que fue testada en cada caso específico, de conformidad con el lineamiento trigésimo octavo; y</w:t>
      </w:r>
    </w:p>
    <w:p w14:paraId="684DA665"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III. Señalar las personas o instancias autorizadas a acceder a la información clasificada.</w:t>
      </w:r>
    </w:p>
    <w:p w14:paraId="05F56F19"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En los documentos de difusión electrónica, señalar en la primera hoja y en el nombre del archivo, que la versión pública corresponde a un documento que contiene información confidencial.”</w:t>
      </w:r>
    </w:p>
    <w:p w14:paraId="33B3D5F8" w14:textId="77777777" w:rsidR="00951C71" w:rsidRPr="00D339A7" w:rsidRDefault="00951C71">
      <w:pPr>
        <w:spacing w:after="0"/>
        <w:ind w:left="567" w:right="49"/>
        <w:jc w:val="both"/>
        <w:rPr>
          <w:rFonts w:ascii="Palatino Linotype" w:eastAsia="Palatino Linotype" w:hAnsi="Palatino Linotype" w:cs="Palatino Linotype"/>
          <w:i/>
          <w:iCs/>
        </w:rPr>
      </w:pPr>
    </w:p>
    <w:p w14:paraId="1524544D"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De igual forma, deberá observar los Lineamientos Quincuagésimo cuarto, Quincuagésimo quinto, Quincuagésimo séptimo y Quincuagésimo octavo, establecen lo siguiente:</w:t>
      </w:r>
    </w:p>
    <w:p w14:paraId="2DC2D335" w14:textId="77777777" w:rsidR="00951C71" w:rsidRPr="00D339A7" w:rsidRDefault="00951C71">
      <w:pPr>
        <w:spacing w:after="0" w:line="360" w:lineRule="auto"/>
        <w:ind w:right="49"/>
        <w:jc w:val="both"/>
        <w:rPr>
          <w:rFonts w:ascii="Palatino Linotype" w:eastAsia="Palatino Linotype" w:hAnsi="Palatino Linotype" w:cs="Palatino Linotype"/>
        </w:rPr>
      </w:pPr>
    </w:p>
    <w:p w14:paraId="262D6BCD" w14:textId="77777777" w:rsidR="00951C71" w:rsidRPr="00D339A7" w:rsidRDefault="00957E20">
      <w:pPr>
        <w:pBdr>
          <w:top w:val="nil"/>
          <w:left w:val="nil"/>
          <w:bottom w:val="nil"/>
          <w:right w:val="nil"/>
          <w:between w:val="nil"/>
        </w:pBd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w:t>
      </w:r>
      <w:r w:rsidRPr="00D339A7">
        <w:rPr>
          <w:rFonts w:ascii="Palatino Linotype" w:eastAsia="Palatino Linotype" w:hAnsi="Palatino Linotype" w:cs="Palatino Linotype"/>
          <w:b/>
          <w:bCs/>
          <w:i/>
          <w:iCs/>
        </w:rPr>
        <w:t>Quincuagésimo cuarto.</w:t>
      </w:r>
      <w:r w:rsidRPr="00D339A7">
        <w:rPr>
          <w:rFonts w:ascii="Palatino Linotype" w:eastAsia="Palatino Linotype" w:hAnsi="Palatino Linotype" w:cs="Palatino Linotype"/>
          <w:i/>
          <w:iCs/>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378D5F41"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b/>
          <w:bCs/>
          <w:i/>
          <w:iCs/>
        </w:rPr>
        <w:t>Quincuagésimo quinto.</w:t>
      </w:r>
      <w:r w:rsidRPr="00D339A7">
        <w:rPr>
          <w:rFonts w:ascii="Palatino Linotype" w:eastAsia="Palatino Linotype" w:hAnsi="Palatino Linotype" w:cs="Palatino Linotype"/>
          <w:i/>
          <w:iCs/>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58C1AE7"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w:t>
      </w:r>
    </w:p>
    <w:p w14:paraId="2AF0E50A"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b/>
          <w:bCs/>
          <w:i/>
          <w:iCs/>
        </w:rPr>
        <w:t>Quincuagésimo séptimo.</w:t>
      </w:r>
      <w:r w:rsidRPr="00D339A7">
        <w:rPr>
          <w:rFonts w:ascii="Palatino Linotype" w:eastAsia="Palatino Linotype" w:hAnsi="Palatino Linotype" w:cs="Palatino Linotype"/>
          <w:i/>
          <w:iCs/>
        </w:rPr>
        <w:t xml:space="preserve"> Se considera, en principio, como información pública y no podrá omitirse de las versiones públicas la siguiente: </w:t>
      </w:r>
    </w:p>
    <w:p w14:paraId="768F714B"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I. La relativa a las Obligaciones de Transparencia que contempla el Título V de la Ley General y las demás disposiciones legales aplicables; </w:t>
      </w:r>
    </w:p>
    <w:p w14:paraId="77FA4114"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II. El nombre de los integrantes de los sujetos obligados en los documentos, y sus firmas autógrafas o digitales, cuando sean utilizados en el ejercicio de las facultades conferidas para el desempeño del servicio público, y</w:t>
      </w:r>
    </w:p>
    <w:p w14:paraId="569F9FC4"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4C0F3A6"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 xml:space="preserve">Lo anterior, siempre y cuando no se acredite alguna causal de clasificación, prevista en las leyes o en los tratados internacionales suscritas por el Estado mexicano.  </w:t>
      </w:r>
    </w:p>
    <w:p w14:paraId="39501227" w14:textId="77777777" w:rsidR="00951C71" w:rsidRPr="00D339A7" w:rsidRDefault="00957E20">
      <w:pPr>
        <w:spacing w:after="0"/>
        <w:ind w:left="567" w:right="49"/>
        <w:jc w:val="both"/>
        <w:rPr>
          <w:rFonts w:ascii="Palatino Linotype" w:eastAsia="Palatino Linotype" w:hAnsi="Palatino Linotype" w:cs="Palatino Linotype"/>
          <w:i/>
          <w:iCs/>
        </w:rPr>
      </w:pPr>
      <w:r w:rsidRPr="00D339A7">
        <w:rPr>
          <w:rFonts w:ascii="Palatino Linotype" w:eastAsia="Palatino Linotype" w:hAnsi="Palatino Linotype" w:cs="Palatino Linotype"/>
          <w:i/>
          <w:iCs/>
        </w:rPr>
        <w:t>Quincuagésimo octavo. Los sujetos obligados garantizarán que los sistemas o medios empleados para eliminar la información en las versiones públicas sean irreversibles, de tal forma que no permitan su recuperación o la visualización de la misma.”</w:t>
      </w:r>
    </w:p>
    <w:p w14:paraId="4FD53CC1" w14:textId="77777777" w:rsidR="00951C71" w:rsidRPr="00D339A7" w:rsidRDefault="00951C71">
      <w:pPr>
        <w:spacing w:after="0" w:line="360" w:lineRule="auto"/>
        <w:ind w:left="567" w:right="49"/>
        <w:jc w:val="both"/>
        <w:rPr>
          <w:rFonts w:ascii="Palatino Linotype" w:eastAsia="Palatino Linotype" w:hAnsi="Palatino Linotype" w:cs="Palatino Linotype"/>
          <w:i/>
          <w:iCs/>
        </w:rPr>
      </w:pPr>
    </w:p>
    <w:p w14:paraId="4288A91B"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0FCC475B" w14:textId="77777777" w:rsidR="00951C71" w:rsidRPr="00D339A7" w:rsidRDefault="00951C71">
      <w:pPr>
        <w:pBdr>
          <w:top w:val="nil"/>
          <w:left w:val="nil"/>
          <w:bottom w:val="nil"/>
          <w:right w:val="nil"/>
          <w:between w:val="nil"/>
        </w:pBdr>
        <w:spacing w:after="0"/>
        <w:ind w:left="567" w:right="49"/>
        <w:jc w:val="both"/>
      </w:pPr>
    </w:p>
    <w:p w14:paraId="2ADA19AB" w14:textId="77777777" w:rsidR="00951C71" w:rsidRPr="00D339A7" w:rsidRDefault="00957E20">
      <w:pPr>
        <w:spacing w:after="0" w:line="360" w:lineRule="auto"/>
        <w:ind w:right="49"/>
        <w:jc w:val="both"/>
        <w:rPr>
          <w:rFonts w:ascii="Palatino Linotype" w:eastAsia="Palatino Linotype" w:hAnsi="Palatino Linotype" w:cs="Palatino Linotype"/>
          <w:b/>
          <w:bCs/>
        </w:rPr>
      </w:pPr>
      <w:r w:rsidRPr="00D339A7">
        <w:rPr>
          <w:rFonts w:ascii="Palatino Linotype" w:eastAsia="Palatino Linotype" w:hAnsi="Palatino Linotype" w:cs="Palatino Linotype"/>
        </w:rPr>
        <w:t xml:space="preserve">Es así como, en mérito de lo expuesto en líneas anteriores, resultan fundadas las razones o motivos de inconformidad hechos valer por </w:t>
      </w:r>
      <w:r w:rsidRPr="00D339A7">
        <w:rPr>
          <w:rFonts w:ascii="Palatino Linotype" w:eastAsia="Palatino Linotype" w:hAnsi="Palatino Linotype" w:cs="Palatino Linotype"/>
          <w:b/>
          <w:bCs/>
        </w:rPr>
        <w:t>la parte</w:t>
      </w:r>
      <w:r w:rsidRPr="00D339A7">
        <w:rPr>
          <w:rFonts w:ascii="Palatino Linotype" w:eastAsia="Palatino Linotype" w:hAnsi="Palatino Linotype" w:cs="Palatino Linotype"/>
        </w:rPr>
        <w:t xml:space="preserve"> </w:t>
      </w:r>
      <w:r w:rsidRPr="00D339A7">
        <w:rPr>
          <w:rFonts w:ascii="Palatino Linotype" w:eastAsia="Palatino Linotype" w:hAnsi="Palatino Linotype" w:cs="Palatino Linotype"/>
          <w:b/>
          <w:bCs/>
        </w:rPr>
        <w:t>Recurrente</w:t>
      </w:r>
      <w:r w:rsidRPr="00D339A7">
        <w:rPr>
          <w:rFonts w:ascii="Palatino Linotype" w:eastAsia="Palatino Linotype" w:hAnsi="Palatino Linotype" w:cs="Palatino Linotype"/>
        </w:rPr>
        <w:t xml:space="preserve"> dentro del recurso de revisión </w:t>
      </w:r>
      <w:r w:rsidRPr="00D339A7">
        <w:rPr>
          <w:rFonts w:ascii="Palatino Linotype" w:eastAsia="Palatino Linotype" w:hAnsi="Palatino Linotype" w:cs="Palatino Linotype"/>
          <w:b/>
          <w:bCs/>
        </w:rPr>
        <w:t>09839/INFOEM/IP/RR/2025</w:t>
      </w:r>
      <w:r w:rsidRPr="00D339A7">
        <w:rPr>
          <w:rFonts w:ascii="Palatino Linotype" w:eastAsia="Palatino Linotype" w:hAnsi="Palatino Linotype" w:cs="Palatino Linotype"/>
        </w:rPr>
        <w:t>; por ello, y con fundamento en la fracción III del numeral 186 de la Ley de Transparencia y Acceso a la Información Pública del Estado de México y Municipios, se</w:t>
      </w:r>
      <w:r w:rsidRPr="00D339A7">
        <w:rPr>
          <w:rFonts w:ascii="Palatino Linotype" w:eastAsia="Palatino Linotype" w:hAnsi="Palatino Linotype" w:cs="Palatino Linotype"/>
          <w:b/>
          <w:bCs/>
        </w:rPr>
        <w:t xml:space="preserve"> REVOCA </w:t>
      </w:r>
      <w:r w:rsidRPr="00D339A7">
        <w:rPr>
          <w:rFonts w:ascii="Palatino Linotype" w:eastAsia="Palatino Linotype" w:hAnsi="Palatino Linotype" w:cs="Palatino Linotype"/>
        </w:rPr>
        <w:t xml:space="preserve">la respuesta a la solicitud de información número </w:t>
      </w:r>
      <w:r w:rsidRPr="00D339A7">
        <w:rPr>
          <w:rFonts w:ascii="Palatino Linotype" w:eastAsia="Palatino Linotype" w:hAnsi="Palatino Linotype" w:cs="Palatino Linotype"/>
          <w:b/>
          <w:bCs/>
        </w:rPr>
        <w:t xml:space="preserve">03985/TOLUCA/IP/2025. </w:t>
      </w:r>
    </w:p>
    <w:p w14:paraId="0C178406" w14:textId="77777777" w:rsidR="00951C71" w:rsidRPr="00D339A7" w:rsidRDefault="00951C71">
      <w:pPr>
        <w:spacing w:after="0" w:line="360" w:lineRule="auto"/>
        <w:ind w:right="49"/>
        <w:jc w:val="both"/>
        <w:rPr>
          <w:rFonts w:ascii="Palatino Linotype" w:eastAsia="Palatino Linotype" w:hAnsi="Palatino Linotype" w:cs="Palatino Linotype"/>
          <w:b/>
          <w:bCs/>
        </w:rPr>
      </w:pPr>
    </w:p>
    <w:p w14:paraId="7D3097EB"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Así, con fundamento en lo prescrito en los artículos 5 párrafos trigésimo noveno, cuadragésimo y cuadragésimo primero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14:paraId="4C4105FC" w14:textId="77777777" w:rsidR="00951C71" w:rsidRPr="00D339A7" w:rsidRDefault="00957E20">
      <w:pPr>
        <w:spacing w:after="0" w:line="360" w:lineRule="auto"/>
        <w:ind w:right="49"/>
        <w:jc w:val="center"/>
        <w:rPr>
          <w:rFonts w:ascii="Palatino Linotype" w:eastAsia="Palatino Linotype" w:hAnsi="Palatino Linotype" w:cs="Palatino Linotype"/>
          <w:b/>
          <w:bCs/>
        </w:rPr>
      </w:pPr>
      <w:r w:rsidRPr="00D339A7">
        <w:rPr>
          <w:rFonts w:ascii="Palatino Linotype" w:eastAsia="Palatino Linotype" w:hAnsi="Palatino Linotype" w:cs="Palatino Linotype"/>
          <w:b/>
          <w:bCs/>
        </w:rPr>
        <w:t>III.</w:t>
      </w:r>
      <w:r w:rsidRPr="00D339A7">
        <w:rPr>
          <w:rFonts w:ascii="Palatino Linotype" w:eastAsia="Palatino Linotype" w:hAnsi="Palatino Linotype" w:cs="Palatino Linotype"/>
          <w:b/>
          <w:bCs/>
        </w:rPr>
        <w:tab/>
        <w:t>R E S U E L V E:</w:t>
      </w:r>
    </w:p>
    <w:p w14:paraId="758F78DF" w14:textId="77777777" w:rsidR="00951C71" w:rsidRPr="00D339A7" w:rsidRDefault="00951C71">
      <w:pPr>
        <w:spacing w:after="0" w:line="360" w:lineRule="auto"/>
        <w:ind w:right="49"/>
        <w:jc w:val="center"/>
        <w:rPr>
          <w:rFonts w:ascii="Palatino Linotype" w:eastAsia="Palatino Linotype" w:hAnsi="Palatino Linotype" w:cs="Palatino Linotype"/>
          <w:b/>
          <w:bCs/>
        </w:rPr>
      </w:pPr>
    </w:p>
    <w:p w14:paraId="1C1D0B89"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b/>
          <w:bCs/>
        </w:rPr>
        <w:t>Primero.</w:t>
      </w:r>
      <w:r w:rsidRPr="00D339A7">
        <w:rPr>
          <w:rFonts w:ascii="Palatino Linotype" w:eastAsia="Palatino Linotype" w:hAnsi="Palatino Linotype" w:cs="Palatino Linotype"/>
        </w:rPr>
        <w:t xml:space="preserve"> Resultan</w:t>
      </w:r>
      <w:r w:rsidRPr="00D339A7">
        <w:rPr>
          <w:rFonts w:ascii="Palatino Linotype" w:eastAsia="Palatino Linotype" w:hAnsi="Palatino Linotype" w:cs="Palatino Linotype"/>
          <w:b/>
          <w:bCs/>
        </w:rPr>
        <w:t xml:space="preserve"> fundados</w:t>
      </w:r>
      <w:r w:rsidRPr="00D339A7">
        <w:rPr>
          <w:rFonts w:ascii="Palatino Linotype" w:eastAsia="Palatino Linotype" w:hAnsi="Palatino Linotype" w:cs="Palatino Linotype"/>
        </w:rPr>
        <w:t xml:space="preserve"> los motivos de inconformidad hechos valer por </w:t>
      </w:r>
      <w:r w:rsidRPr="00D339A7">
        <w:rPr>
          <w:rFonts w:ascii="Palatino Linotype" w:eastAsia="Palatino Linotype" w:hAnsi="Palatino Linotype" w:cs="Palatino Linotype"/>
          <w:b/>
          <w:bCs/>
        </w:rPr>
        <w:t>la parte</w:t>
      </w:r>
      <w:r w:rsidRPr="00D339A7">
        <w:rPr>
          <w:rFonts w:ascii="Palatino Linotype" w:eastAsia="Palatino Linotype" w:hAnsi="Palatino Linotype" w:cs="Palatino Linotype"/>
        </w:rPr>
        <w:t xml:space="preserve"> </w:t>
      </w:r>
      <w:r w:rsidRPr="00D339A7">
        <w:rPr>
          <w:rFonts w:ascii="Palatino Linotype" w:eastAsia="Palatino Linotype" w:hAnsi="Palatino Linotype" w:cs="Palatino Linotype"/>
          <w:b/>
          <w:bCs/>
        </w:rPr>
        <w:t>Recurrente</w:t>
      </w:r>
      <w:r w:rsidRPr="00D339A7">
        <w:rPr>
          <w:rFonts w:ascii="Palatino Linotype" w:eastAsia="Palatino Linotype" w:hAnsi="Palatino Linotype" w:cs="Palatino Linotype"/>
        </w:rPr>
        <w:t xml:space="preserve"> en el Recurso de Revisión </w:t>
      </w:r>
      <w:r w:rsidRPr="00D339A7">
        <w:rPr>
          <w:rFonts w:ascii="Palatino Linotype" w:eastAsia="Palatino Linotype" w:hAnsi="Palatino Linotype" w:cs="Palatino Linotype"/>
          <w:b/>
          <w:bCs/>
        </w:rPr>
        <w:t>09839/INFOEM/IP/RR/2025</w:t>
      </w:r>
      <w:r w:rsidRPr="00D339A7">
        <w:rPr>
          <w:rFonts w:ascii="Palatino Linotype" w:eastAsia="Palatino Linotype" w:hAnsi="Palatino Linotype" w:cs="Palatino Linotype"/>
        </w:rPr>
        <w:t xml:space="preserve">, por lo que, en términos del </w:t>
      </w:r>
      <w:r w:rsidRPr="00D339A7">
        <w:rPr>
          <w:rFonts w:ascii="Palatino Linotype" w:eastAsia="Palatino Linotype" w:hAnsi="Palatino Linotype" w:cs="Palatino Linotype"/>
          <w:b/>
          <w:bCs/>
        </w:rPr>
        <w:t>Considerando Cuarto</w:t>
      </w:r>
      <w:r w:rsidRPr="00D339A7">
        <w:rPr>
          <w:rFonts w:ascii="Palatino Linotype" w:eastAsia="Palatino Linotype" w:hAnsi="Palatino Linotype" w:cs="Palatino Linotype"/>
        </w:rPr>
        <w:t xml:space="preserve"> de esta resolución, se </w:t>
      </w:r>
      <w:r w:rsidRPr="00D339A7">
        <w:rPr>
          <w:rFonts w:ascii="Palatino Linotype" w:eastAsia="Palatino Linotype" w:hAnsi="Palatino Linotype" w:cs="Palatino Linotype"/>
          <w:b/>
          <w:bCs/>
        </w:rPr>
        <w:t xml:space="preserve">REVOCA </w:t>
      </w:r>
      <w:r w:rsidRPr="00D339A7">
        <w:rPr>
          <w:rFonts w:ascii="Palatino Linotype" w:eastAsia="Palatino Linotype" w:hAnsi="Palatino Linotype" w:cs="Palatino Linotype"/>
        </w:rPr>
        <w:t xml:space="preserve">la respuesta emitida por el </w:t>
      </w:r>
      <w:r w:rsidRPr="00D339A7">
        <w:rPr>
          <w:rFonts w:ascii="Palatino Linotype" w:eastAsia="Palatino Linotype" w:hAnsi="Palatino Linotype" w:cs="Palatino Linotype"/>
          <w:b/>
          <w:bCs/>
        </w:rPr>
        <w:t>Sujeto Obligado</w:t>
      </w:r>
      <w:r w:rsidRPr="00D339A7">
        <w:rPr>
          <w:rFonts w:ascii="Palatino Linotype" w:eastAsia="Palatino Linotype" w:hAnsi="Palatino Linotype" w:cs="Palatino Linotype"/>
        </w:rPr>
        <w:t>.</w:t>
      </w:r>
    </w:p>
    <w:p w14:paraId="21503873" w14:textId="77777777" w:rsidR="00951C71" w:rsidRPr="00D339A7" w:rsidRDefault="00951C71">
      <w:pPr>
        <w:spacing w:after="0" w:line="360" w:lineRule="auto"/>
        <w:ind w:right="49"/>
        <w:jc w:val="both"/>
        <w:rPr>
          <w:rFonts w:ascii="Palatino Linotype" w:eastAsia="Palatino Linotype" w:hAnsi="Palatino Linotype" w:cs="Palatino Linotype"/>
        </w:rPr>
      </w:pPr>
    </w:p>
    <w:p w14:paraId="1D9257AA"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b/>
          <w:bCs/>
        </w:rPr>
        <w:t>Segundo</w:t>
      </w:r>
      <w:r w:rsidRPr="00D339A7">
        <w:rPr>
          <w:rFonts w:ascii="Palatino Linotype" w:eastAsia="Palatino Linotype" w:hAnsi="Palatino Linotype" w:cs="Palatino Linotype"/>
        </w:rPr>
        <w:t xml:space="preserve">. Se </w:t>
      </w:r>
      <w:r w:rsidRPr="00D339A7">
        <w:rPr>
          <w:rFonts w:ascii="Palatino Linotype" w:eastAsia="Palatino Linotype" w:hAnsi="Palatino Linotype" w:cs="Palatino Linotype"/>
          <w:b/>
          <w:bCs/>
        </w:rPr>
        <w:t>ORDENA</w:t>
      </w:r>
      <w:r w:rsidRPr="00D339A7">
        <w:rPr>
          <w:rFonts w:ascii="Palatino Linotype" w:eastAsia="Palatino Linotype" w:hAnsi="Palatino Linotype" w:cs="Palatino Linotype"/>
        </w:rPr>
        <w:t xml:space="preserve"> al </w:t>
      </w:r>
      <w:r w:rsidRPr="00D339A7">
        <w:rPr>
          <w:rFonts w:ascii="Palatino Linotype" w:eastAsia="Palatino Linotype" w:hAnsi="Palatino Linotype" w:cs="Palatino Linotype"/>
          <w:b/>
          <w:bCs/>
        </w:rPr>
        <w:t xml:space="preserve">Sujeto Obligado </w:t>
      </w:r>
      <w:r w:rsidRPr="00D339A7">
        <w:rPr>
          <w:rFonts w:ascii="Palatino Linotype" w:eastAsia="Palatino Linotype" w:hAnsi="Palatino Linotype" w:cs="Palatino Linotype"/>
        </w:rPr>
        <w:t xml:space="preserve">a que, en observancia de los </w:t>
      </w:r>
      <w:r w:rsidRPr="00D339A7">
        <w:rPr>
          <w:rFonts w:ascii="Palatino Linotype" w:eastAsia="Palatino Linotype" w:hAnsi="Palatino Linotype" w:cs="Palatino Linotype"/>
          <w:b/>
          <w:bCs/>
        </w:rPr>
        <w:t>Considerandos Cuarto y Quinto</w:t>
      </w:r>
      <w:r w:rsidRPr="00D339A7">
        <w:rPr>
          <w:rFonts w:ascii="Palatino Linotype" w:eastAsia="Palatino Linotype" w:hAnsi="Palatino Linotype" w:cs="Palatino Linotype"/>
        </w:rPr>
        <w:t xml:space="preserve">, haga entrega, vía Sistema de Acceso a la Información Mexiquense </w:t>
      </w:r>
      <w:r w:rsidRPr="00D339A7">
        <w:rPr>
          <w:rFonts w:ascii="Palatino Linotype" w:eastAsia="Palatino Linotype" w:hAnsi="Palatino Linotype" w:cs="Palatino Linotype"/>
          <w:b/>
          <w:bCs/>
        </w:rPr>
        <w:t>(SAIMEX)</w:t>
      </w:r>
      <w:r w:rsidRPr="00D339A7">
        <w:rPr>
          <w:rFonts w:ascii="Palatino Linotype" w:eastAsia="Palatino Linotype" w:hAnsi="Palatino Linotype" w:cs="Palatino Linotype"/>
        </w:rPr>
        <w:t xml:space="preserve">, de ser el caso, en versión pública, </w:t>
      </w:r>
      <w:r w:rsidRPr="00D339A7">
        <w:rPr>
          <w:rFonts w:ascii="Palatino Linotype" w:eastAsia="Palatino Linotype" w:hAnsi="Palatino Linotype" w:cs="Palatino Linotype"/>
          <w:b/>
          <w:bCs/>
        </w:rPr>
        <w:t>del personal dado de baja del primero de enero al cuatro de agosto de dos mil veinticinco</w:t>
      </w:r>
      <w:r w:rsidRPr="00D339A7">
        <w:rPr>
          <w:rFonts w:ascii="Palatino Linotype" w:eastAsia="Palatino Linotype" w:hAnsi="Palatino Linotype" w:cs="Palatino Linotype"/>
        </w:rPr>
        <w:t>, los documentos donde conste, lo siguiente:</w:t>
      </w:r>
    </w:p>
    <w:p w14:paraId="1239DDF7" w14:textId="77777777" w:rsidR="00951C71" w:rsidRPr="00D339A7" w:rsidRDefault="00951C71">
      <w:pPr>
        <w:spacing w:after="0" w:line="360" w:lineRule="auto"/>
        <w:ind w:right="49"/>
        <w:jc w:val="both"/>
        <w:rPr>
          <w:rFonts w:ascii="Palatino Linotype" w:eastAsia="Palatino Linotype" w:hAnsi="Palatino Linotype" w:cs="Palatino Linotype"/>
        </w:rPr>
      </w:pPr>
    </w:p>
    <w:p w14:paraId="510511F7" w14:textId="77777777" w:rsidR="00951C71" w:rsidRPr="00D339A7" w:rsidRDefault="00957E20">
      <w:pPr>
        <w:numPr>
          <w:ilvl w:val="0"/>
          <w:numId w:val="16"/>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Renuncias firmadas.</w:t>
      </w:r>
    </w:p>
    <w:p w14:paraId="4A8F0446" w14:textId="77777777" w:rsidR="00951C71" w:rsidRPr="00D339A7" w:rsidRDefault="00957E20">
      <w:pPr>
        <w:numPr>
          <w:ilvl w:val="0"/>
          <w:numId w:val="16"/>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Número de demandas recibidas y su estatus.</w:t>
      </w:r>
    </w:p>
    <w:p w14:paraId="6BA3DF92" w14:textId="77777777" w:rsidR="00951C71" w:rsidRPr="00D339A7" w:rsidRDefault="00957E20">
      <w:pPr>
        <w:numPr>
          <w:ilvl w:val="0"/>
          <w:numId w:val="16"/>
        </w:numPr>
        <w:pBdr>
          <w:top w:val="nil"/>
          <w:left w:val="nil"/>
          <w:bottom w:val="nil"/>
          <w:right w:val="nil"/>
          <w:between w:val="nil"/>
        </w:pBdr>
        <w:spacing w:after="0" w:line="360" w:lineRule="auto"/>
        <w:ind w:right="560"/>
        <w:jc w:val="both"/>
        <w:rPr>
          <w:rFonts w:ascii="Palatino Linotype" w:eastAsia="Palatino Linotype" w:hAnsi="Palatino Linotype" w:cs="Palatino Linotype"/>
        </w:rPr>
      </w:pPr>
      <w:r w:rsidRPr="00D339A7">
        <w:rPr>
          <w:rFonts w:ascii="Palatino Linotype" w:eastAsia="Palatino Linotype" w:hAnsi="Palatino Linotype" w:cs="Palatino Linotype"/>
        </w:rPr>
        <w:t xml:space="preserve">Número de convenios firmados y número de servidores públicos a quienes se les pagó. </w:t>
      </w:r>
    </w:p>
    <w:p w14:paraId="08C4E4B2" w14:textId="77777777" w:rsidR="00951C71" w:rsidRPr="00D339A7" w:rsidRDefault="00951C71">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04862F80" w14:textId="77777777" w:rsidR="00951C71" w:rsidRPr="00D339A7" w:rsidRDefault="00957E20">
      <w:pPr>
        <w:spacing w:after="0"/>
        <w:ind w:left="567" w:right="560"/>
        <w:jc w:val="both"/>
        <w:rPr>
          <w:rFonts w:ascii="Palatino Linotype" w:eastAsia="Palatino Linotype" w:hAnsi="Palatino Linotype" w:cs="Palatino Linotype"/>
        </w:rPr>
      </w:pPr>
      <w:r w:rsidRPr="00D339A7">
        <w:rPr>
          <w:rFonts w:ascii="Palatino Linotype" w:eastAsia="Palatino Linotype" w:hAnsi="Palatino Linotype" w:cs="Palatino Linotype"/>
          <w:i/>
          <w:iCs/>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D339A7">
        <w:rPr>
          <w:rFonts w:ascii="Palatino Linotype" w:eastAsia="Palatino Linotype" w:hAnsi="Palatino Linotype" w:cs="Palatino Linotype"/>
          <w:b/>
          <w:bCs/>
          <w:i/>
          <w:iCs/>
        </w:rPr>
        <w:t>la parte Recurrente</w:t>
      </w:r>
      <w:r w:rsidRPr="00D339A7">
        <w:rPr>
          <w:rFonts w:ascii="Palatino Linotype" w:eastAsia="Palatino Linotype" w:hAnsi="Palatino Linotype" w:cs="Palatino Linotype"/>
          <w:i/>
          <w:iCs/>
        </w:rPr>
        <w:t>.</w:t>
      </w:r>
    </w:p>
    <w:p w14:paraId="2AD8E2C5" w14:textId="77777777" w:rsidR="00951C71" w:rsidRPr="00D339A7" w:rsidRDefault="00951C71">
      <w:pPr>
        <w:spacing w:after="0"/>
        <w:ind w:left="567" w:right="560"/>
        <w:jc w:val="both"/>
        <w:rPr>
          <w:rFonts w:ascii="Palatino Linotype" w:eastAsia="Palatino Linotype" w:hAnsi="Palatino Linotype" w:cs="Palatino Linotype"/>
        </w:rPr>
      </w:pPr>
    </w:p>
    <w:p w14:paraId="5D806BEB" w14:textId="77777777" w:rsidR="00951C71" w:rsidRPr="00D339A7" w:rsidRDefault="00957E20">
      <w:pPr>
        <w:spacing w:after="0"/>
        <w:ind w:left="567" w:right="560"/>
        <w:jc w:val="both"/>
        <w:rPr>
          <w:rFonts w:ascii="Palatino Linotype" w:eastAsia="Palatino Linotype" w:hAnsi="Palatino Linotype" w:cs="Palatino Linotype"/>
        </w:rPr>
      </w:pPr>
      <w:r w:rsidRPr="00D339A7">
        <w:rPr>
          <w:rFonts w:ascii="Palatino Linotype" w:eastAsia="Palatino Linotype" w:hAnsi="Palatino Linotype" w:cs="Palatino Linotype"/>
          <w:i/>
          <w:iCs/>
        </w:rPr>
        <w:t>Para el caso en que no se hayan interpuesto demandas, no se hayan presentado renuncias o no se cuente con convenios y por ende no existen pagos, en el periodo solicitado bastará con que el Sujeto Obligado lo haga del conocimiento del Particular en términos del párrafo segundo del artículo 19 de la Ley de Transparencia y Acceso a la Información Pública del Estado de México y Municipios para tenerse por colmado este requerimiento.</w:t>
      </w:r>
    </w:p>
    <w:p w14:paraId="22B8F3BC" w14:textId="77777777" w:rsidR="00951C71" w:rsidRPr="00D339A7" w:rsidRDefault="00951C71">
      <w:pPr>
        <w:spacing w:after="0" w:line="360" w:lineRule="auto"/>
        <w:ind w:right="49"/>
        <w:jc w:val="both"/>
        <w:rPr>
          <w:rFonts w:ascii="Palatino Linotype" w:eastAsia="Palatino Linotype" w:hAnsi="Palatino Linotype" w:cs="Palatino Linotype"/>
          <w:i/>
          <w:iCs/>
        </w:rPr>
      </w:pPr>
    </w:p>
    <w:p w14:paraId="2C6B3336" w14:textId="77777777" w:rsidR="00951C71" w:rsidRPr="00D339A7" w:rsidRDefault="00957E20">
      <w:pPr>
        <w:spacing w:after="0" w:line="360" w:lineRule="auto"/>
        <w:ind w:right="49"/>
        <w:jc w:val="both"/>
        <w:rPr>
          <w:rFonts w:ascii="Palatino Linotype" w:eastAsia="Palatino Linotype" w:hAnsi="Palatino Linotype" w:cs="Palatino Linotype"/>
          <w:b/>
          <w:bCs/>
        </w:rPr>
      </w:pPr>
      <w:r w:rsidRPr="00D339A7">
        <w:rPr>
          <w:rFonts w:ascii="Palatino Linotype" w:eastAsia="Palatino Linotype" w:hAnsi="Palatino Linotype" w:cs="Palatino Linotype"/>
          <w:b/>
          <w:bCs/>
        </w:rPr>
        <w:t xml:space="preserve">Tercero. Notifíquese vía SAIMEX </w:t>
      </w:r>
      <w:r w:rsidRPr="00D339A7">
        <w:rPr>
          <w:rFonts w:ascii="Palatino Linotype" w:eastAsia="Palatino Linotype" w:hAnsi="Palatino Linotype" w:cs="Palatino Linotype"/>
        </w:rPr>
        <w:t xml:space="preserve">la presente resolución al </w:t>
      </w:r>
      <w:r w:rsidRPr="00D339A7">
        <w:rPr>
          <w:rFonts w:ascii="Palatino Linotype" w:eastAsia="Palatino Linotype" w:hAnsi="Palatino Linotype" w:cs="Palatino Linotype"/>
          <w:b/>
          <w:bCs/>
        </w:rPr>
        <w:t>Titular de la Unidad de Transparencia del SUJETO OBLIGADO</w:t>
      </w:r>
      <w:r w:rsidRPr="00D339A7">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D339A7">
        <w:rPr>
          <w:rFonts w:ascii="Palatino Linotype" w:eastAsia="Palatino Linotype" w:hAnsi="Palatino Linotype" w:cs="Palatino Linotype"/>
          <w:b/>
          <w:bCs/>
        </w:rPr>
        <w:t>.</w:t>
      </w:r>
    </w:p>
    <w:p w14:paraId="27987623" w14:textId="77777777" w:rsidR="00951C71" w:rsidRPr="00D339A7" w:rsidRDefault="00957E20">
      <w:pPr>
        <w:spacing w:after="0" w:line="360" w:lineRule="auto"/>
        <w:ind w:right="49"/>
        <w:jc w:val="both"/>
        <w:rPr>
          <w:rFonts w:ascii="Palatino Linotype" w:eastAsia="Palatino Linotype" w:hAnsi="Palatino Linotype" w:cs="Palatino Linotype"/>
          <w:b/>
          <w:bCs/>
        </w:rPr>
      </w:pPr>
      <w:r w:rsidRPr="00D339A7">
        <w:rPr>
          <w:rFonts w:ascii="Palatino Linotype" w:eastAsia="Palatino Linotype" w:hAnsi="Palatino Linotype" w:cs="Palatino Linotype"/>
          <w:b/>
          <w:bCs/>
        </w:rPr>
        <w:t xml:space="preserve"> </w:t>
      </w:r>
    </w:p>
    <w:p w14:paraId="1EF8D630"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b/>
          <w:bCs/>
        </w:rPr>
        <w:t xml:space="preserve">Cuarto. Notifíquese vía SAIMEX </w:t>
      </w:r>
      <w:r w:rsidRPr="00D339A7">
        <w:rPr>
          <w:rFonts w:ascii="Palatino Linotype" w:eastAsia="Palatino Linotype" w:hAnsi="Palatino Linotype" w:cs="Palatino Linotype"/>
        </w:rPr>
        <w:t>a la parte</w:t>
      </w:r>
      <w:r w:rsidRPr="00D339A7">
        <w:rPr>
          <w:rFonts w:ascii="Palatino Linotype" w:eastAsia="Palatino Linotype" w:hAnsi="Palatino Linotype" w:cs="Palatino Linotype"/>
          <w:b/>
          <w:bCs/>
        </w:rPr>
        <w:t xml:space="preserve"> Recurrente </w:t>
      </w:r>
      <w:r w:rsidRPr="00D339A7">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B3DAF20" w14:textId="77777777" w:rsidR="00951C71" w:rsidRPr="00D339A7" w:rsidRDefault="00957E20">
      <w:pPr>
        <w:spacing w:after="0" w:line="360" w:lineRule="auto"/>
        <w:ind w:right="49"/>
        <w:jc w:val="both"/>
        <w:rPr>
          <w:rFonts w:ascii="Palatino Linotype" w:eastAsia="Palatino Linotype" w:hAnsi="Palatino Linotype" w:cs="Palatino Linotype"/>
          <w:b/>
          <w:bCs/>
        </w:rPr>
      </w:pPr>
      <w:r w:rsidRPr="00D339A7">
        <w:rPr>
          <w:rFonts w:ascii="Palatino Linotype" w:eastAsia="Palatino Linotype" w:hAnsi="Palatino Linotype" w:cs="Palatino Linotype"/>
          <w:b/>
          <w:bCs/>
        </w:rPr>
        <w:t xml:space="preserve"> </w:t>
      </w:r>
    </w:p>
    <w:p w14:paraId="1874479A" w14:textId="77777777" w:rsidR="00951C71" w:rsidRPr="00D339A7"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b/>
          <w:bCs/>
        </w:rPr>
        <w:t xml:space="preserve">Quinto. </w:t>
      </w:r>
      <w:r w:rsidRPr="00D339A7">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FEBA4C7" w14:textId="77777777" w:rsidR="00951C71" w:rsidRPr="00D339A7" w:rsidRDefault="00951C71">
      <w:pPr>
        <w:spacing w:after="0" w:line="360" w:lineRule="auto"/>
        <w:ind w:right="49"/>
        <w:jc w:val="both"/>
        <w:rPr>
          <w:rFonts w:ascii="Palatino Linotype" w:eastAsia="Palatino Linotype" w:hAnsi="Palatino Linotype" w:cs="Palatino Linotype"/>
          <w:b/>
          <w:bCs/>
        </w:rPr>
      </w:pPr>
    </w:p>
    <w:p w14:paraId="4E1D4B39" w14:textId="77777777" w:rsidR="00951C71" w:rsidRPr="006A10BF" w:rsidRDefault="00957E20">
      <w:pPr>
        <w:spacing w:after="0" w:line="360" w:lineRule="auto"/>
        <w:ind w:right="49"/>
        <w:jc w:val="both"/>
        <w:rPr>
          <w:rFonts w:ascii="Palatino Linotype" w:eastAsia="Palatino Linotype" w:hAnsi="Palatino Linotype" w:cs="Palatino Linotype"/>
        </w:rPr>
      </w:pPr>
      <w:r w:rsidRPr="00D339A7">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DE FEBRERO DE DOS MIL VEINTISÉIS, ANTE EL SECRETARIO TÉCNICO DEL PLENO ALEXIS TAPIA RAMÍREZ.</w:t>
      </w:r>
    </w:p>
    <w:p w14:paraId="54DB96E2" w14:textId="77777777" w:rsidR="00951C71" w:rsidRPr="006A10BF" w:rsidRDefault="00951C71">
      <w:pPr>
        <w:spacing w:after="0" w:line="360" w:lineRule="auto"/>
        <w:ind w:right="49"/>
        <w:jc w:val="both"/>
        <w:rPr>
          <w:rFonts w:ascii="Palatino Linotype" w:eastAsia="Palatino Linotype" w:hAnsi="Palatino Linotype" w:cs="Palatino Linotype"/>
        </w:rPr>
      </w:pPr>
    </w:p>
    <w:p w14:paraId="07383964" w14:textId="77777777" w:rsidR="00951C71" w:rsidRPr="006A10BF" w:rsidRDefault="00951C71">
      <w:pPr>
        <w:spacing w:after="0" w:line="360" w:lineRule="auto"/>
        <w:ind w:right="49"/>
        <w:jc w:val="both"/>
        <w:rPr>
          <w:rFonts w:ascii="Palatino Linotype" w:eastAsia="Palatino Linotype" w:hAnsi="Palatino Linotype" w:cs="Palatino Linotype"/>
        </w:rPr>
      </w:pPr>
      <w:bookmarkStart w:id="4" w:name="_heading=h.2et92p0" w:colFirst="0" w:colLast="0"/>
      <w:bookmarkEnd w:id="4"/>
    </w:p>
    <w:p w14:paraId="12FE6A47" w14:textId="77777777" w:rsidR="00951C71" w:rsidRPr="006A10BF" w:rsidRDefault="00951C71">
      <w:pPr>
        <w:spacing w:after="0" w:line="360" w:lineRule="auto"/>
        <w:ind w:right="49"/>
        <w:jc w:val="both"/>
        <w:rPr>
          <w:rFonts w:ascii="Palatino Linotype" w:eastAsia="Palatino Linotype" w:hAnsi="Palatino Linotype" w:cs="Palatino Linotype"/>
        </w:rPr>
      </w:pPr>
    </w:p>
    <w:p w14:paraId="453FDB11" w14:textId="77777777" w:rsidR="00951C71" w:rsidRPr="006A10BF" w:rsidRDefault="00951C71">
      <w:pPr>
        <w:spacing w:after="0" w:line="360" w:lineRule="auto"/>
        <w:ind w:right="49"/>
        <w:jc w:val="both"/>
        <w:rPr>
          <w:rFonts w:ascii="Palatino Linotype" w:eastAsia="Palatino Linotype" w:hAnsi="Palatino Linotype" w:cs="Palatino Linotype"/>
        </w:rPr>
      </w:pPr>
    </w:p>
    <w:p w14:paraId="3DC3FAA3" w14:textId="77777777" w:rsidR="00951C71" w:rsidRPr="006A10BF" w:rsidRDefault="00951C71">
      <w:pPr>
        <w:spacing w:after="0" w:line="360" w:lineRule="auto"/>
        <w:ind w:right="49"/>
        <w:jc w:val="both"/>
        <w:rPr>
          <w:rFonts w:ascii="Palatino Linotype" w:eastAsia="Palatino Linotype" w:hAnsi="Palatino Linotype" w:cs="Palatino Linotype"/>
        </w:rPr>
      </w:pPr>
    </w:p>
    <w:p w14:paraId="2273026D" w14:textId="77777777" w:rsidR="00951C71" w:rsidRPr="006A10BF" w:rsidRDefault="00951C71">
      <w:pPr>
        <w:spacing w:after="0" w:line="360" w:lineRule="auto"/>
        <w:ind w:right="49"/>
        <w:jc w:val="both"/>
        <w:rPr>
          <w:rFonts w:ascii="Palatino Linotype" w:eastAsia="Palatino Linotype" w:hAnsi="Palatino Linotype" w:cs="Palatino Linotype"/>
        </w:rPr>
      </w:pPr>
    </w:p>
    <w:p w14:paraId="3130E6D1" w14:textId="46D436FE" w:rsidR="00951C71" w:rsidRPr="006A10BF" w:rsidRDefault="00951C71">
      <w:pPr>
        <w:spacing w:after="0" w:line="360" w:lineRule="auto"/>
        <w:ind w:right="49"/>
        <w:jc w:val="both"/>
        <w:rPr>
          <w:rFonts w:ascii="Palatino Linotype" w:eastAsia="Palatino Linotype" w:hAnsi="Palatino Linotype" w:cs="Palatino Linotype"/>
        </w:rPr>
      </w:pPr>
    </w:p>
    <w:p w14:paraId="564E8DD8" w14:textId="1EA47847" w:rsidR="006A10BF" w:rsidRPr="006A10BF" w:rsidRDefault="006A10BF">
      <w:pPr>
        <w:spacing w:after="0" w:line="360" w:lineRule="auto"/>
        <w:ind w:right="49"/>
        <w:jc w:val="both"/>
        <w:rPr>
          <w:rFonts w:ascii="Palatino Linotype" w:eastAsia="Palatino Linotype" w:hAnsi="Palatino Linotype" w:cs="Palatino Linotype"/>
        </w:rPr>
      </w:pPr>
    </w:p>
    <w:p w14:paraId="26A70958" w14:textId="711E4EBB" w:rsidR="006A10BF" w:rsidRPr="006A10BF" w:rsidRDefault="006A10BF">
      <w:pPr>
        <w:spacing w:after="0" w:line="360" w:lineRule="auto"/>
        <w:ind w:right="49"/>
        <w:jc w:val="both"/>
        <w:rPr>
          <w:rFonts w:ascii="Palatino Linotype" w:eastAsia="Palatino Linotype" w:hAnsi="Palatino Linotype" w:cs="Palatino Linotype"/>
        </w:rPr>
      </w:pPr>
    </w:p>
    <w:p w14:paraId="32BF4D00" w14:textId="6FF9D695" w:rsidR="006A10BF" w:rsidRPr="006A10BF" w:rsidRDefault="006A10BF">
      <w:pPr>
        <w:spacing w:after="0" w:line="360" w:lineRule="auto"/>
        <w:ind w:right="49"/>
        <w:jc w:val="both"/>
        <w:rPr>
          <w:rFonts w:ascii="Palatino Linotype" w:eastAsia="Palatino Linotype" w:hAnsi="Palatino Linotype" w:cs="Palatino Linotype"/>
        </w:rPr>
      </w:pPr>
    </w:p>
    <w:p w14:paraId="5EAA0D4F" w14:textId="3CCD8137" w:rsidR="006A10BF" w:rsidRPr="006A10BF" w:rsidRDefault="006A10BF">
      <w:pPr>
        <w:spacing w:after="0" w:line="360" w:lineRule="auto"/>
        <w:ind w:right="49"/>
        <w:jc w:val="both"/>
        <w:rPr>
          <w:rFonts w:ascii="Palatino Linotype" w:eastAsia="Palatino Linotype" w:hAnsi="Palatino Linotype" w:cs="Palatino Linotype"/>
        </w:rPr>
      </w:pPr>
    </w:p>
    <w:p w14:paraId="32E2FBF0" w14:textId="77777777" w:rsidR="006A10BF" w:rsidRPr="006A10BF" w:rsidRDefault="006A10BF">
      <w:pPr>
        <w:spacing w:after="0" w:line="360" w:lineRule="auto"/>
        <w:ind w:right="49"/>
        <w:jc w:val="both"/>
        <w:rPr>
          <w:rFonts w:ascii="Palatino Linotype" w:eastAsia="Palatino Linotype" w:hAnsi="Palatino Linotype" w:cs="Palatino Linotype"/>
        </w:rPr>
      </w:pPr>
    </w:p>
    <w:sectPr w:rsidR="006A10BF" w:rsidRPr="006A10BF">
      <w:headerReference w:type="default" r:id="rId10"/>
      <w:footerReference w:type="default" r:id="rId1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20446" w14:textId="77777777" w:rsidR="007F647D" w:rsidRDefault="007F647D">
      <w:pPr>
        <w:spacing w:after="0" w:line="240" w:lineRule="auto"/>
      </w:pPr>
      <w:r>
        <w:separator/>
      </w:r>
    </w:p>
  </w:endnote>
  <w:endnote w:type="continuationSeparator" w:id="0">
    <w:p w14:paraId="3618A569" w14:textId="77777777" w:rsidR="007F647D" w:rsidRDefault="007F6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C00ACDEA-E2F5-49F5-B1DB-264C3AFAA40A}"/>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D6756E7E-EF88-487A-AE18-1413425A6586}"/>
    <w:embedBold r:id="rId3" w:fontKey="{DBB7237D-1A2C-4C5C-8F4B-EDF02BF0CCDB}"/>
    <w:embedItalic r:id="rId4" w:fontKey="{35B699E2-9704-495B-867B-2B8B751BC40A}"/>
    <w:embedBoldItalic r:id="rId5" w:fontKey="{E632B057-4E37-4234-B830-55409FE9282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7E9C329B-6C3F-4A29-B524-FA8B0A65B98C}"/>
    <w:embedBold r:id="rId7" w:fontKey="{FEFC4717-C72C-4C0A-8982-BA2E0E76410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8" w:fontKey="{00277859-C9E9-4790-9F91-29306B511634}"/>
  </w:font>
  <w:font w:name="Calibri Light">
    <w:panose1 w:val="020F0302020204030204"/>
    <w:charset w:val="00"/>
    <w:family w:val="swiss"/>
    <w:pitch w:val="variable"/>
    <w:sig w:usb0="E4002EFF" w:usb1="C200247B" w:usb2="00000009" w:usb3="00000000" w:csb0="000001FF" w:csb1="00000000"/>
    <w:embedRegular r:id="rId9" w:fontKey="{38DBA0D9-3499-42E1-92AC-4415745468E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9DFB0" w14:textId="60B803B5" w:rsidR="00951C71" w:rsidRDefault="00957E2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63EDF">
      <w:rPr>
        <w:b/>
        <w:bCs/>
        <w:noProof/>
        <w:color w:val="000000"/>
        <w:sz w:val="24"/>
        <w:szCs w:val="24"/>
      </w:rPr>
      <w:t>29</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63EDF">
      <w:rPr>
        <w:b/>
        <w:bCs/>
        <w:noProof/>
        <w:color w:val="000000"/>
        <w:sz w:val="24"/>
        <w:szCs w:val="24"/>
      </w:rPr>
      <w:t>42</w:t>
    </w:r>
    <w:r>
      <w:rPr>
        <w:b/>
        <w:bCs/>
        <w:color w:val="000000"/>
        <w:sz w:val="24"/>
        <w:szCs w:val="24"/>
      </w:rPr>
      <w:fldChar w:fldCharType="end"/>
    </w:r>
  </w:p>
  <w:p w14:paraId="33475BCC" w14:textId="77777777" w:rsidR="00951C71" w:rsidRDefault="00951C7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A85CC" w14:textId="4100DC8E" w:rsidR="00951C71" w:rsidRDefault="00957E2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63EDF">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63EDF">
      <w:rPr>
        <w:b/>
        <w:bCs/>
        <w:noProof/>
        <w:color w:val="000000"/>
        <w:sz w:val="24"/>
        <w:szCs w:val="24"/>
      </w:rPr>
      <w:t>42</w:t>
    </w:r>
    <w:r>
      <w:rPr>
        <w:b/>
        <w:bCs/>
        <w:color w:val="000000"/>
        <w:sz w:val="24"/>
        <w:szCs w:val="24"/>
      </w:rPr>
      <w:fldChar w:fldCharType="end"/>
    </w:r>
  </w:p>
  <w:p w14:paraId="7F5BB0A8" w14:textId="77777777" w:rsidR="00951C71" w:rsidRDefault="00951C7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EB14D" w14:textId="77777777" w:rsidR="007F647D" w:rsidRDefault="007F647D">
      <w:pPr>
        <w:spacing w:after="0" w:line="240" w:lineRule="auto"/>
      </w:pPr>
      <w:r>
        <w:separator/>
      </w:r>
    </w:p>
  </w:footnote>
  <w:footnote w:type="continuationSeparator" w:id="0">
    <w:p w14:paraId="32AE82A7" w14:textId="77777777" w:rsidR="007F647D" w:rsidRDefault="007F647D">
      <w:pPr>
        <w:spacing w:after="0" w:line="240" w:lineRule="auto"/>
      </w:pPr>
      <w:r>
        <w:continuationSeparator/>
      </w:r>
    </w:p>
  </w:footnote>
  <w:footnote w:id="1">
    <w:p w14:paraId="051A7EF7" w14:textId="77777777" w:rsidR="00951C71" w:rsidRDefault="00957E20">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44557" w14:textId="77777777" w:rsidR="00951C71" w:rsidRDefault="00957E20">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020122EA" wp14:editId="00A5113A">
          <wp:simplePos x="0" y="0"/>
          <wp:positionH relativeFrom="column">
            <wp:posOffset>-716278</wp:posOffset>
          </wp:positionH>
          <wp:positionV relativeFrom="paragraph">
            <wp:posOffset>-401953</wp:posOffset>
          </wp:positionV>
          <wp:extent cx="7809876" cy="10165823"/>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4"/>
      <w:tblW w:w="5603" w:type="dxa"/>
      <w:tblInd w:w="3611" w:type="dxa"/>
      <w:tblLayout w:type="fixed"/>
      <w:tblLook w:val="0400" w:firstRow="0" w:lastRow="0" w:firstColumn="0" w:lastColumn="0" w:noHBand="0" w:noVBand="1"/>
    </w:tblPr>
    <w:tblGrid>
      <w:gridCol w:w="2551"/>
      <w:gridCol w:w="3052"/>
    </w:tblGrid>
    <w:tr w:rsidR="00951C71" w14:paraId="6A1F52EA" w14:textId="77777777">
      <w:tc>
        <w:tcPr>
          <w:tcW w:w="2551" w:type="dxa"/>
          <w:vAlign w:val="center"/>
        </w:tcPr>
        <w:p w14:paraId="3A24F831" w14:textId="77777777" w:rsidR="00951C71" w:rsidRDefault="00957E2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tc>
      <w:tc>
        <w:tcPr>
          <w:tcW w:w="3052" w:type="dxa"/>
          <w:vAlign w:val="center"/>
        </w:tcPr>
        <w:p w14:paraId="3752449F" w14:textId="77777777" w:rsidR="00951C71" w:rsidRDefault="00957E2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09839/INFOEM/IP/RR/2025</w:t>
          </w:r>
        </w:p>
      </w:tc>
    </w:tr>
    <w:tr w:rsidR="00951C71" w14:paraId="108B0BDE" w14:textId="77777777">
      <w:trPr>
        <w:trHeight w:val="217"/>
      </w:trPr>
      <w:tc>
        <w:tcPr>
          <w:tcW w:w="2551" w:type="dxa"/>
          <w:vAlign w:val="center"/>
        </w:tcPr>
        <w:p w14:paraId="4EBCBBF7" w14:textId="77777777" w:rsidR="00951C71" w:rsidRDefault="00957E2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tc>
      <w:tc>
        <w:tcPr>
          <w:tcW w:w="3052" w:type="dxa"/>
          <w:vAlign w:val="center"/>
        </w:tcPr>
        <w:p w14:paraId="3983CE38" w14:textId="77777777" w:rsidR="00951C71" w:rsidRDefault="00957E20">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Ayuntamiento de Toluca </w:t>
          </w:r>
        </w:p>
      </w:tc>
    </w:tr>
    <w:tr w:rsidR="00951C71" w14:paraId="394F9203" w14:textId="77777777">
      <w:tc>
        <w:tcPr>
          <w:tcW w:w="2551" w:type="dxa"/>
          <w:vAlign w:val="center"/>
        </w:tcPr>
        <w:p w14:paraId="41530F1A" w14:textId="77777777" w:rsidR="00951C71" w:rsidRDefault="00957E2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52" w:type="dxa"/>
          <w:vAlign w:val="center"/>
        </w:tcPr>
        <w:p w14:paraId="2A772EEA" w14:textId="77777777" w:rsidR="00951C71" w:rsidRDefault="00957E2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3CA1501C" w14:textId="77777777" w:rsidR="00951C71" w:rsidRDefault="00951C71">
    <w:pPr>
      <w:pBdr>
        <w:top w:val="nil"/>
        <w:left w:val="nil"/>
        <w:bottom w:val="nil"/>
        <w:right w:val="nil"/>
        <w:between w:val="nil"/>
      </w:pBdr>
      <w:tabs>
        <w:tab w:val="left" w:pos="2805"/>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A6EDB" w14:textId="77777777" w:rsidR="00951C71" w:rsidRDefault="00957E20">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5792839C" wp14:editId="2ACFE896">
          <wp:simplePos x="0" y="0"/>
          <wp:positionH relativeFrom="column">
            <wp:posOffset>-654049</wp:posOffset>
          </wp:positionH>
          <wp:positionV relativeFrom="paragraph">
            <wp:posOffset>-191134</wp:posOffset>
          </wp:positionV>
          <wp:extent cx="7809865" cy="10165715"/>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603" w:type="dxa"/>
      <w:tblInd w:w="3611" w:type="dxa"/>
      <w:tblLayout w:type="fixed"/>
      <w:tblLook w:val="0400" w:firstRow="0" w:lastRow="0" w:firstColumn="0" w:lastColumn="0" w:noHBand="0" w:noVBand="1"/>
    </w:tblPr>
    <w:tblGrid>
      <w:gridCol w:w="2551"/>
      <w:gridCol w:w="3052"/>
    </w:tblGrid>
    <w:tr w:rsidR="00951C71" w14:paraId="12939081" w14:textId="77777777">
      <w:tc>
        <w:tcPr>
          <w:tcW w:w="2551" w:type="dxa"/>
          <w:vAlign w:val="center"/>
        </w:tcPr>
        <w:p w14:paraId="3F7B976F" w14:textId="77777777" w:rsidR="00951C71" w:rsidRDefault="00957E2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tc>
      <w:tc>
        <w:tcPr>
          <w:tcW w:w="3052" w:type="dxa"/>
          <w:vAlign w:val="center"/>
        </w:tcPr>
        <w:p w14:paraId="036D48EE" w14:textId="77777777" w:rsidR="00951C71" w:rsidRDefault="00957E2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09839/INFOEM/IP/RR/2025</w:t>
          </w:r>
        </w:p>
      </w:tc>
    </w:tr>
    <w:tr w:rsidR="00951C71" w14:paraId="698A85E0" w14:textId="77777777">
      <w:tc>
        <w:tcPr>
          <w:tcW w:w="2551" w:type="dxa"/>
          <w:vAlign w:val="center"/>
        </w:tcPr>
        <w:p w14:paraId="421B67A0" w14:textId="77777777" w:rsidR="00951C71" w:rsidRDefault="00957E20">
          <w:pPr>
            <w:pBdr>
              <w:top w:val="nil"/>
              <w:left w:val="nil"/>
              <w:bottom w:val="nil"/>
              <w:right w:val="nil"/>
              <w:between w:val="nil"/>
            </w:pBdr>
            <w:tabs>
              <w:tab w:val="center" w:pos="4419"/>
              <w:tab w:val="right" w:pos="8838"/>
            </w:tabs>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3052" w:type="dxa"/>
          <w:vAlign w:val="center"/>
        </w:tcPr>
        <w:p w14:paraId="306338E5" w14:textId="77777777" w:rsidR="00951C71" w:rsidRDefault="00951C71">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rPr>
          </w:pPr>
        </w:p>
      </w:tc>
    </w:tr>
    <w:tr w:rsidR="00951C71" w14:paraId="792BF276" w14:textId="77777777">
      <w:trPr>
        <w:trHeight w:val="152"/>
      </w:trPr>
      <w:tc>
        <w:tcPr>
          <w:tcW w:w="2551" w:type="dxa"/>
          <w:vAlign w:val="center"/>
        </w:tcPr>
        <w:p w14:paraId="023ED6AB" w14:textId="77777777" w:rsidR="00951C71" w:rsidRDefault="00957E20">
          <w:pPr>
            <w:tabs>
              <w:tab w:val="center" w:pos="4419"/>
              <w:tab w:val="right" w:pos="8838"/>
            </w:tabs>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tc>
      <w:tc>
        <w:tcPr>
          <w:tcW w:w="3052" w:type="dxa"/>
          <w:vAlign w:val="center"/>
        </w:tcPr>
        <w:p w14:paraId="3FBE0E00" w14:textId="77777777" w:rsidR="00951C71" w:rsidRDefault="00957E20">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Ayuntamiento de Toluca</w:t>
          </w:r>
        </w:p>
      </w:tc>
    </w:tr>
    <w:tr w:rsidR="00951C71" w14:paraId="7B7DD654" w14:textId="77777777">
      <w:tc>
        <w:tcPr>
          <w:tcW w:w="2551" w:type="dxa"/>
          <w:vAlign w:val="center"/>
        </w:tcPr>
        <w:p w14:paraId="26018F41" w14:textId="77777777" w:rsidR="00951C71" w:rsidRDefault="00957E2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52" w:type="dxa"/>
          <w:vAlign w:val="center"/>
        </w:tcPr>
        <w:p w14:paraId="24E18A28" w14:textId="77777777" w:rsidR="00951C71" w:rsidRDefault="00957E2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25943E64" w14:textId="77777777" w:rsidR="00951C71" w:rsidRDefault="00957E20">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E0E81"/>
    <w:multiLevelType w:val="multilevel"/>
    <w:tmpl w:val="1494C1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940F6B"/>
    <w:multiLevelType w:val="multilevel"/>
    <w:tmpl w:val="7F1A66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F61A8F"/>
    <w:multiLevelType w:val="multilevel"/>
    <w:tmpl w:val="3F24A2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365396"/>
    <w:multiLevelType w:val="multilevel"/>
    <w:tmpl w:val="F09E9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6D05C74"/>
    <w:multiLevelType w:val="multilevel"/>
    <w:tmpl w:val="1EA2A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A044CF"/>
    <w:multiLevelType w:val="multilevel"/>
    <w:tmpl w:val="0D282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BB440D"/>
    <w:multiLevelType w:val="multilevel"/>
    <w:tmpl w:val="B608EF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081254A"/>
    <w:multiLevelType w:val="multilevel"/>
    <w:tmpl w:val="626A0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42845B4"/>
    <w:multiLevelType w:val="multilevel"/>
    <w:tmpl w:val="7AC42794"/>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8835BE0"/>
    <w:multiLevelType w:val="multilevel"/>
    <w:tmpl w:val="B9826A0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91123AF"/>
    <w:multiLevelType w:val="multilevel"/>
    <w:tmpl w:val="3FAE6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FA461CE"/>
    <w:multiLevelType w:val="multilevel"/>
    <w:tmpl w:val="C0BC7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1647CB1"/>
    <w:multiLevelType w:val="multilevel"/>
    <w:tmpl w:val="EEF4B9E0"/>
    <w:lvl w:ilvl="0">
      <w:start w:val="1"/>
      <w:numFmt w:val="decimal"/>
      <w:lvlText w:val="%1."/>
      <w:lvlJc w:val="left"/>
      <w:pPr>
        <w:ind w:left="2062" w:hanging="360"/>
      </w:pPr>
      <w:rPr>
        <w:b/>
        <w:bCs/>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59C4227"/>
    <w:multiLevelType w:val="multilevel"/>
    <w:tmpl w:val="150CD974"/>
    <w:lvl w:ilvl="0">
      <w:start w:val="7"/>
      <w:numFmt w:val="decimal"/>
      <w:lvlText w:val="%1."/>
      <w:lvlJc w:val="left"/>
      <w:pPr>
        <w:ind w:left="720" w:hanging="360"/>
      </w:pPr>
      <w:rPr>
        <w:b/>
        <w:bC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A991E3D"/>
    <w:multiLevelType w:val="multilevel"/>
    <w:tmpl w:val="637C21E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D462C3C"/>
    <w:multiLevelType w:val="multilevel"/>
    <w:tmpl w:val="882A16F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2"/>
  </w:num>
  <w:num w:numId="2">
    <w:abstractNumId w:val="14"/>
  </w:num>
  <w:num w:numId="3">
    <w:abstractNumId w:val="9"/>
  </w:num>
  <w:num w:numId="4">
    <w:abstractNumId w:val="6"/>
  </w:num>
  <w:num w:numId="5">
    <w:abstractNumId w:val="10"/>
  </w:num>
  <w:num w:numId="6">
    <w:abstractNumId w:val="2"/>
  </w:num>
  <w:num w:numId="7">
    <w:abstractNumId w:val="5"/>
  </w:num>
  <w:num w:numId="8">
    <w:abstractNumId w:val="0"/>
  </w:num>
  <w:num w:numId="9">
    <w:abstractNumId w:val="1"/>
  </w:num>
  <w:num w:numId="10">
    <w:abstractNumId w:val="4"/>
  </w:num>
  <w:num w:numId="11">
    <w:abstractNumId w:val="3"/>
  </w:num>
  <w:num w:numId="12">
    <w:abstractNumId w:val="7"/>
  </w:num>
  <w:num w:numId="13">
    <w:abstractNumId w:val="11"/>
  </w:num>
  <w:num w:numId="14">
    <w:abstractNumId w:val="13"/>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C71"/>
    <w:rsid w:val="00063EDF"/>
    <w:rsid w:val="006A10BF"/>
    <w:rsid w:val="007F647D"/>
    <w:rsid w:val="00951C71"/>
    <w:rsid w:val="00957E20"/>
    <w:rsid w:val="00D339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8E1C8"/>
  <w15:docId w15:val="{55A95896-4C56-446A-8127-AFECE0F79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character" w:customStyle="1" w:styleId="Mencinsinresolver3">
    <w:name w:val="Mención sin resolver3"/>
    <w:basedOn w:val="Fuentedeprrafopredeter"/>
    <w:uiPriority w:val="99"/>
    <w:semiHidden/>
    <w:unhideWhenUsed/>
    <w:rsid w:val="0036720C"/>
    <w:rPr>
      <w:color w:val="605E5C"/>
      <w:shd w:val="clear" w:color="auto" w:fill="E1DFDD"/>
    </w:rPr>
  </w:style>
  <w:style w:type="character" w:styleId="Hipervnculovisitado">
    <w:name w:val="FollowedHyperlink"/>
    <w:basedOn w:val="Fuentedeprrafopredeter"/>
    <w:uiPriority w:val="99"/>
    <w:semiHidden/>
    <w:unhideWhenUsed/>
    <w:rsid w:val="00996EF5"/>
    <w:rPr>
      <w:color w:val="954F72" w:themeColor="followedHyperlink"/>
      <w:u w:val="single"/>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top w:w="15" w:type="dxa"/>
        <w:left w:w="115" w:type="dxa"/>
        <w:bottom w:w="15" w:type="dxa"/>
        <w:right w:w="115" w:type="dxa"/>
      </w:tblCellMar>
    </w:tblPr>
  </w:style>
  <w:style w:type="table" w:customStyle="1" w:styleId="a1">
    <w:basedOn w:val="TableNormal2"/>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1"/>
    <w:qFormat/>
    <w:rsid w:val="008E7CA6"/>
    <w:pPr>
      <w:autoSpaceDE w:val="0"/>
      <w:autoSpaceDN w:val="0"/>
      <w:adjustRightInd w:val="0"/>
      <w:spacing w:after="0" w:line="240" w:lineRule="auto"/>
      <w:ind w:left="93"/>
    </w:pPr>
    <w:rPr>
      <w:rFonts w:ascii="Times New Roman" w:eastAsiaTheme="minorHAnsi" w:hAnsi="Times New Roman"/>
      <w:sz w:val="23"/>
      <w:szCs w:val="23"/>
    </w:rPr>
  </w:style>
  <w:style w:type="character" w:customStyle="1" w:styleId="TextoindependienteCar">
    <w:name w:val="Texto independiente Car"/>
    <w:basedOn w:val="Fuentedeprrafopredeter"/>
    <w:link w:val="Textoindependiente"/>
    <w:uiPriority w:val="1"/>
    <w:rsid w:val="008E7CA6"/>
    <w:rPr>
      <w:rFonts w:ascii="Times New Roman" w:eastAsiaTheme="minorHAnsi" w:hAnsi="Times New Roman" w:cs="Times New Roman"/>
      <w:sz w:val="23"/>
      <w:szCs w:val="23"/>
      <w:lang w:eastAsia="en-US"/>
    </w:rPr>
  </w:style>
  <w:style w:type="table" w:customStyle="1" w:styleId="a2">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3">
    <w:basedOn w:val="TableNormal1"/>
    <w:pPr>
      <w:spacing w:after="0" w:line="240" w:lineRule="auto"/>
    </w:pPr>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1170D"/>
    <w:pPr>
      <w:spacing w:after="0" w:line="240" w:lineRule="auto"/>
    </w:pPr>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1170D"/>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1170D"/>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5">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player.es/5455342-Nuevas-tecnologias-biometricas-instituto-nacional-de-ciencias-penales-procuraduria-general-de-la-republica-version-1-0.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8FSC4aJJToytwppFyiBGatXSOA==">CgMxLjAyCWguM3pueXNoNzIJaC4zMGowemxsMg5oLndpanNqcmdseGNhNTIJaC4yZXQ5MnAwOAByITFLMHhMcDRvQWd5N1pZZllEQjhORHJPOUp6Z0p4cDM2NQ==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11223</Words>
  <Characters>61728</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2026-02-09T16:37:00Z</cp:lastPrinted>
  <dcterms:created xsi:type="dcterms:W3CDTF">2026-03-24T17:37:00Z</dcterms:created>
  <dcterms:modified xsi:type="dcterms:W3CDTF">2026-03-24T17:37:00Z</dcterms:modified>
</cp:coreProperties>
</file>