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7106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bookmarkStart w:id="0" w:name="_GoBack"/>
      <w:bookmarkEnd w:id="0"/>
      <w:r w:rsidRPr="00E813D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E813DF">
        <w:rPr>
          <w:rFonts w:ascii="Palatino Linotype" w:eastAsia="Palatino Linotype" w:hAnsi="Palatino Linotype" w:cs="Palatino Linotype"/>
          <w:b/>
          <w:bCs/>
          <w:sz w:val="22"/>
          <w:szCs w:val="22"/>
        </w:rPr>
        <w:t>veinticinco de marzo de dos mil veintiséis</w:t>
      </w:r>
      <w:r w:rsidRPr="00E813DF">
        <w:rPr>
          <w:rFonts w:ascii="Palatino Linotype" w:eastAsia="Palatino Linotype" w:hAnsi="Palatino Linotype" w:cs="Palatino Linotype"/>
          <w:sz w:val="22"/>
          <w:szCs w:val="22"/>
        </w:rPr>
        <w:t xml:space="preserve">. </w:t>
      </w:r>
    </w:p>
    <w:p w14:paraId="352C6342" w14:textId="77777777" w:rsidR="00304047" w:rsidRPr="00E813DF" w:rsidRDefault="00CA623F">
      <w:pPr>
        <w:tabs>
          <w:tab w:val="left" w:pos="5812"/>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Visto</w:t>
      </w:r>
      <w:r w:rsidRPr="00E813DF">
        <w:rPr>
          <w:rFonts w:ascii="Palatino Linotype" w:eastAsia="Palatino Linotype" w:hAnsi="Palatino Linotype" w:cs="Palatino Linotype"/>
          <w:sz w:val="22"/>
          <w:szCs w:val="22"/>
        </w:rPr>
        <w:t xml:space="preserve"> el expediente formado con motivo del recurso de revisión </w:t>
      </w:r>
      <w:r w:rsidRPr="00E813DF">
        <w:rPr>
          <w:rFonts w:ascii="Palatino Linotype" w:eastAsia="Palatino Linotype" w:hAnsi="Palatino Linotype" w:cs="Palatino Linotype"/>
          <w:b/>
          <w:bCs/>
          <w:sz w:val="22"/>
          <w:szCs w:val="22"/>
        </w:rPr>
        <w:t>08309/INFOEM/IP/RR/2025</w:t>
      </w:r>
      <w:r w:rsidRPr="00E813DF">
        <w:rPr>
          <w:rFonts w:ascii="Palatino Linotype" w:eastAsia="Palatino Linotype" w:hAnsi="Palatino Linotype" w:cs="Palatino Linotype"/>
          <w:sz w:val="22"/>
          <w:szCs w:val="22"/>
        </w:rPr>
        <w:t>, interpuesto por</w:t>
      </w:r>
      <w:r w:rsidRPr="00E813DF">
        <w:rPr>
          <w:rFonts w:ascii="Palatino Linotype" w:eastAsia="Palatino Linotype" w:hAnsi="Palatino Linotype" w:cs="Palatino Linotype"/>
          <w:b/>
          <w:bCs/>
          <w:sz w:val="22"/>
          <w:szCs w:val="22"/>
        </w:rPr>
        <w:t xml:space="preserve"> un particular de manera anónima,</w:t>
      </w:r>
      <w:r w:rsidRPr="00E813DF">
        <w:rPr>
          <w:rFonts w:ascii="Palatino Linotype" w:eastAsia="Palatino Linotype" w:hAnsi="Palatino Linotype" w:cs="Palatino Linotype"/>
          <w:sz w:val="22"/>
          <w:szCs w:val="22"/>
        </w:rPr>
        <w:t xml:space="preserve"> en lo sucesivo</w:t>
      </w:r>
      <w:r w:rsidRPr="00E813DF">
        <w:rPr>
          <w:rFonts w:ascii="Palatino Linotype" w:eastAsia="Palatino Linotype" w:hAnsi="Palatino Linotype" w:cs="Palatino Linotype"/>
          <w:b/>
          <w:bCs/>
          <w:sz w:val="22"/>
          <w:szCs w:val="22"/>
        </w:rPr>
        <w:t xml:space="preserve"> </w:t>
      </w:r>
      <w:r w:rsidRPr="00E813DF">
        <w:rPr>
          <w:rFonts w:ascii="Palatino Linotype" w:eastAsia="Palatino Linotype" w:hAnsi="Palatino Linotype" w:cs="Palatino Linotype"/>
          <w:sz w:val="22"/>
          <w:szCs w:val="22"/>
        </w:rPr>
        <w:t xml:space="preserve">la parte </w:t>
      </w:r>
      <w:r w:rsidRPr="00E813DF">
        <w:rPr>
          <w:rFonts w:ascii="Palatino Linotype" w:eastAsia="Palatino Linotype" w:hAnsi="Palatino Linotype" w:cs="Palatino Linotype"/>
          <w:b/>
          <w:bCs/>
          <w:sz w:val="22"/>
          <w:szCs w:val="22"/>
        </w:rPr>
        <w:t>Recurrente,</w:t>
      </w:r>
      <w:r w:rsidRPr="00E813DF">
        <w:rPr>
          <w:rFonts w:ascii="Palatino Linotype" w:eastAsia="Palatino Linotype" w:hAnsi="Palatino Linotype" w:cs="Palatino Linotype"/>
          <w:sz w:val="22"/>
          <w:szCs w:val="22"/>
        </w:rPr>
        <w:t xml:space="preserve"> en contra de la respuesta a la solicitud de información con número de folio</w:t>
      </w:r>
      <w:r w:rsidRPr="00E813DF">
        <w:rPr>
          <w:rFonts w:ascii="Palatino Linotype" w:eastAsia="Palatino Linotype" w:hAnsi="Palatino Linotype" w:cs="Palatino Linotype"/>
          <w:b/>
          <w:bCs/>
          <w:sz w:val="22"/>
          <w:szCs w:val="22"/>
        </w:rPr>
        <w:t xml:space="preserve"> 03036/TOLUCA/IP/2025, </w:t>
      </w:r>
      <w:r w:rsidRPr="00E813DF">
        <w:rPr>
          <w:rFonts w:ascii="Palatino Linotype" w:eastAsia="Palatino Linotype" w:hAnsi="Palatino Linotype" w:cs="Palatino Linotype"/>
          <w:sz w:val="22"/>
          <w:szCs w:val="22"/>
        </w:rPr>
        <w:t xml:space="preserve">por parte del </w:t>
      </w:r>
      <w:r w:rsidRPr="00E813DF">
        <w:rPr>
          <w:rFonts w:ascii="Palatino Linotype" w:eastAsia="Palatino Linotype" w:hAnsi="Palatino Linotype" w:cs="Palatino Linotype"/>
          <w:b/>
          <w:bCs/>
          <w:sz w:val="22"/>
          <w:szCs w:val="22"/>
        </w:rPr>
        <w:t xml:space="preserve">Ayuntamiento de Toluca, </w:t>
      </w:r>
      <w:r w:rsidRPr="00E813DF">
        <w:rPr>
          <w:rFonts w:ascii="Palatino Linotype" w:eastAsia="Palatino Linotype" w:hAnsi="Palatino Linotype" w:cs="Palatino Linotype"/>
          <w:sz w:val="22"/>
          <w:szCs w:val="22"/>
        </w:rPr>
        <w:t xml:space="preserve">en lo sucesivo el </w:t>
      </w:r>
      <w:r w:rsidRPr="00E813DF">
        <w:rPr>
          <w:rFonts w:ascii="Palatino Linotype" w:eastAsia="Palatino Linotype" w:hAnsi="Palatino Linotype" w:cs="Palatino Linotype"/>
          <w:b/>
          <w:bCs/>
          <w:sz w:val="22"/>
          <w:szCs w:val="22"/>
        </w:rPr>
        <w:t xml:space="preserve">Sujeto Obligado, </w:t>
      </w:r>
      <w:r w:rsidRPr="00E813DF">
        <w:rPr>
          <w:rFonts w:ascii="Palatino Linotype" w:eastAsia="Palatino Linotype" w:hAnsi="Palatino Linotype" w:cs="Palatino Linotype"/>
          <w:sz w:val="22"/>
          <w:szCs w:val="22"/>
        </w:rPr>
        <w:t xml:space="preserve">se procede a dictar la presente resolución con base en los siguientes: </w:t>
      </w:r>
    </w:p>
    <w:p w14:paraId="02E8A4C9" w14:textId="77777777" w:rsidR="00304047" w:rsidRPr="00E813DF" w:rsidRDefault="00CA623F">
      <w:pPr>
        <w:spacing w:before="240" w:after="240" w:line="360" w:lineRule="auto"/>
        <w:jc w:val="center"/>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I. A N T E C E D E N T E S</w:t>
      </w:r>
    </w:p>
    <w:p w14:paraId="32066346"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E813DF">
        <w:rPr>
          <w:rFonts w:ascii="Palatino Linotype" w:eastAsia="Palatino Linotype" w:hAnsi="Palatino Linotype" w:cs="Palatino Linotype"/>
          <w:b/>
          <w:bCs/>
          <w:sz w:val="22"/>
          <w:szCs w:val="22"/>
        </w:rPr>
        <w:t>1. Solicitud de acceso a la información.</w:t>
      </w:r>
      <w:r w:rsidRPr="00E813DF">
        <w:rPr>
          <w:rFonts w:ascii="Palatino Linotype" w:eastAsia="Palatino Linotype" w:hAnsi="Palatino Linotype" w:cs="Palatino Linotype"/>
          <w:sz w:val="22"/>
          <w:szCs w:val="22"/>
        </w:rPr>
        <w:t xml:space="preserve"> El </w:t>
      </w:r>
      <w:r w:rsidRPr="00E813DF">
        <w:rPr>
          <w:rFonts w:ascii="Palatino Linotype" w:eastAsia="Palatino Linotype" w:hAnsi="Palatino Linotype" w:cs="Palatino Linotype"/>
          <w:b/>
          <w:bCs/>
          <w:sz w:val="22"/>
          <w:szCs w:val="22"/>
        </w:rPr>
        <w:t>veintiséis de mayo de dos mil veinticinco,</w:t>
      </w:r>
      <w:r w:rsidRPr="00E813DF">
        <w:rPr>
          <w:rFonts w:ascii="Palatino Linotype" w:eastAsia="Palatino Linotype" w:hAnsi="Palatino Linotype" w:cs="Palatino Linotype"/>
          <w:sz w:val="22"/>
          <w:szCs w:val="22"/>
        </w:rPr>
        <w:t xml:space="preserve"> la parte </w:t>
      </w:r>
      <w:r w:rsidRPr="00E813DF">
        <w:rPr>
          <w:rFonts w:ascii="Palatino Linotype" w:eastAsia="Palatino Linotype" w:hAnsi="Palatino Linotype" w:cs="Palatino Linotype"/>
          <w:b/>
          <w:bCs/>
          <w:sz w:val="22"/>
          <w:szCs w:val="22"/>
        </w:rPr>
        <w:t xml:space="preserve">Recurrente </w:t>
      </w:r>
      <w:r w:rsidRPr="00E813DF">
        <w:rPr>
          <w:rFonts w:ascii="Palatino Linotype" w:eastAsia="Palatino Linotype" w:hAnsi="Palatino Linotype" w:cs="Palatino Linotype"/>
          <w:sz w:val="22"/>
          <w:szCs w:val="22"/>
        </w:rPr>
        <w:t xml:space="preserve">presentó, a través del Sistema de Acceso a la Información Mexiquense, en lo subsecuente el </w:t>
      </w:r>
      <w:r w:rsidRPr="00E813DF">
        <w:rPr>
          <w:rFonts w:ascii="Palatino Linotype" w:eastAsia="Palatino Linotype" w:hAnsi="Palatino Linotype" w:cs="Palatino Linotype"/>
          <w:b/>
          <w:bCs/>
          <w:sz w:val="22"/>
          <w:szCs w:val="22"/>
        </w:rPr>
        <w:t>SAIMEX,</w:t>
      </w:r>
      <w:r w:rsidRPr="00E813DF">
        <w:rPr>
          <w:rFonts w:ascii="Palatino Linotype" w:eastAsia="Palatino Linotype" w:hAnsi="Palatino Linotype" w:cs="Palatino Linotype"/>
          <w:sz w:val="22"/>
          <w:szCs w:val="22"/>
        </w:rPr>
        <w:t xml:space="preserve"> ante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la solicitud de acceso a la información pública, mediante la cual requirió la información siguiente: </w:t>
      </w:r>
    </w:p>
    <w:p w14:paraId="3A1B4D5F" w14:textId="77777777" w:rsidR="00304047" w:rsidRPr="00E813DF" w:rsidRDefault="00CA623F">
      <w:pPr>
        <w:spacing w:before="240" w:after="240" w:line="276" w:lineRule="auto"/>
        <w:ind w:left="851" w:right="616"/>
        <w:jc w:val="both"/>
        <w:rPr>
          <w:rFonts w:ascii="Palatino Linotype" w:eastAsia="Palatino Linotype" w:hAnsi="Palatino Linotype" w:cs="Palatino Linotype"/>
          <w:i/>
          <w:iCs/>
          <w:sz w:val="22"/>
          <w:szCs w:val="22"/>
        </w:rPr>
      </w:pPr>
      <w:bookmarkStart w:id="2" w:name="_heading=h.gjdgxs" w:colFirst="0" w:colLast="0"/>
      <w:bookmarkEnd w:id="2"/>
      <w:r w:rsidRPr="00E813DF">
        <w:rPr>
          <w:rFonts w:ascii="Palatino Linotype" w:eastAsia="Palatino Linotype" w:hAnsi="Palatino Linotype" w:cs="Palatino Linotype"/>
          <w:i/>
          <w:iCs/>
          <w:sz w:val="22"/>
          <w:szCs w:val="22"/>
        </w:rPr>
        <w:t xml:space="preserve">“DE CONFORMIDAD CON EL ARTÍCULO 4 DE LA LGTYAIP SE SOLICITA LOS EXPEDIENTE LABORALES DE LOS TITULARES DE LAS DEPENDENCIAS QUE INEGRA EL AYUNTAMIENTO CON CV, NO DEUDOR ALIMENTARIO, ANTECEDENTES NO PENALES, CERTIFICACIÓN, FORMATO DE ALTA, ALTA DE ISSEMYM, CREDENCIAL DE SERVIDOR PUBLICO Y DE HABER BAJAS DE TITULARES SE SOLICITA LA BAJA MOTIVO DE LA BJA LA RENUCNIA Y FECHA DE BAJA Y LAS ALTAS Y DE TODOS LA APROBACIÓN DE CABILDO CON EL EXPEDIENTE QUE RECIBIO CADA INTEGRANTE DE CABILDO PARA APROBAR QUE ERAN PERSONAS QUE CUMPLIAN CON EL PERFIN Y SABER SI TIENEN PROCEDIMIENTOS O TUVIERON </w:t>
      </w:r>
      <w:r w:rsidRPr="00E813DF">
        <w:rPr>
          <w:rFonts w:ascii="Palatino Linotype" w:eastAsia="Palatino Linotype" w:hAnsi="Palatino Linotype" w:cs="Palatino Linotype"/>
          <w:i/>
          <w:iCs/>
          <w:sz w:val="22"/>
          <w:szCs w:val="22"/>
        </w:rPr>
        <w:lastRenderedPageBreak/>
        <w:t xml:space="preserve">PROCEDIMIENTO O QUEJAS EN CONTRALORIA O DERECHOS HUMANOS ACTUALES O CON ANTERIORIDAD..” (sic) </w:t>
      </w:r>
    </w:p>
    <w:p w14:paraId="4474174B"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E813DF">
        <w:rPr>
          <w:rFonts w:ascii="Palatino Linotype" w:eastAsia="Palatino Linotype" w:hAnsi="Palatino Linotype" w:cs="Palatino Linotype"/>
          <w:b/>
          <w:bCs/>
          <w:sz w:val="22"/>
          <w:szCs w:val="22"/>
        </w:rPr>
        <w:t xml:space="preserve">Modalidad de Entrega: </w:t>
      </w:r>
      <w:r w:rsidRPr="00E813DF">
        <w:rPr>
          <w:rFonts w:ascii="Palatino Linotype" w:eastAsia="Palatino Linotype" w:hAnsi="Palatino Linotype" w:cs="Palatino Linotype"/>
          <w:sz w:val="22"/>
          <w:szCs w:val="22"/>
        </w:rPr>
        <w:t xml:space="preserve">A través del </w:t>
      </w:r>
      <w:r w:rsidRPr="00E813DF">
        <w:rPr>
          <w:rFonts w:ascii="Palatino Linotype" w:eastAsia="Palatino Linotype" w:hAnsi="Palatino Linotype" w:cs="Palatino Linotype"/>
          <w:b/>
          <w:bCs/>
          <w:sz w:val="22"/>
          <w:szCs w:val="22"/>
        </w:rPr>
        <w:t>SAIMEX</w:t>
      </w:r>
      <w:r w:rsidRPr="00E813DF">
        <w:rPr>
          <w:rFonts w:ascii="Palatino Linotype" w:eastAsia="Palatino Linotype" w:hAnsi="Palatino Linotype" w:cs="Palatino Linotype"/>
          <w:sz w:val="22"/>
          <w:szCs w:val="22"/>
        </w:rPr>
        <w:t>.</w:t>
      </w:r>
    </w:p>
    <w:p w14:paraId="34AE73A9" w14:textId="77777777" w:rsidR="00304047" w:rsidRPr="00E813DF" w:rsidRDefault="00CA623F">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 xml:space="preserve">2. Respuesta. </w:t>
      </w:r>
      <w:r w:rsidRPr="00E813DF">
        <w:rPr>
          <w:rFonts w:ascii="Palatino Linotype" w:eastAsia="Palatino Linotype" w:hAnsi="Palatino Linotype" w:cs="Palatino Linotype"/>
          <w:sz w:val="22"/>
          <w:szCs w:val="22"/>
        </w:rPr>
        <w:t xml:space="preserve">El </w:t>
      </w:r>
      <w:r w:rsidRPr="00E813DF">
        <w:rPr>
          <w:rFonts w:ascii="Palatino Linotype" w:eastAsia="Palatino Linotype" w:hAnsi="Palatino Linotype" w:cs="Palatino Linotype"/>
          <w:b/>
          <w:bCs/>
          <w:sz w:val="22"/>
          <w:szCs w:val="22"/>
        </w:rPr>
        <w:t>diecisiete de junio de dos mil veinticinco,</w:t>
      </w:r>
      <w:r w:rsidRPr="00E813DF">
        <w:rPr>
          <w:rFonts w:ascii="Palatino Linotype" w:eastAsia="Palatino Linotype" w:hAnsi="Palatino Linotype" w:cs="Palatino Linotype"/>
          <w:sz w:val="22"/>
          <w:szCs w:val="22"/>
        </w:rPr>
        <w:t xml:space="preserve"> el </w:t>
      </w:r>
      <w:r w:rsidRPr="00E813DF">
        <w:rPr>
          <w:rFonts w:ascii="Palatino Linotype" w:eastAsia="Palatino Linotype" w:hAnsi="Palatino Linotype" w:cs="Palatino Linotype"/>
          <w:b/>
          <w:bCs/>
          <w:sz w:val="22"/>
          <w:szCs w:val="22"/>
        </w:rPr>
        <w:t xml:space="preserve">Sujeto Obligado </w:t>
      </w:r>
      <w:r w:rsidRPr="00E813DF">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2397E4F3" w14:textId="77777777" w:rsidR="00304047" w:rsidRPr="00E813DF" w:rsidRDefault="00CA623F">
      <w:pPr>
        <w:spacing w:before="240" w:after="240" w:line="360" w:lineRule="auto"/>
        <w:ind w:left="851" w:right="758"/>
        <w:jc w:val="right"/>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“Folio de la solicitud: 03036/TOLUCA/IP/2025</w:t>
      </w:r>
    </w:p>
    <w:p w14:paraId="15370DDB" w14:textId="77777777" w:rsidR="00304047" w:rsidRPr="00E813DF" w:rsidRDefault="00CA623F">
      <w:pPr>
        <w:spacing w:before="240" w:after="240" w:line="360" w:lineRule="auto"/>
        <w:ind w:left="851" w:right="75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1B3A49" w14:textId="77777777" w:rsidR="00304047" w:rsidRPr="00E813DF" w:rsidRDefault="00CA623F">
      <w:pPr>
        <w:spacing w:before="240" w:after="240" w:line="360" w:lineRule="auto"/>
        <w:ind w:left="851" w:right="75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En atención a la solicitud con folio 03036/TOLUCA/IP/2025, me permito adjuntar al presente la respuesta correspondiente, Sin más por el momento, reciba un saludo.</w:t>
      </w:r>
    </w:p>
    <w:p w14:paraId="3B97F769" w14:textId="77777777" w:rsidR="00304047" w:rsidRPr="00E813DF" w:rsidRDefault="00CA623F">
      <w:pPr>
        <w:spacing w:before="240" w:after="240" w:line="360" w:lineRule="auto"/>
        <w:ind w:left="851" w:right="75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ATENTAMENTE</w:t>
      </w:r>
    </w:p>
    <w:p w14:paraId="4FFB3868" w14:textId="77777777" w:rsidR="00304047" w:rsidRPr="00E813DF" w:rsidRDefault="00CA623F">
      <w:pPr>
        <w:spacing w:before="240" w:after="240" w:line="360" w:lineRule="auto"/>
        <w:ind w:left="851" w:right="75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Dr. Nahum Miguel Mendoza Morales” (sic)</w:t>
      </w:r>
    </w:p>
    <w:p w14:paraId="73AFCFA3"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Adjuntando a su respuesta los archivos electrónicos denominados </w:t>
      </w:r>
      <w:r w:rsidRPr="00E813DF">
        <w:rPr>
          <w:rFonts w:ascii="Palatino Linotype" w:eastAsia="Palatino Linotype" w:hAnsi="Palatino Linotype" w:cs="Palatino Linotype"/>
          <w:b/>
          <w:bCs/>
          <w:i/>
          <w:iCs/>
          <w:sz w:val="22"/>
          <w:szCs w:val="22"/>
        </w:rPr>
        <w:t xml:space="preserve">“NOTIF. CIUDADANO S. 03036.pdf </w:t>
      </w:r>
      <w:r w:rsidRPr="00E813DF">
        <w:rPr>
          <w:rFonts w:ascii="Palatino Linotype" w:eastAsia="Palatino Linotype" w:hAnsi="Palatino Linotype" w:cs="Palatino Linotype"/>
          <w:sz w:val="22"/>
          <w:szCs w:val="22"/>
        </w:rPr>
        <w:t>y</w:t>
      </w:r>
      <w:r w:rsidRPr="00E813DF">
        <w:rPr>
          <w:rFonts w:ascii="Palatino Linotype" w:eastAsia="Palatino Linotype" w:hAnsi="Palatino Linotype" w:cs="Palatino Linotype"/>
          <w:b/>
          <w:bCs/>
          <w:i/>
          <w:iCs/>
          <w:sz w:val="22"/>
          <w:szCs w:val="22"/>
        </w:rPr>
        <w:t xml:space="preserve"> RESP. RECURSOS HUMANOS.pdf”, </w:t>
      </w:r>
      <w:r w:rsidRPr="00E813DF">
        <w:rPr>
          <w:rFonts w:ascii="Palatino Linotype" w:eastAsia="Palatino Linotype" w:hAnsi="Palatino Linotype" w:cs="Palatino Linotype"/>
          <w:sz w:val="22"/>
          <w:szCs w:val="22"/>
        </w:rPr>
        <w:t xml:space="preserve">mediante los cuales informó: </w:t>
      </w:r>
    </w:p>
    <w:p w14:paraId="3ABD8299" w14:textId="77777777" w:rsidR="00304047" w:rsidRPr="00E813DF" w:rsidRDefault="00CA623F">
      <w:pPr>
        <w:numPr>
          <w:ilvl w:val="0"/>
          <w:numId w:val="5"/>
        </w:num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Oficio suscrito por la Directora General de Administración, en el que informó la entrega de la respuesta emitida por la Dirección de Recursos Humanos. </w:t>
      </w:r>
    </w:p>
    <w:p w14:paraId="1347EE18" w14:textId="77777777" w:rsidR="00304047" w:rsidRPr="00E813DF" w:rsidRDefault="00CA623F">
      <w:pPr>
        <w:numPr>
          <w:ilvl w:val="0"/>
          <w:numId w:val="5"/>
        </w:numPr>
        <w:pBdr>
          <w:top w:val="nil"/>
          <w:left w:val="nil"/>
          <w:bottom w:val="nil"/>
          <w:right w:val="nil"/>
          <w:between w:val="nil"/>
        </w:pBdr>
        <w:spacing w:after="240" w:line="360" w:lineRule="auto"/>
        <w:ind w:right="49"/>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sz w:val="22"/>
          <w:szCs w:val="22"/>
        </w:rPr>
        <w:t xml:space="preserve">Nota informativa número 1167/2025 de fecha dieciséis de junio de dos mil veinticinco, escaneado de manera incompleta (sólo se escaneo la primera hoja), en el que informó que el resto de la información no constituye un Derecho de Acceso a </w:t>
      </w:r>
      <w:r w:rsidRPr="00E813DF">
        <w:rPr>
          <w:rFonts w:ascii="Palatino Linotype" w:eastAsia="Palatino Linotype" w:hAnsi="Palatino Linotype" w:cs="Palatino Linotype"/>
          <w:sz w:val="22"/>
          <w:szCs w:val="22"/>
        </w:rPr>
        <w:lastRenderedPageBreak/>
        <w:t xml:space="preserve">la Información y por lo tanto no son atendibles mediante una solicitud de acceso a la información, porque se tratan de manifestaciones subjetivas vertidas por el particular, interrogantes y declaraciones que no colman con la entrega de documentos, situación que conlleva a afirmar que esta en presencia del ejercicio del Derecho de Petición. </w:t>
      </w:r>
    </w:p>
    <w:p w14:paraId="4985BF46"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 xml:space="preserve">3. Interposición del recurso de revisión. </w:t>
      </w:r>
      <w:r w:rsidRPr="00E813DF">
        <w:rPr>
          <w:rFonts w:ascii="Palatino Linotype" w:eastAsia="Palatino Linotype" w:hAnsi="Palatino Linotype" w:cs="Palatino Linotype"/>
          <w:sz w:val="22"/>
          <w:szCs w:val="22"/>
        </w:rPr>
        <w:t xml:space="preserve">Inconforme con los términos de la respuesta emitida por parte del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el </w:t>
      </w:r>
      <w:r w:rsidRPr="00E813DF">
        <w:rPr>
          <w:rFonts w:ascii="Palatino Linotype" w:eastAsia="Palatino Linotype" w:hAnsi="Palatino Linotype" w:cs="Palatino Linotype"/>
          <w:b/>
          <w:bCs/>
          <w:sz w:val="22"/>
          <w:szCs w:val="22"/>
        </w:rPr>
        <w:t>ocho d julio de dos mil veinticinco,</w:t>
      </w:r>
      <w:r w:rsidRPr="00E813DF">
        <w:rPr>
          <w:rFonts w:ascii="Palatino Linotype" w:eastAsia="Palatino Linotype" w:hAnsi="Palatino Linotype" w:cs="Palatino Linotype"/>
          <w:sz w:val="22"/>
          <w:szCs w:val="22"/>
        </w:rPr>
        <w:t xml:space="preserve"> la parte </w:t>
      </w:r>
      <w:r w:rsidRPr="00E813DF">
        <w:rPr>
          <w:rFonts w:ascii="Palatino Linotype" w:eastAsia="Palatino Linotype" w:hAnsi="Palatino Linotype" w:cs="Palatino Linotype"/>
          <w:b/>
          <w:bCs/>
          <w:sz w:val="22"/>
          <w:szCs w:val="22"/>
        </w:rPr>
        <w:t>Recurrente</w:t>
      </w:r>
      <w:r w:rsidRPr="00E813DF">
        <w:rPr>
          <w:rFonts w:ascii="Palatino Linotype" w:eastAsia="Palatino Linotype" w:hAnsi="Palatino Linotype" w:cs="Palatino Linotype"/>
          <w:sz w:val="22"/>
          <w:szCs w:val="22"/>
        </w:rPr>
        <w:t xml:space="preserve"> interpuso el recurso de revisión a través de </w:t>
      </w:r>
      <w:r w:rsidRPr="00E813DF">
        <w:rPr>
          <w:rFonts w:ascii="Palatino Linotype" w:eastAsia="Palatino Linotype" w:hAnsi="Palatino Linotype" w:cs="Palatino Linotype"/>
          <w:b/>
          <w:bCs/>
          <w:sz w:val="22"/>
          <w:szCs w:val="22"/>
        </w:rPr>
        <w:t xml:space="preserve">SAIMEX, </w:t>
      </w:r>
      <w:r w:rsidRPr="00E813DF">
        <w:rPr>
          <w:rFonts w:ascii="Palatino Linotype" w:eastAsia="Palatino Linotype" w:hAnsi="Palatino Linotype" w:cs="Palatino Linotype"/>
          <w:sz w:val="22"/>
          <w:szCs w:val="22"/>
        </w:rPr>
        <w:t>en donde se manifestó de la siguiente manera:</w:t>
      </w:r>
    </w:p>
    <w:p w14:paraId="2B07AEE2" w14:textId="77777777" w:rsidR="00304047" w:rsidRPr="00E813DF" w:rsidRDefault="00CA623F">
      <w:pPr>
        <w:numPr>
          <w:ilvl w:val="0"/>
          <w:numId w:val="2"/>
        </w:numPr>
        <w:pBdr>
          <w:top w:val="nil"/>
          <w:left w:val="nil"/>
          <w:bottom w:val="nil"/>
          <w:right w:val="nil"/>
          <w:between w:val="nil"/>
        </w:pBdr>
        <w:tabs>
          <w:tab w:val="left" w:pos="1134"/>
          <w:tab w:val="left" w:pos="2745"/>
        </w:tabs>
        <w:spacing w:before="240" w:line="360" w:lineRule="auto"/>
        <w:ind w:left="851" w:right="616" w:firstLine="0"/>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 xml:space="preserve">Acto impugnado: </w:t>
      </w:r>
    </w:p>
    <w:p w14:paraId="60CCCE65" w14:textId="77777777" w:rsidR="00304047" w:rsidRPr="00E813DF" w:rsidRDefault="00CA623F">
      <w:pPr>
        <w:pBdr>
          <w:top w:val="nil"/>
          <w:left w:val="nil"/>
          <w:bottom w:val="nil"/>
          <w:right w:val="nil"/>
          <w:between w:val="nil"/>
        </w:pBdr>
        <w:tabs>
          <w:tab w:val="left" w:pos="1134"/>
          <w:tab w:val="left" w:pos="2745"/>
        </w:tabs>
        <w:spacing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“LA NEGATIVA DE LA INFORMACIÓN Y ES PUBLICA” (Sic)</w:t>
      </w:r>
    </w:p>
    <w:p w14:paraId="2C16DEAC" w14:textId="77777777" w:rsidR="00304047" w:rsidRPr="00E813DF" w:rsidRDefault="00CA623F">
      <w:pPr>
        <w:tabs>
          <w:tab w:val="left" w:pos="1134"/>
        </w:tabs>
        <w:spacing w:before="240" w:after="240" w:line="360" w:lineRule="auto"/>
        <w:ind w:left="851" w:right="616"/>
        <w:jc w:val="both"/>
        <w:rPr>
          <w:rFonts w:ascii="Palatino Linotype" w:eastAsia="Palatino Linotype" w:hAnsi="Palatino Linotype" w:cs="Palatino Linotype"/>
          <w:sz w:val="22"/>
          <w:szCs w:val="22"/>
        </w:rPr>
      </w:pPr>
      <w:bookmarkStart w:id="4" w:name="_heading=h.30j0zll" w:colFirst="0" w:colLast="0"/>
      <w:bookmarkEnd w:id="4"/>
      <w:r w:rsidRPr="00E813DF">
        <w:rPr>
          <w:rFonts w:ascii="Palatino Linotype" w:eastAsia="Palatino Linotype" w:hAnsi="Palatino Linotype" w:cs="Palatino Linotype"/>
          <w:b/>
          <w:bCs/>
          <w:sz w:val="22"/>
          <w:szCs w:val="22"/>
        </w:rPr>
        <w:t>b) Razones o motivos de inconformidad</w:t>
      </w:r>
      <w:r w:rsidRPr="00E813DF">
        <w:rPr>
          <w:rFonts w:ascii="Palatino Linotype" w:eastAsia="Palatino Linotype" w:hAnsi="Palatino Linotype" w:cs="Palatino Linotype"/>
          <w:sz w:val="22"/>
          <w:szCs w:val="22"/>
        </w:rPr>
        <w:t xml:space="preserve">: </w:t>
      </w:r>
    </w:p>
    <w:p w14:paraId="04692822" w14:textId="77777777" w:rsidR="00304047" w:rsidRPr="00E813DF" w:rsidRDefault="00CA623F">
      <w:pPr>
        <w:tabs>
          <w:tab w:val="left" w:pos="1134"/>
        </w:tabs>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“LA NEGATIVA DE LA INFORMACIÓN Y ES PUBLICA” (Sic)</w:t>
      </w:r>
    </w:p>
    <w:p w14:paraId="513543F1"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 xml:space="preserve">4. Turno. </w:t>
      </w:r>
      <w:r w:rsidRPr="00E813D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813DF">
        <w:rPr>
          <w:rFonts w:ascii="Palatino Linotype" w:eastAsia="Palatino Linotype" w:hAnsi="Palatino Linotype" w:cs="Palatino Linotype"/>
          <w:b/>
          <w:bCs/>
          <w:sz w:val="22"/>
          <w:szCs w:val="22"/>
        </w:rPr>
        <w:t xml:space="preserve">Guadalupe Ramírez Peña, </w:t>
      </w:r>
      <w:r w:rsidRPr="00E813DF">
        <w:rPr>
          <w:rFonts w:ascii="Palatino Linotype" w:eastAsia="Palatino Linotype" w:hAnsi="Palatino Linotype" w:cs="Palatino Linotype"/>
          <w:sz w:val="22"/>
          <w:szCs w:val="22"/>
        </w:rPr>
        <w:t>a efecto de que analizara sobre su admisión o su desechamiento.</w:t>
      </w:r>
    </w:p>
    <w:p w14:paraId="037C591C"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E813DF">
        <w:rPr>
          <w:rFonts w:ascii="Palatino Linotype" w:eastAsia="Palatino Linotype" w:hAnsi="Palatino Linotype" w:cs="Palatino Linotype"/>
          <w:b/>
          <w:bCs/>
          <w:sz w:val="22"/>
          <w:szCs w:val="22"/>
        </w:rPr>
        <w:t>5. Admisión del Recurso de revisión.</w:t>
      </w:r>
      <w:r w:rsidRPr="00E813DF">
        <w:rPr>
          <w:rFonts w:ascii="Palatino Linotype" w:eastAsia="Palatino Linotype" w:hAnsi="Palatino Linotype" w:cs="Palatino Linotype"/>
          <w:sz w:val="22"/>
          <w:szCs w:val="22"/>
        </w:rPr>
        <w:t xml:space="preserve"> El</w:t>
      </w:r>
      <w:r w:rsidRPr="00E813DF">
        <w:rPr>
          <w:rFonts w:ascii="Palatino Linotype" w:eastAsia="Palatino Linotype" w:hAnsi="Palatino Linotype" w:cs="Palatino Linotype"/>
          <w:b/>
          <w:bCs/>
          <w:sz w:val="22"/>
          <w:szCs w:val="22"/>
        </w:rPr>
        <w:t xml:space="preserve"> once de julio de dos mil veinticinco, </w:t>
      </w:r>
      <w:r w:rsidRPr="00E813D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813DF">
        <w:rPr>
          <w:rFonts w:ascii="Palatino Linotype" w:eastAsia="Palatino Linotype" w:hAnsi="Palatino Linotype" w:cs="Palatino Linotype"/>
          <w:b/>
          <w:bCs/>
          <w:sz w:val="22"/>
          <w:szCs w:val="22"/>
        </w:rPr>
        <w:t xml:space="preserve">Sujeto Obligado </w:t>
      </w:r>
      <w:r w:rsidRPr="00E813DF">
        <w:rPr>
          <w:rFonts w:ascii="Palatino Linotype" w:eastAsia="Palatino Linotype" w:hAnsi="Palatino Linotype" w:cs="Palatino Linotype"/>
          <w:sz w:val="22"/>
          <w:szCs w:val="22"/>
        </w:rPr>
        <w:t>presentara su informe justificado.</w:t>
      </w:r>
    </w:p>
    <w:p w14:paraId="54733181"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 xml:space="preserve">6. Manifestaciones. </w:t>
      </w:r>
      <w:r w:rsidRPr="00E813DF">
        <w:rPr>
          <w:rFonts w:ascii="Palatino Linotype" w:eastAsia="Palatino Linotype" w:hAnsi="Palatino Linotype" w:cs="Palatino Linotype"/>
          <w:sz w:val="22"/>
          <w:szCs w:val="22"/>
        </w:rPr>
        <w:t xml:space="preserve">De las constancias que integran el expediente electrónico del SAIMEX, se observa que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rindió su informe justificado, el </w:t>
      </w:r>
      <w:r w:rsidRPr="00E813DF">
        <w:rPr>
          <w:rFonts w:ascii="Palatino Linotype" w:eastAsia="Palatino Linotype" w:hAnsi="Palatino Linotype" w:cs="Palatino Linotype"/>
          <w:b/>
          <w:bCs/>
          <w:sz w:val="22"/>
          <w:szCs w:val="22"/>
        </w:rPr>
        <w:t>cuatro de agosto de dos mil veinticinco,</w:t>
      </w:r>
      <w:r w:rsidRPr="00E813DF">
        <w:rPr>
          <w:rFonts w:ascii="Palatino Linotype" w:eastAsia="Palatino Linotype" w:hAnsi="Palatino Linotype" w:cs="Palatino Linotype"/>
          <w:sz w:val="22"/>
          <w:szCs w:val="22"/>
        </w:rPr>
        <w:t xml:space="preserve"> ello a través de los archivos electrónicos “</w:t>
      </w:r>
      <w:r w:rsidRPr="00E813DF">
        <w:rPr>
          <w:rFonts w:ascii="Palatino Linotype" w:eastAsia="Palatino Linotype" w:hAnsi="Palatino Linotype" w:cs="Palatino Linotype"/>
          <w:b/>
          <w:bCs/>
          <w:i/>
          <w:iCs/>
          <w:sz w:val="22"/>
          <w:szCs w:val="22"/>
        </w:rPr>
        <w:tab/>
        <w:t xml:space="preserve">RatificacióN 8309 2025.pdf </w:t>
      </w:r>
      <w:r w:rsidRPr="00E813DF">
        <w:rPr>
          <w:rFonts w:ascii="Palatino Linotype" w:eastAsia="Palatino Linotype" w:hAnsi="Palatino Linotype" w:cs="Palatino Linotype"/>
          <w:sz w:val="22"/>
          <w:szCs w:val="22"/>
        </w:rPr>
        <w:t>y</w:t>
      </w:r>
      <w:r w:rsidRPr="00E813DF">
        <w:rPr>
          <w:rFonts w:ascii="Palatino Linotype" w:eastAsia="Palatino Linotype" w:hAnsi="Palatino Linotype" w:cs="Palatino Linotype"/>
          <w:b/>
          <w:bCs/>
          <w:i/>
          <w:iCs/>
          <w:sz w:val="22"/>
          <w:szCs w:val="22"/>
        </w:rPr>
        <w:t xml:space="preserve"> ANEXOS 8309-2025.pdf”, </w:t>
      </w:r>
      <w:r w:rsidRPr="00E813DF">
        <w:rPr>
          <w:rFonts w:ascii="Palatino Linotype" w:eastAsia="Palatino Linotype" w:hAnsi="Palatino Linotype" w:cs="Palatino Linotype"/>
          <w:sz w:val="22"/>
          <w:szCs w:val="22"/>
        </w:rPr>
        <w:t xml:space="preserve">los cuales contienen los siguientes documentos: </w:t>
      </w:r>
    </w:p>
    <w:p w14:paraId="623F13C1" w14:textId="77777777" w:rsidR="00304047" w:rsidRPr="00E813DF" w:rsidRDefault="00CA623F">
      <w:pPr>
        <w:widowControl w:val="0"/>
        <w:numPr>
          <w:ilvl w:val="0"/>
          <w:numId w:val="4"/>
        </w:num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Oficio de fecha cuatro de agosto de dos mil veinticinco, suscrito por el Titular de la Unidad de Transparencia, mediante el cual ratificó la respuesta emitida por la Dirección General de Administración. </w:t>
      </w:r>
    </w:p>
    <w:p w14:paraId="28E5B08D" w14:textId="77777777" w:rsidR="00304047" w:rsidRPr="00E813DF" w:rsidRDefault="00CA623F">
      <w:pPr>
        <w:widowControl w:val="0"/>
        <w:numPr>
          <w:ilvl w:val="0"/>
          <w:numId w:val="4"/>
        </w:num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Oficio número 206010000/4268/2025 de fecha dieciocho de julio de dos mil veinticinco, suscrito por la Directora General de Administración, en el que ratifica la respuesta inicial. </w:t>
      </w:r>
    </w:p>
    <w:p w14:paraId="0EB2D81C"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Documentos que fueron hechos del conocimiento de la parte </w:t>
      </w:r>
      <w:r w:rsidRPr="00E813DF">
        <w:rPr>
          <w:rFonts w:ascii="Palatino Linotype" w:eastAsia="Palatino Linotype" w:hAnsi="Palatino Linotype" w:cs="Palatino Linotype"/>
          <w:b/>
          <w:bCs/>
          <w:sz w:val="22"/>
          <w:szCs w:val="22"/>
        </w:rPr>
        <w:t>Recurrente</w:t>
      </w:r>
      <w:r w:rsidRPr="00E813DF">
        <w:rPr>
          <w:rFonts w:ascii="Palatino Linotype" w:eastAsia="Palatino Linotype" w:hAnsi="Palatino Linotype" w:cs="Palatino Linotype"/>
          <w:sz w:val="22"/>
          <w:szCs w:val="22"/>
        </w:rPr>
        <w:t xml:space="preserve"> en fecha </w:t>
      </w:r>
      <w:r w:rsidRPr="00E813DF">
        <w:rPr>
          <w:rFonts w:ascii="Palatino Linotype" w:eastAsia="Palatino Linotype" w:hAnsi="Palatino Linotype" w:cs="Palatino Linotype"/>
          <w:b/>
          <w:bCs/>
          <w:sz w:val="22"/>
          <w:szCs w:val="22"/>
        </w:rPr>
        <w:t>diecisiete de marzo de dos mil veintiséis</w:t>
      </w:r>
      <w:r w:rsidRPr="00E813DF">
        <w:rPr>
          <w:rFonts w:ascii="Palatino Linotype" w:eastAsia="Palatino Linotype" w:hAnsi="Palatino Linotype" w:cs="Palatino Linotype"/>
          <w:sz w:val="22"/>
          <w:szCs w:val="22"/>
        </w:rPr>
        <w:t xml:space="preserve">, para que manifestara lo que a su derecho resultara conveniente. No obstante, omitió realizar manifestaciones, por lo que se tiene por precluido su derecho para tal efecto. </w:t>
      </w:r>
    </w:p>
    <w:p w14:paraId="7E195733"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7.</w:t>
      </w:r>
      <w:r w:rsidRPr="00E813DF">
        <w:rPr>
          <w:rFonts w:ascii="Palatino Linotype" w:eastAsia="Palatino Linotype" w:hAnsi="Palatino Linotype" w:cs="Palatino Linotype"/>
          <w:b/>
          <w:bCs/>
          <w:sz w:val="22"/>
          <w:szCs w:val="22"/>
        </w:rPr>
        <w:tab/>
        <w:t>Ampliación de plazo:</w:t>
      </w:r>
      <w:r w:rsidRPr="00E813DF">
        <w:rPr>
          <w:rFonts w:ascii="Palatino Linotype" w:eastAsia="Palatino Linotype" w:hAnsi="Palatino Linotype" w:cs="Palatino Linotype"/>
          <w:sz w:val="22"/>
          <w:szCs w:val="22"/>
        </w:rPr>
        <w:t xml:space="preserve"> El diecisiete de marzo de dos mil veintiséis,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D33461A"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3150F9D"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A04CE67"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56F337D"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61715CE"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EAC600C"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w:t>
      </w:r>
      <w:r w:rsidRPr="00E813DF">
        <w:rPr>
          <w:rFonts w:ascii="Palatino Linotype" w:eastAsia="Palatino Linotype" w:hAnsi="Palatino Linotype" w:cs="Palatino Linotype"/>
          <w:sz w:val="22"/>
          <w:szCs w:val="22"/>
        </w:rPr>
        <w:tab/>
        <w:t xml:space="preserve">Complejidad del Asunto: La complejidad de la prueba, la pluralidad de sujetos procesales, el tiempo transcurrido, las características y contexto del recurso. </w:t>
      </w:r>
    </w:p>
    <w:p w14:paraId="25ED6887"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b)</w:t>
      </w:r>
      <w:r w:rsidRPr="00E813DF">
        <w:rPr>
          <w:rFonts w:ascii="Palatino Linotype" w:eastAsia="Palatino Linotype" w:hAnsi="Palatino Linotype" w:cs="Palatino Linotype"/>
          <w:sz w:val="22"/>
          <w:szCs w:val="22"/>
        </w:rPr>
        <w:tab/>
        <w:t>Actividad Procesal del interesado. Acciones u omisiones del interesado.</w:t>
      </w:r>
    </w:p>
    <w:p w14:paraId="1FCFD76A"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w:t>
      </w:r>
      <w:r w:rsidRPr="00E813DF">
        <w:rPr>
          <w:rFonts w:ascii="Palatino Linotype" w:eastAsia="Palatino Linotype" w:hAnsi="Palatino Linotype" w:cs="Palatino Linotype"/>
          <w:sz w:val="22"/>
          <w:szCs w:val="22"/>
        </w:rPr>
        <w:tab/>
        <w:t>Conducta de la Autoridad: Las Acciones u omisiones realizadas en el procedimiento. Así como si la autoridad actuó con la debida diligencia.</w:t>
      </w:r>
    </w:p>
    <w:p w14:paraId="0387C538"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w:t>
      </w:r>
      <w:r w:rsidRPr="00E813DF">
        <w:rPr>
          <w:rFonts w:ascii="Palatino Linotype" w:eastAsia="Palatino Linotype" w:hAnsi="Palatino Linotype" w:cs="Palatino Linotype"/>
          <w:sz w:val="22"/>
          <w:szCs w:val="22"/>
        </w:rPr>
        <w:tab/>
        <w:t xml:space="preserve"> La afectación generada en la situación jurídica de la persona involucrada en el proceso: Violación a sus derechos humanos.</w:t>
      </w:r>
    </w:p>
    <w:p w14:paraId="0AA5A24E"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F503D37"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4492746"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574560F"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B166F0A"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 “PLAZO RAZONABLE PARA RESOLVER. DIMENSIÓN Y EFECTOS DE ESTE CONCEPTO CUANDO SE ADUCE EXCESIVA CARGA DE TRABAJO.” consultable en el Seminario Judicial de la Federación y su gaceta, con el registro digital 2002351.</w:t>
      </w:r>
    </w:p>
    <w:p w14:paraId="56AEBA8F"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“PLAZO RAZONABLE PARA RESOLVER. CONCEPTO Y ELEMENTOS QUE LO INTEGRAN A LA LUZ DEL DERECHO INTERNACIONAL DE LOS DERECHOS HUMANOS.”, visible en el Seminario Judicial de la Federación y su gaceta, con el registro digital 2002350.</w:t>
      </w:r>
    </w:p>
    <w:p w14:paraId="0837D765" w14:textId="77777777" w:rsidR="00304047" w:rsidRPr="00E813DF" w:rsidRDefault="00CA623F">
      <w:pPr>
        <w:widowControl w:val="0"/>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614EF031" w14:textId="6167A30B"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 xml:space="preserve">8. Cierre de instrucción. </w:t>
      </w:r>
      <w:r w:rsidRPr="00E813D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E813DF">
        <w:rPr>
          <w:rFonts w:ascii="Palatino Linotype" w:eastAsia="Palatino Linotype" w:hAnsi="Palatino Linotype" w:cs="Palatino Linotype"/>
          <w:b/>
          <w:bCs/>
          <w:sz w:val="22"/>
          <w:szCs w:val="22"/>
        </w:rPr>
        <w:t>veinti</w:t>
      </w:r>
      <w:r w:rsidR="00725990" w:rsidRPr="00E813DF">
        <w:rPr>
          <w:rFonts w:ascii="Palatino Linotype" w:eastAsia="Palatino Linotype" w:hAnsi="Palatino Linotype" w:cs="Palatino Linotype"/>
          <w:b/>
          <w:bCs/>
          <w:sz w:val="22"/>
          <w:szCs w:val="22"/>
        </w:rPr>
        <w:t>cuatro</w:t>
      </w:r>
      <w:r w:rsidRPr="00E813DF">
        <w:rPr>
          <w:rFonts w:ascii="Palatino Linotype" w:eastAsia="Palatino Linotype" w:hAnsi="Palatino Linotype" w:cs="Palatino Linotype"/>
          <w:b/>
          <w:bCs/>
          <w:sz w:val="22"/>
          <w:szCs w:val="22"/>
        </w:rPr>
        <w:t xml:space="preserve"> de marzo de dos mil veintiséis,</w:t>
      </w:r>
      <w:r w:rsidRPr="00E813DF">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2C6171FA"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15E460F" w14:textId="77777777" w:rsidR="00304047" w:rsidRPr="00E813DF" w:rsidRDefault="00CA623F">
      <w:pPr>
        <w:widowControl w:val="0"/>
        <w:spacing w:before="240" w:after="240" w:line="360" w:lineRule="auto"/>
        <w:jc w:val="center"/>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II. C O N S I D E R A N D O S</w:t>
      </w:r>
    </w:p>
    <w:p w14:paraId="08B276CF"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Primero. Competencia.</w:t>
      </w:r>
      <w:r w:rsidRPr="00E813D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184900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E813DF">
        <w:rPr>
          <w:rFonts w:ascii="Palatino Linotype" w:eastAsia="Palatino Linotype" w:hAnsi="Palatino Linotype" w:cs="Palatino Linotype"/>
          <w:b/>
          <w:bCs/>
          <w:sz w:val="22"/>
          <w:szCs w:val="22"/>
        </w:rPr>
        <w:t>Segundo. Oportunidad y Procedibilidad del Recurso de Revisión</w:t>
      </w:r>
      <w:r w:rsidRPr="00E813D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5956808"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E813DF">
        <w:rPr>
          <w:rFonts w:ascii="Palatino Linotype" w:eastAsia="Palatino Linotype" w:hAnsi="Palatino Linotype" w:cs="Palatino Linotype"/>
          <w:b/>
          <w:bCs/>
          <w:sz w:val="22"/>
          <w:szCs w:val="22"/>
        </w:rPr>
        <w:t xml:space="preserve">Sujeto Obligado </w:t>
      </w:r>
      <w:r w:rsidRPr="00E813DF">
        <w:rPr>
          <w:rFonts w:ascii="Palatino Linotype" w:eastAsia="Palatino Linotype" w:hAnsi="Palatino Linotype" w:cs="Palatino Linotype"/>
          <w:sz w:val="22"/>
          <w:szCs w:val="22"/>
        </w:rPr>
        <w:t xml:space="preserve">remitió la respuesta a la solicitud de información el </w:t>
      </w:r>
      <w:r w:rsidRPr="00E813DF">
        <w:rPr>
          <w:rFonts w:ascii="Palatino Linotype" w:eastAsia="Palatino Linotype" w:hAnsi="Palatino Linotype" w:cs="Palatino Linotype"/>
          <w:b/>
          <w:bCs/>
          <w:sz w:val="22"/>
          <w:szCs w:val="22"/>
        </w:rPr>
        <w:t xml:space="preserve">diecisiete de junio de dos mil veinticinco, </w:t>
      </w:r>
      <w:r w:rsidRPr="00E813DF">
        <w:rPr>
          <w:rFonts w:ascii="Palatino Linotype" w:eastAsia="Palatino Linotype" w:hAnsi="Palatino Linotype" w:cs="Palatino Linotype"/>
          <w:sz w:val="22"/>
          <w:szCs w:val="22"/>
        </w:rPr>
        <w:t xml:space="preserve">mientras que el recurso de revisión interpuesto por la parte </w:t>
      </w:r>
      <w:r w:rsidRPr="00E813DF">
        <w:rPr>
          <w:rFonts w:ascii="Palatino Linotype" w:eastAsia="Palatino Linotype" w:hAnsi="Palatino Linotype" w:cs="Palatino Linotype"/>
          <w:b/>
          <w:bCs/>
          <w:sz w:val="22"/>
          <w:szCs w:val="22"/>
        </w:rPr>
        <w:t>Recurrente</w:t>
      </w:r>
      <w:r w:rsidRPr="00E813DF">
        <w:rPr>
          <w:rFonts w:ascii="Palatino Linotype" w:eastAsia="Palatino Linotype" w:hAnsi="Palatino Linotype" w:cs="Palatino Linotype"/>
          <w:sz w:val="22"/>
          <w:szCs w:val="22"/>
        </w:rPr>
        <w:t xml:space="preserve">, se tuvo por presentado el </w:t>
      </w:r>
      <w:r w:rsidRPr="00E813DF">
        <w:rPr>
          <w:rFonts w:ascii="Palatino Linotype" w:eastAsia="Palatino Linotype" w:hAnsi="Palatino Linotype" w:cs="Palatino Linotype"/>
          <w:b/>
          <w:bCs/>
          <w:sz w:val="22"/>
          <w:szCs w:val="22"/>
        </w:rPr>
        <w:t xml:space="preserve">ocho de julio de dos mil veinticinco, </w:t>
      </w:r>
      <w:r w:rsidRPr="00E813DF">
        <w:rPr>
          <w:rFonts w:ascii="Palatino Linotype" w:eastAsia="Palatino Linotype" w:hAnsi="Palatino Linotype" w:cs="Palatino Linotype"/>
          <w:sz w:val="22"/>
          <w:szCs w:val="22"/>
        </w:rPr>
        <w:t xml:space="preserve">esto es, el décimo quinto día hábil a aquel en el que tuvo conocimiento de la respuesta impugnada. </w:t>
      </w:r>
    </w:p>
    <w:p w14:paraId="1FC4C370"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en las disposiciones legales referidas.</w:t>
      </w:r>
    </w:p>
    <w:p w14:paraId="5A8A72EE"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otro lado, por cuanto hace a la procedibilidad del recurso de revisión, es de suma importancia señalar que la parte </w:t>
      </w:r>
      <w:r w:rsidRPr="00E813DF">
        <w:rPr>
          <w:rFonts w:ascii="Palatino Linotype" w:eastAsia="Palatino Linotype" w:hAnsi="Palatino Linotype" w:cs="Palatino Linotype"/>
          <w:b/>
          <w:bCs/>
          <w:sz w:val="22"/>
          <w:szCs w:val="22"/>
        </w:rPr>
        <w:t>Recurrente</w:t>
      </w:r>
      <w:r w:rsidRPr="00E813DF">
        <w:rPr>
          <w:rFonts w:ascii="Palatino Linotype" w:eastAsia="Palatino Linotype" w:hAnsi="Palatino Linotype" w:cs="Palatino Linotype"/>
          <w:sz w:val="22"/>
          <w:szCs w:val="22"/>
        </w:rPr>
        <w:t>,</w:t>
      </w:r>
      <w:r w:rsidRPr="00E813DF">
        <w:rPr>
          <w:rFonts w:ascii="Palatino Linotype" w:eastAsia="Palatino Linotype" w:hAnsi="Palatino Linotype" w:cs="Palatino Linotype"/>
          <w:b/>
          <w:bCs/>
          <w:sz w:val="22"/>
          <w:szCs w:val="22"/>
        </w:rPr>
        <w:t xml:space="preserve"> </w:t>
      </w:r>
      <w:r w:rsidRPr="00E813DF">
        <w:rPr>
          <w:rFonts w:ascii="Palatino Linotype" w:eastAsia="Palatino Linotype" w:hAnsi="Palatino Linotype" w:cs="Palatino Linotype"/>
          <w:sz w:val="22"/>
          <w:szCs w:val="22"/>
        </w:rPr>
        <w:t>no proporcionó nombre o seudónimo con el que desea que se le identifique</w:t>
      </w:r>
      <w:r w:rsidRPr="00E813DF">
        <w:rPr>
          <w:rFonts w:ascii="Palatino Linotype" w:eastAsia="Palatino Linotype" w:hAnsi="Palatino Linotype" w:cs="Palatino Linotype"/>
          <w:b/>
          <w:bCs/>
          <w:sz w:val="22"/>
          <w:szCs w:val="22"/>
        </w:rPr>
        <w:t>,</w:t>
      </w:r>
      <w:r w:rsidRPr="00E813DF">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C680D19"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Las solicitudes anónimas,</w:t>
      </w:r>
      <w:r w:rsidRPr="00E813DF">
        <w:rPr>
          <w:rFonts w:ascii="Palatino Linotype" w:eastAsia="Palatino Linotype" w:hAnsi="Palatino Linotype" w:cs="Palatino Linotype"/>
          <w:i/>
          <w:iCs/>
          <w:sz w:val="22"/>
          <w:szCs w:val="22"/>
        </w:rPr>
        <w:t xml:space="preserve"> con nombre incompleto o</w:t>
      </w:r>
      <w:r w:rsidRPr="00E813DF">
        <w:rPr>
          <w:rFonts w:ascii="Palatino Linotype" w:eastAsia="Palatino Linotype" w:hAnsi="Palatino Linotype" w:cs="Palatino Linotype"/>
          <w:b/>
          <w:bCs/>
          <w:i/>
          <w:iCs/>
          <w:sz w:val="22"/>
          <w:szCs w:val="22"/>
        </w:rPr>
        <w:t xml:space="preserve"> </w:t>
      </w:r>
      <w:r w:rsidRPr="00E813DF">
        <w:rPr>
          <w:rFonts w:ascii="Palatino Linotype" w:eastAsia="Palatino Linotype" w:hAnsi="Palatino Linotype" w:cs="Palatino Linotype"/>
          <w:i/>
          <w:iCs/>
          <w:sz w:val="22"/>
          <w:szCs w:val="22"/>
        </w:rPr>
        <w:t xml:space="preserve">seudónimo </w:t>
      </w:r>
      <w:r w:rsidRPr="00E813DF">
        <w:rPr>
          <w:rFonts w:ascii="Palatino Linotype" w:eastAsia="Palatino Linotype" w:hAnsi="Palatino Linotype" w:cs="Palatino Linotype"/>
          <w:b/>
          <w:bCs/>
          <w:i/>
          <w:iCs/>
          <w:sz w:val="22"/>
          <w:szCs w:val="22"/>
        </w:rPr>
        <w:t>serán procedentes para su trámite por parte del sujeto obligado ante quien se presente</w:t>
      </w:r>
      <w:r w:rsidRPr="00E813DF">
        <w:rPr>
          <w:rFonts w:ascii="Palatino Linotype" w:eastAsia="Palatino Linotype" w:hAnsi="Palatino Linotype" w:cs="Palatino Linotype"/>
          <w:i/>
          <w:iCs/>
          <w:sz w:val="22"/>
          <w:szCs w:val="22"/>
        </w:rPr>
        <w:t>. No podrá requerirse información adicional con motivo del nombre proporcionado por el solicitante."</w:t>
      </w:r>
    </w:p>
    <w:p w14:paraId="0ECB3C7F" w14:textId="77777777" w:rsidR="00304047" w:rsidRPr="00E813DF" w:rsidRDefault="00CA623F">
      <w:pPr>
        <w:tabs>
          <w:tab w:val="left" w:pos="7938"/>
        </w:tabs>
        <w:spacing w:before="240" w:after="240" w:line="360" w:lineRule="auto"/>
        <w:jc w:val="both"/>
        <w:rPr>
          <w:rFonts w:ascii="Palatino Linotype" w:eastAsia="Palatino Linotype" w:hAnsi="Palatino Linotype" w:cs="Palatino Linotype"/>
          <w:sz w:val="22"/>
          <w:szCs w:val="22"/>
        </w:rPr>
      </w:pPr>
      <w:bookmarkStart w:id="7" w:name="_heading=h.3znysh7" w:colFirst="0" w:colLast="0"/>
      <w:bookmarkEnd w:id="7"/>
      <w:r w:rsidRPr="00E813DF">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5DC8165"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E813DF">
        <w:rPr>
          <w:rFonts w:ascii="Palatino Linotype" w:eastAsia="Palatino Linotype" w:hAnsi="Palatino Linotype" w:cs="Palatino Linotype"/>
          <w:b/>
          <w:bCs/>
          <w:sz w:val="22"/>
          <w:szCs w:val="22"/>
        </w:rPr>
        <w:t>Recurrente</w:t>
      </w:r>
      <w:r w:rsidRPr="00E813DF">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175CCE72"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179.</w:t>
      </w:r>
      <w:r w:rsidRPr="00E813DF">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5E689B37"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6E1788D6" w14:textId="77777777" w:rsidR="00304047" w:rsidRPr="00E813DF" w:rsidRDefault="00CA623F">
      <w:pPr>
        <w:spacing w:before="240" w:after="240" w:line="360" w:lineRule="auto"/>
        <w:ind w:left="851"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I. La negativa a la información solicitada</w:t>
      </w:r>
      <w:r w:rsidRPr="00E813DF">
        <w:rPr>
          <w:rFonts w:ascii="Palatino Linotype" w:eastAsia="Palatino Linotype" w:hAnsi="Palatino Linotype" w:cs="Palatino Linotype"/>
          <w:b/>
          <w:bCs/>
          <w:i/>
          <w:iCs/>
          <w:sz w:val="22"/>
          <w:szCs w:val="22"/>
          <w:u w:val="single"/>
        </w:rPr>
        <w:t>;</w:t>
      </w:r>
      <w:r w:rsidRPr="00E813DF">
        <w:rPr>
          <w:rFonts w:ascii="Palatino Linotype" w:eastAsia="Palatino Linotype" w:hAnsi="Palatino Linotype" w:cs="Palatino Linotype"/>
          <w:b/>
          <w:bCs/>
          <w:i/>
          <w:iCs/>
          <w:sz w:val="22"/>
          <w:szCs w:val="22"/>
        </w:rPr>
        <w:t xml:space="preserve">” </w:t>
      </w:r>
    </w:p>
    <w:p w14:paraId="17E95D40"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 xml:space="preserve">Tercero. Materia de la revisión. </w:t>
      </w:r>
      <w:r w:rsidRPr="00E813D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E813DF">
        <w:rPr>
          <w:rFonts w:ascii="Palatino Linotype" w:eastAsia="Palatino Linotype" w:hAnsi="Palatino Linotype" w:cs="Palatino Linotype"/>
          <w:b/>
          <w:bCs/>
          <w:sz w:val="22"/>
          <w:szCs w:val="22"/>
        </w:rPr>
        <w:t xml:space="preserve">verificar si la respuesta e informe justificado otorgados por el Sujeto Obligado son adecuados y suficientes para satisfacer el derecho de acceso a la información pública </w:t>
      </w:r>
      <w:r w:rsidRPr="00E813DF">
        <w:rPr>
          <w:rFonts w:ascii="Palatino Linotype" w:eastAsia="Palatino Linotype" w:hAnsi="Palatino Linotype" w:cs="Palatino Linotype"/>
          <w:sz w:val="22"/>
          <w:szCs w:val="22"/>
        </w:rPr>
        <w:t xml:space="preserve">de </w:t>
      </w:r>
      <w:r w:rsidRPr="00E813DF">
        <w:rPr>
          <w:rFonts w:ascii="Palatino Linotype" w:eastAsia="Palatino Linotype" w:hAnsi="Palatino Linotype" w:cs="Palatino Linotype"/>
          <w:b/>
          <w:bCs/>
          <w:sz w:val="22"/>
          <w:szCs w:val="22"/>
        </w:rPr>
        <w:t>la parte</w:t>
      </w:r>
      <w:r w:rsidRPr="00E813DF">
        <w:rPr>
          <w:rFonts w:ascii="Palatino Linotype" w:eastAsia="Palatino Linotype" w:hAnsi="Palatino Linotype" w:cs="Palatino Linotype"/>
          <w:sz w:val="22"/>
          <w:szCs w:val="22"/>
        </w:rPr>
        <w:t xml:space="preserve"> </w:t>
      </w:r>
      <w:r w:rsidRPr="00E813DF">
        <w:rPr>
          <w:rFonts w:ascii="Palatino Linotype" w:eastAsia="Palatino Linotype" w:hAnsi="Palatino Linotype" w:cs="Palatino Linotype"/>
          <w:b/>
          <w:bCs/>
          <w:sz w:val="22"/>
          <w:szCs w:val="22"/>
        </w:rPr>
        <w:t>Recurrente</w:t>
      </w:r>
      <w:r w:rsidRPr="00E813DF">
        <w:rPr>
          <w:rFonts w:ascii="Palatino Linotype" w:eastAsia="Palatino Linotype" w:hAnsi="Palatino Linotype" w:cs="Palatino Linotype"/>
          <w:sz w:val="22"/>
          <w:szCs w:val="22"/>
        </w:rPr>
        <w:t>, o en su defecto, en caso de ser procedente, ordenar la entrega de información.</w:t>
      </w:r>
    </w:p>
    <w:p w14:paraId="6EAB1C1D"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E813DF">
        <w:rPr>
          <w:rFonts w:ascii="Palatino Linotype" w:eastAsia="Palatino Linotype" w:hAnsi="Palatino Linotype" w:cs="Palatino Linotype"/>
          <w:b/>
          <w:bCs/>
          <w:sz w:val="22"/>
          <w:szCs w:val="22"/>
        </w:rPr>
        <w:t xml:space="preserve">Cuarto. Estudio del asunto </w:t>
      </w:r>
      <w:r w:rsidRPr="00E813DF">
        <w:rPr>
          <w:rFonts w:ascii="Palatino Linotype" w:eastAsia="Palatino Linotype" w:hAnsi="Palatino Linotype" w:cs="Palatino Linotype"/>
          <w:sz w:val="22"/>
          <w:szCs w:val="22"/>
        </w:rPr>
        <w:t xml:space="preserve">Antes de entrar al análisis de los pronunciamientos del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56289C2"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4</w:t>
      </w:r>
      <w:r w:rsidRPr="00E813DF">
        <w:rPr>
          <w:rFonts w:ascii="Palatino Linotype" w:eastAsia="Palatino Linotype" w:hAnsi="Palatino Linotype" w:cs="Palatino Linotype"/>
          <w:i/>
          <w:iCs/>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204BAFD2"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2A4C4B0"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Los sujetos obligados deben poner en práctica, políticas y programas de acceso a la información que se apeguen a criterios de publicidad, veracidad, oportunidad, precisión y suficiencia en beneficio de los solicitantes.”</w:t>
      </w:r>
    </w:p>
    <w:p w14:paraId="561A4CA8"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9FBB620"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12</w:t>
      </w:r>
      <w:r w:rsidRPr="00E813DF">
        <w:rPr>
          <w:rFonts w:ascii="Palatino Linotype" w:eastAsia="Palatino Linotype" w:hAnsi="Palatino Linotype" w:cs="Palatino Linotype"/>
          <w:i/>
          <w:iCs/>
          <w:sz w:val="22"/>
          <w:szCs w:val="22"/>
        </w:rPr>
        <w:t>. Quienes generen, recopilen, administren, manejen, procesen, archiven o conserven información pública serán responsables de la misma en los términos de las disposiciones jurídicas aplicables.</w:t>
      </w:r>
    </w:p>
    <w:p w14:paraId="5886D572"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7B75EDD"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E813DF">
        <w:rPr>
          <w:rFonts w:ascii="Palatino Linotype" w:eastAsia="Palatino Linotype" w:hAnsi="Palatino Linotype" w:cs="Palatino Linotype"/>
          <w:b/>
          <w:bCs/>
          <w:sz w:val="22"/>
          <w:szCs w:val="22"/>
        </w:rPr>
        <w:t xml:space="preserve"> </w:t>
      </w:r>
      <w:r w:rsidRPr="00E813DF">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E813DF">
        <w:rPr>
          <w:rFonts w:ascii="Palatino Linotype" w:eastAsia="Palatino Linotype" w:hAnsi="Palatino Linotype" w:cs="Palatino Linotype"/>
          <w:i/>
          <w:iCs/>
          <w:sz w:val="22"/>
          <w:szCs w:val="22"/>
        </w:rPr>
        <w:t>ad hoc</w:t>
      </w:r>
      <w:r w:rsidRPr="00E813DF">
        <w:rPr>
          <w:rFonts w:ascii="Palatino Linotype" w:eastAsia="Palatino Linotype" w:hAnsi="Palatino Linotype" w:cs="Palatino Linotype"/>
          <w:sz w:val="22"/>
          <w:szCs w:val="22"/>
        </w:rPr>
        <w:t>,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60BF2611"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“NO EXISTE OBLIGACIÓN DE ELABORAR DOCUMENTOS AD HOC PARA ATENDER LAS SOLICITUDES DE ACCESO A LA INFORMACIÓN.</w:t>
      </w:r>
    </w:p>
    <w:p w14:paraId="20243597"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828AC69"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B6B07B8" w14:textId="77777777" w:rsidR="00304047" w:rsidRPr="00E813DF" w:rsidRDefault="00CA623F">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413F3F0"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C820CB6"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 xml:space="preserve">Artículo 3. </w:t>
      </w:r>
      <w:r w:rsidRPr="00E813DF">
        <w:rPr>
          <w:rFonts w:ascii="Palatino Linotype" w:eastAsia="Palatino Linotype" w:hAnsi="Palatino Linotype" w:cs="Palatino Linotype"/>
          <w:i/>
          <w:iCs/>
          <w:sz w:val="22"/>
          <w:szCs w:val="22"/>
        </w:rPr>
        <w:t>Para los efectos de la presente Ley se entenderá por:</w:t>
      </w:r>
    </w:p>
    <w:p w14:paraId="042E89BF"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w:t>
      </w:r>
    </w:p>
    <w:p w14:paraId="08671FE2"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XI. Documento:</w:t>
      </w:r>
      <w:r w:rsidRPr="00E813DF">
        <w:rPr>
          <w:rFonts w:ascii="Palatino Linotype" w:eastAsia="Palatino Linotype" w:hAnsi="Palatino Linotype" w:cs="Palatino Linotype"/>
          <w:i/>
          <w:iCs/>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813DF">
        <w:rPr>
          <w:rFonts w:ascii="Palatino Linotype" w:eastAsia="Palatino Linotype" w:hAnsi="Palatino Linotype" w:cs="Palatino Linotype"/>
          <w:b/>
          <w:bCs/>
          <w:i/>
          <w:iCs/>
          <w:sz w:val="22"/>
          <w:szCs w:val="22"/>
        </w:rPr>
        <w:t>…</w:t>
      </w:r>
      <w:r w:rsidRPr="00E813DF">
        <w:rPr>
          <w:rFonts w:ascii="Palatino Linotype" w:eastAsia="Palatino Linotype" w:hAnsi="Palatino Linotype" w:cs="Palatino Linotype"/>
          <w:i/>
          <w:iCs/>
          <w:sz w:val="22"/>
          <w:szCs w:val="22"/>
        </w:rPr>
        <w:t>”</w:t>
      </w:r>
    </w:p>
    <w:p w14:paraId="773EDD1E"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1B5B4B2"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w:t>
      </w:r>
      <w:r w:rsidRPr="00E813DF">
        <w:rPr>
          <w:rFonts w:ascii="Palatino Linotype" w:eastAsia="Palatino Linotype" w:hAnsi="Palatino Linotype" w:cs="Palatino Linotype"/>
          <w:b/>
          <w:bCs/>
          <w:i/>
          <w:iCs/>
          <w:sz w:val="22"/>
          <w:szCs w:val="22"/>
        </w:rPr>
        <w:t>CRITERIO 0002-11</w:t>
      </w:r>
    </w:p>
    <w:p w14:paraId="72E1E09C"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E813DF">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72B99B"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2474FBD" w14:textId="77777777" w:rsidR="00304047" w:rsidRPr="00E813DF" w:rsidRDefault="00CA623F">
      <w:pPr>
        <w:numPr>
          <w:ilvl w:val="0"/>
          <w:numId w:val="15"/>
        </w:numPr>
        <w:pBdr>
          <w:top w:val="nil"/>
          <w:left w:val="nil"/>
          <w:bottom w:val="nil"/>
          <w:right w:val="nil"/>
          <w:between w:val="nil"/>
        </w:pBdr>
        <w:spacing w:before="240" w:after="240" w:line="360" w:lineRule="auto"/>
        <w:ind w:left="851" w:right="616" w:firstLine="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Que se trate de información registrada en cualquier soporte documental, que en ejercicio de las atribuciones conferidas, sea generada por los Sujetos Obligados;</w:t>
      </w:r>
    </w:p>
    <w:p w14:paraId="34CAFD19" w14:textId="77777777" w:rsidR="00304047" w:rsidRPr="00E813DF" w:rsidRDefault="00CA623F">
      <w:pPr>
        <w:numPr>
          <w:ilvl w:val="0"/>
          <w:numId w:val="15"/>
        </w:numPr>
        <w:pBdr>
          <w:top w:val="nil"/>
          <w:left w:val="nil"/>
          <w:bottom w:val="nil"/>
          <w:right w:val="nil"/>
          <w:between w:val="nil"/>
        </w:pBdr>
        <w:spacing w:before="240" w:after="240" w:line="360" w:lineRule="auto"/>
        <w:ind w:left="851" w:right="616" w:firstLine="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Que se trate de información registrada en cualquier soporte documental, que en ejercicio de las atribuciones conferidas, sea administrada por los Sujetos Obligados, y</w:t>
      </w:r>
    </w:p>
    <w:p w14:paraId="6A5C703C"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 xml:space="preserve">3. </w:t>
      </w:r>
      <w:r w:rsidRPr="00E813DF">
        <w:rPr>
          <w:rFonts w:ascii="Palatino Linotype" w:eastAsia="Palatino Linotype" w:hAnsi="Palatino Linotype" w:cs="Palatino Linotype"/>
          <w:b/>
          <w:bCs/>
          <w:i/>
          <w:iCs/>
          <w:sz w:val="22"/>
          <w:szCs w:val="22"/>
        </w:rPr>
        <w:t xml:space="preserve">Que se trate de información registrada en cualquier soporte documental, que en ejercicio de las atribuciones conferidas, se encuentre en posesión de los Sujetos Obligados.” </w:t>
      </w:r>
      <w:r w:rsidRPr="00E813DF">
        <w:rPr>
          <w:rFonts w:ascii="Palatino Linotype" w:eastAsia="Palatino Linotype" w:hAnsi="Palatino Linotype" w:cs="Palatino Linotype"/>
          <w:i/>
          <w:iCs/>
          <w:sz w:val="22"/>
          <w:szCs w:val="22"/>
        </w:rPr>
        <w:t>(Énfasis añadido)</w:t>
      </w:r>
    </w:p>
    <w:p w14:paraId="774AAAED"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ahí que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68C2CFA"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Ahora bien, para profundizar en el estudio del presente asunto, es conveniente recordar que, de un análisis a la solicitud de información, se advierte que la parte solicitante requirió al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le proporcionara lo siguiente:</w:t>
      </w:r>
    </w:p>
    <w:p w14:paraId="4AA6356E" w14:textId="77777777" w:rsidR="00304047" w:rsidRPr="00E813DF" w:rsidRDefault="00CA623F">
      <w:pPr>
        <w:numPr>
          <w:ilvl w:val="0"/>
          <w:numId w:val="3"/>
        </w:numPr>
        <w:pBdr>
          <w:top w:val="nil"/>
          <w:left w:val="nil"/>
          <w:bottom w:val="nil"/>
          <w:right w:val="nil"/>
          <w:between w:val="nil"/>
        </w:pBdr>
        <w:spacing w:before="240" w:line="360" w:lineRule="auto"/>
        <w:ind w:left="1134" w:right="616" w:hanging="283"/>
        <w:rPr>
          <w:rFonts w:ascii="Palatino Linotype" w:eastAsia="Palatino Linotype" w:hAnsi="Palatino Linotype" w:cs="Palatino Linotype"/>
          <w:b/>
          <w:bCs/>
          <w:sz w:val="22"/>
          <w:szCs w:val="22"/>
        </w:rPr>
      </w:pPr>
      <w:bookmarkStart w:id="9" w:name="_heading=h.4mzex2eozwuz" w:colFirst="0" w:colLast="0"/>
      <w:bookmarkEnd w:id="9"/>
      <w:r w:rsidRPr="00E813DF">
        <w:rPr>
          <w:rFonts w:ascii="Palatino Linotype" w:eastAsia="Palatino Linotype" w:hAnsi="Palatino Linotype" w:cs="Palatino Linotype"/>
          <w:b/>
          <w:bCs/>
          <w:sz w:val="22"/>
          <w:szCs w:val="22"/>
        </w:rPr>
        <w:t xml:space="preserve">De los Titulares de las Dependencias que integran el Ayuntamiento: </w:t>
      </w:r>
    </w:p>
    <w:p w14:paraId="655CA928" w14:textId="77777777" w:rsidR="00304047" w:rsidRPr="00E813DF" w:rsidRDefault="00CA623F">
      <w:pPr>
        <w:numPr>
          <w:ilvl w:val="0"/>
          <w:numId w:val="6"/>
        </w:numPr>
        <w:pBdr>
          <w:top w:val="nil"/>
          <w:left w:val="nil"/>
          <w:bottom w:val="nil"/>
          <w:right w:val="nil"/>
          <w:between w:val="nil"/>
        </w:pBdr>
        <w:spacing w:line="360" w:lineRule="auto"/>
        <w:ind w:left="1560" w:right="616" w:hanging="28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Expediente laboral (que contenga entre otros documentos Curriculum Vitae, Informe o Certificado de no antecedentes penales, Certificado de no deudor alimentario moroso, Nombramiento, contrato o formato único de movimientos de personal)</w:t>
      </w:r>
    </w:p>
    <w:p w14:paraId="2ED24876" w14:textId="77777777" w:rsidR="00304047" w:rsidRPr="00E813DF" w:rsidRDefault="00CA623F">
      <w:pPr>
        <w:numPr>
          <w:ilvl w:val="0"/>
          <w:numId w:val="6"/>
        </w:numPr>
        <w:pBdr>
          <w:top w:val="nil"/>
          <w:left w:val="nil"/>
          <w:bottom w:val="nil"/>
          <w:right w:val="nil"/>
          <w:between w:val="nil"/>
        </w:pBdr>
        <w:spacing w:line="360" w:lineRule="auto"/>
        <w:ind w:left="1560" w:right="616" w:hanging="28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Certificación de competencia laboral </w:t>
      </w:r>
    </w:p>
    <w:p w14:paraId="5432A40B" w14:textId="77777777" w:rsidR="00304047" w:rsidRPr="00E813DF" w:rsidRDefault="00CA623F">
      <w:pPr>
        <w:numPr>
          <w:ilvl w:val="0"/>
          <w:numId w:val="6"/>
        </w:numPr>
        <w:pBdr>
          <w:top w:val="nil"/>
          <w:left w:val="nil"/>
          <w:bottom w:val="nil"/>
          <w:right w:val="nil"/>
          <w:between w:val="nil"/>
        </w:pBdr>
        <w:spacing w:line="360" w:lineRule="auto"/>
        <w:ind w:left="1560" w:right="616" w:hanging="28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Alta issemym </w:t>
      </w:r>
    </w:p>
    <w:p w14:paraId="35CC1748" w14:textId="77777777" w:rsidR="00304047" w:rsidRPr="00E813DF" w:rsidRDefault="00CA623F">
      <w:pPr>
        <w:numPr>
          <w:ilvl w:val="0"/>
          <w:numId w:val="6"/>
        </w:numPr>
        <w:pBdr>
          <w:top w:val="nil"/>
          <w:left w:val="nil"/>
          <w:bottom w:val="nil"/>
          <w:right w:val="nil"/>
          <w:between w:val="nil"/>
        </w:pBdr>
        <w:spacing w:line="360" w:lineRule="auto"/>
        <w:ind w:left="1560" w:right="616" w:hanging="28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Gafete laboral</w:t>
      </w:r>
    </w:p>
    <w:p w14:paraId="71A60476" w14:textId="77777777" w:rsidR="00304047" w:rsidRPr="00E813DF" w:rsidRDefault="00CA623F">
      <w:pPr>
        <w:numPr>
          <w:ilvl w:val="0"/>
          <w:numId w:val="6"/>
        </w:numPr>
        <w:pBdr>
          <w:top w:val="nil"/>
          <w:left w:val="nil"/>
          <w:bottom w:val="nil"/>
          <w:right w:val="nil"/>
          <w:between w:val="nil"/>
        </w:pBdr>
        <w:spacing w:line="360" w:lineRule="auto"/>
        <w:ind w:left="1560" w:right="616" w:hanging="28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Aprobación de cabildo del nombramiento</w:t>
      </w:r>
    </w:p>
    <w:p w14:paraId="090624DF" w14:textId="77777777" w:rsidR="00304047" w:rsidRPr="00E813DF" w:rsidRDefault="00CA623F">
      <w:pPr>
        <w:numPr>
          <w:ilvl w:val="0"/>
          <w:numId w:val="6"/>
        </w:numPr>
        <w:pBdr>
          <w:top w:val="nil"/>
          <w:left w:val="nil"/>
          <w:bottom w:val="nil"/>
          <w:right w:val="nil"/>
          <w:between w:val="nil"/>
        </w:pBdr>
        <w:spacing w:line="360" w:lineRule="auto"/>
        <w:ind w:left="1560" w:right="616" w:hanging="28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caso de haber bajas, documento que dé cuenta de la fecha y motivo de la baja. </w:t>
      </w:r>
    </w:p>
    <w:p w14:paraId="4BC1382E" w14:textId="77777777" w:rsidR="00304047" w:rsidRPr="00E813DF" w:rsidRDefault="00CA623F">
      <w:pPr>
        <w:numPr>
          <w:ilvl w:val="0"/>
          <w:numId w:val="6"/>
        </w:numPr>
        <w:pBdr>
          <w:top w:val="nil"/>
          <w:left w:val="nil"/>
          <w:bottom w:val="nil"/>
          <w:right w:val="nil"/>
          <w:between w:val="nil"/>
        </w:pBdr>
        <w:spacing w:after="240" w:line="360" w:lineRule="auto"/>
        <w:ind w:left="1560" w:right="616" w:hanging="28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Procedimientos administrativos en trámite o concluidos ante la Contraloría Interna o Derechos Humanos. </w:t>
      </w:r>
    </w:p>
    <w:p w14:paraId="4E952D41"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respuesta,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se pronunció por conducto de la Directora de Recursos Humanos quien informó que la solicitud no constituye derecho de acceso a la información, sino un derecho de petición. </w:t>
      </w:r>
    </w:p>
    <w:p w14:paraId="4BF5E9B5"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esta tesitura, una vez conocida la respuesta emitida por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la parte</w:t>
      </w:r>
      <w:r w:rsidRPr="00E813DF">
        <w:rPr>
          <w:rFonts w:ascii="Palatino Linotype" w:eastAsia="Palatino Linotype" w:hAnsi="Palatino Linotype" w:cs="Palatino Linotype"/>
          <w:b/>
          <w:bCs/>
          <w:sz w:val="22"/>
          <w:szCs w:val="22"/>
        </w:rPr>
        <w:t xml:space="preserve"> Recurrente</w:t>
      </w:r>
      <w:r w:rsidRPr="00E813DF">
        <w:rPr>
          <w:rFonts w:ascii="Palatino Linotype" w:eastAsia="Palatino Linotype" w:hAnsi="Palatino Linotype" w:cs="Palatino Linotype"/>
          <w:sz w:val="22"/>
          <w:szCs w:val="22"/>
        </w:rPr>
        <w:t>, al no estar conforme con los términos de la misma, interpuso el recurso de revisión que nos ocupa, inconformándose medularmente por la negativa a la información solicitada.</w:t>
      </w:r>
    </w:p>
    <w:p w14:paraId="3413AF74"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Así las cosas, durante la etapa de manifestaciones e informe justificado, se tiene que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ratifico su respuesta inicial; mientras que la parte</w:t>
      </w:r>
      <w:r w:rsidRPr="00E813DF">
        <w:rPr>
          <w:rFonts w:ascii="Palatino Linotype" w:eastAsia="Palatino Linotype" w:hAnsi="Palatino Linotype" w:cs="Palatino Linotype"/>
          <w:b/>
          <w:bCs/>
          <w:sz w:val="22"/>
          <w:szCs w:val="22"/>
        </w:rPr>
        <w:t xml:space="preserve"> Recurrente </w:t>
      </w:r>
      <w:r w:rsidRPr="00E813DF">
        <w:rPr>
          <w:rFonts w:ascii="Palatino Linotype" w:eastAsia="Palatino Linotype" w:hAnsi="Palatino Linotype" w:cs="Palatino Linotype"/>
          <w:sz w:val="22"/>
          <w:szCs w:val="22"/>
        </w:rPr>
        <w:t xml:space="preserve">fue omisa en rendir sus manifestaciones, por lo que se tiene por precluido el plazo para tal efecto y se procede a emitir la resolución que conforme a derecho corresponda. </w:t>
      </w:r>
    </w:p>
    <w:p w14:paraId="723EC1CA"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Así, se procede analizar la información proporcionada por el Sujeto Obligado, para lo cual, cabe hacer referencia al </w:t>
      </w:r>
      <w:r w:rsidRPr="00E813DF">
        <w:rPr>
          <w:rFonts w:ascii="Palatino Linotype" w:eastAsia="Palatino Linotype" w:hAnsi="Palatino Linotype" w:cs="Palatino Linotype"/>
          <w:b/>
          <w:bCs/>
          <w:sz w:val="22"/>
          <w:szCs w:val="22"/>
        </w:rPr>
        <w:t>procedimiento de búsqueda que deben de seguir los Sujetos Obligados para localizar la información</w:t>
      </w:r>
      <w:r w:rsidRPr="00E813DF">
        <w:rPr>
          <w:rFonts w:ascii="Palatino Linotype" w:eastAsia="Palatino Linotype" w:hAnsi="Palatino Linotype" w:cs="Palatino Linotype"/>
          <w:sz w:val="22"/>
          <w:szCs w:val="22"/>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6C9D5B9D" w14:textId="77777777" w:rsidR="00304047" w:rsidRPr="00E813DF" w:rsidRDefault="00CA623F">
      <w:pPr>
        <w:spacing w:before="240" w:after="240" w:line="360" w:lineRule="auto"/>
        <w:ind w:right="-9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lo plasmado en párrafos anteriores, se advierte que el Sujeto Obligado no cumplió con el procedimiento de búsqueda referido, pues si bien turnó la Solicitud a la Dirección General de Administración, quien tiene las siguientes atribuciones: </w:t>
      </w:r>
    </w:p>
    <w:p w14:paraId="6BD09257" w14:textId="77777777" w:rsidR="00304047" w:rsidRPr="00E813DF" w:rsidRDefault="00CA623F">
      <w:pPr>
        <w:spacing w:before="240" w:after="240" w:line="360" w:lineRule="auto"/>
        <w:ind w:left="851" w:right="616"/>
        <w:jc w:val="center"/>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DE LA DIRECCIÓN GENERAL DE ADMINISTRACIÓN</w:t>
      </w:r>
    </w:p>
    <w:p w14:paraId="3B8AFAA2"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3.40</w:t>
      </w:r>
      <w:r w:rsidRPr="00E813DF">
        <w:rPr>
          <w:rFonts w:ascii="Palatino Linotype" w:eastAsia="Palatino Linotype" w:hAnsi="Palatino Linotype" w:cs="Palatino Linotype"/>
          <w:i/>
          <w:iCs/>
          <w:sz w:val="22"/>
          <w:szCs w:val="22"/>
        </w:rPr>
        <w:t>. La o el titular de la Dirección General de Administración, tiene las siguientes atribuciones:</w:t>
      </w:r>
    </w:p>
    <w:p w14:paraId="5DBDE966"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 Coordinar y dirigir los sistemas de reclutamiento, selección, contratación e inducción y desarrollo de personal;</w:t>
      </w:r>
    </w:p>
    <w:p w14:paraId="59AFD202"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III. Autorizar las altas, bajas, cambios, permisos, licencias, comisiones del personal entre otras, para su trámite y efectos;</w:t>
      </w:r>
    </w:p>
    <w:p w14:paraId="49187C67"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4B6967EA" w14:textId="77777777" w:rsidR="00304047" w:rsidRPr="00E813DF" w:rsidRDefault="00CA623F">
      <w:pPr>
        <w:spacing w:before="240" w:after="240" w:line="360" w:lineRule="auto"/>
        <w:ind w:left="851" w:right="616"/>
        <w:jc w:val="center"/>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DE LA DIRECCIÓN DE RECURSOS HUMANOS</w:t>
      </w:r>
    </w:p>
    <w:p w14:paraId="25C45673"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Artículo 3.42</w:t>
      </w:r>
      <w:r w:rsidRPr="00E813DF">
        <w:rPr>
          <w:rFonts w:ascii="Palatino Linotype" w:eastAsia="Palatino Linotype" w:hAnsi="Palatino Linotype" w:cs="Palatino Linotype"/>
          <w:i/>
          <w:iCs/>
          <w:sz w:val="22"/>
          <w:szCs w:val="22"/>
        </w:rPr>
        <w:t xml:space="preserve">. La o el titular de la Dirección de Recursos Humanos cuenta con las siguientes atribuciones: </w:t>
      </w:r>
    </w:p>
    <w:p w14:paraId="78353677"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 Elaborar, operar y mejorar los procedimientos administrativos de control para la selección, reclutamiento, contratación, escalafón, capacitación, retiro, sanción, comisión y desarrollo del personal al servicio del Municipio;</w:t>
      </w:r>
    </w:p>
    <w:p w14:paraId="2C777861"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 </w:t>
      </w:r>
    </w:p>
    <w:p w14:paraId="7E51F288"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IV. Aplicar las disposiciones legales laborales que rigen al personal del Ayuntamiento;</w:t>
      </w:r>
    </w:p>
    <w:p w14:paraId="28D24EAF"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 Registrar las altas, reingresos, bajas, cambios de categoría y adscripción, permisos y licencias por incapacidad, entre otras, del personal, y su correcta aplicación;</w:t>
      </w:r>
    </w:p>
    <w:p w14:paraId="27214C0B"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 Coadyuvar con la Tesorería Municipal en la elaboración y distribución oportuna de la nómina para el pago al personal que labora en el Ayuntamiento, por concepto de sueldos, prestaciones, liquidaciones y finiquitos apegándose al presupuesto autorizado aplicado a través del capítulo 1000; así como en lo relativo a las determinaciones de los impuestos y la emisión de los CFDI correspondientes una vez realizado el pago…”</w:t>
      </w:r>
    </w:p>
    <w:p w14:paraId="436F0BE0"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(Énfasis Añadido)</w:t>
      </w:r>
    </w:p>
    <w:p w14:paraId="16276DF7" w14:textId="77777777" w:rsidR="00304047" w:rsidRPr="00E813DF" w:rsidRDefault="00CA623F">
      <w:pPr>
        <w:spacing w:before="240" w:after="240" w:line="360" w:lineRule="auto"/>
        <w:ind w:right="-9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También lo es que No turnó la solicitud de información todas las áreas competentes de conocer lo solicitado, como lo es en este caso el Órgano Interno de Control Municipal y la Defensoría Municipal de Derechos Humanos quien de acuerdo al Código Reglamentario de Toluca son competentes para conocer de lo siguiente: </w:t>
      </w:r>
    </w:p>
    <w:p w14:paraId="01B24B31" w14:textId="77777777" w:rsidR="00304047" w:rsidRPr="00E813DF" w:rsidRDefault="00CA623F">
      <w:pPr>
        <w:spacing w:before="240" w:after="240" w:line="360" w:lineRule="auto"/>
        <w:ind w:left="851"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Artículo 3.25. La o el titular del Órgano Interno de Control Municipal tendrá las siguientes atribuciones:</w:t>
      </w:r>
    </w:p>
    <w:p w14:paraId="2FFB3B98"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XI. Operar el Sistema de Atención Mexiquense que administra la Secretaría de la Contraloría del Gobierno del Estado de México; así como, recibir denuncias por hechos presuntamente constitutivos de faltas administrativas de las o los servidores públicos municipales o de particulares por conductas sancionables en términos de la Ley de Responsabilidades Administrativas del Estado de México y Municipios, y en su caso turnar a la autoridad investigadora competente. </w:t>
      </w:r>
    </w:p>
    <w:p w14:paraId="5429F0D0"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XVIII. Iniciar los procesos de investigación, substanciación, resolución y en su caso ejecución,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w:t>
      </w:r>
    </w:p>
    <w:p w14:paraId="68084E0D"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XIX. Iniciar la investigación, substanciación y remitir al Tribunal de Justicia Administrativa, los autos originales del expediente para la continuación del procedimiento y su resolución por dicho órgano; cuando se trate de faltas administrativas graves o faltas de particulares, en términos de la Ley de Responsabilidades Administrativas del Estado de México y Municipios;</w:t>
      </w:r>
    </w:p>
    <w:p w14:paraId="21A7378B"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Artículo 3.54. La o el titular de la Defensoría Municipal de Derechos Humanos tendrá las siguientes atribuciones</w:t>
      </w:r>
      <w:r w:rsidRPr="00E813DF">
        <w:rPr>
          <w:rFonts w:ascii="Palatino Linotype" w:eastAsia="Palatino Linotype" w:hAnsi="Palatino Linotype" w:cs="Palatino Linotype"/>
          <w:i/>
          <w:iCs/>
          <w:sz w:val="22"/>
          <w:szCs w:val="22"/>
        </w:rPr>
        <w:t>:</w:t>
      </w:r>
    </w:p>
    <w:p w14:paraId="270A9BC6" w14:textId="77777777" w:rsidR="00304047" w:rsidRPr="00E813DF" w:rsidRDefault="00304047">
      <w:pPr>
        <w:spacing w:before="240" w:after="240" w:line="360" w:lineRule="auto"/>
        <w:ind w:left="851" w:right="616"/>
        <w:jc w:val="both"/>
        <w:rPr>
          <w:rFonts w:ascii="Palatino Linotype" w:eastAsia="Palatino Linotype" w:hAnsi="Palatino Linotype" w:cs="Palatino Linotype"/>
          <w:i/>
          <w:iCs/>
          <w:sz w:val="22"/>
          <w:szCs w:val="22"/>
        </w:rPr>
      </w:pPr>
    </w:p>
    <w:p w14:paraId="5D06D152"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 Recibir las quejas de los vecinos y visitantes del municipio de Toluca y remitirlas a la Comisión de Derechos Humanos del Estado de México, por conducto de sus visitadurías, en términos de la normatividad aplicable;</w:t>
      </w:r>
    </w:p>
    <w:p w14:paraId="6999212F"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 Informar a la Comisión de Derechos Humanos del Estado, acerca de presumibles violaciones a los derechos humanos por actos u omisiones de naturaleza administrativa de cualquier autoridad o servidor público del municipio de Toluca;</w:t>
      </w:r>
    </w:p>
    <w:p w14:paraId="329B0595"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IV. Verificar que las medidas precautorias o cautelares solicitadas por la Comisión de Derechos Humanos del Estado de México sean cumplidas en sus términos, una vez aceptadas por la autoridad municipal;</w:t>
      </w:r>
    </w:p>
    <w:p w14:paraId="0031E220"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VII. Coadyuvar con la Comisión de Derechos Humanos del Estado de México en el seguimiento a las solicitudes de informes y acciones que emanen de las quejas y de las recomendaciones que el organismo dicte en contra de autoridades o servidores públicos del municipio de Toluca;</w:t>
      </w:r>
    </w:p>
    <w:p w14:paraId="14BC938F" w14:textId="77777777" w:rsidR="00304047" w:rsidRPr="00E813DF" w:rsidRDefault="00CA623F">
      <w:pPr>
        <w:spacing w:before="240" w:after="240" w:line="360" w:lineRule="auto"/>
        <w:ind w:right="-9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Entonces, en el presente caso se debió seguir el procedimiento de búsqueda exhaustiva y razonable de la información, el cual se encuentra previsto en los artículos 160 y 162 de la Ley de Transparencia y Acceso a la Información Pública del Estado de México y Municipios, mismo que es el siguiente:</w:t>
      </w:r>
    </w:p>
    <w:p w14:paraId="217595B1" w14:textId="77777777" w:rsidR="00304047" w:rsidRPr="00E813DF" w:rsidRDefault="00CA623F">
      <w:pPr>
        <w:numPr>
          <w:ilvl w:val="0"/>
          <w:numId w:val="7"/>
        </w:num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6FC66BF" w14:textId="77777777" w:rsidR="00304047" w:rsidRPr="00E813DF" w:rsidRDefault="00304047">
      <w:pPr>
        <w:spacing w:before="240" w:after="240" w:line="360" w:lineRule="auto"/>
        <w:ind w:left="720"/>
        <w:rPr>
          <w:rFonts w:ascii="Palatino Linotype" w:eastAsia="Palatino Linotype" w:hAnsi="Palatino Linotype" w:cs="Palatino Linotype"/>
          <w:sz w:val="22"/>
          <w:szCs w:val="22"/>
        </w:rPr>
      </w:pPr>
    </w:p>
    <w:p w14:paraId="0BFE8954" w14:textId="77777777" w:rsidR="00304047" w:rsidRPr="00E813DF" w:rsidRDefault="00CA623F">
      <w:pPr>
        <w:numPr>
          <w:ilvl w:val="0"/>
          <w:numId w:val="7"/>
        </w:num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3EE70A1F" w14:textId="77777777" w:rsidR="00304047" w:rsidRPr="00E813DF" w:rsidRDefault="00CA623F">
      <w:pPr>
        <w:spacing w:before="240" w:after="240" w:line="360" w:lineRule="auto"/>
        <w:ind w:right="-9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Así pues, para el caso que nos ocupa, el Sujeto Obligado debió turnar la solicitud de información también a la citada solicitud a. Órgano Interno de Control Municipal y la Defensoría Municipal de Derechos Humanos.  </w:t>
      </w:r>
    </w:p>
    <w:p w14:paraId="407C205A" w14:textId="77777777" w:rsidR="00304047" w:rsidRPr="00E813DF" w:rsidRDefault="00CA623F">
      <w:pPr>
        <w:spacing w:before="240" w:after="240" w:line="360" w:lineRule="auto"/>
        <w:ind w:right="-9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Ahora bien, por lo que se refiere a la respuesta de la Dirección de recursos humanos en la cual sostiene que la solicitud formulada por el particular constituye un derecho de petición, conviene mencionar que NO le asiste la razón al Sujeto Obligado. </w:t>
      </w:r>
    </w:p>
    <w:p w14:paraId="74F1F568" w14:textId="77777777" w:rsidR="00304047" w:rsidRPr="00E813DF" w:rsidRDefault="00CA623F">
      <w:pPr>
        <w:spacing w:before="240" w:after="240" w:line="360" w:lineRule="auto"/>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sz w:val="22"/>
          <w:szCs w:val="22"/>
        </w:rPr>
        <w:t xml:space="preserve">A efecto de sustentar lo anterior, es preciso mencionar que David Cienfuegos Salgado, concibe al derecho de petición como </w:t>
      </w: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u w:val="single"/>
        </w:rPr>
        <w:t>el derecho de toda persona a ser escuchado por quienes ejercen el poder públic</w:t>
      </w:r>
      <w:r w:rsidRPr="00E813DF">
        <w:rPr>
          <w:rFonts w:ascii="Palatino Linotype" w:eastAsia="Palatino Linotype" w:hAnsi="Palatino Linotype" w:cs="Palatino Linotype"/>
          <w:i/>
          <w:iCs/>
          <w:sz w:val="22"/>
          <w:szCs w:val="22"/>
        </w:rPr>
        <w:t>o.</w:t>
      </w:r>
      <w:r w:rsidRPr="00E813DF">
        <w:rPr>
          <w:rFonts w:ascii="Palatino Linotype" w:eastAsia="Palatino Linotype" w:hAnsi="Palatino Linotype" w:cs="Palatino Linotype"/>
          <w:i/>
          <w:iCs/>
          <w:sz w:val="22"/>
          <w:szCs w:val="22"/>
          <w:vertAlign w:val="superscript"/>
        </w:rPr>
        <w:t xml:space="preserve"> </w:t>
      </w:r>
      <w:r w:rsidRPr="00E813DF">
        <w:rPr>
          <w:rFonts w:ascii="Palatino Linotype" w:eastAsia="Palatino Linotype" w:hAnsi="Palatino Linotype" w:cs="Palatino Linotype"/>
          <w:i/>
          <w:iCs/>
          <w:sz w:val="22"/>
          <w:szCs w:val="22"/>
          <w:vertAlign w:val="superscript"/>
        </w:rPr>
        <w:footnoteReference w:id="1"/>
      </w:r>
      <w:r w:rsidRPr="00E813DF">
        <w:rPr>
          <w:rFonts w:ascii="Palatino Linotype" w:eastAsia="Palatino Linotype" w:hAnsi="Palatino Linotype" w:cs="Palatino Linotype"/>
          <w:i/>
          <w:iCs/>
          <w:sz w:val="22"/>
          <w:szCs w:val="22"/>
        </w:rPr>
        <w:t xml:space="preserve">”  </w:t>
      </w:r>
    </w:p>
    <w:p w14:paraId="01609963"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la misma manera, Miguel Carbonell en su libro “Los derechos fundamentales” refiere que el </w:t>
      </w:r>
      <w:r w:rsidRPr="00E813DF">
        <w:rPr>
          <w:rFonts w:ascii="Palatino Linotype" w:eastAsia="Palatino Linotype" w:hAnsi="Palatino Linotype" w:cs="Palatino Linotype"/>
          <w:sz w:val="22"/>
          <w:szCs w:val="22"/>
          <w:u w:val="single"/>
        </w:rPr>
        <w:t>derecho de petición se ha entendido de dos distintitas maneras</w:t>
      </w:r>
      <w:r w:rsidRPr="00E813DF">
        <w:rPr>
          <w:rFonts w:ascii="Palatino Linotype" w:eastAsia="Palatino Linotype" w:hAnsi="Palatino Linotype" w:cs="Palatino Linotype"/>
          <w:sz w:val="22"/>
          <w:szCs w:val="22"/>
        </w:rPr>
        <w:t xml:space="preserve">, a saber: como un derecho fundamental de participación política ya que </w:t>
      </w:r>
      <w:r w:rsidRPr="00E813DF">
        <w:rPr>
          <w:rFonts w:ascii="Palatino Linotype" w:eastAsia="Palatino Linotype" w:hAnsi="Palatino Linotype" w:cs="Palatino Linotype"/>
          <w:sz w:val="22"/>
          <w:szCs w:val="22"/>
          <w:u w:val="single"/>
        </w:rPr>
        <w:t xml:space="preserve">permite a los </w:t>
      </w:r>
      <w:r w:rsidRPr="00E813DF">
        <w:rPr>
          <w:rFonts w:ascii="Palatino Linotype" w:eastAsia="Palatino Linotype" w:hAnsi="Palatino Linotype" w:cs="Palatino Linotype"/>
          <w:sz w:val="22"/>
          <w:szCs w:val="22"/>
        </w:rPr>
        <w:t xml:space="preserve">particulares trasladar a las autoridades sus </w:t>
      </w:r>
      <w:r w:rsidRPr="00E813DF">
        <w:rPr>
          <w:rFonts w:ascii="Palatino Linotype" w:eastAsia="Palatino Linotype" w:hAnsi="Palatino Linotype" w:cs="Palatino Linotype"/>
          <w:b/>
          <w:bCs/>
          <w:sz w:val="22"/>
          <w:szCs w:val="22"/>
        </w:rPr>
        <w:t>inquietudes, quejas</w:t>
      </w:r>
      <w:r w:rsidRPr="00E813DF">
        <w:rPr>
          <w:rFonts w:ascii="Palatino Linotype" w:eastAsia="Palatino Linotype" w:hAnsi="Palatino Linotype" w:cs="Palatino Linotype"/>
          <w:sz w:val="22"/>
          <w:szCs w:val="22"/>
        </w:rPr>
        <w:t xml:space="preserve">, sugerencias y requerimientos en cualquier materia o asunto; y como una </w:t>
      </w:r>
      <w:r w:rsidRPr="00E813DF">
        <w:rPr>
          <w:rFonts w:ascii="Palatino Linotype" w:eastAsia="Palatino Linotype" w:hAnsi="Palatino Linotype" w:cs="Palatino Linotype"/>
          <w:b/>
          <w:bCs/>
          <w:sz w:val="22"/>
          <w:szCs w:val="22"/>
        </w:rPr>
        <w:t>forma específica de la libertad de expresión</w:t>
      </w:r>
      <w:r w:rsidRPr="00E813DF">
        <w:rPr>
          <w:rFonts w:ascii="Palatino Linotype" w:eastAsia="Palatino Linotype" w:hAnsi="Palatino Linotype" w:cs="Palatino Linotype"/>
          <w:sz w:val="22"/>
          <w:szCs w:val="22"/>
        </w:rPr>
        <w:t xml:space="preserve">, en tanto que permite expresarse frente a las autoridades. </w:t>
      </w:r>
    </w:p>
    <w:p w14:paraId="71E90F27"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E813DF">
        <w:rPr>
          <w:rFonts w:ascii="Palatino Linotype" w:eastAsia="Palatino Linotype" w:hAnsi="Palatino Linotype" w:cs="Palatino Linotype"/>
          <w:sz w:val="22"/>
          <w:szCs w:val="22"/>
          <w:vertAlign w:val="superscript"/>
        </w:rPr>
        <w:footnoteReference w:id="2"/>
      </w:r>
    </w:p>
    <w:p w14:paraId="14F7411C" w14:textId="77777777" w:rsidR="00304047" w:rsidRPr="00E813DF" w:rsidRDefault="00CA623F">
      <w:pPr>
        <w:spacing w:before="240" w:after="240" w:line="360" w:lineRule="auto"/>
        <w:ind w:right="9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otro lado, el autor anteriormente citado, indica que el </w:t>
      </w:r>
      <w:r w:rsidRPr="00E813DF">
        <w:rPr>
          <w:rFonts w:ascii="Palatino Linotype" w:eastAsia="Palatino Linotype" w:hAnsi="Palatino Linotype" w:cs="Palatino Linotype"/>
          <w:b/>
          <w:bCs/>
          <w:sz w:val="22"/>
          <w:szCs w:val="22"/>
          <w:u w:val="single"/>
        </w:rPr>
        <w:t>derecho de acceso a la información pública</w:t>
      </w:r>
      <w:r w:rsidRPr="00E813DF">
        <w:rPr>
          <w:rFonts w:ascii="Palatino Linotype" w:eastAsia="Palatino Linotype" w:hAnsi="Palatino Linotype" w:cs="Palatino Linotype"/>
          <w:sz w:val="22"/>
          <w:szCs w:val="22"/>
        </w:rPr>
        <w:t xml:space="preserve"> es el derecho de conocer la </w:t>
      </w:r>
      <w:r w:rsidRPr="00E813DF">
        <w:rPr>
          <w:rFonts w:ascii="Palatino Linotype" w:eastAsia="Palatino Linotype" w:hAnsi="Palatino Linotype" w:cs="Palatino Linotype"/>
          <w:sz w:val="22"/>
          <w:szCs w:val="22"/>
          <w:u w:val="single"/>
        </w:rPr>
        <w:t>información de carácter público que se genera o está en posesión de los órganos del poder público</w:t>
      </w:r>
      <w:r w:rsidRPr="00E813DF">
        <w:rPr>
          <w:rFonts w:ascii="Palatino Linotype" w:eastAsia="Palatino Linotype" w:hAnsi="Palatino Linotype" w:cs="Palatino Linotype"/>
          <w:sz w:val="22"/>
          <w:szCs w:val="22"/>
        </w:rPr>
        <w:t xml:space="preserve"> o de los sujetos que utilizan o se benefician con recursos provenientes del Estado, es el derecho que tienen los ciudadanos para acceder a documentos y datos que obren en el poder del gobierno.</w:t>
      </w:r>
    </w:p>
    <w:p w14:paraId="6C898A70" w14:textId="77777777" w:rsidR="00304047" w:rsidRPr="00E813DF" w:rsidRDefault="00CA623F">
      <w:pPr>
        <w:spacing w:before="240" w:after="240" w:line="360" w:lineRule="auto"/>
        <w:ind w:right="9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E813DF">
        <w:rPr>
          <w:rFonts w:ascii="Palatino Linotype" w:eastAsia="Palatino Linotype" w:hAnsi="Palatino Linotype" w:cs="Palatino Linotype"/>
          <w:sz w:val="22"/>
          <w:szCs w:val="22"/>
          <w:vertAlign w:val="superscript"/>
        </w:rPr>
        <w:footnoteReference w:id="3"/>
      </w:r>
    </w:p>
    <w:p w14:paraId="7390DE86" w14:textId="77777777" w:rsidR="00304047" w:rsidRPr="00E813DF" w:rsidRDefault="00CA623F">
      <w:pPr>
        <w:spacing w:before="240" w:after="240" w:line="360" w:lineRule="auto"/>
        <w:ind w:right="9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lo anterior se puede concluir que la distinción entre el </w:t>
      </w:r>
      <w:r w:rsidRPr="00E813DF">
        <w:rPr>
          <w:rFonts w:ascii="Palatino Linotype" w:eastAsia="Palatino Linotype" w:hAnsi="Palatino Linotype" w:cs="Palatino Linotype"/>
          <w:b/>
          <w:bCs/>
          <w:sz w:val="22"/>
          <w:szCs w:val="22"/>
        </w:rPr>
        <w:t>derecho de petición</w:t>
      </w:r>
      <w:r w:rsidRPr="00E813DF">
        <w:rPr>
          <w:rFonts w:ascii="Palatino Linotype" w:eastAsia="Palatino Linotype" w:hAnsi="Palatino Linotype" w:cs="Palatino Linotype"/>
          <w:sz w:val="22"/>
          <w:szCs w:val="22"/>
        </w:rPr>
        <w:t xml:space="preserve"> y el derecho de acceso a la información descansa, principalmente, en que </w:t>
      </w:r>
      <w:r w:rsidRPr="00E813DF">
        <w:rPr>
          <w:rFonts w:ascii="Palatino Linotype" w:eastAsia="Palatino Linotype" w:hAnsi="Palatino Linotype" w:cs="Palatino Linotype"/>
          <w:sz w:val="22"/>
          <w:szCs w:val="22"/>
          <w:u w:val="single"/>
        </w:rPr>
        <w:t>la pretensión del peticionario consiste generalmente en obligar a la autoridad responsable a que actúe en el sentido de contestar lo solicitado</w:t>
      </w:r>
      <w:r w:rsidRPr="00E813DF">
        <w:rPr>
          <w:rFonts w:ascii="Palatino Linotype" w:eastAsia="Palatino Linotype" w:hAnsi="Palatino Linotype" w:cs="Palatino Linotype"/>
          <w:sz w:val="22"/>
          <w:szCs w:val="22"/>
        </w:rPr>
        <w:t>,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17B5B3FE"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las consideraciones expuestas, este advierte que a través de la solicitud formulada por el particular, éste pretende tener acceso a datos y todo tipo de documentación que, como se analizará en los siguientes párrafos, es generada y administrada por el Sujeto Obligado, por lo cual dicha solicitud, contrario a lo manifestado en respuesta por el Sujeto Obligado SÍ  es atendible vía acceso a la información pública.</w:t>
      </w:r>
    </w:p>
    <w:p w14:paraId="30C6CDBF"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Previo al análisis de la naturaleza de la información es necesario precisar que Código Reglamentario del Ayuntamiento de Toluca vigente, establece que, para el despacho, estudio y planeación de los diversos asuntos de la administración municipal,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contará con las siguientes Unidades Administrativas, tal y como se muestra a continuación: </w:t>
      </w:r>
    </w:p>
    <w:p w14:paraId="55CFF43F"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 xml:space="preserve">Artículo 3.2. Para la consulta, estudio, planeación y despacho de los asuntos en los diversos ramos de la administración pública municipal, la Presidenta o el Presidente Municipal se regirá por la Constitución Federal, la Constitución Estatal, la Ley Orgánica Municipal, el Bando Municipal, el presente Título y demás disposiciones que resulten aplicables y se auxiliará de las siguientes: </w:t>
      </w:r>
    </w:p>
    <w:p w14:paraId="25DA0941"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 DEPENDENCIAS:</w:t>
      </w:r>
    </w:p>
    <w:p w14:paraId="38A1B976"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1. Secretaría del Ayuntamiento;</w:t>
      </w:r>
    </w:p>
    <w:p w14:paraId="2F54BC36"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2. Tesorería Municipal;</w:t>
      </w:r>
    </w:p>
    <w:p w14:paraId="60C51D03"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3. Órgano Interno de Control Municipal;</w:t>
      </w:r>
    </w:p>
    <w:p w14:paraId="04F6DB2E"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4. Dirección General de Gobierno;</w:t>
      </w:r>
    </w:p>
    <w:p w14:paraId="0D431415"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5. Dirección General de Seguridad y Protección;</w:t>
      </w:r>
    </w:p>
    <w:p w14:paraId="61662F16"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6. Dirección General de Administración;</w:t>
      </w:r>
    </w:p>
    <w:p w14:paraId="28294772"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7. Dirección General de Medio Ambiente;</w:t>
      </w:r>
    </w:p>
    <w:p w14:paraId="52A69BD5"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8. Dirección General de Servicios Públicos;</w:t>
      </w:r>
    </w:p>
    <w:p w14:paraId="5CB515CA"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9. Dirección General de Innovación, Planeación y Gestión Urbana;</w:t>
      </w:r>
    </w:p>
    <w:p w14:paraId="2A11D74D"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10. Dirección General de Obras Públicas;</w:t>
      </w:r>
    </w:p>
    <w:p w14:paraId="097D748D"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11. Dirección General de Desarrollo Económico;</w:t>
      </w:r>
    </w:p>
    <w:p w14:paraId="2CECF4F4"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12. Dirección General de Bienestar; y</w:t>
      </w:r>
    </w:p>
    <w:p w14:paraId="197E032B"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13.Dirección General de Educación, Cultura y Turismo.</w:t>
      </w:r>
    </w:p>
    <w:p w14:paraId="124C49E3"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 III. ÓRGANO AUTÓNOMO: </w:t>
      </w:r>
    </w:p>
    <w:p w14:paraId="13BB44F6"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1. Defensoría Municipal de los Derechos Humanos de Toluca.</w:t>
      </w:r>
    </w:p>
    <w:p w14:paraId="12514D63"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Precisado lo anterior se procede al análisis de la naturaleza de la información al tenor de lo siguiente:</w:t>
      </w:r>
    </w:p>
    <w:p w14:paraId="54129566" w14:textId="77777777" w:rsidR="00304047" w:rsidRPr="00E813DF" w:rsidRDefault="00CA623F">
      <w:pPr>
        <w:spacing w:before="240" w:after="240" w:line="360" w:lineRule="auto"/>
        <w:jc w:val="both"/>
        <w:rPr>
          <w:rFonts w:ascii="Palatino Linotype" w:eastAsia="Palatino Linotype" w:hAnsi="Palatino Linotype" w:cs="Palatino Linotype"/>
          <w:b/>
          <w:bCs/>
          <w:sz w:val="22"/>
          <w:szCs w:val="22"/>
          <w:u w:val="single"/>
        </w:rPr>
      </w:pPr>
      <w:bookmarkStart w:id="10" w:name="_heading=h.99872rr79gtc" w:colFirst="0" w:colLast="0"/>
      <w:bookmarkEnd w:id="10"/>
      <w:r w:rsidRPr="00E813DF">
        <w:rPr>
          <w:rFonts w:ascii="Palatino Linotype" w:eastAsia="Palatino Linotype" w:hAnsi="Palatino Linotype" w:cs="Palatino Linotype"/>
          <w:b/>
          <w:bCs/>
          <w:sz w:val="22"/>
          <w:szCs w:val="22"/>
        </w:rPr>
        <w:t>Expediente laboral.  (</w:t>
      </w:r>
      <w:r w:rsidRPr="00E813DF">
        <w:rPr>
          <w:rFonts w:ascii="Palatino Linotype" w:eastAsia="Palatino Linotype" w:hAnsi="Palatino Linotype" w:cs="Palatino Linotype"/>
          <w:b/>
          <w:bCs/>
          <w:sz w:val="22"/>
          <w:szCs w:val="22"/>
          <w:u w:val="single"/>
        </w:rPr>
        <w:t>que contenga entre otros documentos Curriculum Vitae, Informe o Certificado de no antecedentes penales, Certificado de no deudor alimentario moroso, Nombramiento, contrato o formato único de movimientos de personal)</w:t>
      </w:r>
    </w:p>
    <w:p w14:paraId="67FA3A00" w14:textId="77777777" w:rsidR="00304047" w:rsidRPr="00E813DF" w:rsidRDefault="00CA623F">
      <w:pPr>
        <w:tabs>
          <w:tab w:val="left" w:pos="709"/>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cuanto a la materia de los documentos que integran los expedientes laborales de servidores públicos, se procede a señalar los requisitos generales contenidos en los articulados 47, 48 y 49, de la Ley del Trabado de los Servidores Públicos del Estado de México y Municipios, así como el documento idóneo con el que se pudiera acreditar, son los siguientes:</w:t>
      </w:r>
    </w:p>
    <w:p w14:paraId="05900AF0" w14:textId="77777777" w:rsidR="00304047" w:rsidRPr="00E813DF" w:rsidRDefault="00304047">
      <w:pPr>
        <w:spacing w:before="240" w:after="240" w:line="360" w:lineRule="auto"/>
        <w:rPr>
          <w:rFonts w:ascii="Palatino Linotype" w:eastAsia="Palatino Linotype" w:hAnsi="Palatino Linotype" w:cs="Palatino Linotype"/>
          <w:sz w:val="22"/>
          <w:szCs w:val="22"/>
        </w:rPr>
      </w:pPr>
    </w:p>
    <w:tbl>
      <w:tblPr>
        <w:tblStyle w:val="afc"/>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725990" w:rsidRPr="00E813DF" w14:paraId="5FD4935C" w14:textId="77777777">
        <w:trPr>
          <w:tblHeader/>
        </w:trPr>
        <w:tc>
          <w:tcPr>
            <w:tcW w:w="3767" w:type="dxa"/>
            <w:shd w:val="clear" w:color="auto" w:fill="DDD9C4"/>
            <w:vAlign w:val="center"/>
          </w:tcPr>
          <w:p w14:paraId="0200531C"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Requisito establecido en la Ley del Trabajo de los Servidores Públicos del Estado y Municipios</w:t>
            </w:r>
          </w:p>
        </w:tc>
        <w:tc>
          <w:tcPr>
            <w:tcW w:w="2607" w:type="dxa"/>
            <w:shd w:val="clear" w:color="auto" w:fill="DDD9C4"/>
            <w:vAlign w:val="center"/>
          </w:tcPr>
          <w:p w14:paraId="61811C4E"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Documento que lo acredita</w:t>
            </w:r>
          </w:p>
        </w:tc>
        <w:tc>
          <w:tcPr>
            <w:tcW w:w="2410" w:type="dxa"/>
            <w:shd w:val="clear" w:color="auto" w:fill="DDD9C4"/>
            <w:vAlign w:val="center"/>
          </w:tcPr>
          <w:p w14:paraId="3127D2F3"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Clasificación de la Información</w:t>
            </w:r>
          </w:p>
        </w:tc>
      </w:tr>
      <w:tr w:rsidR="00725990" w:rsidRPr="00E813DF" w14:paraId="54C82AE4" w14:textId="77777777">
        <w:tc>
          <w:tcPr>
            <w:tcW w:w="3767" w:type="dxa"/>
            <w:vAlign w:val="center"/>
          </w:tcPr>
          <w:p w14:paraId="79261D84"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Presentar una solicitud utilizando la forma oficial que se autorice por la institución pública o dependencia correspondiente.</w:t>
            </w:r>
          </w:p>
        </w:tc>
        <w:tc>
          <w:tcPr>
            <w:tcW w:w="2607" w:type="dxa"/>
            <w:vAlign w:val="center"/>
          </w:tcPr>
          <w:p w14:paraId="46473CC6"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Solicitud de empleo, ficha curricular, curriculum vitae o documento análogo</w:t>
            </w:r>
          </w:p>
        </w:tc>
        <w:tc>
          <w:tcPr>
            <w:tcW w:w="2410" w:type="dxa"/>
            <w:vAlign w:val="center"/>
          </w:tcPr>
          <w:p w14:paraId="35F36075"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versión pública.</w:t>
            </w:r>
          </w:p>
        </w:tc>
      </w:tr>
      <w:tr w:rsidR="00725990" w:rsidRPr="00E813DF" w14:paraId="06DC8E0D" w14:textId="77777777">
        <w:trPr>
          <w:trHeight w:val="517"/>
        </w:trPr>
        <w:tc>
          <w:tcPr>
            <w:tcW w:w="3767" w:type="dxa"/>
            <w:vAlign w:val="center"/>
          </w:tcPr>
          <w:p w14:paraId="1E22441F"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Ser de nacionalidad mexicana.</w:t>
            </w:r>
          </w:p>
        </w:tc>
        <w:tc>
          <w:tcPr>
            <w:tcW w:w="2607" w:type="dxa"/>
            <w:vAlign w:val="center"/>
          </w:tcPr>
          <w:p w14:paraId="239C2431"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Acta de nacimiento</w:t>
            </w:r>
          </w:p>
        </w:tc>
        <w:tc>
          <w:tcPr>
            <w:tcW w:w="2410" w:type="dxa"/>
            <w:vAlign w:val="center"/>
          </w:tcPr>
          <w:p w14:paraId="382537DB"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Confidencial</w:t>
            </w:r>
          </w:p>
        </w:tc>
      </w:tr>
      <w:tr w:rsidR="00725990" w:rsidRPr="00E813DF" w14:paraId="26F9C70D" w14:textId="77777777">
        <w:tc>
          <w:tcPr>
            <w:tcW w:w="3767" w:type="dxa"/>
            <w:vAlign w:val="center"/>
          </w:tcPr>
          <w:p w14:paraId="564232C2"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Estar en pleno ejercicio de sus derechos civiles y políticos.</w:t>
            </w:r>
          </w:p>
        </w:tc>
        <w:tc>
          <w:tcPr>
            <w:tcW w:w="2607" w:type="dxa"/>
            <w:vAlign w:val="center"/>
          </w:tcPr>
          <w:p w14:paraId="44A2127F"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Credencial de elector e Informe y certificado de no antecedentes penales.</w:t>
            </w:r>
          </w:p>
        </w:tc>
        <w:tc>
          <w:tcPr>
            <w:tcW w:w="2410" w:type="dxa"/>
            <w:vAlign w:val="center"/>
          </w:tcPr>
          <w:p w14:paraId="18AC59B2"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versión pública.</w:t>
            </w:r>
          </w:p>
        </w:tc>
      </w:tr>
      <w:tr w:rsidR="00725990" w:rsidRPr="00E813DF" w14:paraId="30BBBE48" w14:textId="77777777">
        <w:tc>
          <w:tcPr>
            <w:tcW w:w="3767" w:type="dxa"/>
            <w:vAlign w:val="center"/>
          </w:tcPr>
          <w:p w14:paraId="5755F8D7"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Acreditar, cuando proceda, el cumplimiento de la Ley del Servicio Militar Nacional.</w:t>
            </w:r>
          </w:p>
        </w:tc>
        <w:tc>
          <w:tcPr>
            <w:tcW w:w="2607" w:type="dxa"/>
            <w:vAlign w:val="center"/>
          </w:tcPr>
          <w:p w14:paraId="18383603"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Cartilla del Servicio Militar</w:t>
            </w:r>
          </w:p>
        </w:tc>
        <w:tc>
          <w:tcPr>
            <w:tcW w:w="2410" w:type="dxa"/>
            <w:vAlign w:val="center"/>
          </w:tcPr>
          <w:p w14:paraId="3F7CC5C4"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N/A</w:t>
            </w:r>
          </w:p>
        </w:tc>
      </w:tr>
      <w:tr w:rsidR="00725990" w:rsidRPr="00E813DF" w14:paraId="362A99BF" w14:textId="77777777">
        <w:tc>
          <w:tcPr>
            <w:tcW w:w="3767" w:type="dxa"/>
            <w:vAlign w:val="center"/>
          </w:tcPr>
          <w:p w14:paraId="2D7F8DF9"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No haber sido separado anteriormente del servicio por las causas previstas en el artículo 93 de la presente ley.</w:t>
            </w:r>
          </w:p>
        </w:tc>
        <w:tc>
          <w:tcPr>
            <w:tcW w:w="2607" w:type="dxa"/>
            <w:vAlign w:val="center"/>
          </w:tcPr>
          <w:p w14:paraId="11765DAE"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Constancia de no inhabilitación.</w:t>
            </w:r>
          </w:p>
        </w:tc>
        <w:tc>
          <w:tcPr>
            <w:tcW w:w="2410" w:type="dxa"/>
            <w:vAlign w:val="center"/>
          </w:tcPr>
          <w:p w14:paraId="04F495FC"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versión pública</w:t>
            </w:r>
          </w:p>
        </w:tc>
      </w:tr>
      <w:tr w:rsidR="00725990" w:rsidRPr="00E813DF" w14:paraId="28782F16" w14:textId="77777777">
        <w:tc>
          <w:tcPr>
            <w:tcW w:w="3767" w:type="dxa"/>
            <w:vAlign w:val="center"/>
          </w:tcPr>
          <w:p w14:paraId="1B590CE1"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Tener buena salud, lo que se comprobará con los certificados médicos.</w:t>
            </w:r>
          </w:p>
        </w:tc>
        <w:tc>
          <w:tcPr>
            <w:tcW w:w="2607" w:type="dxa"/>
            <w:vAlign w:val="center"/>
          </w:tcPr>
          <w:p w14:paraId="424FDB12"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Certificado Médico</w:t>
            </w:r>
          </w:p>
        </w:tc>
        <w:tc>
          <w:tcPr>
            <w:tcW w:w="2410" w:type="dxa"/>
            <w:vAlign w:val="center"/>
          </w:tcPr>
          <w:p w14:paraId="0C941862"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Confidencial</w:t>
            </w:r>
          </w:p>
        </w:tc>
      </w:tr>
      <w:tr w:rsidR="00725990" w:rsidRPr="00E813DF" w14:paraId="06AF7E8B" w14:textId="77777777">
        <w:tc>
          <w:tcPr>
            <w:tcW w:w="3767" w:type="dxa"/>
            <w:vAlign w:val="center"/>
          </w:tcPr>
          <w:p w14:paraId="25B31D69"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Cumplir con los requisitos que se establezcan para los diferentes puestos.</w:t>
            </w:r>
          </w:p>
        </w:tc>
        <w:tc>
          <w:tcPr>
            <w:tcW w:w="2607" w:type="dxa"/>
            <w:vAlign w:val="center"/>
          </w:tcPr>
          <w:p w14:paraId="637C0462"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Conforme a lo que señale la normatividad especifica. </w:t>
            </w:r>
          </w:p>
        </w:tc>
        <w:tc>
          <w:tcPr>
            <w:tcW w:w="2410" w:type="dxa"/>
            <w:vAlign w:val="center"/>
          </w:tcPr>
          <w:p w14:paraId="27C10922"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versión pública</w:t>
            </w:r>
          </w:p>
          <w:p w14:paraId="3388158D" w14:textId="77777777" w:rsidR="00304047" w:rsidRPr="00E813DF" w:rsidRDefault="00304047">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p>
        </w:tc>
      </w:tr>
      <w:tr w:rsidR="00725990" w:rsidRPr="00E813DF" w14:paraId="13F1B061" w14:textId="77777777">
        <w:tc>
          <w:tcPr>
            <w:tcW w:w="3767" w:type="dxa"/>
            <w:vAlign w:val="center"/>
          </w:tcPr>
          <w:p w14:paraId="15965671"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Acreditar por medio de los exámenes correspondientes los conocimientos y aptitudes necesarios para el desempeño del puesto.</w:t>
            </w:r>
          </w:p>
        </w:tc>
        <w:tc>
          <w:tcPr>
            <w:tcW w:w="2607" w:type="dxa"/>
            <w:vAlign w:val="center"/>
          </w:tcPr>
          <w:p w14:paraId="437EEC84"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No se localizó que los servidores públicos adscritos al Sujeto Obligado se encuentren constreñidos a presentar examen de conocimientos y aptitudes para ostentar algún cargo; no obstante, no se descarta la posibilidad de que si cuente con ellos, por lo que, de ser así se deberá entregar el documento que demuestre el resultado global, como aprobado/no aprobado.</w:t>
            </w:r>
          </w:p>
        </w:tc>
        <w:tc>
          <w:tcPr>
            <w:tcW w:w="2410" w:type="dxa"/>
            <w:vAlign w:val="center"/>
          </w:tcPr>
          <w:p w14:paraId="77445805"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versión pública el resultado global.</w:t>
            </w:r>
          </w:p>
        </w:tc>
      </w:tr>
      <w:tr w:rsidR="00725990" w:rsidRPr="00E813DF" w14:paraId="040C0E59" w14:textId="77777777">
        <w:tc>
          <w:tcPr>
            <w:tcW w:w="3767" w:type="dxa"/>
            <w:vAlign w:val="center"/>
          </w:tcPr>
          <w:p w14:paraId="3A0836C1"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No estar inhabilitado para el ejercicio del servicio público.</w:t>
            </w:r>
          </w:p>
        </w:tc>
        <w:tc>
          <w:tcPr>
            <w:tcW w:w="2607" w:type="dxa"/>
            <w:vAlign w:val="center"/>
          </w:tcPr>
          <w:p w14:paraId="682968D2"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Constancia de no inhabilitación.</w:t>
            </w:r>
          </w:p>
        </w:tc>
        <w:tc>
          <w:tcPr>
            <w:tcW w:w="2410" w:type="dxa"/>
            <w:vAlign w:val="center"/>
          </w:tcPr>
          <w:p w14:paraId="17A730E9"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versión Pública.</w:t>
            </w:r>
          </w:p>
        </w:tc>
      </w:tr>
      <w:tr w:rsidR="00725990" w:rsidRPr="00E813DF" w14:paraId="171CD51E" w14:textId="77777777">
        <w:tc>
          <w:tcPr>
            <w:tcW w:w="3767" w:type="dxa"/>
            <w:vAlign w:val="center"/>
          </w:tcPr>
          <w:p w14:paraId="5D8F2C8B"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Presentar certificado expedido por la Unidad del Registro de Deudores Alimentarios Morosos en el que conste, si se encuentra inscrito o no en el mismo.</w:t>
            </w:r>
          </w:p>
        </w:tc>
        <w:tc>
          <w:tcPr>
            <w:tcW w:w="2607" w:type="dxa"/>
            <w:vAlign w:val="center"/>
          </w:tcPr>
          <w:p w14:paraId="58ACC3E2"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Certificado de No Deudor Alimentario Moroso.</w:t>
            </w:r>
          </w:p>
        </w:tc>
        <w:tc>
          <w:tcPr>
            <w:tcW w:w="2410" w:type="dxa"/>
            <w:vAlign w:val="center"/>
          </w:tcPr>
          <w:p w14:paraId="76E3AAD0"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versión Pública.</w:t>
            </w:r>
          </w:p>
        </w:tc>
      </w:tr>
      <w:tr w:rsidR="00725990" w:rsidRPr="00E813DF" w14:paraId="1F001FB9" w14:textId="77777777">
        <w:tc>
          <w:tcPr>
            <w:tcW w:w="3767" w:type="dxa"/>
            <w:shd w:val="clear" w:color="auto" w:fill="auto"/>
            <w:vAlign w:val="center"/>
          </w:tcPr>
          <w:p w14:paraId="48289493"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Para iniciar la prestación de los servicios</w:t>
            </w:r>
          </w:p>
        </w:tc>
        <w:tc>
          <w:tcPr>
            <w:tcW w:w="2607" w:type="dxa"/>
            <w:shd w:val="clear" w:color="auto" w:fill="auto"/>
            <w:vAlign w:val="center"/>
          </w:tcPr>
          <w:p w14:paraId="57D8997A" w14:textId="77777777" w:rsidR="00304047" w:rsidRPr="00E813DF" w:rsidRDefault="00CA623F">
            <w:pPr>
              <w:tabs>
                <w:tab w:val="left" w:pos="284"/>
                <w:tab w:val="left" w:pos="426"/>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Nombramiento, contrato o formato único de Movimientos de Personal.</w:t>
            </w:r>
          </w:p>
        </w:tc>
        <w:tc>
          <w:tcPr>
            <w:tcW w:w="2410" w:type="dxa"/>
            <w:vAlign w:val="center"/>
          </w:tcPr>
          <w:p w14:paraId="2B84C180" w14:textId="77777777" w:rsidR="00304047" w:rsidRPr="00E813DF" w:rsidRDefault="00CA623F">
            <w:pPr>
              <w:tabs>
                <w:tab w:val="left" w:pos="284"/>
                <w:tab w:val="left" w:pos="426"/>
              </w:tabs>
              <w:spacing w:before="240" w:after="240" w:line="360" w:lineRule="auto"/>
              <w:ind w:right="49"/>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versión Pública.</w:t>
            </w:r>
          </w:p>
        </w:tc>
      </w:tr>
    </w:tbl>
    <w:p w14:paraId="62CDB5FA" w14:textId="77777777" w:rsidR="00304047" w:rsidRPr="00E813DF" w:rsidRDefault="00CA623F">
      <w:pPr>
        <w:tabs>
          <w:tab w:val="left" w:pos="8222"/>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14:paraId="08CB1363" w14:textId="77777777" w:rsidR="00304047" w:rsidRPr="00E813DF" w:rsidRDefault="00CA623F">
      <w:pPr>
        <w:tabs>
          <w:tab w:val="left" w:pos="8222"/>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atención a lo anterior, se procede al análisis pormenorizado de las documentales que conforman los expedientes laborales del personal, para efecto de determinar la procedencia de su entrega:</w:t>
      </w:r>
    </w:p>
    <w:p w14:paraId="71B36F17" w14:textId="77777777" w:rsidR="00304047" w:rsidRPr="00E813DF" w:rsidRDefault="00CA623F">
      <w:pPr>
        <w:numPr>
          <w:ilvl w:val="0"/>
          <w:numId w:val="9"/>
        </w:numPr>
        <w:pBdr>
          <w:top w:val="nil"/>
          <w:left w:val="nil"/>
          <w:bottom w:val="nil"/>
          <w:right w:val="nil"/>
          <w:between w:val="nil"/>
        </w:pBdr>
        <w:tabs>
          <w:tab w:val="left" w:pos="8222"/>
        </w:tabs>
        <w:spacing w:before="240" w:after="240" w:line="360" w:lineRule="auto"/>
        <w:ind w:right="49"/>
        <w:jc w:val="both"/>
        <w:rPr>
          <w:rFonts w:ascii="Palatino Linotype" w:eastAsia="Palatino Linotype" w:hAnsi="Palatino Linotype" w:cs="Palatino Linotype"/>
          <w:b/>
          <w:bCs/>
          <w:sz w:val="22"/>
          <w:szCs w:val="22"/>
          <w:u w:val="single"/>
        </w:rPr>
      </w:pPr>
      <w:r w:rsidRPr="00E813DF">
        <w:rPr>
          <w:rFonts w:ascii="Palatino Linotype" w:eastAsia="Palatino Linotype" w:hAnsi="Palatino Linotype" w:cs="Palatino Linotype"/>
          <w:b/>
          <w:bCs/>
          <w:sz w:val="22"/>
          <w:szCs w:val="22"/>
          <w:u w:val="single"/>
        </w:rPr>
        <w:t>Solicitud de empleo.</w:t>
      </w:r>
    </w:p>
    <w:p w14:paraId="0BB9B30E" w14:textId="77777777" w:rsidR="00304047" w:rsidRPr="00E813DF" w:rsidRDefault="00CA623F">
      <w:pPr>
        <w:tabs>
          <w:tab w:val="left" w:pos="8222"/>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6E16D090" w14:textId="77777777" w:rsidR="00304047" w:rsidRPr="00E813DF" w:rsidRDefault="00CA623F">
      <w:pPr>
        <w:tabs>
          <w:tab w:val="left" w:pos="8222"/>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otro lado, es necesario referir que de acuerdo con el artículo 47 de la Ley de Trabajo de los Servidores Públicos del Estado de México, establece que para ingresar al servicio público se requiere presentar una solicitud de empleo, es decir, la entrega de este documento resulta ser un requisito indispensable para poder prestar servicios dentro de la Administración Pública del Estado de México.</w:t>
      </w:r>
    </w:p>
    <w:p w14:paraId="7C4C1227" w14:textId="77777777" w:rsidR="00304047" w:rsidRPr="00E813DF" w:rsidRDefault="00CA623F">
      <w:pPr>
        <w:tabs>
          <w:tab w:val="left" w:pos="8222"/>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0D616D77" w14:textId="77777777" w:rsidR="00304047" w:rsidRPr="00E813DF" w:rsidRDefault="00CA623F">
      <w:pPr>
        <w:tabs>
          <w:tab w:val="left" w:pos="8222"/>
        </w:tabs>
        <w:spacing w:before="240" w:after="240" w:line="360" w:lineRule="auto"/>
        <w:ind w:right="49"/>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sz w:val="22"/>
          <w:szCs w:val="22"/>
        </w:rPr>
        <w:t xml:space="preserve">De esta manera, se trata de un documento de interés público, que contiene datos que actualizan la causal de clasificación parcial de información confidencial establecida en el artículo 143, fracción I, de la Ley de Transparencia y Acceso a la Información Pública del Estado de México y Municipios, </w:t>
      </w:r>
      <w:r w:rsidRPr="00E813DF">
        <w:rPr>
          <w:rFonts w:ascii="Palatino Linotype" w:eastAsia="Palatino Linotype" w:hAnsi="Palatino Linotype" w:cs="Palatino Linotype"/>
          <w:b/>
          <w:bCs/>
          <w:sz w:val="22"/>
          <w:szCs w:val="22"/>
        </w:rPr>
        <w:t>por lo tanto, procede su entrega en versión pública.</w:t>
      </w:r>
    </w:p>
    <w:p w14:paraId="6DB1151E" w14:textId="77777777" w:rsidR="00304047" w:rsidRPr="00E813DF" w:rsidRDefault="00CA623F">
      <w:pPr>
        <w:numPr>
          <w:ilvl w:val="0"/>
          <w:numId w:val="9"/>
        </w:numPr>
        <w:pBdr>
          <w:top w:val="nil"/>
          <w:left w:val="nil"/>
          <w:bottom w:val="nil"/>
          <w:right w:val="nil"/>
          <w:between w:val="nil"/>
        </w:pBdr>
        <w:tabs>
          <w:tab w:val="left" w:pos="8222"/>
        </w:tabs>
        <w:spacing w:before="240" w:after="240" w:line="360" w:lineRule="auto"/>
        <w:ind w:right="49"/>
        <w:jc w:val="both"/>
        <w:rPr>
          <w:rFonts w:ascii="Palatino Linotype" w:eastAsia="Palatino Linotype" w:hAnsi="Palatino Linotype" w:cs="Palatino Linotype"/>
          <w:b/>
          <w:bCs/>
          <w:sz w:val="22"/>
          <w:szCs w:val="22"/>
          <w:u w:val="single"/>
        </w:rPr>
      </w:pPr>
      <w:r w:rsidRPr="00E813DF">
        <w:rPr>
          <w:rFonts w:ascii="Palatino Linotype" w:eastAsia="Palatino Linotype" w:hAnsi="Palatino Linotype" w:cs="Palatino Linotype"/>
          <w:b/>
          <w:bCs/>
          <w:sz w:val="22"/>
          <w:szCs w:val="22"/>
          <w:u w:val="single"/>
        </w:rPr>
        <w:t>Curriculum vitae.</w:t>
      </w:r>
    </w:p>
    <w:p w14:paraId="3D840427"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El </w:t>
      </w:r>
      <w:r w:rsidRPr="00E813DF">
        <w:rPr>
          <w:rFonts w:ascii="Palatino Linotype" w:eastAsia="Palatino Linotype" w:hAnsi="Palatino Linotype" w:cs="Palatino Linotype"/>
          <w:i/>
          <w:iCs/>
          <w:sz w:val="22"/>
          <w:szCs w:val="22"/>
        </w:rPr>
        <w:t>curriculum vitae</w:t>
      </w:r>
      <w:r w:rsidRPr="00E813DF">
        <w:rPr>
          <w:rFonts w:ascii="Palatino Linotype" w:eastAsia="Palatino Linotype" w:hAnsi="Palatino Linotype" w:cs="Palatino Linotype"/>
          <w:sz w:val="22"/>
          <w:szCs w:val="22"/>
        </w:rPr>
        <w:t>, es el documento que las personas elaboran con los datos de identificación y contacto</w:t>
      </w:r>
      <w:r w:rsidRPr="00E813DF">
        <w:rPr>
          <w:rFonts w:ascii="Palatino Linotype" w:eastAsia="Palatino Linotype" w:hAnsi="Palatino Linotype" w:cs="Palatino Linotype"/>
          <w:sz w:val="22"/>
          <w:szCs w:val="22"/>
          <w:u w:val="single"/>
        </w:rPr>
        <w:t xml:space="preserve">, </w:t>
      </w:r>
      <w:r w:rsidRPr="00E813DF">
        <w:rPr>
          <w:rFonts w:ascii="Palatino Linotype" w:eastAsia="Palatino Linotype" w:hAnsi="Palatino Linotype" w:cs="Palatino Linotype"/>
          <w:b/>
          <w:bCs/>
          <w:sz w:val="22"/>
          <w:szCs w:val="22"/>
          <w:u w:val="single"/>
        </w:rPr>
        <w:t>preparación académica y experiencia profesion</w:t>
      </w:r>
      <w:r w:rsidRPr="00E813DF">
        <w:rPr>
          <w:rFonts w:ascii="Palatino Linotype" w:eastAsia="Palatino Linotype" w:hAnsi="Palatino Linotype" w:cs="Palatino Linotype"/>
          <w:b/>
          <w:bCs/>
          <w:sz w:val="22"/>
          <w:szCs w:val="22"/>
        </w:rPr>
        <w:t>al,</w:t>
      </w:r>
      <w:r w:rsidRPr="00E813DF">
        <w:rPr>
          <w:rFonts w:ascii="Palatino Linotype" w:eastAsia="Palatino Linotype" w:hAnsi="Palatino Linotype" w:cs="Palatino Linotype"/>
          <w:sz w:val="22"/>
          <w:szCs w:val="22"/>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r w:rsidRPr="00E813DF">
        <w:rPr>
          <w:rFonts w:ascii="Palatino Linotype" w:eastAsia="Palatino Linotype" w:hAnsi="Palatino Linotype" w:cs="Palatino Linotype"/>
          <w:i/>
          <w:iCs/>
          <w:sz w:val="22"/>
          <w:szCs w:val="22"/>
        </w:rPr>
        <w:t>curriculum vitae</w:t>
      </w:r>
      <w:r w:rsidRPr="00E813DF">
        <w:rPr>
          <w:rFonts w:ascii="Palatino Linotype" w:eastAsia="Palatino Linotype" w:hAnsi="Palatino Linotype" w:cs="Palatino Linotype"/>
          <w:b/>
          <w:bCs/>
          <w:sz w:val="22"/>
          <w:szCs w:val="22"/>
          <w:u w:val="single"/>
        </w:rPr>
        <w:t>, se le suma la experiencia laboral</w:t>
      </w:r>
      <w:r w:rsidRPr="00E813DF">
        <w:rPr>
          <w:rFonts w:ascii="Palatino Linotype" w:eastAsia="Palatino Linotype" w:hAnsi="Palatino Linotype" w:cs="Palatino Linotype"/>
          <w:sz w:val="22"/>
          <w:szCs w:val="22"/>
        </w:rPr>
        <w:t xml:space="preserve"> </w:t>
      </w:r>
      <w:r w:rsidRPr="00E813DF">
        <w:rPr>
          <w:rFonts w:ascii="Palatino Linotype" w:eastAsia="Palatino Linotype" w:hAnsi="Palatino Linotype" w:cs="Palatino Linotype"/>
          <w:b/>
          <w:bCs/>
          <w:sz w:val="22"/>
          <w:szCs w:val="22"/>
          <w:u w:val="single"/>
        </w:rPr>
        <w:t xml:space="preserve">pues permiten identificar el nivel y tipo de preparación de su titular y en su caso su perfil </w:t>
      </w:r>
      <w:r w:rsidRPr="00E813DF">
        <w:rPr>
          <w:rFonts w:ascii="Palatino Linotype" w:eastAsia="Palatino Linotype" w:hAnsi="Palatino Linotype" w:cs="Palatino Linotype"/>
          <w:b/>
          <w:bCs/>
          <w:sz w:val="22"/>
          <w:szCs w:val="22"/>
        </w:rPr>
        <w:t xml:space="preserve">profesional </w:t>
      </w:r>
      <w:r w:rsidRPr="00E813DF">
        <w:rPr>
          <w:rFonts w:ascii="Palatino Linotype" w:eastAsia="Palatino Linotype" w:hAnsi="Palatino Linotype" w:cs="Palatino Linotype"/>
          <w:b/>
          <w:bCs/>
          <w:sz w:val="22"/>
          <w:szCs w:val="22"/>
          <w:u w:val="single"/>
        </w:rPr>
        <w:t>o laboral.</w:t>
      </w:r>
    </w:p>
    <w:p w14:paraId="0CA0278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Desde esta perspectiva, a través del currículum vite la persona solicitante puede advertir los estudios realizados o bien el nivel académico, así como la experiencia laboral de los servidores públicos que se encuentran adscritos al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w:t>
      </w:r>
      <w:r w:rsidRPr="00E813DF">
        <w:rPr>
          <w:rFonts w:ascii="Palatino Linotype" w:eastAsia="Palatino Linotype" w:hAnsi="Palatino Linotype" w:cs="Palatino Linotype"/>
          <w:b/>
          <w:bCs/>
          <w:sz w:val="22"/>
          <w:szCs w:val="22"/>
          <w:u w:val="single"/>
        </w:rPr>
        <w:t>es mediante la publicidad de ciertos datos contenidos en los currículos, o bien en las solicitudes de empleo,</w:t>
      </w:r>
      <w:r w:rsidRPr="00E813DF">
        <w:rPr>
          <w:rFonts w:ascii="Palatino Linotype" w:eastAsia="Palatino Linotype" w:hAnsi="Palatino Linotype" w:cs="Palatino Linotype"/>
          <w:sz w:val="22"/>
          <w:szCs w:val="22"/>
        </w:rPr>
        <w:t xml:space="preserve"> el cual, para mayor ilustración se transcribe a continuación:</w:t>
      </w:r>
    </w:p>
    <w:p w14:paraId="771869CF" w14:textId="77777777" w:rsidR="00304047" w:rsidRPr="00E813DF" w:rsidRDefault="00CA623F">
      <w:pPr>
        <w:spacing w:before="240" w:after="240" w:line="360" w:lineRule="auto"/>
        <w:ind w:left="567" w:right="612"/>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b/>
          <w:bCs/>
          <w:i/>
          <w:iCs/>
          <w:sz w:val="22"/>
          <w:szCs w:val="22"/>
        </w:rPr>
        <w:t>Curriculum Vitae de servidores públicos.</w:t>
      </w:r>
      <w:r w:rsidRPr="00E813DF">
        <w:rPr>
          <w:rFonts w:ascii="Palatino Linotype" w:eastAsia="Palatino Linotype" w:hAnsi="Palatino Linotype" w:cs="Palatino Linotype"/>
          <w:i/>
          <w:iCs/>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7EA02441" w14:textId="77777777" w:rsidR="00304047" w:rsidRPr="00E813DF" w:rsidRDefault="00CA623F">
      <w:pPr>
        <w:spacing w:before="240" w:after="240" w:line="360" w:lineRule="auto"/>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E813DF">
        <w:rPr>
          <w:rFonts w:ascii="Palatino Linotype" w:eastAsia="Palatino Linotype" w:hAnsi="Palatino Linotype" w:cs="Palatino Linotype"/>
          <w:b/>
          <w:bCs/>
          <w:sz w:val="22"/>
          <w:szCs w:val="22"/>
        </w:rPr>
        <w:t>de acuerdo a su nivel profesional y laboral</w:t>
      </w:r>
      <w:r w:rsidRPr="00E813DF">
        <w:rPr>
          <w:rFonts w:ascii="Palatino Linotype" w:eastAsia="Palatino Linotype" w:hAnsi="Palatino Linotype" w:cs="Palatino Linotype"/>
          <w:sz w:val="22"/>
          <w:szCs w:val="22"/>
        </w:rPr>
        <w:t xml:space="preserve">, para el desempeño de sus funciones en el cargo que ostenten, razón que resulta suficiente para que sean de conocimiento público </w:t>
      </w:r>
      <w:r w:rsidRPr="00E813DF">
        <w:rPr>
          <w:rFonts w:ascii="Palatino Linotype" w:eastAsia="Palatino Linotype" w:hAnsi="Palatino Linotype" w:cs="Palatino Linotype"/>
          <w:sz w:val="22"/>
          <w:szCs w:val="22"/>
          <w:u w:val="single"/>
        </w:rPr>
        <w:t>y si bien es cierto que no existe disposición legal que ordene de manera expresa que el sujeto obligado, deba contar en sus archivos con un documento denominado “currículum vitae”</w:t>
      </w:r>
      <w:r w:rsidRPr="00E813DF">
        <w:rPr>
          <w:rFonts w:ascii="Palatino Linotype" w:eastAsia="Palatino Linotype" w:hAnsi="Palatino Linotype" w:cs="Palatino Linotype"/>
          <w:sz w:val="22"/>
          <w:szCs w:val="22"/>
        </w:rPr>
        <w:t xml:space="preserve"> de sus servidores públicos, </w:t>
      </w:r>
      <w:r w:rsidRPr="00E813DF">
        <w:rPr>
          <w:rFonts w:ascii="Palatino Linotype" w:eastAsia="Palatino Linotype" w:hAnsi="Palatino Linotype" w:cs="Palatino Linotype"/>
          <w:b/>
          <w:bCs/>
          <w:sz w:val="22"/>
          <w:szCs w:val="22"/>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14:paraId="609BCDC5" w14:textId="77777777" w:rsidR="00304047" w:rsidRPr="00E813DF" w:rsidRDefault="00CA623F">
      <w:pPr>
        <w:spacing w:before="240" w:after="240" w:line="360" w:lineRule="auto"/>
        <w:ind w:left="567" w:right="56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“ARTÍCULO 47. Para ingresar al servicio público se requiere: </w:t>
      </w:r>
    </w:p>
    <w:p w14:paraId="5431D7A8" w14:textId="77777777" w:rsidR="00304047" w:rsidRPr="00E813DF" w:rsidRDefault="00CA623F">
      <w:pPr>
        <w:spacing w:before="240" w:after="240" w:line="360" w:lineRule="auto"/>
        <w:ind w:left="567" w:right="56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 Presentar una solicitud utilizando la forma oficial que se autorice por la institución pública o dependencia correspondiente, a la cual se le prohíbe incluir la fotografía de quien solicita el empleo;[…]”</w:t>
      </w:r>
    </w:p>
    <w:p w14:paraId="172B20C0"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Por lo que es posible determinar que, el currículum vítae, ficha curricular, solicitud de empleo o documento análogo, contienen información relacionada con la trayectoria académica, profesional y laboral,</w:t>
      </w:r>
      <w:r w:rsidRPr="00E813DF">
        <w:rPr>
          <w:rFonts w:ascii="Palatino Linotype" w:eastAsia="Palatino Linotype" w:hAnsi="Palatino Linotype" w:cs="Palatino Linotype"/>
          <w:sz w:val="22"/>
          <w:szCs w:val="22"/>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6C941B9F"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E813DF">
        <w:rPr>
          <w:rFonts w:ascii="Palatino Linotype" w:eastAsia="Palatino Linotype" w:hAnsi="Palatino Linotype" w:cs="Palatino Linotype"/>
          <w:b/>
          <w:bCs/>
          <w:sz w:val="22"/>
          <w:szCs w:val="22"/>
        </w:rPr>
        <w:t>el Sujeto Obligado</w:t>
      </w:r>
      <w:r w:rsidRPr="00E813DF">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08F4939C" w14:textId="77777777" w:rsidR="00304047" w:rsidRPr="00E813DF" w:rsidRDefault="00304047">
      <w:pPr>
        <w:spacing w:before="240" w:after="240" w:line="360" w:lineRule="auto"/>
        <w:jc w:val="both"/>
        <w:rPr>
          <w:rFonts w:ascii="Palatino Linotype" w:eastAsia="Palatino Linotype" w:hAnsi="Palatino Linotype" w:cs="Palatino Linotype"/>
          <w:sz w:val="22"/>
          <w:szCs w:val="22"/>
        </w:rPr>
      </w:pPr>
    </w:p>
    <w:p w14:paraId="29CF6A11" w14:textId="77777777" w:rsidR="00304047" w:rsidRPr="00E813DF" w:rsidRDefault="00CA623F">
      <w:pPr>
        <w:spacing w:before="240" w:after="240" w:line="360" w:lineRule="auto"/>
        <w:ind w:left="567" w:right="612"/>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524CFF7" w14:textId="77777777" w:rsidR="00304047" w:rsidRPr="00E813DF" w:rsidRDefault="00CA623F">
      <w:pPr>
        <w:spacing w:before="240" w:after="240" w:line="360" w:lineRule="auto"/>
        <w:ind w:left="567" w:right="612"/>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404AFCA4" w14:textId="77777777" w:rsidR="00304047" w:rsidRPr="00E813DF" w:rsidRDefault="00CA623F">
      <w:pPr>
        <w:spacing w:before="240" w:after="240" w:line="360" w:lineRule="auto"/>
        <w:ind w:left="567" w:right="612"/>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XXI. La información curricular, desde el nivel de jefe de departamento o equivalente, hasta el titular del sujeto obligado, así como, en su caso, las sanciones administrativas de que haya sido objeto;”</w:t>
      </w:r>
    </w:p>
    <w:p w14:paraId="17CAE51D" w14:textId="77777777" w:rsidR="00304047" w:rsidRPr="00E813DF" w:rsidRDefault="00CA623F">
      <w:pPr>
        <w:spacing w:before="240" w:after="240" w:line="360" w:lineRule="auto"/>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sz w:val="22"/>
          <w:szCs w:val="22"/>
        </w:rPr>
        <w:t xml:space="preserve">En ese contexto, según Islas, Jorge (2016), en la “Ley General de Transparencia y Acceso a la Información Pública Comentada” (p. 244), refirió que el </w:t>
      </w:r>
      <w:r w:rsidRPr="00E813DF">
        <w:rPr>
          <w:rFonts w:ascii="Palatino Linotype" w:eastAsia="Palatino Linotype" w:hAnsi="Palatino Linotype" w:cs="Palatino Linotype"/>
          <w:b/>
          <w:bCs/>
          <w:i/>
          <w:iCs/>
          <w:sz w:val="22"/>
          <w:szCs w:val="22"/>
        </w:rPr>
        <w:t>curriculum vitae</w:t>
      </w:r>
      <w:r w:rsidRPr="00E813DF">
        <w:rPr>
          <w:rFonts w:ascii="Palatino Linotype" w:eastAsia="Palatino Linotype" w:hAnsi="Palatino Linotype" w:cs="Palatino Linotype"/>
          <w:b/>
          <w:bCs/>
          <w:sz w:val="22"/>
          <w:szCs w:val="22"/>
        </w:rPr>
        <w:t xml:space="preserve"> </w:t>
      </w:r>
      <w:r w:rsidRPr="00E813DF">
        <w:rPr>
          <w:rFonts w:ascii="Palatino Linotype" w:eastAsia="Palatino Linotype" w:hAnsi="Palatino Linotype" w:cs="Palatino Linotype"/>
          <w:sz w:val="22"/>
          <w:szCs w:val="22"/>
        </w:rPr>
        <w:t>d</w:t>
      </w:r>
      <w:r w:rsidRPr="00E813DF">
        <w:rPr>
          <w:rFonts w:ascii="Palatino Linotype" w:eastAsia="Palatino Linotype" w:hAnsi="Palatino Linotype" w:cs="Palatino Linotype"/>
          <w:b/>
          <w:bCs/>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5DC45297"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bookmarkStart w:id="11" w:name="_heading=h.mguknz3fvgtl" w:colFirst="0" w:colLast="0"/>
      <w:bookmarkEnd w:id="11"/>
      <w:r w:rsidRPr="00E813DF">
        <w:rPr>
          <w:rFonts w:ascii="Palatino Linotype" w:eastAsia="Palatino Linotype" w:hAnsi="Palatino Linotype" w:cs="Palatino Linotype"/>
          <w:sz w:val="22"/>
          <w:szCs w:val="22"/>
        </w:rPr>
        <w:t xml:space="preserve">De esta manera, con la entrega que se realice del curriculum vitae, ficha curricular, solicitud de empleo o documento análogo, se colmaría el requisito previsto en la fracción I del artículo 47 de la Ley del Trabajo de la Entidad; </w:t>
      </w:r>
      <w:r w:rsidRPr="00E813DF">
        <w:rPr>
          <w:rFonts w:ascii="Palatino Linotype" w:eastAsia="Palatino Linotype" w:hAnsi="Palatino Linotype" w:cs="Palatino Linotype"/>
          <w:b/>
          <w:bCs/>
          <w:sz w:val="22"/>
          <w:szCs w:val="22"/>
          <w:u w:val="single"/>
        </w:rPr>
        <w:t>y por tanto, procede su entrega en versión pública de advertirse datos de índole confidencial.</w:t>
      </w:r>
    </w:p>
    <w:p w14:paraId="4FA14884" w14:textId="77777777" w:rsidR="00304047" w:rsidRPr="00E813DF" w:rsidRDefault="00CA623F">
      <w:pPr>
        <w:numPr>
          <w:ilvl w:val="0"/>
          <w:numId w:val="9"/>
        </w:numPr>
        <w:pBdr>
          <w:top w:val="nil"/>
          <w:left w:val="nil"/>
          <w:bottom w:val="nil"/>
          <w:right w:val="nil"/>
          <w:between w:val="nil"/>
        </w:pBdr>
        <w:tabs>
          <w:tab w:val="left" w:pos="8222"/>
        </w:tabs>
        <w:spacing w:before="240" w:after="240" w:line="360" w:lineRule="auto"/>
        <w:ind w:right="49"/>
        <w:jc w:val="both"/>
        <w:rPr>
          <w:rFonts w:ascii="Palatino Linotype" w:eastAsia="Palatino Linotype" w:hAnsi="Palatino Linotype" w:cs="Palatino Linotype"/>
          <w:b/>
          <w:bCs/>
          <w:sz w:val="22"/>
          <w:szCs w:val="22"/>
          <w:u w:val="single"/>
        </w:rPr>
      </w:pPr>
      <w:r w:rsidRPr="00E813DF">
        <w:rPr>
          <w:rFonts w:ascii="Palatino Linotype" w:eastAsia="Palatino Linotype" w:hAnsi="Palatino Linotype" w:cs="Palatino Linotype"/>
          <w:b/>
          <w:bCs/>
          <w:sz w:val="22"/>
          <w:szCs w:val="22"/>
          <w:u w:val="single"/>
        </w:rPr>
        <w:t>Documento que acredite la nacionalidad (acta de nacimiento)</w:t>
      </w:r>
    </w:p>
    <w:p w14:paraId="7967CBBD"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w:t>
      </w:r>
      <w:r w:rsidRPr="00E813DF">
        <w:rPr>
          <w:rFonts w:ascii="Palatino Linotype" w:eastAsia="Palatino Linotype" w:hAnsi="Palatino Linotype" w:cs="Palatino Linotype"/>
          <w:b/>
          <w:bCs/>
          <w:sz w:val="22"/>
          <w:szCs w:val="22"/>
          <w:u w:val="single"/>
        </w:rPr>
        <w:t>el acta de nacimiento</w:t>
      </w:r>
      <w:r w:rsidRPr="00E813DF">
        <w:rPr>
          <w:rFonts w:ascii="Palatino Linotype" w:eastAsia="Palatino Linotype" w:hAnsi="Palatino Linotype" w:cs="Palatino Linotype"/>
          <w:sz w:val="22"/>
          <w:szCs w:val="22"/>
        </w:rPr>
        <w:t xml:space="preserve">,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1DFFFF0F"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Ahora bien, de acuerdo con el Formato Único del Acta de Nacimiento publicado por la Secretaría de Gobernación en el enlace </w:t>
      </w:r>
      <w:hyperlink r:id="rId8">
        <w:r w:rsidRPr="00E813DF">
          <w:rPr>
            <w:rFonts w:ascii="Palatino Linotype" w:eastAsia="Palatino Linotype" w:hAnsi="Palatino Linotype" w:cs="Palatino Linotype"/>
            <w:sz w:val="22"/>
            <w:szCs w:val="22"/>
            <w:u w:val="single"/>
          </w:rPr>
          <w:t>http://www.diputados.gob.mx/documentos/N_Acta_Nacimiento.pdf</w:t>
        </w:r>
      </w:hyperlink>
      <w:r w:rsidRPr="00E813DF">
        <w:rPr>
          <w:rFonts w:ascii="Palatino Linotype" w:eastAsia="Palatino Linotype" w:hAnsi="Palatino Linotype" w:cs="Palatino Linotype"/>
          <w:sz w:val="22"/>
          <w:szCs w:val="22"/>
        </w:rPr>
        <w:t xml:space="preserve"> , se advierte que el Acta de Nacimiento se componte de quince elementos siendo los siguientes: </w:t>
      </w:r>
    </w:p>
    <w:p w14:paraId="00E89D6C"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 Folio de Impresión.</w:t>
      </w:r>
    </w:p>
    <w:p w14:paraId="76EBE9D5"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b) Denominación del Documento.</w:t>
      </w:r>
    </w:p>
    <w:p w14:paraId="53769A06"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c) Identificador Electrónico. </w:t>
      </w:r>
    </w:p>
    <w:p w14:paraId="07FFB120"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 Elementos del Registro. </w:t>
      </w:r>
    </w:p>
    <w:p w14:paraId="773ABD0A"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 Datos de la Persona Registrada. </w:t>
      </w:r>
    </w:p>
    <w:p w14:paraId="23730D1D"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f) Datos de Filiación de la Persona Registrada. </w:t>
      </w:r>
    </w:p>
    <w:p w14:paraId="0FCADB58"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g) Anotaciones Marginales. </w:t>
      </w:r>
    </w:p>
    <w:p w14:paraId="744D6F38"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h) Certificación. </w:t>
      </w:r>
    </w:p>
    <w:p w14:paraId="59B0B6A5"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i) Código Bidimensional QR que contiene información encriptada del acta. </w:t>
      </w:r>
    </w:p>
    <w:p w14:paraId="6B5BC928"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j) Leyenda “Soy México” </w:t>
      </w:r>
    </w:p>
    <w:p w14:paraId="3B40EEFB"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k) Firma Electrónica Avanzada. </w:t>
      </w:r>
    </w:p>
    <w:p w14:paraId="451CD8F1"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l) Firma y datos de la autoridad emisora. </w:t>
      </w:r>
    </w:p>
    <w:p w14:paraId="7EBB738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m) Código QR. </w:t>
      </w:r>
    </w:p>
    <w:p w14:paraId="784B39E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n) Código de Verificación.</w:t>
      </w:r>
    </w:p>
    <w:p w14:paraId="78F89673"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o) Leyenda de instrucciones para la verificación del documento. </w:t>
      </w:r>
    </w:p>
    <w:p w14:paraId="73B0A3A6"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Siendo de suma importancia mencionar que la información relativa a los incisos </w:t>
      </w:r>
      <w:r w:rsidRPr="00E813DF">
        <w:rPr>
          <w:rFonts w:ascii="Palatino Linotype" w:eastAsia="Palatino Linotype" w:hAnsi="Palatino Linotype" w:cs="Palatino Linotype"/>
          <w:b/>
          <w:bCs/>
          <w:sz w:val="22"/>
          <w:szCs w:val="22"/>
        </w:rPr>
        <w:t>d) elementos de registro, e) datos de la persona registrada, f) datos de filiación de la persona registrada</w:t>
      </w:r>
      <w:r w:rsidRPr="00E813DF">
        <w:rPr>
          <w:rFonts w:ascii="Palatino Linotype" w:eastAsia="Palatino Linotype" w:hAnsi="Palatino Linotype" w:cs="Palatino Linotype"/>
          <w:sz w:val="22"/>
          <w:szCs w:val="22"/>
        </w:rPr>
        <w:t xml:space="preserve">, </w:t>
      </w:r>
      <w:r w:rsidRPr="00E813DF">
        <w:rPr>
          <w:rFonts w:ascii="Palatino Linotype" w:eastAsia="Palatino Linotype" w:hAnsi="Palatino Linotype" w:cs="Palatino Linotype"/>
          <w:b/>
          <w:bCs/>
          <w:sz w:val="22"/>
          <w:szCs w:val="22"/>
        </w:rPr>
        <w:t xml:space="preserve">g), anotaciones marginales </w:t>
      </w:r>
      <w:r w:rsidRPr="00E813DF">
        <w:rPr>
          <w:rFonts w:ascii="Palatino Linotype" w:eastAsia="Palatino Linotype" w:hAnsi="Palatino Linotype" w:cs="Palatino Linotype"/>
          <w:sz w:val="22"/>
          <w:szCs w:val="22"/>
        </w:rPr>
        <w:t>y</w:t>
      </w:r>
      <w:r w:rsidRPr="00E813DF">
        <w:rPr>
          <w:rFonts w:ascii="Palatino Linotype" w:eastAsia="Palatino Linotype" w:hAnsi="Palatino Linotype" w:cs="Palatino Linotype"/>
          <w:b/>
          <w:bCs/>
          <w:sz w:val="22"/>
          <w:szCs w:val="22"/>
        </w:rPr>
        <w:t xml:space="preserve"> m) Código QR, </w:t>
      </w:r>
      <w:r w:rsidRPr="00E813DF">
        <w:rPr>
          <w:rFonts w:ascii="Palatino Linotype" w:eastAsia="Palatino Linotype" w:hAnsi="Palatino Linotype" w:cs="Palatino Linotype"/>
          <w:sz w:val="22"/>
          <w:szCs w:val="22"/>
        </w:rPr>
        <w:t>se encuentra intrínsecamente relacionada con la esfera privada de una persona haciéndole identificada o identificable, como al contener los siguientes datos:</w:t>
      </w:r>
    </w:p>
    <w:p w14:paraId="5A830A78"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noProof/>
          <w:sz w:val="22"/>
          <w:szCs w:val="22"/>
        </w:rPr>
        <w:drawing>
          <wp:inline distT="0" distB="0" distL="0" distR="0" wp14:anchorId="3A16B0A3" wp14:editId="13832D77">
            <wp:extent cx="5610225" cy="1476375"/>
            <wp:effectExtent l="0" t="0" r="0" b="0"/>
            <wp:docPr id="21431082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0225" cy="1476375"/>
                    </a:xfrm>
                    <a:prstGeom prst="rect">
                      <a:avLst/>
                    </a:prstGeom>
                    <a:ln/>
                  </pic:spPr>
                </pic:pic>
              </a:graphicData>
            </a:graphic>
          </wp:inline>
        </w:drawing>
      </w:r>
    </w:p>
    <w:p w14:paraId="70357E79"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noProof/>
          <w:sz w:val="22"/>
          <w:szCs w:val="22"/>
        </w:rPr>
        <w:drawing>
          <wp:inline distT="0" distB="0" distL="0" distR="0" wp14:anchorId="2A73F650" wp14:editId="3DBD2ADD">
            <wp:extent cx="5610225" cy="1695450"/>
            <wp:effectExtent l="0" t="0" r="0" b="0"/>
            <wp:docPr id="21431082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60179"/>
                    <a:stretch>
                      <a:fillRect/>
                    </a:stretch>
                  </pic:blipFill>
                  <pic:spPr>
                    <a:xfrm>
                      <a:off x="0" y="0"/>
                      <a:ext cx="5610225" cy="1695450"/>
                    </a:xfrm>
                    <a:prstGeom prst="rect">
                      <a:avLst/>
                    </a:prstGeom>
                    <a:ln/>
                  </pic:spPr>
                </pic:pic>
              </a:graphicData>
            </a:graphic>
          </wp:inline>
        </w:drawing>
      </w:r>
    </w:p>
    <w:p w14:paraId="4F41E2D7"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noProof/>
          <w:sz w:val="22"/>
          <w:szCs w:val="22"/>
        </w:rPr>
        <w:drawing>
          <wp:inline distT="0" distB="0" distL="0" distR="0" wp14:anchorId="1D2224EC" wp14:editId="41EF33E5">
            <wp:extent cx="5610225" cy="1543050"/>
            <wp:effectExtent l="0" t="0" r="0" b="0"/>
            <wp:docPr id="21431082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42281" b="-222"/>
                    <a:stretch>
                      <a:fillRect/>
                    </a:stretch>
                  </pic:blipFill>
                  <pic:spPr>
                    <a:xfrm>
                      <a:off x="0" y="0"/>
                      <a:ext cx="5610225" cy="1543050"/>
                    </a:xfrm>
                    <a:prstGeom prst="rect">
                      <a:avLst/>
                    </a:prstGeom>
                    <a:ln/>
                  </pic:spPr>
                </pic:pic>
              </a:graphicData>
            </a:graphic>
          </wp:inline>
        </w:drawing>
      </w:r>
    </w:p>
    <w:p w14:paraId="2DA827C0"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noProof/>
          <w:sz w:val="22"/>
          <w:szCs w:val="22"/>
        </w:rPr>
        <w:drawing>
          <wp:inline distT="0" distB="0" distL="0" distR="0" wp14:anchorId="10A6C0F2" wp14:editId="6844B4D7">
            <wp:extent cx="5577840" cy="914400"/>
            <wp:effectExtent l="0" t="0" r="0" b="0"/>
            <wp:docPr id="21431082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577840" cy="914400"/>
                    </a:xfrm>
                    <a:prstGeom prst="rect">
                      <a:avLst/>
                    </a:prstGeom>
                    <a:ln/>
                  </pic:spPr>
                </pic:pic>
              </a:graphicData>
            </a:graphic>
          </wp:inline>
        </w:drawing>
      </w:r>
    </w:p>
    <w:p w14:paraId="2709BBD4"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w:t>
      </w:r>
      <w:r w:rsidRPr="00E813DF">
        <w:rPr>
          <w:rFonts w:ascii="Palatino Linotype" w:eastAsia="Palatino Linotype" w:hAnsi="Palatino Linotype" w:cs="Palatino Linotype"/>
          <w:b/>
          <w:bCs/>
          <w:sz w:val="22"/>
          <w:szCs w:val="22"/>
        </w:rPr>
        <w:t>se estima que dicho documento debe ser clasificado como información confidencial en su totalidad,</w:t>
      </w:r>
      <w:r w:rsidRPr="00E813DF">
        <w:rPr>
          <w:rFonts w:ascii="Palatino Linotype" w:eastAsia="Palatino Linotype" w:hAnsi="Palatino Linotype" w:cs="Palatino Linotype"/>
          <w:sz w:val="22"/>
          <w:szCs w:val="22"/>
        </w:rPr>
        <w:t xml:space="preserve"> al considerar que actualiza la causal de clasificación establecida en el artículo 143, fracción I, de la Ley de Transparencia y Acceso a la Información Pública del Estado de México y Municipios.</w:t>
      </w:r>
    </w:p>
    <w:p w14:paraId="3B778E01"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esta manera, en cumplimiento a la presente se deberá hacer entrega del acuerdo que sustente la clasificación del acta de nacimiento en su totalidad del servidor público en cuestión.</w:t>
      </w:r>
    </w:p>
    <w:p w14:paraId="748F9BF8" w14:textId="77777777" w:rsidR="00304047" w:rsidRPr="00E813DF" w:rsidRDefault="00CA623F">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u w:val="single"/>
        </w:rPr>
      </w:pPr>
      <w:r w:rsidRPr="00E813DF">
        <w:rPr>
          <w:rFonts w:ascii="Palatino Linotype" w:eastAsia="Palatino Linotype" w:hAnsi="Palatino Linotype" w:cs="Palatino Linotype"/>
          <w:b/>
          <w:bCs/>
          <w:sz w:val="22"/>
          <w:szCs w:val="22"/>
          <w:u w:val="single"/>
        </w:rPr>
        <w:t>La credencial para votar:</w:t>
      </w:r>
    </w:p>
    <w:p w14:paraId="445F709B"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lo que corresponde a dicha documental, se considera que la misma puede colmar el requisito previsto en el artículo 47 fracción III de la Ley del Trabajo de los Servidores Públicos del Estado y Municipios, relativo a “</w:t>
      </w:r>
      <w:r w:rsidRPr="00E813DF">
        <w:rPr>
          <w:rFonts w:ascii="Palatino Linotype" w:eastAsia="Palatino Linotype" w:hAnsi="Palatino Linotype" w:cs="Palatino Linotype"/>
          <w:b/>
          <w:bCs/>
          <w:i/>
          <w:iCs/>
          <w:sz w:val="22"/>
          <w:szCs w:val="22"/>
        </w:rPr>
        <w:t>Estar en pleno ejercicio de sus derechos civiles y políticos, en su caso</w:t>
      </w:r>
      <w:r w:rsidRPr="00E813DF">
        <w:rPr>
          <w:rFonts w:ascii="Palatino Linotype" w:eastAsia="Palatino Linotype" w:hAnsi="Palatino Linotype" w:cs="Palatino Linotype"/>
          <w:sz w:val="22"/>
          <w:szCs w:val="22"/>
        </w:rPr>
        <w:t>”.</w:t>
      </w:r>
    </w:p>
    <w:p w14:paraId="1C6FB95C"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Se afirma lo anterior, pues los derechos civiles y políticos son aquellos que garantizan las libertades individuales y la participación de las personas en la vida política y social, en igualdad y sin discriminación.</w:t>
      </w:r>
    </w:p>
    <w:p w14:paraId="0526CA1A"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Para efectos de garantizar el ejercicio de dichos derechos, la credencial de elector cumple un papel importante, pues dicha documental al obtenerse a partir de que los ciudadanos mexicanos cumplen la mayoría de edad que es a los 18 años, por tanto, estos últimos adquieren derechos establecidos en nuestra Constitución Política de los Estados Unidos Mexicanos, entre ellos el </w:t>
      </w:r>
      <w:r w:rsidRPr="00E813DF">
        <w:rPr>
          <w:rFonts w:ascii="Palatino Linotype" w:eastAsia="Palatino Linotype" w:hAnsi="Palatino Linotype" w:cs="Palatino Linotype"/>
          <w:b/>
          <w:bCs/>
          <w:sz w:val="22"/>
          <w:szCs w:val="22"/>
        </w:rPr>
        <w:t>derecho al voto.</w:t>
      </w:r>
    </w:p>
    <w:p w14:paraId="3C240C74"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ahí que la credencial de elector es una documental que puede colmar el requisito antes señalado.</w:t>
      </w:r>
    </w:p>
    <w:p w14:paraId="4DFEA325"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No obstante, no debe perderse de vista que la credencial para votar se constituye de diversos datos personales como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3CC59696" w14:textId="77777777" w:rsidR="00304047" w:rsidRPr="00E813DF" w:rsidRDefault="00CA623F">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156</w:t>
      </w:r>
      <w:r w:rsidRPr="00E813DF">
        <w:rPr>
          <w:rFonts w:ascii="Palatino Linotype" w:eastAsia="Palatino Linotype" w:hAnsi="Palatino Linotype" w:cs="Palatino Linotype"/>
          <w:i/>
          <w:iCs/>
          <w:sz w:val="22"/>
          <w:szCs w:val="22"/>
        </w:rPr>
        <w:t>.</w:t>
      </w:r>
    </w:p>
    <w:p w14:paraId="032ED1A9" w14:textId="77777777" w:rsidR="00304047" w:rsidRPr="00E813DF" w:rsidRDefault="00CA623F">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1.</w:t>
      </w: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b/>
          <w:bCs/>
          <w:i/>
          <w:iCs/>
          <w:sz w:val="22"/>
          <w:szCs w:val="22"/>
          <w:u w:val="single"/>
        </w:rPr>
        <w:t>La credencial para votar deberá contener, cuando menos, los siguientes datos del elector</w:t>
      </w:r>
      <w:r w:rsidRPr="00E813DF">
        <w:rPr>
          <w:rFonts w:ascii="Palatino Linotype" w:eastAsia="Palatino Linotype" w:hAnsi="Palatino Linotype" w:cs="Palatino Linotype"/>
          <w:i/>
          <w:iCs/>
          <w:sz w:val="22"/>
          <w:szCs w:val="22"/>
        </w:rPr>
        <w:t>:</w:t>
      </w:r>
    </w:p>
    <w:p w14:paraId="362DF9B7" w14:textId="77777777" w:rsidR="00304047" w:rsidRPr="00E813DF" w:rsidRDefault="00CA623F">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1CD1B99A" w14:textId="77777777" w:rsidR="00304047" w:rsidRPr="00E813DF" w:rsidRDefault="00CA623F">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d) </w:t>
      </w:r>
      <w:r w:rsidRPr="00E813DF">
        <w:rPr>
          <w:rFonts w:ascii="Palatino Linotype" w:eastAsia="Palatino Linotype" w:hAnsi="Palatino Linotype" w:cs="Palatino Linotype"/>
          <w:b/>
          <w:bCs/>
          <w:i/>
          <w:iCs/>
          <w:sz w:val="22"/>
          <w:szCs w:val="22"/>
          <w:u w:val="single"/>
        </w:rPr>
        <w:t>Domicilio</w:t>
      </w:r>
      <w:r w:rsidRPr="00E813DF">
        <w:rPr>
          <w:rFonts w:ascii="Palatino Linotype" w:eastAsia="Palatino Linotype" w:hAnsi="Palatino Linotype" w:cs="Palatino Linotype"/>
          <w:i/>
          <w:iCs/>
          <w:sz w:val="22"/>
          <w:szCs w:val="22"/>
        </w:rPr>
        <w:t>;</w:t>
      </w:r>
    </w:p>
    <w:p w14:paraId="34CA0470" w14:textId="77777777" w:rsidR="00304047" w:rsidRPr="00E813DF" w:rsidRDefault="00CA623F">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45191F12" w14:textId="77777777" w:rsidR="00304047" w:rsidRPr="00E813DF" w:rsidRDefault="00CA623F">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g) </w:t>
      </w:r>
      <w:r w:rsidRPr="00E813DF">
        <w:rPr>
          <w:rFonts w:ascii="Palatino Linotype" w:eastAsia="Palatino Linotype" w:hAnsi="Palatino Linotype" w:cs="Palatino Linotype"/>
          <w:b/>
          <w:bCs/>
          <w:i/>
          <w:iCs/>
          <w:sz w:val="22"/>
          <w:szCs w:val="22"/>
        </w:rPr>
        <w:t>Firma</w:t>
      </w: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b/>
          <w:bCs/>
          <w:i/>
          <w:iCs/>
          <w:sz w:val="22"/>
          <w:szCs w:val="22"/>
          <w:u w:val="single"/>
        </w:rPr>
        <w:t>huella digital</w:t>
      </w:r>
      <w:r w:rsidRPr="00E813DF">
        <w:rPr>
          <w:rFonts w:ascii="Palatino Linotype" w:eastAsia="Palatino Linotype" w:hAnsi="Palatino Linotype" w:cs="Palatino Linotype"/>
          <w:i/>
          <w:iCs/>
          <w:sz w:val="22"/>
          <w:szCs w:val="22"/>
        </w:rPr>
        <w:t xml:space="preserve"> y </w:t>
      </w:r>
      <w:r w:rsidRPr="00E813DF">
        <w:rPr>
          <w:rFonts w:ascii="Palatino Linotype" w:eastAsia="Palatino Linotype" w:hAnsi="Palatino Linotype" w:cs="Palatino Linotype"/>
          <w:b/>
          <w:bCs/>
          <w:i/>
          <w:iCs/>
          <w:sz w:val="22"/>
          <w:szCs w:val="22"/>
          <w:u w:val="single"/>
        </w:rPr>
        <w:t>fotografía del elector</w:t>
      </w:r>
      <w:r w:rsidRPr="00E813DF">
        <w:rPr>
          <w:rFonts w:ascii="Palatino Linotype" w:eastAsia="Palatino Linotype" w:hAnsi="Palatino Linotype" w:cs="Palatino Linotype"/>
          <w:i/>
          <w:iCs/>
          <w:sz w:val="22"/>
          <w:szCs w:val="22"/>
        </w:rPr>
        <w:t>;</w:t>
      </w:r>
    </w:p>
    <w:p w14:paraId="6FC9BBF8" w14:textId="77777777" w:rsidR="00304047" w:rsidRPr="00E813DF" w:rsidRDefault="00CA623F">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293D0F68" w14:textId="77777777" w:rsidR="00304047" w:rsidRPr="00E813DF" w:rsidRDefault="00CA623F">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 </w:t>
      </w:r>
      <w:r w:rsidRPr="00E813DF">
        <w:rPr>
          <w:rFonts w:ascii="Palatino Linotype" w:eastAsia="Palatino Linotype" w:hAnsi="Palatino Linotype" w:cs="Palatino Linotype"/>
          <w:b/>
          <w:bCs/>
          <w:i/>
          <w:iCs/>
          <w:sz w:val="22"/>
          <w:szCs w:val="22"/>
          <w:u w:val="single"/>
        </w:rPr>
        <w:t>Clave Única del Registro de Población</w:t>
      </w:r>
      <w:r w:rsidRPr="00E813DF">
        <w:rPr>
          <w:rFonts w:ascii="Palatino Linotype" w:eastAsia="Palatino Linotype" w:hAnsi="Palatino Linotype" w:cs="Palatino Linotype"/>
          <w:i/>
          <w:iCs/>
          <w:sz w:val="22"/>
          <w:szCs w:val="22"/>
        </w:rPr>
        <w:t>. ” (Sic)</w:t>
      </w:r>
    </w:p>
    <w:p w14:paraId="2684DB6E"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tanto, el conocimiento de dichos datos afecta la esfera más íntima de su Titular, en razón de que su utilización indebida pueda dar origen a un riesgo grave para éste.</w:t>
      </w:r>
    </w:p>
    <w:p w14:paraId="51E2CBD9"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la credencial para votar expedida por el Instituto Nacional Electoral.</w:t>
      </w:r>
    </w:p>
    <w:p w14:paraId="04B32937"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 credencial/ABC_credenciales_ INE_2015.pdf, como se muestra a continuación, en su parte medular: </w:t>
      </w:r>
    </w:p>
    <w:p w14:paraId="6840CD3D" w14:textId="77777777" w:rsidR="00304047" w:rsidRPr="00E813DF" w:rsidRDefault="00CA623F">
      <w:pPr>
        <w:spacing w:before="240" w:after="240" w:line="360" w:lineRule="auto"/>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noProof/>
          <w:sz w:val="22"/>
          <w:szCs w:val="22"/>
        </w:rPr>
        <w:drawing>
          <wp:inline distT="0" distB="0" distL="0" distR="0" wp14:anchorId="2EDA8D66" wp14:editId="116F4E1C">
            <wp:extent cx="5726099" cy="1553002"/>
            <wp:effectExtent l="0" t="0" r="0" b="0"/>
            <wp:docPr id="21431082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26099" cy="1553002"/>
                    </a:xfrm>
                    <a:prstGeom prst="rect">
                      <a:avLst/>
                    </a:prstGeom>
                    <a:ln/>
                  </pic:spPr>
                </pic:pic>
              </a:graphicData>
            </a:graphic>
          </wp:inline>
        </w:drawing>
      </w:r>
      <w:r w:rsidRPr="00E813DF">
        <w:rPr>
          <w:noProof/>
        </w:rPr>
        <mc:AlternateContent>
          <mc:Choice Requires="wpg">
            <w:drawing>
              <wp:anchor distT="0" distB="0" distL="114300" distR="114300" simplePos="0" relativeHeight="251658240" behindDoc="0" locked="0" layoutInCell="1" hidden="0" allowOverlap="1" wp14:anchorId="761449A8" wp14:editId="035AA8CC">
                <wp:simplePos x="0" y="0"/>
                <wp:positionH relativeFrom="column">
                  <wp:posOffset>1250950</wp:posOffset>
                </wp:positionH>
                <wp:positionV relativeFrom="paragraph">
                  <wp:posOffset>260350</wp:posOffset>
                </wp:positionV>
                <wp:extent cx="2764809" cy="374650"/>
                <wp:effectExtent l="0" t="0" r="0" b="0"/>
                <wp:wrapNone/>
                <wp:docPr id="2143108270" name="Rectángulo 2143108270"/>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14:paraId="3188C210" w14:textId="77777777" w:rsidR="00304047" w:rsidRDefault="00304047">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1250950</wp:posOffset>
                </wp:positionH>
                <wp:positionV relativeFrom="paragraph">
                  <wp:posOffset>260350</wp:posOffset>
                </wp:positionV>
                <wp:extent cx="2764809" cy="374650"/>
                <wp:effectExtent b="0" l="0" r="0" t="0"/>
                <wp:wrapNone/>
                <wp:docPr id="2143108270"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2764809" cy="374650"/>
                        </a:xfrm>
                        <a:prstGeom prst="rect"/>
                        <a:ln/>
                      </pic:spPr>
                    </pic:pic>
                  </a:graphicData>
                </a:graphic>
              </wp:anchor>
            </w:drawing>
          </mc:Fallback>
        </mc:AlternateContent>
      </w:r>
      <w:r w:rsidRPr="00E813DF">
        <w:rPr>
          <w:noProof/>
        </w:rPr>
        <mc:AlternateContent>
          <mc:Choice Requires="wpg">
            <w:drawing>
              <wp:anchor distT="0" distB="0" distL="114300" distR="114300" simplePos="0" relativeHeight="251659264" behindDoc="0" locked="0" layoutInCell="1" hidden="0" allowOverlap="1" wp14:anchorId="480A49D7" wp14:editId="4DBF8BA1">
                <wp:simplePos x="0" y="0"/>
                <wp:positionH relativeFrom="column">
                  <wp:posOffset>171450</wp:posOffset>
                </wp:positionH>
                <wp:positionV relativeFrom="paragraph">
                  <wp:posOffset>768350</wp:posOffset>
                </wp:positionV>
                <wp:extent cx="840474" cy="601639"/>
                <wp:effectExtent l="0" t="0" r="0" b="0"/>
                <wp:wrapNone/>
                <wp:docPr id="2143108271" name="Rectángulo 2143108271"/>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14:paraId="48FAF780" w14:textId="77777777" w:rsidR="00304047" w:rsidRDefault="00304047">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171450</wp:posOffset>
                </wp:positionH>
                <wp:positionV relativeFrom="paragraph">
                  <wp:posOffset>768350</wp:posOffset>
                </wp:positionV>
                <wp:extent cx="840474" cy="601639"/>
                <wp:effectExtent b="0" l="0" r="0" t="0"/>
                <wp:wrapNone/>
                <wp:docPr id="2143108271"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840474" cy="601639"/>
                        </a:xfrm>
                        <a:prstGeom prst="rect"/>
                        <a:ln/>
                      </pic:spPr>
                    </pic:pic>
                  </a:graphicData>
                </a:graphic>
              </wp:anchor>
            </w:drawing>
          </mc:Fallback>
        </mc:AlternateContent>
      </w:r>
    </w:p>
    <w:p w14:paraId="190E8816" w14:textId="77777777" w:rsidR="00304047" w:rsidRPr="00E813DF" w:rsidRDefault="00CA623F">
      <w:pPr>
        <w:widowControl w:val="0"/>
        <w:spacing w:before="240" w:after="240" w:line="360" w:lineRule="auto"/>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noProof/>
          <w:sz w:val="22"/>
          <w:szCs w:val="22"/>
        </w:rPr>
        <w:drawing>
          <wp:inline distT="0" distB="0" distL="0" distR="0" wp14:anchorId="485C871D" wp14:editId="20B84565">
            <wp:extent cx="5871618" cy="2084929"/>
            <wp:effectExtent l="0" t="0" r="0" b="0"/>
            <wp:docPr id="21431082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871618" cy="2084929"/>
                    </a:xfrm>
                    <a:prstGeom prst="rect">
                      <a:avLst/>
                    </a:prstGeom>
                    <a:ln/>
                  </pic:spPr>
                </pic:pic>
              </a:graphicData>
            </a:graphic>
          </wp:inline>
        </w:drawing>
      </w:r>
      <w:r w:rsidRPr="00E813DF">
        <w:rPr>
          <w:noProof/>
        </w:rPr>
        <mc:AlternateContent>
          <mc:Choice Requires="wpg">
            <w:drawing>
              <wp:anchor distT="0" distB="0" distL="114300" distR="114300" simplePos="0" relativeHeight="251660288" behindDoc="0" locked="0" layoutInCell="1" hidden="0" allowOverlap="1" wp14:anchorId="584AEFB5" wp14:editId="4DDADF8D">
                <wp:simplePos x="0" y="0"/>
                <wp:positionH relativeFrom="column">
                  <wp:posOffset>1098550</wp:posOffset>
                </wp:positionH>
                <wp:positionV relativeFrom="paragraph">
                  <wp:posOffset>158750</wp:posOffset>
                </wp:positionV>
                <wp:extent cx="2580564" cy="526576"/>
                <wp:effectExtent l="0" t="0" r="0" b="0"/>
                <wp:wrapNone/>
                <wp:docPr id="2143108273" name="Rectángulo 2143108273"/>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14:paraId="155F31C3" w14:textId="77777777" w:rsidR="00304047" w:rsidRDefault="00304047">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1098550</wp:posOffset>
                </wp:positionH>
                <wp:positionV relativeFrom="paragraph">
                  <wp:posOffset>158750</wp:posOffset>
                </wp:positionV>
                <wp:extent cx="2580564" cy="526576"/>
                <wp:effectExtent b="0" l="0" r="0" t="0"/>
                <wp:wrapNone/>
                <wp:docPr id="2143108273"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2580564" cy="526576"/>
                        </a:xfrm>
                        <a:prstGeom prst="rect"/>
                        <a:ln/>
                      </pic:spPr>
                    </pic:pic>
                  </a:graphicData>
                </a:graphic>
              </wp:anchor>
            </w:drawing>
          </mc:Fallback>
        </mc:AlternateContent>
      </w:r>
      <w:r w:rsidRPr="00E813DF">
        <w:rPr>
          <w:noProof/>
        </w:rPr>
        <mc:AlternateContent>
          <mc:Choice Requires="wpg">
            <w:drawing>
              <wp:anchor distT="0" distB="0" distL="114300" distR="114300" simplePos="0" relativeHeight="251661312" behindDoc="0" locked="0" layoutInCell="1" hidden="0" allowOverlap="1" wp14:anchorId="60BEF42B" wp14:editId="18AA0E8F">
                <wp:simplePos x="0" y="0"/>
                <wp:positionH relativeFrom="column">
                  <wp:posOffset>1122404</wp:posOffset>
                </wp:positionH>
                <wp:positionV relativeFrom="paragraph">
                  <wp:posOffset>977513</wp:posOffset>
                </wp:positionV>
                <wp:extent cx="2580564" cy="412750"/>
                <wp:effectExtent l="0" t="0" r="0" b="0"/>
                <wp:wrapNone/>
                <wp:docPr id="2143108272" name="Rectángulo 2143108272"/>
                <wp:cNvGraphicFramePr/>
                <a:graphic xmlns:a="http://schemas.openxmlformats.org/drawingml/2006/main">
                  <a:graphicData uri="http://schemas.microsoft.com/office/word/2010/wordprocessingShape">
                    <wps:wsp>
                      <wps:cNvSpPr/>
                      <wps:spPr>
                        <a:xfrm>
                          <a:off x="4065243" y="3583150"/>
                          <a:ext cx="2561514" cy="393700"/>
                        </a:xfrm>
                        <a:prstGeom prst="rect">
                          <a:avLst/>
                        </a:prstGeom>
                        <a:noFill/>
                        <a:ln w="19050" cap="flat" cmpd="sng">
                          <a:solidFill>
                            <a:srgbClr val="FF0000"/>
                          </a:solidFill>
                          <a:prstDash val="solid"/>
                          <a:miter lim="800000"/>
                          <a:headEnd type="none" w="sm" len="sm"/>
                          <a:tailEnd type="none" w="sm" len="sm"/>
                        </a:ln>
                      </wps:spPr>
                      <wps:txbx>
                        <w:txbxContent>
                          <w:p w14:paraId="537C451C" w14:textId="77777777" w:rsidR="00304047" w:rsidRDefault="00304047">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1122404</wp:posOffset>
                </wp:positionH>
                <wp:positionV relativeFrom="paragraph">
                  <wp:posOffset>977513</wp:posOffset>
                </wp:positionV>
                <wp:extent cx="2580564" cy="412750"/>
                <wp:effectExtent b="0" l="0" r="0" t="0"/>
                <wp:wrapNone/>
                <wp:docPr id="2143108272"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2580564" cy="412750"/>
                        </a:xfrm>
                        <a:prstGeom prst="rect"/>
                        <a:ln/>
                      </pic:spPr>
                    </pic:pic>
                  </a:graphicData>
                </a:graphic>
              </wp:anchor>
            </w:drawing>
          </mc:Fallback>
        </mc:AlternateContent>
      </w:r>
      <w:r w:rsidRPr="00E813DF">
        <w:rPr>
          <w:noProof/>
        </w:rPr>
        <mc:AlternateContent>
          <mc:Choice Requires="wpg">
            <w:drawing>
              <wp:anchor distT="0" distB="0" distL="114300" distR="114300" simplePos="0" relativeHeight="251662336" behindDoc="0" locked="0" layoutInCell="1" hidden="0" allowOverlap="1" wp14:anchorId="4EFD3DDE" wp14:editId="643B5725">
                <wp:simplePos x="0" y="0"/>
                <wp:positionH relativeFrom="column">
                  <wp:posOffset>333623</wp:posOffset>
                </wp:positionH>
                <wp:positionV relativeFrom="paragraph">
                  <wp:posOffset>338483</wp:posOffset>
                </wp:positionV>
                <wp:extent cx="394335" cy="1299210"/>
                <wp:effectExtent l="0" t="0" r="0" b="0"/>
                <wp:wrapNone/>
                <wp:docPr id="2143108274" name="Rectángulo 2143108274"/>
                <wp:cNvGraphicFramePr/>
                <a:graphic xmlns:a="http://schemas.openxmlformats.org/drawingml/2006/main">
                  <a:graphicData uri="http://schemas.microsoft.com/office/word/2010/wordprocessingShape">
                    <wps:wsp>
                      <wps:cNvSpPr/>
                      <wps:spPr>
                        <a:xfrm>
                          <a:off x="5158358" y="3139920"/>
                          <a:ext cx="375285" cy="1280160"/>
                        </a:xfrm>
                        <a:prstGeom prst="rect">
                          <a:avLst/>
                        </a:prstGeom>
                        <a:noFill/>
                        <a:ln w="19050" cap="flat" cmpd="sng">
                          <a:solidFill>
                            <a:srgbClr val="FF0000"/>
                          </a:solidFill>
                          <a:prstDash val="solid"/>
                          <a:miter lim="800000"/>
                          <a:headEnd type="none" w="sm" len="sm"/>
                          <a:tailEnd type="none" w="sm" len="sm"/>
                        </a:ln>
                      </wps:spPr>
                      <wps:txbx>
                        <w:txbxContent>
                          <w:p w14:paraId="4010CA09" w14:textId="77777777" w:rsidR="00304047" w:rsidRDefault="00304047">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333623</wp:posOffset>
                </wp:positionH>
                <wp:positionV relativeFrom="paragraph">
                  <wp:posOffset>338483</wp:posOffset>
                </wp:positionV>
                <wp:extent cx="394335" cy="1299210"/>
                <wp:effectExtent b="0" l="0" r="0" t="0"/>
                <wp:wrapNone/>
                <wp:docPr id="2143108274"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394335" cy="1299210"/>
                        </a:xfrm>
                        <a:prstGeom prst="rect"/>
                        <a:ln/>
                      </pic:spPr>
                    </pic:pic>
                  </a:graphicData>
                </a:graphic>
              </wp:anchor>
            </w:drawing>
          </mc:Fallback>
        </mc:AlternateContent>
      </w:r>
    </w:p>
    <w:p w14:paraId="5D876F2F" w14:textId="77777777" w:rsidR="00304047" w:rsidRPr="00E813DF" w:rsidRDefault="00CA623F">
      <w:pPr>
        <w:widowControl w:val="0"/>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2FC14AF2" w14:textId="77777777" w:rsidR="00304047" w:rsidRPr="00E813DF" w:rsidRDefault="00CA623F">
      <w:pPr>
        <w:widowControl w:val="0"/>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el caso de la edad, se trata de un dato personal sensible que concierne únicamente a su titular, al corresponder a su esfera más íntima. </w:t>
      </w:r>
    </w:p>
    <w:p w14:paraId="2564FCD5" w14:textId="77777777" w:rsidR="00304047" w:rsidRPr="00E813DF" w:rsidRDefault="00CA623F">
      <w:pPr>
        <w:widowControl w:val="0"/>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2E4445D5" w14:textId="77777777" w:rsidR="00304047" w:rsidRPr="00E813DF" w:rsidRDefault="00CA623F">
      <w:pPr>
        <w:widowControl w:val="0"/>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lo tanto, aún y cuando la credencial de elector puede dar cuenta del requisito previsto en la fracción III del artículo 47 de la Ley del Trabajo de la Entidad, atendiendo los datos personales que la conforman, procede su clasificación en su totalidad.</w:t>
      </w:r>
    </w:p>
    <w:p w14:paraId="0C37B6AD" w14:textId="77777777" w:rsidR="00304047" w:rsidRPr="00E813DF" w:rsidRDefault="00CA623F">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u w:val="single"/>
        </w:rPr>
      </w:pPr>
      <w:r w:rsidRPr="00E813DF">
        <w:rPr>
          <w:rFonts w:ascii="Palatino Linotype" w:eastAsia="Palatino Linotype" w:hAnsi="Palatino Linotype" w:cs="Palatino Linotype"/>
          <w:b/>
          <w:bCs/>
          <w:sz w:val="22"/>
          <w:szCs w:val="22"/>
          <w:u w:val="single"/>
        </w:rPr>
        <w:t>Informe o Certificado de no antecedentes penales.</w:t>
      </w:r>
    </w:p>
    <w:p w14:paraId="5067CA76" w14:textId="77777777" w:rsidR="00304047" w:rsidRPr="00E813DF" w:rsidRDefault="00CA623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Al respecto,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38CEF2E0" w14:textId="77777777" w:rsidR="00304047" w:rsidRPr="00E813DF" w:rsidRDefault="00CA623F">
      <w:pPr>
        <w:spacing w:before="240" w:after="240" w:line="360" w:lineRule="auto"/>
        <w:ind w:left="567" w:right="85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E813DF">
        <w:rPr>
          <w:rFonts w:ascii="Palatino Linotype" w:eastAsia="Palatino Linotype" w:hAnsi="Palatino Linotype" w:cs="Palatino Linotype"/>
          <w:i/>
          <w:iCs/>
          <w:sz w:val="22"/>
          <w:szCs w:val="22"/>
        </w:rPr>
        <w:t>, lo que se traduce en una violación de derecho y libertades consagrados en nuestra Carta Magna y en la propia Ley Federal para Prevenir y Eliminar la Discriminación, específicamente en su artículo 1, fracción III.</w:t>
      </w:r>
    </w:p>
    <w:p w14:paraId="76484554" w14:textId="77777777" w:rsidR="00304047" w:rsidRPr="00E813DF" w:rsidRDefault="00CA623F">
      <w:pPr>
        <w:spacing w:before="240" w:after="240" w:line="360" w:lineRule="auto"/>
        <w:ind w:left="567" w:right="85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E813DF">
        <w:rPr>
          <w:rFonts w:ascii="Palatino Linotype" w:eastAsia="Palatino Linotype" w:hAnsi="Palatino Linotype" w:cs="Palatino Linotype"/>
          <w:i/>
          <w:iCs/>
          <w:sz w:val="22"/>
          <w:szCs w:val="22"/>
        </w:rPr>
        <w:t>” (Énfasis añadido)</w:t>
      </w:r>
    </w:p>
    <w:p w14:paraId="4D988C12" w14:textId="77777777" w:rsidR="00304047" w:rsidRPr="00E813DF" w:rsidRDefault="00304047">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p>
    <w:p w14:paraId="70425F62" w14:textId="77777777" w:rsidR="00304047" w:rsidRPr="00E813DF" w:rsidRDefault="00CA623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tal caso, es a partir de la publicación de la derogación de este precepto legal en el periódico oficial “Gaceta de Gobierno”, que la obligación de requerir a los servidores públicos el documento referido como condicionante para ingresar al servicio público es inexistente.</w:t>
      </w:r>
    </w:p>
    <w:p w14:paraId="3D52326E" w14:textId="77777777" w:rsidR="00304047" w:rsidRPr="00E813DF" w:rsidRDefault="00CA623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No obstante, debe tenerse en cuenta que el artículo 47 de la Ley del Trabajo de los Servidores Públicos del Estado y Municipios, refiere en la fracción III que para ingresar al servicio público, se requiere, estar en pleno ejercicio de sus derechos civiles y políticos, en su caso. </w:t>
      </w:r>
    </w:p>
    <w:p w14:paraId="15657B4F" w14:textId="77777777" w:rsidR="00304047" w:rsidRPr="00E813DF" w:rsidRDefault="00CA623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w:t>
      </w:r>
    </w:p>
    <w:p w14:paraId="713834E7" w14:textId="77777777" w:rsidR="00304047" w:rsidRPr="00E813DF" w:rsidRDefault="00CA623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u w:val="single"/>
        </w:rPr>
      </w:pPr>
      <w:r w:rsidRPr="00E813DF">
        <w:rPr>
          <w:rFonts w:ascii="Palatino Linotype" w:eastAsia="Palatino Linotype" w:hAnsi="Palatino Linotype" w:cs="Palatino Linotype"/>
          <w:sz w:val="22"/>
          <w:szCs w:val="22"/>
          <w:u w:val="single"/>
        </w:rPr>
        <w:t>Máxime que dichas documentales también dan cuenta del cumplimiento del requisito en cuestión, pues en materia de derecho penal, una persona que tiene la imputación de un delito del cual ha resultado responsable mediante sentencia ejecutoriada y cuya pena haya sido la prisión, por tanto, sus derechos civiles y políticos pueden verse suspendidos.</w:t>
      </w:r>
    </w:p>
    <w:p w14:paraId="14526C65" w14:textId="77777777" w:rsidR="00304047" w:rsidRPr="00E813DF" w:rsidRDefault="00CA623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lo que, </w:t>
      </w:r>
      <w:r w:rsidRPr="00E813DF">
        <w:rPr>
          <w:rFonts w:ascii="Palatino Linotype" w:eastAsia="Palatino Linotype" w:hAnsi="Palatino Linotype" w:cs="Palatino Linotype"/>
          <w:b/>
          <w:bCs/>
          <w:sz w:val="22"/>
          <w:szCs w:val="22"/>
        </w:rPr>
        <w:t>para colmar el requisito de mérito, procede ordenarse la entrega del informe o certificado de no antecedentes penales del servidor público en cuestión</w:t>
      </w:r>
      <w:r w:rsidRPr="00E813DF">
        <w:rPr>
          <w:rFonts w:ascii="Palatino Linotype" w:eastAsia="Palatino Linotype" w:hAnsi="Palatino Linotype" w:cs="Palatino Linotype"/>
          <w:sz w:val="22"/>
          <w:szCs w:val="22"/>
        </w:rPr>
        <w:t>, en versión pública, en virtud de que puede contener datos personales de índole confidencial tales como: el Registro Federal de Contribuyentes y Clave Única de Registro de Población.</w:t>
      </w:r>
    </w:p>
    <w:p w14:paraId="39151684" w14:textId="77777777" w:rsidR="00304047" w:rsidRPr="00E813DF" w:rsidRDefault="00CA623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Sin embargo, en el supuesto de que la información ordenada no obre en los archivos del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w:t>
      </w:r>
      <w:r w:rsidRPr="00E813DF">
        <w:rPr>
          <w:rFonts w:ascii="Palatino Linotype" w:eastAsia="Palatino Linotype" w:hAnsi="Palatino Linotype" w:cs="Palatino Linotype"/>
          <w:b/>
          <w:bCs/>
          <w:sz w:val="22"/>
          <w:szCs w:val="22"/>
        </w:rPr>
        <w:t>por no haber sido requerido al servidor público al momento de su ingreso al servicio público</w:t>
      </w:r>
      <w:r w:rsidRPr="00E813DF">
        <w:rPr>
          <w:rFonts w:ascii="Palatino Linotype" w:eastAsia="Palatino Linotype" w:hAnsi="Palatino Linotype" w:cs="Palatino Linotype"/>
          <w:sz w:val="22"/>
          <w:szCs w:val="22"/>
        </w:rPr>
        <w:t>,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790D85CA" w14:textId="77777777" w:rsidR="00304047" w:rsidRPr="00E813DF" w:rsidRDefault="00CA623F">
      <w:pPr>
        <w:numPr>
          <w:ilvl w:val="0"/>
          <w:numId w:val="9"/>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u w:val="single"/>
        </w:rPr>
        <w:t xml:space="preserve">Constancia o certificado médico: </w:t>
      </w:r>
    </w:p>
    <w:p w14:paraId="16D28D4C" w14:textId="77777777" w:rsidR="00304047" w:rsidRPr="00E813DF" w:rsidRDefault="00CA623F">
      <w:pPr>
        <w:spacing w:before="240" w:after="240" w:line="360" w:lineRule="auto"/>
        <w:ind w:right="51"/>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26835A47" w14:textId="77777777" w:rsidR="00304047" w:rsidRPr="00E813DF" w:rsidRDefault="00CA623F">
      <w:pPr>
        <w:spacing w:before="240" w:after="240" w:line="360" w:lineRule="auto"/>
        <w:ind w:right="51"/>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tales circunstancias, se considera que la información contenida en el certificado médico únicamente identifica el estado de salud físico y mental del servidor público, lo cual guarda el carácter confidencial, en términos del artículo 143, fracción I, de la Ley de Transparencia y Acceso a la Información Pública del Estado de México y Municipios, por lo que si bien es requisito tener buena salud, no se prevé como requisito obligatorio para ingresar al servicio público la entrega de certificado o constancia médica, sino sólo su comprobación mediante dichos documentos.</w:t>
      </w:r>
    </w:p>
    <w:p w14:paraId="182B1C14" w14:textId="77777777" w:rsidR="00304047" w:rsidRPr="00E813DF" w:rsidRDefault="00CA623F">
      <w:pPr>
        <w:spacing w:before="240" w:after="240" w:line="360" w:lineRule="auto"/>
        <w:ind w:right="51"/>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ahí que el servidor público de quien se requiere no está constreñido en hacer entrega de dicho documento.</w:t>
      </w:r>
    </w:p>
    <w:p w14:paraId="48E0ED47" w14:textId="77777777" w:rsidR="00304047" w:rsidRPr="00E813DF" w:rsidRDefault="00CA623F">
      <w:pPr>
        <w:spacing w:before="240" w:after="240" w:line="360" w:lineRule="auto"/>
        <w:ind w:right="51"/>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lo que, de obrar en los archivos dicha información, </w:t>
      </w:r>
      <w:r w:rsidRPr="00E813DF">
        <w:rPr>
          <w:rFonts w:ascii="Palatino Linotype" w:eastAsia="Palatino Linotype" w:hAnsi="Palatino Linotype" w:cs="Palatino Linotype"/>
          <w:b/>
          <w:bCs/>
          <w:sz w:val="22"/>
          <w:szCs w:val="22"/>
        </w:rPr>
        <w:t>para colmar el  mismo deberá entregar el acuerdo que sustente la clasificación en su totalidad del certificado médico del servidor público requerido.</w:t>
      </w:r>
    </w:p>
    <w:p w14:paraId="77FB979A" w14:textId="77777777" w:rsidR="00304047" w:rsidRPr="00E813DF" w:rsidRDefault="00CA623F">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u w:val="single"/>
        </w:rPr>
      </w:pPr>
      <w:r w:rsidRPr="00E813DF">
        <w:rPr>
          <w:rFonts w:ascii="Palatino Linotype" w:eastAsia="Palatino Linotype" w:hAnsi="Palatino Linotype" w:cs="Palatino Linotype"/>
          <w:b/>
          <w:bCs/>
          <w:sz w:val="22"/>
          <w:szCs w:val="22"/>
          <w:u w:val="single"/>
        </w:rPr>
        <w:t>Constancia de no inhabilitación.</w:t>
      </w:r>
    </w:p>
    <w:p w14:paraId="09F3F4D9"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6F04CCB8"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Es el documento que expide la Secretaría de la Contraloría del Estado de México por medio del sistema electrónico extranet </w:t>
      </w:r>
      <w:hyperlink r:id="rId15">
        <w:r w:rsidRPr="00E813DF">
          <w:rPr>
            <w:rFonts w:ascii="Palatino Linotype" w:eastAsia="Palatino Linotype" w:hAnsi="Palatino Linotype" w:cs="Palatino Linotype"/>
            <w:sz w:val="22"/>
            <w:szCs w:val="22"/>
            <w:u w:val="single"/>
          </w:rPr>
          <w:t>www.secogem.gob.mx/constancias/</w:t>
        </w:r>
      </w:hyperlink>
      <w:r w:rsidRPr="00E813DF">
        <w:rPr>
          <w:rFonts w:ascii="Palatino Linotype" w:eastAsia="Palatino Linotype" w:hAnsi="Palatino Linotype" w:cs="Palatino Linotype"/>
          <w:sz w:val="22"/>
          <w:szCs w:val="22"/>
        </w:rPr>
        <w:t xml:space="preserve"> en el cual se informa si las personas físicas cuentan con alguna sanción o inhabilitación para ocupar un empleo, cargo o comisión de carácter público. </w:t>
      </w:r>
    </w:p>
    <w:p w14:paraId="262EAF46"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lo anterior, este documento es de naturaleza pública, sin embargo, no pasa desapercibido mencionar que puede contener datos que actualizan la causal prevista en la fracción I del artículo 143 de la Ley de Transparencia del Estado de México y Municipios, ya que puede contener datos como la CURP y RFC; y, por tanto, procede su entrega en versión pública.</w:t>
      </w:r>
    </w:p>
    <w:p w14:paraId="6806D0CA" w14:textId="77777777" w:rsidR="00304047" w:rsidRPr="00E813DF" w:rsidRDefault="00CA623F">
      <w:pPr>
        <w:spacing w:before="240" w:after="240" w:line="360" w:lineRule="auto"/>
        <w:ind w:right="51"/>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Además, es de precisar que con la entrega de dichas constancias de no inhabilitación se colma el requisito relativo a “</w:t>
      </w:r>
      <w:r w:rsidRPr="00E813DF">
        <w:rPr>
          <w:rFonts w:ascii="Palatino Linotype" w:eastAsia="Palatino Linotype" w:hAnsi="Palatino Linotype" w:cs="Palatino Linotype"/>
          <w:b/>
          <w:bCs/>
          <w:i/>
          <w:iCs/>
          <w:sz w:val="22"/>
          <w:szCs w:val="22"/>
        </w:rPr>
        <w:t>No haber sido separado anteriormente del servicio por las causas previstas en el artículo 93 de la Ley de Trabajo de los Servidores Públicos de la Entidad</w:t>
      </w:r>
      <w:r w:rsidRPr="00E813DF">
        <w:rPr>
          <w:rFonts w:ascii="Palatino Linotype" w:eastAsia="Palatino Linotype" w:hAnsi="Palatino Linotype" w:cs="Palatino Linotype"/>
          <w:sz w:val="22"/>
          <w:szCs w:val="22"/>
        </w:rPr>
        <w:t>”.</w:t>
      </w:r>
    </w:p>
    <w:p w14:paraId="6884D6B5"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Conviene citar el contenido del artículo 93 de la Ley del Trabajo de la Entidad, en la parte de nuestro interés:</w:t>
      </w:r>
    </w:p>
    <w:p w14:paraId="4B2DCB39" w14:textId="77777777" w:rsidR="00304047" w:rsidRPr="00E813DF" w:rsidRDefault="00CA623F">
      <w:pPr>
        <w:spacing w:before="240" w:after="240" w:line="360" w:lineRule="auto"/>
        <w:ind w:left="567" w:right="56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93. Son causas de rescisión de la relación laboral, sin responsabilidad para las instituciones públicas:</w:t>
      </w:r>
      <w:r w:rsidRPr="00E813DF">
        <w:rPr>
          <w:rFonts w:ascii="Palatino Linotype" w:eastAsia="Palatino Linotype" w:hAnsi="Palatino Linotype" w:cs="Palatino Linotype"/>
          <w:i/>
          <w:iCs/>
          <w:sz w:val="22"/>
          <w:szCs w:val="22"/>
        </w:rPr>
        <w:t xml:space="preserve"> </w:t>
      </w:r>
    </w:p>
    <w:p w14:paraId="36DA3202" w14:textId="77777777" w:rsidR="00304047" w:rsidRPr="00E813DF" w:rsidRDefault="00304047">
      <w:pPr>
        <w:spacing w:before="240" w:after="240" w:line="360" w:lineRule="auto"/>
        <w:ind w:left="567" w:right="560"/>
        <w:jc w:val="both"/>
        <w:rPr>
          <w:rFonts w:ascii="Palatino Linotype" w:eastAsia="Palatino Linotype" w:hAnsi="Palatino Linotype" w:cs="Palatino Linotype"/>
          <w:i/>
          <w:iCs/>
          <w:sz w:val="22"/>
          <w:szCs w:val="22"/>
        </w:rPr>
      </w:pPr>
    </w:p>
    <w:p w14:paraId="6BBD4A92" w14:textId="77777777" w:rsidR="00304047" w:rsidRPr="00E813DF" w:rsidRDefault="00CA623F">
      <w:pPr>
        <w:spacing w:before="240" w:after="240" w:line="360" w:lineRule="auto"/>
        <w:ind w:left="567" w:right="56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57E2A6B1" w14:textId="77777777" w:rsidR="00304047" w:rsidRPr="00E813DF" w:rsidRDefault="00CA623F">
      <w:pPr>
        <w:spacing w:before="240" w:after="240" w:line="360" w:lineRule="auto"/>
        <w:ind w:left="567" w:right="56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II. Tener asignada más de una plaza en la misma o en diferentes instituciones públicas o dependencias, con las excepciones que esta ley señala, o bien cobrar un sueldo sin desempeñar funciones; </w:t>
      </w:r>
    </w:p>
    <w:p w14:paraId="2D21C49F" w14:textId="77777777" w:rsidR="00304047" w:rsidRPr="00E813DF" w:rsidRDefault="00CA623F">
      <w:pPr>
        <w:spacing w:before="240" w:after="240" w:line="360" w:lineRule="auto"/>
        <w:ind w:left="567" w:right="56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0380C5F5" w14:textId="77777777" w:rsidR="00304047" w:rsidRPr="00E813DF" w:rsidRDefault="00CA623F">
      <w:pPr>
        <w:spacing w:before="240" w:after="240" w:line="360" w:lineRule="auto"/>
        <w:ind w:left="567" w:right="56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IV. Incurrir en cuatro o más faltas de asistencia a sus labores sin causa justificada, dentro de un lapso de treinta días; V. Abandonar las labores sin autorización previa o razón plenamente justificada, en contravención a lo establecido en las condiciones generales de trabajo; </w:t>
      </w:r>
    </w:p>
    <w:p w14:paraId="7E36F256" w14:textId="77777777" w:rsidR="00304047" w:rsidRPr="00E813DF" w:rsidRDefault="00CA623F">
      <w:pPr>
        <w:spacing w:before="240" w:after="240" w:line="360" w:lineRule="auto"/>
        <w:ind w:left="567" w:right="56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VI. Causar daños intencionalmente a edificios, obras, equipo, maquinaria, instrumentos, materias primas y demás objetos relacionados con el trabajo, o por sustraerlos en beneficio propio; </w:t>
      </w:r>
    </w:p>
    <w:p w14:paraId="1CFBBF23" w14:textId="77777777" w:rsidR="00304047" w:rsidRPr="00E813DF" w:rsidRDefault="00CA623F">
      <w:pPr>
        <w:spacing w:before="240" w:after="240" w:line="360" w:lineRule="auto"/>
        <w:ind w:left="567" w:right="56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VII. Cometer actos inmorales durante el trabajo; </w:t>
      </w:r>
    </w:p>
    <w:p w14:paraId="00E058CB" w14:textId="77777777" w:rsidR="00304047" w:rsidRPr="00E813DF" w:rsidRDefault="00CA623F">
      <w:pPr>
        <w:spacing w:before="240" w:after="240" w:line="360" w:lineRule="auto"/>
        <w:ind w:left="567" w:right="56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VIII. Revelar los asuntos confidenciales o reservados así calificados por la institución pública o dependencia donde labore, de los cuales tuviese conocimiento con motivo de su trabajo; […]”</w:t>
      </w:r>
    </w:p>
    <w:p w14:paraId="39BB0444" w14:textId="77777777" w:rsidR="00304047" w:rsidRPr="00E813DF" w:rsidRDefault="00304047">
      <w:pPr>
        <w:spacing w:before="240" w:after="240" w:line="360" w:lineRule="auto"/>
        <w:ind w:left="567" w:right="560"/>
        <w:jc w:val="both"/>
        <w:rPr>
          <w:rFonts w:ascii="Palatino Linotype" w:eastAsia="Palatino Linotype" w:hAnsi="Palatino Linotype" w:cs="Palatino Linotype"/>
          <w:i/>
          <w:iCs/>
          <w:sz w:val="22"/>
          <w:szCs w:val="22"/>
        </w:rPr>
      </w:pPr>
    </w:p>
    <w:p w14:paraId="569F7819" w14:textId="77777777" w:rsidR="00304047" w:rsidRPr="00E813DF" w:rsidRDefault="00CA623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lo que, en el caso, procede, en versión pública, en virtud de que puede contener datos personales de índole confidencial tales como: el Registro Federal de Contribuyentes.</w:t>
      </w:r>
    </w:p>
    <w:p w14:paraId="3ECF42C1" w14:textId="77777777" w:rsidR="00304047" w:rsidRPr="00E813DF" w:rsidRDefault="00CA623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Cartilla militar.</w:t>
      </w:r>
    </w:p>
    <w:p w14:paraId="3040C0A1"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contendrán lo siguiente:</w:t>
      </w:r>
    </w:p>
    <w:p w14:paraId="3F2AA426"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151.-</w:t>
      </w:r>
      <w:r w:rsidRPr="00E813DF">
        <w:rPr>
          <w:rFonts w:ascii="Palatino Linotype" w:eastAsia="Palatino Linotype" w:hAnsi="Palatino Linotype" w:cs="Palatino Linotype"/>
          <w:i/>
          <w:iCs/>
          <w:sz w:val="22"/>
          <w:szCs w:val="22"/>
        </w:rPr>
        <w:t xml:space="preserve"> Una vez inscritos los mexicanos, se les expedirá gratuitamente la cartilla de identificación que acreditará su identidad y el cumplimiento de sus deberes militares, y contendrá:</w:t>
      </w:r>
    </w:p>
    <w:p w14:paraId="61E82077"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 Un retrato de frente;</w:t>
      </w:r>
    </w:p>
    <w:p w14:paraId="21326D31"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 Sus generales (nombre y apellidos paterno y materno, edad, ocupación, estado civil y domicilio);</w:t>
      </w:r>
    </w:p>
    <w:p w14:paraId="2693C339"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III.- Matrícula;</w:t>
      </w:r>
    </w:p>
    <w:p w14:paraId="0DB5340E"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IV.- Clase a que pertenece;</w:t>
      </w:r>
    </w:p>
    <w:p w14:paraId="7B9AC876"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 Corporación a que se le destine;</w:t>
      </w:r>
    </w:p>
    <w:p w14:paraId="7C094CBA"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 Unidad a la que deba incorporarse en caso de movilización;</w:t>
      </w:r>
    </w:p>
    <w:p w14:paraId="0BD17123"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VII.- Firma de la autoridad que la expida;</w:t>
      </w:r>
    </w:p>
    <w:p w14:paraId="7CEDFF0A"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VIII.- Firma del interesado, si sabe hacerlo;</w:t>
      </w:r>
    </w:p>
    <w:p w14:paraId="515E0CBB"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IX.- Sello de la Junta Municipal de Reclutamiento o Consulado;</w:t>
      </w:r>
    </w:p>
    <w:p w14:paraId="201B4391"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 Huella digital.”</w:t>
      </w:r>
    </w:p>
    <w:p w14:paraId="50FBDF27"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Mientras que el artículo 17 y 18 del Reglamento de la Ley del Servicio Militar, rezan así:</w:t>
      </w:r>
    </w:p>
    <w:p w14:paraId="69ACADF6"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17.</w:t>
      </w:r>
      <w:r w:rsidRPr="00E813DF">
        <w:rPr>
          <w:rFonts w:ascii="Palatino Linotype" w:eastAsia="Palatino Linotype" w:hAnsi="Palatino Linotype" w:cs="Palatino Linotype"/>
          <w:i/>
          <w:iCs/>
          <w:sz w:val="22"/>
          <w:szCs w:val="22"/>
        </w:rPr>
        <w:t>- La inscripción de cada mexicano se hará una sola vez, entregándole gratuitamente una cartilla de identificación según modelo número uno.</w:t>
      </w:r>
    </w:p>
    <w:p w14:paraId="209AAB8F"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w:t>
      </w:r>
      <w:r w:rsidRPr="00E813DF">
        <w:rPr>
          <w:rFonts w:ascii="Palatino Linotype" w:eastAsia="Palatino Linotype" w:hAnsi="Palatino Linotype" w:cs="Palatino Linotype"/>
          <w:b/>
          <w:bCs/>
          <w:i/>
          <w:iCs/>
          <w:sz w:val="22"/>
          <w:szCs w:val="22"/>
        </w:rPr>
        <w:t>ARTÍCULO 18.-</w:t>
      </w:r>
      <w:r w:rsidRPr="00E813DF">
        <w:rPr>
          <w:rFonts w:ascii="Palatino Linotype" w:eastAsia="Palatino Linotype" w:hAnsi="Palatino Linotype" w:cs="Palatino Linotype"/>
          <w:i/>
          <w:iCs/>
          <w:sz w:val="22"/>
          <w:szCs w:val="22"/>
        </w:rPr>
        <w:t> Una vez hecha la inscripción ante las juntas municipales de reclutamiento o consulados y como consecuencia inmediata, se formarán en dichas oficinas los siguientes documentos:</w:t>
      </w:r>
    </w:p>
    <w:p w14:paraId="68B443B8"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w:t>
      </w:r>
      <w:r w:rsidRPr="00E813DF">
        <w:rPr>
          <w:rFonts w:ascii="Palatino Linotype" w:eastAsia="Palatino Linotype" w:hAnsi="Palatino Linotype" w:cs="Palatino Linotype"/>
          <w:i/>
          <w:iCs/>
          <w:sz w:val="22"/>
          <w:szCs w:val="22"/>
        </w:rPr>
        <w:t> Cartilla de identificación que se entregará al interesado...” </w:t>
      </w:r>
    </w:p>
    <w:p w14:paraId="6696E194"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los preceptos legales trascritos, se obtiene que el documento que permite acreditar la inscripción de cada mexicano, en cumplimiento a la Ley del Servicio Militar, lo es la cartilla de identificación que se entrega al interesado. 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es decir su clasificación total, motivo por el cual, de contar con este documento, se deberá clasificar mediante el acuerdo del Comité de Transparencia en su totalidad.</w:t>
      </w:r>
    </w:p>
    <w:p w14:paraId="4558CEA5" w14:textId="77777777" w:rsidR="00304047" w:rsidRPr="00E813DF" w:rsidRDefault="00CA623F">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Certificado de no deudor alimentario moroso:</w:t>
      </w:r>
    </w:p>
    <w:p w14:paraId="7AFC6EA6"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lo que hace los certificados de no deudor alimentario moroso, es de indicar que la Ley General de los Derechos de las Niñas, Niños y Adolescentes </w:t>
      </w:r>
      <w:hyperlink r:id="rId16">
        <w:r w:rsidRPr="00E813DF">
          <w:rPr>
            <w:rFonts w:ascii="Palatino Linotype" w:eastAsia="Palatino Linotype" w:hAnsi="Palatino Linotype" w:cs="Palatino Linotype"/>
            <w:sz w:val="22"/>
            <w:szCs w:val="22"/>
          </w:rPr>
          <w:t>https://www.diputados.gob.mx/LeyesBiblio/pdf/LGDNNA.pdf</w:t>
        </w:r>
      </w:hyperlink>
      <w:r w:rsidRPr="00E813DF">
        <w:rPr>
          <w:rFonts w:ascii="Palatino Linotype" w:eastAsia="Palatino Linotype" w:hAnsi="Palatino Linotype" w:cs="Palatino Linotype"/>
          <w:sz w:val="22"/>
          <w:szCs w:val="22"/>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412DC6EC"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143525E0"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La calidad de deudor moroso se difundirá en el Registro Nacional de Obligaciones Alimentarias, el cual, será público con base en lo dispuesto en la Ley General de Protección de Datos Personales en Posesión de Sujetos Obligados.</w:t>
      </w:r>
      <w:r w:rsidRPr="00E813DF">
        <w:rPr>
          <w:rFonts w:ascii="Palatino Linotype" w:eastAsia="Palatino Linotype" w:hAnsi="Palatino Linotype" w:cs="Palatino Linotype"/>
          <w:sz w:val="22"/>
          <w:szCs w:val="22"/>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55FAC98E"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Al respecto, en el Proyecto de Decreto por el que se Reforman y Adicionan Diversas Disposiciones para crear el Registro de Deudores Alimentarios del Estado de México, disponible en la dirección electrónica </w:t>
      </w:r>
      <w:hyperlink r:id="rId17">
        <w:r w:rsidRPr="00E813DF">
          <w:rPr>
            <w:rFonts w:ascii="Palatino Linotype" w:eastAsia="Palatino Linotype" w:hAnsi="Palatino Linotype" w:cs="Palatino Linotype"/>
            <w:sz w:val="22"/>
            <w:szCs w:val="22"/>
          </w:rPr>
          <w:t>https://legislacion.edomex.gob.mx/sites/legislacion.edomex.gob.mx/files/files/pdf/gct/2014/nov144.PDF</w:t>
        </w:r>
      </w:hyperlink>
      <w:r w:rsidRPr="00E813DF">
        <w:rPr>
          <w:rFonts w:ascii="Palatino Linotype" w:eastAsia="Palatino Linotype" w:hAnsi="Palatino Linotype" w:cs="Palatino Linotype"/>
          <w:sz w:val="22"/>
          <w:szCs w:val="22"/>
        </w:rPr>
        <w:t xml:space="preserve">, advierte lo siguiente: </w:t>
      </w:r>
    </w:p>
    <w:p w14:paraId="11133BDC"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w:t>
      </w:r>
      <w:r w:rsidRPr="00E813DF">
        <w:rPr>
          <w:rFonts w:ascii="Palatino Linotype" w:eastAsia="Palatino Linotype" w:hAnsi="Palatino Linotype" w:cs="Palatino Linotype"/>
          <w:i/>
          <w:iCs/>
          <w:sz w:val="22"/>
          <w:szCs w:val="22"/>
        </w:rPr>
        <w:t xml:space="preserve">4.146 Bis.- El área del Registro de Deudores Alimentarios Morosos, es una unidad administrativa del Registro Civil. Actos inscribibles en el Registro de Deudores Alimentarios Morosos </w:t>
      </w:r>
    </w:p>
    <w:p w14:paraId="29EC1049"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4.146 Ter.- En el Registro de Deudores Alimentarios Morosos se inscriben a las personas que el Juez de lo Familiar determina en términos del artículo 4.136 del presente Código. </w:t>
      </w:r>
    </w:p>
    <w:p w14:paraId="60397E2F"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Serán objeto de registro los empleadores que incumplan una orden de descuento para alimentos ordenada por el órgano jurisdiccional.</w:t>
      </w:r>
    </w:p>
    <w:p w14:paraId="18AABDB9"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De los datos que contendrá el Registro de Deudores Alimentarios Morosos </w:t>
      </w:r>
    </w:p>
    <w:p w14:paraId="693D2437"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Artículo. 4.146 Quáter.- El Registro de Deudores Alimentarios Morosos contendrá: </w:t>
      </w:r>
    </w:p>
    <w:p w14:paraId="69A35328"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 Nombre y Clave Única del Registro de Población del deudor alimentario; </w:t>
      </w:r>
    </w:p>
    <w:p w14:paraId="39BA0511"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II. Nombre del acreedor o acreedores alimentarios; </w:t>
      </w:r>
    </w:p>
    <w:p w14:paraId="3061275B"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III. Datos del acta que acredite el vínculo entre deudor y acreedor alimentario, en su caso; </w:t>
      </w:r>
    </w:p>
    <w:p w14:paraId="1A2FA128"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IV. Monto de la pensión decretada o convenida, en su caso, número de pagos incumplidos y monto del adeudo alimentario; </w:t>
      </w:r>
    </w:p>
    <w:p w14:paraId="30463FDE"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V. Órgano jurisdiccional que ordenó el registro; </w:t>
      </w:r>
    </w:p>
    <w:p w14:paraId="120CF44E"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VI. Datos del expediente jurisdiccional de la que deriva su inscripción. </w:t>
      </w:r>
    </w:p>
    <w:p w14:paraId="160500D9"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58FE3443" w14:textId="77777777" w:rsidR="00304047" w:rsidRPr="00E813DF" w:rsidRDefault="00CA623F">
      <w:pPr>
        <w:spacing w:before="240" w:after="240" w:line="360" w:lineRule="auto"/>
        <w:ind w:left="567" w:right="567"/>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xml:space="preserve">Datos del Certificado expedido por la Unidad del Registro de Deudores Alimentarios Morosos </w:t>
      </w:r>
    </w:p>
    <w:p w14:paraId="2B27C75B"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Artículo 4.146 Quinquies.- </w:t>
      </w:r>
      <w:r w:rsidRPr="00E813DF">
        <w:rPr>
          <w:rFonts w:ascii="Palatino Linotype" w:eastAsia="Palatino Linotype" w:hAnsi="Palatino Linotype" w:cs="Palatino Linotype"/>
          <w:b/>
          <w:bCs/>
          <w:i/>
          <w:iCs/>
          <w:sz w:val="22"/>
          <w:szCs w:val="22"/>
        </w:rPr>
        <w:t>El Certificado expedido por la Unidad del Registro de Deudores Alimentarios Morosos contendrá lo siguiente:</w:t>
      </w:r>
      <w:r w:rsidRPr="00E813DF">
        <w:rPr>
          <w:rFonts w:ascii="Palatino Linotype" w:eastAsia="Palatino Linotype" w:hAnsi="Palatino Linotype" w:cs="Palatino Linotype"/>
          <w:i/>
          <w:iCs/>
          <w:sz w:val="22"/>
          <w:szCs w:val="22"/>
        </w:rPr>
        <w:t xml:space="preserve"> </w:t>
      </w:r>
    </w:p>
    <w:p w14:paraId="3017BFCF"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 Nombre y Clave Única de Registro de Población del solicitante; </w:t>
      </w:r>
    </w:p>
    <w:p w14:paraId="1A262232"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 La información sobre su inscripción o no en el registro de deudores alimentarios morosos.</w:t>
      </w:r>
    </w:p>
    <w:p w14:paraId="43FAA245"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De ser el caso que el solicitante se encuentre inscrito en el registro, la constancia incluirá además lo siguiente:</w:t>
      </w:r>
    </w:p>
    <w:p w14:paraId="012FFD33"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 Número de acreedores alimentarios;</w:t>
      </w:r>
    </w:p>
    <w:p w14:paraId="29112F9F"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 Monto de la pensión alimenticia decretada o convenida;</w:t>
      </w:r>
    </w:p>
    <w:p w14:paraId="135CB30B"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III. Órgano jurisdiccional que ordenó el registro;</w:t>
      </w:r>
    </w:p>
    <w:p w14:paraId="664D6886"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IV. Datos del expediente jurisdiccional de la que deriva su inscripción.</w:t>
      </w:r>
    </w:p>
    <w:p w14:paraId="42AFD5BA"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El Certificado a que se refiere el presente artículo será expedido el mismo día hábil de su solicitud.</w:t>
      </w:r>
    </w:p>
    <w:p w14:paraId="6EA71816" w14:textId="77777777" w:rsidR="00304047" w:rsidRPr="00E813DF" w:rsidRDefault="00CA623F">
      <w:pPr>
        <w:spacing w:before="240" w:after="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1B53E3D4"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Ahora bien, respecto a aquellos servidores públicos que se encuentren o no inscritos en dicho registro, procede su entrega en versión pública, ya que al ser un requisito </w:t>
      </w:r>
      <w:r w:rsidRPr="00E813DF">
        <w:rPr>
          <w:rFonts w:ascii="Palatino Linotype" w:eastAsia="Palatino Linotype" w:hAnsi="Palatino Linotype" w:cs="Palatino Linotype"/>
          <w:b/>
          <w:bCs/>
          <w:i/>
          <w:iCs/>
          <w:sz w:val="22"/>
          <w:szCs w:val="22"/>
        </w:rPr>
        <w:t xml:space="preserve">sine qua non </w:t>
      </w:r>
      <w:r w:rsidRPr="00E813DF">
        <w:rPr>
          <w:rFonts w:ascii="Palatino Linotype" w:eastAsia="Palatino Linotype" w:hAnsi="Palatino Linotype" w:cs="Palatino Linotype"/>
          <w:sz w:val="22"/>
          <w:szCs w:val="22"/>
        </w:rPr>
        <w:t xml:space="preserve">para ingresar al servicio público, se convierte en información que da certeza a la ciudadanía de que el Servidor Público que ostenta un cargo de Titular cumplió con los requisitos señalados en la Ley del Trabajo de los Servidores Públicos del Estado y Municipios, tan es así, que se trae a colación lo señalado en la nota periodística </w:t>
      </w:r>
      <w:hyperlink r:id="rId18">
        <w:r w:rsidRPr="00E813DF">
          <w:rPr>
            <w:rFonts w:ascii="Palatino Linotype" w:eastAsia="Palatino Linotype" w:hAnsi="Palatino Linotype" w:cs="Palatino Linotype"/>
            <w:sz w:val="22"/>
            <w:szCs w:val="22"/>
          </w:rPr>
          <w:t>https://www.unionedomex.mx/2023/03/24/busqueda-de-deudores-alimentarios-morosos-estado-de-mexico-2023/</w:t>
        </w:r>
      </w:hyperlink>
      <w:r w:rsidRPr="00E813DF">
        <w:rPr>
          <w:rFonts w:ascii="Palatino Linotype" w:eastAsia="Palatino Linotype" w:hAnsi="Palatino Linotype" w:cs="Palatino Linotype"/>
          <w:sz w:val="22"/>
          <w:szCs w:val="22"/>
        </w:rPr>
        <w:t>, que a manera de referencia, se inserta:</w:t>
      </w:r>
    </w:p>
    <w:p w14:paraId="7C57FBC7"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noProof/>
          <w:sz w:val="22"/>
          <w:szCs w:val="22"/>
        </w:rPr>
        <w:drawing>
          <wp:inline distT="0" distB="0" distL="0" distR="0" wp14:anchorId="538B1D0D" wp14:editId="1AE66A2B">
            <wp:extent cx="5708780" cy="2172645"/>
            <wp:effectExtent l="3175" t="3175" r="3175" b="3175"/>
            <wp:docPr id="21431082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t="19894"/>
                    <a:stretch>
                      <a:fillRect/>
                    </a:stretch>
                  </pic:blipFill>
                  <pic:spPr>
                    <a:xfrm>
                      <a:off x="0" y="0"/>
                      <a:ext cx="5708780" cy="2172645"/>
                    </a:xfrm>
                    <a:prstGeom prst="rect">
                      <a:avLst/>
                    </a:prstGeom>
                    <a:ln w="3175">
                      <a:solidFill>
                        <a:srgbClr val="000000"/>
                      </a:solidFill>
                      <a:prstDash val="solid"/>
                    </a:ln>
                  </pic:spPr>
                </pic:pic>
              </a:graphicData>
            </a:graphic>
          </wp:inline>
        </w:drawing>
      </w:r>
    </w:p>
    <w:p w14:paraId="5662F13C"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2CCD7306" w14:textId="77777777" w:rsidR="00304047" w:rsidRPr="00E813DF" w:rsidRDefault="00304047">
      <w:pPr>
        <w:spacing w:before="240" w:after="240" w:line="360" w:lineRule="auto"/>
        <w:jc w:val="both"/>
        <w:rPr>
          <w:rFonts w:ascii="Palatino Linotype" w:eastAsia="Palatino Linotype" w:hAnsi="Palatino Linotype" w:cs="Palatino Linotype"/>
          <w:sz w:val="22"/>
          <w:szCs w:val="22"/>
        </w:rPr>
      </w:pPr>
    </w:p>
    <w:p w14:paraId="60C27A0E"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Ahora, no pasa desapercibido, que el Certificado de No Deudor Alimentario pudiera contener información confidencial, como lo es de manera enunciativa más no limitativa el CURP; por lo tanto, procede su entrega en versión pública.</w:t>
      </w:r>
    </w:p>
    <w:p w14:paraId="1FD152DD" w14:textId="77777777" w:rsidR="00304047" w:rsidRPr="00E813DF" w:rsidRDefault="00CA623F">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u w:val="single"/>
        </w:rPr>
      </w:pPr>
      <w:r w:rsidRPr="00E813DF">
        <w:rPr>
          <w:rFonts w:ascii="Palatino Linotype" w:eastAsia="Palatino Linotype" w:hAnsi="Palatino Linotype" w:cs="Palatino Linotype"/>
          <w:b/>
          <w:bCs/>
          <w:sz w:val="22"/>
          <w:szCs w:val="22"/>
          <w:u w:val="single"/>
        </w:rPr>
        <w:t>Nombramiento, contrato o formato único de movimientos de personal:</w:t>
      </w:r>
    </w:p>
    <w:p w14:paraId="3C64B1B7"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Conforme los artículos 48 fracción I y 49 de la Ley del Trabajo de los Servidores Públicos del Estado de México y Municipios, se indica que las Instituciones Públicas entre ellas la Secretaría de Movilidad, para acreditar su relación laboral con sus Servidores Públicos, se establecerá mediante </w:t>
      </w:r>
      <w:r w:rsidRPr="00E813DF">
        <w:rPr>
          <w:rFonts w:ascii="Palatino Linotype" w:eastAsia="Palatino Linotype" w:hAnsi="Palatino Linotype" w:cs="Palatino Linotype"/>
          <w:b/>
          <w:bCs/>
          <w:sz w:val="22"/>
          <w:szCs w:val="22"/>
        </w:rPr>
        <w:t>nombramiento, formato único de movimiento de personal, contrato</w:t>
      </w:r>
      <w:r w:rsidRPr="00E813DF">
        <w:rPr>
          <w:rFonts w:ascii="Palatino Linotype" w:eastAsia="Palatino Linotype" w:hAnsi="Palatino Linotype" w:cs="Palatino Linotype"/>
          <w:sz w:val="22"/>
          <w:szCs w:val="22"/>
        </w:rPr>
        <w:t xml:space="preserve"> o por cualquier otro acto que tenga como consecuencia la prestación personal subordinada del servicio y la percepción de un sueldo.</w:t>
      </w:r>
    </w:p>
    <w:p w14:paraId="7E02939E" w14:textId="77777777" w:rsidR="00304047" w:rsidRPr="00E813DF" w:rsidRDefault="00CA623F">
      <w:pPr>
        <w:tabs>
          <w:tab w:val="left" w:pos="4962"/>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 mayor abundamiento, con relación al Formato Único de Personal, se indica que el servidor público al iniciar la prestación de los servicios se le confiere un formato único de personal (de alta), el cual contiene, entre otra información, el cargo para el que es designado, la fecha de inicio de sus servicios y el lugar de adscripción; asimismo, dicho formato se emite con relación a las bajas en el servicio público, como en cambios de adscripción.</w:t>
      </w:r>
    </w:p>
    <w:p w14:paraId="43E601F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tanto, para colmar el requisito de mérito, procede la entrega </w:t>
      </w:r>
      <w:r w:rsidRPr="00E813DF">
        <w:rPr>
          <w:rFonts w:ascii="Palatino Linotype" w:eastAsia="Palatino Linotype" w:hAnsi="Palatino Linotype" w:cs="Palatino Linotype"/>
          <w:b/>
          <w:bCs/>
          <w:sz w:val="22"/>
          <w:szCs w:val="22"/>
        </w:rPr>
        <w:t>del nombramiento, contrato o formato único de movimientos de personal o documento análogo, de los servidores públicos, en versión pública.</w:t>
      </w:r>
    </w:p>
    <w:p w14:paraId="69E569F8" w14:textId="77777777" w:rsidR="00304047" w:rsidRPr="00E813DF" w:rsidRDefault="00CA623F">
      <w:pPr>
        <w:numPr>
          <w:ilvl w:val="0"/>
          <w:numId w:val="1"/>
        </w:num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Alta issemym</w:t>
      </w:r>
    </w:p>
    <w:p w14:paraId="211F2CC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Ahora bien, respecto de la naturaleza de la información solicitada, en primera instancia, respecto del alta del ISSEMYM, el artículo 86, fracción II de la Ley del Trabajo de los Servidores Públicos del Estado y Municipios establece como derecho de los servidores públicos el de gozar de los beneficios de la seguridad social:</w:t>
      </w:r>
    </w:p>
    <w:p w14:paraId="4404C3E7"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“ARTÍCULO 86. Los servidores públicos tendrán los siguientes derechos:</w:t>
      </w:r>
    </w:p>
    <w:p w14:paraId="05DC3BF4"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6CF4BA9B"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 Gozar de los beneficios de la seguridad social en la forma y términos establecidos por la Ley de Seguridad Social para los Servidores Públicos del Estado y Municipios;</w:t>
      </w:r>
      <w:r w:rsidRPr="00E813DF">
        <w:rPr>
          <w:rFonts w:ascii="Palatino Linotype" w:eastAsia="Palatino Linotype" w:hAnsi="Palatino Linotype" w:cs="Palatino Linotype"/>
          <w:i/>
          <w:iCs/>
          <w:sz w:val="22"/>
          <w:szCs w:val="22"/>
        </w:rPr>
        <w:t xml:space="preserve">…” </w:t>
      </w:r>
    </w:p>
    <w:p w14:paraId="03A7CAA4" w14:textId="77777777" w:rsidR="00304047" w:rsidRPr="00E813DF" w:rsidRDefault="00CA623F">
      <w:pPr>
        <w:spacing w:before="240" w:after="240" w:line="360" w:lineRule="auto"/>
        <w:ind w:right="-9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Debido a que los beneficios de la seguridad social para los servidores públicos los brinda el Instituto de Seguridad Social del Estado y Municipios (ISSEMYM), nos referiremos a la Ley de Seguridad Social para los Servidores Públicos del Estado de México y Municipios, en los siguientes artículos:</w:t>
      </w:r>
    </w:p>
    <w:p w14:paraId="5715B2A5"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“ARTÍCULO 5.- Para los efectos de esta ley se entiende por:</w:t>
      </w:r>
    </w:p>
    <w:p w14:paraId="76733F33"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III. Servidor público,</w:t>
      </w:r>
      <w:r w:rsidRPr="00E813DF">
        <w:rPr>
          <w:rFonts w:ascii="Palatino Linotype" w:eastAsia="Palatino Linotype" w:hAnsi="Palatino Linotype" w:cs="Palatino Linotype"/>
          <w:i/>
          <w:iCs/>
          <w:sz w:val="22"/>
          <w:szCs w:val="22"/>
        </w:rPr>
        <w:t xml:space="preserve">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 </w:t>
      </w:r>
    </w:p>
    <w:p w14:paraId="3E4C90DF"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w:t>
      </w:r>
    </w:p>
    <w:p w14:paraId="1A5E92E8"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ARTÍCULO 6.-</w:t>
      </w:r>
      <w:r w:rsidRPr="00E813DF">
        <w:rPr>
          <w:rFonts w:ascii="Palatino Linotype" w:eastAsia="Palatino Linotype" w:hAnsi="Palatino Linotype" w:cs="Palatino Linotype"/>
          <w:i/>
          <w:iCs/>
          <w:sz w:val="22"/>
          <w:szCs w:val="22"/>
        </w:rPr>
        <w:t xml:space="preserve"> Los derechos que otorga la presente ley a los servidores públicos se generan a partir de su ingreso al servicio independientemente de la fecha en que el Instituto reciba las cuotas y aportaciones establecidas.</w:t>
      </w:r>
    </w:p>
    <w:p w14:paraId="3936843B" w14:textId="77777777" w:rsidR="00304047" w:rsidRPr="00E813DF" w:rsidRDefault="00CA623F">
      <w:pPr>
        <w:spacing w:before="240" w:after="240" w:line="360" w:lineRule="auto"/>
        <w:ind w:left="851" w:right="616"/>
        <w:jc w:val="both"/>
        <w:rPr>
          <w:rFonts w:ascii="Palatino Linotype" w:eastAsia="Palatino Linotype" w:hAnsi="Palatino Linotype" w:cs="Palatino Linotype"/>
          <w:b/>
          <w:bCs/>
          <w:i/>
          <w:iCs/>
          <w:sz w:val="22"/>
          <w:szCs w:val="22"/>
          <w:u w:val="single"/>
        </w:rPr>
      </w:pPr>
      <w:r w:rsidRPr="00E813DF">
        <w:rPr>
          <w:rFonts w:ascii="Palatino Linotype" w:eastAsia="Palatino Linotype" w:hAnsi="Palatino Linotype" w:cs="Palatino Linotype"/>
          <w:b/>
          <w:bCs/>
          <w:i/>
          <w:iCs/>
          <w:sz w:val="22"/>
          <w:szCs w:val="22"/>
          <w:u w:val="single"/>
        </w:rPr>
        <w:t>Las instituciones públicas deberán remitir al Instituto, en un plazo no mayor de 10 días hábiles a partir del ingreso al servicio del servidor público, los datos necesarios para su registro y control.</w:t>
      </w:r>
    </w:p>
    <w:p w14:paraId="7B7B9CE1"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u w:val="single"/>
        </w:rPr>
        <w:t>ARTÍCULO 7.- Los derechohabientes y las Instituciones públicas están obligados a proporcionar al Instituto, los datos que les soliciten relacionados con la aplicación de esta ley.</w:t>
      </w:r>
      <w:r w:rsidRPr="00E813DF">
        <w:rPr>
          <w:rFonts w:ascii="Palatino Linotype" w:eastAsia="Palatino Linotype" w:hAnsi="Palatino Linotype" w:cs="Palatino Linotype"/>
          <w:b/>
          <w:bCs/>
          <w:i/>
          <w:iCs/>
          <w:sz w:val="22"/>
          <w:szCs w:val="22"/>
          <w:u w:val="single"/>
        </w:rPr>
        <w:br/>
      </w:r>
      <w:r w:rsidRPr="00E813DF">
        <w:rPr>
          <w:rFonts w:ascii="Palatino Linotype" w:eastAsia="Palatino Linotype" w:hAnsi="Palatino Linotype" w:cs="Palatino Linotype"/>
          <w:i/>
          <w:iCs/>
          <w:sz w:val="22"/>
          <w:szCs w:val="22"/>
        </w:rPr>
        <w:t xml:space="preserve">ARTÍCULO 35.- Las </w:t>
      </w:r>
      <w:r w:rsidRPr="00E813DF">
        <w:rPr>
          <w:rFonts w:ascii="Palatino Linotype" w:eastAsia="Palatino Linotype" w:hAnsi="Palatino Linotype" w:cs="Palatino Linotype"/>
          <w:b/>
          <w:bCs/>
          <w:i/>
          <w:iCs/>
          <w:sz w:val="22"/>
          <w:szCs w:val="22"/>
        </w:rPr>
        <w:t>instituciones públicas deberán enterar al Instituto el importe de las cuotas retenidas quincenalmente a los servidores públicos,</w:t>
      </w:r>
      <w:r w:rsidRPr="00E813DF">
        <w:rPr>
          <w:rFonts w:ascii="Palatino Linotype" w:eastAsia="Palatino Linotype" w:hAnsi="Palatino Linotype" w:cs="Palatino Linotype"/>
          <w:i/>
          <w:iCs/>
          <w:sz w:val="22"/>
          <w:szCs w:val="22"/>
        </w:rPr>
        <w:t xml:space="preserve"> así como el de las aportaciones que les correspondan, dentro de los cinco días siguientes al de la fecha en que efectúen la retención. En el mismo plazo, deberán enterar el importe de los descuentos que por créditos u otros conceptos que ordene el propio Instituto, en cumplimiento de lo dispuesto por esta ley.</w:t>
      </w:r>
    </w:p>
    <w:p w14:paraId="503E4E96" w14:textId="77777777" w:rsidR="00304047" w:rsidRPr="00E813DF" w:rsidRDefault="00CA623F">
      <w:pPr>
        <w:spacing w:before="240" w:after="240" w:line="360" w:lineRule="auto"/>
        <w:ind w:left="851" w:right="616"/>
        <w:jc w:val="both"/>
        <w:rPr>
          <w:rFonts w:ascii="Palatino Linotype" w:eastAsia="Palatino Linotype" w:hAnsi="Palatino Linotype" w:cs="Palatino Linotype"/>
          <w:b/>
          <w:bCs/>
          <w:i/>
          <w:iCs/>
          <w:sz w:val="22"/>
          <w:szCs w:val="22"/>
          <w:u w:val="single"/>
        </w:rPr>
      </w:pPr>
      <w:r w:rsidRPr="00E813DF">
        <w:rPr>
          <w:rFonts w:ascii="Palatino Linotype" w:eastAsia="Palatino Linotype" w:hAnsi="Palatino Linotype" w:cs="Palatino Linotype"/>
          <w:i/>
          <w:iCs/>
          <w:sz w:val="22"/>
          <w:szCs w:val="22"/>
        </w:rPr>
        <w:t>El entero de cuotas y aportaciones que los ayuntamientos convengan a través de descuento de las participaciones federales que les correspondan, se realizará de forma mensual.”</w:t>
      </w:r>
    </w:p>
    <w:p w14:paraId="0159AB3C"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una interpretación sistemática de estos artículos se advierte que cada institución pública tiene la obligación de registrar ante el Instituto de Seguridad Social del Estado y Municipios (ISSEMYM), a aquellos servidores públicos que hayan ingresado al servicio; asimismo, cada institución, tienen la obligación de proporcionar al ISSEMYM los datos referentes los movimientos que surjan con motivo de la prestación del servicio.</w:t>
      </w:r>
    </w:p>
    <w:p w14:paraId="680ACEFF"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Además, en el Manual de Procedimientos para la Administración de la Plataforma de Recaudación e Información de Seguridad Social PRISMA ISSEMYM, se desarrollan las obligaciones que tiene cada institución para realizar los procedimientos de alta, baja, cambio o modificaciones de datos y el uso de la plataforma:</w:t>
      </w:r>
    </w:p>
    <w:p w14:paraId="01B4014E" w14:textId="77777777" w:rsidR="00304047" w:rsidRPr="00E813DF" w:rsidRDefault="00CA623F">
      <w:pP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u w:val="single"/>
        </w:rPr>
        <w:t>“PROCEDIMIENTO</w:t>
      </w:r>
      <w:r w:rsidRPr="00E813DF">
        <w:rPr>
          <w:rFonts w:ascii="Palatino Linotype" w:eastAsia="Palatino Linotype" w:hAnsi="Palatino Linotype" w:cs="Palatino Linotype"/>
          <w:i/>
          <w:iCs/>
          <w:sz w:val="22"/>
          <w:szCs w:val="22"/>
          <w:u w:val="single"/>
        </w:rPr>
        <w:t>:</w:t>
      </w:r>
      <w:r w:rsidRPr="00E813DF">
        <w:rPr>
          <w:rFonts w:ascii="Palatino Linotype" w:eastAsia="Palatino Linotype" w:hAnsi="Palatino Linotype" w:cs="Palatino Linotype"/>
          <w:i/>
          <w:iCs/>
          <w:sz w:val="22"/>
          <w:szCs w:val="22"/>
        </w:rPr>
        <w:t xml:space="preserve"> REGISTRO DE ALTA DE INSTITUCIONES PÚBLICAS AL RÉGIMEN DE SEGURIDAD SOCIAL, A TRAVÉS DE LA PLATAFORMA DE RECAUDACIÓN E INFORMACIÓN DE SEGURIDAD SOCIAL (PRISMA ISSEMYM</w:t>
      </w:r>
      <w:r w:rsidRPr="00E813DF">
        <w:rPr>
          <w:rFonts w:ascii="Palatino Linotype" w:eastAsia="Palatino Linotype" w:hAnsi="Palatino Linotype" w:cs="Palatino Linotype"/>
          <w:sz w:val="22"/>
          <w:szCs w:val="22"/>
        </w:rPr>
        <w:t>)</w:t>
      </w:r>
    </w:p>
    <w:p w14:paraId="71A2C528"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OBJETIVO: </w:t>
      </w:r>
      <w:r w:rsidRPr="00E813DF">
        <w:rPr>
          <w:rFonts w:ascii="Palatino Linotype" w:eastAsia="Palatino Linotype" w:hAnsi="Palatino Linotype" w:cs="Palatino Linotype"/>
          <w:b/>
          <w:bCs/>
          <w:i/>
          <w:iCs/>
          <w:sz w:val="22"/>
          <w:szCs w:val="22"/>
        </w:rPr>
        <w:t>Proporcionar a los servidores públicos las prestaciones que establece la Ley de Seguridad Social</w:t>
      </w:r>
      <w:r w:rsidRPr="00E813DF">
        <w:rPr>
          <w:rFonts w:ascii="Palatino Linotype" w:eastAsia="Palatino Linotype" w:hAnsi="Palatino Linotype" w:cs="Palatino Linotype"/>
          <w:i/>
          <w:iCs/>
          <w:sz w:val="22"/>
          <w:szCs w:val="22"/>
        </w:rPr>
        <w:t xml:space="preserve"> para los Servidores Públicos del Estado de México y Municipios, </w:t>
      </w:r>
      <w:r w:rsidRPr="00E813DF">
        <w:rPr>
          <w:rFonts w:ascii="Palatino Linotype" w:eastAsia="Palatino Linotype" w:hAnsi="Palatino Linotype" w:cs="Palatino Linotype"/>
          <w:b/>
          <w:bCs/>
          <w:i/>
          <w:iCs/>
          <w:sz w:val="22"/>
          <w:szCs w:val="22"/>
          <w:u w:val="single"/>
        </w:rPr>
        <w:t>mediante el registro del alta de Instituciones Públicas al régimen de seguridad social,</w:t>
      </w:r>
      <w:r w:rsidRPr="00E813DF">
        <w:rPr>
          <w:rFonts w:ascii="Palatino Linotype" w:eastAsia="Palatino Linotype" w:hAnsi="Palatino Linotype" w:cs="Palatino Linotype"/>
          <w:i/>
          <w:iCs/>
          <w:sz w:val="22"/>
          <w:szCs w:val="22"/>
        </w:rPr>
        <w:t xml:space="preserve"> a través de la Plataforma de Recaudación e Información de Seguridad Social (PRISMA ISSEMYM).</w:t>
      </w:r>
      <w:r w:rsidRPr="00E813DF">
        <w:rPr>
          <w:rFonts w:ascii="Palatino Linotype" w:eastAsia="Palatino Linotype" w:hAnsi="Palatino Linotype" w:cs="Palatino Linotype"/>
          <w:i/>
          <w:iCs/>
          <w:sz w:val="22"/>
          <w:szCs w:val="22"/>
        </w:rPr>
        <w:br/>
        <w:t>ALCANCE: Aplica al personal adscrito a la Ventanilla Única de Atención Integral a Instituciones Públicas del Instituto de Seguridad Social del Estado de México y Municipios, que realiza los trámites de alta de las Instituciones Públicas afiliadas al régimen de seguridad social en la Plataforma de Recaudación e Información de Seguridad Social (PRISMA ISSEMYM).</w:t>
      </w:r>
      <w:r w:rsidRPr="00E813DF">
        <w:rPr>
          <w:rFonts w:ascii="Palatino Linotype" w:eastAsia="Palatino Linotype" w:hAnsi="Palatino Linotype" w:cs="Palatino Linotype"/>
          <w:i/>
          <w:iCs/>
          <w:sz w:val="22"/>
          <w:szCs w:val="22"/>
        </w:rPr>
        <w:br/>
        <w:t>RESPONSABILIDADES: La Ventanilla Única de Atención Integral a Instituciones Públicas es la unidad administrativa responsable de dar de alta a las Instituciones Públicas al régimen de seguridad social del ISSEMYM, con el propósito de mantener los controles correspondientes.</w:t>
      </w:r>
    </w:p>
    <w:p w14:paraId="0C7275BD"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El Jefe de la Ventanilla Única de Atención Integral a Instituciones Públicas deberá: — </w:t>
      </w:r>
    </w:p>
    <w:p w14:paraId="1E1B94ED"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Autorizar el oficio para solicitar las cuentas contables de la Institución Pública que se dará de alta.</w:t>
      </w:r>
    </w:p>
    <w:p w14:paraId="232D0398"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Notificar mediante oficio al Departamento de Cobranza las cuentas contables asignadas a la Institución Pública.</w:t>
      </w:r>
    </w:p>
    <w:p w14:paraId="10EF9A3D" w14:textId="77777777" w:rsidR="00304047" w:rsidRPr="00E813DF" w:rsidRDefault="00CA623F">
      <w:pPr>
        <w:spacing w:before="240" w:after="240" w:line="360" w:lineRule="auto"/>
        <w:ind w:left="851"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Notificar mediante oficio a las Instituciones Públicas que solicitaron su alta al ISSEMYM, la clave de afiliación correspondiente.</w:t>
      </w:r>
    </w:p>
    <w:p w14:paraId="52FCDC98"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Firmar de visto bueno el reporte automatizado de las altas de las Instituciones Públicas generadas en la Plataforma de Recaudación e Información de Seguridad Social (PRISMA ISSEMYM).</w:t>
      </w:r>
    </w:p>
    <w:p w14:paraId="49A7832B"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El Usuario Administrador de la Ventanilla Única de Atención Integral a Instituciones Públicas deberá: </w:t>
      </w:r>
    </w:p>
    <w:p w14:paraId="3A5FDB31" w14:textId="77777777" w:rsidR="00304047" w:rsidRPr="00E813DF" w:rsidRDefault="00CA623F">
      <w:pPr>
        <w:spacing w:before="240" w:after="240" w:line="360" w:lineRule="auto"/>
        <w:ind w:left="851"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Generar el alta de la Institución Pública en la Plataforma de Recaudación e Información de Seguridad Social (PRISMA ISSEMYM).</w:t>
      </w:r>
    </w:p>
    <w:p w14:paraId="0A68C716"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Rubricar el reporte de alta de la Institución Pública como responsable de la elaboración.</w:t>
      </w:r>
    </w:p>
    <w:p w14:paraId="70AA5A20"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Obtener el visto bueno del Jefe de la Ventanilla Única y del Subdirector de Relaciones Institucionales en el alta de la Institución Pública.</w:t>
      </w:r>
    </w:p>
    <w:p w14:paraId="5250743C"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b/>
          <w:bCs/>
          <w:i/>
          <w:iCs/>
          <w:sz w:val="22"/>
          <w:szCs w:val="22"/>
        </w:rPr>
        <w:t>Notificar a la Institución Pública que ha sido afiliada al ISSEMYM,</w:t>
      </w:r>
      <w:r w:rsidRPr="00E813DF">
        <w:rPr>
          <w:rFonts w:ascii="Palatino Linotype" w:eastAsia="Palatino Linotype" w:hAnsi="Palatino Linotype" w:cs="Palatino Linotype"/>
          <w:i/>
          <w:iCs/>
          <w:sz w:val="22"/>
          <w:szCs w:val="22"/>
        </w:rPr>
        <w:t xml:space="preserve"> solicitando la presencia del usuario autorizado para la entrega de su clave de usuario y contraseña.</w:t>
      </w:r>
    </w:p>
    <w:p w14:paraId="73881050"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Generar la clave y contraseña de usuario autorizado para su acceso a la Plataforma de Recaudación e Información de Seguridad Social (PRISMA ISSEMYM).</w:t>
      </w:r>
    </w:p>
    <w:p w14:paraId="45E6CA31"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Entregar al usuario autorizado la clave de usuario y contraseña, la "Hoja de Términos y Condiciones" y el oficio de notificación.</w:t>
      </w:r>
    </w:p>
    <w:p w14:paraId="41E7A0D4"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Integrar el expediente de la Institución Pública con la documentación soporte de su alta en la Plataforma de Recaudación e Información de Seguridad Social (PRISMA ISSEMYM).</w:t>
      </w:r>
      <w:r w:rsidRPr="00E813DF">
        <w:rPr>
          <w:rFonts w:ascii="Palatino Linotype" w:eastAsia="Palatino Linotype" w:hAnsi="Palatino Linotype" w:cs="Palatino Linotype"/>
          <w:i/>
          <w:iCs/>
          <w:sz w:val="22"/>
          <w:szCs w:val="22"/>
        </w:rPr>
        <w:br/>
        <w:t>DEFINICIONES:</w:t>
      </w:r>
    </w:p>
    <w:p w14:paraId="6E11B57C" w14:textId="77777777" w:rsidR="00304047" w:rsidRPr="00E813DF" w:rsidRDefault="00CA623F">
      <w:pPr>
        <w:tabs>
          <w:tab w:val="left" w:pos="1275"/>
        </w:tabs>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Usuario Administrador: Persona designada por el Jefe de la Ventanilla Única de Atención Integral a Instituciones Públicas para realizar el alta, baja, cambios y/o modificaciones de los registros de las Instituciones Públicas en la Plataforma PRISMA ISSEMYM.</w:t>
      </w:r>
    </w:p>
    <w:p w14:paraId="386C5966" w14:textId="77777777" w:rsidR="00304047" w:rsidRPr="00E813DF" w:rsidRDefault="00CA623F">
      <w:pPr>
        <w:tabs>
          <w:tab w:val="left" w:pos="1275"/>
        </w:tabs>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Institución Pública: Los poderes públicos del Estado, </w:t>
      </w:r>
      <w:r w:rsidRPr="00E813DF">
        <w:rPr>
          <w:rFonts w:ascii="Palatino Linotype" w:eastAsia="Palatino Linotype" w:hAnsi="Palatino Linotype" w:cs="Palatino Linotype"/>
          <w:b/>
          <w:bCs/>
          <w:i/>
          <w:iCs/>
          <w:sz w:val="22"/>
          <w:szCs w:val="22"/>
        </w:rPr>
        <w:t>los ayuntamientos</w:t>
      </w:r>
      <w:r w:rsidRPr="00E813DF">
        <w:rPr>
          <w:rFonts w:ascii="Palatino Linotype" w:eastAsia="Palatino Linotype" w:hAnsi="Palatino Linotype" w:cs="Palatino Linotype"/>
          <w:i/>
          <w:iCs/>
          <w:sz w:val="22"/>
          <w:szCs w:val="22"/>
        </w:rPr>
        <w:t xml:space="preserve"> y los tribunales administrativos, así como los organismos auxiliares y fideicomisos públicos de carácter estatal y municipal.” </w:t>
      </w:r>
    </w:p>
    <w:p w14:paraId="2FAE6191" w14:textId="77777777" w:rsidR="00304047" w:rsidRPr="00E813DF" w:rsidRDefault="00CA623F">
      <w:pPr>
        <w:tabs>
          <w:tab w:val="left" w:pos="1275"/>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este sentido, en términos lo establecido en los artículos 6, 7 y 35 de la Ley de Seguridad Social para los Servidores Públicos del Estado de México y Municipios,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ostenta atribuciones para efectos de referir respecto de la materia de la solicitud, bajo la premisa de que son las Instituciones Públicas quienes remiten al Instituto, en un plazo no mayor de 10 días hábiles a partir del ingreso al servicio del servidor público, los datos necesarios para su registro y control, así como enterar al Instituto el importe de las cuotas retenidas quincenalmente a los servidores públicos.</w:t>
      </w:r>
    </w:p>
    <w:p w14:paraId="4FE1C467" w14:textId="77777777" w:rsidR="00304047" w:rsidRPr="00E813DF" w:rsidRDefault="00CA623F">
      <w:pPr>
        <w:tabs>
          <w:tab w:val="left" w:pos="1275"/>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lo anterior se evidencia que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es susceptible de conservar en el expediente de personal el documento que sirve para que un servidor público cause alta del servicio público y sea registrado en la plataforma del ISSEMYM dicho movimiento, siendo las instituciones públicas las encargadas de informar dicha situación. </w:t>
      </w:r>
    </w:p>
    <w:p w14:paraId="23387D4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Luego entonces, se desprende que si tiene atribuciones para generar, poseer y administrar la documentación que da cuenta del alta de los servidores públicos en consecuencia le reviste el carácter de información pública conforme lo dispuesto por los artículos 3, fracción XI, 4 párrafo segundo de la Ley  Transparencia y Acceso a la Información Pública, por lo que se colige que está en posibilidad de entregarla tal y como lo disponen los artículos 12 y 24 último párrafo del ordenamiento legal en cita, en consecuencia, lo procedente sería ordenar la entrega del mismo en versión pública y conforme al considerando quinto. </w:t>
      </w:r>
    </w:p>
    <w:p w14:paraId="492A1EA6" w14:textId="77777777" w:rsidR="00304047" w:rsidRPr="00E813DF" w:rsidRDefault="00CA623F">
      <w:pPr>
        <w:numPr>
          <w:ilvl w:val="0"/>
          <w:numId w:val="10"/>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Credencial o Gafete Institucional</w:t>
      </w:r>
    </w:p>
    <w:p w14:paraId="6FE69FB1" w14:textId="77777777" w:rsidR="00304047" w:rsidRPr="00E813DF" w:rsidRDefault="00CA623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Conviene señalar que, de conformidad con el artículo 11.87 del Código Reglamentario Municipal de Toluca, las y los servidores públicos cuentan con la obligación de portar durante la jornada laboral, el Gafete / Credencial expedido por la Dirección General de Administración, tal y como se advierte a continuación: </w:t>
      </w:r>
    </w:p>
    <w:p w14:paraId="7D893DE3" w14:textId="77777777" w:rsidR="00304047" w:rsidRPr="00E813DF" w:rsidRDefault="00CA623F">
      <w:pPr>
        <w:pBdr>
          <w:top w:val="nil"/>
          <w:left w:val="nil"/>
          <w:bottom w:val="nil"/>
          <w:right w:val="nil"/>
          <w:between w:val="nil"/>
        </w:pBdr>
        <w:spacing w:before="240" w:after="240" w:line="360" w:lineRule="auto"/>
        <w:ind w:left="851" w:right="567"/>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11.87</w:t>
      </w:r>
      <w:r w:rsidRPr="00E813DF">
        <w:rPr>
          <w:rFonts w:ascii="Palatino Linotype" w:eastAsia="Palatino Linotype" w:hAnsi="Palatino Linotype" w:cs="Palatino Linotype"/>
          <w:i/>
          <w:iCs/>
          <w:sz w:val="22"/>
          <w:szCs w:val="22"/>
        </w:rPr>
        <w:t>. Son obligaciones de las y los servidores públicos:</w:t>
      </w:r>
    </w:p>
    <w:p w14:paraId="15181F95" w14:textId="77777777" w:rsidR="00304047" w:rsidRPr="00E813DF" w:rsidRDefault="00CA623F">
      <w:pPr>
        <w:pBdr>
          <w:top w:val="nil"/>
          <w:left w:val="nil"/>
          <w:bottom w:val="nil"/>
          <w:right w:val="nil"/>
          <w:between w:val="nil"/>
        </w:pBdr>
        <w:spacing w:before="240" w:after="240" w:line="360" w:lineRule="auto"/>
        <w:ind w:left="851" w:right="567"/>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w:t>
      </w:r>
    </w:p>
    <w:p w14:paraId="5980632E" w14:textId="77777777" w:rsidR="00304047" w:rsidRPr="00E813DF" w:rsidRDefault="00CA623F">
      <w:pPr>
        <w:pBdr>
          <w:top w:val="nil"/>
          <w:left w:val="nil"/>
          <w:bottom w:val="nil"/>
          <w:right w:val="nil"/>
          <w:between w:val="nil"/>
        </w:pBdr>
        <w:spacing w:before="240" w:after="240" w:line="360" w:lineRule="auto"/>
        <w:ind w:left="851" w:right="567"/>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 xml:space="preserve">XII. </w:t>
      </w:r>
      <w:r w:rsidRPr="00E813DF">
        <w:rPr>
          <w:rFonts w:ascii="Palatino Linotype" w:eastAsia="Palatino Linotype" w:hAnsi="Palatino Linotype" w:cs="Palatino Linotype"/>
          <w:b/>
          <w:bCs/>
          <w:i/>
          <w:iCs/>
          <w:sz w:val="22"/>
          <w:szCs w:val="22"/>
        </w:rPr>
        <w:t>Portar en lugar visible, durante la jornada laboral, el gafete/credencial expedido por la Dirección General de Administración</w:t>
      </w:r>
      <w:r w:rsidRPr="00E813DF">
        <w:rPr>
          <w:rFonts w:ascii="Palatino Linotype" w:eastAsia="Palatino Linotype" w:hAnsi="Palatino Linotype" w:cs="Palatino Linotype"/>
          <w:sz w:val="22"/>
          <w:szCs w:val="22"/>
        </w:rPr>
        <w:t>;</w:t>
      </w:r>
    </w:p>
    <w:p w14:paraId="2D69C390" w14:textId="77777777" w:rsidR="00304047" w:rsidRPr="00E813DF" w:rsidRDefault="00CA623F">
      <w:pPr>
        <w:pBdr>
          <w:top w:val="nil"/>
          <w:left w:val="nil"/>
          <w:bottom w:val="nil"/>
          <w:right w:val="nil"/>
          <w:between w:val="nil"/>
        </w:pBdr>
        <w:spacing w:before="240" w:after="240" w:line="360" w:lineRule="auto"/>
        <w:ind w:left="851" w:right="567"/>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w:t>
      </w:r>
    </w:p>
    <w:p w14:paraId="4D803BB6"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Asimismo,</w:t>
      </w:r>
      <w:r w:rsidRPr="00E813DF">
        <w:rPr>
          <w:rFonts w:ascii="Palatino Linotype" w:eastAsia="Palatino Linotype" w:hAnsi="Palatino Linotype" w:cs="Palatino Linotype"/>
          <w:b/>
          <w:bCs/>
          <w:sz w:val="22"/>
          <w:szCs w:val="22"/>
        </w:rPr>
        <w:t xml:space="preserve"> </w:t>
      </w:r>
      <w:r w:rsidRPr="00E813DF">
        <w:rPr>
          <w:rFonts w:ascii="Palatino Linotype" w:eastAsia="Palatino Linotype" w:hAnsi="Palatino Linotype" w:cs="Palatino Linotype"/>
          <w:sz w:val="22"/>
          <w:szCs w:val="22"/>
        </w:rPr>
        <w:t>este Órgano Garante localizó la circular 206010000/026/2025 de fecha 19 de marzo de 2025, de la Dirección General de Administración, por medio de la cual se les hace su conocimiento a Servidores Públicos en General, que deberán de portar en un lugar visible, durante la jornada laboral, y sólo en actividades propias del servicio el gafete institucional (credencial) a partir del 19 de marzo del presente año, tal y como se ilustra enseguida:</w:t>
      </w:r>
    </w:p>
    <w:p w14:paraId="4B7F8B2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noProof/>
          <w:sz w:val="22"/>
          <w:szCs w:val="22"/>
        </w:rPr>
        <w:drawing>
          <wp:inline distT="0" distB="0" distL="0" distR="0" wp14:anchorId="1483C36C" wp14:editId="1DECCADF">
            <wp:extent cx="5612130" cy="3944979"/>
            <wp:effectExtent l="3175" t="3175" r="3175" b="3175"/>
            <wp:docPr id="21431082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612130" cy="3944979"/>
                    </a:xfrm>
                    <a:prstGeom prst="rect">
                      <a:avLst/>
                    </a:prstGeom>
                    <a:ln w="3175">
                      <a:solidFill>
                        <a:srgbClr val="000000"/>
                      </a:solidFill>
                      <a:prstDash val="solid"/>
                    </a:ln>
                  </pic:spPr>
                </pic:pic>
              </a:graphicData>
            </a:graphic>
          </wp:inline>
        </w:drawing>
      </w:r>
    </w:p>
    <w:p w14:paraId="77098545"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esta manera, se presume que la información a la que se pretende acceder debe existir; aunado a que, tomando en consideración que la solicitud de información fue presentada en fecha veintiséis de mayo de dos mil veinticinco y la fecha de emisión de la circular es del diecinueve de marzo de dos mil veinticinco, resulta indudable que la información ya debió haberse generado. </w:t>
      </w:r>
    </w:p>
    <w:p w14:paraId="434A93D0" w14:textId="77777777" w:rsidR="00304047" w:rsidRPr="00E813DF" w:rsidRDefault="00CA623F">
      <w:pPr>
        <w:numPr>
          <w:ilvl w:val="0"/>
          <w:numId w:val="10"/>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 xml:space="preserve">Certificación de Competencia Laboral </w:t>
      </w:r>
    </w:p>
    <w:p w14:paraId="1F157432" w14:textId="77777777" w:rsidR="00304047" w:rsidRPr="00E813DF" w:rsidRDefault="00CA623F">
      <w:pPr>
        <w:tabs>
          <w:tab w:val="left" w:pos="3544"/>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manera precisa qué puestos dentro de la administración pública municipal son los que deben cumplir con la certificación en materia de competencia laboral, es decir, contemplan que para ocupar diversas titularidades, se deberán satisfacer diversos requisitos, entre ellos, el de contar con certificación de competencia laboral en la materia del cargo que se desempeñará, expedida por institución con reconocimiento de validez oficial, requisito que deberá acreditarse dentro de los seis meses siguientes a la fecha en que inicien sus funciones.</w:t>
      </w:r>
    </w:p>
    <w:p w14:paraId="15176FA5" w14:textId="77777777" w:rsidR="00304047" w:rsidRPr="00E813DF" w:rsidRDefault="00CA623F">
      <w:pPr>
        <w:tabs>
          <w:tab w:val="left" w:pos="3544"/>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este tenor, los cargos de la administración pública municipal que deben contar con certificación de competencia laboral, de conformidad con la Ley Orgánica Municipal, como se detalla a continuación:</w:t>
      </w:r>
    </w:p>
    <w:tbl>
      <w:tblPr>
        <w:tblStyle w:val="afd"/>
        <w:tblW w:w="8828"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271"/>
        <w:gridCol w:w="2835"/>
        <w:gridCol w:w="3119"/>
        <w:gridCol w:w="1603"/>
      </w:tblGrid>
      <w:tr w:rsidR="00725990" w:rsidRPr="00E813DF" w14:paraId="02EF5E5F" w14:textId="77777777">
        <w:trPr>
          <w:trHeight w:val="341"/>
        </w:trPr>
        <w:tc>
          <w:tcPr>
            <w:tcW w:w="1271" w:type="dxa"/>
            <w:shd w:val="clear" w:color="auto" w:fill="BFBFBF"/>
          </w:tcPr>
          <w:p w14:paraId="3F22B960" w14:textId="77777777" w:rsidR="00304047" w:rsidRPr="00E813DF" w:rsidRDefault="00CA623F">
            <w:pPr>
              <w:spacing w:before="240" w:after="240" w:line="276" w:lineRule="auto"/>
              <w:jc w:val="center"/>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w:t>
            </w:r>
          </w:p>
        </w:tc>
        <w:tc>
          <w:tcPr>
            <w:tcW w:w="2835" w:type="dxa"/>
            <w:shd w:val="clear" w:color="auto" w:fill="BFBFBF"/>
          </w:tcPr>
          <w:p w14:paraId="322E66B3" w14:textId="77777777" w:rsidR="00304047" w:rsidRPr="00E813DF" w:rsidRDefault="00CA623F">
            <w:pPr>
              <w:spacing w:before="240" w:after="240" w:line="276" w:lineRule="auto"/>
              <w:jc w:val="center"/>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Cargo</w:t>
            </w:r>
          </w:p>
        </w:tc>
        <w:tc>
          <w:tcPr>
            <w:tcW w:w="3119" w:type="dxa"/>
            <w:shd w:val="clear" w:color="auto" w:fill="BFBFBF"/>
          </w:tcPr>
          <w:p w14:paraId="3926BE2A" w14:textId="77777777" w:rsidR="00304047" w:rsidRPr="00E813DF" w:rsidRDefault="00CA623F">
            <w:pPr>
              <w:spacing w:before="240" w:after="240" w:line="276" w:lineRule="auto"/>
              <w:jc w:val="center"/>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Certificación</w:t>
            </w:r>
          </w:p>
        </w:tc>
        <w:tc>
          <w:tcPr>
            <w:tcW w:w="1603" w:type="dxa"/>
            <w:shd w:val="clear" w:color="auto" w:fill="BFBFBF"/>
          </w:tcPr>
          <w:p w14:paraId="1E5A22A2" w14:textId="77777777" w:rsidR="00304047" w:rsidRPr="00E813DF" w:rsidRDefault="00CA623F">
            <w:pPr>
              <w:spacing w:before="240" w:after="240" w:line="276" w:lineRule="auto"/>
              <w:jc w:val="center"/>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Obligatorio</w:t>
            </w:r>
          </w:p>
        </w:tc>
      </w:tr>
      <w:tr w:rsidR="00725990" w:rsidRPr="00E813DF" w14:paraId="1FEAB8AB" w14:textId="77777777">
        <w:trPr>
          <w:trHeight w:val="840"/>
        </w:trPr>
        <w:tc>
          <w:tcPr>
            <w:tcW w:w="1271" w:type="dxa"/>
          </w:tcPr>
          <w:p w14:paraId="34041ADC"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81 Bis</w:t>
            </w:r>
          </w:p>
        </w:tc>
        <w:tc>
          <w:tcPr>
            <w:tcW w:w="2835" w:type="dxa"/>
          </w:tcPr>
          <w:p w14:paraId="1C87342E"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Titular de la Coordinación Municipal de Protección Civil</w:t>
            </w:r>
          </w:p>
        </w:tc>
        <w:tc>
          <w:tcPr>
            <w:tcW w:w="3119" w:type="dxa"/>
          </w:tcPr>
          <w:p w14:paraId="09E9936B"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Certificado o cursos de capacitación en la materia, impartidos por la Coordinación General de Protección Civil del Estado de México</w:t>
            </w:r>
          </w:p>
        </w:tc>
        <w:tc>
          <w:tcPr>
            <w:tcW w:w="1603" w:type="dxa"/>
          </w:tcPr>
          <w:p w14:paraId="60C92704"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Opcional</w:t>
            </w:r>
          </w:p>
        </w:tc>
      </w:tr>
      <w:tr w:rsidR="00725990" w:rsidRPr="00E813DF" w14:paraId="27D8A3F1" w14:textId="77777777">
        <w:trPr>
          <w:trHeight w:val="711"/>
        </w:trPr>
        <w:tc>
          <w:tcPr>
            <w:tcW w:w="1271" w:type="dxa"/>
          </w:tcPr>
          <w:p w14:paraId="0ABB4766"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85 Sexies</w:t>
            </w:r>
          </w:p>
        </w:tc>
        <w:tc>
          <w:tcPr>
            <w:tcW w:w="2835" w:type="dxa"/>
          </w:tcPr>
          <w:p w14:paraId="4DAECE46"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Coordinador General Municipal de Mejora Regulatoria</w:t>
            </w:r>
          </w:p>
        </w:tc>
        <w:tc>
          <w:tcPr>
            <w:tcW w:w="3119" w:type="dxa"/>
          </w:tcPr>
          <w:p w14:paraId="462C3270"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p>
        </w:tc>
        <w:tc>
          <w:tcPr>
            <w:tcW w:w="1603" w:type="dxa"/>
          </w:tcPr>
          <w:p w14:paraId="2897D8D1"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Opcional</w:t>
            </w:r>
          </w:p>
          <w:p w14:paraId="64659381"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Certificación o un diplomado</w:t>
            </w:r>
          </w:p>
        </w:tc>
      </w:tr>
      <w:tr w:rsidR="00725990" w:rsidRPr="00E813DF" w14:paraId="7F0C64DE" w14:textId="77777777">
        <w:trPr>
          <w:trHeight w:val="711"/>
        </w:trPr>
        <w:tc>
          <w:tcPr>
            <w:tcW w:w="1271" w:type="dxa"/>
          </w:tcPr>
          <w:p w14:paraId="3D16137E"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92</w:t>
            </w:r>
          </w:p>
        </w:tc>
        <w:tc>
          <w:tcPr>
            <w:tcW w:w="2835" w:type="dxa"/>
          </w:tcPr>
          <w:p w14:paraId="12F6926E"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Secretario del Ayuntamiento</w:t>
            </w:r>
          </w:p>
        </w:tc>
        <w:tc>
          <w:tcPr>
            <w:tcW w:w="3119" w:type="dxa"/>
          </w:tcPr>
          <w:p w14:paraId="185C4EA5"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tc>
        <w:tc>
          <w:tcPr>
            <w:tcW w:w="1603" w:type="dxa"/>
          </w:tcPr>
          <w:p w14:paraId="2841CAC3"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Obligatorio</w:t>
            </w:r>
          </w:p>
        </w:tc>
      </w:tr>
      <w:tr w:rsidR="00725990" w:rsidRPr="00E813DF" w14:paraId="74DAED08" w14:textId="77777777">
        <w:tc>
          <w:tcPr>
            <w:tcW w:w="1271" w:type="dxa"/>
          </w:tcPr>
          <w:p w14:paraId="1986842C"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96</w:t>
            </w:r>
          </w:p>
        </w:tc>
        <w:tc>
          <w:tcPr>
            <w:tcW w:w="2835" w:type="dxa"/>
          </w:tcPr>
          <w:p w14:paraId="588958A3"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Tesorero Municipal</w:t>
            </w:r>
          </w:p>
        </w:tc>
        <w:tc>
          <w:tcPr>
            <w:tcW w:w="3119" w:type="dxa"/>
          </w:tcPr>
          <w:p w14:paraId="281A3816"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603" w:type="dxa"/>
          </w:tcPr>
          <w:p w14:paraId="10E679CA"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Obligatorio</w:t>
            </w:r>
          </w:p>
        </w:tc>
      </w:tr>
      <w:tr w:rsidR="00725990" w:rsidRPr="00E813DF" w14:paraId="412729E9" w14:textId="77777777">
        <w:tc>
          <w:tcPr>
            <w:tcW w:w="1271" w:type="dxa"/>
          </w:tcPr>
          <w:p w14:paraId="0DC44405"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96 Ter</w:t>
            </w:r>
          </w:p>
        </w:tc>
        <w:tc>
          <w:tcPr>
            <w:tcW w:w="2835" w:type="dxa"/>
          </w:tcPr>
          <w:p w14:paraId="3D722DE3"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Director de Obras Públicas o Titular de la Unidad Administrativa equivalente</w:t>
            </w:r>
          </w:p>
        </w:tc>
        <w:tc>
          <w:tcPr>
            <w:tcW w:w="3119" w:type="dxa"/>
          </w:tcPr>
          <w:p w14:paraId="60572E89"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603" w:type="dxa"/>
          </w:tcPr>
          <w:p w14:paraId="0BA12C24"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Obligatorio</w:t>
            </w:r>
          </w:p>
        </w:tc>
      </w:tr>
      <w:tr w:rsidR="00725990" w:rsidRPr="00E813DF" w14:paraId="01FEC0CE" w14:textId="77777777">
        <w:tc>
          <w:tcPr>
            <w:tcW w:w="1271" w:type="dxa"/>
          </w:tcPr>
          <w:p w14:paraId="167F9867"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96 Quintus</w:t>
            </w:r>
          </w:p>
        </w:tc>
        <w:tc>
          <w:tcPr>
            <w:tcW w:w="2835" w:type="dxa"/>
          </w:tcPr>
          <w:p w14:paraId="38066935"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El Director de Desarrollo Económico o Titular de la Unidad Administrativa equivalente</w:t>
            </w:r>
          </w:p>
        </w:tc>
        <w:tc>
          <w:tcPr>
            <w:tcW w:w="3119" w:type="dxa"/>
          </w:tcPr>
          <w:p w14:paraId="68FEDC29"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603" w:type="dxa"/>
          </w:tcPr>
          <w:p w14:paraId="1450FCCB"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Obligatorio</w:t>
            </w:r>
          </w:p>
        </w:tc>
      </w:tr>
      <w:tr w:rsidR="00725990" w:rsidRPr="00E813DF" w14:paraId="47189643" w14:textId="77777777">
        <w:tc>
          <w:tcPr>
            <w:tcW w:w="1271" w:type="dxa"/>
          </w:tcPr>
          <w:p w14:paraId="25375623"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96 Septies</w:t>
            </w:r>
          </w:p>
        </w:tc>
        <w:tc>
          <w:tcPr>
            <w:tcW w:w="2835" w:type="dxa"/>
          </w:tcPr>
          <w:p w14:paraId="56F03224"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El Director de Desarrollo Urbano o el Titular de la Unidad Administrativa equivalente</w:t>
            </w:r>
          </w:p>
        </w:tc>
        <w:tc>
          <w:tcPr>
            <w:tcW w:w="3119" w:type="dxa"/>
          </w:tcPr>
          <w:p w14:paraId="57C06D1D"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603" w:type="dxa"/>
          </w:tcPr>
          <w:p w14:paraId="0C26C9CE"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Obligatorio</w:t>
            </w:r>
          </w:p>
        </w:tc>
      </w:tr>
      <w:tr w:rsidR="00725990" w:rsidRPr="00E813DF" w14:paraId="71072160" w14:textId="77777777">
        <w:tc>
          <w:tcPr>
            <w:tcW w:w="1271" w:type="dxa"/>
          </w:tcPr>
          <w:p w14:paraId="15496B8C"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96 Nonies</w:t>
            </w:r>
          </w:p>
        </w:tc>
        <w:tc>
          <w:tcPr>
            <w:tcW w:w="2835" w:type="dxa"/>
          </w:tcPr>
          <w:p w14:paraId="3CAFA038"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El Director de Ecología o el Titular de la Unidad Administrativa equivalente</w:t>
            </w:r>
          </w:p>
        </w:tc>
        <w:tc>
          <w:tcPr>
            <w:tcW w:w="3119" w:type="dxa"/>
          </w:tcPr>
          <w:p w14:paraId="38A24D53"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603" w:type="dxa"/>
          </w:tcPr>
          <w:p w14:paraId="457D3FD8"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Obligatorio</w:t>
            </w:r>
          </w:p>
        </w:tc>
      </w:tr>
      <w:tr w:rsidR="00725990" w:rsidRPr="00E813DF" w14:paraId="17F186D8" w14:textId="77777777">
        <w:tc>
          <w:tcPr>
            <w:tcW w:w="1271" w:type="dxa"/>
          </w:tcPr>
          <w:p w14:paraId="39984CE5"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96</w:t>
            </w:r>
          </w:p>
          <w:p w14:paraId="22CAD21F"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Undecies</w:t>
            </w:r>
          </w:p>
        </w:tc>
        <w:tc>
          <w:tcPr>
            <w:tcW w:w="2835" w:type="dxa"/>
          </w:tcPr>
          <w:p w14:paraId="59EBBC70"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El Director de Turismo</w:t>
            </w:r>
          </w:p>
        </w:tc>
        <w:tc>
          <w:tcPr>
            <w:tcW w:w="3119" w:type="dxa"/>
          </w:tcPr>
          <w:p w14:paraId="43A8F1F9"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Requiere contar con título profesional en el área de turismo o afín.</w:t>
            </w:r>
          </w:p>
        </w:tc>
        <w:tc>
          <w:tcPr>
            <w:tcW w:w="1603" w:type="dxa"/>
          </w:tcPr>
          <w:p w14:paraId="4357BCC4"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No</w:t>
            </w:r>
          </w:p>
        </w:tc>
      </w:tr>
      <w:tr w:rsidR="00725990" w:rsidRPr="00E813DF" w14:paraId="67B87A04" w14:textId="77777777">
        <w:tc>
          <w:tcPr>
            <w:tcW w:w="1271" w:type="dxa"/>
          </w:tcPr>
          <w:p w14:paraId="27CEC591"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96 Terdecies</w:t>
            </w:r>
          </w:p>
        </w:tc>
        <w:tc>
          <w:tcPr>
            <w:tcW w:w="2835" w:type="dxa"/>
          </w:tcPr>
          <w:p w14:paraId="427E0EE3"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El Director de Desarrollo Social o el Titular de la Unidad Administrativa equivalente</w:t>
            </w:r>
          </w:p>
        </w:tc>
        <w:tc>
          <w:tcPr>
            <w:tcW w:w="3119" w:type="dxa"/>
          </w:tcPr>
          <w:p w14:paraId="790DF1AE"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Requiere contar con título profesional en el área de Ciencias Sociales o a fin, o contar con una experiencia mínima de un año en la materia, con anterioridad a la fecha de su designación.</w:t>
            </w:r>
          </w:p>
        </w:tc>
        <w:tc>
          <w:tcPr>
            <w:tcW w:w="1603" w:type="dxa"/>
          </w:tcPr>
          <w:p w14:paraId="26FD8A89"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No</w:t>
            </w:r>
          </w:p>
        </w:tc>
      </w:tr>
      <w:tr w:rsidR="00725990" w:rsidRPr="00E813DF" w14:paraId="40BAE867" w14:textId="77777777">
        <w:tc>
          <w:tcPr>
            <w:tcW w:w="1271" w:type="dxa"/>
          </w:tcPr>
          <w:p w14:paraId="2B2DD9E6"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96 Quindecies</w:t>
            </w:r>
          </w:p>
        </w:tc>
        <w:tc>
          <w:tcPr>
            <w:tcW w:w="2835" w:type="dxa"/>
          </w:tcPr>
          <w:p w14:paraId="190D1C5B"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Titular de la Dirección de las Mujeres</w:t>
            </w:r>
          </w:p>
        </w:tc>
        <w:tc>
          <w:tcPr>
            <w:tcW w:w="3119" w:type="dxa"/>
          </w:tcPr>
          <w:p w14:paraId="270593B2"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Hacendario del Estado de México o por alguna otra institución con reconocimiento de validez oficial.</w:t>
            </w:r>
          </w:p>
        </w:tc>
        <w:tc>
          <w:tcPr>
            <w:tcW w:w="1603" w:type="dxa"/>
          </w:tcPr>
          <w:p w14:paraId="1BFFD5D4"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Obligatorio</w:t>
            </w:r>
          </w:p>
        </w:tc>
      </w:tr>
      <w:tr w:rsidR="00725990" w:rsidRPr="00E813DF" w14:paraId="1B31D90A" w14:textId="77777777">
        <w:tc>
          <w:tcPr>
            <w:tcW w:w="1271" w:type="dxa"/>
          </w:tcPr>
          <w:p w14:paraId="5D728EB5"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 xml:space="preserve">Artículo 96 Sexdecies </w:t>
            </w:r>
          </w:p>
        </w:tc>
        <w:tc>
          <w:tcPr>
            <w:tcW w:w="2835" w:type="dxa"/>
          </w:tcPr>
          <w:p w14:paraId="0ED9A70C"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Titular de la Dirección del Campo o equivalente</w:t>
            </w:r>
          </w:p>
        </w:tc>
        <w:tc>
          <w:tcPr>
            <w:tcW w:w="3119" w:type="dxa"/>
          </w:tcPr>
          <w:p w14:paraId="4EEA4369"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Preferentemente contara con estudios de Ingeniería en agronomía.</w:t>
            </w:r>
          </w:p>
        </w:tc>
        <w:tc>
          <w:tcPr>
            <w:tcW w:w="1603" w:type="dxa"/>
          </w:tcPr>
          <w:p w14:paraId="0C28FB00"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No</w:t>
            </w:r>
          </w:p>
        </w:tc>
      </w:tr>
      <w:tr w:rsidR="00725990" w:rsidRPr="00E813DF" w14:paraId="737349BC" w14:textId="77777777">
        <w:tc>
          <w:tcPr>
            <w:tcW w:w="1271" w:type="dxa"/>
          </w:tcPr>
          <w:p w14:paraId="62600449"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113</w:t>
            </w:r>
          </w:p>
        </w:tc>
        <w:tc>
          <w:tcPr>
            <w:tcW w:w="2835" w:type="dxa"/>
          </w:tcPr>
          <w:p w14:paraId="18915271"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Contralor</w:t>
            </w:r>
          </w:p>
        </w:tc>
        <w:tc>
          <w:tcPr>
            <w:tcW w:w="3119" w:type="dxa"/>
          </w:tcPr>
          <w:p w14:paraId="1A147E70"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603" w:type="dxa"/>
          </w:tcPr>
          <w:p w14:paraId="1F4349CF"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Obligatorio</w:t>
            </w:r>
          </w:p>
        </w:tc>
      </w:tr>
      <w:tr w:rsidR="00725990" w:rsidRPr="00E813DF" w14:paraId="44897E4E" w14:textId="77777777">
        <w:tc>
          <w:tcPr>
            <w:tcW w:w="1271" w:type="dxa"/>
          </w:tcPr>
          <w:p w14:paraId="28E0B2B3"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124 Quáter</w:t>
            </w:r>
          </w:p>
        </w:tc>
        <w:tc>
          <w:tcPr>
            <w:tcW w:w="2835" w:type="dxa"/>
          </w:tcPr>
          <w:p w14:paraId="4F344B2D"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Titular de la Unidad Municipal de Control y Bienestar Animal</w:t>
            </w:r>
          </w:p>
        </w:tc>
        <w:tc>
          <w:tcPr>
            <w:tcW w:w="3119" w:type="dxa"/>
          </w:tcPr>
          <w:p w14:paraId="2434E87F"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Contar con Licenciatura y Cédula en Medicina Veterinaria, Zootecnista o profesión que se relacione con el conocimiento del cuidado y manejo de animales.</w:t>
            </w:r>
          </w:p>
        </w:tc>
        <w:tc>
          <w:tcPr>
            <w:tcW w:w="1603" w:type="dxa"/>
          </w:tcPr>
          <w:p w14:paraId="1CC8203D"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No</w:t>
            </w:r>
          </w:p>
        </w:tc>
      </w:tr>
      <w:tr w:rsidR="00725990" w:rsidRPr="00E813DF" w14:paraId="23D58D87" w14:textId="77777777">
        <w:tc>
          <w:tcPr>
            <w:tcW w:w="1271" w:type="dxa"/>
          </w:tcPr>
          <w:p w14:paraId="69BF4E60"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147 I</w:t>
            </w:r>
          </w:p>
        </w:tc>
        <w:tc>
          <w:tcPr>
            <w:tcW w:w="2835" w:type="dxa"/>
          </w:tcPr>
          <w:p w14:paraId="6B2EA31F"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Defensor Municipal de Derechos Humanos</w:t>
            </w:r>
          </w:p>
        </w:tc>
        <w:tc>
          <w:tcPr>
            <w:tcW w:w="3119" w:type="dxa"/>
          </w:tcPr>
          <w:p w14:paraId="7734CBD4"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Certificación en materia de derechos humanos, que para tal efecto emita la Comisión de Derechos Humanos del Estado de México.</w:t>
            </w:r>
          </w:p>
        </w:tc>
        <w:tc>
          <w:tcPr>
            <w:tcW w:w="1603" w:type="dxa"/>
          </w:tcPr>
          <w:p w14:paraId="3F7C6FB0"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Obligatorio</w:t>
            </w:r>
          </w:p>
        </w:tc>
      </w:tr>
      <w:tr w:rsidR="00725990" w:rsidRPr="00E813DF" w14:paraId="67B20A4C" w14:textId="77777777">
        <w:tc>
          <w:tcPr>
            <w:tcW w:w="1271" w:type="dxa"/>
          </w:tcPr>
          <w:p w14:paraId="52A33EAC"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147 Q</w:t>
            </w:r>
          </w:p>
        </w:tc>
        <w:tc>
          <w:tcPr>
            <w:tcW w:w="2835" w:type="dxa"/>
          </w:tcPr>
          <w:p w14:paraId="5BA82306"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Cronista Municipal</w:t>
            </w:r>
          </w:p>
        </w:tc>
        <w:tc>
          <w:tcPr>
            <w:tcW w:w="3119" w:type="dxa"/>
          </w:tcPr>
          <w:p w14:paraId="5C549583"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Contar preferentemente con título de Licenciado en Historia o disciplina a fin.</w:t>
            </w:r>
          </w:p>
        </w:tc>
        <w:tc>
          <w:tcPr>
            <w:tcW w:w="1603" w:type="dxa"/>
          </w:tcPr>
          <w:p w14:paraId="33F8B7DB"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No</w:t>
            </w:r>
          </w:p>
        </w:tc>
      </w:tr>
      <w:tr w:rsidR="00725990" w:rsidRPr="00E813DF" w14:paraId="37C6E543" w14:textId="77777777">
        <w:tc>
          <w:tcPr>
            <w:tcW w:w="1271" w:type="dxa"/>
          </w:tcPr>
          <w:p w14:paraId="3441F93A" w14:textId="77777777" w:rsidR="00304047" w:rsidRPr="00E813DF" w:rsidRDefault="00CA623F">
            <w:pPr>
              <w:spacing w:before="240" w:after="240" w:line="276" w:lineRule="auto"/>
              <w:jc w:val="both"/>
              <w:rPr>
                <w:rFonts w:ascii="Palatino Linotype" w:eastAsia="Palatino Linotype" w:hAnsi="Palatino Linotype" w:cs="Palatino Linotype"/>
                <w:b/>
                <w:bCs/>
                <w:sz w:val="20"/>
                <w:szCs w:val="20"/>
              </w:rPr>
            </w:pPr>
            <w:r w:rsidRPr="00E813DF">
              <w:rPr>
                <w:rFonts w:ascii="Palatino Linotype" w:eastAsia="Palatino Linotype" w:hAnsi="Palatino Linotype" w:cs="Palatino Linotype"/>
                <w:b/>
                <w:bCs/>
                <w:sz w:val="20"/>
                <w:szCs w:val="20"/>
              </w:rPr>
              <w:t>Artículo 142</w:t>
            </w:r>
          </w:p>
        </w:tc>
        <w:tc>
          <w:tcPr>
            <w:tcW w:w="2835" w:type="dxa"/>
          </w:tcPr>
          <w:p w14:paraId="6202E3F6"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 xml:space="preserve">Director de Seguridad Pública Municipal </w:t>
            </w:r>
          </w:p>
        </w:tc>
        <w:tc>
          <w:tcPr>
            <w:tcW w:w="3119" w:type="dxa"/>
          </w:tcPr>
          <w:p w14:paraId="23F02F8F"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deberá ser nombrado en los términos y requisitos establecidos en la Ley de Seguridad del Estado de México.</w:t>
            </w:r>
          </w:p>
          <w:p w14:paraId="505D3699"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 xml:space="preserve">Ley de Seguridad del Estado de México: </w:t>
            </w:r>
          </w:p>
          <w:p w14:paraId="23046785"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 xml:space="preserve">  Artículo 22 Bis. Para ocupar el cargo de Director de Seguridad Pública Municipal o su equivalente, se deberán satisfacer los requisitos siguientes:  </w:t>
            </w:r>
          </w:p>
          <w:p w14:paraId="7B042E48" w14:textId="77777777" w:rsidR="00304047" w:rsidRPr="00E813DF" w:rsidRDefault="00304047">
            <w:pPr>
              <w:spacing w:before="240" w:after="240" w:line="276" w:lineRule="auto"/>
              <w:jc w:val="both"/>
              <w:rPr>
                <w:rFonts w:ascii="Palatino Linotype" w:eastAsia="Palatino Linotype" w:hAnsi="Palatino Linotype" w:cs="Palatino Linotype"/>
                <w:sz w:val="20"/>
                <w:szCs w:val="20"/>
              </w:rPr>
            </w:pPr>
          </w:p>
          <w:p w14:paraId="6A707F9B" w14:textId="77777777" w:rsidR="00304047" w:rsidRPr="00E813DF" w:rsidRDefault="00CA623F">
            <w:pPr>
              <w:spacing w:before="240" w:after="240" w:line="276" w:lineRule="auto"/>
              <w:jc w:val="both"/>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IV. Tener título de Licenciatura, y contar con certificación o especialización como mando en seguridad pública expedida por la Universidad Mexiquense de Seguridad, y contar con experiencia mínima de un año en la materia.</w:t>
            </w:r>
          </w:p>
        </w:tc>
        <w:tc>
          <w:tcPr>
            <w:tcW w:w="1603" w:type="dxa"/>
          </w:tcPr>
          <w:p w14:paraId="78DC5C75"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 xml:space="preserve">Opcional </w:t>
            </w:r>
          </w:p>
          <w:p w14:paraId="38D3FE13" w14:textId="77777777" w:rsidR="00304047" w:rsidRPr="00E813DF" w:rsidRDefault="00CA623F">
            <w:pPr>
              <w:spacing w:before="240" w:after="240" w:line="276" w:lineRule="auto"/>
              <w:jc w:val="center"/>
              <w:rPr>
                <w:rFonts w:ascii="Palatino Linotype" w:eastAsia="Palatino Linotype" w:hAnsi="Palatino Linotype" w:cs="Palatino Linotype"/>
                <w:sz w:val="20"/>
                <w:szCs w:val="20"/>
              </w:rPr>
            </w:pPr>
            <w:r w:rsidRPr="00E813DF">
              <w:rPr>
                <w:rFonts w:ascii="Palatino Linotype" w:eastAsia="Palatino Linotype" w:hAnsi="Palatino Linotype" w:cs="Palatino Linotype"/>
                <w:sz w:val="20"/>
                <w:szCs w:val="20"/>
              </w:rPr>
              <w:t>Certificación o especialización</w:t>
            </w:r>
          </w:p>
        </w:tc>
      </w:tr>
    </w:tbl>
    <w:p w14:paraId="64560451" w14:textId="77777777" w:rsidR="00304047" w:rsidRPr="00E813DF" w:rsidRDefault="00CA623F">
      <w:pPr>
        <w:tabs>
          <w:tab w:val="left" w:pos="3544"/>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Asimismo, al artículo 57, fracción I de la Ley de Transparencia y Acceso a la Información Pública del Estado de México y Municipio, dispone que la persona titular de la Unidad de Transparencia de las entidades gubernamentales estatales y municipales, además de tener el perfil adecuado y los conocimientos necesarios, debe contar con certificación en materia de acceso a la información, transparencia y protección de datos personales, que emita este Instituto, como se lee enseguida:</w:t>
      </w:r>
    </w:p>
    <w:p w14:paraId="52F0947B" w14:textId="77777777" w:rsidR="00304047" w:rsidRPr="00E813DF" w:rsidRDefault="00CA623F">
      <w:pPr>
        <w:tabs>
          <w:tab w:val="left" w:pos="3544"/>
        </w:tabs>
        <w:spacing w:before="240" w:after="240" w:line="360" w:lineRule="auto"/>
        <w:ind w:left="851"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57</w:t>
      </w:r>
      <w:r w:rsidRPr="00E813DF">
        <w:rPr>
          <w:rFonts w:ascii="Palatino Linotype" w:eastAsia="Palatino Linotype" w:hAnsi="Palatino Linotype" w:cs="Palatino Linotype"/>
          <w:i/>
          <w:iCs/>
          <w:sz w:val="22"/>
          <w:szCs w:val="22"/>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727D1297" w14:textId="77777777" w:rsidR="00304047" w:rsidRPr="00E813DF" w:rsidRDefault="00CA623F">
      <w:pPr>
        <w:tabs>
          <w:tab w:val="left" w:pos="3544"/>
        </w:tabs>
        <w:spacing w:before="240" w:after="240" w:line="360" w:lineRule="auto"/>
        <w:ind w:left="851"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w:t>
      </w:r>
      <w:r w:rsidRPr="00E813DF">
        <w:rPr>
          <w:rFonts w:ascii="Palatino Linotype" w:eastAsia="Palatino Linotype" w:hAnsi="Palatino Linotype" w:cs="Palatino Linotype"/>
          <w:i/>
          <w:iCs/>
          <w:sz w:val="22"/>
          <w:szCs w:val="22"/>
        </w:rPr>
        <w:t xml:space="preserve">. Contar con conocimiento o, tratándose de las entidades gubernamentales estatales y los municipios </w:t>
      </w:r>
      <w:r w:rsidRPr="00E813DF">
        <w:rPr>
          <w:rFonts w:ascii="Palatino Linotype" w:eastAsia="Palatino Linotype" w:hAnsi="Palatino Linotype" w:cs="Palatino Linotype"/>
          <w:b/>
          <w:bCs/>
          <w:i/>
          <w:iCs/>
          <w:sz w:val="22"/>
          <w:szCs w:val="22"/>
        </w:rPr>
        <w:t>certificación en materia de acceso a la información, transparencia y protección de datos personales,</w:t>
      </w:r>
      <w:r w:rsidRPr="00E813DF">
        <w:rPr>
          <w:rFonts w:ascii="Palatino Linotype" w:eastAsia="Palatino Linotype" w:hAnsi="Palatino Linotype" w:cs="Palatino Linotype"/>
          <w:i/>
          <w:iCs/>
          <w:sz w:val="22"/>
          <w:szCs w:val="22"/>
        </w:rPr>
        <w:t xml:space="preserve"> que para tal efecto emita el Instituto;”</w:t>
      </w:r>
    </w:p>
    <w:p w14:paraId="433F17E0" w14:textId="77777777" w:rsidR="00304047" w:rsidRPr="00E813DF" w:rsidRDefault="00CA623F">
      <w:pPr>
        <w:tabs>
          <w:tab w:val="left" w:pos="709"/>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Asimismo, por lo que se refiere al Director de Seguridad Pública o equivalente La Ley de Seguridad Pública establece: </w:t>
      </w:r>
    </w:p>
    <w:p w14:paraId="6683D14D" w14:textId="77777777" w:rsidR="00304047" w:rsidRPr="00E813DF" w:rsidRDefault="00CA623F">
      <w:pPr>
        <w:spacing w:before="240" w:after="240" w:line="360" w:lineRule="auto"/>
        <w:ind w:left="567" w:right="845"/>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 xml:space="preserve">Artículo 22 Bis. </w:t>
      </w:r>
      <w:r w:rsidRPr="00E813DF">
        <w:rPr>
          <w:rFonts w:ascii="Palatino Linotype" w:eastAsia="Palatino Linotype" w:hAnsi="Palatino Linotype" w:cs="Palatino Linotype"/>
          <w:i/>
          <w:iCs/>
          <w:sz w:val="22"/>
          <w:szCs w:val="22"/>
        </w:rPr>
        <w:t>Para ocupar el cargo de Director de Seguridad Pública Municipal o su equivalente, se deberán satisfacer los requisitos siguientes:</w:t>
      </w:r>
    </w:p>
    <w:p w14:paraId="6A016A83" w14:textId="77777777" w:rsidR="00304047" w:rsidRPr="00E813DF" w:rsidRDefault="00CA623F">
      <w:pPr>
        <w:spacing w:before="240" w:after="240" w:line="360" w:lineRule="auto"/>
        <w:ind w:left="567" w:right="845"/>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w:t>
      </w:r>
      <w:r w:rsidRPr="00E813DF">
        <w:rPr>
          <w:rFonts w:ascii="Palatino Linotype" w:eastAsia="Palatino Linotype" w:hAnsi="Palatino Linotype" w:cs="Palatino Linotype"/>
          <w:i/>
          <w:iCs/>
          <w:sz w:val="22"/>
          <w:szCs w:val="22"/>
        </w:rPr>
        <w:t xml:space="preserve"> Ser ciudadano o ciudadana del Estado de México, preferentemente vecino del municipio, en pleno goce de sus derechos civiles y políticos;</w:t>
      </w:r>
    </w:p>
    <w:p w14:paraId="536000E0" w14:textId="77777777" w:rsidR="00304047" w:rsidRPr="00E813DF" w:rsidRDefault="00CA623F">
      <w:pPr>
        <w:spacing w:before="240" w:after="240" w:line="360" w:lineRule="auto"/>
        <w:ind w:left="567" w:right="845"/>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w:t>
      </w:r>
      <w:r w:rsidRPr="00E813DF">
        <w:rPr>
          <w:rFonts w:ascii="Palatino Linotype" w:eastAsia="Palatino Linotype" w:hAnsi="Palatino Linotype" w:cs="Palatino Linotype"/>
          <w:i/>
          <w:iCs/>
          <w:sz w:val="22"/>
          <w:szCs w:val="22"/>
        </w:rPr>
        <w:t xml:space="preserve"> No estar inhabilitado o inhabilitada para desempeñar cargo, empleo, o comisión pública;</w:t>
      </w:r>
    </w:p>
    <w:p w14:paraId="250E70B0" w14:textId="77777777" w:rsidR="00304047" w:rsidRPr="00E813DF" w:rsidRDefault="00CA623F">
      <w:pPr>
        <w:spacing w:before="240" w:after="240" w:line="360" w:lineRule="auto"/>
        <w:ind w:left="567" w:right="845"/>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III.</w:t>
      </w:r>
      <w:r w:rsidRPr="00E813DF">
        <w:rPr>
          <w:rFonts w:ascii="Palatino Linotype" w:eastAsia="Palatino Linotype" w:hAnsi="Palatino Linotype" w:cs="Palatino Linotype"/>
          <w:i/>
          <w:iCs/>
          <w:sz w:val="22"/>
          <w:szCs w:val="22"/>
        </w:rPr>
        <w:t xml:space="preserve"> No haber sido condenado o condenada por delito doloso que amerite pena privativa de libertad;</w:t>
      </w:r>
    </w:p>
    <w:p w14:paraId="3605C536" w14:textId="77777777" w:rsidR="00304047" w:rsidRPr="00E813DF" w:rsidRDefault="00CA623F">
      <w:pPr>
        <w:spacing w:before="240" w:after="240" w:line="360" w:lineRule="auto"/>
        <w:ind w:left="567" w:right="845"/>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IV.</w:t>
      </w: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b/>
          <w:bCs/>
          <w:i/>
          <w:iCs/>
          <w:sz w:val="22"/>
          <w:szCs w:val="22"/>
        </w:rPr>
        <w:t xml:space="preserve">Tener título de Licenciatura, y </w:t>
      </w:r>
      <w:r w:rsidRPr="00E813DF">
        <w:rPr>
          <w:rFonts w:ascii="Palatino Linotype" w:eastAsia="Palatino Linotype" w:hAnsi="Palatino Linotype" w:cs="Palatino Linotype"/>
          <w:b/>
          <w:bCs/>
          <w:i/>
          <w:iCs/>
          <w:sz w:val="22"/>
          <w:szCs w:val="22"/>
          <w:u w:val="single"/>
        </w:rPr>
        <w:t>contar con certificación o especialización</w:t>
      </w:r>
      <w:r w:rsidRPr="00E813DF">
        <w:rPr>
          <w:rFonts w:ascii="Palatino Linotype" w:eastAsia="Palatino Linotype" w:hAnsi="Palatino Linotype" w:cs="Palatino Linotype"/>
          <w:b/>
          <w:bCs/>
          <w:i/>
          <w:iCs/>
          <w:sz w:val="22"/>
          <w:szCs w:val="22"/>
        </w:rPr>
        <w:t xml:space="preserve"> como mando en seguridad pública expedida por la Universidad Mexiquense de Seguridad, y contar con experiencia mínima de un año en la materia.</w:t>
      </w:r>
    </w:p>
    <w:p w14:paraId="166B8814" w14:textId="77777777" w:rsidR="00304047" w:rsidRPr="00E813DF" w:rsidRDefault="00CA623F">
      <w:pPr>
        <w:spacing w:before="240" w:after="240" w:line="360" w:lineRule="auto"/>
        <w:ind w:left="567" w:right="845"/>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V</w:t>
      </w:r>
      <w:r w:rsidRPr="00E813DF">
        <w:rPr>
          <w:rFonts w:ascii="Palatino Linotype" w:eastAsia="Palatino Linotype" w:hAnsi="Palatino Linotype" w:cs="Palatino Linotype"/>
          <w:i/>
          <w:iCs/>
          <w:sz w:val="22"/>
          <w:szCs w:val="22"/>
        </w:rPr>
        <w:t>. Someterse y aprobar las evaluaciones de certificación y control de confianza diseñadas por el Centro de Control de Confianza del Estado de México, específicamente para el desempeño del cargo de titulares de la Dirección de Seguridad Pública Municipal, para su ingreso y permanencia.</w:t>
      </w:r>
    </w:p>
    <w:p w14:paraId="36502A7A" w14:textId="77777777" w:rsidR="00304047" w:rsidRPr="00E813DF" w:rsidRDefault="00CA623F">
      <w:pPr>
        <w:spacing w:before="240" w:after="240" w:line="360" w:lineRule="auto"/>
        <w:ind w:left="567" w:right="845"/>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Para ocupar el cargo de mandos medios de jerarquía inmediata inferior a la persona titular de la Dirección de Seguridad Pública Municipal o equivalente, se deberá cumplir con los requisitos previstos en el presente artículo, así como solicitar y conocer, de manera previa a su nombramiento, la opinión no vinculante de la Secretaría.</w:t>
      </w:r>
    </w:p>
    <w:p w14:paraId="3C7A618A" w14:textId="77777777" w:rsidR="00304047" w:rsidRPr="00E813DF" w:rsidRDefault="00CA623F">
      <w:pPr>
        <w:tabs>
          <w:tab w:val="left" w:pos="709"/>
        </w:tabs>
        <w:spacing w:before="240" w:after="240" w:line="360" w:lineRule="auto"/>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sz w:val="22"/>
          <w:szCs w:val="22"/>
        </w:rPr>
        <w:t xml:space="preserve">Con base en lo anterior se colige que los titulares de la Dirección de Turismo o equivalente, la Dirección de Desarrollo Social o equivalente, la Dirección del Campo o equivalente, así como de la Unidad Municipal de Control y Bienestar Animal, y el Cronista Municipal, NO están obligados a contar con una certificación de competencia laboral para el desempeño de sus funciones, mientras que en el caso de los titulares de la Coordinación Municipal de Protección Civil, la Coordinación General Municipal de Mejora Regulatoria, y la  Dirección de Seguridad Pública la certificación de competencia laboral es opcional, pudiendo la Coordinación de Mejora Regulatoria presentar certificación o un diplomado en materia de mejora regulatoria y en el caso de la Dirección de Seguridad Pública una especialización; no obstante en el caso de las personas titulares de la Secretaría del Ayuntamiento, la Tesorería Municipal, la Dirección de Obras Públicas o equivalente, la Dirección de Desarrollo Económico o equivalente, la Dirección de Desarrollo Urbano o equivalente, la Dirección de Ecología o equivalente, la Dirección de las Mujeres o equivalente, la Contraloría Municipal; y la Defensoría Municipal de Derechos Humanos </w:t>
      </w:r>
      <w:r w:rsidRPr="00E813DF">
        <w:rPr>
          <w:rFonts w:ascii="Palatino Linotype" w:eastAsia="Palatino Linotype" w:hAnsi="Palatino Linotype" w:cs="Palatino Linotype"/>
          <w:b/>
          <w:bCs/>
          <w:sz w:val="22"/>
          <w:szCs w:val="22"/>
        </w:rPr>
        <w:t>están obligados a cumplir con la certificación de competencia laboral para el desempeño del cargo.</w:t>
      </w:r>
    </w:p>
    <w:p w14:paraId="3DFCAF18" w14:textId="77777777" w:rsidR="00304047" w:rsidRPr="00E813DF" w:rsidRDefault="00CA623F">
      <w:pPr>
        <w:tabs>
          <w:tab w:val="left" w:pos="3544"/>
        </w:tabs>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Con base en los argumentos expuestos, se estima que para tener por satisfecho el Derecho de acceso de la persona solicitante, es necesario ordenar que, previa búsqueda exhaustiva y razonable, haga entrega de las certificaciones de competencia laboral de los directores que integran la administración pública municipal 2025-2027, con las que cuente al veintiséis de mayo de dos mil veinticinco, en versión pública de ser necesario.</w:t>
      </w:r>
    </w:p>
    <w:p w14:paraId="21D5FBE5"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Sin embargo, es de señalar que para el caso de que no llegara a localizar información en sus archivos, por no haberse cumplido aún con dicho requisito, bastará con que así se haga del conocimiento de la persona solicitante para tener por colmado su derecho de acceso a la información, con fundamento en el artículo 19, párrafo segundo de la Ley de Transparencia y Acceso a la Información Pública del Estado de México y Municipios, a saber:</w:t>
      </w:r>
    </w:p>
    <w:p w14:paraId="292D414E" w14:textId="77777777" w:rsidR="00304047" w:rsidRPr="00E813DF" w:rsidRDefault="00CA623F">
      <w:pPr>
        <w:spacing w:before="240" w:after="240" w:line="360" w:lineRule="auto"/>
        <w:ind w:left="851" w:right="902"/>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19</w:t>
      </w:r>
      <w:r w:rsidRPr="00E813DF">
        <w:rPr>
          <w:rFonts w:ascii="Palatino Linotype" w:eastAsia="Palatino Linotype" w:hAnsi="Palatino Linotype" w:cs="Palatino Linotype"/>
          <w:i/>
          <w:iCs/>
          <w:sz w:val="22"/>
          <w:szCs w:val="22"/>
        </w:rPr>
        <w:t>…</w:t>
      </w:r>
    </w:p>
    <w:p w14:paraId="482F2141" w14:textId="77777777" w:rsidR="00304047" w:rsidRPr="00E813DF" w:rsidRDefault="00CA623F">
      <w:pPr>
        <w:spacing w:before="240" w:after="240" w:line="360" w:lineRule="auto"/>
        <w:ind w:left="709" w:right="616"/>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i/>
          <w:iCs/>
          <w:sz w:val="22"/>
          <w:szCs w:val="22"/>
        </w:rPr>
        <w:t>En los casos en que ciertas facultades, competencias o funciones no se hayan ejercido, se debe motivar la respuesta en función de las causas que motiven tal circunstancia.”</w:t>
      </w:r>
    </w:p>
    <w:p w14:paraId="531BA53C" w14:textId="77777777" w:rsidR="00304047" w:rsidRPr="00E813DF" w:rsidRDefault="00CA623F">
      <w:pPr>
        <w:numPr>
          <w:ilvl w:val="0"/>
          <w:numId w:val="10"/>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bCs/>
          <w:sz w:val="22"/>
          <w:szCs w:val="22"/>
        </w:rPr>
      </w:pPr>
      <w:bookmarkStart w:id="12" w:name="_heading=h.3o02tf20c29a" w:colFirst="0" w:colLast="0"/>
      <w:bookmarkEnd w:id="12"/>
      <w:r w:rsidRPr="00E813DF">
        <w:rPr>
          <w:rFonts w:ascii="Palatino Linotype" w:eastAsia="Palatino Linotype" w:hAnsi="Palatino Linotype" w:cs="Palatino Linotype"/>
          <w:b/>
          <w:bCs/>
          <w:sz w:val="22"/>
          <w:szCs w:val="22"/>
        </w:rPr>
        <w:t xml:space="preserve">Acta de la Sesión de Cabildo y expediente con el que se aprobó el nombramiento de los titulares de las unidades administrativas del Ayuntamiento </w:t>
      </w:r>
    </w:p>
    <w:p w14:paraId="669EDAD7" w14:textId="77777777" w:rsidR="00304047" w:rsidRPr="00E813DF" w:rsidRDefault="00CA623F">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Al respecto se menciona que la Secretaría del Ayuntamiento, es la dependencia de la administración pública municipal responsable de asistir al presidente municipal en organización y funcionamiento administrativo del municipio, proporcionando apoyo administrativo, organizando las sesiones del ayuntamiento, elaborando actas, y asegurando la correcta ejecución de los acuerdos tomados en las sesiones, además, tiene la responsabilidad de custodiar los documentos oficiales, como los registros y actas del ayuntamiento, entre otras atribuciones, como se desprende del artículo 91 de la Ley Orgánica Municipal del Estado de México, que en su parte conducente dispone lo siguiente:</w:t>
      </w:r>
    </w:p>
    <w:p w14:paraId="773E6775" w14:textId="77777777" w:rsidR="00304047" w:rsidRPr="00E813DF" w:rsidRDefault="00CA623F">
      <w:pPr>
        <w:pBdr>
          <w:top w:val="nil"/>
          <w:left w:val="nil"/>
          <w:bottom w:val="nil"/>
          <w:right w:val="nil"/>
          <w:between w:val="nil"/>
        </w:pBdr>
        <w:spacing w:before="240" w:after="240" w:line="360" w:lineRule="auto"/>
        <w:ind w:left="851"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91.</w:t>
      </w:r>
      <w:r w:rsidRPr="00E813DF">
        <w:rPr>
          <w:rFonts w:ascii="Palatino Linotype" w:eastAsia="Palatino Linotype" w:hAnsi="Palatino Linotype" w:cs="Palatino Linotype"/>
          <w:i/>
          <w:iCs/>
          <w:sz w:val="22"/>
          <w:szCs w:val="22"/>
        </w:rPr>
        <w:t xml:space="preserve">- La </w:t>
      </w:r>
      <w:r w:rsidRPr="00E813DF">
        <w:rPr>
          <w:rFonts w:ascii="Palatino Linotype" w:eastAsia="Palatino Linotype" w:hAnsi="Palatino Linotype" w:cs="Palatino Linotype"/>
          <w:b/>
          <w:bCs/>
          <w:i/>
          <w:iCs/>
          <w:sz w:val="22"/>
          <w:szCs w:val="22"/>
        </w:rPr>
        <w:t>Secretaría del Ayuntamiento estará a cargo de un Secretario</w:t>
      </w:r>
      <w:r w:rsidRPr="00E813DF">
        <w:rPr>
          <w:rFonts w:ascii="Palatino Linotype" w:eastAsia="Palatino Linotype" w:hAnsi="Palatino Linotype" w:cs="Palatino Linotype"/>
          <w:i/>
          <w:iCs/>
          <w:sz w:val="22"/>
          <w:szCs w:val="22"/>
        </w:rPr>
        <w:t xml:space="preserve">, el que, sin ser miembro del mismo, </w:t>
      </w:r>
      <w:r w:rsidRPr="00E813DF">
        <w:rPr>
          <w:rFonts w:ascii="Palatino Linotype" w:eastAsia="Palatino Linotype" w:hAnsi="Palatino Linotype" w:cs="Palatino Linotype"/>
          <w:b/>
          <w:bCs/>
          <w:i/>
          <w:iCs/>
          <w:sz w:val="22"/>
          <w:szCs w:val="22"/>
          <w:u w:val="single"/>
        </w:rPr>
        <w:t>deberá ser nombrado por el propio Ayuntamiento a propuesta del Presidente Municipal</w:t>
      </w:r>
      <w:r w:rsidRPr="00E813DF">
        <w:rPr>
          <w:rFonts w:ascii="Palatino Linotype" w:eastAsia="Palatino Linotype" w:hAnsi="Palatino Linotype" w:cs="Palatino Linotype"/>
          <w:i/>
          <w:iCs/>
          <w:sz w:val="22"/>
          <w:szCs w:val="22"/>
        </w:rPr>
        <w:t xml:space="preserve"> como lo marca el artículo 31 de la presente ley. Sus faltas temporales serán cubiertas por quien designe el Ayuntamiento y sus atribuciones son las siguientes:</w:t>
      </w:r>
    </w:p>
    <w:p w14:paraId="3013EF49"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I.</w:t>
      </w:r>
      <w:r w:rsidRPr="00E813DF">
        <w:rPr>
          <w:rFonts w:ascii="Palatino Linotype" w:eastAsia="Palatino Linotype" w:hAnsi="Palatino Linotype" w:cs="Palatino Linotype"/>
          <w:i/>
          <w:iCs/>
          <w:sz w:val="22"/>
          <w:szCs w:val="22"/>
        </w:rPr>
        <w:t xml:space="preserve"> Asistir a las sesiones del ayuntamiento y levantar las actas correspondientes; </w:t>
      </w:r>
    </w:p>
    <w:p w14:paraId="07CFA00F"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II</w:t>
      </w:r>
      <w:r w:rsidRPr="00E813DF">
        <w:rPr>
          <w:rFonts w:ascii="Palatino Linotype" w:eastAsia="Palatino Linotype" w:hAnsi="Palatino Linotype" w:cs="Palatino Linotype"/>
          <w:i/>
          <w:iCs/>
          <w:sz w:val="22"/>
          <w:szCs w:val="22"/>
        </w:rPr>
        <w:t>. Emitir los citatorios para la celebración de las sesiones de cabildo, convocadas legalmente; </w:t>
      </w:r>
    </w:p>
    <w:p w14:paraId="433C1F70"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III.</w:t>
      </w:r>
      <w:r w:rsidRPr="00E813DF">
        <w:rPr>
          <w:rFonts w:ascii="Palatino Linotype" w:eastAsia="Palatino Linotype" w:hAnsi="Palatino Linotype" w:cs="Palatino Linotype"/>
          <w:i/>
          <w:iCs/>
          <w:sz w:val="22"/>
          <w:szCs w:val="22"/>
        </w:rPr>
        <w:t xml:space="preserve"> Dar cuenta en la primera sesión de cada mes, del número y contenido de los expedientes pasados a comisión, con mención de los que hayan sido resueltos y de los pendientes; </w:t>
      </w:r>
    </w:p>
    <w:p w14:paraId="748EEA2B"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IV</w:t>
      </w:r>
      <w:r w:rsidRPr="00E813DF">
        <w:rPr>
          <w:rFonts w:ascii="Palatino Linotype" w:eastAsia="Palatino Linotype" w:hAnsi="Palatino Linotype" w:cs="Palatino Linotype"/>
          <w:i/>
          <w:iCs/>
          <w:sz w:val="22"/>
          <w:szCs w:val="22"/>
        </w:rPr>
        <w:t>. Llevar y conservar los libros de actas de cabildo, obteniendo las firmas de los asistentes a las sesiones; </w:t>
      </w:r>
    </w:p>
    <w:p w14:paraId="29BA75B3"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V</w:t>
      </w:r>
      <w:r w:rsidRPr="00E813DF">
        <w:rPr>
          <w:rFonts w:ascii="Palatino Linotype" w:eastAsia="Palatino Linotype" w:hAnsi="Palatino Linotype" w:cs="Palatino Linotype"/>
          <w:i/>
          <w:iCs/>
          <w:sz w:val="22"/>
          <w:szCs w:val="22"/>
        </w:rPr>
        <w:t>. Validar con su firma, los documentos oficiales emanados del ayuntamiento o de cualquiera de sus miembros; </w:t>
      </w:r>
    </w:p>
    <w:p w14:paraId="71421417"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VI</w:t>
      </w:r>
      <w:r w:rsidRPr="00E813DF">
        <w:rPr>
          <w:rFonts w:ascii="Palatino Linotype" w:eastAsia="Palatino Linotype" w:hAnsi="Palatino Linotype" w:cs="Palatino Linotype"/>
          <w:i/>
          <w:iCs/>
          <w:sz w:val="22"/>
          <w:szCs w:val="22"/>
        </w:rPr>
        <w:t>. Tener a su cargo el archivo general del ayuntamiento; </w:t>
      </w:r>
    </w:p>
    <w:p w14:paraId="0F099BD0"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VII</w:t>
      </w:r>
      <w:r w:rsidRPr="00E813DF">
        <w:rPr>
          <w:rFonts w:ascii="Palatino Linotype" w:eastAsia="Palatino Linotype" w:hAnsi="Palatino Linotype" w:cs="Palatino Linotype"/>
          <w:i/>
          <w:iCs/>
          <w:sz w:val="22"/>
          <w:szCs w:val="22"/>
        </w:rPr>
        <w:t>. Controlar y distribuir la correspondencia oficial del ayuntamiento, dando cuenta diaria al presidente municipal para acordar su trámite;</w:t>
      </w:r>
    </w:p>
    <w:p w14:paraId="7EAB2BF0"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w:t>
      </w:r>
    </w:p>
    <w:p w14:paraId="07C18AEE" w14:textId="77777777" w:rsidR="00304047" w:rsidRPr="00E813DF" w:rsidRDefault="00CA623F">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tal sentido, se menciona que en el ejercicio de sus atribuciones, la Secretaría del Ayuntamiento tiene conocimiento sobre los nombramientos de los titulares de las dependencias, unidades administrativas y organismos auxiliares que conforman la estructura orgánica del </w:t>
      </w:r>
      <w:r w:rsidRPr="00E813DF">
        <w:rPr>
          <w:rFonts w:ascii="Palatino Linotype" w:eastAsia="Palatino Linotype" w:hAnsi="Palatino Linotype" w:cs="Palatino Linotype"/>
          <w:b/>
          <w:bCs/>
          <w:sz w:val="22"/>
          <w:szCs w:val="22"/>
        </w:rPr>
        <w:t xml:space="preserve">Sujeto Obligado, </w:t>
      </w:r>
      <w:r w:rsidRPr="00E813DF">
        <w:rPr>
          <w:rFonts w:ascii="Palatino Linotype" w:eastAsia="Palatino Linotype" w:hAnsi="Palatino Linotype" w:cs="Palatino Linotype"/>
          <w:sz w:val="22"/>
          <w:szCs w:val="22"/>
        </w:rPr>
        <w:t>al ser responsable de levantar y resguardar las actas de las actas de las sesiones de cabildo, el cual, como órgano deliberante que resuelve de forma colegiada los asuntos de su competencia, entre los que se encuentra el nombramiento de las personas titulares, a propuesta de la persona titular de la presidencia municipal, de conformidad con lo dispuesto en los artículos 31, fracción XVII y 48, fracción VI de la Ley Orgánica Municipal del Estado de México, a saber: </w:t>
      </w:r>
    </w:p>
    <w:p w14:paraId="26FB7FF0" w14:textId="77777777" w:rsidR="00304047" w:rsidRPr="00E813DF" w:rsidRDefault="00CA623F">
      <w:pPr>
        <w:pBdr>
          <w:top w:val="nil"/>
          <w:left w:val="nil"/>
          <w:bottom w:val="nil"/>
          <w:right w:val="nil"/>
          <w:between w:val="nil"/>
        </w:pBdr>
        <w:spacing w:before="240" w:after="240" w:line="360" w:lineRule="auto"/>
        <w:ind w:left="851"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“Artículo 31.-</w:t>
      </w:r>
      <w:r w:rsidRPr="00E813DF">
        <w:rPr>
          <w:rFonts w:ascii="Palatino Linotype" w:eastAsia="Palatino Linotype" w:hAnsi="Palatino Linotype" w:cs="Palatino Linotype"/>
          <w:i/>
          <w:iCs/>
          <w:sz w:val="22"/>
          <w:szCs w:val="22"/>
        </w:rPr>
        <w:t xml:space="preserve"> Son </w:t>
      </w:r>
      <w:r w:rsidRPr="00E813DF">
        <w:rPr>
          <w:rFonts w:ascii="Palatino Linotype" w:eastAsia="Palatino Linotype" w:hAnsi="Palatino Linotype" w:cs="Palatino Linotype"/>
          <w:b/>
          <w:bCs/>
          <w:i/>
          <w:iCs/>
          <w:sz w:val="22"/>
          <w:szCs w:val="22"/>
        </w:rPr>
        <w:t>atribuciones de los ayuntamientos</w:t>
      </w:r>
      <w:r w:rsidRPr="00E813DF">
        <w:rPr>
          <w:rFonts w:ascii="Palatino Linotype" w:eastAsia="Palatino Linotype" w:hAnsi="Palatino Linotype" w:cs="Palatino Linotype"/>
          <w:i/>
          <w:iCs/>
          <w:sz w:val="22"/>
          <w:szCs w:val="22"/>
        </w:rPr>
        <w:t>:</w:t>
      </w:r>
    </w:p>
    <w:p w14:paraId="1967EBDD"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w:t>
      </w:r>
    </w:p>
    <w:p w14:paraId="42D03050"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XVII.</w:t>
      </w: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b/>
          <w:bCs/>
          <w:i/>
          <w:iCs/>
          <w:sz w:val="22"/>
          <w:szCs w:val="22"/>
        </w:rPr>
        <w:t xml:space="preserve">Nombrar </w:t>
      </w:r>
      <w:r w:rsidRPr="00E813DF">
        <w:rPr>
          <w:rFonts w:ascii="Palatino Linotype" w:eastAsia="Palatino Linotype" w:hAnsi="Palatino Linotype" w:cs="Palatino Linotype"/>
          <w:i/>
          <w:iCs/>
          <w:sz w:val="22"/>
          <w:szCs w:val="22"/>
        </w:rPr>
        <w:t>y remover</w:t>
      </w:r>
      <w:r w:rsidRPr="00E813DF">
        <w:rPr>
          <w:rFonts w:ascii="Palatino Linotype" w:eastAsia="Palatino Linotype" w:hAnsi="Palatino Linotype" w:cs="Palatino Linotype"/>
          <w:b/>
          <w:bCs/>
          <w:i/>
          <w:iCs/>
          <w:sz w:val="22"/>
          <w:szCs w:val="22"/>
        </w:rPr>
        <w:t xml:space="preserve"> a las personas titulares de la secretaría, tesorería, de las unidades administrativas y de los organismos auxiliares a propuesta de la persona titular de la presidencia municipal;</w:t>
      </w:r>
      <w:r w:rsidRPr="00E813DF">
        <w:rPr>
          <w:rFonts w:ascii="Palatino Linotype" w:eastAsia="Palatino Linotype" w:hAnsi="Palatino Linotype" w:cs="Palatino Linotype"/>
          <w:i/>
          <w:iCs/>
          <w:sz w:val="22"/>
          <w:szCs w:val="22"/>
        </w:rPr>
        <w:t xml:space="preserve"> para la designación de estas se preferirá en igualdad de circunstancias a la ciudadanía del Estado, vecina del municipio; observando los principios de igualdad y equidad y garantizando la paridad de género. </w:t>
      </w:r>
    </w:p>
    <w:p w14:paraId="47DA3B4A"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La paridad de género se deberá aplicar a las dependencias de la administración municipal referidas en el artículo 87 de presente Ley;</w:t>
      </w:r>
    </w:p>
    <w:p w14:paraId="1A2151A3" w14:textId="77777777" w:rsidR="00304047" w:rsidRPr="00E813DF" w:rsidRDefault="00CA623F">
      <w:pPr>
        <w:pBdr>
          <w:top w:val="nil"/>
          <w:left w:val="nil"/>
          <w:bottom w:val="nil"/>
          <w:right w:val="nil"/>
          <w:between w:val="nil"/>
        </w:pBdr>
        <w:spacing w:before="240" w:after="240" w:line="360" w:lineRule="auto"/>
        <w:ind w:left="851"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w:t>
      </w:r>
    </w:p>
    <w:p w14:paraId="0B45A632" w14:textId="77777777" w:rsidR="00304047" w:rsidRPr="00E813DF" w:rsidRDefault="00CA623F">
      <w:pPr>
        <w:pBdr>
          <w:top w:val="nil"/>
          <w:left w:val="nil"/>
          <w:bottom w:val="nil"/>
          <w:right w:val="nil"/>
          <w:between w:val="nil"/>
        </w:pBdr>
        <w:spacing w:before="240" w:after="240" w:line="360" w:lineRule="auto"/>
        <w:ind w:left="851"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Artículo 48</w:t>
      </w: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b/>
          <w:bCs/>
          <w:i/>
          <w:iCs/>
          <w:sz w:val="22"/>
          <w:szCs w:val="22"/>
        </w:rPr>
        <w:t>La persona titular de la presidencia municipal</w:t>
      </w:r>
      <w:r w:rsidRPr="00E813DF">
        <w:rPr>
          <w:rFonts w:ascii="Palatino Linotype" w:eastAsia="Palatino Linotype" w:hAnsi="Palatino Linotype" w:cs="Palatino Linotype"/>
          <w:i/>
          <w:iCs/>
          <w:sz w:val="22"/>
          <w:szCs w:val="22"/>
        </w:rPr>
        <w:t xml:space="preserve"> tiene las siguientes atribuciones:</w:t>
      </w:r>
    </w:p>
    <w:p w14:paraId="0A0586B0"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w:t>
      </w:r>
    </w:p>
    <w:p w14:paraId="110CBC19" w14:textId="77777777" w:rsidR="00304047" w:rsidRPr="00E813DF" w:rsidRDefault="00CA623F">
      <w:pPr>
        <w:pBdr>
          <w:top w:val="nil"/>
          <w:left w:val="nil"/>
          <w:bottom w:val="nil"/>
          <w:right w:val="nil"/>
          <w:between w:val="nil"/>
        </w:pBdr>
        <w:spacing w:before="240" w:after="240" w:line="360" w:lineRule="auto"/>
        <w:ind w:left="1134"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i/>
          <w:iCs/>
          <w:sz w:val="22"/>
          <w:szCs w:val="22"/>
        </w:rPr>
        <w:t>VI.</w:t>
      </w: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b/>
          <w:bCs/>
          <w:i/>
          <w:iCs/>
          <w:sz w:val="22"/>
          <w:szCs w:val="22"/>
        </w:rPr>
        <w:t>Proponer al ayuntamiento los nombramientos de las personas titulares de la secretaría, tesorería y de las dependencias y organismos auxiliares de la administración pública municipal,</w:t>
      </w:r>
      <w:r w:rsidRPr="00E813DF">
        <w:rPr>
          <w:rFonts w:ascii="Palatino Linotype" w:eastAsia="Palatino Linotype" w:hAnsi="Palatino Linotype" w:cs="Palatino Linotype"/>
          <w:i/>
          <w:iCs/>
          <w:sz w:val="22"/>
          <w:szCs w:val="22"/>
        </w:rPr>
        <w:t xml:space="preserve"> observando en todo tiempo que en su integración se respeten los principios de igualdad, equidad y garantizando la paridad de género;”</w:t>
      </w:r>
    </w:p>
    <w:p w14:paraId="3098BA5D"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Con base en los argumentos expuestos, se estima que para tener por satisfecho el Derecho de acceso de la persona solicitante, es necesario ordenar que, previa búsqueda exhaustiva y razonable, haga entrega del acta de la sesión de cabildo en la que se aprobaron los nombramientos de los titulares de las unidades administrativas del ayuntamiento, acompañada en su caso de los anexos correspondientes (expedientes de los titulares). </w:t>
      </w:r>
    </w:p>
    <w:p w14:paraId="6E324CDC"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Para el caso de que el acta no cuente con los expedientes de los titulares, como anexos,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1ABB9447" w14:textId="77777777" w:rsidR="00304047" w:rsidRPr="00E813DF" w:rsidRDefault="00CA623F">
      <w:pPr>
        <w:spacing w:before="240" w:after="240" w:line="360" w:lineRule="auto"/>
        <w:ind w:left="851"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19</w:t>
      </w:r>
      <w:r w:rsidRPr="00E813DF">
        <w:rPr>
          <w:rFonts w:ascii="Palatino Linotype" w:eastAsia="Palatino Linotype" w:hAnsi="Palatino Linotype" w:cs="Palatino Linotype"/>
          <w:i/>
          <w:iCs/>
          <w:sz w:val="22"/>
          <w:szCs w:val="22"/>
        </w:rPr>
        <w:t>…</w:t>
      </w:r>
    </w:p>
    <w:p w14:paraId="2934211D" w14:textId="77777777" w:rsidR="00304047" w:rsidRPr="00E813DF" w:rsidRDefault="00CA623F">
      <w:pPr>
        <w:spacing w:before="240" w:after="240" w:line="360" w:lineRule="auto"/>
        <w:ind w:left="851" w:right="902"/>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En los casos en que ciertas facultades, competencias o funciones no se hayan ejercido, se debe motivar la respuesta en función de las causas que motiven tal circunstancia.”</w:t>
      </w:r>
    </w:p>
    <w:p w14:paraId="4FE72DA6"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bookmarkStart w:id="13" w:name="_heading=h.hlg2kkb8r3lt" w:colFirst="0" w:colLast="0"/>
      <w:bookmarkEnd w:id="13"/>
      <w:r w:rsidRPr="00E813DF">
        <w:rPr>
          <w:rFonts w:ascii="Palatino Linotype" w:eastAsia="Palatino Linotype" w:hAnsi="Palatino Linotype" w:cs="Palatino Linotype"/>
          <w:sz w:val="22"/>
          <w:szCs w:val="22"/>
        </w:rPr>
        <w:t xml:space="preserve">Es improcedente, en tal supuesto, la entrega de documento alguno, o en su caso, el Acuerdo de Inexistencia, toda vez que el pronunciamiento del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72CF2A85" w14:textId="77777777" w:rsidR="00304047" w:rsidRPr="00E813DF" w:rsidRDefault="00CA623F">
      <w:pPr>
        <w:numPr>
          <w:ilvl w:val="0"/>
          <w:numId w:val="10"/>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bCs/>
          <w:sz w:val="22"/>
          <w:szCs w:val="22"/>
        </w:rPr>
      </w:pPr>
      <w:bookmarkStart w:id="14" w:name="_heading=h.t34fbzy004xp" w:colFirst="0" w:colLast="0"/>
      <w:bookmarkEnd w:id="14"/>
      <w:r w:rsidRPr="00E813DF">
        <w:rPr>
          <w:rFonts w:ascii="Palatino Linotype" w:eastAsia="Palatino Linotype" w:hAnsi="Palatino Linotype" w:cs="Palatino Linotype"/>
          <w:b/>
          <w:bCs/>
          <w:sz w:val="22"/>
          <w:szCs w:val="22"/>
        </w:rPr>
        <w:t xml:space="preserve">Documento que dé cuenta de la fecha y motivo de bajas de titulares de unidades administrativas de la actual administración, al veintiséis de mayo de dos mil veinticinco. </w:t>
      </w:r>
    </w:p>
    <w:p w14:paraId="109F1BC4"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Sobre la naturaleza de la información, es dable precisar que la conclusión de una relación laboral se puede dar de dos maneras: </w:t>
      </w:r>
    </w:p>
    <w:p w14:paraId="42F8F3F6" w14:textId="77777777" w:rsidR="00304047" w:rsidRPr="00E813DF" w:rsidRDefault="00CA623F">
      <w:pPr>
        <w:numPr>
          <w:ilvl w:val="0"/>
          <w:numId w:val="11"/>
        </w:numPr>
        <w:spacing w:before="240" w:after="240" w:line="360" w:lineRule="auto"/>
        <w:ind w:hanging="1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terminación </w:t>
      </w:r>
    </w:p>
    <w:p w14:paraId="63B40253" w14:textId="77777777" w:rsidR="00304047" w:rsidRPr="00E813DF" w:rsidRDefault="00CA623F">
      <w:pPr>
        <w:numPr>
          <w:ilvl w:val="0"/>
          <w:numId w:val="11"/>
        </w:numPr>
        <w:spacing w:before="240" w:after="240" w:line="360" w:lineRule="auto"/>
        <w:ind w:hanging="1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rescisión.</w:t>
      </w:r>
    </w:p>
    <w:p w14:paraId="0BCA21D1" w14:textId="77777777" w:rsidR="00304047" w:rsidRPr="00E813DF" w:rsidRDefault="00CA623F">
      <w:pPr>
        <w:spacing w:before="240" w:after="240" w:line="360" w:lineRule="auto"/>
        <w:ind w:left="720" w:hanging="1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La terminación, se puede dar por diversas razones las cuales son: </w:t>
      </w:r>
    </w:p>
    <w:p w14:paraId="64800579" w14:textId="77777777" w:rsidR="00304047" w:rsidRPr="00E813DF" w:rsidRDefault="00CA623F">
      <w:pPr>
        <w:spacing w:before="240" w:after="240" w:line="360" w:lineRule="auto"/>
        <w:ind w:left="720" w:hanging="1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I. La renuncia del servidor público; </w:t>
      </w:r>
    </w:p>
    <w:p w14:paraId="1E5ED5CA" w14:textId="77777777" w:rsidR="00304047" w:rsidRPr="00E813DF" w:rsidRDefault="00CA623F">
      <w:pPr>
        <w:spacing w:before="240" w:after="240" w:line="360" w:lineRule="auto"/>
        <w:ind w:left="720" w:hanging="1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II. El mutuo consentimiento de las partes; </w:t>
      </w:r>
    </w:p>
    <w:p w14:paraId="373C7043" w14:textId="77777777" w:rsidR="00304047" w:rsidRPr="00E813DF" w:rsidRDefault="00CA623F">
      <w:pPr>
        <w:spacing w:before="240" w:after="240" w:line="360" w:lineRule="auto"/>
        <w:ind w:left="720" w:hanging="1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III. El vencimiento del término o conclusión de la obra determinantes de la contratación; </w:t>
      </w:r>
    </w:p>
    <w:p w14:paraId="24AB97ED" w14:textId="77777777" w:rsidR="00304047" w:rsidRPr="00E813DF" w:rsidRDefault="00CA623F">
      <w:pPr>
        <w:spacing w:before="240" w:after="240" w:line="360" w:lineRule="auto"/>
        <w:ind w:left="720" w:hanging="1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IV. La muerte del servidor público; y </w:t>
      </w:r>
    </w:p>
    <w:p w14:paraId="65F033EA" w14:textId="77777777" w:rsidR="00304047" w:rsidRPr="00E813DF" w:rsidRDefault="00CA623F">
      <w:pPr>
        <w:spacing w:before="240" w:after="240" w:line="360" w:lineRule="auto"/>
        <w:ind w:left="720" w:hanging="1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V. La incapacidad permanente del servidor público que le impida el desempeño de sus labores, ello en atención a lo establecido por el artículo 89 de la Ley del Trabajo de los Servidores Públicos del Estado y Municipios.</w:t>
      </w:r>
    </w:p>
    <w:p w14:paraId="4B048986"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La rescisión, se presenta cuando por causa justificada el patrón decide terminar la relación laboral; como así lo señala el artículo 92, 93 y 95 de la Ley referida en el párrafo anterior, que a la letra dicen:</w:t>
      </w:r>
    </w:p>
    <w:p w14:paraId="081CBAA4"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“ARTÍCULO 92. El servidor público o la institución pública podrán rescindir en cualquier tiempo, por causa justificada, la relación laboral.</w:t>
      </w:r>
    </w:p>
    <w:p w14:paraId="5130DAB4"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ARTÍCULO 93. Son causas de rescisión de la relación laboral, sin responsabilidad para las instituciones públicas:</w:t>
      </w:r>
    </w:p>
    <w:p w14:paraId="5A42FCE9"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 Engañar el servidor público con documentación o referencias falsas que le atribuyan capacidad, aptitudes o grados académicos de los que carezca. Esta causa dejará de tener efecto después de treinta días naturales de conocido el hecho;</w:t>
      </w:r>
    </w:p>
    <w:p w14:paraId="56ED6876"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 Tener asignada más de una plaza en la misma o en diferentes instituciones públicas o dependencias, con las excepciones que esta ley señala, o bien cobrar un sueldo sin desempeñar funciones;</w:t>
      </w:r>
    </w:p>
    <w:p w14:paraId="6CCD4D55"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III. Incurrir durante sus labores en faltas de probidad u honradez, o bien en actos de violencia, amenazas, injurias o malos tratos en contra de sus superiores, compañeros o familiares de unos u otros, ya sea dentro o fuera de las horas de servicio, salvo que obre en defensa propia;</w:t>
      </w:r>
    </w:p>
    <w:p w14:paraId="1B1CA73F"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IV. Incurrir en cuatro o más faltas de asistencia a sus labores sin causa justificada, dentro de un lapso de treinta días;</w:t>
      </w:r>
    </w:p>
    <w:p w14:paraId="3548EEFC"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 Abandonar las labores sin autorización previa o razón plenamente justificada, en contravención a lo establecido en las condiciones generales de trabajo;</w:t>
      </w:r>
    </w:p>
    <w:p w14:paraId="4A04FDE2"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 Causar daños intencionalmente a edificios, obras, equipo, maquinaria, instrumentos, materias primas y demás objetos relacionados con el trabajo, o por sustraerlos en beneficio propio;</w:t>
      </w:r>
    </w:p>
    <w:p w14:paraId="3C8C93C1"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VII. Cometer actos inmorales durante el trabajo;</w:t>
      </w:r>
    </w:p>
    <w:p w14:paraId="780D25FB"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VIII. Revelar los asuntos confidenciales o reservados así calificados por la institución pública o dependencia donde labore, de los cuales tuviese conocimiento con motivo de su trabajo;</w:t>
      </w:r>
    </w:p>
    <w:p w14:paraId="2B770A57"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IX. Comprometer por su imprudencia, descuido o negligencia, la seguridad del taller, oficina o dependencia donde preste sus servicios o de las personas que ahí se encuentren; X. Desobedecer sin justificación, las órdenes que reciba de sus superiores, en relación al trabajo que desempeñe;</w:t>
      </w:r>
    </w:p>
    <w:p w14:paraId="10D484B3"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 Concurrir al trabajo en estado de embriaguez, o bien bajo la influencia de algún narcótico o droga enervante, salvo que en éste último caso, exista prescripción médica, la que deberá presentar al superior jerárquico antes de iniciar las labores;</w:t>
      </w:r>
    </w:p>
    <w:p w14:paraId="43F37961"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XII. Portar armas de cualquier clase durante las horas de trabajo, salvo que la naturaleza de éste lo exija;</w:t>
      </w:r>
    </w:p>
    <w:p w14:paraId="6E845A79"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XIII. Suspender las labores en el caso previsto en el artículo 176 de esta ley o suspenderlas sin la debida autorización;</w:t>
      </w:r>
    </w:p>
    <w:p w14:paraId="668FC4CC"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XIV. Incumplir reiteradamente disposiciones establecidas en las condiciones generales de trabajo de la institución pública o dependencia respectiva que constituyan faltas graves;</w:t>
      </w:r>
    </w:p>
    <w:p w14:paraId="347DB53B"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XV. Ser condenado a prisión como resultado de una sentencia ejecutoriada, que le impida el cumplimiento de la relación de trabajo;</w:t>
      </w:r>
    </w:p>
    <w:p w14:paraId="559E5A38"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XVI. Portar y hacer uso de credenciales de identificación no autorizadas por la autoridad competente;</w:t>
      </w:r>
    </w:p>
    <w:p w14:paraId="36F8029E"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XVII. Sustraer tarjetas o listas de puntualidad y asistencia del lugar destinado para ello, ya sea la del propio servidor público o la de otro, utilizar o registrar asistencia con gafete credencial o tarjeta distinto al suyo o alterar en cualquier forma los registros de control de puntualidad y asistencia; siempre y cuando no sea resultado de un error involuntario;</w:t>
      </w:r>
    </w:p>
    <w:p w14:paraId="63892CEE"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XVIII. Las análogas a las establecidas en las fracciones anteriores, de igual manera graves y de consecuencias semejantes en lo que al trabajo se refiere; e</w:t>
      </w:r>
    </w:p>
    <w:p w14:paraId="208D95E2"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XIX. Incurrir en actos de violencia laboral, entendiéndose por éstos los relativos a discriminación, acoso u hostigamiento sexual; Para los efectos de la presente fracción se entiende por: A. Acoso sexual, es una forma de violencia en la que, si bien no existe la subordinación, hay un ejercicio abusivo de poder que conlleva a un estado de indefensión y de riesgo para la víctima, independientemente de que se realice en uno o varios eventos; y B.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w:t>
      </w:r>
    </w:p>
    <w:p w14:paraId="72BBB665"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XX. La falta de requisitos que exijan las leyes y reglamentos, necesarios para la prestación del servicio cuando sea imputable al trabajador, desde la fecha en que el patrón tenga conocimiento del hecho, hasta por un periodo de dos meses.</w:t>
      </w:r>
    </w:p>
    <w:p w14:paraId="265142D8"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167E1F94"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ARTÍCULO 95. Son causas de rescisión de la relación laboral, sin responsabilidad para el servidor público: </w:t>
      </w:r>
    </w:p>
    <w:p w14:paraId="7F8E32B3"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 Engañarlo la institución pública o dependencia en relación a las condiciones en que se le ofreció el trabajo. Esta causa dejará de tener efecto después de 30 días naturales a partir de su incorporación al servicio;</w:t>
      </w:r>
    </w:p>
    <w:p w14:paraId="0D3BF73D"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II. Incurrir alguno de sus superiores jerárquicos o personal directivo y/o sus representantes o compañeros de trabajo, dentro del servicio, en faltas de probidad u honradez, actos de violencia, amenazas, injurias, malos tratos, actos de violencia laboral entendiéndose por éstos los relativos a discriminación, acoso u hostigamiento sexual y acoso laboral, en contra del servidor público, su cónyuge, concubina o concubinario, padres, hijos o hermanos; </w:t>
      </w:r>
    </w:p>
    <w:p w14:paraId="50889C87"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III. Incumplir la institución pública o dependencia las condiciones laborales y salariales acordadas para el desempeño de sus funciones y las que estipula esta ley; </w:t>
      </w:r>
    </w:p>
    <w:p w14:paraId="23E9B7D1" w14:textId="77777777" w:rsidR="00304047" w:rsidRPr="00E813DF" w:rsidRDefault="00CA623F">
      <w:pPr>
        <w:spacing w:before="240" w:after="240" w:line="360" w:lineRule="auto"/>
        <w:ind w:left="567" w:right="618"/>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IV. Existir peligro grave para la seguridad o salud del servidor público por carecer de condiciones higiénicas en su lugar de trabajo o no cumplirse las medidas preventivas y de seguridad que las leyes establezcan</w:t>
      </w:r>
      <w:r w:rsidRPr="00E813DF">
        <w:rPr>
          <w:rFonts w:ascii="Palatino Linotype" w:eastAsia="Palatino Linotype" w:hAnsi="Palatino Linotype" w:cs="Palatino Linotype"/>
          <w:sz w:val="22"/>
          <w:szCs w:val="22"/>
        </w:rPr>
        <w:t>;</w:t>
      </w:r>
    </w:p>
    <w:p w14:paraId="583D9F6C"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V. No inscribirlo en el Instituto de Seguridad Social del Estado de México y Municipios o no cubrir a éste las aportaciones que le correspondan; y </w:t>
      </w:r>
    </w:p>
    <w:p w14:paraId="4F19CB8C"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VI. Las análogas a las establecidas en las fracciones anteriores, de igual manera graves y de consecuencias semejantes. </w:t>
      </w:r>
    </w:p>
    <w:p w14:paraId="2BA2A77B"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u w:val="single"/>
        </w:rPr>
        <w:t>En estos casos, 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 siempre y cuando esto último ocurra en un plazo no mayor a los doce meses antes mencionados, independientemente del tiempo que dure el proceso. 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r w:rsidRPr="00E813DF">
        <w:rPr>
          <w:rFonts w:ascii="Palatino Linotype" w:eastAsia="Palatino Linotype" w:hAnsi="Palatino Linotype" w:cs="Palatino Linotype"/>
          <w:i/>
          <w:iCs/>
          <w:sz w:val="22"/>
          <w:szCs w:val="22"/>
        </w:rPr>
        <w:t xml:space="preserve">. </w:t>
      </w:r>
    </w:p>
    <w:p w14:paraId="19FFE98F" w14:textId="77777777" w:rsidR="00304047" w:rsidRPr="00E813DF" w:rsidRDefault="00CA623F">
      <w:pPr>
        <w:spacing w:before="240" w:after="240" w:line="360" w:lineRule="auto"/>
        <w:ind w:left="567" w:right="618"/>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 Para el pago de cualquier indemnización que se genere por las relaciones laborales entre las instituciones o dependencias y sus servidores públicos señaladas en esta ley no generarán ningún tipo de interés.” </w:t>
      </w:r>
    </w:p>
    <w:p w14:paraId="09AFDE8E"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El ordenamiento legal antes referido, establece que en cualquier tiempo se podrá terminar por causa justificada la relación laboral; a lo cual la institución pública debe dar aviso por escrito</w:t>
      </w:r>
      <w:r w:rsidRPr="00E813DF">
        <w:rPr>
          <w:rFonts w:ascii="Palatino Linotype" w:eastAsia="Palatino Linotype" w:hAnsi="Palatino Linotype" w:cs="Palatino Linotype"/>
          <w:sz w:val="22"/>
          <w:szCs w:val="22"/>
          <w:vertAlign w:val="superscript"/>
        </w:rPr>
        <w:footnoteReference w:id="4"/>
      </w:r>
      <w:r w:rsidRPr="00E813DF">
        <w:rPr>
          <w:rFonts w:ascii="Palatino Linotype" w:eastAsia="Palatino Linotype" w:hAnsi="Palatino Linotype" w:cs="Palatino Linotype"/>
          <w:sz w:val="22"/>
          <w:szCs w:val="22"/>
        </w:rPr>
        <w:t xml:space="preserve"> al servidor público de manera personal, de la fecha y causa o causas de la conclusión de la relación laboral.</w:t>
      </w:r>
    </w:p>
    <w:p w14:paraId="3AF9ABA1"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También señala, que en la rescisión de la relación laboral, sin responsabilidad para el servidor público, este podrá solicitar ante el Tribunal o la Sala correspondiente, que se le reinstale en el trabajo que desempeñaba, o que se le indemnice. Cuando el servidor público considere injustificada la causa de rescisión de la relación laboral,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dure el proceso</w:t>
      </w:r>
      <w:r w:rsidRPr="00E813DF">
        <w:rPr>
          <w:rFonts w:ascii="Palatino Linotype" w:eastAsia="Palatino Linotype" w:hAnsi="Palatino Linotype" w:cs="Palatino Linotype"/>
          <w:sz w:val="22"/>
          <w:szCs w:val="22"/>
          <w:vertAlign w:val="superscript"/>
        </w:rPr>
        <w:footnoteReference w:id="5"/>
      </w:r>
      <w:r w:rsidRPr="00E813DF">
        <w:rPr>
          <w:rFonts w:ascii="Palatino Linotype" w:eastAsia="Palatino Linotype" w:hAnsi="Palatino Linotype" w:cs="Palatino Linotype"/>
          <w:sz w:val="22"/>
          <w:szCs w:val="22"/>
        </w:rPr>
        <w:t>.</w:t>
      </w:r>
    </w:p>
    <w:p w14:paraId="173A0241"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otro lado, resulta necesario precisar que la Ley del Trabajo de los Servidores Públicos del Estado de México y Municipios en sus artículos 88 y 92 de la Ley de Trabajo contempla los supuestos para la terminación de la relación laboral sin responsabilidad para las instituciones públicas, mismas que se desprenden de la siguiente cita: </w:t>
      </w:r>
    </w:p>
    <w:p w14:paraId="27752506" w14:textId="77777777" w:rsidR="00304047" w:rsidRPr="00E813DF" w:rsidRDefault="00CA623F">
      <w:pPr>
        <w:spacing w:before="240" w:after="240" w:line="360" w:lineRule="auto"/>
        <w:ind w:left="567" w:right="90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89.</w:t>
      </w:r>
      <w:r w:rsidRPr="00E813DF">
        <w:rPr>
          <w:rFonts w:ascii="Palatino Linotype" w:eastAsia="Palatino Linotype" w:hAnsi="Palatino Linotype" w:cs="Palatino Linotype"/>
          <w:i/>
          <w:iCs/>
          <w:sz w:val="22"/>
          <w:szCs w:val="22"/>
        </w:rPr>
        <w:t xml:space="preserve"> Son </w:t>
      </w:r>
      <w:r w:rsidRPr="00E813DF">
        <w:rPr>
          <w:rFonts w:ascii="Palatino Linotype" w:eastAsia="Palatino Linotype" w:hAnsi="Palatino Linotype" w:cs="Palatino Linotype"/>
          <w:b/>
          <w:bCs/>
          <w:i/>
          <w:iCs/>
          <w:sz w:val="22"/>
          <w:szCs w:val="22"/>
        </w:rPr>
        <w:t>causas de terminación de la relación laboral</w:t>
      </w:r>
      <w:r w:rsidRPr="00E813DF">
        <w:rPr>
          <w:rFonts w:ascii="Palatino Linotype" w:eastAsia="Palatino Linotype" w:hAnsi="Palatino Linotype" w:cs="Palatino Linotype"/>
          <w:i/>
          <w:iCs/>
          <w:sz w:val="22"/>
          <w:szCs w:val="22"/>
        </w:rPr>
        <w:t xml:space="preserve"> sin responsabilidad para las instituciones públicas: </w:t>
      </w:r>
    </w:p>
    <w:p w14:paraId="541A0D80" w14:textId="77777777" w:rsidR="00304047" w:rsidRPr="00E813DF" w:rsidRDefault="00CA623F">
      <w:pPr>
        <w:spacing w:before="240" w:after="240" w:line="360" w:lineRule="auto"/>
        <w:ind w:left="567" w:right="90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 La renuncia del servidor público; </w:t>
      </w:r>
    </w:p>
    <w:p w14:paraId="0684DBCB" w14:textId="77777777" w:rsidR="00304047" w:rsidRPr="00E813DF" w:rsidRDefault="00CA623F">
      <w:pPr>
        <w:spacing w:before="240" w:after="240" w:line="360" w:lineRule="auto"/>
        <w:ind w:left="567" w:right="90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II. El mutuo consentimiento de las partes; </w:t>
      </w:r>
    </w:p>
    <w:p w14:paraId="31F0AAA0" w14:textId="77777777" w:rsidR="00304047" w:rsidRPr="00E813DF" w:rsidRDefault="00CA623F">
      <w:pPr>
        <w:spacing w:before="240" w:after="240" w:line="360" w:lineRule="auto"/>
        <w:ind w:left="567" w:right="90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III. El vencimiento del término o conclusión de la obra determinantes de la contratación; </w:t>
      </w:r>
    </w:p>
    <w:p w14:paraId="78CE9895" w14:textId="77777777" w:rsidR="00304047" w:rsidRPr="00E813DF" w:rsidRDefault="00CA623F">
      <w:pPr>
        <w:spacing w:before="240" w:after="240" w:line="360" w:lineRule="auto"/>
        <w:ind w:left="567" w:right="90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IV. El término o conclusión de la administración en la cual fue contratado el servidor público a que se refiere el artículo 8 de ésta Ley; </w:t>
      </w:r>
    </w:p>
    <w:p w14:paraId="28C091E1" w14:textId="77777777" w:rsidR="00304047" w:rsidRPr="00E813DF" w:rsidRDefault="00CA623F">
      <w:pPr>
        <w:spacing w:before="240" w:after="240" w:line="360" w:lineRule="auto"/>
        <w:ind w:left="567" w:right="90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 La muerte del servidor público; y</w:t>
      </w:r>
    </w:p>
    <w:p w14:paraId="7EA9210D" w14:textId="77777777" w:rsidR="00304047" w:rsidRPr="00E813DF" w:rsidRDefault="00CA623F">
      <w:pPr>
        <w:spacing w:before="240" w:after="240" w:line="360" w:lineRule="auto"/>
        <w:ind w:left="567" w:right="90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 La incapacidad permanente del servidor público que le impida el desempeño de sus labores.</w:t>
      </w:r>
    </w:p>
    <w:p w14:paraId="3965F865" w14:textId="77777777" w:rsidR="00304047" w:rsidRPr="00E813DF" w:rsidRDefault="00CA623F">
      <w:pPr>
        <w:spacing w:before="240" w:after="240" w:line="360" w:lineRule="auto"/>
        <w:ind w:left="567" w:right="901"/>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17F6FA29" w14:textId="77777777" w:rsidR="00304047" w:rsidRPr="00E813DF" w:rsidRDefault="00CA623F">
      <w:pPr>
        <w:spacing w:before="240" w:after="240" w:line="360" w:lineRule="auto"/>
        <w:ind w:left="567" w:right="901"/>
        <w:jc w:val="center"/>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CAPITULO IX</w:t>
      </w:r>
    </w:p>
    <w:p w14:paraId="78E7A499" w14:textId="77777777" w:rsidR="00304047" w:rsidRPr="00E813DF" w:rsidRDefault="00CA623F">
      <w:pPr>
        <w:spacing w:before="240" w:after="240" w:line="360" w:lineRule="auto"/>
        <w:ind w:left="567" w:right="901"/>
        <w:jc w:val="center"/>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De la Rescisión de la Relación Laboral</w:t>
      </w:r>
    </w:p>
    <w:p w14:paraId="69A27A24" w14:textId="77777777" w:rsidR="00304047" w:rsidRPr="00E813DF" w:rsidRDefault="00CA623F">
      <w:pPr>
        <w:spacing w:before="240" w:after="240" w:line="360" w:lineRule="auto"/>
        <w:ind w:left="567" w:right="901"/>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xml:space="preserve">ARTÍCULO 92. </w:t>
      </w:r>
      <w:r w:rsidRPr="00E813DF">
        <w:rPr>
          <w:rFonts w:ascii="Palatino Linotype" w:eastAsia="Palatino Linotype" w:hAnsi="Palatino Linotype" w:cs="Palatino Linotype"/>
          <w:i/>
          <w:iCs/>
          <w:sz w:val="22"/>
          <w:szCs w:val="22"/>
        </w:rPr>
        <w:t xml:space="preserve">El servidor público o la institución pública podrán rescindir en cualquier tiempo, </w:t>
      </w:r>
      <w:r w:rsidRPr="00E813DF">
        <w:rPr>
          <w:rFonts w:ascii="Palatino Linotype" w:eastAsia="Palatino Linotype" w:hAnsi="Palatino Linotype" w:cs="Palatino Linotype"/>
          <w:b/>
          <w:bCs/>
          <w:i/>
          <w:iCs/>
          <w:sz w:val="22"/>
          <w:szCs w:val="22"/>
        </w:rPr>
        <w:t>por causa justificada, la relación laboral.</w:t>
      </w:r>
      <w:r w:rsidRPr="00E813DF">
        <w:rPr>
          <w:rFonts w:ascii="Palatino Linotype" w:eastAsia="Palatino Linotype" w:hAnsi="Palatino Linotype" w:cs="Palatino Linotype"/>
          <w:i/>
          <w:iCs/>
          <w:sz w:val="22"/>
          <w:szCs w:val="22"/>
        </w:rPr>
        <w:t>”</w:t>
      </w:r>
    </w:p>
    <w:p w14:paraId="19349AF6"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Atendiendo a lo anterior, la institución pública debe dar aviso por escrito al servidor público las causas de la rescisión de la relación laboral, tal como lo refiere el artículo 94 de la multicitada Ley de Trabajo Local, el cual se inserta a continuación: </w:t>
      </w:r>
    </w:p>
    <w:p w14:paraId="122987B7" w14:textId="77777777" w:rsidR="00304047" w:rsidRPr="00E813DF" w:rsidRDefault="00CA623F">
      <w:pPr>
        <w:spacing w:before="240" w:after="240" w:line="360" w:lineRule="auto"/>
        <w:ind w:left="851" w:right="901"/>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94.</w:t>
      </w: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b/>
          <w:bCs/>
          <w:i/>
          <w:iCs/>
          <w:sz w:val="22"/>
          <w:szCs w:val="22"/>
          <w:u w:val="single"/>
        </w:rPr>
        <w:t>La institución pública deberá dar aviso por escrito al servidor público de manera personal</w:t>
      </w:r>
      <w:r w:rsidRPr="00E813DF">
        <w:rPr>
          <w:rFonts w:ascii="Palatino Linotype" w:eastAsia="Palatino Linotype" w:hAnsi="Palatino Linotype" w:cs="Palatino Linotype"/>
          <w:i/>
          <w:iCs/>
          <w:sz w:val="22"/>
          <w:szCs w:val="22"/>
        </w:rPr>
        <w:t xml:space="preserve">, de la fecha y causa o causas de la rescisión de la relación laboral.” </w:t>
      </w:r>
    </w:p>
    <w:p w14:paraId="5E4841BC"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Sobre esta circunstancia, tiene relevancia traer al estudio, lo previsto en el artículo 18 de la Ley de Transparencia y Acceso a la Información Pública del Estado de México y Municipios, el cual establece que los sujetos obligados deberán documentar todo acto que derive del ejercicio de sus facultades, competencias o funciones. </w:t>
      </w:r>
    </w:p>
    <w:p w14:paraId="150EA35D" w14:textId="77777777" w:rsidR="00304047" w:rsidRPr="00E813DF" w:rsidRDefault="00CA623F">
      <w:pPr>
        <w:spacing w:before="240" w:after="240" w:line="360" w:lineRule="auto"/>
        <w:ind w:right="-93"/>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Adicionalmente que sirve como analogía el criterio 004/2006 del Comité de Información emitido por el Poder Judicial sobre la publicidad de la información de los expedientes laborales de los servidores públicos que señala lo siguiente:</w:t>
      </w:r>
    </w:p>
    <w:p w14:paraId="6D9DE6FF" w14:textId="77777777" w:rsidR="00304047" w:rsidRPr="00E813DF" w:rsidRDefault="00CA623F">
      <w:pPr>
        <w:spacing w:before="240" w:after="240" w:line="360" w:lineRule="auto"/>
        <w:ind w:left="709"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Criterio 04/2006</w:t>
      </w:r>
    </w:p>
    <w:p w14:paraId="5DB3B806" w14:textId="77777777" w:rsidR="00304047" w:rsidRPr="00E813DF" w:rsidRDefault="00CA623F">
      <w:pPr>
        <w:spacing w:before="240" w:after="240" w:line="360" w:lineRule="auto"/>
        <w:ind w:left="709"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xml:space="preserve">NOMBRAMIENTOS Y AVISOS DE BAJA DE LOS SERVIDORES PÚBLICOS DE LA SUPREMA CORTE DE JUSTICIA DE LA NACIÓN. EL DOCUMENTO EN EL QUE CONSTEN ES PÚBLICO, CON EXCEPCIÓN DE LOS DATOS PERSONALES QUE CONTENGAN, LOS QUE CONSTITUYEN INFORMACIÓN CONFIDENCIAL QUE DEBE SUPRIMIRSE DE LA VERSIÓN PÚBLICA QUE SE GENERE. </w:t>
      </w:r>
    </w:p>
    <w:p w14:paraId="52A7B3E4" w14:textId="77777777" w:rsidR="00304047" w:rsidRPr="00E813DF" w:rsidRDefault="00CA623F">
      <w:pPr>
        <w:spacing w:before="240" w:after="240" w:line="360" w:lineRule="auto"/>
        <w:ind w:left="709" w:right="616"/>
        <w:jc w:val="both"/>
        <w:rPr>
          <w:rFonts w:ascii="Palatino Linotype" w:eastAsia="Palatino Linotype" w:hAnsi="Palatino Linotype" w:cs="Palatino Linotype"/>
          <w:b/>
          <w:bCs/>
          <w:i/>
          <w:iCs/>
          <w:sz w:val="22"/>
          <w:szCs w:val="22"/>
          <w:u w:val="single"/>
        </w:rPr>
      </w:pPr>
      <w:r w:rsidRPr="00E813DF">
        <w:rPr>
          <w:rFonts w:ascii="Palatino Linotype" w:eastAsia="Palatino Linotype" w:hAnsi="Palatino Linotype" w:cs="Palatino Linotype"/>
          <w:b/>
          <w:bCs/>
          <w:i/>
          <w:iCs/>
          <w:sz w:val="22"/>
          <w:szCs w:val="22"/>
          <w:u w:val="single"/>
        </w:rPr>
        <w:t xml:space="preserve">Los documentos </w:t>
      </w:r>
      <w:r w:rsidRPr="00E813DF">
        <w:rPr>
          <w:rFonts w:ascii="Palatino Linotype" w:eastAsia="Palatino Linotype" w:hAnsi="Palatino Linotype" w:cs="Palatino Linotype"/>
          <w:b/>
          <w:bCs/>
          <w:i/>
          <w:iCs/>
          <w:sz w:val="22"/>
          <w:szCs w:val="22"/>
        </w:rPr>
        <w:t>relativos a los nombramientos y</w:t>
      </w:r>
      <w:r w:rsidRPr="00E813DF">
        <w:rPr>
          <w:rFonts w:ascii="Palatino Linotype" w:eastAsia="Palatino Linotype" w:hAnsi="Palatino Linotype" w:cs="Palatino Linotype"/>
          <w:b/>
          <w:bCs/>
          <w:i/>
          <w:iCs/>
          <w:sz w:val="22"/>
          <w:szCs w:val="22"/>
          <w:u w:val="single"/>
        </w:rPr>
        <w:t xml:space="preserve"> avisos de baja de los servidores públicos de la Suprema Corte de Justicia de la Nación constituyen información pública, toda vez que se trata de actos administrativos relativos al manejo de su personal y, por ende, justifican parte del ejercicio del presupuesto público asignado.</w:t>
      </w:r>
      <w:r w:rsidRPr="00E813DF">
        <w:rPr>
          <w:rFonts w:ascii="Palatino Linotype" w:eastAsia="Palatino Linotype" w:hAnsi="Palatino Linotype" w:cs="Palatino Linotype"/>
          <w:i/>
          <w:iCs/>
          <w:sz w:val="22"/>
          <w:szCs w:val="22"/>
        </w:rPr>
        <w:t xml:space="preserve"> En este sentido, si bien se trata de información de</w:t>
      </w:r>
      <w:r w:rsidRPr="00E813DF">
        <w:rPr>
          <w:rFonts w:ascii="Palatino Linotype" w:eastAsia="Palatino Linotype" w:hAnsi="Palatino Linotype" w:cs="Palatino Linotype"/>
          <w:b/>
          <w:bCs/>
          <w:i/>
          <w:iCs/>
          <w:sz w:val="22"/>
          <w:szCs w:val="22"/>
        </w:rPr>
        <w:t xml:space="preserve"> </w:t>
      </w:r>
      <w:r w:rsidRPr="00E813DF">
        <w:rPr>
          <w:rFonts w:ascii="Palatino Linotype" w:eastAsia="Palatino Linotype" w:hAnsi="Palatino Linotype" w:cs="Palatino Linotype"/>
          <w:i/>
          <w:iCs/>
          <w:sz w:val="22"/>
          <w:szCs w:val="22"/>
        </w:rPr>
        <w:t>naturaleza pública, lo cierto es que en acatamiento a lo dispuesto</w:t>
      </w:r>
      <w:r w:rsidRPr="00E813DF">
        <w:rPr>
          <w:rFonts w:ascii="Palatino Linotype" w:eastAsia="Palatino Linotype" w:hAnsi="Palatino Linotype" w:cs="Palatino Linotype"/>
          <w:b/>
          <w:bCs/>
          <w:i/>
          <w:iCs/>
          <w:sz w:val="22"/>
          <w:szCs w:val="22"/>
        </w:rPr>
        <w:t xml:space="preserve"> </w:t>
      </w:r>
      <w:r w:rsidRPr="00E813DF">
        <w:rPr>
          <w:rFonts w:ascii="Palatino Linotype" w:eastAsia="Palatino Linotype" w:hAnsi="Palatino Linotype" w:cs="Palatino Linotype"/>
          <w:i/>
          <w:iCs/>
          <w:sz w:val="22"/>
          <w:szCs w:val="22"/>
        </w:rPr>
        <w:t>en la Ley Federal de Transparencia y Acceso a la Información</w:t>
      </w:r>
      <w:r w:rsidRPr="00E813DF">
        <w:rPr>
          <w:rFonts w:ascii="Palatino Linotype" w:eastAsia="Palatino Linotype" w:hAnsi="Palatino Linotype" w:cs="Palatino Linotype"/>
          <w:b/>
          <w:bCs/>
          <w:i/>
          <w:iCs/>
          <w:sz w:val="22"/>
          <w:szCs w:val="22"/>
        </w:rPr>
        <w:t xml:space="preserve"> </w:t>
      </w:r>
      <w:r w:rsidRPr="00E813DF">
        <w:rPr>
          <w:rFonts w:ascii="Palatino Linotype" w:eastAsia="Palatino Linotype" w:hAnsi="Palatino Linotype" w:cs="Palatino Linotype"/>
          <w:i/>
          <w:iCs/>
          <w:sz w:val="22"/>
          <w:szCs w:val="22"/>
        </w:rPr>
        <w:t xml:space="preserve">Pública Gubernamental </w:t>
      </w:r>
      <w:r w:rsidRPr="00E813DF">
        <w:rPr>
          <w:rFonts w:ascii="Palatino Linotype" w:eastAsia="Palatino Linotype" w:hAnsi="Palatino Linotype" w:cs="Palatino Linotype"/>
          <w:i/>
          <w:iCs/>
          <w:sz w:val="22"/>
          <w:szCs w:val="22"/>
          <w:u w:val="single"/>
        </w:rPr>
        <w:t>para dar acceso a los referidos</w:t>
      </w:r>
      <w:r w:rsidRPr="00E813DF">
        <w:rPr>
          <w:rFonts w:ascii="Palatino Linotype" w:eastAsia="Palatino Linotype" w:hAnsi="Palatino Linotype" w:cs="Palatino Linotype"/>
          <w:b/>
          <w:bCs/>
          <w:i/>
          <w:iCs/>
          <w:sz w:val="22"/>
          <w:szCs w:val="22"/>
          <w:u w:val="single"/>
        </w:rPr>
        <w:t xml:space="preserve"> </w:t>
      </w:r>
      <w:r w:rsidRPr="00E813DF">
        <w:rPr>
          <w:rFonts w:ascii="Palatino Linotype" w:eastAsia="Palatino Linotype" w:hAnsi="Palatino Linotype" w:cs="Palatino Linotype"/>
          <w:i/>
          <w:iCs/>
          <w:sz w:val="22"/>
          <w:szCs w:val="22"/>
          <w:u w:val="single"/>
        </w:rPr>
        <w:t>documentos es necesario generar una versión pública de la</w:t>
      </w:r>
      <w:r w:rsidRPr="00E813DF">
        <w:rPr>
          <w:rFonts w:ascii="Palatino Linotype" w:eastAsia="Palatino Linotype" w:hAnsi="Palatino Linotype" w:cs="Palatino Linotype"/>
          <w:b/>
          <w:bCs/>
          <w:i/>
          <w:iCs/>
          <w:sz w:val="22"/>
          <w:szCs w:val="22"/>
          <w:u w:val="single"/>
        </w:rPr>
        <w:t xml:space="preserve"> </w:t>
      </w:r>
      <w:r w:rsidRPr="00E813DF">
        <w:rPr>
          <w:rFonts w:ascii="Palatino Linotype" w:eastAsia="Palatino Linotype" w:hAnsi="Palatino Linotype" w:cs="Palatino Linotype"/>
          <w:i/>
          <w:iCs/>
          <w:sz w:val="22"/>
          <w:szCs w:val="22"/>
          <w:u w:val="single"/>
        </w:rPr>
        <w:t>que se supriman los datos confidenciales que contengan, como</w:t>
      </w:r>
      <w:r w:rsidRPr="00E813DF">
        <w:rPr>
          <w:rFonts w:ascii="Palatino Linotype" w:eastAsia="Palatino Linotype" w:hAnsi="Palatino Linotype" w:cs="Palatino Linotype"/>
          <w:b/>
          <w:bCs/>
          <w:i/>
          <w:iCs/>
          <w:sz w:val="22"/>
          <w:szCs w:val="22"/>
          <w:u w:val="single"/>
        </w:rPr>
        <w:t xml:space="preserve"> </w:t>
      </w:r>
      <w:r w:rsidRPr="00E813DF">
        <w:rPr>
          <w:rFonts w:ascii="Palatino Linotype" w:eastAsia="Palatino Linotype" w:hAnsi="Palatino Linotype" w:cs="Palatino Linotype"/>
          <w:i/>
          <w:iCs/>
          <w:sz w:val="22"/>
          <w:szCs w:val="22"/>
          <w:u w:val="single"/>
        </w:rPr>
        <w:t>pueden ser el domicilio, el estado civil o el teléfono particular</w:t>
      </w:r>
      <w:r w:rsidRPr="00E813DF">
        <w:rPr>
          <w:rFonts w:ascii="Palatino Linotype" w:eastAsia="Palatino Linotype" w:hAnsi="Palatino Linotype" w:cs="Palatino Linotype"/>
          <w:b/>
          <w:bCs/>
          <w:i/>
          <w:iCs/>
          <w:sz w:val="22"/>
          <w:szCs w:val="22"/>
          <w:u w:val="single"/>
        </w:rPr>
        <w:t xml:space="preserve"> </w:t>
      </w:r>
      <w:r w:rsidRPr="00E813DF">
        <w:rPr>
          <w:rFonts w:ascii="Palatino Linotype" w:eastAsia="Palatino Linotype" w:hAnsi="Palatino Linotype" w:cs="Palatino Linotype"/>
          <w:i/>
          <w:iCs/>
          <w:sz w:val="22"/>
          <w:szCs w:val="22"/>
          <w:u w:val="single"/>
        </w:rPr>
        <w:t>del servidor público respectivo.</w:t>
      </w:r>
    </w:p>
    <w:p w14:paraId="06AD1962" w14:textId="77777777" w:rsidR="00304047" w:rsidRPr="00E813DF" w:rsidRDefault="00CA623F">
      <w:pPr>
        <w:spacing w:before="240" w:after="240" w:line="360" w:lineRule="auto"/>
        <w:ind w:left="709"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xml:space="preserve">Clasificación de Información 10/2006-A, </w:t>
      </w:r>
      <w:r w:rsidRPr="00E813DF">
        <w:rPr>
          <w:rFonts w:ascii="Palatino Linotype" w:eastAsia="Palatino Linotype" w:hAnsi="Palatino Linotype" w:cs="Palatino Linotype"/>
          <w:i/>
          <w:iCs/>
          <w:sz w:val="22"/>
          <w:szCs w:val="22"/>
        </w:rPr>
        <w:t>derivada de la solicitud</w:t>
      </w:r>
      <w:r w:rsidRPr="00E813DF">
        <w:rPr>
          <w:rFonts w:ascii="Palatino Linotype" w:eastAsia="Palatino Linotype" w:hAnsi="Palatino Linotype" w:cs="Palatino Linotype"/>
          <w:b/>
          <w:bCs/>
          <w:i/>
          <w:iCs/>
          <w:sz w:val="22"/>
          <w:szCs w:val="22"/>
        </w:rPr>
        <w:t xml:space="preserve"> </w:t>
      </w:r>
      <w:r w:rsidRPr="00E813DF">
        <w:rPr>
          <w:rFonts w:ascii="Palatino Linotype" w:eastAsia="Palatino Linotype" w:hAnsi="Palatino Linotype" w:cs="Palatino Linotype"/>
          <w:i/>
          <w:iCs/>
          <w:sz w:val="22"/>
          <w:szCs w:val="22"/>
        </w:rPr>
        <w:t>de acceso a la información presentada por Aldo González</w:t>
      </w:r>
      <w:r w:rsidRPr="00E813DF">
        <w:rPr>
          <w:rFonts w:ascii="Palatino Linotype" w:eastAsia="Palatino Linotype" w:hAnsi="Palatino Linotype" w:cs="Palatino Linotype"/>
          <w:b/>
          <w:bCs/>
          <w:i/>
          <w:iCs/>
          <w:sz w:val="22"/>
          <w:szCs w:val="22"/>
        </w:rPr>
        <w:t xml:space="preserve"> </w:t>
      </w:r>
      <w:r w:rsidRPr="00E813DF">
        <w:rPr>
          <w:rFonts w:ascii="Palatino Linotype" w:eastAsia="Palatino Linotype" w:hAnsi="Palatino Linotype" w:cs="Palatino Linotype"/>
          <w:i/>
          <w:iCs/>
          <w:sz w:val="22"/>
          <w:szCs w:val="22"/>
        </w:rPr>
        <w:t>Gutiérrez.- 11 de abril de 2006.- Unanimidad de votos.</w:t>
      </w:r>
    </w:p>
    <w:p w14:paraId="39B37921"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lo anterior, derivado de que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no remitió la información solicitada por el particular; este Organismo Garante determina que los agravios hechos valer por el Particular en su recurso de revisión devienen fundados</w:t>
      </w:r>
      <w:r w:rsidRPr="00E813DF">
        <w:rPr>
          <w:rFonts w:ascii="Palatino Linotype" w:eastAsia="Palatino Linotype" w:hAnsi="Palatino Linotype" w:cs="Palatino Linotype"/>
          <w:b/>
          <w:bCs/>
          <w:sz w:val="22"/>
          <w:szCs w:val="22"/>
        </w:rPr>
        <w:t xml:space="preserve"> </w:t>
      </w:r>
      <w:r w:rsidRPr="00E813DF">
        <w:rPr>
          <w:rFonts w:ascii="Palatino Linotype" w:eastAsia="Palatino Linotype" w:hAnsi="Palatino Linotype" w:cs="Palatino Linotype"/>
          <w:sz w:val="22"/>
          <w:szCs w:val="22"/>
        </w:rPr>
        <w:t>y, por ende, resulta procedente ordenar</w:t>
      </w:r>
      <w:r w:rsidRPr="00E813DF">
        <w:rPr>
          <w:rFonts w:ascii="Palatino Linotype" w:eastAsia="Palatino Linotype" w:hAnsi="Palatino Linotype" w:cs="Palatino Linotype"/>
          <w:b/>
          <w:bCs/>
          <w:sz w:val="22"/>
          <w:szCs w:val="22"/>
        </w:rPr>
        <w:t xml:space="preserve"> </w:t>
      </w:r>
      <w:r w:rsidRPr="00E813DF">
        <w:rPr>
          <w:rFonts w:ascii="Palatino Linotype" w:eastAsia="Palatino Linotype" w:hAnsi="Palatino Linotype" w:cs="Palatino Linotype"/>
          <w:sz w:val="22"/>
          <w:szCs w:val="22"/>
        </w:rPr>
        <w:t xml:space="preserve">la entrega, vía Sistema de Acceso a la Información Mexiquense, de ser el caso, en versión pública, los documentos fuente donde conste o se advierta la fecha y motivo de la baja de titulares de la dependencias de la administración 2024-2027. </w:t>
      </w:r>
    </w:p>
    <w:p w14:paraId="353AA721"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No obstante, para el caso de que no se llegara a localizar información derivado de la búsqueda que se ordena, al no haberse presentado bajas de titulares de la actual administración, a la fecha de la solicitud,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262A630C"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sz w:val="22"/>
          <w:szCs w:val="22"/>
        </w:rPr>
        <w:t>“</w:t>
      </w:r>
      <w:r w:rsidRPr="00E813DF">
        <w:rPr>
          <w:rFonts w:ascii="Palatino Linotype" w:eastAsia="Palatino Linotype" w:hAnsi="Palatino Linotype" w:cs="Palatino Linotype"/>
          <w:i/>
          <w:iCs/>
          <w:sz w:val="22"/>
          <w:szCs w:val="22"/>
        </w:rPr>
        <w:t>Artículo 19…</w:t>
      </w:r>
    </w:p>
    <w:p w14:paraId="432696D4" w14:textId="77777777" w:rsidR="00304047" w:rsidRPr="00E813DF" w:rsidRDefault="00CA623F">
      <w:pP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En los casos en que ciertas facultades, competencias o funciones no se hayan ejercido, se debe motivar la respuesta en función de las causas que motiven tal circunstancia</w:t>
      </w:r>
      <w:r w:rsidRPr="00E813DF">
        <w:rPr>
          <w:rFonts w:ascii="Palatino Linotype" w:eastAsia="Palatino Linotype" w:hAnsi="Palatino Linotype" w:cs="Palatino Linotype"/>
          <w:sz w:val="22"/>
          <w:szCs w:val="22"/>
        </w:rPr>
        <w:t>.”</w:t>
      </w:r>
    </w:p>
    <w:p w14:paraId="3A752A31"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Es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3BE07836" w14:textId="77777777" w:rsidR="00304047" w:rsidRPr="00E813DF" w:rsidRDefault="00CA623F">
      <w:pPr>
        <w:numPr>
          <w:ilvl w:val="0"/>
          <w:numId w:val="1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bCs/>
          <w:sz w:val="22"/>
          <w:szCs w:val="22"/>
          <w:u w:val="single"/>
        </w:rPr>
      </w:pPr>
      <w:r w:rsidRPr="00E813DF">
        <w:rPr>
          <w:rFonts w:ascii="Palatino Linotype" w:eastAsia="Palatino Linotype" w:hAnsi="Palatino Linotype" w:cs="Palatino Linotype"/>
          <w:b/>
          <w:bCs/>
          <w:sz w:val="22"/>
          <w:szCs w:val="22"/>
          <w:u w:val="single"/>
        </w:rPr>
        <w:t xml:space="preserve">Procedimientos administrativos en trámite o concluidos ante la Contraloría Interna </w:t>
      </w:r>
    </w:p>
    <w:p w14:paraId="2D70845D" w14:textId="77777777" w:rsidR="00304047" w:rsidRPr="00E813DF" w:rsidRDefault="00CA623F">
      <w:pPr>
        <w:spacing w:before="240" w:after="240" w:line="360" w:lineRule="auto"/>
        <w:ind w:right="4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Como se advierte el particular requiere información de los procedimientos tramitados en su totalidad por la Contraloría Interna Municipal, en este sentido, derivado de la naturaleza de la información requerida, es necesario traer a contexto el artículo 10, de la Ley de Responsabilidades Administrativas del Estado de México y Municipios, en su parte conducente, confiere a los órganos internos de control la atribución para investigar, sustanciar calificar faltas administrativas en el ámbito de su competencia, así como de  iniciar, substanciar, y resolver los procedimientos de responsabilidad administrativa en los términos previstos en dicha Ley, respecto de aquellos actos u omisiones que hayan sido calificados como </w:t>
      </w:r>
      <w:r w:rsidRPr="00E813DF">
        <w:rPr>
          <w:rFonts w:ascii="Palatino Linotype" w:eastAsia="Palatino Linotype" w:hAnsi="Palatino Linotype" w:cs="Palatino Linotype"/>
          <w:b/>
          <w:bCs/>
          <w:sz w:val="22"/>
          <w:szCs w:val="22"/>
          <w:u w:val="single"/>
        </w:rPr>
        <w:t>faltas no graves.</w:t>
      </w:r>
    </w:p>
    <w:p w14:paraId="5092A7F8" w14:textId="77777777" w:rsidR="00304047" w:rsidRPr="00E813DF" w:rsidRDefault="00CA623F">
      <w:pPr>
        <w:spacing w:before="240" w:after="240" w:line="360" w:lineRule="auto"/>
        <w:ind w:right="4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Asimismo, el precepto en cita dispone que en aquellos casos en los cuales las autoridades investigadoras determinen en su calificación la existencia de faltas administrativas, así como la presunta responsabilidad del infractor, deben elaborar el Informe de Presunta Responsabilidad Administrativa y presentarlo a la autoridad sustanciadora para que procese en los términos de la Ley de Responsabilidades de la entidad.</w:t>
      </w:r>
    </w:p>
    <w:p w14:paraId="2542BA2D" w14:textId="77777777" w:rsidR="00304047" w:rsidRPr="00E813DF" w:rsidRDefault="00CA623F">
      <w:pPr>
        <w:spacing w:before="240" w:after="240" w:line="360" w:lineRule="auto"/>
        <w:ind w:right="4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Al respecto, es importante mencionar que en términos de los artículos 3 fracciones XIII y XVI, 10 y 13 de la Ley de Responsabilidades Ley de Responsabilidades Administrativas del Estado de México y Municipios los órganos internos de control son competentes para investigar, substanciación y calificación de las faltas administrativas, </w:t>
      </w:r>
      <w:r w:rsidRPr="00E813DF">
        <w:rPr>
          <w:rFonts w:ascii="Palatino Linotype" w:eastAsia="Palatino Linotype" w:hAnsi="Palatino Linotype" w:cs="Palatino Linotype"/>
          <w:sz w:val="22"/>
          <w:szCs w:val="22"/>
          <w:u w:val="single"/>
        </w:rPr>
        <w:t>así como imponer sanciones respecto de las faltas administrativas no graves de los servidores públicos</w:t>
      </w:r>
      <w:r w:rsidRPr="00E813DF">
        <w:rPr>
          <w:rFonts w:ascii="Palatino Linotype" w:eastAsia="Palatino Linotype" w:hAnsi="Palatino Linotype" w:cs="Palatino Linotype"/>
          <w:sz w:val="22"/>
          <w:szCs w:val="22"/>
        </w:rPr>
        <w:t>; mientras que el Tribunal de Justicia Administrativa del Estado de México es competente para imponer sanciones por faltas graves de servidores públicos, así como por actos u omisiones de personas físicas o jurídicas colectivas que se encuentran vinculadas con las faltas administrativas graves.</w:t>
      </w:r>
    </w:p>
    <w:p w14:paraId="0BED051A" w14:textId="77777777" w:rsidR="00304047" w:rsidRPr="00E813DF" w:rsidRDefault="00CA623F">
      <w:pPr>
        <w:spacing w:before="240" w:after="240" w:line="360" w:lineRule="auto"/>
        <w:ind w:right="4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Atento a lo anterior, se colige que la Contraloría Interna cuenta con atribuciones para conocer de la información solicitada por la parte Recurrente, al ser el órgano responsable de investigación, substanciación y calificación de las faltas administrativas, así como de imponer sanciones respecto de las faltas administrativas </w:t>
      </w:r>
      <w:r w:rsidRPr="00E813DF">
        <w:rPr>
          <w:rFonts w:ascii="Palatino Linotype" w:eastAsia="Palatino Linotype" w:hAnsi="Palatino Linotype" w:cs="Palatino Linotype"/>
          <w:b/>
          <w:bCs/>
          <w:sz w:val="22"/>
          <w:szCs w:val="22"/>
        </w:rPr>
        <w:t>no graves de los servidores públicos</w:t>
      </w:r>
      <w:r w:rsidRPr="00E813DF">
        <w:rPr>
          <w:rFonts w:ascii="Palatino Linotype" w:eastAsia="Palatino Linotype" w:hAnsi="Palatino Linotype" w:cs="Palatino Linotype"/>
          <w:sz w:val="22"/>
          <w:szCs w:val="22"/>
        </w:rPr>
        <w:t xml:space="preserve">. </w:t>
      </w:r>
    </w:p>
    <w:p w14:paraId="1EE96521"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Ahora bien, por lo que se refiere a la materia de la solicitud, debe mencionarse que con motivo de la entrada en vigor de la Ley del Sistema Anticorrupción del Estado de México y Municipios publicada en el periódico oficial "Gaceta del Gobierno" el treinta de mayo de 2017, que establece que </w:t>
      </w:r>
      <w:r w:rsidRPr="00E813DF">
        <w:rPr>
          <w:rFonts w:ascii="Palatino Linotype" w:eastAsia="Palatino Linotype" w:hAnsi="Palatino Linotype" w:cs="Palatino Linotype"/>
          <w:sz w:val="22"/>
          <w:szCs w:val="22"/>
          <w:u w:val="single"/>
        </w:rPr>
        <w:t>las sanciones no graves no serán públicas</w:t>
      </w:r>
      <w:r w:rsidRPr="00E813DF">
        <w:rPr>
          <w:rFonts w:ascii="Palatino Linotype" w:eastAsia="Palatino Linotype" w:hAnsi="Palatino Linotype" w:cs="Palatino Linotype"/>
          <w:sz w:val="22"/>
          <w:szCs w:val="22"/>
        </w:rPr>
        <w:t>, toda vez que dicha información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14:paraId="7AD95CAE" w14:textId="77777777" w:rsidR="00304047" w:rsidRPr="00E813DF" w:rsidRDefault="00CA623F">
      <w:pPr>
        <w:spacing w:before="240" w:after="240" w:line="360" w:lineRule="auto"/>
        <w:ind w:left="860"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“Artículo 53. Las sanciones impuestas por faltas administrativas graves serán del conocimiento público </w:t>
      </w:r>
      <w:r w:rsidRPr="00E813DF">
        <w:rPr>
          <w:rFonts w:ascii="Palatino Linotype" w:eastAsia="Palatino Linotype" w:hAnsi="Palatino Linotype" w:cs="Palatino Linotype"/>
          <w:i/>
          <w:iCs/>
          <w:sz w:val="22"/>
          <w:szCs w:val="22"/>
          <w:u w:val="single"/>
        </w:rPr>
        <w:t>cuando éstas contengan impedimentos o inhabilitaciones</w:t>
      </w:r>
      <w:r w:rsidRPr="00E813DF">
        <w:rPr>
          <w:rFonts w:ascii="Palatino Linotype" w:eastAsia="Palatino Linotype" w:hAnsi="Palatino Linotype" w:cs="Palatino Linotype"/>
          <w:i/>
          <w:iCs/>
          <w:sz w:val="22"/>
          <w:szCs w:val="22"/>
        </w:rPr>
        <w:t xml:space="preserve"> para ser contratados como servidores públicos o como prestadores de servicios o contratistas del sector público, en términos de la Ley de Responsabilidades Administrativas del Estado de México y Municipios.</w:t>
      </w:r>
    </w:p>
    <w:p w14:paraId="7FC57A2A" w14:textId="77777777" w:rsidR="00304047" w:rsidRPr="00E813DF" w:rsidRDefault="00CA623F">
      <w:pPr>
        <w:spacing w:before="240" w:after="240" w:line="360" w:lineRule="auto"/>
        <w:ind w:left="860"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Los registros de </w:t>
      </w:r>
      <w:r w:rsidRPr="00E813DF">
        <w:rPr>
          <w:rFonts w:ascii="Palatino Linotype" w:eastAsia="Palatino Linotype" w:hAnsi="Palatino Linotype" w:cs="Palatino Linotype"/>
          <w:i/>
          <w:iCs/>
          <w:sz w:val="22"/>
          <w:szCs w:val="22"/>
          <w:u w:val="single"/>
        </w:rPr>
        <w:t>las sanciones relativas a responsabilidades administrativas no graves, quedarán registradas para efectos de eventual reincidencia, pero no serán públicas.</w:t>
      </w:r>
      <w:r w:rsidRPr="00E813DF">
        <w:rPr>
          <w:rFonts w:ascii="Palatino Linotype" w:eastAsia="Palatino Linotype" w:hAnsi="Palatino Linotype" w:cs="Palatino Linotype"/>
          <w:i/>
          <w:iCs/>
          <w:sz w:val="22"/>
          <w:szCs w:val="22"/>
        </w:rPr>
        <w:t>”</w:t>
      </w:r>
    </w:p>
    <w:p w14:paraId="55ECA04E" w14:textId="77777777" w:rsidR="00304047" w:rsidRPr="00E813DF" w:rsidRDefault="00CA623F">
      <w:pPr>
        <w:spacing w:before="240" w:after="240" w:line="360" w:lineRule="auto"/>
        <w:ind w:right="6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ese sentido es importante, referir que la Ley de Responsabilidades Administrativas del Estado de México y Municipios, vigente, señala como faltas administrativas no graves, lo siguiente:</w:t>
      </w:r>
    </w:p>
    <w:p w14:paraId="71CEC4B2" w14:textId="77777777" w:rsidR="00304047" w:rsidRPr="00E813DF" w:rsidRDefault="00CA623F">
      <w:pPr>
        <w:spacing w:before="240" w:after="240" w:line="360" w:lineRule="auto"/>
        <w:ind w:left="860"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“Artículo 3. Para los efectos de la presente Ley, se entenderá por:</w:t>
      </w:r>
      <w:r w:rsidRPr="00E813DF">
        <w:rPr>
          <w:rFonts w:ascii="Palatino Linotype" w:eastAsia="Palatino Linotype" w:hAnsi="Palatino Linotype" w:cs="Palatino Linotype"/>
          <w:i/>
          <w:iCs/>
          <w:sz w:val="22"/>
          <w:szCs w:val="22"/>
        </w:rPr>
        <w:br/>
        <w:t xml:space="preserve"> ...</w:t>
      </w:r>
    </w:p>
    <w:p w14:paraId="245CE43D" w14:textId="77777777" w:rsidR="00304047" w:rsidRPr="00E813DF" w:rsidRDefault="00CA623F">
      <w:pPr>
        <w:spacing w:before="240" w:after="240" w:line="360" w:lineRule="auto"/>
        <w:ind w:left="1140"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XIII. Falta administrativa no grave: A las faltas administrativas de los servidores públicos en los términos de la presente Ley, cuya imposición de la sanción corresponde a la Secretaría de la Contraloría del Estado de México y a los órganos internos de control.</w:t>
      </w:r>
    </w:p>
    <w:p w14:paraId="1AACD081" w14:textId="77777777" w:rsidR="00304047" w:rsidRPr="00E813DF" w:rsidRDefault="00CA623F">
      <w:pPr>
        <w:spacing w:before="240" w:after="240" w:line="360" w:lineRule="auto"/>
        <w:ind w:left="1140"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72C79E41" w14:textId="77777777" w:rsidR="00304047" w:rsidRPr="00E813DF" w:rsidRDefault="00CA623F">
      <w:pPr>
        <w:spacing w:before="240" w:after="240" w:line="360" w:lineRule="auto"/>
        <w:ind w:right="6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14:paraId="6F0F290F" w14:textId="77777777" w:rsidR="00304047" w:rsidRPr="00E813DF" w:rsidRDefault="00CA623F">
      <w:pPr>
        <w:spacing w:before="240" w:after="240" w:line="360" w:lineRule="auto"/>
        <w:ind w:left="860"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“Artículo 50. Incurre en </w:t>
      </w:r>
      <w:r w:rsidRPr="00E813DF">
        <w:rPr>
          <w:rFonts w:ascii="Palatino Linotype" w:eastAsia="Palatino Linotype" w:hAnsi="Palatino Linotype" w:cs="Palatino Linotype"/>
          <w:i/>
          <w:iCs/>
          <w:sz w:val="22"/>
          <w:szCs w:val="22"/>
          <w:u w:val="single"/>
        </w:rPr>
        <w:t>falta administrativa no grave</w:t>
      </w:r>
      <w:r w:rsidRPr="00E813DF">
        <w:rPr>
          <w:rFonts w:ascii="Palatino Linotype" w:eastAsia="Palatino Linotype" w:hAnsi="Palatino Linotype" w:cs="Palatino Linotype"/>
          <w:i/>
          <w:iCs/>
          <w:sz w:val="22"/>
          <w:szCs w:val="22"/>
        </w:rPr>
        <w:t>, el servidor público que con sus actos u omisiones, incumpla o transgreda las obligaciones siguientes:</w:t>
      </w:r>
    </w:p>
    <w:p w14:paraId="33A7119F"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 Cumplir con las funciones, atribuciones y comisiones encomendadas, observando en su desempeño disciplina y respeto, tanto a los demás servidores públicos, a los particulares con los que llegare a tratar, en los términos que se establezcan en el </w:t>
      </w:r>
      <w:r w:rsidRPr="00E813DF">
        <w:rPr>
          <w:rFonts w:ascii="Palatino Linotype" w:eastAsia="Palatino Linotype" w:hAnsi="Palatino Linotype" w:cs="Palatino Linotype"/>
          <w:i/>
          <w:iCs/>
          <w:sz w:val="22"/>
          <w:szCs w:val="22"/>
          <w:u w:val="single"/>
        </w:rPr>
        <w:t>código de ética</w:t>
      </w:r>
      <w:r w:rsidRPr="00E813DF">
        <w:rPr>
          <w:rFonts w:ascii="Palatino Linotype" w:eastAsia="Palatino Linotype" w:hAnsi="Palatino Linotype" w:cs="Palatino Linotype"/>
          <w:i/>
          <w:iCs/>
          <w:sz w:val="22"/>
          <w:szCs w:val="22"/>
        </w:rPr>
        <w:t xml:space="preserve"> a que se refiere esta Ley.</w:t>
      </w:r>
    </w:p>
    <w:p w14:paraId="2B5BCD44"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 Denunciar los actos u omisiones que en ejercicio de sus funciones llegare a advertir, que puedan constituir faltas administrativas en términos del artículo 95 de la presente Ley.</w:t>
      </w:r>
    </w:p>
    <w:p w14:paraId="7BDE6EA2"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III.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w:t>
      </w:r>
    </w:p>
    <w:p w14:paraId="1F474141"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IV. Presentar en tiempo y forma la declaración de situación patrimonial y la de intereses que, en su caso, considere se actualice, en los términos establecidos por esta Ley.</w:t>
      </w:r>
    </w:p>
    <w:p w14:paraId="0B9F0C98"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 Rendir cuentas sobre el ejercicio de las funciones, en términos de las normas aplicables.</w:t>
      </w:r>
    </w:p>
    <w:p w14:paraId="6FB2DC9C"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 Colaborar en los procedimientos judiciales y administrativos en los que sea parte.</w:t>
      </w:r>
    </w:p>
    <w:p w14:paraId="3BC6521F"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VII.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w:t>
      </w:r>
    </w:p>
    <w:p w14:paraId="42493612"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VIII. Actuar y ejecutar legalmente con la máxima diligencia, los planes, programas, presupuestos y demás normas a fin de alcanzar las metas institucionales según sus responsabilidades, conforme a una cultura de servicio orientada al logro de resultados.</w:t>
      </w:r>
    </w:p>
    <w:p w14:paraId="0DAC1CF8"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IX.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w:t>
      </w:r>
    </w:p>
    <w:p w14:paraId="1EE01410"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 Observar buena conducta en su empleo, cargo o comisión tratando con respeto, diligencia, imparcialidad y rectitud a las personas y servidores públicos con los que tenga relación con motivo de éste.</w:t>
      </w:r>
    </w:p>
    <w:p w14:paraId="156E659C"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 Observar un trato respetuoso con sus subalternos.</w:t>
      </w:r>
    </w:p>
    <w:p w14:paraId="473CC333"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XII. Supervisar que los servidores públicos sujetos a su dirección, cumplan con las disposiciones de esta Ley.</w:t>
      </w:r>
    </w:p>
    <w:p w14:paraId="011957D8"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XIII. Cumplir con la entrega de índole administrativo del despacho y de toda aquella documentación inherente a su cargo, en los términos que establezcan las disposiciones legales o administrativas que al efecto se señalen.</w:t>
      </w:r>
    </w:p>
    <w:p w14:paraId="444BA48D"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XIV. Proporcionar, en su caso, en tiempo y forma ante las dependencias competentes, la documentación comprobatoria de la aplicación de recursos económicos federales, estatales o municipales, asignados a través de los programas respectivos.</w:t>
      </w:r>
    </w:p>
    <w:p w14:paraId="24F4A013"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XV. Abstenerse de solicitar requisitos, cargas tributarias o cualquier otro concepto adicional no previsto en la legislación aplicable, que tengan por objeto condicionar la expedición de licencias de funcionamiento para unidades económicas o negocios.</w:t>
      </w:r>
    </w:p>
    <w:p w14:paraId="57ADB897"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XVI. Cumplir con las disposiciones en materia de Gobierno Digital que impongan la Ley de la materia, su reglamento y demás disposiciones aplicables.</w:t>
      </w:r>
    </w:p>
    <w:p w14:paraId="3E8F61D5"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XVII. Utilizar las medidas de seguridad informática y protección de datos e información personal recomendada por las instancias competentes.</w:t>
      </w:r>
    </w:p>
    <w:p w14:paraId="1DA8EE37"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XVIII. Cumplir oportunamente con los laudos que dicte el Tribunal Estatal de Conciliación y Arbitraje o cualquier de las Salas Auxiliares del mismo, así como pagar el monto de las indemnizaciones y demás prestaciones a que tenga derecho el servidor público, y</w:t>
      </w:r>
    </w:p>
    <w:p w14:paraId="74C7728B" w14:textId="77777777" w:rsidR="00304047" w:rsidRPr="00E813DF" w:rsidRDefault="00CA623F">
      <w:pPr>
        <w:spacing w:before="240" w:after="240" w:line="360" w:lineRule="auto"/>
        <w:ind w:left="1000" w:right="104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XIX. Las demás que le impongan las leyes, reglamentos o disposiciones administrativas aplicables.”</w:t>
      </w:r>
    </w:p>
    <w:p w14:paraId="2282320A" w14:textId="77777777" w:rsidR="00304047" w:rsidRPr="00E813DF" w:rsidRDefault="00CA623F">
      <w:pPr>
        <w:spacing w:before="240" w:after="240" w:line="360" w:lineRule="auto"/>
        <w:ind w:right="4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la misma manera, el artículo 51 de la Ley de Responsabilidades Administrativas indica que también serán consideradas faltas administrativas </w:t>
      </w:r>
      <w:r w:rsidRPr="00E813DF">
        <w:rPr>
          <w:rFonts w:ascii="Palatino Linotype" w:eastAsia="Palatino Linotype" w:hAnsi="Palatino Linotype" w:cs="Palatino Linotype"/>
          <w:sz w:val="22"/>
          <w:szCs w:val="22"/>
          <w:u w:val="single"/>
        </w:rPr>
        <w:t>no graves</w:t>
      </w:r>
      <w:r w:rsidRPr="00E813DF">
        <w:rPr>
          <w:rFonts w:ascii="Palatino Linotype" w:eastAsia="Palatino Linotype" w:hAnsi="Palatino Linotype" w:cs="Palatino Linotype"/>
          <w:sz w:val="22"/>
          <w:szCs w:val="22"/>
        </w:rPr>
        <w:t xml:space="preserve">, los daños y perjuicios que </w:t>
      </w:r>
      <w:r w:rsidRPr="00E813DF">
        <w:rPr>
          <w:rFonts w:ascii="Palatino Linotype" w:eastAsia="Palatino Linotype" w:hAnsi="Palatino Linotype" w:cs="Palatino Linotype"/>
          <w:sz w:val="22"/>
          <w:szCs w:val="22"/>
          <w:u w:val="single"/>
        </w:rPr>
        <w:t>de manera culposa o negligente y sin incurrir en alguna de las faltas administrativas graves</w:t>
      </w:r>
      <w:r w:rsidRPr="00E813DF">
        <w:rPr>
          <w:rFonts w:ascii="Palatino Linotype" w:eastAsia="Palatino Linotype" w:hAnsi="Palatino Linotype" w:cs="Palatino Linotype"/>
          <w:sz w:val="22"/>
          <w:szCs w:val="22"/>
        </w:rPr>
        <w:t>, cause un servidor público a la Hacienda Pública o al patrimonio de un ente público, siendo de suma importancia mencionar que la autoridad resolutora podrá abstenerse de imponer la sanción que corresponda cuando el daño o perjuicio a la Hacienda Pública Estatal o Municipal o al patrimonio de los entes públicos no exceda de dos mil veces el valor diario de la unidad de medida y actualización y el daño haya sido resarcido o recuperado, tal como se lee en seguida:</w:t>
      </w:r>
    </w:p>
    <w:p w14:paraId="77C660B4" w14:textId="77777777" w:rsidR="00304047" w:rsidRPr="00E813DF" w:rsidRDefault="00CA623F">
      <w:pPr>
        <w:spacing w:before="240" w:after="240" w:line="360" w:lineRule="auto"/>
        <w:ind w:left="860"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“Artículo 51. También se considerará falta administrativa no grave, los daños y perjuicios que, de manera culposa o negligente y sin incurrir en alguna de las faltas administrativas graves señaladas en el Capítulo siguiente, cause un servidor público a la Hacienda Pública o al patrimonio de un ente público.</w:t>
      </w:r>
    </w:p>
    <w:p w14:paraId="1078C6A4" w14:textId="77777777" w:rsidR="00304047" w:rsidRPr="00E813DF" w:rsidRDefault="00CA623F">
      <w:pPr>
        <w:spacing w:before="240" w:after="240" w:line="360" w:lineRule="auto"/>
        <w:ind w:left="860"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w:t>
      </w:r>
    </w:p>
    <w:p w14:paraId="04692EC4" w14:textId="77777777" w:rsidR="00304047" w:rsidRPr="00E813DF" w:rsidRDefault="00CA623F">
      <w:pPr>
        <w:spacing w:before="240" w:after="240" w:line="360" w:lineRule="auto"/>
        <w:ind w:left="860"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w:t>
      </w:r>
    </w:p>
    <w:p w14:paraId="5233B69F" w14:textId="77777777" w:rsidR="00304047" w:rsidRPr="00E813DF" w:rsidRDefault="00CA623F">
      <w:pPr>
        <w:spacing w:before="240" w:after="240" w:line="360" w:lineRule="auto"/>
        <w:ind w:left="860" w:right="900"/>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La autoridad resolutora podrá abstenerse de imponer la sanción que corresponda conforme al artículo 79 de esta Ley cuando el daño o perjuicio a la Hacienda Pública Estatal o Municipal o al patrimonio de los entes públicos no exceda de dos mil veces el valor diario de la unidad de medida y actualización y el daño haya sido resarcido o recuperado.”</w:t>
      </w:r>
    </w:p>
    <w:p w14:paraId="24F1CC0D" w14:textId="77777777" w:rsidR="00304047" w:rsidRPr="00E813DF" w:rsidRDefault="00CA623F">
      <w:pPr>
        <w:spacing w:before="240" w:after="240" w:line="360" w:lineRule="auto"/>
        <w:ind w:right="6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otras palabras, los daños y perjuicios que cause un servidor público a la Hacienda Pública o al patrimonio de un ente público, también podrán ser considerados como una falta </w:t>
      </w:r>
      <w:r w:rsidRPr="00E813DF">
        <w:rPr>
          <w:rFonts w:ascii="Palatino Linotype" w:eastAsia="Palatino Linotype" w:hAnsi="Palatino Linotype" w:cs="Palatino Linotype"/>
          <w:sz w:val="22"/>
          <w:szCs w:val="22"/>
          <w:u w:val="single"/>
        </w:rPr>
        <w:t>no grave</w:t>
      </w:r>
      <w:r w:rsidRPr="00E813DF">
        <w:rPr>
          <w:rFonts w:ascii="Palatino Linotype" w:eastAsia="Palatino Linotype" w:hAnsi="Palatino Linotype" w:cs="Palatino Linotype"/>
          <w:sz w:val="22"/>
          <w:szCs w:val="22"/>
        </w:rPr>
        <w:t>, para lo cual se deben actualizar los siguientes supuestos:</w:t>
      </w:r>
    </w:p>
    <w:p w14:paraId="6B2DE3D7" w14:textId="77777777" w:rsidR="00304047" w:rsidRPr="00E813DF" w:rsidRDefault="00CA623F">
      <w:pPr>
        <w:spacing w:before="240" w:after="240" w:line="360" w:lineRule="auto"/>
        <w:ind w:left="280" w:right="40"/>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1. El daño o perjuicio se hubiera ocasionado de manera culposa o negligente, esto es sin dolo.</w:t>
      </w:r>
    </w:p>
    <w:p w14:paraId="5A8A9621" w14:textId="77777777" w:rsidR="00304047" w:rsidRPr="00E813DF" w:rsidRDefault="00CA623F">
      <w:pPr>
        <w:spacing w:before="240" w:after="240" w:line="360" w:lineRule="auto"/>
        <w:ind w:left="280" w:right="40"/>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2. No debe incurrir en alguna de las faltas administrativas graves.</w:t>
      </w:r>
    </w:p>
    <w:p w14:paraId="11AE66E7" w14:textId="77777777" w:rsidR="00304047" w:rsidRPr="00E813DF" w:rsidRDefault="00CA623F">
      <w:pPr>
        <w:spacing w:before="240" w:after="240" w:line="360" w:lineRule="auto"/>
        <w:ind w:left="280" w:right="40"/>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3. No exceda de dos mil veces el valor diario de la unidad de medida y actualización.</w:t>
      </w:r>
    </w:p>
    <w:p w14:paraId="6AAE6982" w14:textId="77777777" w:rsidR="00304047" w:rsidRPr="00E813DF" w:rsidRDefault="00CA623F">
      <w:pPr>
        <w:spacing w:before="240" w:after="240" w:line="360" w:lineRule="auto"/>
        <w:ind w:left="280" w:right="40"/>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4. El daño haya sido resarcido o recuperado.</w:t>
      </w:r>
    </w:p>
    <w:p w14:paraId="401285E8" w14:textId="77777777" w:rsidR="00304047" w:rsidRPr="00E813DF" w:rsidRDefault="00CA623F">
      <w:pPr>
        <w:spacing w:before="240" w:after="240" w:line="360" w:lineRule="auto"/>
        <w:ind w:right="4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caso contrario, los daños o perjuicios se considerarán como faltas graves.</w:t>
      </w:r>
    </w:p>
    <w:p w14:paraId="21A7DB6B"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referencia a lo anterior, y de la naturaleza específica de lo solicitado, que consiste en tener acceso a la información de los procedimientos de responsabilidades instaurados y concluidos por la contraloría Interna Municipal, específicamente en contra de los titulares de las unidades administrativas del ayuntamiento, por lo que es oportuno mencionar que a través del Órgano Interno de Control está facultado para investigar, sustanciar y calificar las faltas administrativas, imponer sanciones respecto de las faltas administrativas no graves de los servidores públicos por ello se procede a analizar la naturaleza de la información conforme a lo siguiente:</w:t>
      </w:r>
    </w:p>
    <w:p w14:paraId="3F994BF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Procedimiento en trámite por faltas no graves, y</w:t>
      </w:r>
    </w:p>
    <w:p w14:paraId="770365F7"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Procedimiento concluido condenatorios o absolutorios por faltas no graves</w:t>
      </w:r>
    </w:p>
    <w:p w14:paraId="586BB9E0" w14:textId="77777777" w:rsidR="00304047" w:rsidRPr="00E813DF" w:rsidRDefault="00CA623F">
      <w:pPr>
        <w:numPr>
          <w:ilvl w:val="0"/>
          <w:numId w:val="12"/>
        </w:numPr>
        <w:tabs>
          <w:tab w:val="left" w:pos="3962"/>
        </w:tabs>
        <w:spacing w:before="240" w:line="360" w:lineRule="auto"/>
        <w:ind w:left="426"/>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 xml:space="preserve">Procedimiento de responsabilidad en trámite. </w:t>
      </w:r>
    </w:p>
    <w:p w14:paraId="37C6BE09" w14:textId="77777777" w:rsidR="00304047" w:rsidRPr="00E813DF" w:rsidRDefault="00CA623F">
      <w:pPr>
        <w:tabs>
          <w:tab w:val="left" w:pos="3962"/>
        </w:tabs>
        <w:spacing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Al respecto, es necesario señalar que pronunciarse sobre la existencia de un procedimiento de posibles responsabilidades no graves en trámite, podría afectar a los posibles responsables identificados, en el presente caso, ya que se daría a conocer la existencia de una investigación en contra, lo cual, generaría una percepción negativa de estos, sin que se hubiere probado su responsabilidad o culpabilidad, lo cual dañaría, su honor y su derecho a la presunción inocencia e inclusive su actividad profesional, pues aún no se juntan los elementos necesarios para iniciar la segunda etapa del procedimiento.</w:t>
      </w:r>
    </w:p>
    <w:p w14:paraId="5E753C2E" w14:textId="77777777" w:rsidR="00304047" w:rsidRPr="00E813DF" w:rsidRDefault="00CA623F">
      <w:pPr>
        <w:tabs>
          <w:tab w:val="left" w:pos="3962"/>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Al respecto, por lo que hace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5292938A" w14:textId="77777777" w:rsidR="00304047" w:rsidRPr="00E813DF" w:rsidRDefault="00304047">
      <w:pPr>
        <w:tabs>
          <w:tab w:val="left" w:pos="3962"/>
        </w:tabs>
        <w:spacing w:before="240" w:after="240" w:line="360" w:lineRule="auto"/>
        <w:jc w:val="both"/>
        <w:rPr>
          <w:rFonts w:ascii="Palatino Linotype" w:eastAsia="Palatino Linotype" w:hAnsi="Palatino Linotype" w:cs="Palatino Linotype"/>
          <w:sz w:val="22"/>
          <w:szCs w:val="22"/>
        </w:rPr>
      </w:pPr>
    </w:p>
    <w:p w14:paraId="5C330560" w14:textId="77777777" w:rsidR="00304047" w:rsidRPr="00E813DF" w:rsidRDefault="00CA623F">
      <w:pPr>
        <w:spacing w:before="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 xml:space="preserve">“DERECHO FUNDAMENTAL AL HONOR. SU DIMENSIÓN SUBJETIVA Y OBJETIVA. </w:t>
      </w:r>
      <w:r w:rsidRPr="00E813DF">
        <w:rPr>
          <w:rFonts w:ascii="Palatino Linotype" w:eastAsia="Palatino Linotype" w:hAnsi="Palatino Linotype" w:cs="Palatino Linotype"/>
          <w:i/>
          <w:iCs/>
          <w:sz w:val="22"/>
          <w:szCs w:val="22"/>
        </w:rPr>
        <w:t>A juicio de esta Primera Sala de la Suprema Corte de Justicia de la Nación, es posible definir al honor como el concepto que la persona tiene de sí misma o que los demás se han formado de ella, en virtud de su proceder o de la expresión de su calidad ética y social.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2C621176" w14:textId="77777777" w:rsidR="00304047" w:rsidRPr="00E813DF" w:rsidRDefault="00CA623F">
      <w:pPr>
        <w:tabs>
          <w:tab w:val="left" w:pos="3962"/>
        </w:tabs>
        <w:spacing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la tesis transcrita se desprende que el honor es el concepto que la persona tiene de sí misma o que los demás se han formado de ella, en virtud de su proceder o de la expresión de su calidad ética y social. </w:t>
      </w:r>
    </w:p>
    <w:p w14:paraId="4944B0B0" w14:textId="77777777" w:rsidR="00304047" w:rsidRPr="00E813DF" w:rsidRDefault="00CA623F">
      <w:pPr>
        <w:tabs>
          <w:tab w:val="left" w:pos="3962"/>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lo que, en el campo jurídico, es un derecho humano que involucra la facultad de cada individuo de ser tratado de forma decoros,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14:paraId="6B3B1B17" w14:textId="77777777" w:rsidR="00304047" w:rsidRPr="00E813DF" w:rsidRDefault="00CA623F">
      <w:pPr>
        <w:tabs>
          <w:tab w:val="left" w:pos="3962"/>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otra parte, debe señalarse que conforme al artículo 20, inciso B, numeral I, de la Constitución Política de los Estados Unidos Mexicanos, un derecho que tiene toda persona imputada, es a que se presuma su inocencia mientras no se declare su responsabilidad mediante una resolución, donde compruebe su culpabilidad. Dicha situación, se encuentra regulada, de la misma manera, en Declaración Universal de los Derechos Humanos, así como, el Pacto Internacional de Derechos Civiles y Políticos y la Convención Americana sobre Derechos Humanos.</w:t>
      </w:r>
    </w:p>
    <w:p w14:paraId="558B2250" w14:textId="77777777" w:rsidR="00304047" w:rsidRPr="00E813DF" w:rsidRDefault="00CA623F">
      <w:pPr>
        <w:tabs>
          <w:tab w:val="left" w:pos="3962"/>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ese contexto,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14:paraId="55B032B3" w14:textId="77777777" w:rsidR="00304047" w:rsidRPr="00E813DF" w:rsidRDefault="00CA623F">
      <w:pPr>
        <w:spacing w:before="240" w:line="360" w:lineRule="auto"/>
        <w:ind w:left="567"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 xml:space="preserve">“PRESUNCIÓN DE INOCENCIA. ALCANCES DE ESE PRINCIPIO CONSTITUCIONAL. </w:t>
      </w:r>
      <w:r w:rsidRPr="00E813DF">
        <w:rPr>
          <w:rFonts w:ascii="Palatino Linotype" w:eastAsia="Palatino Linotype" w:hAnsi="Palatino Linotype" w:cs="Palatino Linotype"/>
          <w:i/>
          <w:iCs/>
          <w:sz w:val="22"/>
          <w:szCs w:val="22"/>
        </w:rPr>
        <w:t>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14:paraId="6395DC7C" w14:textId="77777777" w:rsidR="00304047" w:rsidRPr="00E813DF" w:rsidRDefault="00CA623F">
      <w:pPr>
        <w:tabs>
          <w:tab w:val="left" w:pos="3962"/>
        </w:tabs>
        <w:spacing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14:paraId="07386AA0" w14:textId="77777777" w:rsidR="00304047" w:rsidRPr="00E813DF" w:rsidRDefault="00CA623F">
      <w:pPr>
        <w:tabs>
          <w:tab w:val="left" w:pos="3962"/>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Conforme a lo anterior, pronunciarse sobre la existencia de un procedimiento en trámite, se daría a conocer que la existencia de un procedimiento de probable responsabilidad, y la ciudadanía podría generar un juicio negativo, en contra de los servidores públicos involucrados, sin que se hayan reunido los elementos para establecer que si son probables responsables, con lo cual, se vería afectado de manera directa, su honor y derecho a la presunción de inocencia.</w:t>
      </w:r>
    </w:p>
    <w:p w14:paraId="1A5F2CFB" w14:textId="77777777" w:rsidR="00304047" w:rsidRPr="00E813DF" w:rsidRDefault="00CA623F">
      <w:pPr>
        <w:tabs>
          <w:tab w:val="left" w:pos="3962"/>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Así, toda vez que realizar el pronunciamiento afectaría el derecho al honor, buena imagen y presunción de inocencia de los titulares de las unidades administrativas del ayuntamiento, se considera que deberá clasificarlo en términos del artículo 143, fracción I, de la Ley de Transparencia y Acceso a la Información Pública del Estado de México y Municipios.</w:t>
      </w:r>
    </w:p>
    <w:p w14:paraId="504D5D25" w14:textId="77777777" w:rsidR="00304047" w:rsidRPr="00E813DF" w:rsidRDefault="00CA623F">
      <w:pPr>
        <w:numPr>
          <w:ilvl w:val="0"/>
          <w:numId w:val="13"/>
        </w:numPr>
        <w:tabs>
          <w:tab w:val="left" w:pos="3962"/>
        </w:tabs>
        <w:spacing w:before="240" w:line="360" w:lineRule="auto"/>
        <w:ind w:left="426"/>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Procedimiento concluido por falta administrativa no grave.</w:t>
      </w:r>
    </w:p>
    <w:p w14:paraId="42FB249D" w14:textId="77777777" w:rsidR="00304047" w:rsidRPr="00E813DF" w:rsidRDefault="00304047">
      <w:pPr>
        <w:tabs>
          <w:tab w:val="left" w:pos="3962"/>
        </w:tabs>
        <w:spacing w:line="360" w:lineRule="auto"/>
        <w:ind w:left="426"/>
        <w:jc w:val="both"/>
        <w:rPr>
          <w:rFonts w:ascii="Palatino Linotype" w:eastAsia="Palatino Linotype" w:hAnsi="Palatino Linotype" w:cs="Palatino Linotype"/>
          <w:b/>
          <w:bCs/>
          <w:sz w:val="22"/>
          <w:szCs w:val="22"/>
        </w:rPr>
      </w:pPr>
    </w:p>
    <w:p w14:paraId="37B88283" w14:textId="77777777" w:rsidR="00304047" w:rsidRPr="00E813DF" w:rsidRDefault="00CA623F">
      <w:pPr>
        <w:spacing w:after="240" w:line="360" w:lineRule="auto"/>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sz w:val="22"/>
          <w:szCs w:val="22"/>
        </w:rPr>
        <w:t xml:space="preserve">En ese sentido, emitir un pronunciamiento sobre la existencia de un procedimiento de responsabilidad </w:t>
      </w:r>
      <w:r w:rsidRPr="00E813DF">
        <w:rPr>
          <w:rFonts w:ascii="Palatino Linotype" w:eastAsia="Palatino Linotype" w:hAnsi="Palatino Linotype" w:cs="Palatino Linotype"/>
          <w:b/>
          <w:bCs/>
          <w:sz w:val="22"/>
          <w:szCs w:val="22"/>
        </w:rPr>
        <w:t xml:space="preserve">por faltas no graves </w:t>
      </w:r>
      <w:r w:rsidRPr="00E813DF">
        <w:rPr>
          <w:rFonts w:ascii="Palatino Linotype" w:eastAsia="Palatino Linotype" w:hAnsi="Palatino Linotype" w:cs="Palatino Linotype"/>
          <w:sz w:val="22"/>
          <w:szCs w:val="22"/>
        </w:rPr>
        <w:t>concluido</w:t>
      </w:r>
      <w:r w:rsidRPr="00E813DF">
        <w:rPr>
          <w:rFonts w:ascii="Palatino Linotype" w:eastAsia="Palatino Linotype" w:hAnsi="Palatino Linotype" w:cs="Palatino Linotype"/>
          <w:b/>
          <w:bCs/>
          <w:sz w:val="22"/>
          <w:szCs w:val="22"/>
        </w:rPr>
        <w:t xml:space="preserve">, </w:t>
      </w:r>
      <w:r w:rsidRPr="00E813DF">
        <w:rPr>
          <w:rFonts w:ascii="Palatino Linotype" w:eastAsia="Palatino Linotype" w:hAnsi="Palatino Linotype" w:cs="Palatino Linotype"/>
          <w:sz w:val="22"/>
          <w:szCs w:val="22"/>
        </w:rPr>
        <w:t xml:space="preserve">en caso de que existiera, </w:t>
      </w:r>
      <w:r w:rsidRPr="00E813DF">
        <w:rPr>
          <w:rFonts w:ascii="Palatino Linotype" w:eastAsia="Palatino Linotype" w:hAnsi="Palatino Linotype" w:cs="Palatino Linotype"/>
          <w:b/>
          <w:bCs/>
          <w:sz w:val="22"/>
          <w:szCs w:val="22"/>
        </w:rPr>
        <w:t>podría afectar su honor, buen nombre y su imagen de los servidores públicos de los que se solicita información.</w:t>
      </w:r>
    </w:p>
    <w:p w14:paraId="3C73AF83" w14:textId="77777777" w:rsidR="00304047" w:rsidRPr="00E813DF" w:rsidRDefault="00304047">
      <w:pPr>
        <w:spacing w:before="240" w:after="240" w:line="360" w:lineRule="auto"/>
        <w:jc w:val="both"/>
        <w:rPr>
          <w:rFonts w:ascii="Palatino Linotype" w:eastAsia="Palatino Linotype" w:hAnsi="Palatino Linotype" w:cs="Palatino Linotype"/>
          <w:b/>
          <w:bCs/>
          <w:sz w:val="22"/>
          <w:szCs w:val="22"/>
        </w:rPr>
      </w:pPr>
    </w:p>
    <w:p w14:paraId="3D20F8DA"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Al respecto, la Suprema Corte de Justicia de la Nación ha reconocido como derechos fundamentales de las personas, el derecho a la intimidad y a la propia imagen, en el siguiente criterio:</w:t>
      </w:r>
    </w:p>
    <w:p w14:paraId="34F788E1" w14:textId="77777777" w:rsidR="00304047" w:rsidRPr="00E813DF" w:rsidRDefault="00CA623F">
      <w:pPr>
        <w:spacing w:before="240" w:after="240" w:line="360" w:lineRule="auto"/>
        <w:ind w:left="567" w:right="567"/>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 xml:space="preserve">DERECHOS A LA INTIMIDAD, PROPIA IMAGEN, IDENTIDAD PERSONAL Y SEXUAL. CONSTITUYEN DERECHOS DE DEFENSA Y GARANTÍA ESENCIAL PARA LA CONDICIÓN HUMANA.  </w:t>
      </w:r>
      <w:r w:rsidRPr="00E813DF">
        <w:rPr>
          <w:rFonts w:ascii="Palatino Linotype" w:eastAsia="Palatino Linotype" w:hAnsi="Palatino Linotype" w:cs="Palatino Linotype"/>
          <w:i/>
          <w:iCs/>
          <w:sz w:val="22"/>
          <w:szCs w:val="22"/>
        </w:rPr>
        <w:t xml:space="preserve">Dentro de los derechos personalísimos se encuentran necesariamente comprendidos el </w:t>
      </w:r>
      <w:r w:rsidRPr="00E813DF">
        <w:rPr>
          <w:rFonts w:ascii="Palatino Linotype" w:eastAsia="Palatino Linotype" w:hAnsi="Palatino Linotype" w:cs="Palatino Linotype"/>
          <w:b/>
          <w:bCs/>
          <w:i/>
          <w:iCs/>
          <w:sz w:val="22"/>
          <w:szCs w:val="22"/>
        </w:rPr>
        <w:t>derecho a la intimidad y a la propia imagen</w:t>
      </w:r>
      <w:r w:rsidRPr="00E813DF">
        <w:rPr>
          <w:rFonts w:ascii="Palatino Linotype" w:eastAsia="Palatino Linotype" w:hAnsi="Palatino Linotype" w:cs="Palatino Linotype"/>
          <w:i/>
          <w:iCs/>
          <w:sz w:val="22"/>
          <w:szCs w:val="22"/>
        </w:rPr>
        <w:t xml:space="preserve">, así como a la </w:t>
      </w:r>
      <w:r w:rsidRPr="00E813DF">
        <w:rPr>
          <w:rFonts w:ascii="Palatino Linotype" w:eastAsia="Palatino Linotype" w:hAnsi="Palatino Linotype" w:cs="Palatino Linotype"/>
          <w:b/>
          <w:bCs/>
          <w:i/>
          <w:iCs/>
          <w:sz w:val="22"/>
          <w:szCs w:val="22"/>
        </w:rPr>
        <w:t>identidad personal</w:t>
      </w:r>
      <w:r w:rsidRPr="00E813DF">
        <w:rPr>
          <w:rFonts w:ascii="Palatino Linotype" w:eastAsia="Palatino Linotype" w:hAnsi="Palatino Linotype" w:cs="Palatino Linotype"/>
          <w:i/>
          <w:iCs/>
          <w:sz w:val="22"/>
          <w:szCs w:val="22"/>
        </w:rPr>
        <w:t xml:space="preserve"> y sexual; entendiéndose por el primero, </w:t>
      </w:r>
      <w:r w:rsidRPr="00E813DF">
        <w:rPr>
          <w:rFonts w:ascii="Palatino Linotype" w:eastAsia="Palatino Linotype" w:hAnsi="Palatino Linotype" w:cs="Palatino Linotype"/>
          <w:b/>
          <w:bCs/>
          <w:i/>
          <w:iCs/>
          <w:sz w:val="22"/>
          <w:szCs w:val="22"/>
        </w:rPr>
        <w:t>el derecho del individuo a no ser conocido por otros en ciertos aspectos de su vida</w:t>
      </w:r>
      <w:r w:rsidRPr="00E813DF">
        <w:rPr>
          <w:rFonts w:ascii="Palatino Linotype" w:eastAsia="Palatino Linotype" w:hAnsi="Palatino Linotype" w:cs="Palatino Linotype"/>
          <w:i/>
          <w:iCs/>
          <w:sz w:val="22"/>
          <w:szCs w:val="22"/>
        </w:rPr>
        <w:t xml:space="preserve"> y, </w:t>
      </w:r>
      <w:r w:rsidRPr="00E813DF">
        <w:rPr>
          <w:rFonts w:ascii="Palatino Linotype" w:eastAsia="Palatino Linotype" w:hAnsi="Palatino Linotype" w:cs="Palatino Linotype"/>
          <w:b/>
          <w:bCs/>
          <w:i/>
          <w:iCs/>
          <w:sz w:val="22"/>
          <w:szCs w:val="22"/>
        </w:rPr>
        <w:t>por ende, el poder de decisión sobre la publicidad o información de datos relativos a su persona</w:t>
      </w:r>
      <w:r w:rsidRPr="00E813DF">
        <w:rPr>
          <w:rFonts w:ascii="Palatino Linotype" w:eastAsia="Palatino Linotype" w:hAnsi="Palatino Linotype" w:cs="Palatino Linotype"/>
          <w:i/>
          <w:iCs/>
          <w:sz w:val="22"/>
          <w:szCs w:val="22"/>
        </w:rPr>
        <w:t>, familia, pensamientos o sentimientos;</w:t>
      </w:r>
      <w:r w:rsidRPr="00E813DF">
        <w:rPr>
          <w:rFonts w:ascii="Palatino Linotype" w:eastAsia="Palatino Linotype" w:hAnsi="Palatino Linotype" w:cs="Palatino Linotype"/>
          <w:b/>
          <w:bCs/>
          <w:i/>
          <w:iCs/>
          <w:sz w:val="22"/>
          <w:szCs w:val="22"/>
        </w:rPr>
        <w:t xml:space="preserve"> </w:t>
      </w:r>
      <w:r w:rsidRPr="00E813DF">
        <w:rPr>
          <w:rFonts w:ascii="Palatino Linotype" w:eastAsia="Palatino Linotype" w:hAnsi="Palatino Linotype" w:cs="Palatino Linotype"/>
          <w:i/>
          <w:iCs/>
          <w:sz w:val="22"/>
          <w:szCs w:val="22"/>
        </w:rPr>
        <w:t xml:space="preserve">a la </w:t>
      </w:r>
      <w:r w:rsidRPr="00E813DF">
        <w:rPr>
          <w:rFonts w:ascii="Palatino Linotype" w:eastAsia="Palatino Linotype" w:hAnsi="Palatino Linotype" w:cs="Palatino Linotype"/>
          <w:b/>
          <w:bCs/>
          <w:i/>
          <w:iCs/>
          <w:sz w:val="22"/>
          <w:szCs w:val="22"/>
        </w:rPr>
        <w:t>propia imagen, como aquel derecho de decidir, en forma libre, sobre la manera en que elige mostrarse frente a los demás</w:t>
      </w:r>
      <w:r w:rsidRPr="00E813DF">
        <w:rPr>
          <w:rFonts w:ascii="Palatino Linotype" w:eastAsia="Palatino Linotype" w:hAnsi="Palatino Linotype" w:cs="Palatino Linotype"/>
          <w:i/>
          <w:iCs/>
          <w:sz w:val="22"/>
          <w:szCs w:val="22"/>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E813DF">
        <w:rPr>
          <w:rFonts w:ascii="Palatino Linotype" w:eastAsia="Palatino Linotype" w:hAnsi="Palatino Linotype" w:cs="Palatino Linotype"/>
          <w:b/>
          <w:bCs/>
          <w:i/>
          <w:iCs/>
          <w:sz w:val="22"/>
          <w:szCs w:val="22"/>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E813DF">
        <w:rPr>
          <w:rFonts w:ascii="Palatino Linotype" w:eastAsia="Palatino Linotype" w:hAnsi="Palatino Linotype" w:cs="Palatino Linotype"/>
          <w:i/>
          <w:iCs/>
          <w:sz w:val="22"/>
          <w:szCs w:val="22"/>
        </w:rPr>
        <w:t>”</w:t>
      </w:r>
    </w:p>
    <w:p w14:paraId="174AF6BC" w14:textId="77777777" w:rsidR="00304047" w:rsidRPr="00E813DF" w:rsidRDefault="00CA623F">
      <w:pPr>
        <w:spacing w:before="240" w:after="240" w:line="360" w:lineRule="auto"/>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sz w:val="22"/>
          <w:szCs w:val="22"/>
        </w:rPr>
        <w:t xml:space="preserve"> En ese sentido, es derecho de todo individuo a no ser conocido por otros en ciertos aspectos de su vida y, por ende, el poder de decisión sobre la publicidad o información de datos relativos a su persona </w:t>
      </w:r>
      <w:r w:rsidRPr="00E813DF">
        <w:rPr>
          <w:rFonts w:ascii="Palatino Linotype" w:eastAsia="Palatino Linotype" w:hAnsi="Palatino Linotype" w:cs="Palatino Linotype"/>
          <w:b/>
          <w:bCs/>
          <w:sz w:val="22"/>
          <w:szCs w:val="22"/>
        </w:rPr>
        <w:t>(derecho a la intimidad).</w:t>
      </w:r>
    </w:p>
    <w:p w14:paraId="31E8395A"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Asimismo, el </w:t>
      </w:r>
      <w:r w:rsidRPr="00E813DF">
        <w:rPr>
          <w:rFonts w:ascii="Palatino Linotype" w:eastAsia="Palatino Linotype" w:hAnsi="Palatino Linotype" w:cs="Palatino Linotype"/>
          <w:b/>
          <w:bCs/>
          <w:sz w:val="22"/>
          <w:szCs w:val="22"/>
        </w:rPr>
        <w:t>derecho a la propia imagen</w:t>
      </w:r>
      <w:r w:rsidRPr="00E813DF">
        <w:rPr>
          <w:rFonts w:ascii="Palatino Linotype" w:eastAsia="Palatino Linotype" w:hAnsi="Palatino Linotype" w:cs="Palatino Linotype"/>
          <w:sz w:val="22"/>
          <w:szCs w:val="22"/>
        </w:rPr>
        <w:t xml:space="preserve"> es el derecho de decidir, de forma libre, sobre la manera en que elige mostrarse frente a los demás.</w:t>
      </w:r>
    </w:p>
    <w:p w14:paraId="34ED0E3C"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otro lado, en cuanto al </w:t>
      </w:r>
      <w:r w:rsidRPr="00E813DF">
        <w:rPr>
          <w:rFonts w:ascii="Palatino Linotype" w:eastAsia="Palatino Linotype" w:hAnsi="Palatino Linotype" w:cs="Palatino Linotype"/>
          <w:b/>
          <w:bCs/>
          <w:sz w:val="22"/>
          <w:szCs w:val="22"/>
        </w:rPr>
        <w:t>derecho al honor</w:t>
      </w:r>
      <w:r w:rsidRPr="00E813DF">
        <w:rPr>
          <w:rFonts w:ascii="Palatino Linotype" w:eastAsia="Palatino Linotype" w:hAnsi="Palatino Linotype" w:cs="Palatino Linotype"/>
          <w:sz w:val="22"/>
          <w:szCs w:val="22"/>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0547D3CA" w14:textId="77777777" w:rsidR="00304047" w:rsidRPr="00E813DF" w:rsidRDefault="00CA623F">
      <w:pPr>
        <w:spacing w:before="240" w:after="240" w:line="360" w:lineRule="auto"/>
        <w:ind w:left="567" w:right="567"/>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 xml:space="preserve">DERECHO FUNDAMENTAL AL HONOR. SU DIMENSIÓN SUBJETIVA Y OBJETIVA. </w:t>
      </w:r>
      <w:r w:rsidRPr="00E813DF">
        <w:rPr>
          <w:rFonts w:ascii="Palatino Linotype" w:eastAsia="Palatino Linotype" w:hAnsi="Palatino Linotype" w:cs="Palatino Linotype"/>
          <w:i/>
          <w:iCs/>
          <w:sz w:val="22"/>
          <w:szCs w:val="22"/>
        </w:rPr>
        <w:t xml:space="preserve">A juicio de esta Primera Sala de la Suprema Corte de Justicia de la Nación, es posible definir al honor como el </w:t>
      </w:r>
      <w:r w:rsidRPr="00E813DF">
        <w:rPr>
          <w:rFonts w:ascii="Palatino Linotype" w:eastAsia="Palatino Linotype" w:hAnsi="Palatino Linotype" w:cs="Palatino Linotype"/>
          <w:b/>
          <w:bCs/>
          <w:i/>
          <w:iCs/>
          <w:sz w:val="22"/>
          <w:szCs w:val="22"/>
        </w:rPr>
        <w:t>concepto que la persona tiene de sí misma o que los demás se han formado de ella, en virtud de su proceder o de la expresión de su calidad ética y social.</w:t>
      </w:r>
      <w:r w:rsidRPr="00E813DF">
        <w:rPr>
          <w:rFonts w:ascii="Palatino Linotype" w:eastAsia="Palatino Linotype" w:hAnsi="Palatino Linotype" w:cs="Palatino Linotype"/>
          <w:i/>
          <w:iCs/>
          <w:sz w:val="22"/>
          <w:szCs w:val="22"/>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2F94A481"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la tesis transcrita se desprende que el honor es el concepto que la persona tiene de sí misma o que los demás se han formado de ella, en virtud de su proceder o de la expresión de su calidad ética y social. </w:t>
      </w:r>
    </w:p>
    <w:p w14:paraId="7477C493"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E813DF">
        <w:rPr>
          <w:rFonts w:ascii="Palatino Linotype" w:eastAsia="Palatino Linotype" w:hAnsi="Palatino Linotype" w:cs="Palatino Linotype"/>
          <w:b/>
          <w:bCs/>
          <w:sz w:val="22"/>
          <w:szCs w:val="22"/>
        </w:rPr>
        <w:t>En el aspecto objetivo, el honor es lesionado por todo aquello que afecta a la reputación que la persona merece.</w:t>
      </w:r>
    </w:p>
    <w:p w14:paraId="31BD21D5"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Adicionalmente, en relación a este derecho [al honor],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3FC7A78B" w14:textId="77777777" w:rsidR="00304047" w:rsidRPr="00E813DF" w:rsidRDefault="00CA623F">
      <w:pPr>
        <w:tabs>
          <w:tab w:val="left" w:pos="8363"/>
        </w:tabs>
        <w:spacing w:before="240" w:after="240" w:line="360" w:lineRule="auto"/>
        <w:ind w:left="567"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 xml:space="preserve">DERECHOS AL HONOR, A LA INTIMIDAD Y A LA PROPIA IMAGEN. CONSTITUYEN DERECHOS HUMANOS QUE SE PROTEGEN A TRAVÉS DEL ACTUAL MARCO CONSTITUCIONAL. </w:t>
      </w:r>
      <w:r w:rsidRPr="00E813DF">
        <w:rPr>
          <w:rFonts w:ascii="Palatino Linotype" w:eastAsia="Palatino Linotype" w:hAnsi="Palatino Linotype" w:cs="Palatino Linotype"/>
          <w:i/>
          <w:iCs/>
          <w:sz w:val="22"/>
          <w:szCs w:val="22"/>
        </w:rPr>
        <w:t>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14:paraId="69735E0E"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Asimismo, el artículo 12 de la Declaración Universal de los Derechos Humanos</w:t>
      </w: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sz w:val="22"/>
          <w:szCs w:val="22"/>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09EC21C5"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42D83E8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7CE2E70D"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lo expuesto, se desprende que dar a conocer pronunciamiento respecto a la existencia de un procedimiento de responsabilidad administrativa no grave, en su caso que exista, constituye información confidencial que afecta su esfera privada, puesto que podría generar una percepción negativa de éste, ocasionando un perjuicio en su </w:t>
      </w:r>
      <w:r w:rsidRPr="00E813DF">
        <w:rPr>
          <w:rFonts w:ascii="Palatino Linotype" w:eastAsia="Palatino Linotype" w:hAnsi="Palatino Linotype" w:cs="Palatino Linotype"/>
          <w:b/>
          <w:bCs/>
          <w:sz w:val="22"/>
          <w:szCs w:val="22"/>
        </w:rPr>
        <w:t>honor, intimidad y buena imagen</w:t>
      </w:r>
      <w:r w:rsidRPr="00E813DF">
        <w:rPr>
          <w:rFonts w:ascii="Palatino Linotype" w:eastAsia="Palatino Linotype" w:hAnsi="Palatino Linotype" w:cs="Palatino Linotype"/>
          <w:sz w:val="22"/>
          <w:szCs w:val="22"/>
        </w:rPr>
        <w:t xml:space="preserve">. </w:t>
      </w:r>
    </w:p>
    <w:p w14:paraId="27C6D828" w14:textId="77777777" w:rsidR="00304047" w:rsidRPr="00E813DF" w:rsidRDefault="00304047">
      <w:pPr>
        <w:spacing w:before="240" w:after="240" w:line="360" w:lineRule="auto"/>
        <w:jc w:val="both"/>
        <w:rPr>
          <w:rFonts w:ascii="Palatino Linotype" w:eastAsia="Palatino Linotype" w:hAnsi="Palatino Linotype" w:cs="Palatino Linotype"/>
          <w:sz w:val="22"/>
          <w:szCs w:val="22"/>
        </w:rPr>
      </w:pPr>
    </w:p>
    <w:p w14:paraId="125F48E1"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lo que, proporcionar el pronunciamiento, podría generar un juicio </w:t>
      </w:r>
      <w:r w:rsidRPr="00E813DF">
        <w:rPr>
          <w:rFonts w:ascii="Palatino Linotype" w:eastAsia="Palatino Linotype" w:hAnsi="Palatino Linotype" w:cs="Palatino Linotype"/>
          <w:i/>
          <w:iCs/>
          <w:sz w:val="22"/>
          <w:szCs w:val="22"/>
        </w:rPr>
        <w:t>a priori</w:t>
      </w:r>
      <w:r w:rsidRPr="00E813DF">
        <w:rPr>
          <w:rFonts w:ascii="Palatino Linotype" w:eastAsia="Palatino Linotype" w:hAnsi="Palatino Linotype" w:cs="Palatino Linotype"/>
          <w:sz w:val="22"/>
          <w:szCs w:val="22"/>
        </w:rPr>
        <w:t xml:space="preserve"> por parte de la sociedad, afectando su prestigio y su buen nombre, pues la sociedad podría calificar a dichos servidores públicos, con prerrogativas que lo desestimen. </w:t>
      </w:r>
    </w:p>
    <w:p w14:paraId="6C7BAB1D"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lo cual, se considera procedente la clasificación, en términos del artículo 143, fracción I, de la Ley de Transparencia y Acceso a la Información Pública del Estado de México y Municipios, del pronunciamiento en sentido afirmativo o negativo, referente a la existencia de un procedimiento de responsabilidad administrativa por falta administrativa no grave, concluido absolutorio o condenatorio.</w:t>
      </w:r>
    </w:p>
    <w:p w14:paraId="5F606D65" w14:textId="77777777" w:rsidR="00304047" w:rsidRPr="00E813DF" w:rsidRDefault="00CA623F">
      <w:pPr>
        <w:numPr>
          <w:ilvl w:val="0"/>
          <w:numId w:val="13"/>
        </w:numPr>
        <w:tabs>
          <w:tab w:val="left" w:pos="3962"/>
        </w:tabs>
        <w:spacing w:before="240" w:line="360" w:lineRule="auto"/>
        <w:ind w:left="284"/>
        <w:jc w:val="both"/>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Procedimiento concluido absolutorio.</w:t>
      </w:r>
    </w:p>
    <w:p w14:paraId="1151B142" w14:textId="77777777" w:rsidR="00304047" w:rsidRPr="00E813DF" w:rsidRDefault="00CA623F">
      <w:pPr>
        <w:tabs>
          <w:tab w:val="left" w:pos="3962"/>
        </w:tabs>
        <w:spacing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Al respecto, es señalar que pronunciarse sobre la existencia de un procedimiento de responsabilidad concluido absolutorio, podría generar una percepción negativa de los servidores públicos, pues si bien, no se le sancionó, lo cierto es que daría a conocer que fueron investigados por el Órgano Interno de Control, lo cual podría afectar su honor, intimidad, buena imagen y nombre, así como a su vida privada.</w:t>
      </w:r>
    </w:p>
    <w:p w14:paraId="0609E43B" w14:textId="77777777" w:rsidR="00304047" w:rsidRPr="00E813DF" w:rsidRDefault="00CA623F">
      <w:pPr>
        <w:tabs>
          <w:tab w:val="left" w:pos="3962"/>
        </w:tabs>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lo que, en su caso, resulta procedente la clasificación en términos del artículo 143, fracción I, de la Ley de Transparencia y Acceso a la Información Pública del Estado de México y Municipios, del pronunciamiento de la existencia o no del procedimiento de responsabilidad administrativa concluido absolutorio, instaurado en contra de los titulares de las unidades administrativas del ayuntamiento. </w:t>
      </w:r>
    </w:p>
    <w:p w14:paraId="44856833" w14:textId="77777777" w:rsidR="00304047" w:rsidRPr="00E813DF" w:rsidRDefault="00CA623F">
      <w:pPr>
        <w:numPr>
          <w:ilvl w:val="0"/>
          <w:numId w:val="11"/>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u w:val="single"/>
        </w:rPr>
      </w:pPr>
      <w:r w:rsidRPr="00E813DF">
        <w:rPr>
          <w:rFonts w:ascii="Palatino Linotype" w:eastAsia="Palatino Linotype" w:hAnsi="Palatino Linotype" w:cs="Palatino Linotype"/>
          <w:b/>
          <w:bCs/>
          <w:sz w:val="22"/>
          <w:szCs w:val="22"/>
          <w:u w:val="single"/>
        </w:rPr>
        <w:t xml:space="preserve">Quejas en contra de los titulares de las Unidades Administrativas, ante la Derechos Humanos. </w:t>
      </w:r>
    </w:p>
    <w:p w14:paraId="4CFB5248"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Derivado de la naturaleza de la información requerida, es necesario traer a contexto la Ley Orgánica Municipal del Estado de México, que contiene lo siguiente:</w:t>
      </w:r>
    </w:p>
    <w:p w14:paraId="60906141" w14:textId="77777777" w:rsidR="00304047" w:rsidRPr="00E813DF" w:rsidRDefault="00CA623F">
      <w:pPr>
        <w:numPr>
          <w:ilvl w:val="0"/>
          <w:numId w:val="11"/>
        </w:numPr>
        <w:pBdr>
          <w:top w:val="nil"/>
          <w:left w:val="nil"/>
          <w:bottom w:val="nil"/>
          <w:right w:val="nil"/>
          <w:between w:val="nil"/>
        </w:pBdr>
        <w:spacing w:before="240" w:after="240" w:line="360" w:lineRule="auto"/>
        <w:ind w:right="49"/>
        <w:jc w:val="center"/>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CAPÍTULO TERCERO</w:t>
      </w:r>
    </w:p>
    <w:p w14:paraId="1DEFF74C" w14:textId="77777777" w:rsidR="00304047" w:rsidRPr="00E813DF" w:rsidRDefault="00CA623F">
      <w:pPr>
        <w:spacing w:before="240" w:after="240" w:line="360" w:lineRule="auto"/>
        <w:ind w:left="360" w:right="49"/>
        <w:jc w:val="center"/>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ATRIBUCIONES DE LOS AYUNTAMIENTOS</w:t>
      </w:r>
    </w:p>
    <w:p w14:paraId="19EEDBAE"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Artículo 31.- Son atribuciones de los ayuntamientos:</w:t>
      </w:r>
    </w:p>
    <w:p w14:paraId="7B6E571B"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5310B027"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IX Bis. Crear en el ámbito de sus respectivas competencias una Defensoría Municipal de Derechos Humanos, la cual gozará de autonomía en sus decisiones y en el ejercicio de presupuesto;</w:t>
      </w:r>
    </w:p>
    <w:p w14:paraId="4242A00F"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11033BC4" w14:textId="77777777" w:rsidR="00304047" w:rsidRPr="00E813DF" w:rsidRDefault="00304047">
      <w:pPr>
        <w:spacing w:before="240" w:after="240" w:line="360" w:lineRule="auto"/>
        <w:ind w:left="360" w:right="843"/>
        <w:jc w:val="both"/>
        <w:rPr>
          <w:rFonts w:ascii="Palatino Linotype" w:eastAsia="Palatino Linotype" w:hAnsi="Palatino Linotype" w:cs="Palatino Linotype"/>
          <w:i/>
          <w:iCs/>
          <w:sz w:val="22"/>
          <w:szCs w:val="22"/>
        </w:rPr>
      </w:pPr>
    </w:p>
    <w:p w14:paraId="44187949"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Artículo 147 C.- La Defensoría Municipal de los Derechos Humanos para el ejercicio de sus funciones debe coordinarse con la Comisión de Derechos Humanos del Estado de México.</w:t>
      </w:r>
    </w:p>
    <w:p w14:paraId="79F1D05D" w14:textId="77777777" w:rsidR="00304047" w:rsidRPr="00E813DF" w:rsidRDefault="00304047">
      <w:pPr>
        <w:spacing w:before="240" w:after="240" w:line="360" w:lineRule="auto"/>
        <w:ind w:left="360" w:right="843"/>
        <w:jc w:val="both"/>
        <w:rPr>
          <w:rFonts w:ascii="Palatino Linotype" w:eastAsia="Palatino Linotype" w:hAnsi="Palatino Linotype" w:cs="Palatino Linotype"/>
          <w:i/>
          <w:iCs/>
          <w:sz w:val="22"/>
          <w:szCs w:val="22"/>
        </w:rPr>
      </w:pPr>
    </w:p>
    <w:p w14:paraId="4CD380BC"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Artículo 147 K.- Son atribuciones del Defensor Municipal de Derechos Humanos: </w:t>
      </w:r>
    </w:p>
    <w:p w14:paraId="68FE9D5D" w14:textId="77777777" w:rsidR="00304047" w:rsidRPr="00E813DF" w:rsidRDefault="00CA623F">
      <w:pPr>
        <w:spacing w:before="240" w:after="240" w:line="360" w:lineRule="auto"/>
        <w:ind w:left="360" w:right="843"/>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xml:space="preserve">I. Recibir las quejas de la población de su municipalidad y remitirlas a la Comisión de Derechos Humanos del Estado de México, por conducto de sus visitadurías, en términos de la normatividad aplicable; </w:t>
      </w:r>
    </w:p>
    <w:p w14:paraId="0AE7D64D" w14:textId="77777777" w:rsidR="00304047" w:rsidRPr="00E813DF" w:rsidRDefault="00CA623F">
      <w:pPr>
        <w:spacing w:before="240" w:after="240" w:line="360" w:lineRule="auto"/>
        <w:ind w:left="360" w:right="843"/>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II. Informar a la Comisión de Derechos Humanos del Estado, acerca de presumibles violaciones a los derechos humanos por actos u omisiones de naturaleza administrativa de cualquier autoridad o servidor público que residan en el municipio de su adscripción;</w:t>
      </w:r>
    </w:p>
    <w:p w14:paraId="7B14EF75" w14:textId="77777777" w:rsidR="00304047" w:rsidRPr="00E813DF" w:rsidRDefault="00CA623F">
      <w:pPr>
        <w:spacing w:before="240" w:after="240" w:line="360" w:lineRule="auto"/>
        <w:ind w:left="360" w:right="843"/>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xml:space="preserve">III. Observar que la autoridad municipal rinda de manera oportuna y veraz los informes que solicite la Comisión de Derechos Humanos; </w:t>
      </w:r>
    </w:p>
    <w:p w14:paraId="6D335124" w14:textId="77777777" w:rsidR="00304047" w:rsidRPr="00E813DF" w:rsidRDefault="00CA623F">
      <w:pPr>
        <w:spacing w:before="240" w:after="240" w:line="360" w:lineRule="auto"/>
        <w:ind w:left="360" w:right="843"/>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xml:space="preserve">IV. Verificar que las medidas precautorias o cautelares solicitadas por la Comisión de Derechos Humanos del Estado de México sean cumplidas en sus términos, una vez aceptadas por la autoridad dentro de su municipio; </w:t>
      </w:r>
    </w:p>
    <w:p w14:paraId="64BCB2CF"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V. Elaborar acta circunstanciada por hechos que puedan ser considerados violatorios de derechos humanos que ocurran dentro de su adscripción, teniendo fe pública solo para ese efecto, debiendo remitirla a la Visitaduría correspondiente dentro de las 24 horas siguientes; </w:t>
      </w:r>
    </w:p>
    <w:p w14:paraId="36249C39"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VI. Practicar conjuntamente con el Visitador respectivo las conciliaciones y mediaciones que se deriven de las quejas de las que tenga conocimiento, conforme lo establecen la Ley de la Comisión de Derechos Humanos del Estado de México y su reglamento; </w:t>
      </w:r>
    </w:p>
    <w:p w14:paraId="3589F533" w14:textId="77777777" w:rsidR="00304047" w:rsidRPr="00E813DF" w:rsidRDefault="00CA623F">
      <w:pPr>
        <w:spacing w:before="240" w:after="240" w:line="360" w:lineRule="auto"/>
        <w:ind w:left="360" w:right="843"/>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xml:space="preserve">VII. Coadyuvar con la Comisión de Derechos Humanos del Estado de México en el seguimiento de las recomendaciones que el organismo dicte en contra de autoridades o servidores públicos que residan o ejerzan funciones dentro del municipio; </w:t>
      </w:r>
    </w:p>
    <w:p w14:paraId="08906BBD"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VIII. Proponer medidas administrativas a los servidores públicos para que durante el desempeño de sus funciones, actúen con pleno respeto a los derechos humanos; </w:t>
      </w:r>
    </w:p>
    <w:p w14:paraId="2781ECB5"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IX. Desarrollar programas y acciones tendentes a promover los derechos humanos; </w:t>
      </w:r>
    </w:p>
    <w:p w14:paraId="3E629453"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X. Fomentar y difundir la práctica de los derechos humanos con la participación de organismos no gubernamentales del municipio; </w:t>
      </w:r>
    </w:p>
    <w:p w14:paraId="66E1134F"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XI. Participar en las acciones y programas de los organismos no gubernamentales de derechos humanos de su municipio, así como supervisar las actividades y evento que éstos realicen; </w:t>
      </w:r>
    </w:p>
    <w:p w14:paraId="63AEB1C3"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XII. Asesorar y orientar a los habitantes de su municipio, en especial a los menores, mujeres, adultos mayores, personas en discapacidad, indígenas y detenidos o arrestados, a fin de que les sean respetados sus derechos humanos; </w:t>
      </w:r>
    </w:p>
    <w:p w14:paraId="3FE66D8A"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XIII. Participar, promover y fomentar los cursos de capacitación que imparta la Comisión de Derechos Humanos del Estado de México; </w:t>
      </w:r>
    </w:p>
    <w:p w14:paraId="06052FF6"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XIV. Coordinar acciones con autoridades de salud, de seguridad pública estatal y otras que correspondan, para supervisar que en los centros de atención de adicciones de su municipio no se vulneren los derechos humanos de las personas que se encuentran internadas en los mismos; </w:t>
      </w:r>
    </w:p>
    <w:p w14:paraId="100DA844"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XV. Supervisar las comandancias y cárceles municipales, a fin de verificar que cuenten con las condiciones necesarias para realizar sus funciones y no se vulneren los derechos humanos de las personas privadas de su libertad; </w:t>
      </w:r>
    </w:p>
    <w:p w14:paraId="76FCFF82"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XVI. Realizar investigaciones y diagnósticos en materia económica, social, cultural y ambiental, relacionados con la observancia y vigencia de los derechos humanos, para el planteamiento de políticas públicas y programas que se traduzcan en acciones que en la esfera de su competencia aplique el municipio, informando de ello a la Comisión de Derechos Humanos del Estado de México;</w:t>
      </w:r>
    </w:p>
    <w:p w14:paraId="62E31104"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XVII. Proponer a la autoridad municipal y comprometer que privilegie la adopción de medidas para el ejercicio de los derechos siguientes: de protección y asistencia a la familia, a la alimentación, a la vivienda, a la salud, a la educación, a la cultura y a un medio ambiente sano, a partir de un mínimo universal existente que registre avances y nunca retrocesos; </w:t>
      </w:r>
    </w:p>
    <w:p w14:paraId="3C10AAC8"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XVIII. Promover los derechos de la niñez, de los adolescentes, de la mujer, de los adultos mayores, de las personas en discapacidad, de los indígenas y en sí, de todos los grupos vulnerables; y </w:t>
      </w:r>
    </w:p>
    <w:p w14:paraId="66749CCF"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XIX. Las demás que les confiera esta Ley, otras disposiciones y la Comisión de Derechos Humanos del Estado de México. </w:t>
      </w:r>
    </w:p>
    <w:p w14:paraId="22B0AF75" w14:textId="77777777" w:rsidR="00304047" w:rsidRPr="00E813DF" w:rsidRDefault="00304047">
      <w:pPr>
        <w:spacing w:before="240" w:after="240" w:line="360" w:lineRule="auto"/>
        <w:ind w:left="360" w:right="843"/>
        <w:jc w:val="both"/>
        <w:rPr>
          <w:rFonts w:ascii="Palatino Linotype" w:eastAsia="Palatino Linotype" w:hAnsi="Palatino Linotype" w:cs="Palatino Linotype"/>
          <w:i/>
          <w:iCs/>
          <w:sz w:val="22"/>
          <w:szCs w:val="22"/>
        </w:rPr>
      </w:pPr>
    </w:p>
    <w:p w14:paraId="6F47D173" w14:textId="77777777" w:rsidR="00304047" w:rsidRPr="00E813DF" w:rsidRDefault="00CA623F">
      <w:pPr>
        <w:spacing w:before="240" w:after="240" w:line="360" w:lineRule="auto"/>
        <w:ind w:left="360" w:right="843"/>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xml:space="preserve">Artículo 147 L.- El Defensor Municipal de Derechos Humanos deberá coordinar sus acciones con la Comisión de Derechos Humanos del Estado de México, a través del Visitador General de la región a la que corresponda el municipio. </w:t>
      </w:r>
    </w:p>
    <w:p w14:paraId="313B2097" w14:textId="77777777" w:rsidR="00304047" w:rsidRPr="00E813DF" w:rsidRDefault="00304047">
      <w:pPr>
        <w:spacing w:before="240" w:after="240" w:line="360" w:lineRule="auto"/>
        <w:ind w:left="360" w:right="843"/>
        <w:jc w:val="both"/>
        <w:rPr>
          <w:rFonts w:ascii="Palatino Linotype" w:eastAsia="Palatino Linotype" w:hAnsi="Palatino Linotype" w:cs="Palatino Linotype"/>
          <w:i/>
          <w:iCs/>
          <w:sz w:val="22"/>
          <w:szCs w:val="22"/>
        </w:rPr>
      </w:pPr>
    </w:p>
    <w:p w14:paraId="445E056A"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Artículo 147 M.- El Defensor Municipal de Derechos Humanos ejercerá el presupuesto que le asigne el ayuntamiento, con sujeción a políticas de racionalidad, austeridad y disciplina presupuestal. Para tal efecto, el ayuntamiento anualmente deberá incluir en su presupuesto de egresos, las partidas correspondientes a la operatividad de la Defensoría Municipal de Derechos Humanos. </w:t>
      </w:r>
    </w:p>
    <w:p w14:paraId="66029510" w14:textId="77777777" w:rsidR="00304047" w:rsidRPr="00E813DF" w:rsidRDefault="00304047">
      <w:pPr>
        <w:spacing w:before="240" w:after="240" w:line="360" w:lineRule="auto"/>
        <w:ind w:left="360" w:right="843"/>
        <w:jc w:val="both"/>
        <w:rPr>
          <w:rFonts w:ascii="Palatino Linotype" w:eastAsia="Palatino Linotype" w:hAnsi="Palatino Linotype" w:cs="Palatino Linotype"/>
          <w:i/>
          <w:iCs/>
          <w:sz w:val="22"/>
          <w:szCs w:val="22"/>
        </w:rPr>
      </w:pPr>
    </w:p>
    <w:p w14:paraId="0C1D73B0"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Artículo 147 N.- El Defensor Municipal de Derechos Humanos presentará por escrito al ayuntamiento, un informe anual sobre las actividades que haya realizado en el periodo inmediato anterior, del que turnará copia a la Comisión de Derechos Humanos de la entidad. </w:t>
      </w:r>
    </w:p>
    <w:p w14:paraId="60EBD77D" w14:textId="77777777" w:rsidR="00304047" w:rsidRPr="00E813DF" w:rsidRDefault="00304047">
      <w:pPr>
        <w:spacing w:before="240" w:after="240" w:line="360" w:lineRule="auto"/>
        <w:ind w:left="360" w:right="843"/>
        <w:jc w:val="both"/>
        <w:rPr>
          <w:rFonts w:ascii="Palatino Linotype" w:eastAsia="Palatino Linotype" w:hAnsi="Palatino Linotype" w:cs="Palatino Linotype"/>
          <w:i/>
          <w:iCs/>
          <w:sz w:val="22"/>
          <w:szCs w:val="22"/>
        </w:rPr>
      </w:pPr>
    </w:p>
    <w:p w14:paraId="52B6CB39" w14:textId="77777777" w:rsidR="00304047" w:rsidRPr="00E813DF" w:rsidRDefault="00CA623F">
      <w:pPr>
        <w:spacing w:before="240" w:after="240" w:line="360" w:lineRule="auto"/>
        <w:ind w:left="360" w:right="843"/>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Artículo 147 O.- Corresponderá a la Comisión de Derechos Humanos del Estado de México expedir las disposiciones que reglamenten la organización y funcionamiento de las Defensorías Municipales de Derechos Humanos.</w:t>
      </w:r>
    </w:p>
    <w:p w14:paraId="499F2A5D" w14:textId="77777777" w:rsidR="00304047" w:rsidRPr="00E813DF" w:rsidRDefault="00304047">
      <w:pPr>
        <w:spacing w:before="240" w:after="240" w:line="360" w:lineRule="auto"/>
        <w:ind w:left="360" w:right="49"/>
        <w:jc w:val="both"/>
        <w:rPr>
          <w:rFonts w:ascii="Palatino Linotype" w:eastAsia="Palatino Linotype" w:hAnsi="Palatino Linotype" w:cs="Palatino Linotype"/>
          <w:sz w:val="22"/>
          <w:szCs w:val="22"/>
        </w:rPr>
      </w:pPr>
    </w:p>
    <w:p w14:paraId="7A2917C2" w14:textId="77777777" w:rsidR="00304047" w:rsidRPr="00E813DF" w:rsidRDefault="00CA623F">
      <w:pPr>
        <w:spacing w:before="240" w:after="240" w:line="360" w:lineRule="auto"/>
        <w:ind w:left="360"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Tal y como se aprecia, la normatividad en cita, establece que corresponde al Ayuntamiento crear la Defensoría Municipal de Derechos Humanos, la cual tiene entre sus atribuciones recibir las quejas de la población y remitirlas a la Comisión de Derechos Humanos del Estado de México por conducto de sus visitadurías; informar, acerca de presumibles violaciones a los derechos humanos por actos u omisiones de naturaleza administrativa de cualquier autoridad o servidor público que resida en el municipio; y, coadyuvar con la Comisión  en el seguimiento de las recomendaciones que el organismo dicte en contra de las autoridades o servidores públicos que residan o ejerzan funciones dentro del municipio.</w:t>
      </w:r>
    </w:p>
    <w:p w14:paraId="158175D9" w14:textId="77777777" w:rsidR="00304047" w:rsidRPr="00E813DF" w:rsidRDefault="00CA623F">
      <w:pPr>
        <w:spacing w:before="240" w:after="240" w:line="360" w:lineRule="auto"/>
        <w:ind w:left="360"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Dicho lo anterior, es necesario traer a contexto el Reglamento Interno de la Comisión de Derechos Humanos del Estado de México en sus artículos 5, 7 y 14, cuyo contenido es el siguiente:</w:t>
      </w:r>
    </w:p>
    <w:p w14:paraId="2292CFCA" w14:textId="77777777" w:rsidR="00304047" w:rsidRPr="00E813DF" w:rsidRDefault="00CA623F">
      <w:pPr>
        <w:spacing w:before="240" w:after="240" w:line="360" w:lineRule="auto"/>
        <w:ind w:left="360" w:right="567"/>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I. Primera Visitaduría General;</w:t>
      </w:r>
    </w:p>
    <w:p w14:paraId="753A3692" w14:textId="77777777" w:rsidR="00304047" w:rsidRPr="00E813DF" w:rsidRDefault="00CA623F">
      <w:pPr>
        <w:spacing w:before="240" w:after="240" w:line="360" w:lineRule="auto"/>
        <w:ind w:left="360" w:right="567"/>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I Bis. Segunda Visitaduría General;</w:t>
      </w:r>
    </w:p>
    <w:p w14:paraId="554C7619" w14:textId="77777777" w:rsidR="00304047" w:rsidRPr="00E813DF" w:rsidRDefault="00CA623F">
      <w:pPr>
        <w:spacing w:before="240" w:after="240" w:line="360" w:lineRule="auto"/>
        <w:ind w:left="360"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 Secretaría General;</w:t>
      </w:r>
    </w:p>
    <w:p w14:paraId="715B8F0C" w14:textId="77777777" w:rsidR="00304047" w:rsidRPr="00E813DF" w:rsidRDefault="00CA623F">
      <w:pPr>
        <w:spacing w:before="240" w:after="240" w:line="360" w:lineRule="auto"/>
        <w:ind w:left="360"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III. Dirección General de Administración y Finanzas;</w:t>
      </w:r>
    </w:p>
    <w:p w14:paraId="608BA3C3" w14:textId="77777777" w:rsidR="00304047" w:rsidRPr="00E813DF" w:rsidRDefault="00CA623F">
      <w:pPr>
        <w:spacing w:before="240" w:after="240" w:line="360" w:lineRule="auto"/>
        <w:ind w:left="360"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IV. Áreas de apoyo de la Presidencia;</w:t>
      </w:r>
    </w:p>
    <w:p w14:paraId="681658F6" w14:textId="77777777" w:rsidR="00304047" w:rsidRPr="00E813DF" w:rsidRDefault="00CA623F">
      <w:pPr>
        <w:spacing w:before="240" w:after="240" w:line="360" w:lineRule="auto"/>
        <w:ind w:left="360" w:right="567"/>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V. Visitadurías Generales;</w:t>
      </w:r>
    </w:p>
    <w:p w14:paraId="3C5FCF80" w14:textId="77777777" w:rsidR="00304047" w:rsidRPr="00E813DF" w:rsidRDefault="00CA623F">
      <w:pPr>
        <w:spacing w:before="240" w:after="240" w:line="360" w:lineRule="auto"/>
        <w:ind w:left="360"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 Órgano Interno de Control;</w:t>
      </w:r>
    </w:p>
    <w:p w14:paraId="42A83E30" w14:textId="77777777" w:rsidR="00304047" w:rsidRPr="00E813DF" w:rsidRDefault="00CA623F">
      <w:pPr>
        <w:spacing w:before="240" w:after="240" w:line="360" w:lineRule="auto"/>
        <w:ind w:left="360"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VII. Instituto de Investigaciones y Formación en Derechos Humanos; y</w:t>
      </w:r>
    </w:p>
    <w:p w14:paraId="4B66855D" w14:textId="77777777" w:rsidR="00304047" w:rsidRPr="00E813DF" w:rsidRDefault="00CA623F">
      <w:pPr>
        <w:spacing w:before="240" w:after="240" w:line="360" w:lineRule="auto"/>
        <w:ind w:left="360"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VIII. Unidad de Servicios, Orientación y Recepción de Quejas.</w:t>
      </w:r>
    </w:p>
    <w:p w14:paraId="37171707" w14:textId="77777777" w:rsidR="00304047" w:rsidRPr="00E813DF" w:rsidRDefault="00CA623F">
      <w:pPr>
        <w:spacing w:before="240" w:after="240" w:line="360" w:lineRule="auto"/>
        <w:ind w:left="360"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Artículo 7.-</w:t>
      </w: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b/>
          <w:bCs/>
          <w:i/>
          <w:iCs/>
          <w:sz w:val="22"/>
          <w:szCs w:val="22"/>
        </w:rPr>
        <w:t>Para la atención de quejas</w:t>
      </w:r>
      <w:r w:rsidRPr="00E813DF">
        <w:rPr>
          <w:rFonts w:ascii="Palatino Linotype" w:eastAsia="Palatino Linotype" w:hAnsi="Palatino Linotype" w:cs="Palatino Linotype"/>
          <w:i/>
          <w:iCs/>
          <w:sz w:val="22"/>
          <w:szCs w:val="22"/>
        </w:rPr>
        <w:t xml:space="preserve"> y denuncias por violaciones a derechos humanos, así como para el despacho de los asuntos competencia del Organismo, y los que señale la Presidencia; </w:t>
      </w:r>
      <w:r w:rsidRPr="00E813DF">
        <w:rPr>
          <w:rFonts w:ascii="Palatino Linotype" w:eastAsia="Palatino Linotype" w:hAnsi="Palatino Linotype" w:cs="Palatino Linotype"/>
          <w:b/>
          <w:bCs/>
          <w:i/>
          <w:iCs/>
          <w:sz w:val="22"/>
          <w:szCs w:val="22"/>
        </w:rPr>
        <w:t>la Primera Visitaduría General y la Segunda Visitaduría General, contarán con las Visitadurías</w:t>
      </w:r>
      <w:r w:rsidRPr="00E813DF">
        <w:rPr>
          <w:rFonts w:ascii="Palatino Linotype" w:eastAsia="Palatino Linotype" w:hAnsi="Palatino Linotype" w:cs="Palatino Linotype"/>
          <w:i/>
          <w:iCs/>
          <w:sz w:val="22"/>
          <w:szCs w:val="22"/>
        </w:rPr>
        <w:t>, así como con las unidades administrativas que las necesidades del servicio requiera.</w:t>
      </w:r>
    </w:p>
    <w:p w14:paraId="0BDB4402" w14:textId="77777777" w:rsidR="00304047" w:rsidRPr="00E813DF" w:rsidRDefault="00CA623F">
      <w:pPr>
        <w:spacing w:before="240" w:after="240" w:line="360" w:lineRule="auto"/>
        <w:ind w:left="360" w:right="567"/>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Atribuciones de las Visitadurías Generales</w:t>
      </w:r>
    </w:p>
    <w:p w14:paraId="75CCB9BE" w14:textId="77777777" w:rsidR="00304047" w:rsidRPr="00E813DF" w:rsidRDefault="00CA623F">
      <w:pPr>
        <w:spacing w:before="240" w:after="240" w:line="360" w:lineRule="auto"/>
        <w:ind w:left="360" w:right="567"/>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Artículo 14.-</w:t>
      </w:r>
      <w:r w:rsidRPr="00E813DF">
        <w:rPr>
          <w:rFonts w:ascii="Palatino Linotype" w:eastAsia="Palatino Linotype" w:hAnsi="Palatino Linotype" w:cs="Palatino Linotype"/>
          <w:i/>
          <w:iCs/>
          <w:sz w:val="22"/>
          <w:szCs w:val="22"/>
        </w:rPr>
        <w:t xml:space="preserve"> Las </w:t>
      </w:r>
      <w:r w:rsidRPr="00E813DF">
        <w:rPr>
          <w:rFonts w:ascii="Palatino Linotype" w:eastAsia="Palatino Linotype" w:hAnsi="Palatino Linotype" w:cs="Palatino Linotype"/>
          <w:b/>
          <w:bCs/>
          <w:i/>
          <w:iCs/>
          <w:sz w:val="22"/>
          <w:szCs w:val="22"/>
        </w:rPr>
        <w:t>Visitadurías Generales</w:t>
      </w:r>
      <w:r w:rsidRPr="00E813DF">
        <w:rPr>
          <w:rFonts w:ascii="Palatino Linotype" w:eastAsia="Palatino Linotype" w:hAnsi="Palatino Linotype" w:cs="Palatino Linotype"/>
          <w:i/>
          <w:iCs/>
          <w:sz w:val="22"/>
          <w:szCs w:val="22"/>
        </w:rPr>
        <w:t xml:space="preserve">, además de las facultades y obligaciones señaladas en la Ley, </w:t>
      </w:r>
      <w:r w:rsidRPr="00E813DF">
        <w:rPr>
          <w:rFonts w:ascii="Palatino Linotype" w:eastAsia="Palatino Linotype" w:hAnsi="Palatino Linotype" w:cs="Palatino Linotype"/>
          <w:i/>
          <w:iCs/>
          <w:sz w:val="22"/>
          <w:szCs w:val="22"/>
          <w:u w:val="single"/>
        </w:rPr>
        <w:t xml:space="preserve">conocerán de los asuntos y </w:t>
      </w:r>
      <w:r w:rsidRPr="00E813DF">
        <w:rPr>
          <w:rFonts w:ascii="Palatino Linotype" w:eastAsia="Palatino Linotype" w:hAnsi="Palatino Linotype" w:cs="Palatino Linotype"/>
          <w:b/>
          <w:bCs/>
          <w:i/>
          <w:iCs/>
          <w:sz w:val="22"/>
          <w:szCs w:val="22"/>
          <w:u w:val="single"/>
        </w:rPr>
        <w:t>procedimientos que establezcan otras regulaciones, relacionados con presuntas violaciones a derechos humanos</w:t>
      </w:r>
      <w:r w:rsidRPr="00E813DF">
        <w:rPr>
          <w:rFonts w:ascii="Palatino Linotype" w:eastAsia="Palatino Linotype" w:hAnsi="Palatino Linotype" w:cs="Palatino Linotype"/>
          <w:i/>
          <w:iCs/>
          <w:sz w:val="22"/>
          <w:szCs w:val="22"/>
          <w:u w:val="single"/>
        </w:rPr>
        <w:t xml:space="preserve"> competencia del Organismo</w:t>
      </w:r>
      <w:r w:rsidRPr="00E813DF">
        <w:rPr>
          <w:rFonts w:ascii="Palatino Linotype" w:eastAsia="Palatino Linotype" w:hAnsi="Palatino Linotype" w:cs="Palatino Linotype"/>
          <w:i/>
          <w:iCs/>
          <w:sz w:val="22"/>
          <w:szCs w:val="22"/>
        </w:rPr>
        <w:t>.</w:t>
      </w:r>
    </w:p>
    <w:p w14:paraId="49FEB6FE"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los preceptos legales normativos se indica que las unidades administrativas con las que cuenta el Sujeto Obligado y que de acuerdo a sus facultades y atribuciones, son las encargadas </w:t>
      </w:r>
      <w:r w:rsidRPr="00E813DF">
        <w:rPr>
          <w:rFonts w:ascii="Palatino Linotype" w:eastAsia="Palatino Linotype" w:hAnsi="Palatino Linotype" w:cs="Palatino Linotype"/>
          <w:b/>
          <w:bCs/>
          <w:sz w:val="22"/>
          <w:szCs w:val="22"/>
        </w:rPr>
        <w:t>de llevar a cabo los procedimientos relacionados con presuntas violaciones a derechos humanos</w:t>
      </w:r>
      <w:r w:rsidRPr="00E813DF">
        <w:rPr>
          <w:rFonts w:ascii="Palatino Linotype" w:eastAsia="Palatino Linotype" w:hAnsi="Palatino Linotype" w:cs="Palatino Linotype"/>
          <w:sz w:val="22"/>
          <w:szCs w:val="22"/>
        </w:rPr>
        <w:t xml:space="preserve"> son las Visitadurías Generales de las que se encuentran a cargo Primera Visitaduría General y Segunda Visitaduría General, las cuales coadyuvarán con las Defensorías Municipales de Derechos Humanos para el seguimiento a las recomendaciones que al respecto se emitan.</w:t>
      </w:r>
    </w:p>
    <w:p w14:paraId="4BBF099C" w14:textId="77777777" w:rsidR="00304047" w:rsidRPr="00E813DF" w:rsidRDefault="00304047">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sz w:val="22"/>
          <w:szCs w:val="22"/>
        </w:rPr>
      </w:pPr>
    </w:p>
    <w:p w14:paraId="7AE08F9E"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lo anteriormente expuesto, se determina que existe fuente obligacional de las Defensorías Municipales no sólo de recibir quejas por presumibles violaciones a derechos humanos y remitirlas a la Comisión, sino también de dar seguimiento a las recomendaciones que emita el Organismo.</w:t>
      </w:r>
    </w:p>
    <w:p w14:paraId="13F29A76"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bookmarkStart w:id="15" w:name="_heading=h.4oj8h7vfmpua" w:colFirst="0" w:colLast="0"/>
      <w:bookmarkEnd w:id="15"/>
      <w:r w:rsidRPr="00E813DF">
        <w:rPr>
          <w:rFonts w:ascii="Palatino Linotype" w:eastAsia="Palatino Linotype" w:hAnsi="Palatino Linotype" w:cs="Palatino Linotype"/>
          <w:sz w:val="22"/>
          <w:szCs w:val="22"/>
        </w:rPr>
        <w:t>No obstante, tal como en el caso de procedimientos administrativos analizados anteriormente, al tratase de información vinculada con determinados servidores públicos, procede la clasificación en términos del artículo 143, fracción I, de la Ley de Transparencia y Acceso a la Información Pública del Estado de México y Municipios, del pronunciamiento de la existencia o no quejas presentadas ante la Defensoría Municipal de Derechos Humanos en trámite, o  concluidos sin recomendación o bien la recomendación no se relacione con alguno de los actos establecidos en el artículo 142 de la Ley de Transparencia, instaurado en contra de los titulares de las unidades administrativas del ayuntamiento.</w:t>
      </w:r>
    </w:p>
    <w:p w14:paraId="5D1C504C" w14:textId="77777777" w:rsidR="00304047" w:rsidRPr="00E813DF" w:rsidRDefault="00CA623F">
      <w:pPr>
        <w:spacing w:before="240" w:after="240" w:line="360" w:lineRule="auto"/>
        <w:ind w:right="-93"/>
        <w:jc w:val="both"/>
        <w:rPr>
          <w:rFonts w:ascii="Palatino Linotype" w:eastAsia="Palatino Linotype" w:hAnsi="Palatino Linotype" w:cs="Palatino Linotype"/>
          <w:sz w:val="22"/>
          <w:szCs w:val="22"/>
        </w:rPr>
      </w:pPr>
      <w:bookmarkStart w:id="16" w:name="_heading=h.lwlr1n8ffw9e" w:colFirst="0" w:colLast="0"/>
      <w:bookmarkEnd w:id="16"/>
      <w:r w:rsidRPr="00E813DF">
        <w:rPr>
          <w:rFonts w:ascii="Palatino Linotype" w:eastAsia="Palatino Linotype" w:hAnsi="Palatino Linotype" w:cs="Palatino Linotype"/>
          <w:sz w:val="22"/>
          <w:szCs w:val="22"/>
        </w:rPr>
        <w:t xml:space="preserve">No obstante, si los procedimientos concluidos arribaron en una recomendación por actos relacionados con el artículo 142 de la ley de transparencia  </w:t>
      </w:r>
      <w:r w:rsidRPr="00E813DF">
        <w:rPr>
          <w:rFonts w:ascii="Palatino Linotype" w:eastAsia="Palatino Linotype" w:hAnsi="Palatino Linotype" w:cs="Palatino Linotype"/>
          <w:b/>
          <w:bCs/>
          <w:sz w:val="22"/>
          <w:szCs w:val="22"/>
          <w:u w:val="single"/>
        </w:rPr>
        <w:t>y estas han quedado firmes, es decir, que  el procedimiento ya no acepta recurso o medio de defensa alguno</w:t>
      </w:r>
      <w:r w:rsidRPr="00E813DF">
        <w:rPr>
          <w:rFonts w:ascii="Palatino Linotype" w:eastAsia="Palatino Linotype" w:hAnsi="Palatino Linotype" w:cs="Palatino Linotype"/>
          <w:sz w:val="22"/>
          <w:szCs w:val="22"/>
        </w:rPr>
        <w:t>, es procedente entregar el soporte documental en versión pública para el caso de que el mismo contenga datos personales susceptibles de protegerse, pero dejando visible el nombre del servidor público al que va dirigida dicha recomendación, reiterando que en dicho supuesto, no se vulnera el derecho de las personas, aun cuando estas sean plenamente identificables.</w:t>
      </w:r>
    </w:p>
    <w:p w14:paraId="22414CA0" w14:textId="77777777" w:rsidR="00304047" w:rsidRPr="00E813DF" w:rsidRDefault="00304047">
      <w:pPr>
        <w:spacing w:before="240" w:after="240" w:line="360" w:lineRule="auto"/>
        <w:ind w:right="-93"/>
        <w:jc w:val="both"/>
        <w:rPr>
          <w:rFonts w:ascii="Palatino Linotype" w:eastAsia="Palatino Linotype" w:hAnsi="Palatino Linotype" w:cs="Palatino Linotype"/>
          <w:sz w:val="22"/>
          <w:szCs w:val="22"/>
        </w:rPr>
      </w:pPr>
    </w:p>
    <w:p w14:paraId="3E2567DF"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Para el caso de que no se llegara a localizar información derivado de la búsqueda que se ordena, al no haberse concluido expedientes de queja con recomendación por actos relacionados con el artículo 142 de la ley de transparencia  </w:t>
      </w:r>
      <w:r w:rsidRPr="00E813DF">
        <w:rPr>
          <w:rFonts w:ascii="Palatino Linotype" w:eastAsia="Palatino Linotype" w:hAnsi="Palatino Linotype" w:cs="Palatino Linotype"/>
          <w:b/>
          <w:bCs/>
          <w:sz w:val="22"/>
          <w:szCs w:val="22"/>
          <w:u w:val="single"/>
        </w:rPr>
        <w:t>y estas han quedado firmes,</w:t>
      </w:r>
      <w:r w:rsidRPr="00E813DF">
        <w:rPr>
          <w:rFonts w:ascii="Palatino Linotype" w:eastAsia="Palatino Linotype" w:hAnsi="Palatino Linotype" w:cs="Palatino Linotype"/>
          <w:sz w:val="22"/>
          <w:szCs w:val="22"/>
        </w:rPr>
        <w:t xml:space="preserve"> a la fecha de la solicitud,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3C0EB65F"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sz w:val="22"/>
          <w:szCs w:val="22"/>
        </w:rPr>
        <w:t>“</w:t>
      </w:r>
      <w:r w:rsidRPr="00E813DF">
        <w:rPr>
          <w:rFonts w:ascii="Palatino Linotype" w:eastAsia="Palatino Linotype" w:hAnsi="Palatino Linotype" w:cs="Palatino Linotype"/>
          <w:i/>
          <w:iCs/>
          <w:sz w:val="22"/>
          <w:szCs w:val="22"/>
        </w:rPr>
        <w:t>Artículo 19…</w:t>
      </w:r>
    </w:p>
    <w:p w14:paraId="1B77249E" w14:textId="77777777" w:rsidR="00304047" w:rsidRPr="00E813DF" w:rsidRDefault="00CA623F">
      <w:pP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i/>
          <w:iCs/>
          <w:sz w:val="22"/>
          <w:szCs w:val="22"/>
        </w:rPr>
        <w:t>En los casos en que ciertas facultades, competencias o funciones no se hayan ejercido, se debe motivar la respuesta en función de las causas que motiven tal circunstancia</w:t>
      </w:r>
      <w:r w:rsidRPr="00E813DF">
        <w:rPr>
          <w:rFonts w:ascii="Palatino Linotype" w:eastAsia="Palatino Linotype" w:hAnsi="Palatino Linotype" w:cs="Palatino Linotype"/>
          <w:sz w:val="22"/>
          <w:szCs w:val="22"/>
        </w:rPr>
        <w:t>.”</w:t>
      </w:r>
    </w:p>
    <w:p w14:paraId="44C48D87"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Es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43763C80" w14:textId="77777777" w:rsidR="00304047" w:rsidRPr="00E813DF" w:rsidRDefault="00CA623F">
      <w:pPr>
        <w:spacing w:before="240" w:after="240" w:line="360" w:lineRule="auto"/>
        <w:ind w:right="51"/>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 xml:space="preserve">Quinto. Versión Pública. </w:t>
      </w:r>
      <w:r w:rsidRPr="00E813DF">
        <w:rPr>
          <w:rFonts w:ascii="Palatino Linotype" w:eastAsia="Palatino Linotype" w:hAnsi="Palatino Linotype" w:cs="Palatino Linotype"/>
          <w:sz w:val="22"/>
          <w:szCs w:val="22"/>
        </w:rPr>
        <w:t>Como fue debidamente apuntado,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9FBC6C7"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B0596B0" w14:textId="77777777" w:rsidR="00304047" w:rsidRPr="00E813DF" w:rsidRDefault="00304047">
      <w:pPr>
        <w:spacing w:before="240" w:after="240" w:line="360" w:lineRule="auto"/>
        <w:ind w:right="49"/>
        <w:jc w:val="both"/>
        <w:rPr>
          <w:rFonts w:ascii="Palatino Linotype" w:eastAsia="Palatino Linotype" w:hAnsi="Palatino Linotype" w:cs="Palatino Linotype"/>
          <w:sz w:val="22"/>
          <w:szCs w:val="22"/>
        </w:rPr>
      </w:pPr>
    </w:p>
    <w:p w14:paraId="6072A1F9"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8BCA49A"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680364EF"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sz w:val="22"/>
          <w:szCs w:val="22"/>
        </w:rPr>
        <w:t> </w:t>
      </w: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3.</w:t>
      </w:r>
      <w:r w:rsidRPr="00E813DF">
        <w:rPr>
          <w:rFonts w:ascii="Palatino Linotype" w:eastAsia="Palatino Linotype" w:hAnsi="Palatino Linotype" w:cs="Palatino Linotype"/>
          <w:i/>
          <w:iCs/>
          <w:sz w:val="22"/>
          <w:szCs w:val="22"/>
        </w:rPr>
        <w:t xml:space="preserve"> Para los efectos de la presente Ley se entenderá por:</w:t>
      </w:r>
    </w:p>
    <w:p w14:paraId="65441F7B" w14:textId="77777777" w:rsidR="00304047" w:rsidRPr="00E813DF" w:rsidRDefault="00CA623F">
      <w:pPr>
        <w:tabs>
          <w:tab w:val="left" w:pos="1276"/>
        </w:tabs>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017898CA" w14:textId="77777777" w:rsidR="00304047" w:rsidRPr="00E813DF" w:rsidRDefault="00CA623F">
      <w:pPr>
        <w:tabs>
          <w:tab w:val="left" w:pos="1276"/>
        </w:tabs>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IX. Datos personales</w:t>
      </w:r>
      <w:r w:rsidRPr="00E813DF">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0A8A2E77" w14:textId="77777777" w:rsidR="00304047" w:rsidRPr="00E813DF" w:rsidRDefault="00CA623F">
      <w:pPr>
        <w:tabs>
          <w:tab w:val="left" w:pos="1276"/>
        </w:tabs>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72253DBB" w14:textId="77777777" w:rsidR="00304047" w:rsidRPr="00E813DF" w:rsidRDefault="00CA623F">
      <w:pPr>
        <w:tabs>
          <w:tab w:val="left" w:pos="1276"/>
        </w:tabs>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XX. Información clasificada</w:t>
      </w:r>
      <w:r w:rsidRPr="00E813DF">
        <w:rPr>
          <w:rFonts w:ascii="Palatino Linotype" w:eastAsia="Palatino Linotype" w:hAnsi="Palatino Linotype" w:cs="Palatino Linotype"/>
          <w:i/>
          <w:iCs/>
          <w:sz w:val="22"/>
          <w:szCs w:val="22"/>
        </w:rPr>
        <w:t>: Aquella considerada por la presente Ley como reservada o confidencial;</w:t>
      </w:r>
    </w:p>
    <w:p w14:paraId="19BE249C" w14:textId="77777777" w:rsidR="00304047" w:rsidRPr="00E813DF" w:rsidRDefault="00CA623F">
      <w:pPr>
        <w:tabs>
          <w:tab w:val="left" w:pos="1276"/>
        </w:tabs>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XXI. Información confidencial</w:t>
      </w:r>
      <w:r w:rsidRPr="00E813DF">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E8F45AC" w14:textId="77777777" w:rsidR="00304047" w:rsidRPr="00E813DF" w:rsidRDefault="00CA623F">
      <w:pPr>
        <w:tabs>
          <w:tab w:val="left" w:pos="1276"/>
        </w:tabs>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49709886" w14:textId="77777777" w:rsidR="00304047" w:rsidRPr="00E813DF" w:rsidRDefault="00CA623F">
      <w:pPr>
        <w:tabs>
          <w:tab w:val="left" w:pos="1276"/>
        </w:tabs>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XXXII. Protección de Datos Personales</w:t>
      </w:r>
      <w:r w:rsidRPr="00E813DF">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7F9819A1" w14:textId="77777777" w:rsidR="00304047" w:rsidRPr="00E813DF" w:rsidRDefault="00CA623F">
      <w:pPr>
        <w:tabs>
          <w:tab w:val="left" w:pos="1276"/>
        </w:tabs>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091C243C" w14:textId="77777777" w:rsidR="00304047" w:rsidRPr="00E813DF" w:rsidRDefault="00CA623F">
      <w:pPr>
        <w:tabs>
          <w:tab w:val="left" w:pos="1276"/>
        </w:tabs>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XLV. Versión pública</w:t>
      </w:r>
      <w:r w:rsidRPr="00E813DF">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17A6D742"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 Artículo 6</w:t>
      </w:r>
      <w:r w:rsidRPr="00E813DF">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69CC10F"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76A76497"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Artículo 91.</w:t>
      </w:r>
      <w:r w:rsidRPr="00E813DF">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E813DF">
        <w:rPr>
          <w:rFonts w:ascii="Palatino Linotype" w:eastAsia="Palatino Linotype" w:hAnsi="Palatino Linotype" w:cs="Palatino Linotype"/>
          <w:i/>
          <w:iCs/>
          <w:sz w:val="22"/>
          <w:szCs w:val="22"/>
        </w:rPr>
        <w:br/>
        <w:t>…</w:t>
      </w:r>
    </w:p>
    <w:p w14:paraId="0ECAF6B6"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Artículo 132.</w:t>
      </w:r>
      <w:r w:rsidRPr="00E813DF">
        <w:rPr>
          <w:rFonts w:ascii="Palatino Linotype" w:eastAsia="Palatino Linotype" w:hAnsi="Palatino Linotype" w:cs="Palatino Linotype"/>
          <w:i/>
          <w:iCs/>
          <w:sz w:val="22"/>
          <w:szCs w:val="22"/>
        </w:rPr>
        <w:t xml:space="preserve"> La clasificación de la información se llevará a cabo en el momento en que:</w:t>
      </w:r>
    </w:p>
    <w:p w14:paraId="1B674F5A" w14:textId="77777777" w:rsidR="00304047" w:rsidRPr="00E813DF" w:rsidRDefault="00CA623F">
      <w:pPr>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w:t>
      </w:r>
      <w:r w:rsidRPr="00E813DF">
        <w:rPr>
          <w:rFonts w:ascii="Palatino Linotype" w:eastAsia="Palatino Linotype" w:hAnsi="Palatino Linotype" w:cs="Palatino Linotype"/>
          <w:i/>
          <w:iCs/>
          <w:sz w:val="22"/>
          <w:szCs w:val="22"/>
        </w:rPr>
        <w:t>. Se reciba una solicitud de acceso a la información;</w:t>
      </w:r>
    </w:p>
    <w:p w14:paraId="655C021D" w14:textId="77777777" w:rsidR="00304047" w:rsidRPr="00E813DF" w:rsidRDefault="00CA623F">
      <w:pPr>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w:t>
      </w:r>
      <w:r w:rsidRPr="00E813DF">
        <w:rPr>
          <w:rFonts w:ascii="Palatino Linotype" w:eastAsia="Palatino Linotype" w:hAnsi="Palatino Linotype" w:cs="Palatino Linotype"/>
          <w:i/>
          <w:iCs/>
          <w:sz w:val="22"/>
          <w:szCs w:val="22"/>
        </w:rPr>
        <w:t xml:space="preserve"> Se determine mediante resolución de autoridad competente; o</w:t>
      </w:r>
    </w:p>
    <w:p w14:paraId="15CA0B3F" w14:textId="77777777" w:rsidR="00304047" w:rsidRPr="00E813DF" w:rsidRDefault="00CA623F">
      <w:pPr>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III.</w:t>
      </w:r>
      <w:r w:rsidRPr="00E813DF">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031E3B45"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w:t>
      </w:r>
    </w:p>
    <w:p w14:paraId="39D46F34"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Artículo 137.</w:t>
      </w:r>
      <w:r w:rsidRPr="00E813DF">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5BAED05"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 Artículo 143.</w:t>
      </w:r>
      <w:r w:rsidRPr="00E813DF">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0F239C1B" w14:textId="77777777" w:rsidR="00304047" w:rsidRPr="00E813DF" w:rsidRDefault="00CA623F">
      <w:pPr>
        <w:spacing w:before="240" w:after="240" w:line="360" w:lineRule="auto"/>
        <w:ind w:left="1134"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w:t>
      </w:r>
      <w:r w:rsidRPr="00E813DF">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64286FA1" w14:textId="77777777" w:rsidR="00304047" w:rsidRPr="00E813DF" w:rsidRDefault="00CA623F">
      <w:pPr>
        <w:spacing w:before="240" w:after="240" w:line="360" w:lineRule="auto"/>
        <w:ind w:right="5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E4F59B0" w14:textId="77777777" w:rsidR="00304047" w:rsidRPr="00E813DF" w:rsidRDefault="00CA623F">
      <w:pPr>
        <w:spacing w:before="240" w:after="240" w:line="360" w:lineRule="auto"/>
        <w:ind w:right="5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530ABD9"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E813DF">
        <w:rPr>
          <w:rFonts w:ascii="Palatino Linotype" w:eastAsia="Palatino Linotype" w:hAnsi="Palatino Linotype" w:cs="Palatino Linotype"/>
          <w:b/>
          <w:bCs/>
          <w:sz w:val="22"/>
          <w:szCs w:val="22"/>
        </w:rPr>
        <w:t>Registro Federal de Contribuyentes</w:t>
      </w:r>
      <w:r w:rsidRPr="00E813DF">
        <w:rPr>
          <w:rFonts w:ascii="Palatino Linotype" w:eastAsia="Palatino Linotype" w:hAnsi="Palatino Linotype" w:cs="Palatino Linotype"/>
          <w:sz w:val="22"/>
          <w:szCs w:val="22"/>
        </w:rPr>
        <w:t xml:space="preserve"> (RFC), la </w:t>
      </w:r>
      <w:r w:rsidRPr="00E813DF">
        <w:rPr>
          <w:rFonts w:ascii="Palatino Linotype" w:eastAsia="Palatino Linotype" w:hAnsi="Palatino Linotype" w:cs="Palatino Linotype"/>
          <w:b/>
          <w:bCs/>
          <w:sz w:val="22"/>
          <w:szCs w:val="22"/>
        </w:rPr>
        <w:t>Clave Única de Registro de Población</w:t>
      </w:r>
      <w:r w:rsidRPr="00E813DF">
        <w:rPr>
          <w:rFonts w:ascii="Palatino Linotype" w:eastAsia="Palatino Linotype" w:hAnsi="Palatino Linotype" w:cs="Palatino Linotype"/>
          <w:sz w:val="22"/>
          <w:szCs w:val="22"/>
        </w:rPr>
        <w:t xml:space="preserve"> (CURP), la </w:t>
      </w:r>
      <w:r w:rsidRPr="00E813DF">
        <w:rPr>
          <w:rFonts w:ascii="Palatino Linotype" w:eastAsia="Palatino Linotype" w:hAnsi="Palatino Linotype" w:cs="Palatino Linotype"/>
          <w:b/>
          <w:bCs/>
          <w:sz w:val="22"/>
          <w:szCs w:val="22"/>
        </w:rPr>
        <w:t>Clave de cualquier tipo de seguridad social</w:t>
      </w:r>
      <w:r w:rsidRPr="00E813DF">
        <w:rPr>
          <w:rFonts w:ascii="Palatino Linotype" w:eastAsia="Palatino Linotype" w:hAnsi="Palatino Linotype" w:cs="Palatino Linotype"/>
          <w:sz w:val="22"/>
          <w:szCs w:val="22"/>
        </w:rPr>
        <w:t xml:space="preserve"> (ISSEMYM, u otros), los </w:t>
      </w:r>
      <w:r w:rsidRPr="00E813DF">
        <w:rPr>
          <w:rFonts w:ascii="Palatino Linotype" w:eastAsia="Palatino Linotype" w:hAnsi="Palatino Linotype" w:cs="Palatino Linotype"/>
          <w:b/>
          <w:bCs/>
          <w:sz w:val="22"/>
          <w:szCs w:val="22"/>
        </w:rPr>
        <w:t>números de cuentas bancarias</w:t>
      </w:r>
      <w:r w:rsidRPr="00E813DF">
        <w:rPr>
          <w:rFonts w:ascii="Palatino Linotype" w:eastAsia="Palatino Linotype" w:hAnsi="Palatino Linotype" w:cs="Palatino Linotype"/>
          <w:sz w:val="22"/>
          <w:szCs w:val="22"/>
        </w:rPr>
        <w:t xml:space="preserve">, claves estandarizadas – interbancarias - (CLABES) y de tarjetas, los </w:t>
      </w:r>
      <w:r w:rsidRPr="00E813DF">
        <w:rPr>
          <w:rFonts w:ascii="Palatino Linotype" w:eastAsia="Palatino Linotype" w:hAnsi="Palatino Linotype" w:cs="Palatino Linotype"/>
          <w:b/>
          <w:bCs/>
          <w:sz w:val="22"/>
          <w:szCs w:val="22"/>
        </w:rPr>
        <w:t>préstamos o descuentos</w:t>
      </w:r>
      <w:r w:rsidRPr="00E813DF">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E813DF">
        <w:rPr>
          <w:rFonts w:ascii="Palatino Linotype" w:eastAsia="Palatino Linotype" w:hAnsi="Palatino Linotype" w:cs="Palatino Linotype"/>
          <w:b/>
          <w:bCs/>
          <w:sz w:val="22"/>
          <w:szCs w:val="22"/>
        </w:rPr>
        <w:t xml:space="preserve"> número de empleado, </w:t>
      </w:r>
      <w:r w:rsidRPr="00E813DF">
        <w:rPr>
          <w:rFonts w:ascii="Palatino Linotype" w:eastAsia="Palatino Linotype" w:hAnsi="Palatino Linotype" w:cs="Palatino Linotype"/>
          <w:sz w:val="22"/>
          <w:szCs w:val="22"/>
        </w:rPr>
        <w:t xml:space="preserve">y, de ser el caso, el </w:t>
      </w:r>
      <w:r w:rsidRPr="00E813DF">
        <w:rPr>
          <w:rFonts w:ascii="Palatino Linotype" w:eastAsia="Palatino Linotype" w:hAnsi="Palatino Linotype" w:cs="Palatino Linotype"/>
          <w:b/>
          <w:bCs/>
          <w:sz w:val="22"/>
          <w:szCs w:val="22"/>
        </w:rPr>
        <w:t>folio fiscal</w:t>
      </w:r>
      <w:r w:rsidRPr="00E813DF">
        <w:rPr>
          <w:rFonts w:ascii="Palatino Linotype" w:eastAsia="Palatino Linotype" w:hAnsi="Palatino Linotype" w:cs="Palatino Linotype"/>
          <w:sz w:val="22"/>
          <w:szCs w:val="22"/>
        </w:rPr>
        <w:t xml:space="preserve">, la </w:t>
      </w:r>
      <w:r w:rsidRPr="00E813DF">
        <w:rPr>
          <w:rFonts w:ascii="Palatino Linotype" w:eastAsia="Palatino Linotype" w:hAnsi="Palatino Linotype" w:cs="Palatino Linotype"/>
          <w:b/>
          <w:bCs/>
          <w:sz w:val="22"/>
          <w:szCs w:val="22"/>
        </w:rPr>
        <w:t xml:space="preserve">cadena original, </w:t>
      </w:r>
      <w:r w:rsidRPr="00E813DF">
        <w:rPr>
          <w:rFonts w:ascii="Palatino Linotype" w:eastAsia="Palatino Linotype" w:hAnsi="Palatino Linotype" w:cs="Palatino Linotype"/>
          <w:sz w:val="22"/>
          <w:szCs w:val="22"/>
        </w:rPr>
        <w:t>los</w:t>
      </w:r>
      <w:r w:rsidRPr="00E813DF">
        <w:rPr>
          <w:rFonts w:ascii="Palatino Linotype" w:eastAsia="Palatino Linotype" w:hAnsi="Palatino Linotype" w:cs="Palatino Linotype"/>
          <w:b/>
          <w:bCs/>
          <w:sz w:val="22"/>
          <w:szCs w:val="22"/>
        </w:rPr>
        <w:t xml:space="preserve"> códigos bidimensionales o códigos QR,</w:t>
      </w:r>
      <w:r w:rsidRPr="00E813DF">
        <w:rPr>
          <w:rFonts w:ascii="Palatino Linotype" w:eastAsia="Palatino Linotype" w:hAnsi="Palatino Linotype" w:cs="Palatino Linotype"/>
          <w:sz w:val="22"/>
          <w:szCs w:val="22"/>
        </w:rPr>
        <w:t xml:space="preserve"> y cualquier información de carácter fiscal.</w:t>
      </w:r>
    </w:p>
    <w:p w14:paraId="773D87DC" w14:textId="77777777" w:rsidR="00304047" w:rsidRPr="00E813DF" w:rsidRDefault="00CA623F">
      <w:pPr>
        <w:spacing w:before="240" w:after="240" w:line="360" w:lineRule="auto"/>
        <w:ind w:right="5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E91EF9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cuanto hace al </w:t>
      </w:r>
      <w:r w:rsidRPr="00E813DF">
        <w:rPr>
          <w:rFonts w:ascii="Palatino Linotype" w:eastAsia="Palatino Linotype" w:hAnsi="Palatino Linotype" w:cs="Palatino Linotype"/>
          <w:b/>
          <w:bCs/>
          <w:sz w:val="22"/>
          <w:szCs w:val="22"/>
        </w:rPr>
        <w:t>Registro Federal de Contribuyentes, RFC,</w:t>
      </w:r>
      <w:r w:rsidRPr="00E813DF">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0FA07634" w14:textId="77777777" w:rsidR="00304047" w:rsidRPr="00E813DF" w:rsidRDefault="00304047">
      <w:pPr>
        <w:spacing w:before="240" w:after="240" w:line="360" w:lineRule="auto"/>
        <w:jc w:val="both"/>
        <w:rPr>
          <w:rFonts w:ascii="Palatino Linotype" w:eastAsia="Palatino Linotype" w:hAnsi="Palatino Linotype" w:cs="Palatino Linotype"/>
          <w:sz w:val="22"/>
          <w:szCs w:val="22"/>
        </w:rPr>
      </w:pPr>
    </w:p>
    <w:p w14:paraId="19E36B48"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4975A16"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de interpretación con clave de control SO/019/2017, el cual es del tenor literal siguiente:</w:t>
      </w:r>
    </w:p>
    <w:p w14:paraId="7D67C8EB"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 xml:space="preserve"> “Registro Federal de Contribuyentes (RFC) de personas físicas</w:t>
      </w:r>
      <w:r w:rsidRPr="00E813DF">
        <w:rPr>
          <w:rFonts w:ascii="Palatino Linotype" w:eastAsia="Palatino Linotype" w:hAnsi="Palatino Linotype" w:cs="Palatino Linotype"/>
          <w:i/>
          <w:iCs/>
          <w:sz w:val="22"/>
          <w:szCs w:val="22"/>
        </w:rPr>
        <w:t>. El RFC es una clave de carácter fiscal, única e irrepetible, que permite identificar al titular, su edad y fecha de nacimiento, por lo que es un dato personal de carácter confidencial.”</w:t>
      </w:r>
    </w:p>
    <w:p w14:paraId="1193D1CA"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EE3F3F1"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 igual manera la </w:t>
      </w:r>
      <w:r w:rsidRPr="00E813DF">
        <w:rPr>
          <w:rFonts w:ascii="Palatino Linotype" w:eastAsia="Palatino Linotype" w:hAnsi="Palatino Linotype" w:cs="Palatino Linotype"/>
          <w:b/>
          <w:bCs/>
          <w:sz w:val="22"/>
          <w:szCs w:val="22"/>
        </w:rPr>
        <w:t>Clave Única de Registro de Población</w:t>
      </w:r>
      <w:r w:rsidRPr="00E813DF">
        <w:rPr>
          <w:rFonts w:ascii="Palatino Linotype" w:eastAsia="Palatino Linotype" w:hAnsi="Palatino Linotype" w:cs="Palatino Linotype"/>
          <w:sz w:val="22"/>
          <w:szCs w:val="22"/>
        </w:rPr>
        <w:t xml:space="preserve">, </w:t>
      </w:r>
      <w:r w:rsidRPr="00E813DF">
        <w:rPr>
          <w:rFonts w:ascii="Palatino Linotype" w:eastAsia="Palatino Linotype" w:hAnsi="Palatino Linotype" w:cs="Palatino Linotype"/>
          <w:b/>
          <w:bCs/>
          <w:sz w:val="22"/>
          <w:szCs w:val="22"/>
        </w:rPr>
        <w:t>CURP,</w:t>
      </w:r>
      <w:r w:rsidRPr="00E813DF">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A126248"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Argumento que es compartido por el Instituto Nacional de Transparencia, Acceso a la Información y Protección de Datos Personales, INAI, conforme al Criterio de interpretación con Clave de control SO/018/2017, el cual refiere:</w:t>
      </w:r>
    </w:p>
    <w:p w14:paraId="6E513633"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 xml:space="preserve"> “Clave Única de Registro de Población (CURP). </w:t>
      </w:r>
      <w:r w:rsidRPr="00E813DF">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C993EC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Por lo que respecta a la </w:t>
      </w:r>
      <w:r w:rsidRPr="00E813DF">
        <w:rPr>
          <w:rFonts w:ascii="Palatino Linotype" w:eastAsia="Palatino Linotype" w:hAnsi="Palatino Linotype" w:cs="Palatino Linotype"/>
          <w:b/>
          <w:bCs/>
          <w:sz w:val="22"/>
          <w:szCs w:val="22"/>
        </w:rPr>
        <w:t>clave de seguridad social</w:t>
      </w:r>
      <w:r w:rsidRPr="00E813DF">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5E09789C"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Respecto de los </w:t>
      </w:r>
      <w:r w:rsidRPr="00E813DF">
        <w:rPr>
          <w:rFonts w:ascii="Palatino Linotype" w:eastAsia="Palatino Linotype" w:hAnsi="Palatino Linotype" w:cs="Palatino Linotype"/>
          <w:b/>
          <w:bCs/>
          <w:sz w:val="22"/>
          <w:szCs w:val="22"/>
        </w:rPr>
        <w:t>números de cuentas bancari</w:t>
      </w:r>
      <w:r w:rsidRPr="00E813DF">
        <w:rPr>
          <w:rFonts w:ascii="Palatino Linotype" w:eastAsia="Palatino Linotype" w:hAnsi="Palatino Linotype" w:cs="Palatino Linotype"/>
          <w:sz w:val="22"/>
          <w:szCs w:val="22"/>
        </w:rPr>
        <w:t xml:space="preserve">as, </w:t>
      </w:r>
      <w:r w:rsidRPr="00E813DF">
        <w:rPr>
          <w:rFonts w:ascii="Palatino Linotype" w:eastAsia="Palatino Linotype" w:hAnsi="Palatino Linotype" w:cs="Palatino Linotype"/>
          <w:b/>
          <w:bCs/>
          <w:sz w:val="22"/>
          <w:szCs w:val="22"/>
        </w:rPr>
        <w:t>claves estandarizadas –interbancarias- (CLABES) y de tarjetas</w:t>
      </w:r>
      <w:r w:rsidRPr="00E813DF">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2C64D43C"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32EDA4A"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27791037"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6A6FE4D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61AA3A22"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Lo argumentado encuentra sustento en los Criterios de interpretación con  Clave de control SO/010/2017 y SO/011/2017, emitidos por el Instituto Nacional de Transparencia, Acceso a la Información y Protección de Datos Personales, INAI, que llevan por rubro y texto los siguientes:</w:t>
      </w:r>
    </w:p>
    <w:p w14:paraId="5A850F21"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Cuentas bancarias y/o CLABE interbancaria de personas físicas y morales privadas.</w:t>
      </w:r>
      <w:r w:rsidRPr="00E813DF">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DA24A97"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E813DF">
        <w:rPr>
          <w:rFonts w:ascii="Palatino Linotype" w:eastAsia="Palatino Linotype" w:hAnsi="Palatino Linotype" w:cs="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6146863"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bookmarkStart w:id="17" w:name="_heading=h.35nkun2" w:colFirst="0" w:colLast="0"/>
      <w:bookmarkEnd w:id="17"/>
      <w:r w:rsidRPr="00E813DF">
        <w:rPr>
          <w:rFonts w:ascii="Palatino Linotype" w:eastAsia="Palatino Linotype" w:hAnsi="Palatino Linotype" w:cs="Palatino Linotype"/>
          <w:sz w:val="22"/>
          <w:szCs w:val="22"/>
        </w:rPr>
        <w:t xml:space="preserve">Con relación al </w:t>
      </w:r>
      <w:r w:rsidRPr="00E813DF">
        <w:rPr>
          <w:rFonts w:ascii="Palatino Linotype" w:eastAsia="Palatino Linotype" w:hAnsi="Palatino Linotype" w:cs="Palatino Linotype"/>
          <w:b/>
          <w:bCs/>
          <w:sz w:val="22"/>
          <w:szCs w:val="22"/>
        </w:rPr>
        <w:t>número de empleado</w:t>
      </w:r>
      <w:r w:rsidRPr="00E813DF">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E813DF">
        <w:rPr>
          <w:rFonts w:ascii="Palatino Linotype" w:eastAsia="Palatino Linotype" w:hAnsi="Palatino Linotype" w:cs="Palatino Linotype"/>
          <w:sz w:val="22"/>
          <w:szCs w:val="22"/>
          <w:vertAlign w:val="superscript"/>
        </w:rPr>
        <w:footnoteReference w:id="6"/>
      </w:r>
      <w:r w:rsidRPr="00E813DF">
        <w:rPr>
          <w:rFonts w:ascii="Palatino Linotype" w:eastAsia="Palatino Linotype" w:hAnsi="Palatino Linotype" w:cs="Palatino Linotype"/>
          <w:sz w:val="22"/>
          <w:szCs w:val="22"/>
        </w:rPr>
        <w:t>.</w:t>
      </w:r>
    </w:p>
    <w:p w14:paraId="27F5562A"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14:paraId="09F74594" w14:textId="77777777" w:rsidR="00304047" w:rsidRPr="00E813DF" w:rsidRDefault="00CA623F">
      <w:pPr>
        <w:tabs>
          <w:tab w:val="left" w:pos="7655"/>
        </w:tabs>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 xml:space="preserve">Número de empleado. </w:t>
      </w:r>
      <w:r w:rsidRPr="00E813DF">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E34FAB5"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0182D796" w14:textId="77777777" w:rsidR="00304047" w:rsidRPr="00E813DF" w:rsidRDefault="00CA623F">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Con relación a las</w:t>
      </w:r>
      <w:r w:rsidRPr="00E813DF">
        <w:rPr>
          <w:rFonts w:ascii="Palatino Linotype" w:eastAsia="Palatino Linotype" w:hAnsi="Palatino Linotype" w:cs="Palatino Linotype"/>
          <w:b/>
          <w:bCs/>
          <w:sz w:val="22"/>
          <w:szCs w:val="22"/>
        </w:rPr>
        <w:t xml:space="preserve"> fotografías de los servidores públicos. </w:t>
      </w:r>
      <w:r w:rsidRPr="00E813DF">
        <w:rPr>
          <w:rFonts w:ascii="Palatino Linotype" w:eastAsia="Palatino Linotype" w:hAnsi="Palatino Linotype" w:cs="Palatino Linotype"/>
          <w:sz w:val="22"/>
          <w:szCs w:val="22"/>
        </w:rPr>
        <w:t>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3954347" w14:textId="77777777" w:rsidR="00304047" w:rsidRPr="00E813DF" w:rsidRDefault="00CA623F">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042AD98" w14:textId="77777777" w:rsidR="00304047" w:rsidRPr="00E813DF" w:rsidRDefault="00CA623F">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790A8B67" w14:textId="77777777" w:rsidR="00304047" w:rsidRPr="00E813DF" w:rsidRDefault="00CA623F">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2492D539" w14:textId="77777777" w:rsidR="00304047" w:rsidRPr="00E813DF" w:rsidRDefault="00CA623F">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300AA747" w14:textId="77777777" w:rsidR="00304047" w:rsidRPr="00E813DF" w:rsidRDefault="00CA623F">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3C011C8" w14:textId="77777777" w:rsidR="00304047" w:rsidRPr="00E813DF" w:rsidRDefault="00304047">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1A76E7F8" w14:textId="77777777" w:rsidR="00304047" w:rsidRPr="00E813DF" w:rsidRDefault="00CA623F">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EADE56A" w14:textId="77777777" w:rsidR="00304047" w:rsidRPr="00E813DF" w:rsidRDefault="00CA623F">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504708EB"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Firma de servidores públicos.</w:t>
      </w:r>
      <w:r w:rsidRPr="00E813DF">
        <w:rPr>
          <w:rFonts w:ascii="Palatino Linotype" w:eastAsia="Palatino Linotype" w:hAnsi="Palatino Linotype" w:cs="Palatino Linotype"/>
          <w:sz w:val="22"/>
          <w:szCs w:val="22"/>
        </w:rPr>
        <w:t xml:space="preserve"> En el presente asunto, debido a que la firma se encuentra en el Aviso de Movimientos, esta guarda el carácter de público y, por lo tanto, no actualiza la causal de clasificación prevista en el artículo 143, fracción I, de la Ley de Transparencia y Acceso a la Información Pública del Estado de México y Municipios.</w:t>
      </w:r>
    </w:p>
    <w:p w14:paraId="502E1169"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Sirve de sustento a lo anterior el Criterio orientador 02/19 emitido por el entonces Instituto Nacional de Transparencia, Acceso a la Información y Protección de Datos Personales, cuyo rubro y texto establecen lo siguiente:</w:t>
      </w:r>
    </w:p>
    <w:p w14:paraId="125ED485"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Firma y rúbrica de servidores públicos.</w:t>
      </w:r>
      <w:r w:rsidRPr="00E813DF">
        <w:rPr>
          <w:rFonts w:ascii="Palatino Linotype" w:eastAsia="Palatino Linotype" w:hAnsi="Palatino Linotype" w:cs="Palatino Linotype"/>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B0BB0F5" w14:textId="77777777" w:rsidR="00304047" w:rsidRPr="00E813DF" w:rsidRDefault="00CA623F">
      <w:pPr>
        <w:spacing w:before="240" w:after="240" w:line="360" w:lineRule="auto"/>
        <w:ind w:left="851" w:right="616"/>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Es así que no procede su clasificación.</w:t>
      </w:r>
    </w:p>
    <w:p w14:paraId="6A907B25" w14:textId="77777777" w:rsidR="00304047" w:rsidRPr="00E813DF" w:rsidRDefault="00CA623F">
      <w:pPr>
        <w:spacing w:before="240" w:after="240" w:line="360" w:lineRule="auto"/>
        <w:ind w:right="50"/>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3D139F8"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“Artículo 49.</w:t>
      </w:r>
      <w:r w:rsidRPr="00E813DF">
        <w:rPr>
          <w:rFonts w:ascii="Palatino Linotype" w:eastAsia="Palatino Linotype" w:hAnsi="Palatino Linotype" w:cs="Palatino Linotype"/>
          <w:i/>
          <w:iCs/>
          <w:sz w:val="22"/>
          <w:szCs w:val="22"/>
        </w:rPr>
        <w:t xml:space="preserve"> </w:t>
      </w:r>
      <w:r w:rsidRPr="00E813DF">
        <w:rPr>
          <w:rFonts w:ascii="Palatino Linotype" w:eastAsia="Palatino Linotype" w:hAnsi="Palatino Linotype" w:cs="Palatino Linotype"/>
          <w:b/>
          <w:bCs/>
          <w:i/>
          <w:iCs/>
          <w:sz w:val="22"/>
          <w:szCs w:val="22"/>
        </w:rPr>
        <w:t>Los Comités de Transparencia</w:t>
      </w:r>
      <w:r w:rsidRPr="00E813DF">
        <w:rPr>
          <w:rFonts w:ascii="Palatino Linotype" w:eastAsia="Palatino Linotype" w:hAnsi="Palatino Linotype" w:cs="Palatino Linotype"/>
          <w:i/>
          <w:iCs/>
          <w:sz w:val="22"/>
          <w:szCs w:val="22"/>
        </w:rPr>
        <w:t xml:space="preserve"> tendrán las siguientes atribuciones:</w:t>
      </w:r>
    </w:p>
    <w:p w14:paraId="4CA9BEC7"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VIII. Aprobar, modificar o revocar la clasificación de la información</w:t>
      </w:r>
      <w:r w:rsidRPr="00E813DF">
        <w:rPr>
          <w:rFonts w:ascii="Palatino Linotype" w:eastAsia="Palatino Linotype" w:hAnsi="Palatino Linotype" w:cs="Palatino Linotype"/>
          <w:i/>
          <w:iCs/>
          <w:sz w:val="22"/>
          <w:szCs w:val="22"/>
        </w:rPr>
        <w:t>…”</w:t>
      </w:r>
    </w:p>
    <w:p w14:paraId="2708B069"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53.</w:t>
      </w:r>
      <w:r w:rsidRPr="00E813DF">
        <w:rPr>
          <w:rFonts w:ascii="Palatino Linotype" w:eastAsia="Palatino Linotype" w:hAnsi="Palatino Linotype" w:cs="Palatino Linotype"/>
          <w:i/>
          <w:iCs/>
          <w:sz w:val="22"/>
          <w:szCs w:val="22"/>
        </w:rPr>
        <w:t xml:space="preserve"> Las </w:t>
      </w:r>
      <w:r w:rsidRPr="00E813DF">
        <w:rPr>
          <w:rFonts w:ascii="Palatino Linotype" w:eastAsia="Palatino Linotype" w:hAnsi="Palatino Linotype" w:cs="Palatino Linotype"/>
          <w:b/>
          <w:bCs/>
          <w:i/>
          <w:iCs/>
          <w:sz w:val="22"/>
          <w:szCs w:val="22"/>
        </w:rPr>
        <w:t>Unidades de Transparencia</w:t>
      </w:r>
      <w:r w:rsidRPr="00E813DF">
        <w:rPr>
          <w:rFonts w:ascii="Palatino Linotype" w:eastAsia="Palatino Linotype" w:hAnsi="Palatino Linotype" w:cs="Palatino Linotype"/>
          <w:i/>
          <w:iCs/>
          <w:sz w:val="22"/>
          <w:szCs w:val="22"/>
        </w:rPr>
        <w:t xml:space="preserve"> tendrán las siguientes </w:t>
      </w:r>
      <w:r w:rsidRPr="00E813DF">
        <w:rPr>
          <w:rFonts w:ascii="Palatino Linotype" w:eastAsia="Palatino Linotype" w:hAnsi="Palatino Linotype" w:cs="Palatino Linotype"/>
          <w:b/>
          <w:bCs/>
          <w:i/>
          <w:iCs/>
          <w:sz w:val="22"/>
          <w:szCs w:val="22"/>
        </w:rPr>
        <w:t>funciones</w:t>
      </w:r>
      <w:r w:rsidRPr="00E813DF">
        <w:rPr>
          <w:rFonts w:ascii="Palatino Linotype" w:eastAsia="Palatino Linotype" w:hAnsi="Palatino Linotype" w:cs="Palatino Linotype"/>
          <w:i/>
          <w:iCs/>
          <w:sz w:val="22"/>
          <w:szCs w:val="22"/>
        </w:rPr>
        <w:t>:</w:t>
      </w:r>
    </w:p>
    <w:p w14:paraId="13647700"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X. Presentar ante el Comité, el proyecto de clasificación de información</w:t>
      </w:r>
      <w:r w:rsidRPr="00E813DF">
        <w:rPr>
          <w:rFonts w:ascii="Palatino Linotype" w:eastAsia="Palatino Linotype" w:hAnsi="Palatino Linotype" w:cs="Palatino Linotype"/>
          <w:i/>
          <w:iCs/>
          <w:sz w:val="22"/>
          <w:szCs w:val="22"/>
        </w:rPr>
        <w:t xml:space="preserve">…” </w:t>
      </w:r>
    </w:p>
    <w:p w14:paraId="10360016"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“Artículo 59.</w:t>
      </w:r>
      <w:r w:rsidRPr="00E813DF">
        <w:rPr>
          <w:rFonts w:ascii="Palatino Linotype" w:eastAsia="Palatino Linotype" w:hAnsi="Palatino Linotype" w:cs="Palatino Linotype"/>
          <w:i/>
          <w:iCs/>
          <w:sz w:val="22"/>
          <w:szCs w:val="22"/>
        </w:rPr>
        <w:t xml:space="preserve"> Los </w:t>
      </w:r>
      <w:r w:rsidRPr="00E813DF">
        <w:rPr>
          <w:rFonts w:ascii="Palatino Linotype" w:eastAsia="Palatino Linotype" w:hAnsi="Palatino Linotype" w:cs="Palatino Linotype"/>
          <w:b/>
          <w:bCs/>
          <w:i/>
          <w:iCs/>
          <w:sz w:val="22"/>
          <w:szCs w:val="22"/>
        </w:rPr>
        <w:t>servidores públicos habilitados</w:t>
      </w:r>
      <w:r w:rsidRPr="00E813DF">
        <w:rPr>
          <w:rFonts w:ascii="Palatino Linotype" w:eastAsia="Palatino Linotype" w:hAnsi="Palatino Linotype" w:cs="Palatino Linotype"/>
          <w:i/>
          <w:iCs/>
          <w:sz w:val="22"/>
          <w:szCs w:val="22"/>
        </w:rPr>
        <w:t xml:space="preserve"> tendrán las </w:t>
      </w:r>
      <w:r w:rsidRPr="00E813DF">
        <w:rPr>
          <w:rFonts w:ascii="Palatino Linotype" w:eastAsia="Palatino Linotype" w:hAnsi="Palatino Linotype" w:cs="Palatino Linotype"/>
          <w:b/>
          <w:bCs/>
          <w:i/>
          <w:iCs/>
          <w:sz w:val="22"/>
          <w:szCs w:val="22"/>
        </w:rPr>
        <w:t>funciones</w:t>
      </w:r>
      <w:r w:rsidRPr="00E813DF">
        <w:rPr>
          <w:rFonts w:ascii="Palatino Linotype" w:eastAsia="Palatino Linotype" w:hAnsi="Palatino Linotype" w:cs="Palatino Linotype"/>
          <w:i/>
          <w:iCs/>
          <w:sz w:val="22"/>
          <w:szCs w:val="22"/>
        </w:rPr>
        <w:t xml:space="preserve"> siguientes:</w:t>
      </w:r>
    </w:p>
    <w:p w14:paraId="02AE119B"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E813DF">
        <w:rPr>
          <w:rFonts w:ascii="Palatino Linotype" w:eastAsia="Palatino Linotype" w:hAnsi="Palatino Linotype" w:cs="Palatino Linotype"/>
          <w:i/>
          <w:iCs/>
          <w:sz w:val="22"/>
          <w:szCs w:val="22"/>
        </w:rPr>
        <w:t>, la cual tendrá los fundamentos y argumentos en que se basa dicha propuesta…”</w:t>
      </w:r>
    </w:p>
    <w:p w14:paraId="6AE610F7"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725D3A3"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2134E105"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Artículo 149.</w:t>
      </w:r>
      <w:r w:rsidRPr="00E813DF">
        <w:rPr>
          <w:rFonts w:ascii="Palatino Linotype" w:eastAsia="Palatino Linotype" w:hAnsi="Palatino Linotype" w:cs="Palatino Linotype"/>
          <w:i/>
          <w:iCs/>
          <w:sz w:val="22"/>
          <w:szCs w:val="22"/>
        </w:rPr>
        <w:t xml:space="preserve"> El </w:t>
      </w:r>
      <w:r w:rsidRPr="00E813DF">
        <w:rPr>
          <w:rFonts w:ascii="Palatino Linotype" w:eastAsia="Palatino Linotype" w:hAnsi="Palatino Linotype" w:cs="Palatino Linotype"/>
          <w:b/>
          <w:bCs/>
          <w:i/>
          <w:iCs/>
          <w:sz w:val="22"/>
          <w:szCs w:val="22"/>
        </w:rPr>
        <w:t>acuerdo que clasifique la información como confidencial</w:t>
      </w:r>
      <w:r w:rsidRPr="00E813DF">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04A93744" w14:textId="77777777" w:rsidR="00304047" w:rsidRPr="00E813DF" w:rsidRDefault="00CA623F">
      <w:pPr>
        <w:spacing w:before="240" w:after="240" w:line="360" w:lineRule="auto"/>
        <w:ind w:right="51"/>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Es decir,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AB9D2E3" w14:textId="77777777" w:rsidR="00304047" w:rsidRPr="00E813DF" w:rsidRDefault="00CA623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75DC4E97"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 xml:space="preserve"> “Quincuagésimo. </w:t>
      </w:r>
      <w:r w:rsidRPr="00E813DF">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FBFE7ED"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 xml:space="preserve">Quincuagésimo primero. </w:t>
      </w:r>
      <w:r w:rsidRPr="00E813DF">
        <w:rPr>
          <w:rFonts w:ascii="Palatino Linotype" w:eastAsia="Palatino Linotype" w:hAnsi="Palatino Linotype" w:cs="Palatino Linotype"/>
          <w:i/>
          <w:iCs/>
          <w:sz w:val="22"/>
          <w:szCs w:val="22"/>
        </w:rPr>
        <w:t xml:space="preserve">Toda acta del Comité de Transparencia deberá contener: </w:t>
      </w:r>
    </w:p>
    <w:p w14:paraId="20312652"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w:t>
      </w:r>
      <w:r w:rsidRPr="00E813DF">
        <w:rPr>
          <w:rFonts w:ascii="Palatino Linotype" w:eastAsia="Palatino Linotype" w:hAnsi="Palatino Linotype" w:cs="Palatino Linotype"/>
          <w:i/>
          <w:iCs/>
          <w:sz w:val="22"/>
          <w:szCs w:val="22"/>
        </w:rPr>
        <w:t xml:space="preserve"> El número de sesión y fecha; </w:t>
      </w:r>
    </w:p>
    <w:p w14:paraId="1897EC9C"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w:t>
      </w:r>
      <w:r w:rsidRPr="00E813DF">
        <w:rPr>
          <w:rFonts w:ascii="Palatino Linotype" w:eastAsia="Palatino Linotype" w:hAnsi="Palatino Linotype" w:cs="Palatino Linotype"/>
          <w:i/>
          <w:iCs/>
          <w:sz w:val="22"/>
          <w:szCs w:val="22"/>
        </w:rPr>
        <w:t xml:space="preserve">. El nombre del área que solicitó la clasificación de información; </w:t>
      </w:r>
    </w:p>
    <w:p w14:paraId="175CE7D4"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III</w:t>
      </w:r>
      <w:r w:rsidRPr="00E813DF">
        <w:rPr>
          <w:rFonts w:ascii="Palatino Linotype" w:eastAsia="Palatino Linotype" w:hAnsi="Palatino Linotype" w:cs="Palatino Linotype"/>
          <w:i/>
          <w:iCs/>
          <w:sz w:val="22"/>
          <w:szCs w:val="22"/>
        </w:rPr>
        <w:t xml:space="preserve">. La fundamentación legal y motivación correspondiente; </w:t>
      </w:r>
    </w:p>
    <w:p w14:paraId="62366A9C"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IV</w:t>
      </w:r>
      <w:r w:rsidRPr="00E813DF">
        <w:rPr>
          <w:rFonts w:ascii="Palatino Linotype" w:eastAsia="Palatino Linotype" w:hAnsi="Palatino Linotype" w:cs="Palatino Linotype"/>
          <w:i/>
          <w:iCs/>
          <w:sz w:val="22"/>
          <w:szCs w:val="22"/>
        </w:rPr>
        <w:t xml:space="preserve">. La resolución o resoluciones aprobadas; y </w:t>
      </w:r>
    </w:p>
    <w:p w14:paraId="5CA4BE28"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V</w:t>
      </w:r>
      <w:r w:rsidRPr="00E813DF">
        <w:rPr>
          <w:rFonts w:ascii="Palatino Linotype" w:eastAsia="Palatino Linotype" w:hAnsi="Palatino Linotype" w:cs="Palatino Linotype"/>
          <w:i/>
          <w:iCs/>
          <w:sz w:val="22"/>
          <w:szCs w:val="22"/>
        </w:rPr>
        <w:t xml:space="preserve">. La rúbrica o firma digital de cada integrante del Comité de Transparencia. </w:t>
      </w:r>
    </w:p>
    <w:p w14:paraId="371FFC6B"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61236052"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w:t>
      </w:r>
      <w:r w:rsidRPr="00E813DF">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2533269F"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II</w:t>
      </w:r>
      <w:r w:rsidRPr="00E813DF">
        <w:rPr>
          <w:rFonts w:ascii="Palatino Linotype" w:eastAsia="Palatino Linotype" w:hAnsi="Palatino Linotype" w:cs="Palatino Linotype"/>
          <w:i/>
          <w:iCs/>
          <w:sz w:val="22"/>
          <w:szCs w:val="22"/>
        </w:rPr>
        <w:t>. Descripción de las partes o secciones reservadas, en caso de clasificación parcial</w:t>
      </w:r>
      <w:r w:rsidRPr="00E813DF">
        <w:rPr>
          <w:rFonts w:ascii="Palatino Linotype" w:eastAsia="Palatino Linotype" w:hAnsi="Palatino Linotype" w:cs="Palatino Linotype"/>
          <w:b/>
          <w:bCs/>
          <w:i/>
          <w:iCs/>
          <w:sz w:val="22"/>
          <w:szCs w:val="22"/>
        </w:rPr>
        <w:t xml:space="preserve">; </w:t>
      </w:r>
    </w:p>
    <w:p w14:paraId="365D6CC4"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III.</w:t>
      </w:r>
      <w:r w:rsidRPr="00E813DF">
        <w:rPr>
          <w:rFonts w:ascii="Palatino Linotype" w:eastAsia="Palatino Linotype" w:hAnsi="Palatino Linotype" w:cs="Palatino Linotype"/>
          <w:i/>
          <w:iCs/>
          <w:sz w:val="22"/>
          <w:szCs w:val="22"/>
        </w:rPr>
        <w:t xml:space="preserve"> El periodo por el que mantendrá su clasificación y fecha de expiración; y </w:t>
      </w:r>
    </w:p>
    <w:p w14:paraId="39226E39"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IV.</w:t>
      </w:r>
      <w:r w:rsidRPr="00E813DF">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78EB646F"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7978ED75"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F3A9A84"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6467AEA" w14:textId="77777777" w:rsidR="00304047" w:rsidRPr="00E813DF" w:rsidRDefault="00304047">
      <w:pPr>
        <w:spacing w:before="240" w:after="240" w:line="360" w:lineRule="auto"/>
        <w:jc w:val="both"/>
        <w:rPr>
          <w:rFonts w:ascii="Palatino Linotype" w:eastAsia="Palatino Linotype" w:hAnsi="Palatino Linotype" w:cs="Palatino Linotype"/>
          <w:sz w:val="22"/>
          <w:szCs w:val="22"/>
        </w:rPr>
      </w:pPr>
    </w:p>
    <w:p w14:paraId="08E64F5C"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r w:rsidRPr="00E813DF">
        <w:rPr>
          <w:rFonts w:ascii="Palatino Linotype" w:eastAsia="Palatino Linotype" w:hAnsi="Palatino Linotype" w:cs="Palatino Linotype"/>
          <w:b/>
          <w:bCs/>
          <w:i/>
          <w:iCs/>
          <w:sz w:val="22"/>
          <w:szCs w:val="22"/>
        </w:rPr>
        <w:t>Quincuagésimo segundo</w:t>
      </w:r>
      <w:r w:rsidRPr="00E813DF">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67F22B7"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566372FD"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w:t>
      </w:r>
      <w:r w:rsidRPr="00E813DF">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403F29B4"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w:t>
      </w:r>
      <w:r w:rsidRPr="00E813DF">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522FB768"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III.</w:t>
      </w:r>
      <w:r w:rsidRPr="00E813DF">
        <w:rPr>
          <w:rFonts w:ascii="Palatino Linotype" w:eastAsia="Palatino Linotype" w:hAnsi="Palatino Linotype" w:cs="Palatino Linotype"/>
          <w:i/>
          <w:iCs/>
          <w:sz w:val="22"/>
          <w:szCs w:val="22"/>
        </w:rPr>
        <w:t xml:space="preserve"> Señalar las personas o instancias autorizadas a acceder a la información clasificada.</w:t>
      </w:r>
    </w:p>
    <w:p w14:paraId="0B9BE288"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764E3566"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w:t>
      </w:r>
    </w:p>
    <w:p w14:paraId="31637A86" w14:textId="77777777" w:rsidR="00304047" w:rsidRPr="00E813DF" w:rsidRDefault="00CA623F">
      <w:p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 xml:space="preserve">Quincuagésimo cuarto. </w:t>
      </w:r>
      <w:r w:rsidRPr="00E813DF">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E813DF">
        <w:rPr>
          <w:rFonts w:ascii="Palatino Linotype" w:eastAsia="Palatino Linotype" w:hAnsi="Palatino Linotype" w:cs="Palatino Linotype"/>
          <w:b/>
          <w:bCs/>
          <w:i/>
          <w:iCs/>
          <w:sz w:val="22"/>
          <w:szCs w:val="22"/>
        </w:rPr>
        <w:t xml:space="preserve"> </w:t>
      </w:r>
    </w:p>
    <w:p w14:paraId="506032E2"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 xml:space="preserve">Quincuagésimo quinto. </w:t>
      </w:r>
      <w:r w:rsidRPr="00E813DF">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58CD787" w14:textId="77777777" w:rsidR="00304047" w:rsidRPr="00E813DF" w:rsidRDefault="00CA623F">
      <w:pPr>
        <w:spacing w:before="240" w:after="240" w:line="360" w:lineRule="auto"/>
        <w:ind w:left="851" w:right="616"/>
        <w:jc w:val="both"/>
        <w:rPr>
          <w:rFonts w:ascii="Palatino Linotype" w:eastAsia="Palatino Linotype" w:hAnsi="Palatino Linotype" w:cs="Palatino Linotype"/>
          <w:b/>
          <w:bCs/>
          <w:i/>
          <w:iCs/>
          <w:sz w:val="22"/>
          <w:szCs w:val="22"/>
        </w:rPr>
      </w:pPr>
      <w:r w:rsidRPr="00E813DF">
        <w:rPr>
          <w:rFonts w:ascii="Palatino Linotype" w:eastAsia="Palatino Linotype" w:hAnsi="Palatino Linotype" w:cs="Palatino Linotype"/>
          <w:b/>
          <w:bCs/>
          <w:i/>
          <w:iCs/>
          <w:sz w:val="22"/>
          <w:szCs w:val="22"/>
        </w:rPr>
        <w:t>...</w:t>
      </w:r>
    </w:p>
    <w:p w14:paraId="57351E33"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Quincuagésimo séptimo</w:t>
      </w:r>
      <w:r w:rsidRPr="00E813DF">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2BD4614C"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w:t>
      </w:r>
      <w:r w:rsidRPr="00E813DF">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0DA56120"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w:t>
      </w:r>
      <w:r w:rsidRPr="00E813DF">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C8BCB2A"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III</w:t>
      </w:r>
      <w:r w:rsidRPr="00E813DF">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9FDC920"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5819934F" w14:textId="77777777" w:rsidR="00304047" w:rsidRPr="00E813DF" w:rsidRDefault="00CA623F">
      <w:pPr>
        <w:spacing w:before="240" w:after="240" w:line="360" w:lineRule="auto"/>
        <w:ind w:left="851" w:right="616"/>
        <w:jc w:val="both"/>
        <w:rPr>
          <w:rFonts w:ascii="Palatino Linotype" w:eastAsia="Palatino Linotype" w:hAnsi="Palatino Linotype" w:cs="Palatino Linotype"/>
          <w:i/>
          <w:iCs/>
          <w:sz w:val="22"/>
          <w:szCs w:val="22"/>
        </w:rPr>
      </w:pPr>
      <w:r w:rsidRPr="00E813DF">
        <w:rPr>
          <w:rFonts w:ascii="Palatino Linotype" w:eastAsia="Palatino Linotype" w:hAnsi="Palatino Linotype" w:cs="Palatino Linotype"/>
          <w:b/>
          <w:bCs/>
          <w:i/>
          <w:iCs/>
          <w:sz w:val="22"/>
          <w:szCs w:val="22"/>
        </w:rPr>
        <w:t>Quincuagésimo octavo</w:t>
      </w:r>
      <w:r w:rsidRPr="00E813DF">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83530DD"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E813DF">
        <w:rPr>
          <w:rFonts w:ascii="Palatino Linotype" w:eastAsia="Palatino Linotype" w:hAnsi="Palatino Linotype" w:cs="Palatino Linotype"/>
          <w:b/>
          <w:bCs/>
          <w:sz w:val="22"/>
          <w:szCs w:val="22"/>
        </w:rPr>
        <w:t>Recurrente</w:t>
      </w:r>
      <w:r w:rsidRPr="00E813DF">
        <w:rPr>
          <w:rFonts w:ascii="Palatino Linotype" w:eastAsia="Palatino Linotype" w:hAnsi="Palatino Linotype" w:cs="Palatino Linotype"/>
          <w:sz w:val="22"/>
          <w:szCs w:val="22"/>
        </w:rPr>
        <w:t xml:space="preserve"> dentro del recurso de revisión </w:t>
      </w:r>
      <w:r w:rsidRPr="00E813DF">
        <w:rPr>
          <w:rFonts w:ascii="Palatino Linotype" w:eastAsia="Palatino Linotype" w:hAnsi="Palatino Linotype" w:cs="Palatino Linotype"/>
          <w:b/>
          <w:bCs/>
          <w:sz w:val="22"/>
          <w:szCs w:val="22"/>
        </w:rPr>
        <w:t>08309/INFOEM/IP/RR/2025</w:t>
      </w:r>
      <w:r w:rsidRPr="00E813DF">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sidRPr="00E813DF">
        <w:rPr>
          <w:rFonts w:ascii="Palatino Linotype" w:eastAsia="Palatino Linotype" w:hAnsi="Palatino Linotype" w:cs="Palatino Linotype"/>
          <w:b/>
          <w:bCs/>
          <w:sz w:val="22"/>
          <w:szCs w:val="22"/>
        </w:rPr>
        <w:t xml:space="preserve">Revoca </w:t>
      </w:r>
      <w:r w:rsidRPr="00E813DF">
        <w:rPr>
          <w:rFonts w:ascii="Palatino Linotype" w:eastAsia="Palatino Linotype" w:hAnsi="Palatino Linotype" w:cs="Palatino Linotype"/>
          <w:sz w:val="22"/>
          <w:szCs w:val="22"/>
        </w:rPr>
        <w:t xml:space="preserve">la respuesta del </w:t>
      </w:r>
      <w:r w:rsidRPr="00E813DF">
        <w:rPr>
          <w:rFonts w:ascii="Palatino Linotype" w:eastAsia="Palatino Linotype" w:hAnsi="Palatino Linotype" w:cs="Palatino Linotype"/>
          <w:b/>
          <w:bCs/>
          <w:sz w:val="22"/>
          <w:szCs w:val="22"/>
        </w:rPr>
        <w:t xml:space="preserve">Sujeto Obligado </w:t>
      </w:r>
      <w:r w:rsidRPr="00E813DF">
        <w:rPr>
          <w:rFonts w:ascii="Palatino Linotype" w:eastAsia="Palatino Linotype" w:hAnsi="Palatino Linotype" w:cs="Palatino Linotype"/>
          <w:sz w:val="22"/>
          <w:szCs w:val="22"/>
        </w:rPr>
        <w:t xml:space="preserve">a la solicitud de información </w:t>
      </w:r>
      <w:r w:rsidRPr="00E813DF">
        <w:rPr>
          <w:rFonts w:ascii="Palatino Linotype" w:eastAsia="Palatino Linotype" w:hAnsi="Palatino Linotype" w:cs="Palatino Linotype"/>
          <w:b/>
          <w:bCs/>
          <w:sz w:val="22"/>
          <w:szCs w:val="22"/>
        </w:rPr>
        <w:t>03036/TOLUCA/IP/2025.</w:t>
      </w:r>
    </w:p>
    <w:p w14:paraId="5BA06F17" w14:textId="77777777" w:rsidR="00304047" w:rsidRPr="00E813DF" w:rsidRDefault="00CA62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34D2B945" w14:textId="77777777" w:rsidR="00304047" w:rsidRPr="00E813DF" w:rsidRDefault="00CA623F">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III. R E S U E L V E</w:t>
      </w:r>
    </w:p>
    <w:p w14:paraId="131A65D5" w14:textId="77777777" w:rsidR="00304047" w:rsidRPr="00E813DF" w:rsidRDefault="00CA623F">
      <w:pPr>
        <w:spacing w:before="240" w:after="240" w:line="360" w:lineRule="auto"/>
        <w:jc w:val="both"/>
        <w:rPr>
          <w:rFonts w:ascii="Palatino Linotype" w:eastAsia="Palatino Linotype" w:hAnsi="Palatino Linotype" w:cs="Palatino Linotype"/>
          <w:b/>
          <w:bCs/>
          <w:sz w:val="22"/>
          <w:szCs w:val="22"/>
        </w:rPr>
      </w:pPr>
      <w:bookmarkStart w:id="18" w:name="_heading=h.26in1rg" w:colFirst="0" w:colLast="0"/>
      <w:bookmarkEnd w:id="18"/>
      <w:r w:rsidRPr="00E813DF">
        <w:rPr>
          <w:rFonts w:ascii="Palatino Linotype" w:eastAsia="Palatino Linotype" w:hAnsi="Palatino Linotype" w:cs="Palatino Linotype"/>
          <w:b/>
          <w:bCs/>
          <w:sz w:val="22"/>
          <w:szCs w:val="22"/>
        </w:rPr>
        <w:t xml:space="preserve">Primero. </w:t>
      </w:r>
      <w:r w:rsidRPr="00E813DF">
        <w:rPr>
          <w:rFonts w:ascii="Palatino Linotype" w:eastAsia="Palatino Linotype" w:hAnsi="Palatino Linotype" w:cs="Palatino Linotype"/>
          <w:sz w:val="22"/>
          <w:szCs w:val="22"/>
        </w:rPr>
        <w:t xml:space="preserve">Resultan </w:t>
      </w:r>
      <w:r w:rsidRPr="00E813DF">
        <w:rPr>
          <w:rFonts w:ascii="Palatino Linotype" w:eastAsia="Palatino Linotype" w:hAnsi="Palatino Linotype" w:cs="Palatino Linotype"/>
          <w:b/>
          <w:bCs/>
          <w:sz w:val="22"/>
          <w:szCs w:val="22"/>
        </w:rPr>
        <w:t>fundadas</w:t>
      </w:r>
      <w:r w:rsidRPr="00E813DF">
        <w:rPr>
          <w:rFonts w:ascii="Palatino Linotype" w:eastAsia="Palatino Linotype" w:hAnsi="Palatino Linotype" w:cs="Palatino Linotype"/>
          <w:sz w:val="22"/>
          <w:szCs w:val="22"/>
        </w:rPr>
        <w:t xml:space="preserve"> las razones o motivos de inconformidad hechos valer por la parte</w:t>
      </w:r>
      <w:r w:rsidRPr="00E813DF">
        <w:rPr>
          <w:rFonts w:ascii="Palatino Linotype" w:eastAsia="Palatino Linotype" w:hAnsi="Palatino Linotype" w:cs="Palatino Linotype"/>
          <w:b/>
          <w:bCs/>
          <w:sz w:val="22"/>
          <w:szCs w:val="22"/>
        </w:rPr>
        <w:t xml:space="preserve"> Recurrente</w:t>
      </w:r>
      <w:r w:rsidRPr="00E813DF">
        <w:rPr>
          <w:rFonts w:ascii="Palatino Linotype" w:eastAsia="Palatino Linotype" w:hAnsi="Palatino Linotype" w:cs="Palatino Linotype"/>
          <w:sz w:val="22"/>
          <w:szCs w:val="22"/>
        </w:rPr>
        <w:t xml:space="preserve"> en el recurso de revisión </w:t>
      </w:r>
      <w:r w:rsidRPr="00E813DF">
        <w:rPr>
          <w:rFonts w:ascii="Palatino Linotype" w:eastAsia="Palatino Linotype" w:hAnsi="Palatino Linotype" w:cs="Palatino Linotype"/>
          <w:b/>
          <w:bCs/>
          <w:sz w:val="22"/>
          <w:szCs w:val="22"/>
        </w:rPr>
        <w:t>08309/INFOEM/IP/RR/2025</w:t>
      </w:r>
      <w:r w:rsidRPr="00E813DF">
        <w:rPr>
          <w:rFonts w:ascii="Palatino Linotype" w:eastAsia="Palatino Linotype" w:hAnsi="Palatino Linotype" w:cs="Palatino Linotype"/>
          <w:sz w:val="22"/>
          <w:szCs w:val="22"/>
        </w:rPr>
        <w:t xml:space="preserve">; por lo que, en términos del </w:t>
      </w:r>
      <w:r w:rsidRPr="00E813DF">
        <w:rPr>
          <w:rFonts w:ascii="Palatino Linotype" w:eastAsia="Palatino Linotype" w:hAnsi="Palatino Linotype" w:cs="Palatino Linotype"/>
          <w:b/>
          <w:bCs/>
          <w:sz w:val="22"/>
          <w:szCs w:val="22"/>
        </w:rPr>
        <w:t>Considerando</w:t>
      </w:r>
      <w:r w:rsidRPr="00E813DF">
        <w:rPr>
          <w:rFonts w:ascii="Palatino Linotype" w:eastAsia="Palatino Linotype" w:hAnsi="Palatino Linotype" w:cs="Palatino Linotype"/>
          <w:sz w:val="22"/>
          <w:szCs w:val="22"/>
        </w:rPr>
        <w:t xml:space="preserve"> </w:t>
      </w:r>
      <w:r w:rsidRPr="00E813DF">
        <w:rPr>
          <w:rFonts w:ascii="Palatino Linotype" w:eastAsia="Palatino Linotype" w:hAnsi="Palatino Linotype" w:cs="Palatino Linotype"/>
          <w:b/>
          <w:bCs/>
          <w:sz w:val="22"/>
          <w:szCs w:val="22"/>
        </w:rPr>
        <w:t xml:space="preserve">Cuarto </w:t>
      </w:r>
      <w:r w:rsidRPr="00E813DF">
        <w:rPr>
          <w:rFonts w:ascii="Palatino Linotype" w:eastAsia="Palatino Linotype" w:hAnsi="Palatino Linotype" w:cs="Palatino Linotype"/>
          <w:sz w:val="22"/>
          <w:szCs w:val="22"/>
        </w:rPr>
        <w:t xml:space="preserve">de esta resolución, se </w:t>
      </w:r>
      <w:r w:rsidRPr="00E813DF">
        <w:rPr>
          <w:rFonts w:ascii="Palatino Linotype" w:eastAsia="Palatino Linotype" w:hAnsi="Palatino Linotype" w:cs="Palatino Linotype"/>
          <w:b/>
          <w:bCs/>
          <w:sz w:val="22"/>
          <w:szCs w:val="22"/>
        </w:rPr>
        <w:t xml:space="preserve">Revoca </w:t>
      </w:r>
      <w:r w:rsidRPr="00E813DF">
        <w:rPr>
          <w:rFonts w:ascii="Palatino Linotype" w:eastAsia="Palatino Linotype" w:hAnsi="Palatino Linotype" w:cs="Palatino Linotype"/>
          <w:sz w:val="22"/>
          <w:szCs w:val="22"/>
        </w:rPr>
        <w:t xml:space="preserve">la respuesta emitida por el </w:t>
      </w:r>
      <w:r w:rsidRPr="00E813DF">
        <w:rPr>
          <w:rFonts w:ascii="Palatino Linotype" w:eastAsia="Palatino Linotype" w:hAnsi="Palatino Linotype" w:cs="Palatino Linotype"/>
          <w:b/>
          <w:bCs/>
          <w:sz w:val="22"/>
          <w:szCs w:val="22"/>
        </w:rPr>
        <w:t xml:space="preserve">Sujeto Obligado. </w:t>
      </w:r>
    </w:p>
    <w:p w14:paraId="76C16714" w14:textId="77777777" w:rsidR="00304047" w:rsidRPr="00E813DF" w:rsidRDefault="00304047">
      <w:pPr>
        <w:spacing w:before="240" w:after="240" w:line="360" w:lineRule="auto"/>
        <w:jc w:val="both"/>
        <w:rPr>
          <w:rFonts w:ascii="Palatino Linotype" w:eastAsia="Palatino Linotype" w:hAnsi="Palatino Linotype" w:cs="Palatino Linotype"/>
          <w:b/>
          <w:bCs/>
          <w:sz w:val="22"/>
          <w:szCs w:val="22"/>
        </w:rPr>
      </w:pPr>
    </w:p>
    <w:p w14:paraId="749C6E23"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bookmarkStart w:id="19" w:name="_heading=h.3rdcrjn" w:colFirst="0" w:colLast="0"/>
      <w:bookmarkEnd w:id="19"/>
      <w:r w:rsidRPr="00E813DF">
        <w:rPr>
          <w:rFonts w:ascii="Palatino Linotype" w:eastAsia="Palatino Linotype" w:hAnsi="Palatino Linotype" w:cs="Palatino Linotype"/>
          <w:b/>
          <w:bCs/>
          <w:sz w:val="22"/>
          <w:szCs w:val="22"/>
        </w:rPr>
        <w:t xml:space="preserve">Segundo. </w:t>
      </w:r>
      <w:r w:rsidRPr="00E813DF">
        <w:rPr>
          <w:rFonts w:ascii="Palatino Linotype" w:eastAsia="Palatino Linotype" w:hAnsi="Palatino Linotype" w:cs="Palatino Linotype"/>
          <w:sz w:val="22"/>
          <w:szCs w:val="22"/>
        </w:rPr>
        <w:t xml:space="preserve">Se </w:t>
      </w:r>
      <w:r w:rsidRPr="00E813DF">
        <w:rPr>
          <w:rFonts w:ascii="Palatino Linotype" w:eastAsia="Palatino Linotype" w:hAnsi="Palatino Linotype" w:cs="Palatino Linotype"/>
          <w:b/>
          <w:bCs/>
          <w:sz w:val="22"/>
          <w:szCs w:val="22"/>
        </w:rPr>
        <w:t xml:space="preserve">Ordena </w:t>
      </w:r>
      <w:r w:rsidRPr="00E813DF">
        <w:rPr>
          <w:rFonts w:ascii="Palatino Linotype" w:eastAsia="Palatino Linotype" w:hAnsi="Palatino Linotype" w:cs="Palatino Linotype"/>
          <w:sz w:val="22"/>
          <w:szCs w:val="22"/>
        </w:rPr>
        <w:t xml:space="preserve">al </w:t>
      </w:r>
      <w:r w:rsidRPr="00E813DF">
        <w:rPr>
          <w:rFonts w:ascii="Palatino Linotype" w:eastAsia="Palatino Linotype" w:hAnsi="Palatino Linotype" w:cs="Palatino Linotype"/>
          <w:b/>
          <w:bCs/>
          <w:sz w:val="22"/>
          <w:szCs w:val="22"/>
        </w:rPr>
        <w:t>Sujeto Obligado</w:t>
      </w:r>
      <w:r w:rsidRPr="00E813DF">
        <w:rPr>
          <w:rFonts w:ascii="Palatino Linotype" w:eastAsia="Palatino Linotype" w:hAnsi="Palatino Linotype" w:cs="Palatino Linotype"/>
          <w:sz w:val="22"/>
          <w:szCs w:val="22"/>
        </w:rPr>
        <w:t xml:space="preserve"> haga entrega, a la parte</w:t>
      </w:r>
      <w:r w:rsidRPr="00E813DF">
        <w:rPr>
          <w:rFonts w:ascii="Palatino Linotype" w:eastAsia="Palatino Linotype" w:hAnsi="Palatino Linotype" w:cs="Palatino Linotype"/>
          <w:b/>
          <w:bCs/>
          <w:sz w:val="22"/>
          <w:szCs w:val="22"/>
        </w:rPr>
        <w:t xml:space="preserve"> Recurrente,</w:t>
      </w:r>
      <w:r w:rsidRPr="00E813DF">
        <w:rPr>
          <w:rFonts w:ascii="Palatino Linotype" w:eastAsia="Palatino Linotype" w:hAnsi="Palatino Linotype" w:cs="Palatino Linotype"/>
          <w:sz w:val="22"/>
          <w:szCs w:val="22"/>
        </w:rPr>
        <w:t xml:space="preserve"> vía </w:t>
      </w:r>
      <w:r w:rsidRPr="00E813DF">
        <w:rPr>
          <w:rFonts w:ascii="Palatino Linotype" w:eastAsia="Palatino Linotype" w:hAnsi="Palatino Linotype" w:cs="Palatino Linotype"/>
          <w:b/>
          <w:bCs/>
          <w:sz w:val="22"/>
          <w:szCs w:val="22"/>
        </w:rPr>
        <w:t xml:space="preserve">SAIMEX, </w:t>
      </w:r>
      <w:r w:rsidRPr="00E813DF">
        <w:rPr>
          <w:rFonts w:ascii="Palatino Linotype" w:eastAsia="Palatino Linotype" w:hAnsi="Palatino Linotype" w:cs="Palatino Linotype"/>
          <w:sz w:val="22"/>
          <w:szCs w:val="22"/>
        </w:rPr>
        <w:t xml:space="preserve">en términos del </w:t>
      </w:r>
      <w:r w:rsidRPr="00E813DF">
        <w:rPr>
          <w:rFonts w:ascii="Palatino Linotype" w:eastAsia="Palatino Linotype" w:hAnsi="Palatino Linotype" w:cs="Palatino Linotype"/>
          <w:b/>
          <w:bCs/>
          <w:sz w:val="22"/>
          <w:szCs w:val="22"/>
        </w:rPr>
        <w:t>Considerando</w:t>
      </w:r>
      <w:r w:rsidRPr="00E813DF">
        <w:rPr>
          <w:rFonts w:ascii="Palatino Linotype" w:eastAsia="Palatino Linotype" w:hAnsi="Palatino Linotype" w:cs="Palatino Linotype"/>
          <w:sz w:val="22"/>
          <w:szCs w:val="22"/>
        </w:rPr>
        <w:t xml:space="preserve"> </w:t>
      </w:r>
      <w:r w:rsidRPr="00E813DF">
        <w:rPr>
          <w:rFonts w:ascii="Palatino Linotype" w:eastAsia="Palatino Linotype" w:hAnsi="Palatino Linotype" w:cs="Palatino Linotype"/>
          <w:b/>
          <w:bCs/>
          <w:sz w:val="22"/>
          <w:szCs w:val="22"/>
        </w:rPr>
        <w:t>Cuarto y Quinto</w:t>
      </w:r>
      <w:r w:rsidRPr="00E813DF">
        <w:rPr>
          <w:rFonts w:ascii="Palatino Linotype" w:eastAsia="Palatino Linotype" w:hAnsi="Palatino Linotype" w:cs="Palatino Linotype"/>
          <w:sz w:val="22"/>
          <w:szCs w:val="22"/>
        </w:rPr>
        <w:t>, previa búsqueda exhaustiva y razonable, de ser procedente en versión pública, de lo siguiente:</w:t>
      </w:r>
    </w:p>
    <w:p w14:paraId="303A28EE" w14:textId="77777777" w:rsidR="00304047" w:rsidRPr="00E813DF" w:rsidRDefault="00CA623F">
      <w:pPr>
        <w:pBdr>
          <w:top w:val="nil"/>
          <w:left w:val="nil"/>
          <w:bottom w:val="nil"/>
          <w:right w:val="nil"/>
          <w:between w:val="nil"/>
        </w:pBdr>
        <w:spacing w:before="240" w:after="240" w:line="360" w:lineRule="auto"/>
        <w:ind w:left="720" w:right="49"/>
        <w:rPr>
          <w:rFonts w:ascii="Palatino Linotype" w:eastAsia="Palatino Linotype" w:hAnsi="Palatino Linotype" w:cs="Palatino Linotype"/>
          <w:b/>
          <w:bCs/>
          <w:sz w:val="22"/>
          <w:szCs w:val="22"/>
        </w:rPr>
      </w:pPr>
      <w:r w:rsidRPr="00E813DF">
        <w:rPr>
          <w:rFonts w:ascii="Palatino Linotype" w:eastAsia="Palatino Linotype" w:hAnsi="Palatino Linotype" w:cs="Palatino Linotype"/>
          <w:b/>
          <w:bCs/>
          <w:sz w:val="22"/>
          <w:szCs w:val="22"/>
        </w:rPr>
        <w:t xml:space="preserve">De los Titulares de las Dependencias de la Administración Pública Municipal, en funciones al veintiséis de mayo de dos mil veinticinco: </w:t>
      </w:r>
    </w:p>
    <w:p w14:paraId="424101CF" w14:textId="77777777" w:rsidR="00304047" w:rsidRPr="00E813DF" w:rsidRDefault="00CA623F">
      <w:pPr>
        <w:numPr>
          <w:ilvl w:val="0"/>
          <w:numId w:val="1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u w:val="single"/>
        </w:rPr>
      </w:pPr>
      <w:r w:rsidRPr="00E813DF">
        <w:rPr>
          <w:rFonts w:ascii="Palatino Linotype" w:eastAsia="Palatino Linotype" w:hAnsi="Palatino Linotype" w:cs="Palatino Linotype"/>
          <w:sz w:val="22"/>
          <w:szCs w:val="22"/>
        </w:rPr>
        <w:t>Documentos que conforman los expedientes laborales (Q</w:t>
      </w:r>
      <w:r w:rsidRPr="00E813DF">
        <w:rPr>
          <w:rFonts w:ascii="Palatino Linotype" w:eastAsia="Palatino Linotype" w:hAnsi="Palatino Linotype" w:cs="Palatino Linotype"/>
          <w:sz w:val="22"/>
          <w:szCs w:val="22"/>
          <w:u w:val="single"/>
        </w:rPr>
        <w:t>ue contenga entre otros documentos Curriculum Vitae, ficha curricular, o documento análogo,  Informe o Certificado de no antecedentes penales, Certificado de no deudor alimentario moroso, Nombramiento, contrato o formato único de movimientos de personal)</w:t>
      </w:r>
    </w:p>
    <w:p w14:paraId="52EF49C0" w14:textId="77777777" w:rsidR="00304047" w:rsidRPr="00E813DF" w:rsidRDefault="00CA623F">
      <w:pPr>
        <w:numPr>
          <w:ilvl w:val="0"/>
          <w:numId w:val="1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El documento que dé cuenta del alta del ISSEMYM </w:t>
      </w:r>
    </w:p>
    <w:p w14:paraId="40ED25A3" w14:textId="77777777" w:rsidR="00304047" w:rsidRPr="00E813DF" w:rsidRDefault="00CA623F">
      <w:pPr>
        <w:numPr>
          <w:ilvl w:val="0"/>
          <w:numId w:val="1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Credencial o gafete institucional</w:t>
      </w:r>
    </w:p>
    <w:p w14:paraId="64C9C4B7" w14:textId="77777777" w:rsidR="00304047" w:rsidRPr="00E813DF" w:rsidRDefault="00CA623F">
      <w:pPr>
        <w:numPr>
          <w:ilvl w:val="0"/>
          <w:numId w:val="1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Certificados de Competencia Laboral</w:t>
      </w:r>
    </w:p>
    <w:p w14:paraId="2B8C8CE7" w14:textId="77777777" w:rsidR="00304047" w:rsidRPr="00E813DF" w:rsidRDefault="00CA623F">
      <w:pPr>
        <w:numPr>
          <w:ilvl w:val="0"/>
          <w:numId w:val="14"/>
        </w:numPr>
        <w:pBdr>
          <w:top w:val="nil"/>
          <w:left w:val="nil"/>
          <w:bottom w:val="nil"/>
          <w:right w:val="nil"/>
          <w:between w:val="nil"/>
        </w:pBdr>
        <w:spacing w:before="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Acta de la Sesión de Cabildo en la que se aprobó el nombramiento de los titulares de las unidades administrativas del Ayuntamiento (acompañada en su caso de los expedientes de los titulares)</w:t>
      </w:r>
    </w:p>
    <w:p w14:paraId="4A064D63" w14:textId="77777777" w:rsidR="00304047" w:rsidRPr="00E813DF" w:rsidRDefault="00CA623F">
      <w:pPr>
        <w:numPr>
          <w:ilvl w:val="0"/>
          <w:numId w:val="14"/>
        </w:num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Documento que dé cuenta de la fecha y motivo de bajas de titulares de unidades administrativas de la actual administración, al veintiséis de mayo de dos mil veinticinco. </w:t>
      </w:r>
    </w:p>
    <w:p w14:paraId="6ED3B623" w14:textId="77777777" w:rsidR="00304047" w:rsidRPr="00E813DF" w:rsidRDefault="00CA623F">
      <w:pPr>
        <w:numPr>
          <w:ilvl w:val="0"/>
          <w:numId w:val="1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Acuerdo emitido por el Comité de Transparencia, a través del cual se clasifique como confidencial el pronunciamiento respecto a los procedimientos administrativos por faltas administrativas no graves, en trámite y concluidos (condenatorios y absolutorios) y quejas presentadas en la Defensoría Municipal de Derechos Humanos en trámite, o  concluidos sin recomendación o bien la recomendación no se relacione con alguno de los actos establecidos en el artículo 142 de la Ley de Transparencia, instaurados en contra de los titulares de las unidades administrativas  del Ayuntamiento, en términos de los artículos 49, fracción II, 132, fracción II, 143, fracción I y 149 de la Ley de Transparencia y Acceso a la Información Pública del Estado de México y Municipios;</w:t>
      </w:r>
    </w:p>
    <w:p w14:paraId="4AFF617D" w14:textId="77777777" w:rsidR="00304047" w:rsidRPr="00E813DF" w:rsidRDefault="00CA623F">
      <w:pPr>
        <w:numPr>
          <w:ilvl w:val="0"/>
          <w:numId w:val="1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sz w:val="22"/>
          <w:szCs w:val="22"/>
        </w:rPr>
        <w:t xml:space="preserve">Los expedientes de las quejas presentadas en la Defensoría Municipal de Derechos Humanos en contra de los servidores públicos referidos en la solicitud, que hayan concluido con una recomendación, por alguno de los supuestos del artículo 142 de la Ley de Transparencia y Acceso a la Información Pública del Estado de México y Municipios, y que a la fecha de la solicitud se encuentre firmes.  </w:t>
      </w:r>
    </w:p>
    <w:p w14:paraId="424BCD27" w14:textId="77777777" w:rsidR="00304047" w:rsidRPr="00E813DF" w:rsidRDefault="00CA623F">
      <w:pPr>
        <w:pBdr>
          <w:top w:val="nil"/>
          <w:left w:val="nil"/>
          <w:bottom w:val="nil"/>
          <w:right w:val="nil"/>
          <w:between w:val="nil"/>
        </w:pBdr>
        <w:tabs>
          <w:tab w:val="left" w:pos="1134"/>
          <w:tab w:val="left" w:pos="8222"/>
        </w:tabs>
        <w:spacing w:before="240" w:after="240" w:line="360" w:lineRule="auto"/>
        <w:ind w:left="851"/>
        <w:jc w:val="both"/>
        <w:rPr>
          <w:rFonts w:ascii="Palatino Linotype" w:eastAsia="Palatino Linotype" w:hAnsi="Palatino Linotype" w:cs="Palatino Linotype"/>
          <w:b/>
          <w:bCs/>
          <w:i/>
          <w:iCs/>
          <w:sz w:val="22"/>
          <w:szCs w:val="22"/>
          <w:u w:val="single"/>
        </w:rPr>
      </w:pPr>
      <w:r w:rsidRPr="00E813DF">
        <w:rPr>
          <w:rFonts w:ascii="Palatino Linotype" w:eastAsia="Palatino Linotype" w:hAnsi="Palatino Linotype" w:cs="Palatino Linotype"/>
          <w:i/>
          <w:iCs/>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w:t>
      </w:r>
      <w:r w:rsidRPr="00E813DF">
        <w:rPr>
          <w:rFonts w:ascii="Palatino Linotype" w:eastAsia="Palatino Linotype" w:hAnsi="Palatino Linotype" w:cs="Palatino Linotype"/>
          <w:b/>
          <w:bCs/>
          <w:i/>
          <w:iCs/>
          <w:sz w:val="22"/>
          <w:szCs w:val="22"/>
        </w:rPr>
        <w:t xml:space="preserve"> Recurrente</w:t>
      </w:r>
      <w:r w:rsidRPr="00E813DF">
        <w:rPr>
          <w:rFonts w:ascii="Palatino Linotype" w:eastAsia="Palatino Linotype" w:hAnsi="Palatino Linotype" w:cs="Palatino Linotype"/>
          <w:i/>
          <w:iCs/>
          <w:sz w:val="22"/>
          <w:szCs w:val="22"/>
        </w:rPr>
        <w:t xml:space="preserve">, mismo que igualmente hará de su conocimiento, </w:t>
      </w:r>
      <w:r w:rsidRPr="00E813DF">
        <w:rPr>
          <w:rFonts w:ascii="Palatino Linotype" w:eastAsia="Palatino Linotype" w:hAnsi="Palatino Linotype" w:cs="Palatino Linotype"/>
          <w:b/>
          <w:bCs/>
          <w:i/>
          <w:iCs/>
          <w:sz w:val="22"/>
          <w:szCs w:val="22"/>
          <w:u w:val="single"/>
        </w:rPr>
        <w:t>en el que se incluyan los motivos y fundamentos de la clasificación en su totalidad como información confidencial de las documentales correspondientes.</w:t>
      </w:r>
    </w:p>
    <w:p w14:paraId="710A3BB7" w14:textId="77777777" w:rsidR="00304047" w:rsidRPr="00E813DF" w:rsidRDefault="00CA623F">
      <w:pPr>
        <w:pBdr>
          <w:top w:val="nil"/>
          <w:left w:val="nil"/>
          <w:bottom w:val="nil"/>
          <w:right w:val="nil"/>
          <w:between w:val="nil"/>
        </w:pBdr>
        <w:tabs>
          <w:tab w:val="left" w:pos="1134"/>
          <w:tab w:val="left" w:pos="8222"/>
        </w:tabs>
        <w:spacing w:before="240" w:after="240" w:line="360" w:lineRule="auto"/>
        <w:ind w:left="851"/>
        <w:jc w:val="both"/>
        <w:rPr>
          <w:rFonts w:ascii="Palatino Linotype" w:eastAsia="Palatino Linotype" w:hAnsi="Palatino Linotype" w:cs="Palatino Linotype"/>
          <w:b/>
          <w:bCs/>
          <w:i/>
          <w:iCs/>
          <w:sz w:val="22"/>
          <w:szCs w:val="22"/>
          <w:u w:val="single"/>
        </w:rPr>
      </w:pPr>
      <w:r w:rsidRPr="00E813DF">
        <w:rPr>
          <w:rFonts w:ascii="Palatino Linotype" w:eastAsia="Palatino Linotype" w:hAnsi="Palatino Linotype" w:cs="Palatino Linotype"/>
          <w:i/>
          <w:iCs/>
          <w:sz w:val="22"/>
          <w:szCs w:val="22"/>
        </w:rPr>
        <w:t xml:space="preserve">De ser el caso de que no se cuente con la información que se ordena en el inciso d) respecto de aquellos servidores públicos de los cuales no sean obligatorios dichos documentos para ostentar el cargo, o bien, porque a la fecha de la solicitud no se hayan cumplido los seis meses para su presentación, inciso e) por lo que se refiere a los expedientes anexos al acta de cabildo, inciso f) y h), por no haberse generado, poseído o administrado a la fecha de la solicitud,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 </w:t>
      </w:r>
    </w:p>
    <w:p w14:paraId="30A1C08F" w14:textId="77777777" w:rsidR="00304047" w:rsidRPr="00E813DF" w:rsidRDefault="00CA623F">
      <w:pPr>
        <w:spacing w:before="240" w:after="240" w:line="360" w:lineRule="auto"/>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 xml:space="preserve">Tercero.  Notifíquese vía SAIMEX, </w:t>
      </w:r>
      <w:r w:rsidRPr="00E813DF">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8650923"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 xml:space="preserve">Cuarto. </w:t>
      </w:r>
      <w:r w:rsidRPr="00E813DF">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1C5FBA" w14:textId="77777777" w:rsidR="00304047" w:rsidRPr="00E813DF" w:rsidRDefault="00CA623F">
      <w:pPr>
        <w:spacing w:before="240" w:after="240" w:line="360" w:lineRule="auto"/>
        <w:ind w:right="49"/>
        <w:jc w:val="both"/>
        <w:rPr>
          <w:rFonts w:ascii="Palatino Linotype" w:eastAsia="Palatino Linotype" w:hAnsi="Palatino Linotype" w:cs="Palatino Linotype"/>
          <w:sz w:val="22"/>
          <w:szCs w:val="22"/>
        </w:rPr>
      </w:pPr>
      <w:r w:rsidRPr="00E813DF">
        <w:rPr>
          <w:rFonts w:ascii="Palatino Linotype" w:eastAsia="Palatino Linotype" w:hAnsi="Palatino Linotype" w:cs="Palatino Linotype"/>
          <w:b/>
          <w:bCs/>
          <w:sz w:val="22"/>
          <w:szCs w:val="22"/>
        </w:rPr>
        <w:t xml:space="preserve">Quinto. Notifíquese </w:t>
      </w:r>
      <w:r w:rsidRPr="00E813DF">
        <w:rPr>
          <w:rFonts w:ascii="Palatino Linotype" w:eastAsia="Palatino Linotype" w:hAnsi="Palatino Linotype" w:cs="Palatino Linotype"/>
          <w:sz w:val="22"/>
          <w:szCs w:val="22"/>
        </w:rPr>
        <w:t>vía</w:t>
      </w:r>
      <w:r w:rsidRPr="00E813DF">
        <w:rPr>
          <w:rFonts w:ascii="Palatino Linotype" w:eastAsia="Palatino Linotype" w:hAnsi="Palatino Linotype" w:cs="Palatino Linotype"/>
          <w:b/>
          <w:bCs/>
          <w:sz w:val="22"/>
          <w:szCs w:val="22"/>
        </w:rPr>
        <w:t xml:space="preserve"> SAIMEX, </w:t>
      </w:r>
      <w:r w:rsidRPr="00E813DF">
        <w:rPr>
          <w:rFonts w:ascii="Palatino Linotype" w:eastAsia="Palatino Linotype" w:hAnsi="Palatino Linotype" w:cs="Palatino Linotype"/>
          <w:sz w:val="22"/>
          <w:szCs w:val="22"/>
        </w:rPr>
        <w:t>a la parte</w:t>
      </w:r>
      <w:r w:rsidRPr="00E813DF">
        <w:rPr>
          <w:rFonts w:ascii="Palatino Linotype" w:eastAsia="Palatino Linotype" w:hAnsi="Palatino Linotype" w:cs="Palatino Linotype"/>
          <w:b/>
          <w:bCs/>
          <w:sz w:val="22"/>
          <w:szCs w:val="22"/>
        </w:rPr>
        <w:t xml:space="preserve"> Recurrente</w:t>
      </w:r>
      <w:r w:rsidRPr="00E813DF">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14:paraId="46913E82" w14:textId="0D0CB60D" w:rsidR="00304047" w:rsidRPr="00725990" w:rsidRDefault="00CA623F">
      <w:pPr>
        <w:spacing w:before="240" w:after="240" w:line="360" w:lineRule="auto"/>
        <w:jc w:val="both"/>
        <w:rPr>
          <w:rFonts w:ascii="Palatino Linotype" w:eastAsia="Palatino Linotype" w:hAnsi="Palatino Linotype" w:cs="Palatino Linotype"/>
          <w:sz w:val="22"/>
          <w:szCs w:val="22"/>
        </w:rPr>
      </w:pPr>
      <w:bookmarkStart w:id="20" w:name="_heading=h.yyco2brk3mep" w:colFirst="0" w:colLast="0"/>
      <w:bookmarkEnd w:id="20"/>
      <w:r w:rsidRPr="00E813DF">
        <w:rPr>
          <w:rFonts w:ascii="Palatino Linotype" w:eastAsia="Palatino Linotype" w:hAnsi="Palatino Linotype" w:cs="Palatino Linotype"/>
          <w:sz w:val="22"/>
          <w:szCs w:val="22"/>
        </w:rPr>
        <w:t>ASÍ LO APROBÓ POR UNANIMIDAD DE VOTOS EL PLENO DEL INSTITUTO DE TRANSPARENCIA, ACCESO A LA INFORMACIÓN PÚBLICA Y PROTECCIÓN DE DATOS PERSONALES DEL ESTADO DE MÉXICO Y MUNICIPIOS, CONFORMADO POR LOS COMISIONADOS JOSÉ MARTÍNEZ VILCHIS; MARÍA DEL ROSARIO MEJÍA AYALA</w:t>
      </w:r>
      <w:r w:rsidR="00A85B17" w:rsidRPr="00E813DF">
        <w:rPr>
          <w:rFonts w:ascii="Palatino Linotype" w:eastAsia="Palatino Linotype" w:hAnsi="Palatino Linotype" w:cs="Palatino Linotype"/>
          <w:sz w:val="22"/>
          <w:szCs w:val="22"/>
        </w:rPr>
        <w:t>, EMITIENDO VOTO PARTICULAR</w:t>
      </w:r>
      <w:r w:rsidRPr="00E813DF">
        <w:rPr>
          <w:rFonts w:ascii="Palatino Linotype" w:eastAsia="Palatino Linotype" w:hAnsi="Palatino Linotype" w:cs="Palatino Linotype"/>
          <w:sz w:val="22"/>
          <w:szCs w:val="22"/>
        </w:rPr>
        <w:t>; SHARON CRISTINA MORALES MARTÍNEZ, LUIS GUSTAVO PARRA NORIEGA</w:t>
      </w:r>
      <w:r w:rsidR="00A85B17" w:rsidRPr="00E813DF">
        <w:rPr>
          <w:rFonts w:ascii="Palatino Linotype" w:eastAsia="Palatino Linotype" w:hAnsi="Palatino Linotype" w:cs="Palatino Linotype"/>
          <w:sz w:val="22"/>
          <w:szCs w:val="22"/>
        </w:rPr>
        <w:t>, EMITIENDO VOTO PARTICULAR</w:t>
      </w:r>
      <w:r w:rsidRPr="00E813DF">
        <w:rPr>
          <w:rFonts w:ascii="Palatino Linotype" w:eastAsia="Palatino Linotype" w:hAnsi="Palatino Linotype" w:cs="Palatino Linotype"/>
          <w:sz w:val="22"/>
          <w:szCs w:val="22"/>
        </w:rPr>
        <w:t>; Y GUADALUPE RAMÍREZ PEÑA</w:t>
      </w:r>
      <w:r w:rsidR="00A85B17" w:rsidRPr="00E813DF">
        <w:rPr>
          <w:rFonts w:ascii="Palatino Linotype" w:eastAsia="Palatino Linotype" w:hAnsi="Palatino Linotype" w:cs="Palatino Linotype"/>
          <w:sz w:val="22"/>
          <w:szCs w:val="22"/>
        </w:rPr>
        <w:t>, EMITIENDO VOTO PARTICULAR</w:t>
      </w:r>
      <w:r w:rsidRPr="00E813DF">
        <w:rPr>
          <w:rFonts w:ascii="Palatino Linotype" w:eastAsia="Palatino Linotype" w:hAnsi="Palatino Linotype" w:cs="Palatino Linotype"/>
          <w:sz w:val="22"/>
          <w:szCs w:val="22"/>
        </w:rPr>
        <w:t>; EN LA DÉCIMA PRIMERA SESIÓN ORDINARIA CELEBRADA EL VEINTICINCO DE MARZO DE DOS MIL VEINTISÉIS, ANTE EL SECRETARIO TÉCNICO DEL PLENO ALEXIS TAPIA RAMÍREZ.</w:t>
      </w:r>
    </w:p>
    <w:p w14:paraId="4D17D632" w14:textId="77777777" w:rsidR="00304047" w:rsidRPr="00725990" w:rsidRDefault="00304047">
      <w:pPr>
        <w:spacing w:before="240" w:after="240" w:line="360" w:lineRule="auto"/>
        <w:ind w:right="141"/>
        <w:jc w:val="both"/>
        <w:rPr>
          <w:rFonts w:ascii="Palatino Linotype" w:eastAsia="Palatino Linotype" w:hAnsi="Palatino Linotype" w:cs="Palatino Linotype"/>
          <w:sz w:val="22"/>
          <w:szCs w:val="22"/>
        </w:rPr>
      </w:pPr>
    </w:p>
    <w:p w14:paraId="26811541" w14:textId="77777777" w:rsidR="00304047" w:rsidRPr="00725990" w:rsidRDefault="00304047">
      <w:pPr>
        <w:spacing w:before="240" w:after="240" w:line="360" w:lineRule="auto"/>
        <w:ind w:right="141"/>
        <w:jc w:val="both"/>
        <w:rPr>
          <w:rFonts w:ascii="Palatino Linotype" w:eastAsia="Palatino Linotype" w:hAnsi="Palatino Linotype" w:cs="Palatino Linotype"/>
          <w:sz w:val="22"/>
          <w:szCs w:val="22"/>
        </w:rPr>
      </w:pPr>
    </w:p>
    <w:p w14:paraId="41193754"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7F6C6DC0"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7DBB4F97"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15E942FA"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30BB32AF"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18943074"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0813938F"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72107803"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7CD90B97"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2D9E8D7A" w14:textId="5FE6D27B"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3525B1B2" w14:textId="021EBA8E" w:rsidR="00725990" w:rsidRPr="00725990" w:rsidRDefault="00725990">
      <w:pPr>
        <w:spacing w:before="240" w:after="240" w:line="360" w:lineRule="auto"/>
        <w:jc w:val="both"/>
        <w:rPr>
          <w:rFonts w:ascii="Palatino Linotype" w:eastAsia="Palatino Linotype" w:hAnsi="Palatino Linotype" w:cs="Palatino Linotype"/>
          <w:sz w:val="22"/>
          <w:szCs w:val="22"/>
        </w:rPr>
      </w:pPr>
    </w:p>
    <w:p w14:paraId="6FE79899" w14:textId="22D61C93" w:rsidR="00725990" w:rsidRPr="00725990" w:rsidRDefault="00725990">
      <w:pPr>
        <w:spacing w:before="240" w:after="240" w:line="360" w:lineRule="auto"/>
        <w:jc w:val="both"/>
        <w:rPr>
          <w:rFonts w:ascii="Palatino Linotype" w:eastAsia="Palatino Linotype" w:hAnsi="Palatino Linotype" w:cs="Palatino Linotype"/>
          <w:sz w:val="22"/>
          <w:szCs w:val="22"/>
        </w:rPr>
      </w:pPr>
    </w:p>
    <w:p w14:paraId="0B12E8AE" w14:textId="6F75144E" w:rsidR="00725990" w:rsidRPr="00725990" w:rsidRDefault="00725990">
      <w:pPr>
        <w:spacing w:before="240" w:after="240" w:line="360" w:lineRule="auto"/>
        <w:jc w:val="both"/>
        <w:rPr>
          <w:rFonts w:ascii="Palatino Linotype" w:eastAsia="Palatino Linotype" w:hAnsi="Palatino Linotype" w:cs="Palatino Linotype"/>
          <w:sz w:val="22"/>
          <w:szCs w:val="22"/>
        </w:rPr>
      </w:pPr>
    </w:p>
    <w:p w14:paraId="7998DDE8" w14:textId="78860AEF" w:rsidR="00725990" w:rsidRPr="00725990" w:rsidRDefault="00725990">
      <w:pPr>
        <w:spacing w:before="240" w:after="240" w:line="360" w:lineRule="auto"/>
        <w:jc w:val="both"/>
        <w:rPr>
          <w:rFonts w:ascii="Palatino Linotype" w:eastAsia="Palatino Linotype" w:hAnsi="Palatino Linotype" w:cs="Palatino Linotype"/>
          <w:sz w:val="22"/>
          <w:szCs w:val="22"/>
        </w:rPr>
      </w:pPr>
    </w:p>
    <w:p w14:paraId="495E6431" w14:textId="77777777" w:rsidR="00725990" w:rsidRPr="00725990" w:rsidRDefault="00725990">
      <w:pPr>
        <w:spacing w:before="240" w:after="240" w:line="360" w:lineRule="auto"/>
        <w:jc w:val="both"/>
        <w:rPr>
          <w:rFonts w:ascii="Palatino Linotype" w:eastAsia="Palatino Linotype" w:hAnsi="Palatino Linotype" w:cs="Palatino Linotype"/>
          <w:sz w:val="22"/>
          <w:szCs w:val="22"/>
        </w:rPr>
      </w:pPr>
    </w:p>
    <w:p w14:paraId="36A65145"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258896A4"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p w14:paraId="0407CB80" w14:textId="77777777" w:rsidR="00304047" w:rsidRPr="00725990" w:rsidRDefault="00304047">
      <w:pPr>
        <w:spacing w:before="240" w:after="240" w:line="360" w:lineRule="auto"/>
        <w:jc w:val="both"/>
        <w:rPr>
          <w:rFonts w:ascii="Palatino Linotype" w:eastAsia="Palatino Linotype" w:hAnsi="Palatino Linotype" w:cs="Palatino Linotype"/>
          <w:sz w:val="22"/>
          <w:szCs w:val="22"/>
        </w:rPr>
      </w:pPr>
    </w:p>
    <w:sectPr w:rsidR="00304047" w:rsidRPr="00725990">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D9BC6" w14:textId="77777777" w:rsidR="006623AF" w:rsidRDefault="006623AF">
      <w:r>
        <w:separator/>
      </w:r>
    </w:p>
  </w:endnote>
  <w:endnote w:type="continuationSeparator" w:id="0">
    <w:p w14:paraId="3524B25F" w14:textId="77777777" w:rsidR="006623AF" w:rsidRDefault="00662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EAFFF531-2EAA-45F9-B905-6B5BBD4040F3}"/>
    <w:embedBold r:id="rId2" w:fontKey="{86414A2E-2073-49DA-BADE-101235E7D74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8B3A22EE-FD71-4976-B578-852FEB61EBA9}"/>
    <w:embedBold r:id="rId4" w:fontKey="{53A8EA72-0C64-4A14-A4A3-FACC25674841}"/>
    <w:embedItalic r:id="rId5" w:fontKey="{7D71613E-DD70-407C-9066-AAED0D4BE820}"/>
    <w:embedBoldItalic r:id="rId6" w:fontKey="{E90B2714-E778-420C-A679-0222F4770A5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BA50578F-805C-4745-97B7-AB62A5787C8B}"/>
    <w:embedBold r:id="rId8" w:fontKey="{DCC1A5D8-A339-4722-AF71-A61F0EE3B5C4}"/>
  </w:font>
  <w:font w:name="Cambria">
    <w:panose1 w:val="02040503050406030204"/>
    <w:charset w:val="00"/>
    <w:family w:val="roman"/>
    <w:pitch w:val="variable"/>
    <w:sig w:usb0="E00006FF" w:usb1="420024FF" w:usb2="02000000" w:usb3="00000000" w:csb0="0000019F" w:csb1="00000000"/>
    <w:embedRegular r:id="rId9" w:fontKey="{DF1D4CB8-DE4D-4EE1-AAC8-8BDCF01900B2}"/>
    <w:embedBold r:id="rId10" w:fontKey="{81274302-C6C5-414F-8187-4D9F659E680E}"/>
    <w:embedBoldItalic r:id="rId11" w:fontKey="{EF259872-A908-422D-8657-2B254D45BDD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2" w:fontKey="{56AC7AA2-2A10-4941-8BCE-AE228CB18DC3}"/>
  </w:font>
  <w:font w:name="Georgia">
    <w:panose1 w:val="02040502050405020303"/>
    <w:charset w:val="00"/>
    <w:family w:val="roman"/>
    <w:pitch w:val="variable"/>
    <w:sig w:usb0="00000287" w:usb1="00000000" w:usb2="00000000" w:usb3="00000000" w:csb0="0000009F" w:csb1="00000000"/>
    <w:embedItalic r:id="rId13" w:fontKey="{0EBEEF83-03B8-48C9-991E-F23426663AD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32F01" w14:textId="73D8BFDB" w:rsidR="00304047" w:rsidRDefault="00CA623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01427A">
      <w:rPr>
        <w:rFonts w:ascii="Palatino Linotype" w:eastAsia="Palatino Linotype" w:hAnsi="Palatino Linotype" w:cs="Palatino Linotype"/>
        <w:b/>
        <w:bCs/>
        <w:noProof/>
        <w:color w:val="000000"/>
        <w:sz w:val="20"/>
        <w:szCs w:val="20"/>
      </w:rPr>
      <w:t>16</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01427A">
      <w:rPr>
        <w:rFonts w:ascii="Palatino Linotype" w:eastAsia="Palatino Linotype" w:hAnsi="Palatino Linotype" w:cs="Palatino Linotype"/>
        <w:b/>
        <w:bCs/>
        <w:noProof/>
        <w:color w:val="000000"/>
        <w:sz w:val="20"/>
        <w:szCs w:val="20"/>
      </w:rPr>
      <w:t>125</w:t>
    </w:r>
    <w:r>
      <w:rPr>
        <w:rFonts w:ascii="Palatino Linotype" w:eastAsia="Palatino Linotype" w:hAnsi="Palatino Linotype" w:cs="Palatino Linotype"/>
        <w:b/>
        <w:bCs/>
        <w:color w:val="000000"/>
        <w:sz w:val="20"/>
        <w:szCs w:val="20"/>
      </w:rPr>
      <w:fldChar w:fldCharType="end"/>
    </w:r>
  </w:p>
  <w:p w14:paraId="4ABEF7A1" w14:textId="77777777" w:rsidR="00304047" w:rsidRDefault="0030404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B2FE1" w14:textId="684F7AF1" w:rsidR="00304047" w:rsidRDefault="00CA623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01427A">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01427A">
      <w:rPr>
        <w:rFonts w:ascii="Palatino Linotype" w:eastAsia="Palatino Linotype" w:hAnsi="Palatino Linotype" w:cs="Palatino Linotype"/>
        <w:b/>
        <w:bCs/>
        <w:noProof/>
        <w:color w:val="000000"/>
        <w:sz w:val="20"/>
        <w:szCs w:val="20"/>
      </w:rPr>
      <w:t>125</w:t>
    </w:r>
    <w:r>
      <w:rPr>
        <w:rFonts w:ascii="Palatino Linotype" w:eastAsia="Palatino Linotype" w:hAnsi="Palatino Linotype" w:cs="Palatino Linotype"/>
        <w:b/>
        <w:bCs/>
        <w:color w:val="000000"/>
        <w:sz w:val="20"/>
        <w:szCs w:val="20"/>
      </w:rPr>
      <w:fldChar w:fldCharType="end"/>
    </w:r>
  </w:p>
  <w:p w14:paraId="4E68ABC5" w14:textId="77777777" w:rsidR="00304047" w:rsidRDefault="0030404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07F45" w14:textId="77777777" w:rsidR="006623AF" w:rsidRDefault="006623AF">
      <w:r>
        <w:separator/>
      </w:r>
    </w:p>
  </w:footnote>
  <w:footnote w:type="continuationSeparator" w:id="0">
    <w:p w14:paraId="4D923C52" w14:textId="77777777" w:rsidR="006623AF" w:rsidRDefault="006623AF">
      <w:r>
        <w:continuationSeparator/>
      </w:r>
    </w:p>
  </w:footnote>
  <w:footnote w:id="1">
    <w:p w14:paraId="25797BED" w14:textId="77777777" w:rsidR="00304047" w:rsidRDefault="00CA623F">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40940C56" w14:textId="77777777" w:rsidR="00304047" w:rsidRDefault="00CA623F">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0AAA25E6" w14:textId="77777777" w:rsidR="00304047" w:rsidRDefault="00CA623F">
      <w:pPr>
        <w:spacing w:after="120" w:line="196"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 w:id="4">
    <w:p w14:paraId="3C7C9630" w14:textId="77777777" w:rsidR="00304047" w:rsidRDefault="00CA623F">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bCs/>
          <w:sz w:val="16"/>
          <w:szCs w:val="16"/>
        </w:rPr>
        <w:t xml:space="preserve">ARTÍCULO 94. </w:t>
      </w:r>
      <w:r>
        <w:rPr>
          <w:rFonts w:ascii="Palatino Linotype" w:eastAsia="Palatino Linotype" w:hAnsi="Palatino Linotype" w:cs="Palatino Linotype"/>
          <w:sz w:val="16"/>
          <w:szCs w:val="16"/>
        </w:rPr>
        <w:t>La institución pública deberá dar aviso por escrito al servidor público de manera personal, de la fecha y causa o causas de la rescisión de la relación laboral.</w:t>
      </w:r>
    </w:p>
    <w:p w14:paraId="129A7AAB" w14:textId="77777777" w:rsidR="00304047" w:rsidRDefault="00CA623F">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w:t>
      </w:r>
    </w:p>
    <w:p w14:paraId="4B60B3AF" w14:textId="77777777" w:rsidR="00304047" w:rsidRDefault="00CA623F">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sea notificado el servidor público.</w:t>
      </w:r>
    </w:p>
    <w:p w14:paraId="57DA17F1" w14:textId="77777777" w:rsidR="00304047" w:rsidRDefault="00CA623F">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La falta de aviso al servidor público, al Tribunal o a la Sala por sí sola bastará para considerar que el despido fue injustificado.</w:t>
      </w:r>
    </w:p>
  </w:footnote>
  <w:footnote w:id="5">
    <w:p w14:paraId="64D54A72" w14:textId="77777777" w:rsidR="00304047" w:rsidRDefault="00CA62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Cfr. Artículo 96 Ley del Trabajo de los Servidores Públicos del Estado de México y Municipios.</w:t>
      </w:r>
    </w:p>
  </w:footnote>
  <w:footnote w:id="6">
    <w:p w14:paraId="6595E5B5" w14:textId="77777777" w:rsidR="00304047" w:rsidRDefault="00CA623F">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8FB6A" w14:textId="77777777" w:rsidR="00304047" w:rsidRDefault="00CA623F">
    <w:pPr>
      <w:rPr>
        <w:rFonts w:ascii="Cambria" w:eastAsia="Cambria" w:hAnsi="Cambria" w:cs="Cambria"/>
        <w:color w:val="000000"/>
      </w:rPr>
    </w:pPr>
    <w:r>
      <w:rPr>
        <w:noProof/>
      </w:rPr>
      <w:drawing>
        <wp:anchor distT="0" distB="0" distL="0" distR="0" simplePos="0" relativeHeight="251658240" behindDoc="1" locked="0" layoutInCell="1" hidden="0" allowOverlap="1" wp14:anchorId="716625F4" wp14:editId="76CAFAF2">
          <wp:simplePos x="0" y="0"/>
          <wp:positionH relativeFrom="column">
            <wp:posOffset>-1080131</wp:posOffset>
          </wp:positionH>
          <wp:positionV relativeFrom="paragraph">
            <wp:posOffset>-488274</wp:posOffset>
          </wp:positionV>
          <wp:extent cx="7809865" cy="10165715"/>
          <wp:effectExtent l="0" t="0" r="0" b="0"/>
          <wp:wrapNone/>
          <wp:docPr id="214310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e"/>
      <w:tblW w:w="5811" w:type="dxa"/>
      <w:tblInd w:w="3261" w:type="dxa"/>
      <w:tblLayout w:type="fixed"/>
      <w:tblLook w:val="0400" w:firstRow="0" w:lastRow="0" w:firstColumn="0" w:lastColumn="0" w:noHBand="0" w:noVBand="1"/>
    </w:tblPr>
    <w:tblGrid>
      <w:gridCol w:w="2489"/>
      <w:gridCol w:w="3322"/>
    </w:tblGrid>
    <w:tr w:rsidR="00304047" w14:paraId="31D81B09" w14:textId="77777777">
      <w:tc>
        <w:tcPr>
          <w:tcW w:w="2489" w:type="dxa"/>
          <w:shd w:val="clear" w:color="auto" w:fill="auto"/>
        </w:tcPr>
        <w:p w14:paraId="4601EDE5" w14:textId="77777777" w:rsidR="00304047" w:rsidRDefault="00CA623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322" w:type="dxa"/>
          <w:shd w:val="clear" w:color="auto" w:fill="auto"/>
          <w:vAlign w:val="center"/>
        </w:tcPr>
        <w:p w14:paraId="5310429B" w14:textId="77777777" w:rsidR="00304047" w:rsidRDefault="00CA623F">
          <w:pPr>
            <w:ind w:left="-53"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08309/INFOEM/IP/RR/2025</w:t>
          </w:r>
        </w:p>
      </w:tc>
    </w:tr>
    <w:tr w:rsidR="00304047" w14:paraId="430B1538" w14:textId="77777777">
      <w:trPr>
        <w:trHeight w:val="228"/>
      </w:trPr>
      <w:tc>
        <w:tcPr>
          <w:tcW w:w="2489" w:type="dxa"/>
          <w:shd w:val="clear" w:color="auto" w:fill="auto"/>
          <w:vAlign w:val="center"/>
        </w:tcPr>
        <w:p w14:paraId="4A92033B" w14:textId="77777777" w:rsidR="00304047" w:rsidRDefault="00CA623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322" w:type="dxa"/>
          <w:shd w:val="clear" w:color="auto" w:fill="auto"/>
          <w:vAlign w:val="center"/>
        </w:tcPr>
        <w:p w14:paraId="5E92DBE7" w14:textId="77777777" w:rsidR="00304047" w:rsidRDefault="00CA623F">
          <w:pPr>
            <w:ind w:left="-45" w:right="16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304047" w14:paraId="691A6485" w14:textId="77777777">
      <w:tc>
        <w:tcPr>
          <w:tcW w:w="2489" w:type="dxa"/>
          <w:shd w:val="clear" w:color="auto" w:fill="auto"/>
          <w:vAlign w:val="center"/>
        </w:tcPr>
        <w:p w14:paraId="1B39D931" w14:textId="77777777" w:rsidR="00304047" w:rsidRDefault="00CA623F">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322" w:type="dxa"/>
          <w:shd w:val="clear" w:color="auto" w:fill="auto"/>
          <w:vAlign w:val="center"/>
        </w:tcPr>
        <w:p w14:paraId="154DEA18" w14:textId="77777777" w:rsidR="00304047" w:rsidRDefault="00CA623F">
          <w:pPr>
            <w:ind w:left="-53"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348F3F4C" w14:textId="77777777" w:rsidR="00304047" w:rsidRDefault="00CA623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BCCF0" w14:textId="77777777" w:rsidR="00304047" w:rsidRDefault="00CA623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40A191D" wp14:editId="72724978">
          <wp:simplePos x="0" y="0"/>
          <wp:positionH relativeFrom="column">
            <wp:posOffset>-1080126</wp:posOffset>
          </wp:positionH>
          <wp:positionV relativeFrom="paragraph">
            <wp:posOffset>-369901</wp:posOffset>
          </wp:positionV>
          <wp:extent cx="7809865" cy="10165715"/>
          <wp:effectExtent l="0" t="0" r="0" b="0"/>
          <wp:wrapNone/>
          <wp:docPr id="21431082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
      <w:tblW w:w="6095" w:type="dxa"/>
      <w:tblInd w:w="3261" w:type="dxa"/>
      <w:tblLayout w:type="fixed"/>
      <w:tblLook w:val="0400" w:firstRow="0" w:lastRow="0" w:firstColumn="0" w:lastColumn="0" w:noHBand="0" w:noVBand="1"/>
    </w:tblPr>
    <w:tblGrid>
      <w:gridCol w:w="2489"/>
      <w:gridCol w:w="3606"/>
    </w:tblGrid>
    <w:tr w:rsidR="00304047" w14:paraId="10B2BE94" w14:textId="77777777">
      <w:tc>
        <w:tcPr>
          <w:tcW w:w="2489" w:type="dxa"/>
          <w:shd w:val="clear" w:color="auto" w:fill="auto"/>
        </w:tcPr>
        <w:p w14:paraId="1911F100" w14:textId="77777777" w:rsidR="00304047" w:rsidRDefault="00CA623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06" w:type="dxa"/>
          <w:shd w:val="clear" w:color="auto" w:fill="auto"/>
          <w:vAlign w:val="center"/>
        </w:tcPr>
        <w:p w14:paraId="6057505C" w14:textId="77777777" w:rsidR="00304047" w:rsidRDefault="00CA623F">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08309/INFOEM/IP/RR/2025</w:t>
          </w:r>
        </w:p>
      </w:tc>
    </w:tr>
    <w:tr w:rsidR="00304047" w14:paraId="1BF36287" w14:textId="77777777">
      <w:tc>
        <w:tcPr>
          <w:tcW w:w="2489" w:type="dxa"/>
          <w:shd w:val="clear" w:color="auto" w:fill="auto"/>
        </w:tcPr>
        <w:p w14:paraId="3445EF7C" w14:textId="77777777" w:rsidR="00304047" w:rsidRDefault="00CA623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606" w:type="dxa"/>
          <w:shd w:val="clear" w:color="auto" w:fill="auto"/>
          <w:vAlign w:val="center"/>
        </w:tcPr>
        <w:p w14:paraId="7A0138F7" w14:textId="77777777" w:rsidR="00304047" w:rsidRDefault="00304047">
          <w:pPr>
            <w:ind w:right="175"/>
            <w:jc w:val="both"/>
            <w:rPr>
              <w:rFonts w:ascii="Palatino Linotype" w:eastAsia="Palatino Linotype" w:hAnsi="Palatino Linotype" w:cs="Palatino Linotype"/>
              <w:b/>
              <w:bCs/>
              <w:sz w:val="22"/>
              <w:szCs w:val="22"/>
            </w:rPr>
          </w:pPr>
        </w:p>
      </w:tc>
    </w:tr>
    <w:tr w:rsidR="00304047" w14:paraId="0C3FBB01" w14:textId="77777777">
      <w:trPr>
        <w:trHeight w:val="228"/>
      </w:trPr>
      <w:tc>
        <w:tcPr>
          <w:tcW w:w="2489" w:type="dxa"/>
          <w:shd w:val="clear" w:color="auto" w:fill="auto"/>
          <w:vAlign w:val="center"/>
        </w:tcPr>
        <w:p w14:paraId="6317A630" w14:textId="77777777" w:rsidR="00304047" w:rsidRDefault="00CA623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06" w:type="dxa"/>
          <w:shd w:val="clear" w:color="auto" w:fill="auto"/>
          <w:vAlign w:val="center"/>
        </w:tcPr>
        <w:p w14:paraId="1D4F74C7" w14:textId="77777777" w:rsidR="00304047" w:rsidRDefault="00CA623F">
          <w:pPr>
            <w:ind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304047" w14:paraId="6FFC8315" w14:textId="77777777">
      <w:tc>
        <w:tcPr>
          <w:tcW w:w="2489" w:type="dxa"/>
          <w:shd w:val="clear" w:color="auto" w:fill="auto"/>
          <w:vAlign w:val="center"/>
        </w:tcPr>
        <w:p w14:paraId="03F5DE7F" w14:textId="77777777" w:rsidR="00304047" w:rsidRDefault="00CA623F">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606" w:type="dxa"/>
          <w:shd w:val="clear" w:color="auto" w:fill="auto"/>
          <w:vAlign w:val="center"/>
        </w:tcPr>
        <w:p w14:paraId="0A656C68" w14:textId="77777777" w:rsidR="00304047" w:rsidRDefault="00CA623F">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453DAA66" w14:textId="77777777" w:rsidR="00304047" w:rsidRDefault="0030404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6538"/>
    <w:multiLevelType w:val="multilevel"/>
    <w:tmpl w:val="D97E6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CF39DA"/>
    <w:multiLevelType w:val="multilevel"/>
    <w:tmpl w:val="1FA0C106"/>
    <w:lvl w:ilvl="0">
      <w:start w:val="7"/>
      <w:numFmt w:val="bullet"/>
      <w:lvlText w:val="-"/>
      <w:lvlJc w:val="left"/>
      <w:pPr>
        <w:ind w:left="465" w:hanging="360"/>
      </w:pPr>
      <w:rPr>
        <w:rFonts w:ascii="Palatino Linotype" w:eastAsia="Palatino Linotype" w:hAnsi="Palatino Linotype" w:cs="Palatino Linotype"/>
      </w:rPr>
    </w:lvl>
    <w:lvl w:ilvl="1">
      <w:start w:val="1"/>
      <w:numFmt w:val="bullet"/>
      <w:lvlText w:val="o"/>
      <w:lvlJc w:val="left"/>
      <w:pPr>
        <w:ind w:left="1185" w:hanging="360"/>
      </w:pPr>
      <w:rPr>
        <w:rFonts w:ascii="Courier New" w:eastAsia="Courier New" w:hAnsi="Courier New" w:cs="Courier New"/>
      </w:rPr>
    </w:lvl>
    <w:lvl w:ilvl="2">
      <w:start w:val="1"/>
      <w:numFmt w:val="bullet"/>
      <w:lvlText w:val="▪"/>
      <w:lvlJc w:val="left"/>
      <w:pPr>
        <w:ind w:left="1905" w:hanging="360"/>
      </w:pPr>
      <w:rPr>
        <w:rFonts w:ascii="Noto Sans Symbols" w:eastAsia="Noto Sans Symbols" w:hAnsi="Noto Sans Symbols" w:cs="Noto Sans Symbols"/>
      </w:rPr>
    </w:lvl>
    <w:lvl w:ilvl="3">
      <w:start w:val="1"/>
      <w:numFmt w:val="bullet"/>
      <w:lvlText w:val="●"/>
      <w:lvlJc w:val="left"/>
      <w:pPr>
        <w:ind w:left="2625" w:hanging="360"/>
      </w:pPr>
      <w:rPr>
        <w:rFonts w:ascii="Noto Sans Symbols" w:eastAsia="Noto Sans Symbols" w:hAnsi="Noto Sans Symbols" w:cs="Noto Sans Symbols"/>
      </w:rPr>
    </w:lvl>
    <w:lvl w:ilvl="4">
      <w:start w:val="1"/>
      <w:numFmt w:val="bullet"/>
      <w:lvlText w:val="o"/>
      <w:lvlJc w:val="left"/>
      <w:pPr>
        <w:ind w:left="3345" w:hanging="360"/>
      </w:pPr>
      <w:rPr>
        <w:rFonts w:ascii="Courier New" w:eastAsia="Courier New" w:hAnsi="Courier New" w:cs="Courier New"/>
      </w:rPr>
    </w:lvl>
    <w:lvl w:ilvl="5">
      <w:start w:val="1"/>
      <w:numFmt w:val="bullet"/>
      <w:lvlText w:val="▪"/>
      <w:lvlJc w:val="left"/>
      <w:pPr>
        <w:ind w:left="4065" w:hanging="360"/>
      </w:pPr>
      <w:rPr>
        <w:rFonts w:ascii="Noto Sans Symbols" w:eastAsia="Noto Sans Symbols" w:hAnsi="Noto Sans Symbols" w:cs="Noto Sans Symbols"/>
      </w:rPr>
    </w:lvl>
    <w:lvl w:ilvl="6">
      <w:start w:val="1"/>
      <w:numFmt w:val="bullet"/>
      <w:lvlText w:val="●"/>
      <w:lvlJc w:val="left"/>
      <w:pPr>
        <w:ind w:left="4785" w:hanging="360"/>
      </w:pPr>
      <w:rPr>
        <w:rFonts w:ascii="Noto Sans Symbols" w:eastAsia="Noto Sans Symbols" w:hAnsi="Noto Sans Symbols" w:cs="Noto Sans Symbols"/>
      </w:rPr>
    </w:lvl>
    <w:lvl w:ilvl="7">
      <w:start w:val="1"/>
      <w:numFmt w:val="bullet"/>
      <w:lvlText w:val="o"/>
      <w:lvlJc w:val="left"/>
      <w:pPr>
        <w:ind w:left="5505" w:hanging="360"/>
      </w:pPr>
      <w:rPr>
        <w:rFonts w:ascii="Courier New" w:eastAsia="Courier New" w:hAnsi="Courier New" w:cs="Courier New"/>
      </w:rPr>
    </w:lvl>
    <w:lvl w:ilvl="8">
      <w:start w:val="1"/>
      <w:numFmt w:val="bullet"/>
      <w:lvlText w:val="▪"/>
      <w:lvlJc w:val="left"/>
      <w:pPr>
        <w:ind w:left="6225" w:hanging="360"/>
      </w:pPr>
      <w:rPr>
        <w:rFonts w:ascii="Noto Sans Symbols" w:eastAsia="Noto Sans Symbols" w:hAnsi="Noto Sans Symbols" w:cs="Noto Sans Symbols"/>
      </w:rPr>
    </w:lvl>
  </w:abstractNum>
  <w:abstractNum w:abstractNumId="2" w15:restartNumberingAfterBreak="0">
    <w:nsid w:val="01A54E83"/>
    <w:multiLevelType w:val="multilevel"/>
    <w:tmpl w:val="672C9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557F98"/>
    <w:multiLevelType w:val="multilevel"/>
    <w:tmpl w:val="9FAC2B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BB958A9"/>
    <w:multiLevelType w:val="multilevel"/>
    <w:tmpl w:val="44DC1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8C5DA0"/>
    <w:multiLevelType w:val="multilevel"/>
    <w:tmpl w:val="38987A0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C858B5"/>
    <w:multiLevelType w:val="multilevel"/>
    <w:tmpl w:val="BB46D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233C3B"/>
    <w:multiLevelType w:val="multilevel"/>
    <w:tmpl w:val="D2E8CEA8"/>
    <w:lvl w:ilvl="0">
      <w:start w:val="2"/>
      <w:numFmt w:val="bullet"/>
      <w:pStyle w:val="Listaconvietas"/>
      <w:lvlText w:val="●"/>
      <w:lvlJc w:val="left"/>
      <w:pPr>
        <w:ind w:left="360" w:hanging="360"/>
      </w:pPr>
      <w:rPr>
        <w:rFonts w:ascii="Noto Sans Symbols" w:eastAsia="Noto Sans Symbols" w:hAnsi="Noto Sans Symbols" w:cs="Noto Sans Symbols"/>
        <w:b/>
        <w:bCs/>
        <w:i w:val="0"/>
        <w:iCs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8667D0C"/>
    <w:multiLevelType w:val="multilevel"/>
    <w:tmpl w:val="0AE2BCBC"/>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2B3EA2"/>
    <w:multiLevelType w:val="multilevel"/>
    <w:tmpl w:val="17D2156A"/>
    <w:lvl w:ilvl="0">
      <w:start w:val="1"/>
      <w:numFmt w:val="lowerLetter"/>
      <w:pStyle w:val="Listaconvietas3"/>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43723950"/>
    <w:multiLevelType w:val="multilevel"/>
    <w:tmpl w:val="C304EB2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68278E"/>
    <w:multiLevelType w:val="multilevel"/>
    <w:tmpl w:val="4D3C608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52B41510"/>
    <w:multiLevelType w:val="multilevel"/>
    <w:tmpl w:val="5BA8D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B90FA4"/>
    <w:multiLevelType w:val="multilevel"/>
    <w:tmpl w:val="4FDE77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740519E"/>
    <w:multiLevelType w:val="multilevel"/>
    <w:tmpl w:val="B692B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9"/>
  </w:num>
  <w:num w:numId="3">
    <w:abstractNumId w:val="2"/>
  </w:num>
  <w:num w:numId="4">
    <w:abstractNumId w:val="12"/>
  </w:num>
  <w:num w:numId="5">
    <w:abstractNumId w:val="14"/>
  </w:num>
  <w:num w:numId="6">
    <w:abstractNumId w:val="11"/>
  </w:num>
  <w:num w:numId="7">
    <w:abstractNumId w:val="8"/>
  </w:num>
  <w:num w:numId="8">
    <w:abstractNumId w:val="7"/>
  </w:num>
  <w:num w:numId="9">
    <w:abstractNumId w:val="3"/>
  </w:num>
  <w:num w:numId="10">
    <w:abstractNumId w:val="1"/>
  </w:num>
  <w:num w:numId="11">
    <w:abstractNumId w:val="10"/>
  </w:num>
  <w:num w:numId="12">
    <w:abstractNumId w:val="0"/>
  </w:num>
  <w:num w:numId="13">
    <w:abstractNumId w:val="6"/>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47"/>
    <w:rsid w:val="0001427A"/>
    <w:rsid w:val="00304047"/>
    <w:rsid w:val="006623AF"/>
    <w:rsid w:val="00725990"/>
    <w:rsid w:val="00A85B17"/>
    <w:rsid w:val="00AE4794"/>
    <w:rsid w:val="00CA623F"/>
    <w:rsid w:val="00E813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23353"/>
  <w15:docId w15:val="{4FD25E3C-E403-475C-89E8-DFD0C3BC2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06B5C"/>
    <w:rPr>
      <w:vertAlign w:val="superscript"/>
    </w:r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7"/>
    <w:tblPr>
      <w:tblStyleRowBandSize w:val="1"/>
      <w:tblStyleColBandSize w:val="1"/>
      <w:tblCellMar>
        <w:left w:w="108" w:type="dxa"/>
        <w:right w:w="108" w:type="dxa"/>
      </w:tblCellMar>
    </w:tblPr>
  </w:style>
  <w:style w:type="table" w:customStyle="1" w:styleId="a6">
    <w:basedOn w:val="TableNormal7"/>
    <w:tblPr>
      <w:tblStyleRowBandSize w:val="1"/>
      <w:tblStyleColBandSize w:val="1"/>
      <w:tblCellMar>
        <w:left w:w="108" w:type="dxa"/>
        <w:right w:w="108" w:type="dxa"/>
      </w:tblCellMar>
    </w:tblPr>
  </w:style>
  <w:style w:type="table" w:customStyle="1" w:styleId="a7">
    <w:basedOn w:val="TableNormal7"/>
    <w:tblPr>
      <w:tblStyleRowBandSize w:val="1"/>
      <w:tblStyleColBandSize w:val="1"/>
      <w:tblCellMar>
        <w:left w:w="108" w:type="dxa"/>
        <w:right w:w="108" w:type="dxa"/>
      </w:tblCellMar>
    </w:tblPr>
  </w:style>
  <w:style w:type="table" w:customStyle="1" w:styleId="a8">
    <w:basedOn w:val="TableNormal7"/>
    <w:tblPr>
      <w:tblStyleRowBandSize w:val="1"/>
      <w:tblStyleColBandSize w:val="1"/>
      <w:tblCellMar>
        <w:left w:w="108" w:type="dxa"/>
        <w:right w:w="108" w:type="dxa"/>
      </w:tblCellMar>
    </w:tblPr>
  </w:style>
  <w:style w:type="table" w:customStyle="1" w:styleId="a9">
    <w:basedOn w:val="TableNormal7"/>
    <w:tblPr>
      <w:tblStyleRowBandSize w:val="1"/>
      <w:tblStyleColBandSize w:val="1"/>
      <w:tblCellMar>
        <w:left w:w="108" w:type="dxa"/>
        <w:right w:w="108" w:type="dxa"/>
      </w:tblCellMar>
    </w:tbl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paragraph" w:styleId="Listaconvietas">
    <w:name w:val="List Bullet"/>
    <w:basedOn w:val="Normal"/>
    <w:uiPriority w:val="99"/>
    <w:unhideWhenUsed/>
    <w:rsid w:val="00CA1155"/>
    <w:pPr>
      <w:numPr>
        <w:numId w:val="8"/>
      </w:numPr>
      <w:contextualSpacing/>
    </w:pPr>
    <w:rPr>
      <w:lang w:eastAsia="es-ES"/>
    </w:r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Tablaconcuadrcula2">
    <w:name w:val="Tabla con cuadrícula2"/>
    <w:basedOn w:val="Tablanormal"/>
    <w:next w:val="Tablaconcuadrcula"/>
    <w:uiPriority w:val="39"/>
    <w:rsid w:val="00785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diputados.gob.mx/documentos/N_Acta_Nacimiento.pdf" TargetMode="External"/><Relationship Id="rId13" Type="http://schemas.openxmlformats.org/officeDocument/2006/relationships/image" Target="media/image9.png"/><Relationship Id="rId18" Type="http://schemas.openxmlformats.org/officeDocument/2006/relationships/hyperlink" Target="https://www.unionedomex.mx/2023/03/24/busqueda-de-deudores-alimentarios-morosos-estado-de-mexico-202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egislacion.edomex.gob.mx/sites/legislacion.edomex.gob.mx/files/files/pdf/gct/2014/nov144.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iputados.gob.mx/LeyesBiblio/pdf/LGDNNA.pdf"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ecogem.gob.mx/constancias/"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akOvsGjCk/hTsNmC6ORm3L1jWg==">CgMxLjAyCWguNGQzNG9nODIIaC5namRneHMyCWguM2R5NnZrbTIJaC4zMGowemxsMgloLjJzOGV5bzEyCGgudHlqY3d0MgloLjN6bnlzaDcyCWguMmV0OTJwMDIOaC40bXpleDJlb3p3dXoyDmguOTk4NzJycjc5Z3RjMg5oLm1ndWtuejNmdmd0bDIOaC4zbzAydGYyMGMyOWEyDmguaGxnMmtrYjhyM2x0Mg5oLnQzNGZienkwMDR4cDIOaC40b2o4aDd2Zm1wdWEyDmgubHdscjFuOGZmdzllMgloLjM1bmt1bjIyCWguMjZpbjFyZzIJaC4zcmRjcmpuMg5oLnl5Y28yYnJrM21lcDgAciExY0M3czJrNnRlMGhEanRkV0FYNTRxRXpsb0JTdHFNe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30114</Words>
  <Characters>165632</Characters>
  <Application>Microsoft Office Word</Application>
  <DocSecurity>0</DocSecurity>
  <Lines>1380</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2026-03-27T18:21:00Z</cp:lastPrinted>
  <dcterms:created xsi:type="dcterms:W3CDTF">2026-04-09T18:23:00Z</dcterms:created>
  <dcterms:modified xsi:type="dcterms:W3CDTF">2026-04-09T18:23:00Z</dcterms:modified>
</cp:coreProperties>
</file>