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AFED42" w14:textId="7318F3B3" w:rsidR="006C2841" w:rsidRPr="004D07ED" w:rsidRDefault="00D06478">
      <w:pPr>
        <w:spacing w:before="240" w:after="240" w:line="360" w:lineRule="auto"/>
        <w:jc w:val="both"/>
        <w:rPr>
          <w:rFonts w:ascii="Palatino Linotype" w:eastAsia="Palatino Linotype" w:hAnsi="Palatino Linotype" w:cs="Palatino Linotype"/>
          <w:sz w:val="22"/>
          <w:szCs w:val="22"/>
        </w:rPr>
      </w:pPr>
      <w:bookmarkStart w:id="0" w:name="_heading=h.3rdcrjn" w:colFirst="0" w:colLast="0"/>
      <w:bookmarkStart w:id="1" w:name="_GoBack"/>
      <w:bookmarkEnd w:id="0"/>
      <w:bookmarkEnd w:id="1"/>
      <w:r w:rsidRPr="004D07ED">
        <w:rPr>
          <w:rFonts w:ascii="Palatino Linotype" w:eastAsia="Palatino Linotype" w:hAnsi="Palatino Linotype" w:cs="Palatino Linotype"/>
          <w:sz w:val="22"/>
          <w:szCs w:val="22"/>
        </w:rPr>
        <w:t>Resolución del Pleno del Instituto de Transparencia, Acceso a la Información Pública y Protección de Datos Personales del Estado de México y Municipios, con domicilio en Metepec, Estado de México, a</w:t>
      </w:r>
      <w:r w:rsidR="00426562" w:rsidRPr="004D07ED">
        <w:rPr>
          <w:rFonts w:ascii="Palatino Linotype" w:eastAsia="Palatino Linotype" w:hAnsi="Palatino Linotype" w:cs="Palatino Linotype"/>
          <w:sz w:val="22"/>
          <w:szCs w:val="22"/>
        </w:rPr>
        <w:t xml:space="preserve"> veinticinco</w:t>
      </w:r>
      <w:r w:rsidRPr="004D07ED">
        <w:rPr>
          <w:rFonts w:ascii="Palatino Linotype" w:eastAsia="Palatino Linotype" w:hAnsi="Palatino Linotype" w:cs="Palatino Linotype"/>
          <w:sz w:val="22"/>
          <w:szCs w:val="22"/>
        </w:rPr>
        <w:t xml:space="preserve"> de febrero de dos mil veintiséis. </w:t>
      </w:r>
    </w:p>
    <w:p w14:paraId="132DF41E" w14:textId="7C6C83CF" w:rsidR="006C2841" w:rsidRPr="004D07ED" w:rsidRDefault="00D06478">
      <w:pPr>
        <w:tabs>
          <w:tab w:val="left" w:pos="5812"/>
        </w:tabs>
        <w:spacing w:before="240" w:after="240" w:line="360" w:lineRule="auto"/>
        <w:jc w:val="both"/>
        <w:rPr>
          <w:rFonts w:ascii="Palatino Linotype" w:eastAsia="Palatino Linotype" w:hAnsi="Palatino Linotype" w:cs="Palatino Linotype"/>
          <w:sz w:val="22"/>
          <w:szCs w:val="22"/>
        </w:rPr>
      </w:pPr>
      <w:bookmarkStart w:id="2" w:name="_heading=h.daj3j2xo6q66" w:colFirst="0" w:colLast="0"/>
      <w:bookmarkEnd w:id="2"/>
      <w:r w:rsidRPr="004D07ED">
        <w:rPr>
          <w:rFonts w:ascii="Palatino Linotype" w:eastAsia="Palatino Linotype" w:hAnsi="Palatino Linotype" w:cs="Palatino Linotype"/>
          <w:b/>
          <w:bCs/>
          <w:sz w:val="22"/>
          <w:szCs w:val="22"/>
        </w:rPr>
        <w:t>VISTO</w:t>
      </w:r>
      <w:r w:rsidRPr="004D07ED">
        <w:rPr>
          <w:rFonts w:ascii="Palatino Linotype" w:eastAsia="Palatino Linotype" w:hAnsi="Palatino Linotype" w:cs="Palatino Linotype"/>
          <w:sz w:val="22"/>
          <w:szCs w:val="22"/>
        </w:rPr>
        <w:t xml:space="preserve"> el expediente formado con motivo del recurso de revisión </w:t>
      </w:r>
      <w:r w:rsidR="00DF4E48" w:rsidRPr="004D07ED">
        <w:rPr>
          <w:rFonts w:ascii="Palatino Linotype" w:eastAsia="Palatino Linotype" w:hAnsi="Palatino Linotype" w:cs="Palatino Linotype"/>
          <w:b/>
          <w:bCs/>
          <w:sz w:val="22"/>
          <w:szCs w:val="22"/>
        </w:rPr>
        <w:t>13354</w:t>
      </w:r>
      <w:r w:rsidRPr="004D07ED">
        <w:rPr>
          <w:rFonts w:ascii="Palatino Linotype" w:eastAsia="Palatino Linotype" w:hAnsi="Palatino Linotype" w:cs="Palatino Linotype"/>
          <w:b/>
          <w:bCs/>
          <w:sz w:val="22"/>
          <w:szCs w:val="22"/>
        </w:rPr>
        <w:t>/INFOEM/IP/RR/2025</w:t>
      </w:r>
      <w:r w:rsidRPr="004D07ED">
        <w:rPr>
          <w:rFonts w:ascii="Palatino Linotype" w:eastAsia="Palatino Linotype" w:hAnsi="Palatino Linotype" w:cs="Palatino Linotype"/>
          <w:sz w:val="22"/>
          <w:szCs w:val="22"/>
        </w:rPr>
        <w:t>, interpuesto por</w:t>
      </w:r>
      <w:r w:rsidRPr="004D07ED">
        <w:rPr>
          <w:rFonts w:ascii="Palatino Linotype" w:eastAsia="Palatino Linotype" w:hAnsi="Palatino Linotype" w:cs="Palatino Linotype"/>
          <w:b/>
          <w:bCs/>
          <w:sz w:val="22"/>
          <w:szCs w:val="22"/>
        </w:rPr>
        <w:t xml:space="preserve"> </w:t>
      </w:r>
      <w:r w:rsidR="00DF4E48" w:rsidRPr="004D07ED">
        <w:rPr>
          <w:rFonts w:ascii="Palatino Linotype" w:eastAsia="Palatino Linotype" w:hAnsi="Palatino Linotype" w:cs="Palatino Linotype"/>
          <w:b/>
          <w:bCs/>
          <w:sz w:val="22"/>
          <w:szCs w:val="22"/>
        </w:rPr>
        <w:t>una persona que no proporcionó nombre o seudónimo</w:t>
      </w:r>
      <w:r w:rsidRPr="004D07ED">
        <w:rPr>
          <w:rFonts w:ascii="Palatino Linotype" w:eastAsia="Palatino Linotype" w:hAnsi="Palatino Linotype" w:cs="Palatino Linotype"/>
          <w:b/>
          <w:bCs/>
          <w:sz w:val="22"/>
          <w:szCs w:val="22"/>
        </w:rPr>
        <w:t>,</w:t>
      </w:r>
      <w:r w:rsidRPr="004D07ED">
        <w:rPr>
          <w:rFonts w:ascii="Palatino Linotype" w:eastAsia="Palatino Linotype" w:hAnsi="Palatino Linotype" w:cs="Palatino Linotype"/>
          <w:sz w:val="22"/>
          <w:szCs w:val="22"/>
        </w:rPr>
        <w:t xml:space="preserve"> en lo sucesivo</w:t>
      </w:r>
      <w:r w:rsidRPr="004D07ED">
        <w:rPr>
          <w:rFonts w:ascii="Palatino Linotype" w:eastAsia="Palatino Linotype" w:hAnsi="Palatino Linotype" w:cs="Palatino Linotype"/>
          <w:b/>
          <w:bCs/>
          <w:sz w:val="22"/>
          <w:szCs w:val="22"/>
        </w:rPr>
        <w:t xml:space="preserve"> </w:t>
      </w:r>
      <w:r w:rsidRPr="004D07ED">
        <w:rPr>
          <w:rFonts w:ascii="Palatino Linotype" w:eastAsia="Palatino Linotype" w:hAnsi="Palatino Linotype" w:cs="Palatino Linotype"/>
          <w:sz w:val="22"/>
          <w:szCs w:val="22"/>
        </w:rPr>
        <w:t xml:space="preserve">la parte </w:t>
      </w:r>
      <w:r w:rsidRPr="004D07ED">
        <w:rPr>
          <w:rFonts w:ascii="Palatino Linotype" w:eastAsia="Palatino Linotype" w:hAnsi="Palatino Linotype" w:cs="Palatino Linotype"/>
          <w:b/>
          <w:bCs/>
          <w:sz w:val="22"/>
          <w:szCs w:val="22"/>
        </w:rPr>
        <w:t>Recurrente,</w:t>
      </w:r>
      <w:r w:rsidRPr="004D07ED">
        <w:rPr>
          <w:rFonts w:ascii="Palatino Linotype" w:eastAsia="Palatino Linotype" w:hAnsi="Palatino Linotype" w:cs="Palatino Linotype"/>
          <w:sz w:val="22"/>
          <w:szCs w:val="22"/>
        </w:rPr>
        <w:t xml:space="preserve"> en contra de la respuesta a la solicitud de información con número de folio</w:t>
      </w:r>
      <w:r w:rsidRPr="004D07ED">
        <w:rPr>
          <w:rFonts w:ascii="Palatino Linotype" w:eastAsia="Palatino Linotype" w:hAnsi="Palatino Linotype" w:cs="Palatino Linotype"/>
          <w:b/>
          <w:bCs/>
          <w:sz w:val="22"/>
          <w:szCs w:val="22"/>
        </w:rPr>
        <w:t xml:space="preserve"> </w:t>
      </w:r>
      <w:r w:rsidR="00DF4E48" w:rsidRPr="004D07ED">
        <w:rPr>
          <w:rFonts w:ascii="Palatino Linotype" w:eastAsia="Palatino Linotype" w:hAnsi="Palatino Linotype" w:cs="Palatino Linotype"/>
          <w:b/>
          <w:bCs/>
          <w:sz w:val="22"/>
          <w:szCs w:val="22"/>
        </w:rPr>
        <w:t>00015/CIEPS/IP/2025</w:t>
      </w:r>
      <w:r w:rsidRPr="004D07ED">
        <w:rPr>
          <w:rFonts w:ascii="Palatino Linotype" w:eastAsia="Palatino Linotype" w:hAnsi="Palatino Linotype" w:cs="Palatino Linotype"/>
          <w:b/>
          <w:bCs/>
          <w:sz w:val="22"/>
          <w:szCs w:val="22"/>
        </w:rPr>
        <w:t xml:space="preserve">, </w:t>
      </w:r>
      <w:r w:rsidRPr="004D07ED">
        <w:rPr>
          <w:rFonts w:ascii="Palatino Linotype" w:eastAsia="Palatino Linotype" w:hAnsi="Palatino Linotype" w:cs="Palatino Linotype"/>
          <w:sz w:val="22"/>
          <w:szCs w:val="22"/>
        </w:rPr>
        <w:t xml:space="preserve">por parte de la </w:t>
      </w:r>
      <w:r w:rsidR="00DF4E48" w:rsidRPr="004D07ED">
        <w:rPr>
          <w:rFonts w:ascii="Palatino Linotype" w:eastAsia="Palatino Linotype" w:hAnsi="Palatino Linotype" w:cs="Palatino Linotype"/>
          <w:b/>
          <w:bCs/>
          <w:sz w:val="22"/>
          <w:szCs w:val="22"/>
        </w:rPr>
        <w:t>Consejo de Investigación y Evaluación de la Política Social</w:t>
      </w:r>
      <w:r w:rsidRPr="004D07ED">
        <w:rPr>
          <w:rFonts w:ascii="Palatino Linotype" w:eastAsia="Palatino Linotype" w:hAnsi="Palatino Linotype" w:cs="Palatino Linotype"/>
          <w:b/>
          <w:bCs/>
          <w:sz w:val="22"/>
          <w:szCs w:val="22"/>
        </w:rPr>
        <w:t xml:space="preserve">, </w:t>
      </w:r>
      <w:r w:rsidRPr="004D07ED">
        <w:rPr>
          <w:rFonts w:ascii="Palatino Linotype" w:eastAsia="Palatino Linotype" w:hAnsi="Palatino Linotype" w:cs="Palatino Linotype"/>
          <w:sz w:val="22"/>
          <w:szCs w:val="22"/>
        </w:rPr>
        <w:t xml:space="preserve">en lo sucesivo el </w:t>
      </w:r>
      <w:r w:rsidRPr="004D07ED">
        <w:rPr>
          <w:rFonts w:ascii="Palatino Linotype" w:eastAsia="Palatino Linotype" w:hAnsi="Palatino Linotype" w:cs="Palatino Linotype"/>
          <w:b/>
          <w:bCs/>
          <w:sz w:val="22"/>
          <w:szCs w:val="22"/>
        </w:rPr>
        <w:t xml:space="preserve">Sujeto Obligado, </w:t>
      </w:r>
      <w:r w:rsidRPr="004D07ED">
        <w:rPr>
          <w:rFonts w:ascii="Palatino Linotype" w:eastAsia="Palatino Linotype" w:hAnsi="Palatino Linotype" w:cs="Palatino Linotype"/>
          <w:sz w:val="22"/>
          <w:szCs w:val="22"/>
        </w:rPr>
        <w:t xml:space="preserve">se procede a dictar la presente resolución con base en los siguientes: </w:t>
      </w:r>
    </w:p>
    <w:p w14:paraId="64FACF07" w14:textId="77777777" w:rsidR="006C2841" w:rsidRPr="004D07ED" w:rsidRDefault="00D06478">
      <w:pPr>
        <w:spacing w:before="240" w:after="240" w:line="360" w:lineRule="auto"/>
        <w:jc w:val="center"/>
        <w:rPr>
          <w:rFonts w:ascii="Palatino Linotype" w:eastAsia="Palatino Linotype" w:hAnsi="Palatino Linotype" w:cs="Palatino Linotype"/>
          <w:b/>
          <w:bCs/>
          <w:sz w:val="22"/>
          <w:szCs w:val="22"/>
        </w:rPr>
      </w:pPr>
      <w:r w:rsidRPr="004D07ED">
        <w:rPr>
          <w:rFonts w:ascii="Palatino Linotype" w:eastAsia="Palatino Linotype" w:hAnsi="Palatino Linotype" w:cs="Palatino Linotype"/>
          <w:b/>
          <w:bCs/>
          <w:sz w:val="22"/>
          <w:szCs w:val="22"/>
        </w:rPr>
        <w:t>I. A N T E C E D E N T E S</w:t>
      </w:r>
    </w:p>
    <w:p w14:paraId="04E53F3A" w14:textId="727DA371" w:rsidR="006C2841" w:rsidRPr="004D07ED" w:rsidRDefault="00D06478">
      <w:pPr>
        <w:spacing w:before="240" w:after="240" w:line="360" w:lineRule="auto"/>
        <w:jc w:val="both"/>
        <w:rPr>
          <w:rFonts w:ascii="Palatino Linotype" w:eastAsia="Palatino Linotype" w:hAnsi="Palatino Linotype" w:cs="Palatino Linotype"/>
          <w:sz w:val="22"/>
          <w:szCs w:val="22"/>
        </w:rPr>
      </w:pPr>
      <w:bookmarkStart w:id="3" w:name="_heading=h.gjdgxs" w:colFirst="0" w:colLast="0"/>
      <w:bookmarkEnd w:id="3"/>
      <w:r w:rsidRPr="004D07ED">
        <w:rPr>
          <w:rFonts w:ascii="Palatino Linotype" w:eastAsia="Palatino Linotype" w:hAnsi="Palatino Linotype" w:cs="Palatino Linotype"/>
          <w:b/>
          <w:bCs/>
          <w:sz w:val="22"/>
          <w:szCs w:val="22"/>
        </w:rPr>
        <w:t>1. Solicitud de acceso a la información.</w:t>
      </w:r>
      <w:r w:rsidRPr="004D07ED">
        <w:rPr>
          <w:rFonts w:ascii="Palatino Linotype" w:eastAsia="Palatino Linotype" w:hAnsi="Palatino Linotype" w:cs="Palatino Linotype"/>
          <w:sz w:val="22"/>
          <w:szCs w:val="22"/>
        </w:rPr>
        <w:t xml:space="preserve"> El </w:t>
      </w:r>
      <w:r w:rsidR="00DA4694" w:rsidRPr="004D07ED">
        <w:rPr>
          <w:rFonts w:ascii="Palatino Linotype" w:eastAsia="Palatino Linotype" w:hAnsi="Palatino Linotype" w:cs="Palatino Linotype"/>
          <w:b/>
          <w:bCs/>
          <w:sz w:val="22"/>
          <w:szCs w:val="22"/>
        </w:rPr>
        <w:t xml:space="preserve">dieciséis </w:t>
      </w:r>
      <w:r w:rsidR="001741ED" w:rsidRPr="004D07ED">
        <w:rPr>
          <w:rFonts w:ascii="Palatino Linotype" w:eastAsia="Palatino Linotype" w:hAnsi="Palatino Linotype" w:cs="Palatino Linotype"/>
          <w:b/>
          <w:bCs/>
          <w:sz w:val="22"/>
          <w:szCs w:val="22"/>
        </w:rPr>
        <w:t>de noviembre de</w:t>
      </w:r>
      <w:r w:rsidRPr="004D07ED">
        <w:rPr>
          <w:rFonts w:ascii="Palatino Linotype" w:eastAsia="Palatino Linotype" w:hAnsi="Palatino Linotype" w:cs="Palatino Linotype"/>
          <w:b/>
          <w:bCs/>
          <w:sz w:val="22"/>
          <w:szCs w:val="22"/>
        </w:rPr>
        <w:t xml:space="preserve"> dos mil veinticinco,</w:t>
      </w:r>
      <w:r w:rsidRPr="004D07ED">
        <w:rPr>
          <w:rFonts w:ascii="Palatino Linotype" w:eastAsia="Palatino Linotype" w:hAnsi="Palatino Linotype" w:cs="Palatino Linotype"/>
          <w:sz w:val="22"/>
          <w:szCs w:val="22"/>
        </w:rPr>
        <w:t xml:space="preserve"> la parte </w:t>
      </w:r>
      <w:r w:rsidRPr="004D07ED">
        <w:rPr>
          <w:rFonts w:ascii="Palatino Linotype" w:eastAsia="Palatino Linotype" w:hAnsi="Palatino Linotype" w:cs="Palatino Linotype"/>
          <w:b/>
          <w:bCs/>
          <w:sz w:val="22"/>
          <w:szCs w:val="22"/>
        </w:rPr>
        <w:t xml:space="preserve">Recurrente </w:t>
      </w:r>
      <w:r w:rsidRPr="004D07ED">
        <w:rPr>
          <w:rFonts w:ascii="Palatino Linotype" w:eastAsia="Palatino Linotype" w:hAnsi="Palatino Linotype" w:cs="Palatino Linotype"/>
          <w:sz w:val="22"/>
          <w:szCs w:val="22"/>
        </w:rPr>
        <w:t xml:space="preserve">presentó la solicitud de acceso a la información pública ante el </w:t>
      </w:r>
      <w:r w:rsidRPr="004D07ED">
        <w:rPr>
          <w:rFonts w:ascii="Palatino Linotype" w:eastAsia="Palatino Linotype" w:hAnsi="Palatino Linotype" w:cs="Palatino Linotype"/>
          <w:b/>
          <w:bCs/>
          <w:sz w:val="22"/>
          <w:szCs w:val="22"/>
        </w:rPr>
        <w:t>Sujeto Obligado</w:t>
      </w:r>
      <w:r w:rsidRPr="004D07ED">
        <w:rPr>
          <w:rFonts w:ascii="Palatino Linotype" w:eastAsia="Palatino Linotype" w:hAnsi="Palatino Linotype" w:cs="Palatino Linotype"/>
          <w:sz w:val="22"/>
          <w:szCs w:val="22"/>
        </w:rPr>
        <w:t xml:space="preserve">, a través del Sistema de Acceso a la Información Mexiquense, en lo subsecuente el </w:t>
      </w:r>
      <w:r w:rsidRPr="004D07ED">
        <w:rPr>
          <w:rFonts w:ascii="Palatino Linotype" w:eastAsia="Palatino Linotype" w:hAnsi="Palatino Linotype" w:cs="Palatino Linotype"/>
          <w:b/>
          <w:bCs/>
          <w:sz w:val="22"/>
          <w:szCs w:val="22"/>
        </w:rPr>
        <w:t>SAIMEX,</w:t>
      </w:r>
      <w:r w:rsidRPr="004D07ED">
        <w:rPr>
          <w:rFonts w:ascii="Palatino Linotype" w:eastAsia="Palatino Linotype" w:hAnsi="Palatino Linotype" w:cs="Palatino Linotype"/>
          <w:sz w:val="22"/>
          <w:szCs w:val="22"/>
        </w:rPr>
        <w:t xml:space="preserve"> </w:t>
      </w:r>
      <w:r w:rsidR="00DA4694" w:rsidRPr="004D07ED">
        <w:rPr>
          <w:rFonts w:ascii="Palatino Linotype" w:eastAsia="Palatino Linotype" w:hAnsi="Palatino Linotype" w:cs="Palatino Linotype"/>
          <w:sz w:val="22"/>
          <w:szCs w:val="22"/>
        </w:rPr>
        <w:t xml:space="preserve">sin embargo, al corresponder con un día inhábil, se tuvo por presentada el </w:t>
      </w:r>
      <w:r w:rsidR="00DA4694" w:rsidRPr="004D07ED">
        <w:rPr>
          <w:rFonts w:ascii="Palatino Linotype" w:eastAsia="Palatino Linotype" w:hAnsi="Palatino Linotype" w:cs="Palatino Linotype"/>
          <w:b/>
          <w:bCs/>
          <w:sz w:val="22"/>
          <w:szCs w:val="22"/>
        </w:rPr>
        <w:t xml:space="preserve">dieciocho de noviembre de dos mil veinticinco, </w:t>
      </w:r>
      <w:r w:rsidRPr="004D07ED">
        <w:rPr>
          <w:rFonts w:ascii="Palatino Linotype" w:eastAsia="Palatino Linotype" w:hAnsi="Palatino Linotype" w:cs="Palatino Linotype"/>
          <w:sz w:val="22"/>
          <w:szCs w:val="22"/>
        </w:rPr>
        <w:t>mediante la cual requirió lo siguiente:</w:t>
      </w:r>
    </w:p>
    <w:p w14:paraId="69B734F6" w14:textId="42938E8E" w:rsidR="006C2841" w:rsidRPr="004D07ED" w:rsidRDefault="00D06478">
      <w:pPr>
        <w:spacing w:before="120" w:after="120"/>
        <w:ind w:left="851" w:right="902"/>
        <w:jc w:val="both"/>
        <w:rPr>
          <w:rFonts w:ascii="Palatino Linotype" w:eastAsia="Palatino Linotype" w:hAnsi="Palatino Linotype" w:cs="Palatino Linotype"/>
          <w:i/>
          <w:iCs/>
          <w:sz w:val="22"/>
          <w:szCs w:val="22"/>
        </w:rPr>
      </w:pPr>
      <w:r w:rsidRPr="004D07ED">
        <w:rPr>
          <w:rFonts w:ascii="Palatino Linotype" w:eastAsia="Palatino Linotype" w:hAnsi="Palatino Linotype" w:cs="Palatino Linotype"/>
          <w:i/>
          <w:iCs/>
          <w:sz w:val="22"/>
          <w:szCs w:val="22"/>
        </w:rPr>
        <w:t xml:space="preserve"> “</w:t>
      </w:r>
      <w:r w:rsidR="001741ED" w:rsidRPr="004D07ED">
        <w:rPr>
          <w:rFonts w:ascii="Palatino Linotype" w:eastAsia="Palatino Linotype" w:hAnsi="Palatino Linotype" w:cs="Palatino Linotype"/>
          <w:i/>
          <w:iCs/>
          <w:sz w:val="22"/>
          <w:szCs w:val="22"/>
        </w:rPr>
        <w:t xml:space="preserve">Se profundiza </w:t>
      </w:r>
      <w:r w:rsidR="001741ED" w:rsidRPr="004D07ED">
        <w:rPr>
          <w:rFonts w:ascii="Palatino Linotype" w:eastAsia="Palatino Linotype" w:hAnsi="Palatino Linotype" w:cs="Palatino Linotype"/>
          <w:b/>
          <w:bCs/>
          <w:i/>
          <w:iCs/>
          <w:sz w:val="22"/>
          <w:szCs w:val="22"/>
          <w:u w:val="single"/>
        </w:rPr>
        <w:t>la solicitud que promueve a detalle la investigación</w:t>
      </w:r>
      <w:r w:rsidR="001741ED" w:rsidRPr="004D07ED">
        <w:rPr>
          <w:rFonts w:ascii="Palatino Linotype" w:eastAsia="Palatino Linotype" w:hAnsi="Palatino Linotype" w:cs="Palatino Linotype"/>
          <w:i/>
          <w:iCs/>
          <w:sz w:val="22"/>
          <w:szCs w:val="22"/>
        </w:rPr>
        <w:t xml:space="preserve">, con su respectivo acompañamiento al sector vulnerable en el plan estratégico de coordinación y al planteamiento de atracción con el sistema del Organismo Descentralizado de Agua Potable, Alcantarillado y Saneamiento con la Junta del H. Ayuntamiento y su comisión / ó Secretaría responsable de materializar el tratado de obras, servicios y pavimentación de abastecimiento al agua potable de la comunidad demarcada cómo Colonia Corte Huatongo (con domicilios en referencia; Av. del Pozo &amp; C. San Lorenzo San Vicente, Col. Huatongo, Chimalhucan 56338 Chimalhuacán, Méx.| 19°24'17.5"N 98°54'52.5"O ), en lo que deriva en garantía al acceso del monitoreo de posibles fugas. --Anexando el acceso de Argumento </w:t>
      </w:r>
      <w:r w:rsidR="001741ED" w:rsidRPr="004D07ED">
        <w:rPr>
          <w:rFonts w:ascii="Palatino Linotype" w:eastAsia="Palatino Linotype" w:hAnsi="Palatino Linotype" w:cs="Palatino Linotype"/>
          <w:b/>
          <w:bCs/>
          <w:i/>
          <w:iCs/>
          <w:sz w:val="22"/>
          <w:szCs w:val="22"/>
          <w:u w:val="single"/>
        </w:rPr>
        <w:t>que no se presenta fluidez al servicio vital de Agua</w:t>
      </w:r>
      <w:r w:rsidR="001741ED" w:rsidRPr="004D07ED">
        <w:rPr>
          <w:rFonts w:ascii="Palatino Linotype" w:eastAsia="Palatino Linotype" w:hAnsi="Palatino Linotype" w:cs="Palatino Linotype"/>
          <w:i/>
          <w:iCs/>
          <w:sz w:val="22"/>
          <w:szCs w:val="22"/>
        </w:rPr>
        <w:t xml:space="preserve"> de </w:t>
      </w:r>
      <w:r w:rsidR="001741ED" w:rsidRPr="004D07ED">
        <w:rPr>
          <w:rFonts w:ascii="Palatino Linotype" w:eastAsia="Palatino Linotype" w:hAnsi="Palatino Linotype" w:cs="Palatino Linotype"/>
          <w:i/>
          <w:iCs/>
          <w:sz w:val="22"/>
          <w:szCs w:val="22"/>
        </w:rPr>
        <w:lastRenderedPageBreak/>
        <w:t>la conexión pública (la "llave" de la red). Ésto Los fines de semana cómo los Días DOMINGO, 'VIERNES' y SABADO'.</w:t>
      </w:r>
      <w:r w:rsidRPr="004D07ED">
        <w:rPr>
          <w:rFonts w:ascii="Palatino Linotype" w:eastAsia="Palatino Linotype" w:hAnsi="Palatino Linotype" w:cs="Palatino Linotype"/>
          <w:b/>
          <w:bCs/>
          <w:i/>
          <w:iCs/>
          <w:sz w:val="22"/>
          <w:szCs w:val="22"/>
        </w:rPr>
        <w:t>”</w:t>
      </w:r>
      <w:r w:rsidRPr="004D07ED">
        <w:rPr>
          <w:rFonts w:ascii="Palatino Linotype" w:eastAsia="Palatino Linotype" w:hAnsi="Palatino Linotype" w:cs="Palatino Linotype"/>
          <w:i/>
          <w:iCs/>
          <w:sz w:val="22"/>
          <w:szCs w:val="22"/>
        </w:rPr>
        <w:t xml:space="preserve"> (sic) </w:t>
      </w:r>
    </w:p>
    <w:p w14:paraId="5CAF3CA2" w14:textId="77777777" w:rsidR="006F4E99" w:rsidRPr="004D07ED" w:rsidRDefault="006F4E99">
      <w:pPr>
        <w:spacing w:before="120" w:after="120"/>
        <w:ind w:left="851" w:right="902"/>
        <w:jc w:val="both"/>
        <w:rPr>
          <w:rFonts w:ascii="Palatino Linotype" w:eastAsia="Palatino Linotype" w:hAnsi="Palatino Linotype" w:cs="Palatino Linotype"/>
          <w:b/>
          <w:bCs/>
          <w:i/>
          <w:iCs/>
          <w:sz w:val="22"/>
          <w:szCs w:val="22"/>
        </w:rPr>
      </w:pPr>
    </w:p>
    <w:p w14:paraId="0F6DB54D" w14:textId="59449B28" w:rsidR="00E16262" w:rsidRPr="004D07ED" w:rsidRDefault="001741ED" w:rsidP="00E16262">
      <w:pPr>
        <w:spacing w:before="240" w:after="240" w:line="360" w:lineRule="auto"/>
        <w:jc w:val="both"/>
        <w:rPr>
          <w:rFonts w:ascii="Palatino Linotype" w:eastAsia="Palatino Linotype" w:hAnsi="Palatino Linotype" w:cs="Palatino Linotype"/>
          <w:bCs/>
          <w:sz w:val="22"/>
          <w:szCs w:val="22"/>
        </w:rPr>
      </w:pPr>
      <w:bookmarkStart w:id="4" w:name="_heading=h.3dy6vkm" w:colFirst="0" w:colLast="0"/>
      <w:bookmarkEnd w:id="4"/>
      <w:r w:rsidRPr="004D07ED">
        <w:rPr>
          <w:rFonts w:ascii="Palatino Linotype" w:eastAsia="Palatino Linotype" w:hAnsi="Palatino Linotype" w:cs="Palatino Linotype"/>
          <w:bCs/>
          <w:sz w:val="22"/>
          <w:szCs w:val="22"/>
        </w:rPr>
        <w:t xml:space="preserve">La parte </w:t>
      </w:r>
      <w:r w:rsidRPr="004D07ED">
        <w:rPr>
          <w:rFonts w:ascii="Palatino Linotype" w:eastAsia="Palatino Linotype" w:hAnsi="Palatino Linotype" w:cs="Palatino Linotype"/>
          <w:b/>
          <w:bCs/>
          <w:sz w:val="22"/>
          <w:szCs w:val="22"/>
        </w:rPr>
        <w:t xml:space="preserve">Recurrente </w:t>
      </w:r>
      <w:r w:rsidRPr="004D07ED">
        <w:rPr>
          <w:rFonts w:ascii="Palatino Linotype" w:eastAsia="Palatino Linotype" w:hAnsi="Palatino Linotype" w:cs="Palatino Linotype"/>
          <w:bCs/>
          <w:sz w:val="22"/>
          <w:szCs w:val="22"/>
        </w:rPr>
        <w:t xml:space="preserve">adjuntó </w:t>
      </w:r>
      <w:r w:rsidR="00E16262" w:rsidRPr="004D07ED">
        <w:rPr>
          <w:rFonts w:ascii="Palatino Linotype" w:eastAsia="Palatino Linotype" w:hAnsi="Palatino Linotype" w:cs="Palatino Linotype"/>
          <w:bCs/>
          <w:sz w:val="22"/>
          <w:szCs w:val="22"/>
        </w:rPr>
        <w:t>el acuse de la solicitud 00230/CODHEM/IP/2025, así como dos fotografías.</w:t>
      </w:r>
    </w:p>
    <w:p w14:paraId="3477B79B" w14:textId="7ED114D9" w:rsidR="006C2841" w:rsidRPr="004D07ED" w:rsidRDefault="00D06478" w:rsidP="00E16262">
      <w:pPr>
        <w:spacing w:before="240" w:after="240" w:line="360" w:lineRule="auto"/>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b/>
          <w:bCs/>
          <w:sz w:val="22"/>
          <w:szCs w:val="22"/>
        </w:rPr>
        <w:t xml:space="preserve">Modalidad elegida para la entrega de la información: </w:t>
      </w:r>
      <w:r w:rsidRPr="004D07ED">
        <w:rPr>
          <w:rFonts w:ascii="Palatino Linotype" w:eastAsia="Palatino Linotype" w:hAnsi="Palatino Linotype" w:cs="Palatino Linotype"/>
          <w:sz w:val="22"/>
          <w:szCs w:val="22"/>
        </w:rPr>
        <w:t>a través del SAIMEX.</w:t>
      </w:r>
    </w:p>
    <w:p w14:paraId="6FCB80E9" w14:textId="503567FE" w:rsidR="006C2841" w:rsidRPr="004D07ED" w:rsidRDefault="00D06478">
      <w:pPr>
        <w:spacing w:before="240" w:after="240" w:line="360" w:lineRule="auto"/>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b/>
          <w:bCs/>
          <w:sz w:val="22"/>
          <w:szCs w:val="22"/>
        </w:rPr>
        <w:t xml:space="preserve">2. Respuesta. </w:t>
      </w:r>
      <w:r w:rsidRPr="004D07ED">
        <w:rPr>
          <w:rFonts w:ascii="Palatino Linotype" w:eastAsia="Palatino Linotype" w:hAnsi="Palatino Linotype" w:cs="Palatino Linotype"/>
          <w:sz w:val="22"/>
          <w:szCs w:val="22"/>
        </w:rPr>
        <w:t xml:space="preserve">El </w:t>
      </w:r>
      <w:r w:rsidR="00E16262" w:rsidRPr="004D07ED">
        <w:rPr>
          <w:rFonts w:ascii="Palatino Linotype" w:eastAsia="Palatino Linotype" w:hAnsi="Palatino Linotype" w:cs="Palatino Linotype"/>
          <w:b/>
          <w:bCs/>
          <w:sz w:val="22"/>
          <w:szCs w:val="22"/>
        </w:rPr>
        <w:t xml:space="preserve">veintiuno de noviembre </w:t>
      </w:r>
      <w:r w:rsidRPr="004D07ED">
        <w:rPr>
          <w:rFonts w:ascii="Palatino Linotype" w:eastAsia="Palatino Linotype" w:hAnsi="Palatino Linotype" w:cs="Palatino Linotype"/>
          <w:b/>
          <w:bCs/>
          <w:sz w:val="22"/>
          <w:szCs w:val="22"/>
        </w:rPr>
        <w:t>de dos mil veinticinco,</w:t>
      </w:r>
      <w:r w:rsidRPr="004D07ED">
        <w:rPr>
          <w:rFonts w:ascii="Palatino Linotype" w:eastAsia="Palatino Linotype" w:hAnsi="Palatino Linotype" w:cs="Palatino Linotype"/>
          <w:sz w:val="22"/>
          <w:szCs w:val="22"/>
        </w:rPr>
        <w:t xml:space="preserve"> el </w:t>
      </w:r>
      <w:r w:rsidRPr="004D07ED">
        <w:rPr>
          <w:rFonts w:ascii="Palatino Linotype" w:eastAsia="Palatino Linotype" w:hAnsi="Palatino Linotype" w:cs="Palatino Linotype"/>
          <w:b/>
          <w:bCs/>
          <w:sz w:val="22"/>
          <w:szCs w:val="22"/>
        </w:rPr>
        <w:t xml:space="preserve">Sujeto Obligado </w:t>
      </w:r>
      <w:r w:rsidRPr="004D07ED">
        <w:rPr>
          <w:rFonts w:ascii="Palatino Linotype" w:eastAsia="Palatino Linotype" w:hAnsi="Palatino Linotype" w:cs="Palatino Linotype"/>
          <w:sz w:val="22"/>
          <w:szCs w:val="22"/>
        </w:rPr>
        <w:t xml:space="preserve">envió su respuesta a la solicitud de acceso a la información a través del SAIMEX, sustancialmente en los términos siguientes:   </w:t>
      </w:r>
    </w:p>
    <w:p w14:paraId="6D1D4F0C" w14:textId="6A5E9893" w:rsidR="006C2841" w:rsidRPr="004D07ED" w:rsidRDefault="00D06478" w:rsidP="00697EFC">
      <w:pPr>
        <w:spacing w:before="240" w:after="240"/>
        <w:ind w:left="851" w:right="902"/>
        <w:jc w:val="both"/>
        <w:rPr>
          <w:rFonts w:ascii="Palatino Linotype" w:eastAsia="Palatino Linotype" w:hAnsi="Palatino Linotype" w:cs="Palatino Linotype"/>
          <w:i/>
          <w:iCs/>
          <w:sz w:val="22"/>
          <w:szCs w:val="22"/>
        </w:rPr>
      </w:pPr>
      <w:r w:rsidRPr="004D07ED">
        <w:rPr>
          <w:rFonts w:ascii="Palatino Linotype" w:eastAsia="Palatino Linotype" w:hAnsi="Palatino Linotype" w:cs="Palatino Linotype"/>
          <w:i/>
          <w:iCs/>
          <w:sz w:val="22"/>
          <w:szCs w:val="22"/>
        </w:rPr>
        <w:t>“…</w:t>
      </w:r>
      <w:r w:rsidR="00E16262" w:rsidRPr="004D07ED">
        <w:rPr>
          <w:rFonts w:ascii="Palatino Linotype" w:eastAsia="Palatino Linotype" w:hAnsi="Palatino Linotype" w:cs="Palatino Linotype"/>
          <w:i/>
          <w:iCs/>
          <w:sz w:val="22"/>
          <w:szCs w:val="22"/>
        </w:rPr>
        <w:t xml:space="preserve">este sujeto obligado no es la autoridad competente para hacer entrega de la misma, toda vez que de conformidad con lo dispuesto en los artículos 23 fracción VII, 36, 37, 64 y 66 de la Ley Orgánica de la Administración Pública del Estado de México; artículos 1, 3 y 4 del Acuerdo del Ejecutivo del Estado por el que se crea el organismo público descentralizado de carácter estatal denominado Consejo de Investigación y Evaluación de la Política Social; y demás ordenamientos jurídicos aplicables, el Consejo Investigación y Evaluación de la Política Social es un organismo público descentralizado, sectorizado a la Secretaría de Bienestar del Gobierno del Estado de México; cuyo objeto es la investigación y evaluación y emisión de opiniones en materia de política social; motivo por el cual no es posible proporcionarle la información requerida.. No obstante, bajo el principio de máxima publicidad, me permito informarle que, con fundamento en lo establecido en el artículo 125 fracción I de la Ley Orgánica Municipal del Estado de México y 34 fracción I de la Ley del Agua para el Estado de México y Municipios, corresponde a los municipios, o bien a sus organismos operadores la prestación de agua potable, alcantarillado, saneamiento y aguas residuales, motivo por el cual, me permito sugerirle respetuosamente dirija su solicitud de información pública al H. Ayuntamiento de Chimalhuacán y al Organismo Descentralizado de Agua Potable, Alcantarillado y Saneamiento (ODAPAS) del mismo municipio, los cuales podrían atender en el ámbito de su competencia su requerimiento de información, en términos del artículo 23 fracción IV de la Ley de Transparencia Local. Aunado a lo anterior, hago de su conocimiento que estos sujetos obligados cuentan con personalidad jurídica y patrimonio propio, por lo que, si desea </w:t>
      </w:r>
      <w:r w:rsidR="00E16262" w:rsidRPr="004D07ED">
        <w:rPr>
          <w:rFonts w:ascii="Palatino Linotype" w:eastAsia="Palatino Linotype" w:hAnsi="Palatino Linotype" w:cs="Palatino Linotype"/>
          <w:i/>
          <w:iCs/>
          <w:sz w:val="22"/>
          <w:szCs w:val="22"/>
        </w:rPr>
        <w:lastRenderedPageBreak/>
        <w:t>direccionar su solicitud de información a través de la plataforma del Sistema de Acceso a la Información Mexiquense (SAIMEX), podrán atender su solicitud de información pública en el ámbito de sus atribuciones. Finalmente, en caso de ser de su interés, puede acudir para orientación o asesoría al Módulo de Información de la Unidad de Transparencia del H. Ayuntamiento de Cuautitlán, ubicado en Teatro Auditorio Acolmitscli, Avenida Vicente Guerrero número 6, Predio El Molino, Cabecera Municipal, Chimalhuacán, Estado de México; o a las oficinas del ODAPAS de Chimalhuacán en Avenida Bordo de Xochiaca esq. Avenida del Peñón S/N, Colonia Xochiaca, Chimalhuacán, Estado de México; ambos en un horario de lunes a viernes de 09:00 a 18:00 horas.</w:t>
      </w:r>
      <w:r w:rsidRPr="004D07ED">
        <w:rPr>
          <w:rFonts w:ascii="Palatino Linotype" w:eastAsia="Palatino Linotype" w:hAnsi="Palatino Linotype" w:cs="Palatino Linotype"/>
          <w:i/>
          <w:iCs/>
          <w:sz w:val="22"/>
          <w:szCs w:val="22"/>
        </w:rPr>
        <w:t>..” (sic)</w:t>
      </w:r>
    </w:p>
    <w:p w14:paraId="7EDDF6E1" w14:textId="4E07D729" w:rsidR="00CA39B4" w:rsidRPr="004D07ED" w:rsidRDefault="00CA39B4">
      <w:pPr>
        <w:spacing w:before="240" w:after="240" w:line="360" w:lineRule="auto"/>
        <w:ind w:right="49"/>
        <w:jc w:val="both"/>
        <w:rPr>
          <w:rFonts w:ascii="Palatino Linotype" w:hAnsi="Palatino Linotype"/>
          <w:sz w:val="22"/>
          <w:szCs w:val="22"/>
        </w:rPr>
      </w:pPr>
      <w:r w:rsidRPr="004D07ED">
        <w:rPr>
          <w:rFonts w:ascii="Palatino Linotype" w:eastAsia="Palatino Linotype" w:hAnsi="Palatino Linotype" w:cs="Palatino Linotype"/>
          <w:sz w:val="22"/>
          <w:szCs w:val="22"/>
        </w:rPr>
        <w:t>Archivos adjuntos: O</w:t>
      </w:r>
      <w:r w:rsidR="00E16262" w:rsidRPr="004D07ED">
        <w:rPr>
          <w:rFonts w:ascii="Palatino Linotype" w:eastAsia="Palatino Linotype" w:hAnsi="Palatino Linotype" w:cs="Palatino Linotype"/>
          <w:sz w:val="22"/>
          <w:szCs w:val="22"/>
        </w:rPr>
        <w:t xml:space="preserve">ficio número </w:t>
      </w:r>
      <w:r w:rsidR="00E16262" w:rsidRPr="004D07ED">
        <w:rPr>
          <w:rFonts w:ascii="Palatino Linotype" w:hAnsi="Palatino Linotype"/>
          <w:sz w:val="22"/>
          <w:szCs w:val="22"/>
        </w:rPr>
        <w:t xml:space="preserve">CIEPS/UT/016/2025, </w:t>
      </w:r>
      <w:r w:rsidR="00693153" w:rsidRPr="004D07ED">
        <w:rPr>
          <w:rFonts w:ascii="Palatino Linotype" w:hAnsi="Palatino Linotype"/>
          <w:sz w:val="22"/>
          <w:szCs w:val="22"/>
        </w:rPr>
        <w:t xml:space="preserve">mediante el cual </w:t>
      </w:r>
      <w:r w:rsidR="005E0BC3" w:rsidRPr="004D07ED">
        <w:rPr>
          <w:rFonts w:ascii="Palatino Linotype" w:hAnsi="Palatino Linotype"/>
          <w:sz w:val="22"/>
          <w:szCs w:val="22"/>
        </w:rPr>
        <w:t xml:space="preserve">la titular de la Unidad de Transparencia </w:t>
      </w:r>
      <w:r w:rsidR="00DC1F6B" w:rsidRPr="004D07ED">
        <w:rPr>
          <w:rFonts w:ascii="Palatino Linotype" w:hAnsi="Palatino Linotype"/>
          <w:sz w:val="22"/>
          <w:szCs w:val="22"/>
        </w:rPr>
        <w:t>hizo de conocimiento que</w:t>
      </w:r>
      <w:r w:rsidRPr="004D07ED">
        <w:rPr>
          <w:rFonts w:ascii="Palatino Linotype" w:hAnsi="Palatino Linotype"/>
          <w:sz w:val="22"/>
          <w:szCs w:val="22"/>
        </w:rPr>
        <w:t xml:space="preserve"> el </w:t>
      </w:r>
      <w:r w:rsidRPr="004D07ED">
        <w:rPr>
          <w:rFonts w:ascii="Palatino Linotype" w:hAnsi="Palatino Linotype"/>
          <w:b/>
          <w:sz w:val="22"/>
          <w:szCs w:val="22"/>
        </w:rPr>
        <w:t xml:space="preserve">Sujeto Obligado </w:t>
      </w:r>
      <w:r w:rsidRPr="004D07ED">
        <w:rPr>
          <w:rFonts w:ascii="Palatino Linotype" w:hAnsi="Palatino Linotype"/>
          <w:sz w:val="22"/>
          <w:szCs w:val="22"/>
        </w:rPr>
        <w:t>no es la autoridad competente para hacer entrega de la información solicitada, toda vez que de conformidad con lo dispuesto en los artículos 23 fracción VII, 36, 37, 64 у 66 de la Ley Orgánica de la Administración Pública del Estado de México; artículos 1, 3 y 4 del Acuerdo del Ejecutivo del Estado por el que se crea el organismo público descentralizado de carácter estatal denominado Consejo de Investigación y Evaluación de la Política Social; y demás ordenamientos jurídicos aplicables, el Consejo Investigación y Evaluación de la Política Social es un organismo público descentralizado, sectorizado a la Secretaría de Bienestar del Gobierno del Estado de México; cuyo objeto es la investigación, evaluación y emisión de opiniones en materia de política social; motivo por el cual no es posible proporcionar la información requerida.</w:t>
      </w:r>
    </w:p>
    <w:p w14:paraId="630B92B3" w14:textId="4F7FA232" w:rsidR="00AF4630" w:rsidRPr="004D07ED" w:rsidRDefault="00637CC3" w:rsidP="00C977DD">
      <w:pPr>
        <w:tabs>
          <w:tab w:val="left" w:pos="4962"/>
        </w:tabs>
        <w:spacing w:before="240" w:after="240" w:line="360" w:lineRule="auto"/>
        <w:ind w:right="49"/>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sz w:val="22"/>
          <w:szCs w:val="22"/>
        </w:rPr>
        <w:t xml:space="preserve">No obstante, </w:t>
      </w:r>
      <w:r w:rsidRPr="004D07ED">
        <w:rPr>
          <w:rFonts w:ascii="Palatino Linotype" w:hAnsi="Palatino Linotype"/>
          <w:sz w:val="22"/>
          <w:szCs w:val="22"/>
        </w:rPr>
        <w:t>bajo el principio de máxima publicidad, informó que con fundamento en lo establecido en el artículo 125 fracción I de la Ley Orgánica Municipal del Estado de México y 34 fracción I de la Ley del Agua para el Estado de México y Municipios, corresponde a los municipios, о bien a sus organismos operadores la prestación de agua potable, alcantarillado, saneamiento y aguas residuales, sugiriendo  dirigir la solicitud de información pública al Ayuntamiento de Chimalhuacán y al Organismo Descentralizado de Agua Potable, Alcantarillado y Saneamiento (ODAPAS) del mismo municipio, los cuales podrían atender en el ámbito de su competencia su requerimiento de información.</w:t>
      </w:r>
    </w:p>
    <w:p w14:paraId="5EAB30E4" w14:textId="7CDDBBFF" w:rsidR="006C2841" w:rsidRPr="004D07ED" w:rsidRDefault="00D06478">
      <w:pPr>
        <w:spacing w:before="240" w:after="240" w:line="360" w:lineRule="auto"/>
        <w:ind w:right="49"/>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b/>
          <w:bCs/>
          <w:sz w:val="22"/>
          <w:szCs w:val="22"/>
        </w:rPr>
        <w:t xml:space="preserve">3. Interposición del recurso de revisión. </w:t>
      </w:r>
      <w:r w:rsidRPr="004D07ED">
        <w:rPr>
          <w:rFonts w:ascii="Palatino Linotype" w:eastAsia="Palatino Linotype" w:hAnsi="Palatino Linotype" w:cs="Palatino Linotype"/>
          <w:sz w:val="22"/>
          <w:szCs w:val="22"/>
        </w:rPr>
        <w:t xml:space="preserve">Inconforme con los términos de la respuesta emitida por parte del </w:t>
      </w:r>
      <w:r w:rsidRPr="004D07ED">
        <w:rPr>
          <w:rFonts w:ascii="Palatino Linotype" w:eastAsia="Palatino Linotype" w:hAnsi="Palatino Linotype" w:cs="Palatino Linotype"/>
          <w:b/>
          <w:bCs/>
          <w:sz w:val="22"/>
          <w:szCs w:val="22"/>
        </w:rPr>
        <w:t>Sujeto Obligado</w:t>
      </w:r>
      <w:r w:rsidRPr="004D07ED">
        <w:rPr>
          <w:rFonts w:ascii="Palatino Linotype" w:eastAsia="Palatino Linotype" w:hAnsi="Palatino Linotype" w:cs="Palatino Linotype"/>
          <w:sz w:val="22"/>
          <w:szCs w:val="22"/>
        </w:rPr>
        <w:t xml:space="preserve">, el </w:t>
      </w:r>
      <w:r w:rsidR="00637CC3" w:rsidRPr="004D07ED">
        <w:rPr>
          <w:rFonts w:ascii="Palatino Linotype" w:eastAsia="Palatino Linotype" w:hAnsi="Palatino Linotype" w:cs="Palatino Linotype"/>
          <w:b/>
          <w:bCs/>
          <w:sz w:val="22"/>
          <w:szCs w:val="22"/>
        </w:rPr>
        <w:t xml:space="preserve">dos de diciembre </w:t>
      </w:r>
      <w:r w:rsidRPr="004D07ED">
        <w:rPr>
          <w:rFonts w:ascii="Palatino Linotype" w:eastAsia="Palatino Linotype" w:hAnsi="Palatino Linotype" w:cs="Palatino Linotype"/>
          <w:b/>
          <w:bCs/>
          <w:sz w:val="22"/>
          <w:szCs w:val="22"/>
        </w:rPr>
        <w:t>de dos mil veinticinco,</w:t>
      </w:r>
      <w:r w:rsidRPr="004D07ED">
        <w:rPr>
          <w:rFonts w:ascii="Palatino Linotype" w:eastAsia="Palatino Linotype" w:hAnsi="Palatino Linotype" w:cs="Palatino Linotype"/>
          <w:sz w:val="22"/>
          <w:szCs w:val="22"/>
        </w:rPr>
        <w:t xml:space="preserve"> la parte </w:t>
      </w:r>
      <w:r w:rsidRPr="004D07ED">
        <w:rPr>
          <w:rFonts w:ascii="Palatino Linotype" w:eastAsia="Palatino Linotype" w:hAnsi="Palatino Linotype" w:cs="Palatino Linotype"/>
          <w:b/>
          <w:bCs/>
          <w:sz w:val="22"/>
          <w:szCs w:val="22"/>
        </w:rPr>
        <w:t>Recurrente</w:t>
      </w:r>
      <w:r w:rsidRPr="004D07ED">
        <w:rPr>
          <w:rFonts w:ascii="Palatino Linotype" w:eastAsia="Palatino Linotype" w:hAnsi="Palatino Linotype" w:cs="Palatino Linotype"/>
          <w:sz w:val="22"/>
          <w:szCs w:val="22"/>
        </w:rPr>
        <w:t xml:space="preserve"> interpuso el recurso de revisión a través de </w:t>
      </w:r>
      <w:r w:rsidRPr="004D07ED">
        <w:rPr>
          <w:rFonts w:ascii="Palatino Linotype" w:eastAsia="Palatino Linotype" w:hAnsi="Palatino Linotype" w:cs="Palatino Linotype"/>
          <w:b/>
          <w:bCs/>
          <w:sz w:val="22"/>
          <w:szCs w:val="22"/>
        </w:rPr>
        <w:t xml:space="preserve">SAIMEX, </w:t>
      </w:r>
      <w:r w:rsidRPr="004D07ED">
        <w:rPr>
          <w:rFonts w:ascii="Palatino Linotype" w:eastAsia="Palatino Linotype" w:hAnsi="Palatino Linotype" w:cs="Palatino Linotype"/>
          <w:sz w:val="22"/>
          <w:szCs w:val="22"/>
        </w:rPr>
        <w:t>en donde se manifestó de la siguiente manera:</w:t>
      </w:r>
    </w:p>
    <w:p w14:paraId="687F7E7B" w14:textId="77777777" w:rsidR="006C2841" w:rsidRPr="004D07ED" w:rsidRDefault="00D06478">
      <w:pPr>
        <w:spacing w:before="240" w:after="240" w:line="360" w:lineRule="auto"/>
        <w:ind w:right="49"/>
        <w:jc w:val="both"/>
        <w:rPr>
          <w:rFonts w:ascii="Palatino Linotype" w:eastAsia="Palatino Linotype" w:hAnsi="Palatino Linotype" w:cs="Palatino Linotype"/>
          <w:b/>
          <w:bCs/>
          <w:sz w:val="22"/>
          <w:szCs w:val="22"/>
        </w:rPr>
      </w:pPr>
      <w:r w:rsidRPr="004D07ED">
        <w:rPr>
          <w:rFonts w:ascii="Palatino Linotype" w:eastAsia="Palatino Linotype" w:hAnsi="Palatino Linotype" w:cs="Palatino Linotype"/>
          <w:b/>
          <w:bCs/>
          <w:sz w:val="22"/>
          <w:szCs w:val="22"/>
        </w:rPr>
        <w:t xml:space="preserve">Acto impugnado: </w:t>
      </w:r>
    </w:p>
    <w:p w14:paraId="7E2424D9" w14:textId="1E30D1D4" w:rsidR="006C2841" w:rsidRPr="004D07ED" w:rsidRDefault="00D06478">
      <w:pPr>
        <w:ind w:left="851" w:right="900"/>
        <w:jc w:val="both"/>
        <w:rPr>
          <w:rFonts w:ascii="Palatino Linotype" w:eastAsia="Palatino Linotype" w:hAnsi="Palatino Linotype" w:cs="Palatino Linotype"/>
          <w:i/>
          <w:iCs/>
          <w:sz w:val="22"/>
          <w:szCs w:val="22"/>
        </w:rPr>
      </w:pPr>
      <w:r w:rsidRPr="004D07ED">
        <w:rPr>
          <w:rFonts w:ascii="Palatino Linotype" w:eastAsia="Palatino Linotype" w:hAnsi="Palatino Linotype" w:cs="Palatino Linotype"/>
          <w:i/>
          <w:iCs/>
          <w:sz w:val="22"/>
          <w:szCs w:val="22"/>
        </w:rPr>
        <w:t>“</w:t>
      </w:r>
      <w:r w:rsidR="00637CC3" w:rsidRPr="004D07ED">
        <w:rPr>
          <w:rFonts w:ascii="Palatino Linotype" w:eastAsia="Palatino Linotype" w:hAnsi="Palatino Linotype" w:cs="Palatino Linotype"/>
          <w:i/>
          <w:iCs/>
          <w:sz w:val="22"/>
          <w:szCs w:val="22"/>
        </w:rPr>
        <w:t xml:space="preserve">Que no se presenta un complemento de contraloría u órgano que garantice las peticiones dado que </w:t>
      </w:r>
      <w:r w:rsidR="00637CC3" w:rsidRPr="004D07ED">
        <w:rPr>
          <w:rFonts w:ascii="Palatino Linotype" w:eastAsia="Palatino Linotype" w:hAnsi="Palatino Linotype" w:cs="Palatino Linotype"/>
          <w:b/>
          <w:bCs/>
          <w:i/>
          <w:iCs/>
          <w:sz w:val="22"/>
          <w:szCs w:val="22"/>
        </w:rPr>
        <w:t>han sido negligentes las dependencias citadas</w:t>
      </w:r>
      <w:r w:rsidRPr="004D07ED">
        <w:rPr>
          <w:rFonts w:ascii="Palatino Linotype" w:eastAsia="Palatino Linotype" w:hAnsi="Palatino Linotype" w:cs="Palatino Linotype"/>
          <w:i/>
          <w:iCs/>
          <w:sz w:val="22"/>
          <w:szCs w:val="22"/>
        </w:rPr>
        <w:t>” (sic)</w:t>
      </w:r>
    </w:p>
    <w:p w14:paraId="4BA695D0" w14:textId="77777777" w:rsidR="006C2841" w:rsidRPr="004D07ED" w:rsidRDefault="006C2841">
      <w:pPr>
        <w:spacing w:line="360" w:lineRule="auto"/>
        <w:jc w:val="both"/>
        <w:rPr>
          <w:rFonts w:ascii="Palatino Linotype" w:eastAsia="Palatino Linotype" w:hAnsi="Palatino Linotype" w:cs="Palatino Linotype"/>
          <w:b/>
          <w:bCs/>
          <w:sz w:val="22"/>
          <w:szCs w:val="22"/>
        </w:rPr>
      </w:pPr>
      <w:bookmarkStart w:id="5" w:name="_heading=h.30j0zll" w:colFirst="0" w:colLast="0"/>
      <w:bookmarkEnd w:id="5"/>
    </w:p>
    <w:p w14:paraId="50CE2580" w14:textId="77777777" w:rsidR="006C2841" w:rsidRPr="004D07ED" w:rsidRDefault="00D06478">
      <w:pPr>
        <w:spacing w:line="360" w:lineRule="auto"/>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b/>
          <w:bCs/>
          <w:sz w:val="22"/>
          <w:szCs w:val="22"/>
        </w:rPr>
        <w:t>Y, Razones o motivos de inconformidad</w:t>
      </w:r>
      <w:r w:rsidRPr="004D07ED">
        <w:rPr>
          <w:rFonts w:ascii="Palatino Linotype" w:eastAsia="Palatino Linotype" w:hAnsi="Palatino Linotype" w:cs="Palatino Linotype"/>
          <w:sz w:val="22"/>
          <w:szCs w:val="22"/>
        </w:rPr>
        <w:t>:</w:t>
      </w:r>
    </w:p>
    <w:p w14:paraId="0F8190A5" w14:textId="79081307" w:rsidR="006C2841" w:rsidRPr="004D07ED" w:rsidRDefault="00D06478" w:rsidP="00637CC3">
      <w:pPr>
        <w:tabs>
          <w:tab w:val="left" w:pos="2745"/>
        </w:tabs>
        <w:spacing w:before="240" w:after="240"/>
        <w:ind w:left="851" w:right="900"/>
        <w:jc w:val="both"/>
        <w:rPr>
          <w:rFonts w:ascii="Palatino Linotype" w:eastAsia="Palatino Linotype" w:hAnsi="Palatino Linotype" w:cs="Palatino Linotype"/>
          <w:i/>
          <w:iCs/>
          <w:sz w:val="22"/>
          <w:szCs w:val="22"/>
        </w:rPr>
      </w:pPr>
      <w:r w:rsidRPr="004D07ED">
        <w:rPr>
          <w:rFonts w:ascii="Palatino Linotype" w:eastAsia="Palatino Linotype" w:hAnsi="Palatino Linotype" w:cs="Palatino Linotype"/>
          <w:i/>
          <w:iCs/>
          <w:sz w:val="22"/>
          <w:szCs w:val="22"/>
        </w:rPr>
        <w:t>“</w:t>
      </w:r>
      <w:r w:rsidR="00637CC3" w:rsidRPr="004D07ED">
        <w:rPr>
          <w:rFonts w:ascii="Palatino Linotype" w:eastAsia="Palatino Linotype" w:hAnsi="Palatino Linotype" w:cs="Palatino Linotype"/>
          <w:b/>
          <w:bCs/>
          <w:i/>
          <w:iCs/>
          <w:sz w:val="22"/>
          <w:szCs w:val="22"/>
          <w:u w:val="single"/>
        </w:rPr>
        <w:t>Que se estudie y analice ampliamente las problemáticas</w:t>
      </w:r>
      <w:r w:rsidR="00637CC3" w:rsidRPr="004D07ED">
        <w:rPr>
          <w:rFonts w:ascii="Palatino Linotype" w:eastAsia="Palatino Linotype" w:hAnsi="Palatino Linotype" w:cs="Palatino Linotype"/>
          <w:i/>
          <w:iCs/>
          <w:sz w:val="22"/>
          <w:szCs w:val="22"/>
        </w:rPr>
        <w:t xml:space="preserve"> que devengan del que hacer en las responsabilidades administrativas en pro de los colonos de Huatongo [Referencia, https://www.google.com/maps/place/CENTRO+M%C3%89DICO+BBC/@19.4038999,-98.9141792,17z/data=!3m1!4b1!4m6!3m5!1s0x85d1e17f8cfb6a71:0x7dc6895dc61e8db0!8m2!3d19.4038999!4d-98.9141792!16s%2Fg%2F11gs5lhx7c?entry=ttu] En la cual se tiene registro desde hace cuando al menos hace 15 años. Violando el Artículo 8º de la Constitución Política de los Estados Unidos Mexicanos que han solicitado orientación, intervención, gestión de servicios.</w:t>
      </w:r>
      <w:r w:rsidRPr="004D07ED">
        <w:rPr>
          <w:rFonts w:ascii="Palatino Linotype" w:eastAsia="Palatino Linotype" w:hAnsi="Palatino Linotype" w:cs="Palatino Linotype"/>
          <w:i/>
          <w:iCs/>
          <w:sz w:val="22"/>
          <w:szCs w:val="22"/>
        </w:rPr>
        <w:t>” (sic)</w:t>
      </w:r>
    </w:p>
    <w:p w14:paraId="45CEEEF3" w14:textId="28C51AA3" w:rsidR="00637CC3" w:rsidRPr="004D07ED" w:rsidRDefault="00D06478">
      <w:pPr>
        <w:spacing w:before="240" w:after="240" w:line="360" w:lineRule="auto"/>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sz w:val="22"/>
          <w:szCs w:val="22"/>
        </w:rPr>
        <w:t xml:space="preserve">La parte </w:t>
      </w:r>
      <w:r w:rsidRPr="004D07ED">
        <w:rPr>
          <w:rFonts w:ascii="Palatino Linotype" w:eastAsia="Palatino Linotype" w:hAnsi="Palatino Linotype" w:cs="Palatino Linotype"/>
          <w:b/>
          <w:bCs/>
          <w:sz w:val="22"/>
          <w:szCs w:val="22"/>
        </w:rPr>
        <w:t xml:space="preserve">Recurrente </w:t>
      </w:r>
      <w:r w:rsidRPr="004D07ED">
        <w:rPr>
          <w:rFonts w:ascii="Palatino Linotype" w:eastAsia="Palatino Linotype" w:hAnsi="Palatino Linotype" w:cs="Palatino Linotype"/>
          <w:sz w:val="22"/>
          <w:szCs w:val="22"/>
        </w:rPr>
        <w:t xml:space="preserve">adjuntó </w:t>
      </w:r>
      <w:r w:rsidR="00834F86" w:rsidRPr="004D07ED">
        <w:rPr>
          <w:rFonts w:ascii="Palatino Linotype" w:eastAsia="Palatino Linotype" w:hAnsi="Palatino Linotype" w:cs="Palatino Linotype"/>
          <w:sz w:val="22"/>
          <w:szCs w:val="22"/>
        </w:rPr>
        <w:t>ocho fotografías</w:t>
      </w:r>
      <w:r w:rsidR="00065E97" w:rsidRPr="004D07ED">
        <w:rPr>
          <w:rFonts w:ascii="Palatino Linotype" w:eastAsia="Palatino Linotype" w:hAnsi="Palatino Linotype" w:cs="Palatino Linotype"/>
          <w:sz w:val="22"/>
          <w:szCs w:val="22"/>
        </w:rPr>
        <w:t xml:space="preserve"> de calles de terracería</w:t>
      </w:r>
      <w:r w:rsidR="00834F86" w:rsidRPr="004D07ED">
        <w:rPr>
          <w:rFonts w:ascii="Palatino Linotype" w:eastAsia="Palatino Linotype" w:hAnsi="Palatino Linotype" w:cs="Palatino Linotype"/>
          <w:sz w:val="22"/>
          <w:szCs w:val="22"/>
        </w:rPr>
        <w:t>.</w:t>
      </w:r>
    </w:p>
    <w:p w14:paraId="4B85B12E" w14:textId="77777777" w:rsidR="006C2841" w:rsidRPr="004D07ED" w:rsidRDefault="00D06478">
      <w:pPr>
        <w:spacing w:before="240" w:after="240" w:line="360" w:lineRule="auto"/>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b/>
          <w:bCs/>
          <w:sz w:val="22"/>
          <w:szCs w:val="22"/>
        </w:rPr>
        <w:t xml:space="preserve">4. Turno. </w:t>
      </w:r>
      <w:r w:rsidRPr="004D07ED">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Pr="004D07ED">
        <w:rPr>
          <w:rFonts w:ascii="Palatino Linotype" w:eastAsia="Palatino Linotype" w:hAnsi="Palatino Linotype" w:cs="Palatino Linotype"/>
          <w:b/>
          <w:bCs/>
          <w:sz w:val="22"/>
          <w:szCs w:val="22"/>
        </w:rPr>
        <w:t xml:space="preserve">Guadalupe Ramírez Peña, </w:t>
      </w:r>
      <w:r w:rsidRPr="004D07ED">
        <w:rPr>
          <w:rFonts w:ascii="Palatino Linotype" w:eastAsia="Palatino Linotype" w:hAnsi="Palatino Linotype" w:cs="Palatino Linotype"/>
          <w:sz w:val="22"/>
          <w:szCs w:val="22"/>
        </w:rPr>
        <w:t>a efecto de que analizara sobre su admisión o su desechamiento.</w:t>
      </w:r>
    </w:p>
    <w:p w14:paraId="62EB015C" w14:textId="27304634" w:rsidR="006C2841" w:rsidRPr="004D07ED" w:rsidRDefault="00D06478">
      <w:pPr>
        <w:spacing w:before="240" w:after="240" w:line="360" w:lineRule="auto"/>
        <w:jc w:val="both"/>
        <w:rPr>
          <w:rFonts w:ascii="Palatino Linotype" w:eastAsia="Palatino Linotype" w:hAnsi="Palatino Linotype" w:cs="Palatino Linotype"/>
          <w:b/>
          <w:bCs/>
          <w:sz w:val="22"/>
          <w:szCs w:val="22"/>
        </w:rPr>
      </w:pPr>
      <w:r w:rsidRPr="004D07ED">
        <w:rPr>
          <w:rFonts w:ascii="Palatino Linotype" w:eastAsia="Palatino Linotype" w:hAnsi="Palatino Linotype" w:cs="Palatino Linotype"/>
          <w:b/>
          <w:bCs/>
          <w:sz w:val="22"/>
          <w:szCs w:val="22"/>
        </w:rPr>
        <w:t>5. Admisión del Recurso de revisión.</w:t>
      </w:r>
      <w:r w:rsidRPr="004D07ED">
        <w:rPr>
          <w:rFonts w:ascii="Palatino Linotype" w:eastAsia="Palatino Linotype" w:hAnsi="Palatino Linotype" w:cs="Palatino Linotype"/>
          <w:sz w:val="22"/>
          <w:szCs w:val="22"/>
        </w:rPr>
        <w:t xml:space="preserve"> El</w:t>
      </w:r>
      <w:r w:rsidR="004E4BCB" w:rsidRPr="004D07ED">
        <w:rPr>
          <w:rFonts w:ascii="Palatino Linotype" w:eastAsia="Palatino Linotype" w:hAnsi="Palatino Linotype" w:cs="Palatino Linotype"/>
          <w:b/>
          <w:bCs/>
          <w:sz w:val="22"/>
          <w:szCs w:val="22"/>
        </w:rPr>
        <w:t xml:space="preserve"> nueve de diciembre </w:t>
      </w:r>
      <w:r w:rsidRPr="004D07ED">
        <w:rPr>
          <w:rFonts w:ascii="Palatino Linotype" w:eastAsia="Palatino Linotype" w:hAnsi="Palatino Linotype" w:cs="Palatino Linotype"/>
          <w:b/>
          <w:bCs/>
          <w:sz w:val="22"/>
          <w:szCs w:val="22"/>
        </w:rPr>
        <w:t xml:space="preserve">de dos mil veinticinco, </w:t>
      </w:r>
      <w:r w:rsidRPr="004D07ED">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4D07ED">
        <w:rPr>
          <w:rFonts w:ascii="Palatino Linotype" w:eastAsia="Palatino Linotype" w:hAnsi="Palatino Linotype" w:cs="Palatino Linotype"/>
          <w:b/>
          <w:bCs/>
          <w:sz w:val="22"/>
          <w:szCs w:val="22"/>
        </w:rPr>
        <w:t xml:space="preserve">Sujeto Obligado </w:t>
      </w:r>
      <w:r w:rsidRPr="004D07ED">
        <w:rPr>
          <w:rFonts w:ascii="Palatino Linotype" w:eastAsia="Palatino Linotype" w:hAnsi="Palatino Linotype" w:cs="Palatino Linotype"/>
          <w:sz w:val="22"/>
          <w:szCs w:val="22"/>
        </w:rPr>
        <w:t>presentara su informe justificado.</w:t>
      </w:r>
    </w:p>
    <w:p w14:paraId="6CA0037B" w14:textId="096EC385" w:rsidR="006C2841" w:rsidRPr="004D07ED" w:rsidRDefault="00D06478">
      <w:pPr>
        <w:spacing w:before="240" w:after="240" w:line="360" w:lineRule="auto"/>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b/>
          <w:bCs/>
          <w:sz w:val="22"/>
          <w:szCs w:val="22"/>
        </w:rPr>
        <w:t>6. Manifestaciones</w:t>
      </w:r>
      <w:r w:rsidRPr="004D07ED">
        <w:rPr>
          <w:rFonts w:ascii="Palatino Linotype" w:eastAsia="Palatino Linotype" w:hAnsi="Palatino Linotype" w:cs="Palatino Linotype"/>
          <w:sz w:val="22"/>
          <w:szCs w:val="22"/>
        </w:rPr>
        <w:t xml:space="preserve">. El </w:t>
      </w:r>
      <w:r w:rsidR="004E4BCB" w:rsidRPr="004D07ED">
        <w:rPr>
          <w:rFonts w:ascii="Palatino Linotype" w:eastAsia="Palatino Linotype" w:hAnsi="Palatino Linotype" w:cs="Palatino Linotype"/>
          <w:b/>
          <w:bCs/>
          <w:sz w:val="22"/>
          <w:szCs w:val="22"/>
        </w:rPr>
        <w:t>dieciséis de diciembre d</w:t>
      </w:r>
      <w:r w:rsidRPr="004D07ED">
        <w:rPr>
          <w:rFonts w:ascii="Palatino Linotype" w:eastAsia="Palatino Linotype" w:hAnsi="Palatino Linotype" w:cs="Palatino Linotype"/>
          <w:b/>
          <w:bCs/>
          <w:sz w:val="22"/>
          <w:szCs w:val="22"/>
        </w:rPr>
        <w:t>e</w:t>
      </w:r>
      <w:r w:rsidRPr="004D07ED">
        <w:rPr>
          <w:rFonts w:ascii="Palatino Linotype" w:eastAsia="Palatino Linotype" w:hAnsi="Palatino Linotype" w:cs="Palatino Linotype"/>
          <w:sz w:val="22"/>
          <w:szCs w:val="22"/>
        </w:rPr>
        <w:t xml:space="preserve"> </w:t>
      </w:r>
      <w:r w:rsidRPr="004D07ED">
        <w:rPr>
          <w:rFonts w:ascii="Palatino Linotype" w:eastAsia="Palatino Linotype" w:hAnsi="Palatino Linotype" w:cs="Palatino Linotype"/>
          <w:b/>
          <w:bCs/>
          <w:sz w:val="22"/>
          <w:szCs w:val="22"/>
        </w:rPr>
        <w:t>dos mil veinti</w:t>
      </w:r>
      <w:r w:rsidR="004E4BCB" w:rsidRPr="004D07ED">
        <w:rPr>
          <w:rFonts w:ascii="Palatino Linotype" w:eastAsia="Palatino Linotype" w:hAnsi="Palatino Linotype" w:cs="Palatino Linotype"/>
          <w:b/>
          <w:bCs/>
          <w:sz w:val="22"/>
          <w:szCs w:val="22"/>
        </w:rPr>
        <w:t>cinco</w:t>
      </w:r>
      <w:r w:rsidRPr="004D07ED">
        <w:rPr>
          <w:rFonts w:ascii="Palatino Linotype" w:eastAsia="Palatino Linotype" w:hAnsi="Palatino Linotype" w:cs="Palatino Linotype"/>
          <w:sz w:val="22"/>
          <w:szCs w:val="22"/>
        </w:rPr>
        <w:t xml:space="preserve">, el </w:t>
      </w:r>
      <w:r w:rsidRPr="004D07ED">
        <w:rPr>
          <w:rFonts w:ascii="Palatino Linotype" w:eastAsia="Palatino Linotype" w:hAnsi="Palatino Linotype" w:cs="Palatino Linotype"/>
          <w:b/>
          <w:bCs/>
          <w:sz w:val="22"/>
          <w:szCs w:val="22"/>
        </w:rPr>
        <w:t>Sujeto Obligado</w:t>
      </w:r>
      <w:r w:rsidRPr="004D07ED">
        <w:rPr>
          <w:rFonts w:ascii="Palatino Linotype" w:eastAsia="Palatino Linotype" w:hAnsi="Palatino Linotype" w:cs="Palatino Linotype"/>
          <w:sz w:val="22"/>
          <w:szCs w:val="22"/>
        </w:rPr>
        <w:t xml:space="preserve"> remitió, a través de</w:t>
      </w:r>
      <w:r w:rsidR="00AF72FA" w:rsidRPr="004D07ED">
        <w:rPr>
          <w:rFonts w:ascii="Palatino Linotype" w:eastAsia="Palatino Linotype" w:hAnsi="Palatino Linotype" w:cs="Palatino Linotype"/>
          <w:sz w:val="22"/>
          <w:szCs w:val="22"/>
        </w:rPr>
        <w:t>l SAIMEX su informe justificado, mediante el cual ratificó en lo sustancial la respuesta proporcionada en primera instancia</w:t>
      </w:r>
      <w:r w:rsidR="007A65C2" w:rsidRPr="004D07ED">
        <w:rPr>
          <w:rFonts w:ascii="Palatino Linotype" w:eastAsia="Palatino Linotype" w:hAnsi="Palatino Linotype" w:cs="Palatino Linotype"/>
          <w:sz w:val="22"/>
          <w:szCs w:val="22"/>
        </w:rPr>
        <w:t>, no obstante</w:t>
      </w:r>
      <w:r w:rsidRPr="004D07ED">
        <w:rPr>
          <w:rFonts w:ascii="Palatino Linotype" w:eastAsia="Palatino Linotype" w:hAnsi="Palatino Linotype" w:cs="Palatino Linotype"/>
          <w:sz w:val="22"/>
          <w:szCs w:val="22"/>
        </w:rPr>
        <w:t>, se hizo del conocimiento de la persona solicitante a efecto de que manifestara lo que a su derecho estimara conveniente, siendo omisa en ejercer dicha prerrogativa.</w:t>
      </w:r>
    </w:p>
    <w:p w14:paraId="6C0F55EB" w14:textId="6DF9FA75" w:rsidR="00A2165A" w:rsidRPr="004D07ED" w:rsidRDefault="00D06478" w:rsidP="00A2165A">
      <w:pPr>
        <w:spacing w:before="240" w:after="240" w:line="360" w:lineRule="auto"/>
        <w:jc w:val="both"/>
        <w:rPr>
          <w:rFonts w:ascii="Palatino Linotype" w:eastAsia="Palatino Linotype" w:hAnsi="Palatino Linotype" w:cs="Palatino Linotype"/>
          <w:b/>
          <w:sz w:val="22"/>
          <w:szCs w:val="22"/>
        </w:rPr>
      </w:pPr>
      <w:r w:rsidRPr="004D07ED">
        <w:rPr>
          <w:rFonts w:ascii="Palatino Linotype" w:eastAsia="Palatino Linotype" w:hAnsi="Palatino Linotype" w:cs="Palatino Linotype"/>
          <w:b/>
          <w:bCs/>
          <w:sz w:val="22"/>
          <w:szCs w:val="22"/>
        </w:rPr>
        <w:t xml:space="preserve">7. </w:t>
      </w:r>
      <w:r w:rsidR="00A2165A" w:rsidRPr="004D07ED">
        <w:rPr>
          <w:rFonts w:ascii="Palatino Linotype" w:eastAsia="Palatino Linotype" w:hAnsi="Palatino Linotype" w:cs="Palatino Linotype"/>
          <w:b/>
          <w:sz w:val="22"/>
          <w:szCs w:val="22"/>
        </w:rPr>
        <w:t>Ampliación del término para resolver</w:t>
      </w:r>
      <w:r w:rsidR="00A2165A" w:rsidRPr="004D07ED">
        <w:rPr>
          <w:rFonts w:ascii="Palatino Linotype" w:eastAsia="Palatino Linotype" w:hAnsi="Palatino Linotype" w:cs="Palatino Linotype"/>
          <w:sz w:val="22"/>
          <w:szCs w:val="22"/>
        </w:rPr>
        <w:t xml:space="preserve">. El </w:t>
      </w:r>
      <w:r w:rsidR="00A2165A" w:rsidRPr="004D07ED">
        <w:rPr>
          <w:rFonts w:ascii="Palatino Linotype" w:eastAsia="Palatino Linotype" w:hAnsi="Palatino Linotype" w:cs="Palatino Linotype"/>
          <w:b/>
          <w:sz w:val="22"/>
          <w:szCs w:val="22"/>
        </w:rPr>
        <w:t>diecinueve de febrero de dos mil veinticinco</w:t>
      </w:r>
      <w:r w:rsidR="00A2165A" w:rsidRPr="004D07ED">
        <w:rPr>
          <w:rFonts w:ascii="Palatino Linotype" w:eastAsia="Palatino Linotype" w:hAnsi="Palatino Linotype" w:cs="Palatino Linotype"/>
          <w:sz w:val="22"/>
          <w:szCs w:val="22"/>
        </w:rPr>
        <w:t>, se amplió el término para resolver el recurso de revisión en términos del artículo 181 párrafo tercero de la Ley de Transparencia y Acceso a la Información Pública del Estado de México y Municipios.</w:t>
      </w:r>
    </w:p>
    <w:p w14:paraId="51B27673" w14:textId="71974D13" w:rsidR="006C2841" w:rsidRPr="004D07ED" w:rsidRDefault="00A2165A">
      <w:pPr>
        <w:spacing w:before="240" w:after="240" w:line="360" w:lineRule="auto"/>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b/>
          <w:bCs/>
          <w:sz w:val="22"/>
          <w:szCs w:val="22"/>
        </w:rPr>
        <w:t xml:space="preserve">8. </w:t>
      </w:r>
      <w:r w:rsidR="00D06478" w:rsidRPr="004D07ED">
        <w:rPr>
          <w:rFonts w:ascii="Palatino Linotype" w:eastAsia="Palatino Linotype" w:hAnsi="Palatino Linotype" w:cs="Palatino Linotype"/>
          <w:b/>
          <w:bCs/>
          <w:sz w:val="22"/>
          <w:szCs w:val="22"/>
        </w:rPr>
        <w:t xml:space="preserve">Cierre de instrucción. </w:t>
      </w:r>
      <w:r w:rsidR="00D06478" w:rsidRPr="004D07ED">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el </w:t>
      </w:r>
      <w:r w:rsidR="003E2626" w:rsidRPr="004D07ED">
        <w:rPr>
          <w:rFonts w:ascii="Palatino Linotype" w:eastAsia="Palatino Linotype" w:hAnsi="Palatino Linotype" w:cs="Palatino Linotype"/>
          <w:b/>
          <w:bCs/>
          <w:sz w:val="22"/>
          <w:szCs w:val="22"/>
        </w:rPr>
        <w:t>veinticinco</w:t>
      </w:r>
      <w:r w:rsidRPr="004D07ED">
        <w:rPr>
          <w:rFonts w:ascii="Palatino Linotype" w:eastAsia="Palatino Linotype" w:hAnsi="Palatino Linotype" w:cs="Palatino Linotype"/>
          <w:b/>
          <w:bCs/>
          <w:sz w:val="22"/>
          <w:szCs w:val="22"/>
        </w:rPr>
        <w:t xml:space="preserve"> de febrero </w:t>
      </w:r>
      <w:r w:rsidR="00D06478" w:rsidRPr="004D07ED">
        <w:rPr>
          <w:rFonts w:ascii="Palatino Linotype" w:eastAsia="Palatino Linotype" w:hAnsi="Palatino Linotype" w:cs="Palatino Linotype"/>
          <w:b/>
          <w:bCs/>
          <w:sz w:val="22"/>
          <w:szCs w:val="22"/>
        </w:rPr>
        <w:t>de dos mil veintiséis</w:t>
      </w:r>
      <w:r w:rsidR="00D06478" w:rsidRPr="004D07ED">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r w:rsidR="003E2626" w:rsidRPr="004D07ED">
        <w:rPr>
          <w:rFonts w:ascii="Palatino Linotype" w:eastAsia="Palatino Linotype" w:hAnsi="Palatino Linotype" w:cs="Palatino Linotype"/>
          <w:sz w:val="22"/>
          <w:szCs w:val="22"/>
        </w:rPr>
        <w:t xml:space="preserve">, el cual se hizo del conocimiento de las partes el veintisiete de febrero de dos mil veintiséis. </w:t>
      </w:r>
    </w:p>
    <w:p w14:paraId="467701DA" w14:textId="77777777" w:rsidR="006C2841" w:rsidRPr="004D07ED" w:rsidRDefault="00D06478">
      <w:pPr>
        <w:spacing w:before="240" w:after="240" w:line="360" w:lineRule="auto"/>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5E8EED7F" w14:textId="77777777" w:rsidR="006C2841" w:rsidRPr="004D07ED" w:rsidRDefault="00D06478">
      <w:pPr>
        <w:widowControl w:val="0"/>
        <w:spacing w:before="240" w:after="240" w:line="360" w:lineRule="auto"/>
        <w:jc w:val="center"/>
        <w:rPr>
          <w:rFonts w:ascii="Palatino Linotype" w:eastAsia="Palatino Linotype" w:hAnsi="Palatino Linotype" w:cs="Palatino Linotype"/>
          <w:b/>
          <w:bCs/>
          <w:sz w:val="22"/>
          <w:szCs w:val="22"/>
        </w:rPr>
      </w:pPr>
      <w:r w:rsidRPr="004D07ED">
        <w:rPr>
          <w:rFonts w:ascii="Palatino Linotype" w:eastAsia="Palatino Linotype" w:hAnsi="Palatino Linotype" w:cs="Palatino Linotype"/>
          <w:b/>
          <w:bCs/>
          <w:sz w:val="22"/>
          <w:szCs w:val="22"/>
        </w:rPr>
        <w:t>II. C O N S I D E R A N D O S</w:t>
      </w:r>
    </w:p>
    <w:p w14:paraId="2C3A1128" w14:textId="77777777" w:rsidR="006C2841" w:rsidRPr="004D07ED" w:rsidRDefault="00D06478">
      <w:pPr>
        <w:spacing w:before="240" w:after="240" w:line="360" w:lineRule="auto"/>
        <w:jc w:val="both"/>
        <w:rPr>
          <w:rFonts w:ascii="Palatino Linotype" w:eastAsia="Palatino Linotype" w:hAnsi="Palatino Linotype" w:cs="Palatino Linotype"/>
          <w:sz w:val="22"/>
          <w:szCs w:val="22"/>
        </w:rPr>
      </w:pPr>
      <w:bookmarkStart w:id="6" w:name="_heading=h.9hvwel199kxp" w:colFirst="0" w:colLast="0"/>
      <w:bookmarkEnd w:id="6"/>
      <w:r w:rsidRPr="004D07ED">
        <w:rPr>
          <w:rFonts w:ascii="Palatino Linotype" w:eastAsia="Palatino Linotype" w:hAnsi="Palatino Linotype" w:cs="Palatino Linotype"/>
          <w:b/>
          <w:bCs/>
          <w:sz w:val="22"/>
          <w:szCs w:val="22"/>
        </w:rPr>
        <w:t>Primero. Competencia.</w:t>
      </w:r>
      <w:r w:rsidRPr="004D07ED">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4AB0F436" w14:textId="77777777" w:rsidR="006C2841" w:rsidRPr="004D07ED" w:rsidRDefault="00D06478">
      <w:pPr>
        <w:spacing w:before="240" w:after="240" w:line="360" w:lineRule="auto"/>
        <w:jc w:val="both"/>
        <w:rPr>
          <w:rFonts w:ascii="Palatino Linotype" w:eastAsia="Palatino Linotype" w:hAnsi="Palatino Linotype" w:cs="Palatino Linotype"/>
          <w:sz w:val="22"/>
          <w:szCs w:val="22"/>
        </w:rPr>
      </w:pPr>
      <w:bookmarkStart w:id="7" w:name="_heading=h.tyjcwt" w:colFirst="0" w:colLast="0"/>
      <w:bookmarkEnd w:id="7"/>
      <w:r w:rsidRPr="004D07ED">
        <w:rPr>
          <w:rFonts w:ascii="Palatino Linotype" w:eastAsia="Palatino Linotype" w:hAnsi="Palatino Linotype" w:cs="Palatino Linotype"/>
          <w:b/>
          <w:bCs/>
          <w:sz w:val="22"/>
          <w:szCs w:val="22"/>
        </w:rPr>
        <w:t>Segundo. Oportunidad y Procedibilidad del Recurso de Revisión</w:t>
      </w:r>
      <w:r w:rsidRPr="004D07ED">
        <w:rPr>
          <w:rFonts w:ascii="Palatino Linotype" w:eastAsia="Palatino Linotype" w:hAnsi="Palatino Linotype" w:cs="Palatino Linotype"/>
          <w:sz w:val="22"/>
          <w:szCs w:val="22"/>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01959CCE" w14:textId="7DC45DB6" w:rsidR="006C2841" w:rsidRPr="004D07ED" w:rsidRDefault="00D06478">
      <w:pPr>
        <w:spacing w:before="240" w:after="240" w:line="360" w:lineRule="auto"/>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4D07ED">
        <w:rPr>
          <w:rFonts w:ascii="Palatino Linotype" w:eastAsia="Palatino Linotype" w:hAnsi="Palatino Linotype" w:cs="Palatino Linotype"/>
          <w:b/>
          <w:bCs/>
          <w:sz w:val="22"/>
          <w:szCs w:val="22"/>
        </w:rPr>
        <w:t xml:space="preserve">Sujeto Obligado </w:t>
      </w:r>
      <w:r w:rsidRPr="004D07ED">
        <w:rPr>
          <w:rFonts w:ascii="Palatino Linotype" w:eastAsia="Palatino Linotype" w:hAnsi="Palatino Linotype" w:cs="Palatino Linotype"/>
          <w:sz w:val="22"/>
          <w:szCs w:val="22"/>
        </w:rPr>
        <w:t xml:space="preserve">remitió la respuesta a la solicitud de información el día </w:t>
      </w:r>
      <w:r w:rsidR="00817A64" w:rsidRPr="004D07ED">
        <w:rPr>
          <w:rFonts w:ascii="Palatino Linotype" w:eastAsia="Palatino Linotype" w:hAnsi="Palatino Linotype" w:cs="Palatino Linotype"/>
          <w:b/>
          <w:bCs/>
          <w:sz w:val="22"/>
          <w:szCs w:val="22"/>
        </w:rPr>
        <w:t xml:space="preserve">veintiuno de noviembre </w:t>
      </w:r>
      <w:r w:rsidRPr="004D07ED">
        <w:rPr>
          <w:rFonts w:ascii="Palatino Linotype" w:eastAsia="Palatino Linotype" w:hAnsi="Palatino Linotype" w:cs="Palatino Linotype"/>
          <w:b/>
          <w:bCs/>
          <w:sz w:val="22"/>
          <w:szCs w:val="22"/>
        </w:rPr>
        <w:t xml:space="preserve">de dos mil veinticinco, </w:t>
      </w:r>
      <w:r w:rsidRPr="004D07ED">
        <w:rPr>
          <w:rFonts w:ascii="Palatino Linotype" w:eastAsia="Palatino Linotype" w:hAnsi="Palatino Linotype" w:cs="Palatino Linotype"/>
          <w:sz w:val="22"/>
          <w:szCs w:val="22"/>
        </w:rPr>
        <w:t xml:space="preserve">mientras que el recurso de revisión interpuesto por la parte </w:t>
      </w:r>
      <w:r w:rsidRPr="004D07ED">
        <w:rPr>
          <w:rFonts w:ascii="Palatino Linotype" w:eastAsia="Palatino Linotype" w:hAnsi="Palatino Linotype" w:cs="Palatino Linotype"/>
          <w:b/>
          <w:bCs/>
          <w:sz w:val="22"/>
          <w:szCs w:val="22"/>
        </w:rPr>
        <w:t xml:space="preserve">Recurrente, </w:t>
      </w:r>
      <w:r w:rsidRPr="004D07ED">
        <w:rPr>
          <w:rFonts w:ascii="Palatino Linotype" w:eastAsia="Palatino Linotype" w:hAnsi="Palatino Linotype" w:cs="Palatino Linotype"/>
          <w:sz w:val="22"/>
          <w:szCs w:val="22"/>
        </w:rPr>
        <w:t>se tuvo por presentado el día</w:t>
      </w:r>
      <w:r w:rsidRPr="004D07ED">
        <w:rPr>
          <w:rFonts w:ascii="Palatino Linotype" w:eastAsia="Palatino Linotype" w:hAnsi="Palatino Linotype" w:cs="Palatino Linotype"/>
          <w:b/>
          <w:bCs/>
          <w:sz w:val="22"/>
          <w:szCs w:val="22"/>
        </w:rPr>
        <w:t xml:space="preserve"> </w:t>
      </w:r>
      <w:r w:rsidR="00817A64" w:rsidRPr="004D07ED">
        <w:rPr>
          <w:rFonts w:ascii="Palatino Linotype" w:eastAsia="Palatino Linotype" w:hAnsi="Palatino Linotype" w:cs="Palatino Linotype"/>
          <w:b/>
          <w:bCs/>
          <w:sz w:val="22"/>
          <w:szCs w:val="22"/>
        </w:rPr>
        <w:t xml:space="preserve">dos </w:t>
      </w:r>
      <w:r w:rsidRPr="004D07ED">
        <w:rPr>
          <w:rFonts w:ascii="Palatino Linotype" w:eastAsia="Palatino Linotype" w:hAnsi="Palatino Linotype" w:cs="Palatino Linotype"/>
          <w:b/>
          <w:bCs/>
          <w:sz w:val="22"/>
          <w:szCs w:val="22"/>
        </w:rPr>
        <w:t xml:space="preserve">de diciembre de dos mil veinticinco, </w:t>
      </w:r>
      <w:r w:rsidR="00817A64" w:rsidRPr="004D07ED">
        <w:rPr>
          <w:rFonts w:ascii="Palatino Linotype" w:eastAsia="Palatino Linotype" w:hAnsi="Palatino Linotype" w:cs="Palatino Linotype"/>
          <w:sz w:val="22"/>
          <w:szCs w:val="22"/>
        </w:rPr>
        <w:t xml:space="preserve">esto es, al séptimo </w:t>
      </w:r>
      <w:r w:rsidRPr="004D07ED">
        <w:rPr>
          <w:rFonts w:ascii="Palatino Linotype" w:eastAsia="Palatino Linotype" w:hAnsi="Palatino Linotype" w:cs="Palatino Linotype"/>
          <w:sz w:val="22"/>
          <w:szCs w:val="22"/>
        </w:rPr>
        <w:t xml:space="preserve">día </w:t>
      </w:r>
      <w:r w:rsidR="00817A64" w:rsidRPr="004D07ED">
        <w:rPr>
          <w:rFonts w:ascii="Palatino Linotype" w:eastAsia="Palatino Linotype" w:hAnsi="Palatino Linotype" w:cs="Palatino Linotype"/>
          <w:sz w:val="22"/>
          <w:szCs w:val="22"/>
        </w:rPr>
        <w:t xml:space="preserve">hábil posterior a aquel </w:t>
      </w:r>
      <w:r w:rsidRPr="004D07ED">
        <w:rPr>
          <w:rFonts w:ascii="Palatino Linotype" w:eastAsia="Palatino Linotype" w:hAnsi="Palatino Linotype" w:cs="Palatino Linotype"/>
          <w:sz w:val="22"/>
          <w:szCs w:val="22"/>
        </w:rPr>
        <w:t>en el que tuvo conocimiento de la respuesta impugnada. En este sentido, se concluye que el presente recurso de revisión se encuentra dentro de los márgenes temporales previstos en las disposiciones legales referidas.</w:t>
      </w:r>
    </w:p>
    <w:p w14:paraId="6451B94C" w14:textId="77777777" w:rsidR="00817A64" w:rsidRPr="004D07ED" w:rsidRDefault="00817A64" w:rsidP="00817A64">
      <w:pPr>
        <w:spacing w:line="360" w:lineRule="auto"/>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sz w:val="22"/>
          <w:szCs w:val="22"/>
        </w:rPr>
        <w:t xml:space="preserve">Además, por cuanto hace a la procedibilidad del recurso de revisión, es de suma importancia señalar que </w:t>
      </w:r>
      <w:r w:rsidRPr="004D07ED">
        <w:rPr>
          <w:rFonts w:ascii="Palatino Linotype" w:eastAsia="Palatino Linotype" w:hAnsi="Palatino Linotype" w:cs="Palatino Linotype"/>
          <w:bCs/>
          <w:sz w:val="22"/>
          <w:szCs w:val="22"/>
        </w:rPr>
        <w:t>la parte</w:t>
      </w:r>
      <w:r w:rsidRPr="004D07ED">
        <w:rPr>
          <w:rFonts w:ascii="Palatino Linotype" w:eastAsia="Palatino Linotype" w:hAnsi="Palatino Linotype" w:cs="Palatino Linotype"/>
          <w:b/>
          <w:sz w:val="22"/>
          <w:szCs w:val="22"/>
        </w:rPr>
        <w:t xml:space="preserve"> Recurrente</w:t>
      </w:r>
      <w:r w:rsidRPr="004D07ED">
        <w:rPr>
          <w:rFonts w:ascii="Palatino Linotype" w:eastAsia="Palatino Linotype" w:hAnsi="Palatino Linotype" w:cs="Palatino Linotype"/>
          <w:sz w:val="22"/>
          <w:szCs w:val="22"/>
        </w:rPr>
        <w:t xml:space="preserve">, no señaló un </w:t>
      </w:r>
      <w:r w:rsidRPr="004D07ED">
        <w:rPr>
          <w:rFonts w:ascii="Palatino Linotype" w:eastAsia="Palatino Linotype" w:hAnsi="Palatino Linotype" w:cs="Palatino Linotype"/>
          <w:b/>
          <w:bCs/>
          <w:sz w:val="22"/>
          <w:szCs w:val="22"/>
        </w:rPr>
        <w:t>nombre</w:t>
      </w:r>
      <w:r w:rsidRPr="004D07ED">
        <w:rPr>
          <w:rFonts w:ascii="Palatino Linotype" w:eastAsia="Palatino Linotype" w:hAnsi="Palatino Linotype" w:cs="Palatino Linotype"/>
          <w:sz w:val="22"/>
          <w:szCs w:val="22"/>
        </w:rPr>
        <w:t xml:space="preserve"> con el cual desea ser identificado, como se advierte en el detalle de seguimiento del SAIMEX, no obstante no proporcionar un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2E3E8D59" w14:textId="77777777" w:rsidR="00817A64" w:rsidRPr="004D07ED" w:rsidRDefault="00817A64" w:rsidP="00817A64">
      <w:pPr>
        <w:spacing w:before="120" w:after="120"/>
        <w:ind w:left="851" w:right="902"/>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i/>
          <w:sz w:val="22"/>
          <w:szCs w:val="22"/>
        </w:rPr>
        <w:t>"</w:t>
      </w:r>
      <w:r w:rsidRPr="004D07ED">
        <w:rPr>
          <w:rFonts w:ascii="Palatino Linotype" w:eastAsia="Palatino Linotype" w:hAnsi="Palatino Linotype" w:cs="Palatino Linotype"/>
          <w:b/>
          <w:i/>
          <w:sz w:val="22"/>
          <w:szCs w:val="22"/>
        </w:rPr>
        <w:t>Las solicitudes anónimas</w:t>
      </w:r>
      <w:r w:rsidRPr="004D07ED">
        <w:rPr>
          <w:rFonts w:ascii="Palatino Linotype" w:eastAsia="Palatino Linotype" w:hAnsi="Palatino Linotype" w:cs="Palatino Linotype"/>
          <w:i/>
          <w:sz w:val="22"/>
          <w:szCs w:val="22"/>
        </w:rPr>
        <w:t xml:space="preserve">, con nombre incompleto o </w:t>
      </w:r>
      <w:r w:rsidRPr="004D07ED">
        <w:rPr>
          <w:rFonts w:ascii="Palatino Linotype" w:eastAsia="Palatino Linotype" w:hAnsi="Palatino Linotype" w:cs="Palatino Linotype"/>
          <w:b/>
          <w:i/>
          <w:sz w:val="22"/>
          <w:szCs w:val="22"/>
        </w:rPr>
        <w:t>seudónimo</w:t>
      </w:r>
      <w:r w:rsidRPr="004D07ED">
        <w:rPr>
          <w:rFonts w:ascii="Palatino Linotype" w:eastAsia="Palatino Linotype" w:hAnsi="Palatino Linotype" w:cs="Palatino Linotype"/>
          <w:i/>
          <w:sz w:val="22"/>
          <w:szCs w:val="22"/>
        </w:rPr>
        <w:t xml:space="preserve"> serán procedentes para su trámite por parte del sujeto obligado ante quien se presente. No podrá requerirse información adicional con motivo del nombre proporcionado por el solicitante."</w:t>
      </w:r>
    </w:p>
    <w:p w14:paraId="30C16906" w14:textId="77777777" w:rsidR="00817A64" w:rsidRPr="004D07ED" w:rsidRDefault="00817A64" w:rsidP="00817A64">
      <w:pPr>
        <w:spacing w:before="240" w:after="240" w:line="360" w:lineRule="auto"/>
        <w:jc w:val="both"/>
        <w:rPr>
          <w:rFonts w:ascii="Palatino Linotype" w:eastAsia="Palatino Linotype" w:hAnsi="Palatino Linotype" w:cs="Palatino Linotype"/>
          <w:b/>
          <w:sz w:val="22"/>
          <w:szCs w:val="22"/>
        </w:rPr>
      </w:pPr>
      <w:r w:rsidRPr="004D07ED">
        <w:rPr>
          <w:rFonts w:ascii="Palatino Linotype" w:eastAsia="Palatino Linotype" w:hAnsi="Palatino Linotype" w:cs="Palatino Linotype"/>
          <w:sz w:val="22"/>
          <w:szCs w:val="22"/>
        </w:rPr>
        <w:t xml:space="preserve">De acuerdo al análisis efectuado se advierte que resulta procedente la interposición del recurso y se concluye la acreditación plena de todos y cada uno de los elementos formales exigidos por el artículo 180 de la Ley de Transparencia y Acceso a la Información Pública del Estado de México y Municipios en vigor, en atención a que fue presentado mediante el formato visible en </w:t>
      </w:r>
      <w:r w:rsidRPr="004D07ED">
        <w:rPr>
          <w:rFonts w:ascii="Palatino Linotype" w:eastAsia="Palatino Linotype" w:hAnsi="Palatino Linotype" w:cs="Palatino Linotype"/>
          <w:bCs/>
          <w:sz w:val="22"/>
          <w:szCs w:val="22"/>
        </w:rPr>
        <w:t>el</w:t>
      </w:r>
      <w:r w:rsidRPr="004D07ED">
        <w:rPr>
          <w:rFonts w:ascii="Palatino Linotype" w:eastAsia="Palatino Linotype" w:hAnsi="Palatino Linotype" w:cs="Palatino Linotype"/>
          <w:b/>
          <w:sz w:val="22"/>
          <w:szCs w:val="22"/>
        </w:rPr>
        <w:t xml:space="preserve"> SAIMEX.</w:t>
      </w:r>
    </w:p>
    <w:p w14:paraId="06FFA499" w14:textId="20DF5454" w:rsidR="006C2841" w:rsidRPr="004D07ED" w:rsidRDefault="00D06478">
      <w:pPr>
        <w:spacing w:before="240" w:after="240" w:line="360" w:lineRule="auto"/>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sz w:val="22"/>
          <w:szCs w:val="22"/>
        </w:rPr>
        <w:t xml:space="preserve">Finalmente, se advierte que resulta procedente la interposición del recurso, según lo manifestado por la parte </w:t>
      </w:r>
      <w:r w:rsidRPr="004D07ED">
        <w:rPr>
          <w:rFonts w:ascii="Palatino Linotype" w:eastAsia="Palatino Linotype" w:hAnsi="Palatino Linotype" w:cs="Palatino Linotype"/>
          <w:b/>
          <w:bCs/>
          <w:sz w:val="22"/>
          <w:szCs w:val="22"/>
        </w:rPr>
        <w:t>Recurrente</w:t>
      </w:r>
      <w:r w:rsidRPr="004D07ED">
        <w:rPr>
          <w:rFonts w:ascii="Palatino Linotype" w:eastAsia="Palatino Linotype" w:hAnsi="Palatino Linotype" w:cs="Palatino Linotype"/>
          <w:sz w:val="22"/>
          <w:szCs w:val="22"/>
        </w:rPr>
        <w:t xml:space="preserve"> en sus motivos de inconformidad, de acuerdo al artículo 179, fracción I </w:t>
      </w:r>
      <w:r w:rsidR="00E65EBC" w:rsidRPr="004D07ED">
        <w:rPr>
          <w:rFonts w:ascii="Palatino Linotype" w:eastAsia="Palatino Linotype" w:hAnsi="Palatino Linotype" w:cs="Palatino Linotype"/>
          <w:sz w:val="22"/>
          <w:szCs w:val="22"/>
        </w:rPr>
        <w:t>de la Ley de Transparencia y Acceso a la Información Pública del Estado de México y Municipios</w:t>
      </w:r>
      <w:r w:rsidRPr="004D07ED">
        <w:rPr>
          <w:rFonts w:ascii="Palatino Linotype" w:eastAsia="Palatino Linotype" w:hAnsi="Palatino Linotype" w:cs="Palatino Linotype"/>
          <w:sz w:val="22"/>
          <w:szCs w:val="22"/>
        </w:rPr>
        <w:t>, que a la letra dice: </w:t>
      </w:r>
    </w:p>
    <w:p w14:paraId="185A246D" w14:textId="77777777" w:rsidR="006C2841" w:rsidRPr="004D07ED" w:rsidRDefault="00D06478">
      <w:pPr>
        <w:tabs>
          <w:tab w:val="left" w:pos="7938"/>
        </w:tabs>
        <w:spacing w:before="120" w:after="120"/>
        <w:ind w:left="851" w:right="902"/>
        <w:jc w:val="both"/>
        <w:rPr>
          <w:rFonts w:ascii="Palatino Linotype" w:eastAsia="Palatino Linotype" w:hAnsi="Palatino Linotype" w:cs="Palatino Linotype"/>
          <w:i/>
          <w:iCs/>
          <w:sz w:val="22"/>
          <w:szCs w:val="22"/>
        </w:rPr>
      </w:pPr>
      <w:r w:rsidRPr="004D07ED">
        <w:rPr>
          <w:rFonts w:ascii="Palatino Linotype" w:eastAsia="Palatino Linotype" w:hAnsi="Palatino Linotype" w:cs="Palatino Linotype"/>
          <w:i/>
          <w:iCs/>
          <w:sz w:val="22"/>
          <w:szCs w:val="22"/>
        </w:rPr>
        <w:t>“</w:t>
      </w:r>
      <w:r w:rsidRPr="004D07ED">
        <w:rPr>
          <w:rFonts w:ascii="Palatino Linotype" w:eastAsia="Palatino Linotype" w:hAnsi="Palatino Linotype" w:cs="Palatino Linotype"/>
          <w:b/>
          <w:bCs/>
          <w:i/>
          <w:iCs/>
          <w:sz w:val="22"/>
          <w:szCs w:val="22"/>
        </w:rPr>
        <w:t>Artículo 179.</w:t>
      </w:r>
      <w:r w:rsidRPr="004D07ED">
        <w:rPr>
          <w:rFonts w:ascii="Palatino Linotype" w:eastAsia="Palatino Linotype" w:hAnsi="Palatino Linotype" w:cs="Palatino Linotype"/>
          <w:i/>
          <w:iCs/>
          <w:sz w:val="22"/>
          <w:szCs w:val="22"/>
        </w:rPr>
        <w:t xml:space="preserve"> El recurso de revisión es un medio de protección que la Ley otorga a los particulares, para hacer valer su derecho de acceso a la información pública, y procederá en contra de las siguientes causas:</w:t>
      </w:r>
    </w:p>
    <w:p w14:paraId="55342ED5" w14:textId="77777777" w:rsidR="006C2841" w:rsidRPr="004D07ED" w:rsidRDefault="00D06478">
      <w:pPr>
        <w:tabs>
          <w:tab w:val="left" w:pos="7938"/>
        </w:tabs>
        <w:spacing w:before="120" w:after="120"/>
        <w:ind w:left="851" w:right="900"/>
        <w:jc w:val="both"/>
        <w:rPr>
          <w:rFonts w:ascii="Palatino Linotype" w:eastAsia="Palatino Linotype" w:hAnsi="Palatino Linotype" w:cs="Palatino Linotype"/>
          <w:i/>
          <w:iCs/>
          <w:sz w:val="22"/>
          <w:szCs w:val="22"/>
        </w:rPr>
      </w:pPr>
      <w:r w:rsidRPr="004D07ED">
        <w:rPr>
          <w:rFonts w:ascii="Palatino Linotype" w:eastAsia="Palatino Linotype" w:hAnsi="Palatino Linotype" w:cs="Palatino Linotype"/>
          <w:b/>
          <w:bCs/>
          <w:i/>
          <w:iCs/>
          <w:sz w:val="22"/>
          <w:szCs w:val="22"/>
        </w:rPr>
        <w:t>I.</w:t>
      </w:r>
      <w:r w:rsidRPr="004D07ED">
        <w:rPr>
          <w:rFonts w:ascii="Palatino Linotype" w:eastAsia="Palatino Linotype" w:hAnsi="Palatino Linotype" w:cs="Palatino Linotype"/>
          <w:i/>
          <w:iCs/>
          <w:sz w:val="22"/>
          <w:szCs w:val="22"/>
        </w:rPr>
        <w:t xml:space="preserve"> La negativa a la información solicitada;”</w:t>
      </w:r>
    </w:p>
    <w:p w14:paraId="5A40116A" w14:textId="77777777" w:rsidR="00227BFC" w:rsidRPr="004D07ED" w:rsidRDefault="00227BFC" w:rsidP="00227BFC">
      <w:pPr>
        <w:spacing w:before="240" w:after="240" w:line="360" w:lineRule="auto"/>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b/>
          <w:sz w:val="22"/>
          <w:szCs w:val="22"/>
        </w:rPr>
        <w:t xml:space="preserve">Tercero. Análisis de las causales de sobreseimiento del recurso de revisión. </w:t>
      </w:r>
      <w:r w:rsidRPr="004D07ED">
        <w:rPr>
          <w:rFonts w:ascii="Palatino Linotype" w:eastAsia="Palatino Linotype" w:hAnsi="Palatino Linotype" w:cs="Palatino Linotype"/>
          <w:sz w:val="22"/>
          <w:szCs w:val="22"/>
        </w:rPr>
        <w:t xml:space="preserve">Previo al análisis de las actuaciones que integran el expediente en el Sistema de Acceso a la Información Mexiquense, en importante primeramente enfatizar que el Derecho de Acceso a la Información Pública consiste en que la </w:t>
      </w:r>
      <w:r w:rsidRPr="004D07ED">
        <w:rPr>
          <w:rFonts w:ascii="Palatino Linotype" w:eastAsia="Palatino Linotype" w:hAnsi="Palatino Linotype" w:cs="Palatino Linotype"/>
          <w:b/>
          <w:sz w:val="22"/>
          <w:szCs w:val="22"/>
          <w:u w:val="single"/>
        </w:rPr>
        <w:t>información solicitada conste en un soporte documental</w:t>
      </w:r>
      <w:r w:rsidRPr="004D07ED">
        <w:rPr>
          <w:rFonts w:ascii="Palatino Linotype" w:eastAsia="Palatino Linotype" w:hAnsi="Palatino Linotype" w:cs="Palatino Linotype"/>
          <w:sz w:val="22"/>
          <w:szCs w:val="22"/>
        </w:rPr>
        <w:t xml:space="preserve">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66E8ED9E" w14:textId="77777777" w:rsidR="00227BFC" w:rsidRPr="004D07ED" w:rsidRDefault="00227BFC" w:rsidP="00227BFC">
      <w:pPr>
        <w:ind w:left="851" w:right="901"/>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i/>
          <w:sz w:val="22"/>
          <w:szCs w:val="22"/>
        </w:rPr>
        <w:t>“</w:t>
      </w:r>
      <w:r w:rsidRPr="004D07ED">
        <w:rPr>
          <w:rFonts w:ascii="Palatino Linotype" w:eastAsia="Palatino Linotype" w:hAnsi="Palatino Linotype" w:cs="Palatino Linotype"/>
          <w:b/>
          <w:i/>
          <w:sz w:val="22"/>
          <w:szCs w:val="22"/>
        </w:rPr>
        <w:t xml:space="preserve">Artículo 3. </w:t>
      </w:r>
      <w:r w:rsidRPr="004D07ED">
        <w:rPr>
          <w:rFonts w:ascii="Palatino Linotype" w:eastAsia="Palatino Linotype" w:hAnsi="Palatino Linotype" w:cs="Palatino Linotype"/>
          <w:i/>
          <w:sz w:val="22"/>
          <w:szCs w:val="22"/>
        </w:rPr>
        <w:t>Para los efectos de la presente Ley se entenderá por:</w:t>
      </w:r>
    </w:p>
    <w:p w14:paraId="10F0B119" w14:textId="77777777" w:rsidR="00227BFC" w:rsidRPr="004D07ED" w:rsidRDefault="00227BFC" w:rsidP="00227BFC">
      <w:pPr>
        <w:ind w:left="851" w:right="850"/>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i/>
          <w:sz w:val="22"/>
          <w:szCs w:val="22"/>
        </w:rPr>
        <w:t>…</w:t>
      </w:r>
    </w:p>
    <w:p w14:paraId="7CC6D8BB" w14:textId="77777777" w:rsidR="00227BFC" w:rsidRPr="004D07ED" w:rsidRDefault="00227BFC" w:rsidP="00227BFC">
      <w:pPr>
        <w:ind w:left="851" w:right="901"/>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b/>
          <w:i/>
          <w:sz w:val="22"/>
          <w:szCs w:val="22"/>
        </w:rPr>
        <w:t>XI. Documento:</w:t>
      </w:r>
      <w:r w:rsidRPr="004D07ED">
        <w:rPr>
          <w:rFonts w:ascii="Palatino Linotype" w:eastAsia="Palatino Linotype" w:hAnsi="Palatino Linotype" w:cs="Palatino Linotype"/>
          <w:i/>
          <w:sz w:val="22"/>
          <w:szCs w:val="22"/>
        </w:rPr>
        <w:t xml:space="preserve"> Los expedientes, reportes, estudios, actas, resoluciones,</w:t>
      </w:r>
      <w:r w:rsidRPr="004D07ED">
        <w:rPr>
          <w:rFonts w:ascii="Palatino Linotype" w:eastAsia="Palatino Linotype" w:hAnsi="Palatino Linotype" w:cs="Palatino Linotype"/>
          <w:b/>
          <w:i/>
          <w:sz w:val="22"/>
          <w:szCs w:val="22"/>
        </w:rPr>
        <w:t xml:space="preserve"> </w:t>
      </w:r>
      <w:r w:rsidRPr="004D07ED">
        <w:rPr>
          <w:rFonts w:ascii="Palatino Linotype" w:eastAsia="Palatino Linotype" w:hAnsi="Palatino Linotype" w:cs="Palatino Linotype"/>
          <w:i/>
          <w:sz w:val="22"/>
          <w:szCs w:val="22"/>
        </w:rPr>
        <w:t>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r w:rsidRPr="004D07ED">
        <w:rPr>
          <w:rFonts w:ascii="Palatino Linotype" w:eastAsia="Palatino Linotype" w:hAnsi="Palatino Linotype" w:cs="Palatino Linotype"/>
          <w:b/>
          <w:i/>
          <w:sz w:val="22"/>
          <w:szCs w:val="22"/>
        </w:rPr>
        <w:t>…</w:t>
      </w:r>
      <w:r w:rsidRPr="004D07ED">
        <w:rPr>
          <w:rFonts w:ascii="Palatino Linotype" w:eastAsia="Palatino Linotype" w:hAnsi="Palatino Linotype" w:cs="Palatino Linotype"/>
          <w:i/>
          <w:sz w:val="22"/>
          <w:szCs w:val="22"/>
        </w:rPr>
        <w:t>”</w:t>
      </w:r>
    </w:p>
    <w:p w14:paraId="7375772A" w14:textId="77777777" w:rsidR="00227BFC" w:rsidRPr="004D07ED" w:rsidRDefault="00227BFC" w:rsidP="00227BFC">
      <w:pPr>
        <w:spacing w:before="240" w:after="240" w:line="360" w:lineRule="auto"/>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sz w:val="22"/>
          <w:szCs w:val="22"/>
        </w:rPr>
        <w:t>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7C69828F" w14:textId="77777777" w:rsidR="00227BFC" w:rsidRPr="004D07ED" w:rsidRDefault="00227BFC" w:rsidP="00227BFC">
      <w:pPr>
        <w:spacing w:before="120" w:after="120"/>
        <w:ind w:left="851" w:right="901"/>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b/>
          <w:sz w:val="22"/>
          <w:szCs w:val="22"/>
        </w:rPr>
        <w:t>“</w:t>
      </w:r>
      <w:r w:rsidRPr="004D07ED">
        <w:rPr>
          <w:rFonts w:ascii="Palatino Linotype" w:eastAsia="Palatino Linotype" w:hAnsi="Palatino Linotype" w:cs="Palatino Linotype"/>
          <w:b/>
          <w:i/>
          <w:sz w:val="22"/>
          <w:szCs w:val="22"/>
          <w:u w:val="single"/>
        </w:rPr>
        <w:t>INFORMACIÓN PÚBLICA, CONCEPTO DE, EN MATERIA DE TRANSPARENCIA. INTERPRETACIÓN SISTEMÁTICA DE LOS ARTÍCULOS 2°, FRACCIÓN V, XV, Y XVI, 3°, 4°, 11 Y 41.</w:t>
      </w:r>
      <w:r w:rsidRPr="004D07ED">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76C2B556" w14:textId="77777777" w:rsidR="00227BFC" w:rsidRPr="004D07ED" w:rsidRDefault="00227BFC" w:rsidP="00227BFC">
      <w:pPr>
        <w:spacing w:before="120" w:after="120"/>
        <w:ind w:left="851" w:right="850"/>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26B39B28" w14:textId="77777777" w:rsidR="00227BFC" w:rsidRPr="004D07ED" w:rsidRDefault="00227BFC" w:rsidP="00227BFC">
      <w:pPr>
        <w:spacing w:before="120" w:after="120"/>
        <w:ind w:left="851" w:right="901"/>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i/>
          <w:sz w:val="22"/>
          <w:szCs w:val="22"/>
        </w:rPr>
        <w:t xml:space="preserve">1) Que se trate de información </w:t>
      </w:r>
      <w:r w:rsidRPr="004D07ED">
        <w:rPr>
          <w:rFonts w:ascii="Palatino Linotype" w:eastAsia="Palatino Linotype" w:hAnsi="Palatino Linotype" w:cs="Palatino Linotype"/>
          <w:b/>
          <w:i/>
          <w:sz w:val="22"/>
          <w:szCs w:val="22"/>
          <w:u w:val="single"/>
        </w:rPr>
        <w:t>registrada en cualquier soporte documental</w:t>
      </w:r>
      <w:r w:rsidRPr="004D07ED">
        <w:rPr>
          <w:rFonts w:ascii="Palatino Linotype" w:eastAsia="Palatino Linotype" w:hAnsi="Palatino Linotype" w:cs="Palatino Linotype"/>
          <w:i/>
          <w:sz w:val="22"/>
          <w:szCs w:val="22"/>
        </w:rPr>
        <w:t>, que en ejercicio de las atribuciones conferidas, sea generada por los Sujetos Obligados;</w:t>
      </w:r>
    </w:p>
    <w:p w14:paraId="53540B32" w14:textId="77777777" w:rsidR="00227BFC" w:rsidRPr="004D07ED" w:rsidRDefault="00227BFC" w:rsidP="00227BFC">
      <w:pPr>
        <w:spacing w:before="120" w:after="120"/>
        <w:ind w:left="851" w:right="901"/>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i/>
          <w:sz w:val="22"/>
          <w:szCs w:val="22"/>
        </w:rPr>
        <w:t xml:space="preserve">2) Que se trate de información </w:t>
      </w:r>
      <w:r w:rsidRPr="004D07ED">
        <w:rPr>
          <w:rFonts w:ascii="Palatino Linotype" w:eastAsia="Palatino Linotype" w:hAnsi="Palatino Linotype" w:cs="Palatino Linotype"/>
          <w:b/>
          <w:i/>
          <w:sz w:val="22"/>
          <w:szCs w:val="22"/>
          <w:u w:val="single"/>
        </w:rPr>
        <w:t>registrada en cualquier soporte documental</w:t>
      </w:r>
      <w:r w:rsidRPr="004D07ED">
        <w:rPr>
          <w:rFonts w:ascii="Palatino Linotype" w:eastAsia="Palatino Linotype" w:hAnsi="Palatino Linotype" w:cs="Palatino Linotype"/>
          <w:i/>
          <w:sz w:val="22"/>
          <w:szCs w:val="22"/>
        </w:rPr>
        <w:t>, que en ejercicio de las atribuciones conferidas, sea administrada por los Sujetos Obligados, y</w:t>
      </w:r>
    </w:p>
    <w:p w14:paraId="5A3E69CF" w14:textId="77777777" w:rsidR="00227BFC" w:rsidRPr="004D07ED" w:rsidRDefault="00227BFC" w:rsidP="00227BFC">
      <w:pPr>
        <w:spacing w:before="120" w:after="120"/>
        <w:ind w:left="851" w:right="901"/>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i/>
          <w:sz w:val="22"/>
          <w:szCs w:val="22"/>
        </w:rPr>
        <w:t xml:space="preserve">3) Que se trate de información </w:t>
      </w:r>
      <w:r w:rsidRPr="004D07ED">
        <w:rPr>
          <w:rFonts w:ascii="Palatino Linotype" w:eastAsia="Palatino Linotype" w:hAnsi="Palatino Linotype" w:cs="Palatino Linotype"/>
          <w:b/>
          <w:i/>
          <w:sz w:val="22"/>
          <w:szCs w:val="22"/>
          <w:u w:val="single"/>
        </w:rPr>
        <w:t>registrada en cualquier soporte documental</w:t>
      </w:r>
      <w:r w:rsidRPr="004D07ED">
        <w:rPr>
          <w:rFonts w:ascii="Palatino Linotype" w:eastAsia="Palatino Linotype" w:hAnsi="Palatino Linotype" w:cs="Palatino Linotype"/>
          <w:i/>
          <w:sz w:val="22"/>
          <w:szCs w:val="22"/>
        </w:rPr>
        <w:t>, que en ejercicio de las atribuciones conferidas, se encuentre en posesión de los Sujetos Obligados.” (Sic)</w:t>
      </w:r>
    </w:p>
    <w:p w14:paraId="276E1293" w14:textId="77777777" w:rsidR="00227BFC" w:rsidRPr="004D07ED" w:rsidRDefault="00227BFC" w:rsidP="00227BFC">
      <w:pPr>
        <w:spacing w:before="240" w:after="240" w:line="360" w:lineRule="auto"/>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sz w:val="22"/>
          <w:szCs w:val="22"/>
        </w:rPr>
        <w:t>Lo anterior encuentra sustento en el artículo 4 de la Ley de Transparencia y Acceso a la Información Pública del Estado de México y Municipios, que dispone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trascribe para un mejor entendimiento:</w:t>
      </w:r>
    </w:p>
    <w:p w14:paraId="44CB6C37" w14:textId="77777777" w:rsidR="00227BFC" w:rsidRPr="004D07ED" w:rsidRDefault="00227BFC" w:rsidP="00227BFC">
      <w:pPr>
        <w:spacing w:before="120" w:after="120"/>
        <w:ind w:left="851" w:right="902"/>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i/>
          <w:sz w:val="22"/>
          <w:szCs w:val="22"/>
        </w:rPr>
        <w:t>“</w:t>
      </w:r>
      <w:r w:rsidRPr="004D07ED">
        <w:rPr>
          <w:rFonts w:ascii="Palatino Linotype" w:eastAsia="Palatino Linotype" w:hAnsi="Palatino Linotype" w:cs="Palatino Linotype"/>
          <w:b/>
          <w:i/>
          <w:sz w:val="22"/>
          <w:szCs w:val="22"/>
        </w:rPr>
        <w:t>Artículo 4</w:t>
      </w:r>
      <w:r w:rsidRPr="004D07ED">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4B035984" w14:textId="77777777" w:rsidR="00227BFC" w:rsidRPr="004D07ED" w:rsidRDefault="00227BFC" w:rsidP="00227BFC">
      <w:pPr>
        <w:spacing w:before="120" w:after="120"/>
        <w:ind w:left="851" w:right="902"/>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4D07ED">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5A8DE721" w14:textId="00D768CC" w:rsidR="00227BFC" w:rsidRPr="004D07ED" w:rsidRDefault="00227BFC" w:rsidP="00227BFC">
      <w:pPr>
        <w:spacing w:before="120" w:after="120"/>
        <w:ind w:left="851" w:right="902"/>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00D41006" w:rsidRPr="004D07ED">
        <w:rPr>
          <w:rFonts w:ascii="Palatino Linotype" w:eastAsia="Palatino Linotype" w:hAnsi="Palatino Linotype" w:cs="Palatino Linotype"/>
          <w:i/>
          <w:sz w:val="22"/>
          <w:szCs w:val="22"/>
        </w:rPr>
        <w:t>.”</w:t>
      </w:r>
    </w:p>
    <w:p w14:paraId="10E8D673" w14:textId="77777777" w:rsidR="00227BFC" w:rsidRPr="004D07ED" w:rsidRDefault="00227BFC" w:rsidP="00227BFC">
      <w:pPr>
        <w:spacing w:before="240" w:after="240" w:line="360" w:lineRule="auto"/>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4F77BE1D" w14:textId="77777777" w:rsidR="00227BFC" w:rsidRPr="004D07ED" w:rsidRDefault="00227BFC" w:rsidP="00227BFC">
      <w:pPr>
        <w:spacing w:before="120" w:after="120"/>
        <w:ind w:left="851" w:right="902"/>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b/>
          <w:i/>
          <w:sz w:val="22"/>
          <w:szCs w:val="22"/>
        </w:rPr>
        <w:t>“Artículo 12.-</w:t>
      </w:r>
      <w:r w:rsidRPr="004D07ED">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3FC52B30" w14:textId="604A8EC0" w:rsidR="00227BFC" w:rsidRPr="004D07ED" w:rsidRDefault="00227BFC" w:rsidP="00227BFC">
      <w:pPr>
        <w:spacing w:before="120" w:after="120"/>
        <w:ind w:left="851" w:right="902"/>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4D07ED">
        <w:rPr>
          <w:rFonts w:ascii="Palatino Linotype" w:eastAsia="Palatino Linotype" w:hAnsi="Palatino Linotype" w:cs="Palatino Linotype"/>
          <w:i/>
          <w:sz w:val="22"/>
          <w:szCs w:val="22"/>
        </w:rPr>
        <w:t xml:space="preserve">. </w:t>
      </w:r>
      <w:r w:rsidRPr="004D07ED">
        <w:rPr>
          <w:rFonts w:ascii="Palatino Linotype" w:eastAsia="Palatino Linotype" w:hAnsi="Palatino Linotype" w:cs="Palatino Linotype"/>
          <w:b/>
          <w:i/>
          <w:sz w:val="22"/>
          <w:szCs w:val="22"/>
        </w:rPr>
        <w:t>La obligación de proporcionar información no comprende el procesamiento de la misma, ni el presentarla conforme al interés del solicitante; no estarán obligados a generarla, resumirla, efectuar cálculos o p</w:t>
      </w:r>
      <w:r w:rsidR="00D41006" w:rsidRPr="004D07ED">
        <w:rPr>
          <w:rFonts w:ascii="Palatino Linotype" w:eastAsia="Palatino Linotype" w:hAnsi="Palatino Linotype" w:cs="Palatino Linotype"/>
          <w:b/>
          <w:i/>
          <w:sz w:val="22"/>
          <w:szCs w:val="22"/>
        </w:rPr>
        <w:t xml:space="preserve">racticar investigaciones.” </w:t>
      </w:r>
    </w:p>
    <w:p w14:paraId="0A16A350" w14:textId="77777777" w:rsidR="00227BFC" w:rsidRPr="004D07ED" w:rsidRDefault="00227BFC" w:rsidP="00227BFC">
      <w:pPr>
        <w:spacing w:before="240" w:after="240" w:line="360" w:lineRule="auto"/>
        <w:ind w:right="-93"/>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2183E37F" w14:textId="77777777" w:rsidR="00227BFC" w:rsidRPr="004D07ED" w:rsidRDefault="00227BFC" w:rsidP="00227BFC">
      <w:pPr>
        <w:spacing w:before="240" w:after="240" w:line="360" w:lineRule="auto"/>
        <w:jc w:val="both"/>
        <w:rPr>
          <w:rFonts w:ascii="Palatino Linotype" w:eastAsia="Palatino Linotype" w:hAnsi="Palatino Linotype" w:cs="Palatino Linotype"/>
          <w:b/>
          <w:sz w:val="22"/>
          <w:szCs w:val="22"/>
        </w:rPr>
      </w:pPr>
      <w:r w:rsidRPr="004D07ED">
        <w:rPr>
          <w:rFonts w:ascii="Palatino Linotype" w:eastAsia="Palatino Linotype" w:hAnsi="Palatino Linotype" w:cs="Palatino Linotype"/>
          <w:sz w:val="22"/>
          <w:szCs w:val="22"/>
        </w:rPr>
        <w:t>Sirve de apoyo a lo anterior, el criterio orientador con clave de control SO/003/2017, emitido por el entonces Instituto Nacional de Transparencia, Acceso a la Información y Protección de Datos Personales, que, por rubro y texto, dispone lo siguiente:</w:t>
      </w:r>
      <w:r w:rsidRPr="004D07ED">
        <w:rPr>
          <w:rFonts w:ascii="Palatino Linotype" w:eastAsia="Palatino Linotype" w:hAnsi="Palatino Linotype" w:cs="Palatino Linotype"/>
          <w:b/>
          <w:sz w:val="22"/>
          <w:szCs w:val="22"/>
        </w:rPr>
        <w:t xml:space="preserve"> </w:t>
      </w:r>
    </w:p>
    <w:p w14:paraId="5BBB31C9" w14:textId="77777777" w:rsidR="00227BFC" w:rsidRPr="004D07ED" w:rsidRDefault="00227BFC" w:rsidP="00227BFC">
      <w:pPr>
        <w:spacing w:before="120" w:after="120"/>
        <w:ind w:left="1134" w:right="902"/>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i/>
          <w:sz w:val="22"/>
          <w:szCs w:val="22"/>
        </w:rPr>
        <w:t>“</w:t>
      </w:r>
      <w:r w:rsidRPr="004D07ED">
        <w:rPr>
          <w:rFonts w:ascii="Palatino Linotype" w:eastAsia="Palatino Linotype" w:hAnsi="Palatino Linotype" w:cs="Palatino Linotype"/>
          <w:b/>
          <w:i/>
          <w:sz w:val="22"/>
          <w:szCs w:val="22"/>
        </w:rPr>
        <w:t>No existe obligación de elaborar documentos ad hoc para atender las solicitudes de acceso a la información.</w:t>
      </w:r>
      <w:r w:rsidRPr="004D07ED">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(Sic)</w:t>
      </w:r>
    </w:p>
    <w:p w14:paraId="3771E421" w14:textId="77777777" w:rsidR="00227BFC" w:rsidRPr="004D07ED" w:rsidRDefault="00227BFC" w:rsidP="00227BFC">
      <w:pPr>
        <w:spacing w:before="240" w:after="240" w:line="360" w:lineRule="auto"/>
        <w:jc w:val="both"/>
        <w:rPr>
          <w:rFonts w:ascii="Palatino Linotype" w:eastAsia="Palatino Linotype" w:hAnsi="Palatino Linotype" w:cs="Palatino Linotype"/>
          <w:b/>
          <w:sz w:val="22"/>
          <w:szCs w:val="22"/>
        </w:rPr>
      </w:pPr>
      <w:r w:rsidRPr="004D07ED">
        <w:rPr>
          <w:rFonts w:ascii="Palatino Linotype" w:eastAsia="Palatino Linotype" w:hAnsi="Palatino Linotype" w:cs="Palatino Linotype"/>
          <w:sz w:val="22"/>
          <w:szCs w:val="22"/>
        </w:rPr>
        <w:t xml:space="preserve">En este orden de ideas, del análisis de la solicitud de información, motivo del recurso de revisión que ahora se resuelve, se advierte que la persona solicitante requirió al </w:t>
      </w:r>
      <w:r w:rsidRPr="004D07ED">
        <w:rPr>
          <w:rFonts w:ascii="Palatino Linotype" w:eastAsia="Palatino Linotype" w:hAnsi="Palatino Linotype" w:cs="Palatino Linotype"/>
          <w:b/>
          <w:sz w:val="22"/>
          <w:szCs w:val="22"/>
        </w:rPr>
        <w:t xml:space="preserve">Sujeto Obligado </w:t>
      </w:r>
      <w:r w:rsidRPr="004D07ED">
        <w:rPr>
          <w:rFonts w:ascii="Palatino Linotype" w:eastAsia="Palatino Linotype" w:hAnsi="Palatino Linotype" w:cs="Palatino Linotype"/>
          <w:sz w:val="22"/>
          <w:szCs w:val="22"/>
        </w:rPr>
        <w:t>le proporcione información que consiste en lo siguiente:</w:t>
      </w:r>
    </w:p>
    <w:p w14:paraId="3872325F" w14:textId="77777777" w:rsidR="00D41006" w:rsidRPr="004D07ED" w:rsidRDefault="00D41006" w:rsidP="00D41006">
      <w:pPr>
        <w:spacing w:before="120" w:after="120"/>
        <w:ind w:left="851" w:right="902"/>
        <w:jc w:val="both"/>
        <w:rPr>
          <w:rFonts w:ascii="Palatino Linotype" w:eastAsia="Palatino Linotype" w:hAnsi="Palatino Linotype" w:cs="Palatino Linotype"/>
          <w:i/>
          <w:iCs/>
          <w:sz w:val="22"/>
          <w:szCs w:val="22"/>
        </w:rPr>
      </w:pPr>
      <w:r w:rsidRPr="004D07ED">
        <w:rPr>
          <w:rFonts w:ascii="Palatino Linotype" w:eastAsia="Palatino Linotype" w:hAnsi="Palatino Linotype" w:cs="Palatino Linotype"/>
          <w:i/>
          <w:iCs/>
          <w:sz w:val="22"/>
          <w:szCs w:val="22"/>
        </w:rPr>
        <w:t xml:space="preserve">“Se profundiza </w:t>
      </w:r>
      <w:r w:rsidRPr="004D07ED">
        <w:rPr>
          <w:rFonts w:ascii="Palatino Linotype" w:eastAsia="Palatino Linotype" w:hAnsi="Palatino Linotype" w:cs="Palatino Linotype"/>
          <w:b/>
          <w:bCs/>
          <w:i/>
          <w:iCs/>
          <w:sz w:val="22"/>
          <w:szCs w:val="22"/>
          <w:u w:val="single"/>
        </w:rPr>
        <w:t>la solicitud que promueve a detalle la investigación</w:t>
      </w:r>
      <w:r w:rsidRPr="004D07ED">
        <w:rPr>
          <w:rFonts w:ascii="Palatino Linotype" w:eastAsia="Palatino Linotype" w:hAnsi="Palatino Linotype" w:cs="Palatino Linotype"/>
          <w:i/>
          <w:iCs/>
          <w:sz w:val="22"/>
          <w:szCs w:val="22"/>
        </w:rPr>
        <w:t xml:space="preserve">, con su respectivo acompañamiento al sector vulnerable en el plan estratégico de coordinación y al planteamiento de atracción con el sistema del Organismo Descentralizado de Agua Potable, Alcantarillado y Saneamiento con la Junta del H. Ayuntamiento y su comisión / ó Secretaría responsable de materializar el tratado de obras, servicios y pavimentación de abastecimiento al agua potable de la comunidad demarcada cómo Colonia Corte Huatongo (con domicilios en referencia; Av. del Pozo &amp; C. San Lorenzo San Vicente, Col. Huatongo, Chimalhucan 56338 Chimalhuacán, Méx.| 19°24'17.5"N 98°54'52.5"O ), en lo que deriva en garantía al acceso del monitoreo de posibles fugas. --Anexando el acceso de Argumento que </w:t>
      </w:r>
      <w:r w:rsidRPr="004D07ED">
        <w:rPr>
          <w:rFonts w:ascii="Palatino Linotype" w:eastAsia="Palatino Linotype" w:hAnsi="Palatino Linotype" w:cs="Palatino Linotype"/>
          <w:b/>
          <w:bCs/>
          <w:i/>
          <w:iCs/>
          <w:sz w:val="22"/>
          <w:szCs w:val="22"/>
          <w:u w:val="single"/>
        </w:rPr>
        <w:t>no se presenta fluidez al servicio vital de Agua de la conexión pública</w:t>
      </w:r>
      <w:r w:rsidRPr="004D07ED">
        <w:rPr>
          <w:rFonts w:ascii="Palatino Linotype" w:eastAsia="Palatino Linotype" w:hAnsi="Palatino Linotype" w:cs="Palatino Linotype"/>
          <w:i/>
          <w:iCs/>
          <w:sz w:val="22"/>
          <w:szCs w:val="22"/>
        </w:rPr>
        <w:t xml:space="preserve"> (la "llave" de la red). Ésto Los fines de semana cómo los Días DOMINGO, 'VIERNES' y SABADO'.</w:t>
      </w:r>
      <w:r w:rsidRPr="004D07ED">
        <w:rPr>
          <w:rFonts w:ascii="Palatino Linotype" w:eastAsia="Palatino Linotype" w:hAnsi="Palatino Linotype" w:cs="Palatino Linotype"/>
          <w:b/>
          <w:bCs/>
          <w:i/>
          <w:iCs/>
          <w:sz w:val="22"/>
          <w:szCs w:val="22"/>
        </w:rPr>
        <w:t>”</w:t>
      </w:r>
      <w:r w:rsidRPr="004D07ED">
        <w:rPr>
          <w:rFonts w:ascii="Palatino Linotype" w:eastAsia="Palatino Linotype" w:hAnsi="Palatino Linotype" w:cs="Palatino Linotype"/>
          <w:i/>
          <w:iCs/>
          <w:sz w:val="22"/>
          <w:szCs w:val="22"/>
        </w:rPr>
        <w:t xml:space="preserve"> (sic) </w:t>
      </w:r>
    </w:p>
    <w:p w14:paraId="7764F179" w14:textId="09531C9A" w:rsidR="00727C6D" w:rsidRPr="004D07ED" w:rsidRDefault="00D41006">
      <w:pPr>
        <w:spacing w:before="240" w:after="240" w:line="360" w:lineRule="auto"/>
        <w:jc w:val="both"/>
        <w:rPr>
          <w:rFonts w:ascii="Palatino Linotype" w:eastAsia="Palatino Linotype" w:hAnsi="Palatino Linotype" w:cs="Palatino Linotype"/>
          <w:bCs/>
          <w:sz w:val="22"/>
          <w:szCs w:val="22"/>
        </w:rPr>
      </w:pPr>
      <w:r w:rsidRPr="004D07ED">
        <w:rPr>
          <w:rFonts w:ascii="Palatino Linotype" w:eastAsia="Palatino Linotype" w:hAnsi="Palatino Linotype" w:cs="Palatino Linotype"/>
          <w:bCs/>
          <w:sz w:val="22"/>
          <w:szCs w:val="22"/>
        </w:rPr>
        <w:t xml:space="preserve">En respuesta, la Unidad de Transparencia declaro la incompetencia del </w:t>
      </w:r>
      <w:r w:rsidRPr="004D07ED">
        <w:rPr>
          <w:rFonts w:ascii="Palatino Linotype" w:eastAsia="Palatino Linotype" w:hAnsi="Palatino Linotype" w:cs="Palatino Linotype"/>
          <w:b/>
          <w:bCs/>
          <w:sz w:val="22"/>
          <w:szCs w:val="22"/>
        </w:rPr>
        <w:t>Sujeto Obligado</w:t>
      </w:r>
      <w:r w:rsidR="00697EFC" w:rsidRPr="004D07ED">
        <w:rPr>
          <w:rFonts w:ascii="Palatino Linotype" w:eastAsia="Palatino Linotype" w:hAnsi="Palatino Linotype" w:cs="Palatino Linotype"/>
          <w:b/>
          <w:bCs/>
          <w:sz w:val="22"/>
          <w:szCs w:val="22"/>
        </w:rPr>
        <w:t xml:space="preserve"> </w:t>
      </w:r>
      <w:r w:rsidR="00697EFC" w:rsidRPr="004D07ED">
        <w:rPr>
          <w:rFonts w:ascii="Palatino Linotype" w:eastAsia="Palatino Linotype" w:hAnsi="Palatino Linotype" w:cs="Palatino Linotype"/>
          <w:bCs/>
          <w:sz w:val="22"/>
          <w:szCs w:val="22"/>
        </w:rPr>
        <w:t xml:space="preserve">para atender </w:t>
      </w:r>
      <w:r w:rsidR="00727C6D" w:rsidRPr="004D07ED">
        <w:rPr>
          <w:rFonts w:ascii="Palatino Linotype" w:eastAsia="Palatino Linotype" w:hAnsi="Palatino Linotype" w:cs="Palatino Linotype"/>
          <w:bCs/>
          <w:sz w:val="22"/>
          <w:szCs w:val="22"/>
        </w:rPr>
        <w:t>la solicitud, al ser un organismo público descentralizado, sectorizado a la Secretaría de Bienestar del Gobierno del Estado de México; cuyo objeto es la investigación y evaluación y emisión de opiniones en materia de política social, sin embargo, bajo el principio de máxima publicidad, informó que con fundamento en lo establecido en el artículo 125 fracción I de la Ley Orgánica Municipal del Estado de México y 34 fracción I de la Ley del Agua para el Estado de México y Municipios, corresponde a los municipios, о bien a sus organismos operadores la prestación de agua potable, alcantarillado, saneamiento y aguas residuales,</w:t>
      </w:r>
      <w:r w:rsidR="00C977DD" w:rsidRPr="004D07ED">
        <w:rPr>
          <w:rFonts w:ascii="Palatino Linotype" w:eastAsia="Palatino Linotype" w:hAnsi="Palatino Linotype" w:cs="Palatino Linotype"/>
          <w:bCs/>
          <w:sz w:val="22"/>
          <w:szCs w:val="22"/>
        </w:rPr>
        <w:t xml:space="preserve"> por lo cual sugirió </w:t>
      </w:r>
      <w:r w:rsidR="00727C6D" w:rsidRPr="004D07ED">
        <w:rPr>
          <w:rFonts w:ascii="Palatino Linotype" w:eastAsia="Palatino Linotype" w:hAnsi="Palatino Linotype" w:cs="Palatino Linotype"/>
          <w:bCs/>
          <w:sz w:val="22"/>
          <w:szCs w:val="22"/>
        </w:rPr>
        <w:t>dirigir la solicitud de información pública al Ayuntamiento de Chimalhuacán y al Organismo Descentralizado de Agua Potable, Alcantarillado y Saneamiento (ODAPAS) del mismo municipio, los cuales podrían atender en el ámbito de su competencia su requerimiento de información.</w:t>
      </w:r>
    </w:p>
    <w:p w14:paraId="23AC7458" w14:textId="29F23CF5" w:rsidR="00C977DD" w:rsidRPr="004D07ED" w:rsidRDefault="00370CB1">
      <w:pPr>
        <w:spacing w:before="240" w:after="240" w:line="360" w:lineRule="auto"/>
        <w:jc w:val="both"/>
        <w:rPr>
          <w:rFonts w:ascii="Palatino Linotype" w:eastAsia="Palatino Linotype" w:hAnsi="Palatino Linotype" w:cs="Palatino Linotype"/>
          <w:bCs/>
          <w:sz w:val="22"/>
          <w:szCs w:val="22"/>
        </w:rPr>
      </w:pPr>
      <w:r w:rsidRPr="004D07ED">
        <w:rPr>
          <w:rFonts w:ascii="Palatino Linotype" w:eastAsia="Palatino Linotype" w:hAnsi="Palatino Linotype" w:cs="Palatino Linotype"/>
          <w:bCs/>
          <w:sz w:val="22"/>
          <w:szCs w:val="22"/>
        </w:rPr>
        <w:t xml:space="preserve">No obstante, la parte </w:t>
      </w:r>
      <w:r w:rsidRPr="004D07ED">
        <w:rPr>
          <w:rFonts w:ascii="Palatino Linotype" w:eastAsia="Palatino Linotype" w:hAnsi="Palatino Linotype" w:cs="Palatino Linotype"/>
          <w:b/>
          <w:bCs/>
          <w:sz w:val="22"/>
          <w:szCs w:val="22"/>
        </w:rPr>
        <w:t xml:space="preserve">Recurrente </w:t>
      </w:r>
      <w:r w:rsidRPr="004D07ED">
        <w:rPr>
          <w:rFonts w:ascii="Palatino Linotype" w:eastAsia="Palatino Linotype" w:hAnsi="Palatino Linotype" w:cs="Palatino Linotype"/>
          <w:bCs/>
          <w:sz w:val="22"/>
          <w:szCs w:val="22"/>
        </w:rPr>
        <w:t xml:space="preserve">interpuso el recurso de revisión que nos ocupa, </w:t>
      </w:r>
      <w:r w:rsidR="004E0183" w:rsidRPr="004D07ED">
        <w:rPr>
          <w:rFonts w:ascii="Palatino Linotype" w:eastAsia="Palatino Linotype" w:hAnsi="Palatino Linotype" w:cs="Palatino Linotype"/>
          <w:bCs/>
          <w:sz w:val="22"/>
          <w:szCs w:val="22"/>
        </w:rPr>
        <w:t>donde señaló lo siguiente:</w:t>
      </w:r>
    </w:p>
    <w:p w14:paraId="382D0F90" w14:textId="77777777" w:rsidR="004E0183" w:rsidRPr="004D07ED" w:rsidRDefault="004E0183" w:rsidP="004E0183">
      <w:pPr>
        <w:spacing w:before="240" w:after="240" w:line="360" w:lineRule="auto"/>
        <w:ind w:right="49"/>
        <w:jc w:val="both"/>
        <w:rPr>
          <w:rFonts w:ascii="Palatino Linotype" w:eastAsia="Palatino Linotype" w:hAnsi="Palatino Linotype" w:cs="Palatino Linotype"/>
          <w:b/>
          <w:bCs/>
          <w:sz w:val="22"/>
          <w:szCs w:val="22"/>
        </w:rPr>
      </w:pPr>
      <w:bookmarkStart w:id="8" w:name="_heading=h.2et92p0" w:colFirst="0" w:colLast="0"/>
      <w:bookmarkEnd w:id="8"/>
      <w:r w:rsidRPr="004D07ED">
        <w:rPr>
          <w:rFonts w:ascii="Palatino Linotype" w:eastAsia="Palatino Linotype" w:hAnsi="Palatino Linotype" w:cs="Palatino Linotype"/>
          <w:b/>
          <w:bCs/>
          <w:sz w:val="22"/>
          <w:szCs w:val="22"/>
        </w:rPr>
        <w:t xml:space="preserve">Acto impugnado: </w:t>
      </w:r>
    </w:p>
    <w:p w14:paraId="33BAD0BE" w14:textId="77777777" w:rsidR="004E0183" w:rsidRPr="004D07ED" w:rsidRDefault="004E0183" w:rsidP="004E0183">
      <w:pPr>
        <w:ind w:left="851" w:right="900"/>
        <w:jc w:val="both"/>
        <w:rPr>
          <w:rFonts w:ascii="Palatino Linotype" w:eastAsia="Palatino Linotype" w:hAnsi="Palatino Linotype" w:cs="Palatino Linotype"/>
          <w:i/>
          <w:iCs/>
          <w:sz w:val="22"/>
          <w:szCs w:val="22"/>
        </w:rPr>
      </w:pPr>
      <w:r w:rsidRPr="004D07ED">
        <w:rPr>
          <w:rFonts w:ascii="Palatino Linotype" w:eastAsia="Palatino Linotype" w:hAnsi="Palatino Linotype" w:cs="Palatino Linotype"/>
          <w:i/>
          <w:iCs/>
          <w:sz w:val="22"/>
          <w:szCs w:val="22"/>
        </w:rPr>
        <w:t>“Que no se presenta un complemento de contraloría u órgano que garantice las peticiones dado que han sido negligentes las dependencias citadas” (sic)</w:t>
      </w:r>
    </w:p>
    <w:p w14:paraId="20E6E32A" w14:textId="77777777" w:rsidR="004E0183" w:rsidRPr="004D07ED" w:rsidRDefault="004E0183" w:rsidP="004E0183">
      <w:pPr>
        <w:spacing w:line="360" w:lineRule="auto"/>
        <w:jc w:val="both"/>
        <w:rPr>
          <w:rFonts w:ascii="Palatino Linotype" w:eastAsia="Palatino Linotype" w:hAnsi="Palatino Linotype" w:cs="Palatino Linotype"/>
          <w:b/>
          <w:bCs/>
          <w:sz w:val="22"/>
          <w:szCs w:val="22"/>
        </w:rPr>
      </w:pPr>
    </w:p>
    <w:p w14:paraId="54A58970" w14:textId="77777777" w:rsidR="004E0183" w:rsidRPr="004D07ED" w:rsidRDefault="004E0183" w:rsidP="004E0183">
      <w:pPr>
        <w:spacing w:line="360" w:lineRule="auto"/>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b/>
          <w:bCs/>
          <w:sz w:val="22"/>
          <w:szCs w:val="22"/>
        </w:rPr>
        <w:t>Y, Razones o motivos de inconformidad</w:t>
      </w:r>
      <w:r w:rsidRPr="004D07ED">
        <w:rPr>
          <w:rFonts w:ascii="Palatino Linotype" w:eastAsia="Palatino Linotype" w:hAnsi="Palatino Linotype" w:cs="Palatino Linotype"/>
          <w:sz w:val="22"/>
          <w:szCs w:val="22"/>
        </w:rPr>
        <w:t>:</w:t>
      </w:r>
    </w:p>
    <w:p w14:paraId="6D967CF4" w14:textId="77777777" w:rsidR="004E0183" w:rsidRPr="004D07ED" w:rsidRDefault="004E0183" w:rsidP="004E0183">
      <w:pPr>
        <w:tabs>
          <w:tab w:val="left" w:pos="2745"/>
        </w:tabs>
        <w:spacing w:before="240" w:after="240"/>
        <w:ind w:left="851" w:right="900"/>
        <w:jc w:val="both"/>
        <w:rPr>
          <w:rFonts w:ascii="Palatino Linotype" w:eastAsia="Palatino Linotype" w:hAnsi="Palatino Linotype" w:cs="Palatino Linotype"/>
          <w:i/>
          <w:iCs/>
          <w:sz w:val="22"/>
          <w:szCs w:val="22"/>
        </w:rPr>
      </w:pPr>
      <w:r w:rsidRPr="004D07ED">
        <w:rPr>
          <w:rFonts w:ascii="Palatino Linotype" w:eastAsia="Palatino Linotype" w:hAnsi="Palatino Linotype" w:cs="Palatino Linotype"/>
          <w:i/>
          <w:iCs/>
          <w:sz w:val="22"/>
          <w:szCs w:val="22"/>
        </w:rPr>
        <w:t>“Que se estudie y analice ampliamente las problemáticas que devengan del que hacer en las responsabilidades administrativas en pro de los colonos de Huatongo [Referencia, https://www.google.com/maps/place/CENTRO+M%C3%89DICO+BBC/@19.4038999,-98.9141792,17z/data=!3m1!4b1!4m6!3m5!1s0x85d1e17f8cfb6a71:0x7dc6895dc61e8db0!8m2!3d19.4038999!4d-98.9141792!16s%2Fg%2F11gs5lhx7c?entry=ttu] En la cual se tiene registro desde hace cuando al menos hace 15 años. Violando el Artículo 8º de la Constitución Política de los Estados Unidos Mexicanos que han solicitado orientación, intervención, gestión de servicios.” (sic)</w:t>
      </w:r>
    </w:p>
    <w:p w14:paraId="67FEE2A5" w14:textId="433FE64F" w:rsidR="00D41006" w:rsidRPr="004D07ED" w:rsidRDefault="003D3078">
      <w:pPr>
        <w:spacing w:before="240" w:after="240" w:line="360" w:lineRule="auto"/>
        <w:jc w:val="both"/>
        <w:rPr>
          <w:rFonts w:ascii="Palatino Linotype" w:eastAsia="Palatino Linotype" w:hAnsi="Palatino Linotype" w:cs="Palatino Linotype"/>
          <w:bCs/>
          <w:sz w:val="22"/>
          <w:szCs w:val="22"/>
        </w:rPr>
      </w:pPr>
      <w:r w:rsidRPr="004D07ED">
        <w:rPr>
          <w:rFonts w:ascii="Palatino Linotype" w:eastAsia="Palatino Linotype" w:hAnsi="Palatino Linotype" w:cs="Palatino Linotype"/>
          <w:bCs/>
          <w:sz w:val="22"/>
          <w:szCs w:val="22"/>
        </w:rPr>
        <w:t xml:space="preserve">En la etapa de manifestaciones </w:t>
      </w:r>
      <w:r w:rsidR="002D3B51" w:rsidRPr="004D07ED">
        <w:rPr>
          <w:rFonts w:ascii="Palatino Linotype" w:eastAsia="Palatino Linotype" w:hAnsi="Palatino Linotype" w:cs="Palatino Linotype"/>
          <w:bCs/>
          <w:sz w:val="22"/>
          <w:szCs w:val="22"/>
        </w:rPr>
        <w:t xml:space="preserve">el </w:t>
      </w:r>
      <w:r w:rsidR="002D3B51" w:rsidRPr="004D07ED">
        <w:rPr>
          <w:rFonts w:ascii="Palatino Linotype" w:eastAsia="Palatino Linotype" w:hAnsi="Palatino Linotype" w:cs="Palatino Linotype"/>
          <w:b/>
          <w:bCs/>
          <w:sz w:val="22"/>
          <w:szCs w:val="22"/>
        </w:rPr>
        <w:t xml:space="preserve">Sujeto Obligado </w:t>
      </w:r>
      <w:r w:rsidR="002D3B51" w:rsidRPr="004D07ED">
        <w:rPr>
          <w:rFonts w:ascii="Palatino Linotype" w:eastAsia="Palatino Linotype" w:hAnsi="Palatino Linotype" w:cs="Palatino Linotype"/>
          <w:bCs/>
          <w:sz w:val="22"/>
          <w:szCs w:val="22"/>
        </w:rPr>
        <w:t xml:space="preserve">ratificó en lo sustancial la respuesta </w:t>
      </w:r>
      <w:r w:rsidR="008B4F64" w:rsidRPr="004D07ED">
        <w:rPr>
          <w:rFonts w:ascii="Palatino Linotype" w:eastAsia="Palatino Linotype" w:hAnsi="Palatino Linotype" w:cs="Palatino Linotype"/>
          <w:bCs/>
          <w:sz w:val="22"/>
          <w:szCs w:val="22"/>
        </w:rPr>
        <w:t>proporcionada</w:t>
      </w:r>
      <w:r w:rsidR="002D3B51" w:rsidRPr="004D07ED">
        <w:rPr>
          <w:rFonts w:ascii="Palatino Linotype" w:eastAsia="Palatino Linotype" w:hAnsi="Palatino Linotype" w:cs="Palatino Linotype"/>
          <w:bCs/>
          <w:sz w:val="22"/>
          <w:szCs w:val="22"/>
        </w:rPr>
        <w:t xml:space="preserve"> en primera instancia</w:t>
      </w:r>
      <w:r w:rsidR="008B4F64" w:rsidRPr="004D07ED">
        <w:rPr>
          <w:rFonts w:ascii="Palatino Linotype" w:eastAsia="Palatino Linotype" w:hAnsi="Palatino Linotype" w:cs="Palatino Linotype"/>
          <w:bCs/>
          <w:sz w:val="22"/>
          <w:szCs w:val="22"/>
        </w:rPr>
        <w:t>.</w:t>
      </w:r>
    </w:p>
    <w:p w14:paraId="5AD46F39" w14:textId="753E3DC8" w:rsidR="008B4F64" w:rsidRPr="004D07ED" w:rsidRDefault="008B4F64" w:rsidP="008B4F64">
      <w:pPr>
        <w:spacing w:before="240" w:after="240" w:line="360" w:lineRule="auto"/>
        <w:ind w:right="49"/>
        <w:jc w:val="both"/>
        <w:rPr>
          <w:rFonts w:ascii="Palatino Linotype" w:eastAsia="Palatino Linotype" w:hAnsi="Palatino Linotype" w:cs="Palatino Linotype"/>
          <w:b/>
          <w:i/>
          <w:sz w:val="22"/>
          <w:szCs w:val="22"/>
        </w:rPr>
      </w:pPr>
      <w:r w:rsidRPr="004D07ED">
        <w:rPr>
          <w:rFonts w:ascii="Palatino Linotype" w:eastAsia="Palatino Linotype" w:hAnsi="Palatino Linotype" w:cs="Palatino Linotype"/>
          <w:sz w:val="22"/>
          <w:szCs w:val="22"/>
        </w:rPr>
        <w:t xml:space="preserve">Una vez establecidas las posturas de las partes, en primer lugar, debe apuntarse que del análisis del requerimiento de información, se advirtió que, a través del mismo, la persona solicitante pretende que el </w:t>
      </w:r>
      <w:r w:rsidRPr="004D07ED">
        <w:rPr>
          <w:rFonts w:ascii="Palatino Linotype" w:eastAsia="Palatino Linotype" w:hAnsi="Palatino Linotype" w:cs="Palatino Linotype"/>
          <w:b/>
          <w:sz w:val="22"/>
          <w:szCs w:val="22"/>
        </w:rPr>
        <w:t xml:space="preserve">Sujeto Obligado </w:t>
      </w:r>
      <w:r w:rsidRPr="004D07ED">
        <w:rPr>
          <w:rFonts w:ascii="Palatino Linotype" w:eastAsia="Palatino Linotype" w:hAnsi="Palatino Linotype" w:cs="Palatino Linotype"/>
          <w:b/>
          <w:bCs/>
          <w:i/>
          <w:sz w:val="22"/>
          <w:szCs w:val="22"/>
          <w:u w:val="single"/>
        </w:rPr>
        <w:t>realice el acompañamiento</w:t>
      </w:r>
      <w:r w:rsidRPr="004D07ED">
        <w:rPr>
          <w:rFonts w:ascii="Palatino Linotype" w:eastAsia="Palatino Linotype" w:hAnsi="Palatino Linotype" w:cs="Palatino Linotype"/>
          <w:i/>
          <w:sz w:val="22"/>
          <w:szCs w:val="22"/>
        </w:rPr>
        <w:t xml:space="preserve"> al sector vulnerable </w:t>
      </w:r>
      <w:r w:rsidRPr="004D07ED">
        <w:rPr>
          <w:rFonts w:ascii="Palatino Linotype" w:eastAsia="Palatino Linotype" w:hAnsi="Palatino Linotype" w:cs="Palatino Linotype"/>
          <w:i/>
          <w:iCs/>
          <w:sz w:val="22"/>
          <w:szCs w:val="22"/>
        </w:rPr>
        <w:t>en el plan estratégico de coordinación y al planteamiento de atracción</w:t>
      </w:r>
      <w:r w:rsidRPr="004D07ED">
        <w:rPr>
          <w:rFonts w:ascii="Palatino Linotype" w:eastAsia="Palatino Linotype" w:hAnsi="Palatino Linotype" w:cs="Palatino Linotype"/>
          <w:i/>
          <w:sz w:val="22"/>
          <w:szCs w:val="22"/>
        </w:rPr>
        <w:t xml:space="preserve"> </w:t>
      </w:r>
      <w:r w:rsidRPr="004D07ED">
        <w:rPr>
          <w:rFonts w:ascii="Palatino Linotype" w:eastAsia="Palatino Linotype" w:hAnsi="Palatino Linotype" w:cs="Palatino Linotype"/>
          <w:b/>
          <w:bCs/>
          <w:i/>
          <w:sz w:val="22"/>
          <w:szCs w:val="22"/>
          <w:u w:val="single"/>
        </w:rPr>
        <w:t>en la investigación a detalle</w:t>
      </w:r>
      <w:r w:rsidRPr="004D07ED">
        <w:rPr>
          <w:rFonts w:ascii="Palatino Linotype" w:eastAsia="Palatino Linotype" w:hAnsi="Palatino Linotype" w:cs="Palatino Linotype"/>
          <w:b/>
          <w:bCs/>
          <w:i/>
          <w:sz w:val="22"/>
          <w:szCs w:val="22"/>
        </w:rPr>
        <w:t xml:space="preserve"> respecto de las obras, servicios y pavimentación de abastecimiento</w:t>
      </w:r>
      <w:r w:rsidRPr="004D07ED">
        <w:rPr>
          <w:rFonts w:ascii="Palatino Linotype" w:eastAsia="Palatino Linotype" w:hAnsi="Palatino Linotype" w:cs="Palatino Linotype"/>
          <w:i/>
          <w:sz w:val="22"/>
          <w:szCs w:val="22"/>
        </w:rPr>
        <w:t xml:space="preserve"> al agua potable de la comunidad demarcada cómo Colonia Corte Huatongo, en Chimalhuacán, Estado de México, </w:t>
      </w:r>
      <w:r w:rsidRPr="004D07ED">
        <w:rPr>
          <w:rFonts w:ascii="Palatino Linotype" w:eastAsia="Palatino Linotype" w:hAnsi="Palatino Linotype" w:cs="Palatino Linotype"/>
          <w:i/>
          <w:iCs/>
          <w:sz w:val="22"/>
          <w:szCs w:val="22"/>
        </w:rPr>
        <w:t>en lo que deriva en garantía al acceso del monitoreo de posibles fugas, asimismo, que no se presenta fluidez al servicio vital de Agua de la conexión pública (la "llave" de la red), los fines de semana cómo los días viernes</w:t>
      </w:r>
      <w:r w:rsidR="00DA4694" w:rsidRPr="004D07ED">
        <w:rPr>
          <w:rFonts w:ascii="Palatino Linotype" w:eastAsia="Palatino Linotype" w:hAnsi="Palatino Linotype" w:cs="Palatino Linotype"/>
          <w:i/>
          <w:iCs/>
          <w:sz w:val="22"/>
          <w:szCs w:val="22"/>
        </w:rPr>
        <w:t>, sábado y domingo,</w:t>
      </w:r>
      <w:r w:rsidRPr="004D07ED">
        <w:rPr>
          <w:rFonts w:ascii="Palatino Linotype" w:eastAsia="Palatino Linotype" w:hAnsi="Palatino Linotype" w:cs="Palatino Linotype"/>
          <w:i/>
          <w:sz w:val="22"/>
          <w:szCs w:val="22"/>
        </w:rPr>
        <w:t xml:space="preserve"> </w:t>
      </w:r>
      <w:r w:rsidRPr="004D07ED">
        <w:rPr>
          <w:rFonts w:ascii="Palatino Linotype" w:eastAsia="Palatino Linotype" w:hAnsi="Palatino Linotype" w:cs="Palatino Linotype"/>
          <w:sz w:val="22"/>
          <w:szCs w:val="22"/>
        </w:rPr>
        <w:t xml:space="preserve">situación que conlleva a precisar que con tales planteamientos no se pretendió ejercer el derecho de acceso a la información pública; sino que por este medio se presentó </w:t>
      </w:r>
      <w:r w:rsidR="000A292E" w:rsidRPr="004D07ED">
        <w:rPr>
          <w:rFonts w:ascii="Palatino Linotype" w:eastAsia="Palatino Linotype" w:hAnsi="Palatino Linotype" w:cs="Palatino Linotype"/>
          <w:sz w:val="22"/>
          <w:szCs w:val="22"/>
        </w:rPr>
        <w:t>una petición</w:t>
      </w:r>
      <w:r w:rsidRPr="004D07ED">
        <w:rPr>
          <w:rFonts w:ascii="Palatino Linotype" w:eastAsia="Palatino Linotype" w:hAnsi="Palatino Linotype" w:cs="Palatino Linotype"/>
          <w:sz w:val="22"/>
          <w:szCs w:val="22"/>
        </w:rPr>
        <w:t xml:space="preserve"> cuya finalidad consiste en obligar a la autoridad a que actúe </w:t>
      </w:r>
      <w:r w:rsidR="000A292E" w:rsidRPr="004D07ED">
        <w:rPr>
          <w:rFonts w:ascii="Palatino Linotype" w:eastAsia="Palatino Linotype" w:hAnsi="Palatino Linotype" w:cs="Palatino Linotype"/>
          <w:sz w:val="22"/>
          <w:szCs w:val="22"/>
        </w:rPr>
        <w:t>para llevar acciones encaminadas a resolver una problemática</w:t>
      </w:r>
      <w:r w:rsidRPr="004D07ED">
        <w:rPr>
          <w:rFonts w:ascii="Palatino Linotype" w:eastAsia="Palatino Linotype" w:hAnsi="Palatino Linotype" w:cs="Palatino Linotype"/>
          <w:sz w:val="22"/>
          <w:szCs w:val="22"/>
        </w:rPr>
        <w:t xml:space="preserve">, o llevar a cabo determinadas acciones, situación que no es factible atenderse vía acceso a la información pública, toda vez, que la atención a dichos </w:t>
      </w:r>
      <w:r w:rsidR="000A292E" w:rsidRPr="004D07ED">
        <w:rPr>
          <w:rFonts w:ascii="Palatino Linotype" w:eastAsia="Palatino Linotype" w:hAnsi="Palatino Linotype" w:cs="Palatino Linotype"/>
          <w:sz w:val="22"/>
          <w:szCs w:val="22"/>
        </w:rPr>
        <w:t xml:space="preserve">planteamientos </w:t>
      </w:r>
      <w:r w:rsidRPr="004D07ED">
        <w:rPr>
          <w:rFonts w:ascii="Palatino Linotype" w:eastAsia="Palatino Linotype" w:hAnsi="Palatino Linotype" w:cs="Palatino Linotype"/>
          <w:b/>
          <w:sz w:val="22"/>
          <w:szCs w:val="22"/>
          <w:u w:val="single"/>
        </w:rPr>
        <w:t>no se pueden colmar con documentos que obren en los archivos</w:t>
      </w:r>
      <w:r w:rsidRPr="004D07ED">
        <w:rPr>
          <w:rFonts w:ascii="Palatino Linotype" w:eastAsia="Palatino Linotype" w:hAnsi="Palatino Linotype" w:cs="Palatino Linotype"/>
          <w:b/>
          <w:sz w:val="22"/>
          <w:szCs w:val="22"/>
        </w:rPr>
        <w:t xml:space="preserve"> del Sujeto Obligado.</w:t>
      </w:r>
    </w:p>
    <w:p w14:paraId="22BBC3D6" w14:textId="40490766" w:rsidR="008B4F64" w:rsidRPr="004D07ED" w:rsidRDefault="008B4F64" w:rsidP="008B4F64">
      <w:pPr>
        <w:spacing w:before="240" w:after="240" w:line="360" w:lineRule="auto"/>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sz w:val="22"/>
          <w:szCs w:val="22"/>
        </w:rPr>
        <w:t xml:space="preserve">Por lo anterior, del análisis realizado al expediente electrónico, se advierte que la solicitud NO constituye un derecho de acceso a la información y por lo tanto no es atendible mediante una solicitud de acceso a la información pública, porque se trata de planteamientos </w:t>
      </w:r>
      <w:r w:rsidR="000A292E" w:rsidRPr="004D07ED">
        <w:rPr>
          <w:rFonts w:ascii="Palatino Linotype" w:eastAsia="Palatino Linotype" w:hAnsi="Palatino Linotype" w:cs="Palatino Linotype"/>
          <w:sz w:val="22"/>
          <w:szCs w:val="22"/>
        </w:rPr>
        <w:t xml:space="preserve">o peticiones </w:t>
      </w:r>
      <w:r w:rsidRPr="004D07ED">
        <w:rPr>
          <w:rFonts w:ascii="Palatino Linotype" w:eastAsia="Palatino Linotype" w:hAnsi="Palatino Linotype" w:cs="Palatino Linotype"/>
          <w:sz w:val="22"/>
          <w:szCs w:val="22"/>
        </w:rPr>
        <w:t xml:space="preserve"> vertidos por la persona solicitante, situación que conlleva a afirmar que se está en presencia del ejercicio del derecho a la libre expresión y en todo caso a un derecho de petición. </w:t>
      </w:r>
    </w:p>
    <w:p w14:paraId="1854B253" w14:textId="77777777" w:rsidR="008B4F64" w:rsidRPr="004D07ED" w:rsidRDefault="008B4F64" w:rsidP="008B4F64">
      <w:pPr>
        <w:spacing w:before="240" w:after="240" w:line="360" w:lineRule="auto"/>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sz w:val="22"/>
          <w:szCs w:val="22"/>
        </w:rPr>
        <w:t xml:space="preserve">A efecto de sustentar lo anterior, es preciso mencionar que David Cienfuegos Salgado, concibe al derecho de petición como </w:t>
      </w:r>
      <w:r w:rsidRPr="004D07ED">
        <w:rPr>
          <w:rFonts w:ascii="Palatino Linotype" w:eastAsia="Palatino Linotype" w:hAnsi="Palatino Linotype" w:cs="Palatino Linotype"/>
          <w:i/>
          <w:sz w:val="22"/>
          <w:szCs w:val="22"/>
        </w:rPr>
        <w:t>“</w:t>
      </w:r>
      <w:r w:rsidRPr="004D07ED">
        <w:rPr>
          <w:rFonts w:ascii="Palatino Linotype" w:eastAsia="Palatino Linotype" w:hAnsi="Palatino Linotype" w:cs="Palatino Linotype"/>
          <w:b/>
          <w:i/>
          <w:sz w:val="22"/>
          <w:szCs w:val="22"/>
          <w:u w:val="single"/>
        </w:rPr>
        <w:t>el derecho de toda persona a ser escuchado por quienes ejercen el poder públic</w:t>
      </w:r>
      <w:r w:rsidRPr="004D07ED">
        <w:rPr>
          <w:rFonts w:ascii="Palatino Linotype" w:eastAsia="Palatino Linotype" w:hAnsi="Palatino Linotype" w:cs="Palatino Linotype"/>
          <w:i/>
          <w:sz w:val="22"/>
          <w:szCs w:val="22"/>
        </w:rPr>
        <w:t>o.</w:t>
      </w:r>
      <w:r w:rsidRPr="004D07ED">
        <w:rPr>
          <w:rFonts w:ascii="Palatino Linotype" w:eastAsia="Palatino Linotype" w:hAnsi="Palatino Linotype" w:cs="Palatino Linotype"/>
          <w:i/>
          <w:sz w:val="22"/>
          <w:szCs w:val="22"/>
          <w:vertAlign w:val="superscript"/>
        </w:rPr>
        <w:t xml:space="preserve"> </w:t>
      </w:r>
      <w:r w:rsidRPr="004D07ED">
        <w:rPr>
          <w:rFonts w:ascii="Palatino Linotype" w:eastAsia="Palatino Linotype" w:hAnsi="Palatino Linotype" w:cs="Palatino Linotype"/>
          <w:i/>
          <w:sz w:val="22"/>
          <w:szCs w:val="22"/>
          <w:vertAlign w:val="superscript"/>
        </w:rPr>
        <w:footnoteReference w:id="1"/>
      </w:r>
      <w:r w:rsidRPr="004D07ED">
        <w:rPr>
          <w:rFonts w:ascii="Palatino Linotype" w:eastAsia="Palatino Linotype" w:hAnsi="Palatino Linotype" w:cs="Palatino Linotype"/>
          <w:i/>
          <w:sz w:val="22"/>
          <w:szCs w:val="22"/>
        </w:rPr>
        <w:t xml:space="preserve">” (Sic) </w:t>
      </w:r>
    </w:p>
    <w:p w14:paraId="0449DBDE" w14:textId="77777777" w:rsidR="008B4F64" w:rsidRPr="004D07ED" w:rsidRDefault="008B4F64" w:rsidP="008B4F64">
      <w:pPr>
        <w:spacing w:before="240" w:after="240" w:line="360" w:lineRule="auto"/>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sz w:val="22"/>
          <w:szCs w:val="22"/>
        </w:rPr>
        <w:t xml:space="preserve">De la misma manera, Miguel Carbonell en su libro “Los derechos fundamentales” refiere que el </w:t>
      </w:r>
      <w:r w:rsidRPr="004D07ED">
        <w:rPr>
          <w:rFonts w:ascii="Palatino Linotype" w:eastAsia="Palatino Linotype" w:hAnsi="Palatino Linotype" w:cs="Palatino Linotype"/>
          <w:sz w:val="22"/>
          <w:szCs w:val="22"/>
          <w:u w:val="single"/>
        </w:rPr>
        <w:t>derecho de petición se ha entendido de dos distintitas maneras</w:t>
      </w:r>
      <w:r w:rsidRPr="004D07ED">
        <w:rPr>
          <w:rFonts w:ascii="Palatino Linotype" w:eastAsia="Palatino Linotype" w:hAnsi="Palatino Linotype" w:cs="Palatino Linotype"/>
          <w:sz w:val="22"/>
          <w:szCs w:val="22"/>
        </w:rPr>
        <w:t xml:space="preserve">, a saber: como un derecho fundamental de participación política ya que </w:t>
      </w:r>
      <w:r w:rsidRPr="004D07ED">
        <w:rPr>
          <w:rFonts w:ascii="Palatino Linotype" w:eastAsia="Palatino Linotype" w:hAnsi="Palatino Linotype" w:cs="Palatino Linotype"/>
          <w:sz w:val="22"/>
          <w:szCs w:val="22"/>
          <w:u w:val="single"/>
        </w:rPr>
        <w:t xml:space="preserve">permite a los particulares trasladar a las autoridades sus </w:t>
      </w:r>
      <w:r w:rsidRPr="004D07ED">
        <w:rPr>
          <w:rFonts w:ascii="Palatino Linotype" w:eastAsia="Palatino Linotype" w:hAnsi="Palatino Linotype" w:cs="Palatino Linotype"/>
          <w:b/>
          <w:sz w:val="22"/>
          <w:szCs w:val="22"/>
          <w:u w:val="single"/>
        </w:rPr>
        <w:t>inquietudes, quejas</w:t>
      </w:r>
      <w:r w:rsidRPr="004D07ED">
        <w:rPr>
          <w:rFonts w:ascii="Palatino Linotype" w:eastAsia="Palatino Linotype" w:hAnsi="Palatino Linotype" w:cs="Palatino Linotype"/>
          <w:sz w:val="22"/>
          <w:szCs w:val="22"/>
          <w:u w:val="single"/>
        </w:rPr>
        <w:t>, sugerencias</w:t>
      </w:r>
      <w:r w:rsidRPr="004D07ED">
        <w:rPr>
          <w:rFonts w:ascii="Palatino Linotype" w:eastAsia="Palatino Linotype" w:hAnsi="Palatino Linotype" w:cs="Palatino Linotype"/>
          <w:sz w:val="22"/>
          <w:szCs w:val="22"/>
        </w:rPr>
        <w:t xml:space="preserve"> y requerimientos en cualquier materia o asunto; y como una </w:t>
      </w:r>
      <w:r w:rsidRPr="004D07ED">
        <w:rPr>
          <w:rFonts w:ascii="Palatino Linotype" w:eastAsia="Palatino Linotype" w:hAnsi="Palatino Linotype" w:cs="Palatino Linotype"/>
          <w:b/>
          <w:sz w:val="22"/>
          <w:szCs w:val="22"/>
        </w:rPr>
        <w:t>forma específica de la libertad de expresión</w:t>
      </w:r>
      <w:r w:rsidRPr="004D07ED">
        <w:rPr>
          <w:rFonts w:ascii="Palatino Linotype" w:eastAsia="Palatino Linotype" w:hAnsi="Palatino Linotype" w:cs="Palatino Linotype"/>
          <w:sz w:val="22"/>
          <w:szCs w:val="22"/>
        </w:rPr>
        <w:t>, en tanto que permite expresarse frente a las autoridades. De igual manera que el derecho de petición se traduce en la obligación de todos los funcionarios y autoridades de permitir a los ciudadanos de dirigirse a ellos en demanda de lo que deseen expresar o solicitar y responder de dicha demanda por escrito, de forma congruente y en un plazo breve.</w:t>
      </w:r>
      <w:r w:rsidRPr="004D07ED">
        <w:rPr>
          <w:rFonts w:ascii="Palatino Linotype" w:eastAsia="Palatino Linotype" w:hAnsi="Palatino Linotype" w:cs="Palatino Linotype"/>
          <w:sz w:val="22"/>
          <w:szCs w:val="22"/>
          <w:vertAlign w:val="superscript"/>
        </w:rPr>
        <w:footnoteReference w:id="2"/>
      </w:r>
    </w:p>
    <w:p w14:paraId="20849297" w14:textId="77777777" w:rsidR="008B4F64" w:rsidRPr="004D07ED" w:rsidRDefault="008B4F64" w:rsidP="008B4F64">
      <w:pPr>
        <w:pBdr>
          <w:top w:val="nil"/>
          <w:left w:val="nil"/>
          <w:bottom w:val="nil"/>
          <w:right w:val="nil"/>
          <w:between w:val="nil"/>
        </w:pBdr>
        <w:spacing w:before="240" w:after="240" w:line="360" w:lineRule="auto"/>
        <w:ind w:right="99"/>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sz w:val="22"/>
          <w:szCs w:val="22"/>
        </w:rPr>
        <w:t xml:space="preserve">Por otro lado, el autor anteriormente citado, indica que el </w:t>
      </w:r>
      <w:r w:rsidRPr="004D07ED">
        <w:rPr>
          <w:rFonts w:ascii="Palatino Linotype" w:eastAsia="Palatino Linotype" w:hAnsi="Palatino Linotype" w:cs="Palatino Linotype"/>
          <w:b/>
          <w:sz w:val="22"/>
          <w:szCs w:val="22"/>
          <w:u w:val="single"/>
        </w:rPr>
        <w:t>derecho de acceso a la información pública</w:t>
      </w:r>
      <w:r w:rsidRPr="004D07ED">
        <w:rPr>
          <w:rFonts w:ascii="Palatino Linotype" w:eastAsia="Palatino Linotype" w:hAnsi="Palatino Linotype" w:cs="Palatino Linotype"/>
          <w:sz w:val="22"/>
          <w:szCs w:val="22"/>
        </w:rPr>
        <w:t xml:space="preserve"> es el derecho de conocer la </w:t>
      </w:r>
      <w:r w:rsidRPr="004D07ED">
        <w:rPr>
          <w:rFonts w:ascii="Palatino Linotype" w:eastAsia="Palatino Linotype" w:hAnsi="Palatino Linotype" w:cs="Palatino Linotype"/>
          <w:b/>
          <w:sz w:val="22"/>
          <w:szCs w:val="22"/>
          <w:u w:val="single"/>
        </w:rPr>
        <w:t>información de carácter público que se genera o está en posesión de los órganos del poder público</w:t>
      </w:r>
      <w:r w:rsidRPr="004D07ED">
        <w:rPr>
          <w:rFonts w:ascii="Palatino Linotype" w:eastAsia="Palatino Linotype" w:hAnsi="Palatino Linotype" w:cs="Palatino Linotype"/>
          <w:sz w:val="22"/>
          <w:szCs w:val="22"/>
        </w:rPr>
        <w:t xml:space="preserve"> o de los sujetos que utilizan o se benefician con recursos provenientes del Estado, es el derecho que tienen los ciudadanos para acceder a documentos y datos que obren en el poder del gobierno.</w:t>
      </w:r>
    </w:p>
    <w:p w14:paraId="18F87483" w14:textId="77777777" w:rsidR="008B4F64" w:rsidRPr="004D07ED" w:rsidRDefault="008B4F64" w:rsidP="008B4F64">
      <w:pPr>
        <w:pBdr>
          <w:top w:val="nil"/>
          <w:left w:val="nil"/>
          <w:bottom w:val="nil"/>
          <w:right w:val="nil"/>
          <w:between w:val="nil"/>
        </w:pBdr>
        <w:spacing w:before="240" w:after="240" w:line="360" w:lineRule="auto"/>
        <w:ind w:right="99"/>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sz w:val="22"/>
          <w:szCs w:val="22"/>
        </w:rPr>
        <w:t>Por su parte, Ernesto Villanueva define al derecho de acceso a la información pública como la prerrogativa de la persona para acceder a datos, registros y todo tipo de informaciones en poder de las entidades públicas y empresas privadas que ejercen gasto público o cumplen funciones de autoridad, con las excepciones taxativas que establezca la ley en una sociedad democrática.</w:t>
      </w:r>
      <w:r w:rsidRPr="004D07ED">
        <w:rPr>
          <w:rFonts w:ascii="Palatino Linotype" w:eastAsia="Palatino Linotype" w:hAnsi="Palatino Linotype" w:cs="Palatino Linotype"/>
          <w:sz w:val="22"/>
          <w:szCs w:val="22"/>
          <w:vertAlign w:val="superscript"/>
        </w:rPr>
        <w:footnoteReference w:id="3"/>
      </w:r>
    </w:p>
    <w:p w14:paraId="0E9A8E46" w14:textId="77777777" w:rsidR="008B4F64" w:rsidRPr="004D07ED" w:rsidRDefault="008B4F64" w:rsidP="008B4F64">
      <w:pPr>
        <w:pBdr>
          <w:top w:val="nil"/>
          <w:left w:val="nil"/>
          <w:bottom w:val="nil"/>
          <w:right w:val="nil"/>
          <w:between w:val="nil"/>
        </w:pBdr>
        <w:spacing w:before="240" w:after="240" w:line="360" w:lineRule="auto"/>
        <w:ind w:right="99"/>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sz w:val="22"/>
          <w:szCs w:val="22"/>
        </w:rPr>
        <w:t xml:space="preserve">De lo anterior se puede concluir que la distinción entre el </w:t>
      </w:r>
      <w:r w:rsidRPr="004D07ED">
        <w:rPr>
          <w:rFonts w:ascii="Palatino Linotype" w:eastAsia="Palatino Linotype" w:hAnsi="Palatino Linotype" w:cs="Palatino Linotype"/>
          <w:b/>
          <w:sz w:val="22"/>
          <w:szCs w:val="22"/>
          <w:u w:val="single"/>
        </w:rPr>
        <w:t>derecho de petición</w:t>
      </w:r>
      <w:r w:rsidRPr="004D07ED">
        <w:rPr>
          <w:rFonts w:ascii="Palatino Linotype" w:eastAsia="Palatino Linotype" w:hAnsi="Palatino Linotype" w:cs="Palatino Linotype"/>
          <w:sz w:val="22"/>
          <w:szCs w:val="22"/>
        </w:rPr>
        <w:t xml:space="preserve"> y el derecho de acceso a la información descansa principalmente, en que </w:t>
      </w:r>
      <w:r w:rsidRPr="004D07ED">
        <w:rPr>
          <w:rFonts w:ascii="Palatino Linotype" w:eastAsia="Palatino Linotype" w:hAnsi="Palatino Linotype" w:cs="Palatino Linotype"/>
          <w:b/>
          <w:sz w:val="22"/>
          <w:szCs w:val="22"/>
        </w:rPr>
        <w:t>la pretensión del peticionario consiste generalmente en obligar a la autoridad responsable a que actúe</w:t>
      </w:r>
      <w:r w:rsidRPr="004D07ED">
        <w:rPr>
          <w:rFonts w:ascii="Palatino Linotype" w:eastAsia="Palatino Linotype" w:hAnsi="Palatino Linotype" w:cs="Palatino Linotype"/>
          <w:sz w:val="22"/>
          <w:szCs w:val="22"/>
        </w:rPr>
        <w:t xml:space="preserve"> </w:t>
      </w:r>
      <w:r w:rsidRPr="004D07ED">
        <w:rPr>
          <w:rFonts w:ascii="Palatino Linotype" w:eastAsia="Palatino Linotype" w:hAnsi="Palatino Linotype" w:cs="Palatino Linotype"/>
          <w:b/>
          <w:sz w:val="22"/>
          <w:szCs w:val="22"/>
        </w:rPr>
        <w:t>en el sentido de contestar lo solicitado</w:t>
      </w:r>
      <w:r w:rsidRPr="004D07ED">
        <w:rPr>
          <w:rFonts w:ascii="Palatino Linotype" w:eastAsia="Palatino Linotype" w:hAnsi="Palatino Linotype" w:cs="Palatino Linotype"/>
          <w:sz w:val="22"/>
          <w:szCs w:val="22"/>
        </w:rPr>
        <w:t xml:space="preserve">, mientras que </w:t>
      </w:r>
      <w:r w:rsidRPr="004D07ED">
        <w:rPr>
          <w:rFonts w:ascii="Palatino Linotype" w:eastAsia="Palatino Linotype" w:hAnsi="Palatino Linotype" w:cs="Palatino Linotype"/>
          <w:b/>
          <w:sz w:val="22"/>
          <w:szCs w:val="22"/>
          <w:u w:val="single"/>
        </w:rPr>
        <w:t>en el derecho de acceso a la información pública,</w:t>
      </w:r>
      <w:r w:rsidRPr="004D07ED">
        <w:rPr>
          <w:rFonts w:ascii="Palatino Linotype" w:eastAsia="Palatino Linotype" w:hAnsi="Palatino Linotype" w:cs="Palatino Linotype"/>
          <w:b/>
          <w:sz w:val="22"/>
          <w:szCs w:val="22"/>
        </w:rPr>
        <w:t xml:space="preserve"> la pretensión radica en que se permita el acceso a datos y todo tipo de </w:t>
      </w:r>
      <w:r w:rsidRPr="004D07ED">
        <w:rPr>
          <w:rFonts w:ascii="Palatino Linotype" w:eastAsia="Palatino Linotype" w:hAnsi="Palatino Linotype" w:cs="Palatino Linotype"/>
          <w:b/>
          <w:sz w:val="22"/>
          <w:szCs w:val="22"/>
          <w:u w:val="single"/>
        </w:rPr>
        <w:t>documentación</w:t>
      </w:r>
      <w:r w:rsidRPr="004D07ED">
        <w:rPr>
          <w:rFonts w:ascii="Palatino Linotype" w:eastAsia="Palatino Linotype" w:hAnsi="Palatino Linotype" w:cs="Palatino Linotype"/>
          <w:b/>
          <w:sz w:val="22"/>
          <w:szCs w:val="22"/>
        </w:rPr>
        <w:t xml:space="preserve"> que tenga el carácter de información pública, que sea generada, administrada o se encuentre en posesión de los</w:t>
      </w:r>
      <w:r w:rsidRPr="004D07ED">
        <w:rPr>
          <w:rFonts w:ascii="Palatino Linotype" w:eastAsia="Palatino Linotype" w:hAnsi="Palatino Linotype" w:cs="Palatino Linotype"/>
          <w:sz w:val="22"/>
          <w:szCs w:val="22"/>
        </w:rPr>
        <w:t xml:space="preserve"> considerados </w:t>
      </w:r>
      <w:r w:rsidRPr="004D07ED">
        <w:rPr>
          <w:rFonts w:ascii="Palatino Linotype" w:eastAsia="Palatino Linotype" w:hAnsi="Palatino Linotype" w:cs="Palatino Linotype"/>
          <w:b/>
          <w:sz w:val="22"/>
          <w:szCs w:val="22"/>
        </w:rPr>
        <w:t>Sujetos Obligados</w:t>
      </w:r>
      <w:r w:rsidRPr="004D07ED">
        <w:rPr>
          <w:rFonts w:ascii="Palatino Linotype" w:eastAsia="Palatino Linotype" w:hAnsi="Palatino Linotype" w:cs="Palatino Linotype"/>
          <w:sz w:val="22"/>
          <w:szCs w:val="22"/>
        </w:rPr>
        <w:t xml:space="preserve"> por la Ley de la Materia.</w:t>
      </w:r>
    </w:p>
    <w:p w14:paraId="6E56BA9D" w14:textId="71EA0218" w:rsidR="00DA4694" w:rsidRPr="004D07ED" w:rsidRDefault="008B4F64" w:rsidP="008B4F64">
      <w:pPr>
        <w:pBdr>
          <w:top w:val="nil"/>
          <w:left w:val="nil"/>
          <w:bottom w:val="nil"/>
          <w:right w:val="nil"/>
          <w:between w:val="nil"/>
        </w:pBdr>
        <w:spacing w:before="240" w:after="240" w:line="360" w:lineRule="auto"/>
        <w:ind w:right="99"/>
        <w:jc w:val="both"/>
        <w:rPr>
          <w:rFonts w:ascii="Palatino Linotype" w:eastAsia="Palatino Linotype" w:hAnsi="Palatino Linotype"/>
          <w:b/>
          <w:sz w:val="22"/>
          <w:szCs w:val="22"/>
          <w:u w:val="single"/>
        </w:rPr>
      </w:pPr>
      <w:r w:rsidRPr="004D07ED">
        <w:rPr>
          <w:rFonts w:ascii="Palatino Linotype" w:eastAsia="Palatino Linotype" w:hAnsi="Palatino Linotype" w:cs="Palatino Linotype"/>
          <w:sz w:val="22"/>
          <w:szCs w:val="22"/>
        </w:rPr>
        <w:t xml:space="preserve">Con base a lo anterior, se insiste que de la lectura de los requerimientos de información </w:t>
      </w:r>
      <w:r w:rsidRPr="004D07ED">
        <w:rPr>
          <w:rFonts w:ascii="Palatino Linotype" w:eastAsia="Palatino Linotype" w:hAnsi="Palatino Linotype" w:cs="Palatino Linotype"/>
          <w:b/>
          <w:sz w:val="22"/>
          <w:szCs w:val="22"/>
          <w:u w:val="single"/>
        </w:rPr>
        <w:t>no se advierte que la persona solicitante pretenda el acceso a documentos previamente generados</w:t>
      </w:r>
      <w:r w:rsidRPr="004D07ED">
        <w:rPr>
          <w:rFonts w:ascii="Palatino Linotype" w:eastAsia="Palatino Linotype" w:hAnsi="Palatino Linotype" w:cs="Palatino Linotype"/>
          <w:b/>
          <w:sz w:val="22"/>
          <w:szCs w:val="22"/>
        </w:rPr>
        <w:t>, s</w:t>
      </w:r>
      <w:r w:rsidRPr="004D07ED">
        <w:rPr>
          <w:rFonts w:ascii="Palatino Linotype" w:eastAsia="Palatino Linotype" w:hAnsi="Palatino Linotype" w:cs="Palatino Linotype"/>
          <w:sz w:val="22"/>
          <w:szCs w:val="22"/>
        </w:rPr>
        <w:t xml:space="preserve">ino más bien, </w:t>
      </w:r>
      <w:r w:rsidRPr="004D07ED">
        <w:rPr>
          <w:rFonts w:ascii="Palatino Linotype" w:eastAsia="Palatino Linotype" w:hAnsi="Palatino Linotype" w:cs="Palatino Linotype"/>
          <w:b/>
          <w:sz w:val="22"/>
          <w:szCs w:val="22"/>
          <w:u w:val="single"/>
        </w:rPr>
        <w:t>requiere un pronunciamiento específico por parte del Sujeto Obligado que dé respuesta a las inquietudes que plantea,</w:t>
      </w:r>
      <w:r w:rsidRPr="004D07ED">
        <w:rPr>
          <w:rFonts w:ascii="Palatino Linotype" w:eastAsia="Palatino Linotype" w:hAnsi="Palatino Linotype"/>
          <w:sz w:val="22"/>
          <w:szCs w:val="22"/>
        </w:rPr>
        <w:t xml:space="preserve"> toda vez que </w:t>
      </w:r>
      <w:r w:rsidRPr="004D07ED">
        <w:rPr>
          <w:rFonts w:ascii="Palatino Linotype" w:eastAsia="Palatino Linotype" w:hAnsi="Palatino Linotype"/>
          <w:b/>
          <w:sz w:val="22"/>
          <w:szCs w:val="22"/>
          <w:u w:val="single"/>
        </w:rPr>
        <w:t xml:space="preserve">lo que </w:t>
      </w:r>
      <w:r w:rsidR="00DA4694" w:rsidRPr="004D07ED">
        <w:rPr>
          <w:rFonts w:ascii="Palatino Linotype" w:eastAsia="Palatino Linotype" w:hAnsi="Palatino Linotype"/>
          <w:b/>
          <w:sz w:val="22"/>
          <w:szCs w:val="22"/>
          <w:u w:val="single"/>
        </w:rPr>
        <w:t>requiere es que se realice un acompañamiento en una investigación, derivado de diversas problemáticas que se presentan en la Colonia Corte Huantongo, en Chimalhuacán, Estado de México.</w:t>
      </w:r>
    </w:p>
    <w:p w14:paraId="69053747" w14:textId="5B51DB4B" w:rsidR="008B4F64" w:rsidRPr="004D07ED" w:rsidRDefault="008B4F64" w:rsidP="008B4F64">
      <w:pPr>
        <w:pBdr>
          <w:top w:val="nil"/>
          <w:left w:val="nil"/>
          <w:bottom w:val="nil"/>
          <w:right w:val="nil"/>
          <w:between w:val="nil"/>
        </w:pBdr>
        <w:spacing w:before="240" w:after="240" w:line="360" w:lineRule="auto"/>
        <w:ind w:right="99"/>
        <w:jc w:val="both"/>
        <w:rPr>
          <w:rFonts w:ascii="Palatino Linotype" w:eastAsia="Palatino Linotype" w:hAnsi="Palatino Linotype"/>
          <w:sz w:val="22"/>
          <w:szCs w:val="22"/>
        </w:rPr>
      </w:pPr>
      <w:r w:rsidRPr="004D07ED">
        <w:rPr>
          <w:rFonts w:ascii="Palatino Linotype" w:eastAsia="Palatino Linotype" w:hAnsi="Palatino Linotype" w:cs="Palatino Linotype"/>
          <w:sz w:val="22"/>
          <w:szCs w:val="22"/>
        </w:rPr>
        <w:t xml:space="preserve">Atento a lo anterior, no debe perderse de vista que la entrega de una la respuesta o atención  </w:t>
      </w:r>
      <w:r w:rsidR="000A292E" w:rsidRPr="004D07ED">
        <w:rPr>
          <w:rFonts w:ascii="Palatino Linotype" w:eastAsia="Palatino Linotype" w:hAnsi="Palatino Linotype" w:cs="Palatino Linotype"/>
          <w:sz w:val="22"/>
          <w:szCs w:val="22"/>
        </w:rPr>
        <w:t>sus peticiones</w:t>
      </w:r>
      <w:r w:rsidRPr="004D07ED">
        <w:rPr>
          <w:rFonts w:ascii="Palatino Linotype" w:eastAsia="Palatino Linotype" w:hAnsi="Palatino Linotype" w:cs="Palatino Linotype"/>
          <w:sz w:val="22"/>
          <w:szCs w:val="22"/>
        </w:rPr>
        <w:t xml:space="preserve"> que no encuentren en soporte documental alguno, no es algo que la Ley de la Materia establezca como atribución, derecho o facultad; pues ello implicaría emitir un juicio de valor referente a cuestionamientos realizados, los cuales como ha quedado explicado, al constituir </w:t>
      </w:r>
      <w:r w:rsidRPr="004D07ED">
        <w:rPr>
          <w:rFonts w:ascii="Palatino Linotype" w:eastAsia="Palatino Linotype" w:hAnsi="Palatino Linotype" w:cs="Palatino Linotype"/>
          <w:b/>
          <w:sz w:val="22"/>
          <w:szCs w:val="22"/>
          <w:u w:val="single"/>
        </w:rPr>
        <w:t>interrogantes, inquietudes, quejas y manifestaciones</w:t>
      </w:r>
      <w:r w:rsidRPr="004D07ED">
        <w:rPr>
          <w:rFonts w:ascii="Palatino Linotype" w:eastAsia="Palatino Linotype" w:hAnsi="Palatino Linotype" w:cs="Palatino Linotype"/>
          <w:sz w:val="22"/>
          <w:szCs w:val="22"/>
        </w:rPr>
        <w:t xml:space="preserve"> resultan estar encaminadas a ser satisfechas en ejercicio del derecho de petición.</w:t>
      </w:r>
    </w:p>
    <w:p w14:paraId="08268A52" w14:textId="5B9DEA73" w:rsidR="008B4F64" w:rsidRPr="004D07ED" w:rsidRDefault="008B4F64" w:rsidP="008B4F64">
      <w:pPr>
        <w:pBdr>
          <w:top w:val="nil"/>
          <w:left w:val="nil"/>
          <w:bottom w:val="nil"/>
          <w:right w:val="nil"/>
          <w:between w:val="nil"/>
        </w:pBdr>
        <w:spacing w:before="240" w:after="240" w:line="360" w:lineRule="auto"/>
        <w:ind w:right="99"/>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sz w:val="22"/>
          <w:szCs w:val="22"/>
        </w:rPr>
        <w:t xml:space="preserve">Además, es de resaltar que este Instituto de Transparencia como Organismo Garante de difusión, protección y respeto al derecho de acceso a la información pública y a la protección de datos personales, conforme a su naturaleza jurídica y a sus atribuciones previstas en los artículos 29, 36 y 179 de la Ley de Transparencia y Acceso a la Información Pública del Estado de México y Municipios, es competente para resolver los recursos de revisión, cuando se niegue la información solicitada, se clasifique la información solicitada, se declare la inexistencia de lo solicitado, el Sujeto Obligado se declare incompetente para atender la solicitud de información, se entregue la información incompleta, se entregue información que no corresponda a lo solicitado, no se dé respuesta a la solicitud, se notifique o se ponga a disposición la información en un formato o modalidad distinto al solicitado, incomprensible o no accesible, respecto de los costos o tiempos de entrega de la información, cuando no se dé trámite a la solicitud, no se permita la consulta directa de la solicitud, se fundamente o motive deficientemente, y/o cuando se oriente a un trámite en específico; todo en ejercicio del derecho de acceso a la información pública, no así cuando se trate de un derecho de petición ejercido por un gobernado; en consecuencia, este Instinto no tiene atribuciones para pronunciarse respecto a las manifestaciones expuestas por la parte </w:t>
      </w:r>
      <w:r w:rsidRPr="004D07ED">
        <w:rPr>
          <w:rFonts w:ascii="Palatino Linotype" w:eastAsia="Palatino Linotype" w:hAnsi="Palatino Linotype" w:cs="Palatino Linotype"/>
          <w:b/>
          <w:sz w:val="22"/>
          <w:szCs w:val="22"/>
        </w:rPr>
        <w:t>Recurrente,</w:t>
      </w:r>
      <w:r w:rsidRPr="004D07ED">
        <w:rPr>
          <w:rFonts w:ascii="Palatino Linotype" w:eastAsia="Palatino Linotype" w:hAnsi="Palatino Linotype" w:cs="Palatino Linotype"/>
          <w:sz w:val="22"/>
          <w:szCs w:val="22"/>
        </w:rPr>
        <w:t xml:space="preserve"> esencialmente en virtud de que se advierte que las mismas se tratan de </w:t>
      </w:r>
      <w:r w:rsidR="00275D31" w:rsidRPr="004D07ED">
        <w:rPr>
          <w:rFonts w:ascii="Palatino Linotype" w:eastAsia="Palatino Linotype" w:hAnsi="Palatino Linotype" w:cs="Palatino Linotype"/>
          <w:sz w:val="22"/>
          <w:szCs w:val="22"/>
        </w:rPr>
        <w:t xml:space="preserve">peticiones </w:t>
      </w:r>
      <w:r w:rsidRPr="004D07ED">
        <w:rPr>
          <w:rFonts w:ascii="Palatino Linotype" w:eastAsia="Palatino Linotype" w:hAnsi="Palatino Linotype" w:cs="Palatino Linotype"/>
          <w:sz w:val="22"/>
          <w:szCs w:val="22"/>
        </w:rPr>
        <w:t>tendentes a que la autoridad actué sobre</w:t>
      </w:r>
      <w:r w:rsidR="00275D31" w:rsidRPr="004D07ED">
        <w:rPr>
          <w:rFonts w:ascii="Palatino Linotype" w:eastAsia="Palatino Linotype" w:hAnsi="Palatino Linotype" w:cs="Palatino Linotype"/>
          <w:sz w:val="22"/>
          <w:szCs w:val="22"/>
        </w:rPr>
        <w:t xml:space="preserve"> una problemática en particular</w:t>
      </w:r>
      <w:r w:rsidRPr="004D07ED">
        <w:rPr>
          <w:rFonts w:ascii="Palatino Linotype" w:eastAsia="Palatino Linotype" w:hAnsi="Palatino Linotype" w:cs="Palatino Linotype"/>
          <w:sz w:val="22"/>
          <w:szCs w:val="22"/>
        </w:rPr>
        <w:t xml:space="preserve">, en consecuencia no es procedente ordenar la entrega de documento alguno, toda vez que no se pretendió el acceso a algún documento previamente generado, sino un pronunciamiento del </w:t>
      </w:r>
      <w:r w:rsidRPr="004D07ED">
        <w:rPr>
          <w:rFonts w:ascii="Palatino Linotype" w:eastAsia="Palatino Linotype" w:hAnsi="Palatino Linotype" w:cs="Palatino Linotype"/>
          <w:b/>
          <w:sz w:val="22"/>
          <w:szCs w:val="22"/>
        </w:rPr>
        <w:t>Sujeto Obligado</w:t>
      </w:r>
      <w:r w:rsidRPr="004D07ED">
        <w:rPr>
          <w:rFonts w:ascii="Palatino Linotype" w:eastAsia="Palatino Linotype" w:hAnsi="Palatino Linotype" w:cs="Palatino Linotype"/>
          <w:sz w:val="22"/>
          <w:szCs w:val="22"/>
        </w:rPr>
        <w:t>.</w:t>
      </w:r>
    </w:p>
    <w:p w14:paraId="1D0C169F" w14:textId="77777777" w:rsidR="008B4F64" w:rsidRPr="004D07ED" w:rsidRDefault="008B4F64" w:rsidP="008B4F64">
      <w:pPr>
        <w:pBdr>
          <w:top w:val="nil"/>
          <w:left w:val="nil"/>
          <w:bottom w:val="nil"/>
          <w:right w:val="nil"/>
          <w:between w:val="nil"/>
        </w:pBdr>
        <w:spacing w:before="240" w:after="240" w:line="360" w:lineRule="auto"/>
        <w:ind w:right="96"/>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sz w:val="22"/>
          <w:szCs w:val="22"/>
        </w:rPr>
        <w:t>En virtud de los argumentos expuestos con anterioridad así como del análisis realizado a las constancias que obran en el expediente electrónico del SAIMEX, se determina sobreseer el presente recurso de revisión por actualizarse la causal de sobreseimiento prevista en la fracción IV del artículo 192 de la Ley de Transparencia y Acceso a la Información Pública del Estado de México y Municipios en su correlación con la causal de improcedencia contemplada en la fracción IV del artículo 191 del ordenamiento legal en cita, los que se transcriben a continuación, para un mejor entendimiento:</w:t>
      </w:r>
    </w:p>
    <w:p w14:paraId="73CC8409" w14:textId="77777777" w:rsidR="008B4F64" w:rsidRPr="004D07ED" w:rsidRDefault="008B4F64" w:rsidP="008B4F64">
      <w:pPr>
        <w:pBdr>
          <w:top w:val="nil"/>
          <w:left w:val="nil"/>
          <w:bottom w:val="nil"/>
          <w:right w:val="nil"/>
          <w:between w:val="nil"/>
        </w:pBdr>
        <w:tabs>
          <w:tab w:val="left" w:pos="7938"/>
        </w:tabs>
        <w:spacing w:before="120" w:after="120"/>
        <w:ind w:left="851" w:right="902"/>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i/>
          <w:sz w:val="22"/>
          <w:szCs w:val="22"/>
        </w:rPr>
        <w:t>“</w:t>
      </w:r>
      <w:r w:rsidRPr="004D07ED">
        <w:rPr>
          <w:rFonts w:ascii="Palatino Linotype" w:eastAsia="Palatino Linotype" w:hAnsi="Palatino Linotype" w:cs="Palatino Linotype"/>
          <w:b/>
          <w:i/>
          <w:sz w:val="22"/>
          <w:szCs w:val="22"/>
        </w:rPr>
        <w:t>Artículo 191</w:t>
      </w:r>
      <w:r w:rsidRPr="004D07ED">
        <w:rPr>
          <w:rFonts w:ascii="Palatino Linotype" w:eastAsia="Palatino Linotype" w:hAnsi="Palatino Linotype" w:cs="Palatino Linotype"/>
          <w:i/>
          <w:sz w:val="22"/>
          <w:szCs w:val="22"/>
        </w:rPr>
        <w:t xml:space="preserve">. </w:t>
      </w:r>
      <w:r w:rsidRPr="004D07ED">
        <w:rPr>
          <w:rFonts w:ascii="Palatino Linotype" w:eastAsia="Palatino Linotype" w:hAnsi="Palatino Linotype" w:cs="Palatino Linotype"/>
          <w:b/>
          <w:i/>
          <w:sz w:val="22"/>
          <w:szCs w:val="22"/>
        </w:rPr>
        <w:t>El recurso</w:t>
      </w:r>
      <w:r w:rsidRPr="004D07ED">
        <w:rPr>
          <w:rFonts w:ascii="Palatino Linotype" w:eastAsia="Palatino Linotype" w:hAnsi="Palatino Linotype" w:cs="Palatino Linotype"/>
          <w:i/>
          <w:sz w:val="22"/>
          <w:szCs w:val="22"/>
        </w:rPr>
        <w:t xml:space="preserve"> </w:t>
      </w:r>
      <w:r w:rsidRPr="004D07ED">
        <w:rPr>
          <w:rFonts w:ascii="Palatino Linotype" w:eastAsia="Palatino Linotype" w:hAnsi="Palatino Linotype" w:cs="Palatino Linotype"/>
          <w:b/>
          <w:i/>
          <w:sz w:val="22"/>
          <w:szCs w:val="22"/>
        </w:rPr>
        <w:t xml:space="preserve">será </w:t>
      </w:r>
      <w:r w:rsidRPr="004D07ED">
        <w:rPr>
          <w:rFonts w:ascii="Palatino Linotype" w:eastAsia="Palatino Linotype" w:hAnsi="Palatino Linotype" w:cs="Palatino Linotype"/>
          <w:i/>
          <w:sz w:val="22"/>
          <w:szCs w:val="22"/>
        </w:rPr>
        <w:t xml:space="preserve">desechado por </w:t>
      </w:r>
      <w:r w:rsidRPr="004D07ED">
        <w:rPr>
          <w:rFonts w:ascii="Palatino Linotype" w:eastAsia="Palatino Linotype" w:hAnsi="Palatino Linotype" w:cs="Palatino Linotype"/>
          <w:b/>
          <w:i/>
          <w:sz w:val="22"/>
          <w:szCs w:val="22"/>
        </w:rPr>
        <w:t>improcedente cuando</w:t>
      </w:r>
      <w:r w:rsidRPr="004D07ED">
        <w:rPr>
          <w:rFonts w:ascii="Palatino Linotype" w:eastAsia="Palatino Linotype" w:hAnsi="Palatino Linotype" w:cs="Palatino Linotype"/>
          <w:i/>
          <w:sz w:val="22"/>
          <w:szCs w:val="22"/>
        </w:rPr>
        <w:t>:</w:t>
      </w:r>
    </w:p>
    <w:p w14:paraId="07F248E8" w14:textId="77777777" w:rsidR="008B4F64" w:rsidRPr="004D07ED" w:rsidRDefault="008B4F64" w:rsidP="008B4F64">
      <w:pPr>
        <w:pBdr>
          <w:top w:val="nil"/>
          <w:left w:val="nil"/>
          <w:bottom w:val="nil"/>
          <w:right w:val="nil"/>
          <w:between w:val="nil"/>
        </w:pBdr>
        <w:tabs>
          <w:tab w:val="left" w:pos="7938"/>
        </w:tabs>
        <w:spacing w:before="120" w:after="120"/>
        <w:ind w:left="1134" w:right="902"/>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i/>
          <w:sz w:val="22"/>
          <w:szCs w:val="22"/>
        </w:rPr>
        <w:t>…</w:t>
      </w:r>
    </w:p>
    <w:p w14:paraId="74E394AA" w14:textId="77777777" w:rsidR="008B4F64" w:rsidRPr="004D07ED" w:rsidRDefault="008B4F64" w:rsidP="008B4F64">
      <w:pPr>
        <w:tabs>
          <w:tab w:val="left" w:pos="7938"/>
        </w:tabs>
        <w:spacing w:before="120" w:line="360" w:lineRule="auto"/>
        <w:ind w:left="1134" w:right="902"/>
        <w:jc w:val="both"/>
        <w:rPr>
          <w:rFonts w:ascii="Palatino Linotype" w:eastAsia="Palatino Linotype" w:hAnsi="Palatino Linotype" w:cs="Palatino Linotype"/>
          <w:b/>
          <w:i/>
          <w:sz w:val="22"/>
          <w:szCs w:val="22"/>
        </w:rPr>
      </w:pPr>
      <w:r w:rsidRPr="004D07ED">
        <w:rPr>
          <w:rFonts w:ascii="Palatino Linotype" w:eastAsia="Palatino Linotype" w:hAnsi="Palatino Linotype" w:cs="Palatino Linotype"/>
          <w:b/>
          <w:i/>
          <w:sz w:val="22"/>
          <w:szCs w:val="22"/>
        </w:rPr>
        <w:t>VI. Se trate de una consulta</w:t>
      </w:r>
      <w:r w:rsidRPr="004D07ED">
        <w:rPr>
          <w:rFonts w:ascii="Palatino Linotype" w:eastAsia="Palatino Linotype" w:hAnsi="Palatino Linotype" w:cs="Palatino Linotype"/>
          <w:i/>
          <w:sz w:val="22"/>
          <w:szCs w:val="22"/>
        </w:rPr>
        <w:t>, o trámite en específico</w:t>
      </w:r>
      <w:r w:rsidRPr="004D07ED">
        <w:rPr>
          <w:rFonts w:ascii="Palatino Linotype" w:eastAsia="Palatino Linotype" w:hAnsi="Palatino Linotype" w:cs="Palatino Linotype"/>
          <w:b/>
          <w:i/>
          <w:sz w:val="22"/>
          <w:szCs w:val="22"/>
        </w:rPr>
        <w:t xml:space="preserve">; </w:t>
      </w:r>
    </w:p>
    <w:p w14:paraId="59CB3A4A" w14:textId="77777777" w:rsidR="008B4F64" w:rsidRPr="004D07ED" w:rsidRDefault="008B4F64" w:rsidP="008B4F64">
      <w:pPr>
        <w:pBdr>
          <w:top w:val="nil"/>
          <w:left w:val="nil"/>
          <w:bottom w:val="nil"/>
          <w:right w:val="nil"/>
          <w:between w:val="nil"/>
        </w:pBdr>
        <w:tabs>
          <w:tab w:val="left" w:pos="7938"/>
        </w:tabs>
        <w:spacing w:before="120" w:after="120"/>
        <w:ind w:left="851" w:right="902"/>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i/>
          <w:sz w:val="22"/>
          <w:szCs w:val="22"/>
        </w:rPr>
        <w:t>…</w:t>
      </w:r>
    </w:p>
    <w:p w14:paraId="6487FE86" w14:textId="77777777" w:rsidR="008B4F64" w:rsidRPr="004D07ED" w:rsidRDefault="008B4F64" w:rsidP="008B4F64">
      <w:pPr>
        <w:pBdr>
          <w:top w:val="nil"/>
          <w:left w:val="nil"/>
          <w:bottom w:val="nil"/>
          <w:right w:val="nil"/>
          <w:between w:val="nil"/>
        </w:pBdr>
        <w:tabs>
          <w:tab w:val="left" w:pos="7938"/>
        </w:tabs>
        <w:spacing w:before="120" w:after="120"/>
        <w:ind w:left="851" w:right="902"/>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b/>
          <w:i/>
          <w:sz w:val="22"/>
          <w:szCs w:val="22"/>
        </w:rPr>
        <w:t>Artículo 192.</w:t>
      </w:r>
      <w:r w:rsidRPr="004D07ED">
        <w:rPr>
          <w:rFonts w:ascii="Palatino Linotype" w:eastAsia="Palatino Linotype" w:hAnsi="Palatino Linotype" w:cs="Palatino Linotype"/>
          <w:i/>
          <w:sz w:val="22"/>
          <w:szCs w:val="22"/>
        </w:rPr>
        <w:t xml:space="preserve"> El recurso será sobreseído, en todo o en parte, cuando una vez admitido, se actualicen alguno de los siguientes supuestos:</w:t>
      </w:r>
    </w:p>
    <w:p w14:paraId="503C4C1F" w14:textId="77777777" w:rsidR="008B4F64" w:rsidRPr="004D07ED" w:rsidRDefault="008B4F64" w:rsidP="008B4F64">
      <w:pPr>
        <w:pBdr>
          <w:top w:val="nil"/>
          <w:left w:val="nil"/>
          <w:bottom w:val="nil"/>
          <w:right w:val="nil"/>
          <w:between w:val="nil"/>
        </w:pBdr>
        <w:tabs>
          <w:tab w:val="left" w:pos="7938"/>
        </w:tabs>
        <w:spacing w:before="120" w:after="120"/>
        <w:ind w:left="1134" w:right="902"/>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i/>
          <w:sz w:val="22"/>
          <w:szCs w:val="22"/>
        </w:rPr>
        <w:t>…</w:t>
      </w:r>
    </w:p>
    <w:p w14:paraId="34411B40" w14:textId="77777777" w:rsidR="008B4F64" w:rsidRPr="004D07ED" w:rsidRDefault="008B4F64" w:rsidP="008B4F64">
      <w:pPr>
        <w:pBdr>
          <w:top w:val="nil"/>
          <w:left w:val="nil"/>
          <w:bottom w:val="nil"/>
          <w:right w:val="nil"/>
          <w:between w:val="nil"/>
        </w:pBdr>
        <w:tabs>
          <w:tab w:val="left" w:pos="7938"/>
        </w:tabs>
        <w:spacing w:before="120" w:after="120"/>
        <w:ind w:left="1134" w:right="902"/>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b/>
          <w:i/>
          <w:sz w:val="22"/>
          <w:szCs w:val="22"/>
        </w:rPr>
        <w:t>IV</w:t>
      </w:r>
      <w:r w:rsidRPr="004D07ED">
        <w:rPr>
          <w:rFonts w:ascii="Palatino Linotype" w:eastAsia="Palatino Linotype" w:hAnsi="Palatino Linotype" w:cs="Palatino Linotype"/>
          <w:i/>
          <w:sz w:val="22"/>
          <w:szCs w:val="22"/>
        </w:rPr>
        <w:t xml:space="preserve">. Admitido el recurso de revisión, </w:t>
      </w:r>
      <w:r w:rsidRPr="004D07ED">
        <w:rPr>
          <w:rFonts w:ascii="Palatino Linotype" w:eastAsia="Palatino Linotype" w:hAnsi="Palatino Linotype" w:cs="Palatino Linotype"/>
          <w:b/>
          <w:i/>
          <w:sz w:val="22"/>
          <w:szCs w:val="22"/>
        </w:rPr>
        <w:t>aparezca alguna causal de improcedencia</w:t>
      </w:r>
      <w:r w:rsidRPr="004D07ED">
        <w:rPr>
          <w:rFonts w:ascii="Palatino Linotype" w:eastAsia="Palatino Linotype" w:hAnsi="Palatino Linotype" w:cs="Palatino Linotype"/>
          <w:i/>
          <w:sz w:val="22"/>
          <w:szCs w:val="22"/>
        </w:rPr>
        <w:t xml:space="preserve"> en los términos de la presente Ley. “</w:t>
      </w:r>
    </w:p>
    <w:p w14:paraId="40BF45DC" w14:textId="53D66EEC" w:rsidR="008B4F64" w:rsidRPr="004D07ED" w:rsidRDefault="008B4F64" w:rsidP="008B4F64">
      <w:pPr>
        <w:spacing w:before="240" w:line="360" w:lineRule="auto"/>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sz w:val="22"/>
          <w:szCs w:val="22"/>
        </w:rPr>
        <w:t xml:space="preserve">El </w:t>
      </w:r>
      <w:r w:rsidRPr="004D07ED">
        <w:rPr>
          <w:rFonts w:ascii="Palatino Linotype" w:eastAsia="Palatino Linotype" w:hAnsi="Palatino Linotype" w:cs="Palatino Linotype"/>
          <w:i/>
          <w:sz w:val="22"/>
          <w:szCs w:val="22"/>
        </w:rPr>
        <w:t>sobreseimiento</w:t>
      </w:r>
      <w:r w:rsidRPr="004D07ED">
        <w:rPr>
          <w:rFonts w:ascii="Palatino Linotype" w:eastAsia="Palatino Linotype" w:hAnsi="Palatino Linotype" w:cs="Palatino Linotype"/>
          <w:sz w:val="22"/>
          <w:szCs w:val="22"/>
        </w:rPr>
        <w:t xml:space="preserve"> es un acto que da por terminado el procedimiento administrativo de impugnación sin resolver el fondo de la cuestión planteada, por presentarse causas que impiden a la autoridad referirse a lo sustancial de lo planteado por el recurrente, los efectos del sobreseimiento consisten en dar por concluido el recurso administrativo sin entrar al estudio de fondo del asunto de que se trate; lo anterior con apoyo en el criterio del Poder Judicial de la Federación con rubro:</w:t>
      </w:r>
    </w:p>
    <w:p w14:paraId="646A373D" w14:textId="77777777" w:rsidR="00275D31" w:rsidRPr="004D07ED" w:rsidRDefault="00275D31" w:rsidP="008B4F64">
      <w:pPr>
        <w:spacing w:before="240" w:line="360" w:lineRule="auto"/>
        <w:jc w:val="both"/>
        <w:rPr>
          <w:rFonts w:ascii="Palatino Linotype" w:eastAsia="Palatino Linotype" w:hAnsi="Palatino Linotype" w:cs="Palatino Linotype"/>
          <w:sz w:val="22"/>
          <w:szCs w:val="22"/>
        </w:rPr>
      </w:pPr>
    </w:p>
    <w:p w14:paraId="04E7DA13" w14:textId="77777777" w:rsidR="008B4F64" w:rsidRPr="004D07ED" w:rsidRDefault="008B4F64" w:rsidP="008B4F64">
      <w:pPr>
        <w:spacing w:after="120"/>
        <w:ind w:left="851" w:right="902"/>
        <w:jc w:val="both"/>
        <w:rPr>
          <w:rFonts w:ascii="Palatino Linotype" w:eastAsia="Palatino Linotype" w:hAnsi="Palatino Linotype" w:cs="Palatino Linotype"/>
          <w:b/>
          <w:i/>
          <w:sz w:val="22"/>
          <w:szCs w:val="22"/>
        </w:rPr>
      </w:pPr>
      <w:r w:rsidRPr="004D07ED">
        <w:rPr>
          <w:rFonts w:ascii="Palatino Linotype" w:eastAsia="Palatino Linotype" w:hAnsi="Palatino Linotype" w:cs="Palatino Linotype"/>
          <w:i/>
          <w:sz w:val="22"/>
          <w:szCs w:val="22"/>
        </w:rPr>
        <w:t>“</w:t>
      </w:r>
      <w:r w:rsidRPr="004D07ED">
        <w:rPr>
          <w:rFonts w:ascii="Palatino Linotype" w:eastAsia="Palatino Linotype" w:hAnsi="Palatino Linotype" w:cs="Palatino Linotype"/>
          <w:b/>
          <w:i/>
          <w:sz w:val="22"/>
          <w:szCs w:val="22"/>
        </w:rPr>
        <w:t>SOBRESEIMIENTO, NO PERMITE ENTRAR AL ESTUDIO DE LAS CUESTIONES DE FONDO</w:t>
      </w:r>
    </w:p>
    <w:p w14:paraId="4DA5B383" w14:textId="77777777" w:rsidR="008B4F64" w:rsidRPr="004D07ED" w:rsidRDefault="008B4F64" w:rsidP="008B4F64">
      <w:pPr>
        <w:spacing w:before="120" w:after="120"/>
        <w:ind w:left="851" w:right="902"/>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i/>
          <w:sz w:val="22"/>
          <w:szCs w:val="22"/>
        </w:rPr>
        <w:t>Localización: 213609. II.2o.183 K. Tribunales Colegiados de Circuito. Octava Época. Semanario Judicial de la Federación. Tomo XIII, Febrero de 1994, Pág. 420</w:t>
      </w:r>
    </w:p>
    <w:p w14:paraId="68E493A9" w14:textId="77777777" w:rsidR="008B4F64" w:rsidRPr="004D07ED" w:rsidRDefault="008B4F64" w:rsidP="008B4F64">
      <w:pPr>
        <w:spacing w:before="120" w:after="120"/>
        <w:ind w:left="851" w:right="902"/>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i/>
          <w:sz w:val="22"/>
          <w:szCs w:val="22"/>
        </w:rPr>
        <w:t>Cuerpo de tesis: No causa agravio la sentencia que no se ocupa de los razonamientos tendientes a demostrar la inconstitucionalidad de los actos reclamados de las autoridades responsables, que constituyen el problema de fondo, si se decreta el sobreseimiento del juicio.” (Sic)</w:t>
      </w:r>
    </w:p>
    <w:p w14:paraId="2401A9E4" w14:textId="77777777" w:rsidR="008B4F64" w:rsidRPr="004D07ED" w:rsidRDefault="008B4F64" w:rsidP="008B4F64">
      <w:pPr>
        <w:spacing w:before="240" w:after="240" w:line="360" w:lineRule="auto"/>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sz w:val="22"/>
          <w:szCs w:val="22"/>
        </w:rPr>
        <w:t>Cabe destacar que la decisión de este Organismo Colegiado de sobreseer el recurso de revisión no implica una limitación o negación a la justicia, según lo ha establecido el Poder Judicial Federal, en el criterio que es aplicable por analogía, con rubro:</w:t>
      </w:r>
    </w:p>
    <w:p w14:paraId="6EDF4E17" w14:textId="77777777" w:rsidR="008B4F64" w:rsidRPr="004D07ED" w:rsidRDefault="008B4F64" w:rsidP="008B4F64">
      <w:pPr>
        <w:spacing w:before="120" w:after="120"/>
        <w:ind w:left="851" w:right="902"/>
        <w:jc w:val="both"/>
        <w:rPr>
          <w:rFonts w:ascii="Palatino Linotype" w:eastAsia="Palatino Linotype" w:hAnsi="Palatino Linotype" w:cs="Palatino Linotype"/>
          <w:i/>
          <w:sz w:val="22"/>
          <w:szCs w:val="22"/>
        </w:rPr>
      </w:pPr>
      <w:r w:rsidRPr="004D07ED">
        <w:rPr>
          <w:rFonts w:ascii="Palatino Linotype" w:eastAsia="Palatino Linotype" w:hAnsi="Palatino Linotype" w:cs="Palatino Linotype"/>
          <w:b/>
          <w:i/>
          <w:sz w:val="22"/>
          <w:szCs w:val="22"/>
        </w:rPr>
        <w:t xml:space="preserve">“DESECHAMIENTO O SOBRESEIMIENTO EN EL JUICIO DE AMPARO. NO IMPLICA DENEGACIÓN DE JUSTICIA NI GENERA INSEGURIDAD JURÍDICA” </w:t>
      </w:r>
      <w:r w:rsidRPr="004D07ED">
        <w:rPr>
          <w:rFonts w:ascii="Palatino Linotype" w:eastAsia="Palatino Linotype" w:hAnsi="Palatino Linotype" w:cs="Palatino Linotype"/>
          <w:i/>
          <w:sz w:val="22"/>
          <w:szCs w:val="22"/>
        </w:rPr>
        <w:t>Cuerpo de la tesis: Cuando se desecha una demanda de amparo o se sobresee en el juicio, ello no implica denegar justicia ni genera inseguridad jurídica, ya que la obligación de los tribunales no es tramitar y resolver en el fondo todos los asuntos sometidos a su 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(Sic)</w:t>
      </w:r>
      <w:r w:rsidRPr="004D07ED">
        <w:rPr>
          <w:rFonts w:ascii="Palatino Linotype" w:eastAsia="Palatino Linotype" w:hAnsi="Palatino Linotype" w:cs="Palatino Linotype"/>
          <w:sz w:val="22"/>
          <w:szCs w:val="22"/>
        </w:rPr>
        <w:tab/>
      </w:r>
    </w:p>
    <w:p w14:paraId="07C3C663" w14:textId="333B568C" w:rsidR="008B4F64" w:rsidRPr="004D07ED" w:rsidRDefault="008B4F64" w:rsidP="008B4F64">
      <w:pPr>
        <w:spacing w:before="240" w:after="240" w:line="360" w:lineRule="auto"/>
        <w:jc w:val="both"/>
        <w:rPr>
          <w:rFonts w:ascii="Palatino Linotype" w:eastAsia="Palatino Linotype" w:hAnsi="Palatino Linotype" w:cs="Palatino Linotype"/>
          <w:b/>
          <w:sz w:val="22"/>
          <w:szCs w:val="22"/>
        </w:rPr>
      </w:pPr>
      <w:r w:rsidRPr="004D07ED">
        <w:rPr>
          <w:rFonts w:ascii="Palatino Linotype" w:eastAsia="Palatino Linotype" w:hAnsi="Palatino Linotype" w:cs="Palatino Linotype"/>
          <w:sz w:val="22"/>
          <w:szCs w:val="22"/>
        </w:rPr>
        <w:t xml:space="preserve">Bajo ese tenor con fundamento en la segunda hipótesis de la fracción I del artículo 186, de la Ley de Transparencia y Acceso a la Información Pública del Estado de México y Municipios, se </w:t>
      </w:r>
      <w:r w:rsidRPr="004D07ED">
        <w:rPr>
          <w:rFonts w:ascii="Palatino Linotype" w:eastAsia="Palatino Linotype" w:hAnsi="Palatino Linotype" w:cs="Palatino Linotype"/>
          <w:i/>
          <w:sz w:val="22"/>
          <w:szCs w:val="22"/>
        </w:rPr>
        <w:t>Sobresee</w:t>
      </w:r>
      <w:r w:rsidRPr="004D07ED">
        <w:rPr>
          <w:rFonts w:ascii="Palatino Linotype" w:eastAsia="Palatino Linotype" w:hAnsi="Palatino Linotype" w:cs="Palatino Linotype"/>
          <w:b/>
          <w:sz w:val="22"/>
          <w:szCs w:val="22"/>
        </w:rPr>
        <w:t xml:space="preserve"> </w:t>
      </w:r>
      <w:r w:rsidRPr="004D07ED">
        <w:rPr>
          <w:rFonts w:ascii="Palatino Linotype" w:eastAsia="Palatino Linotype" w:hAnsi="Palatino Linotype" w:cs="Palatino Linotype"/>
          <w:sz w:val="22"/>
          <w:szCs w:val="22"/>
        </w:rPr>
        <w:t xml:space="preserve">el recurso de revisión </w:t>
      </w:r>
      <w:r w:rsidRPr="004D07ED">
        <w:rPr>
          <w:rFonts w:ascii="Palatino Linotype" w:eastAsia="Palatino Linotype" w:hAnsi="Palatino Linotype" w:cs="Palatino Linotype"/>
          <w:b/>
          <w:sz w:val="22"/>
          <w:szCs w:val="22"/>
        </w:rPr>
        <w:t>13354/INFOEM/IP/RR/2025</w:t>
      </w:r>
      <w:r w:rsidRPr="004D07ED">
        <w:rPr>
          <w:rFonts w:ascii="Palatino Linotype" w:eastAsia="Palatino Linotype" w:hAnsi="Palatino Linotype" w:cs="Palatino Linotype"/>
          <w:sz w:val="22"/>
          <w:szCs w:val="22"/>
        </w:rPr>
        <w:t>, que ha sido materia del presente fallo.</w:t>
      </w:r>
    </w:p>
    <w:p w14:paraId="0A9B824A" w14:textId="77777777" w:rsidR="006C2841" w:rsidRPr="004D07ED" w:rsidRDefault="00D06478">
      <w:pPr>
        <w:spacing w:before="240" w:after="240" w:line="360" w:lineRule="auto"/>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sz w:val="22"/>
          <w:szCs w:val="22"/>
        </w:rPr>
        <w:t>Así, con fundamento en lo prescrito en los artículos 5 párrafos cuadragésimo cuarto, cuadragésimo quinto cuadragésimo sexto, de la Constitución Política del Estado Libre y Soberano de México; Transitorio Cuarto, párrafo segundo del Decreto número 198 de la “LXII” Legislatura del Estado de México; 2, fracción II; 29, 36 fracciones I y II; 176, 178, 181, 185 y 186 fracción II de la Ley de Transparencia y Acceso a la Información Pública del Estado de México y Municipios, este Pleno:</w:t>
      </w:r>
    </w:p>
    <w:p w14:paraId="0AE20556" w14:textId="77777777" w:rsidR="006C2841" w:rsidRPr="004D07ED" w:rsidRDefault="00D06478">
      <w:pPr>
        <w:pBdr>
          <w:top w:val="nil"/>
          <w:left w:val="nil"/>
          <w:bottom w:val="nil"/>
          <w:right w:val="nil"/>
          <w:between w:val="nil"/>
        </w:pBdr>
        <w:spacing w:before="240" w:after="240" w:line="360" w:lineRule="auto"/>
        <w:jc w:val="center"/>
        <w:rPr>
          <w:rFonts w:ascii="Palatino Linotype" w:eastAsia="Palatino Linotype" w:hAnsi="Palatino Linotype" w:cs="Palatino Linotype"/>
          <w:b/>
          <w:bCs/>
          <w:sz w:val="22"/>
          <w:szCs w:val="22"/>
        </w:rPr>
      </w:pPr>
      <w:r w:rsidRPr="004D07ED">
        <w:rPr>
          <w:rFonts w:ascii="Palatino Linotype" w:eastAsia="Palatino Linotype" w:hAnsi="Palatino Linotype" w:cs="Palatino Linotype"/>
          <w:b/>
          <w:bCs/>
          <w:sz w:val="22"/>
          <w:szCs w:val="22"/>
        </w:rPr>
        <w:t>III. R E S U E L V E</w:t>
      </w:r>
    </w:p>
    <w:p w14:paraId="16FA7A30" w14:textId="74A9F0AA" w:rsidR="008B4F64" w:rsidRPr="004D07ED" w:rsidRDefault="008B4F64" w:rsidP="008B4F64">
      <w:pPr>
        <w:spacing w:before="240" w:after="240" w:line="360" w:lineRule="auto"/>
        <w:jc w:val="both"/>
        <w:rPr>
          <w:rFonts w:ascii="Palatino Linotype" w:eastAsia="Palatino Linotype" w:hAnsi="Palatino Linotype" w:cs="Palatino Linotype"/>
          <w:sz w:val="22"/>
          <w:szCs w:val="22"/>
        </w:rPr>
      </w:pPr>
      <w:bookmarkStart w:id="9" w:name="_heading=h.26in1rg" w:colFirst="0" w:colLast="0"/>
      <w:bookmarkStart w:id="10" w:name="_heading=h.lnxbz9" w:colFirst="0" w:colLast="0"/>
      <w:bookmarkEnd w:id="9"/>
      <w:bookmarkEnd w:id="10"/>
      <w:r w:rsidRPr="004D07ED">
        <w:rPr>
          <w:rFonts w:ascii="Palatino Linotype" w:eastAsia="Palatino Linotype" w:hAnsi="Palatino Linotype" w:cs="Palatino Linotype"/>
          <w:b/>
          <w:sz w:val="22"/>
          <w:szCs w:val="22"/>
        </w:rPr>
        <w:t xml:space="preserve">Primero. </w:t>
      </w:r>
      <w:r w:rsidRPr="004D07ED">
        <w:rPr>
          <w:rFonts w:ascii="Palatino Linotype" w:eastAsia="Palatino Linotype" w:hAnsi="Palatino Linotype" w:cs="Palatino Linotype"/>
          <w:sz w:val="22"/>
          <w:szCs w:val="22"/>
        </w:rPr>
        <w:t>Se</w:t>
      </w:r>
      <w:r w:rsidRPr="004D07ED">
        <w:rPr>
          <w:rFonts w:ascii="Palatino Linotype" w:eastAsia="Palatino Linotype" w:hAnsi="Palatino Linotype" w:cs="Palatino Linotype"/>
          <w:b/>
          <w:sz w:val="22"/>
          <w:szCs w:val="22"/>
        </w:rPr>
        <w:t xml:space="preserve"> Sobresee </w:t>
      </w:r>
      <w:r w:rsidRPr="004D07ED">
        <w:rPr>
          <w:rFonts w:ascii="Palatino Linotype" w:eastAsia="Palatino Linotype" w:hAnsi="Palatino Linotype" w:cs="Palatino Linotype"/>
          <w:sz w:val="22"/>
          <w:szCs w:val="22"/>
        </w:rPr>
        <w:t xml:space="preserve">el recurso de revisión </w:t>
      </w:r>
      <w:r w:rsidRPr="004D07ED">
        <w:rPr>
          <w:rFonts w:ascii="Palatino Linotype" w:eastAsia="Palatino Linotype" w:hAnsi="Palatino Linotype" w:cs="Palatino Linotype"/>
          <w:b/>
          <w:sz w:val="22"/>
          <w:szCs w:val="22"/>
        </w:rPr>
        <w:t xml:space="preserve">13354/INFOEM/IP/RR/2025, </w:t>
      </w:r>
      <w:r w:rsidRPr="004D07ED">
        <w:rPr>
          <w:rFonts w:ascii="Palatino Linotype" w:eastAsia="Palatino Linotype" w:hAnsi="Palatino Linotype" w:cs="Palatino Linotype"/>
          <w:sz w:val="22"/>
          <w:szCs w:val="22"/>
        </w:rPr>
        <w:t xml:space="preserve">porque una vez admitido se actualizó la causal de improcedencia prevista en artículo 192, fracción IV, en relación con el artículo 191, fracción VI, ambos de la Ley de Transparencia y Acceso a la Información Pública del Estado de México y Municipios, que lo dejó sin materia en términos del considerando </w:t>
      </w:r>
      <w:r w:rsidRPr="004D07ED">
        <w:rPr>
          <w:rFonts w:ascii="Palatino Linotype" w:eastAsia="Palatino Linotype" w:hAnsi="Palatino Linotype" w:cs="Palatino Linotype"/>
          <w:b/>
          <w:sz w:val="22"/>
          <w:szCs w:val="22"/>
        </w:rPr>
        <w:t xml:space="preserve">Tercero </w:t>
      </w:r>
      <w:r w:rsidRPr="004D07ED">
        <w:rPr>
          <w:rFonts w:ascii="Palatino Linotype" w:eastAsia="Palatino Linotype" w:hAnsi="Palatino Linotype" w:cs="Palatino Linotype"/>
          <w:sz w:val="22"/>
          <w:szCs w:val="22"/>
        </w:rPr>
        <w:t>de la presente Resolución.</w:t>
      </w:r>
    </w:p>
    <w:p w14:paraId="047B747E" w14:textId="77777777" w:rsidR="008B4F64" w:rsidRPr="004D07ED" w:rsidRDefault="008B4F64" w:rsidP="008B4F64">
      <w:pPr>
        <w:spacing w:before="240" w:after="240" w:line="360" w:lineRule="auto"/>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b/>
          <w:sz w:val="22"/>
          <w:szCs w:val="22"/>
        </w:rPr>
        <w:t xml:space="preserve">Segundo. Notifíquese, </w:t>
      </w:r>
      <w:r w:rsidRPr="004D07ED">
        <w:rPr>
          <w:rFonts w:ascii="Palatino Linotype" w:eastAsia="Palatino Linotype" w:hAnsi="Palatino Linotype" w:cs="Palatino Linotype"/>
          <w:sz w:val="22"/>
          <w:szCs w:val="22"/>
        </w:rPr>
        <w:t>vía</w:t>
      </w:r>
      <w:r w:rsidRPr="004D07ED">
        <w:rPr>
          <w:rFonts w:ascii="Palatino Linotype" w:eastAsia="Palatino Linotype" w:hAnsi="Palatino Linotype" w:cs="Palatino Linotype"/>
          <w:b/>
          <w:sz w:val="22"/>
          <w:szCs w:val="22"/>
        </w:rPr>
        <w:t xml:space="preserve"> SAIMEX</w:t>
      </w:r>
      <w:r w:rsidRPr="004D07ED">
        <w:rPr>
          <w:rFonts w:ascii="Palatino Linotype" w:eastAsia="Palatino Linotype" w:hAnsi="Palatino Linotype" w:cs="Palatino Linotype"/>
          <w:b/>
          <w:i/>
          <w:sz w:val="22"/>
          <w:szCs w:val="22"/>
        </w:rPr>
        <w:t xml:space="preserve">, </w:t>
      </w:r>
      <w:r w:rsidRPr="004D07ED">
        <w:rPr>
          <w:rFonts w:ascii="Palatino Linotype" w:eastAsia="Palatino Linotype" w:hAnsi="Palatino Linotype" w:cs="Palatino Linotype"/>
          <w:sz w:val="22"/>
          <w:szCs w:val="22"/>
        </w:rPr>
        <w:t>la presente resolución</w:t>
      </w:r>
      <w:r w:rsidRPr="004D07ED">
        <w:rPr>
          <w:rFonts w:ascii="Palatino Linotype" w:eastAsia="Palatino Linotype" w:hAnsi="Palatino Linotype" w:cs="Palatino Linotype"/>
          <w:b/>
          <w:i/>
          <w:sz w:val="22"/>
          <w:szCs w:val="22"/>
        </w:rPr>
        <w:t xml:space="preserve"> </w:t>
      </w:r>
      <w:r w:rsidRPr="004D07ED">
        <w:rPr>
          <w:rFonts w:ascii="Palatino Linotype" w:eastAsia="Palatino Linotype" w:hAnsi="Palatino Linotype" w:cs="Palatino Linotype"/>
          <w:sz w:val="22"/>
          <w:szCs w:val="22"/>
        </w:rPr>
        <w:t xml:space="preserve">a la persona Titular de la Unidad de Transparencia del </w:t>
      </w:r>
      <w:r w:rsidRPr="004D07ED">
        <w:rPr>
          <w:rFonts w:ascii="Palatino Linotype" w:eastAsia="Palatino Linotype" w:hAnsi="Palatino Linotype" w:cs="Palatino Linotype"/>
          <w:b/>
          <w:sz w:val="22"/>
          <w:szCs w:val="22"/>
        </w:rPr>
        <w:t>Sujeto Obligado</w:t>
      </w:r>
      <w:r w:rsidRPr="004D07ED">
        <w:rPr>
          <w:rFonts w:ascii="Palatino Linotype" w:eastAsia="Palatino Linotype" w:hAnsi="Palatino Linotype" w:cs="Palatino Linotype"/>
          <w:sz w:val="22"/>
          <w:szCs w:val="22"/>
        </w:rPr>
        <w:t xml:space="preserve"> para su conocimiento, en términos del artículo 189 de la Ley de Transparencia y Acceso a la Información Pública del Estado de México y Municipios.</w:t>
      </w:r>
    </w:p>
    <w:p w14:paraId="6264FC06" w14:textId="1C30500B" w:rsidR="008B4F64" w:rsidRPr="004D07ED" w:rsidRDefault="008B4F64" w:rsidP="008B4F64">
      <w:pPr>
        <w:spacing w:line="360" w:lineRule="auto"/>
        <w:ind w:right="49"/>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b/>
          <w:sz w:val="22"/>
          <w:szCs w:val="22"/>
        </w:rPr>
        <w:t xml:space="preserve">Tercero.  Notifíquese, </w:t>
      </w:r>
      <w:r w:rsidRPr="004D07ED">
        <w:rPr>
          <w:rFonts w:ascii="Palatino Linotype" w:eastAsia="Palatino Linotype" w:hAnsi="Palatino Linotype" w:cs="Palatino Linotype"/>
          <w:sz w:val="22"/>
          <w:szCs w:val="22"/>
        </w:rPr>
        <w:t xml:space="preserve">vía </w:t>
      </w:r>
      <w:r w:rsidRPr="004D07ED">
        <w:rPr>
          <w:rFonts w:ascii="Palatino Linotype" w:eastAsia="Palatino Linotype" w:hAnsi="Palatino Linotype" w:cs="Palatino Linotype"/>
          <w:b/>
          <w:sz w:val="22"/>
          <w:szCs w:val="22"/>
        </w:rPr>
        <w:t xml:space="preserve">SAIMEX, </w:t>
      </w:r>
      <w:r w:rsidRPr="004D07ED">
        <w:rPr>
          <w:rFonts w:ascii="Palatino Linotype" w:eastAsia="Palatino Linotype" w:hAnsi="Palatino Linotype" w:cs="Palatino Linotype"/>
          <w:sz w:val="22"/>
          <w:szCs w:val="22"/>
        </w:rPr>
        <w:t xml:space="preserve">a la parte </w:t>
      </w:r>
      <w:r w:rsidRPr="004D07ED">
        <w:rPr>
          <w:rFonts w:ascii="Palatino Linotype" w:eastAsia="Palatino Linotype" w:hAnsi="Palatino Linotype" w:cs="Palatino Linotype"/>
          <w:b/>
          <w:sz w:val="22"/>
          <w:szCs w:val="22"/>
        </w:rPr>
        <w:t>Recurrente</w:t>
      </w:r>
      <w:r w:rsidRPr="004D07ED">
        <w:rPr>
          <w:rFonts w:ascii="Palatino Linotype" w:eastAsia="Palatino Linotype" w:hAnsi="Palatino Linotype" w:cs="Palatino Linotype"/>
          <w:sz w:val="22"/>
          <w:szCs w:val="22"/>
        </w:rPr>
        <w:t xml:space="preserve"> 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379EB51B" w14:textId="32D25AF4" w:rsidR="006C2841" w:rsidRPr="003E2626" w:rsidRDefault="00D06478">
      <w:pPr>
        <w:tabs>
          <w:tab w:val="left" w:pos="8647"/>
        </w:tabs>
        <w:spacing w:before="240" w:after="240" w:line="360" w:lineRule="auto"/>
        <w:ind w:right="51"/>
        <w:jc w:val="both"/>
        <w:rPr>
          <w:rFonts w:ascii="Palatino Linotype" w:eastAsia="Palatino Linotype" w:hAnsi="Palatino Linotype" w:cs="Palatino Linotype"/>
          <w:sz w:val="22"/>
          <w:szCs w:val="22"/>
        </w:rPr>
      </w:pPr>
      <w:r w:rsidRPr="004D07ED">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426562" w:rsidRPr="004D07ED">
        <w:rPr>
          <w:rFonts w:ascii="Palatino Linotype" w:eastAsia="Palatino Linotype" w:hAnsi="Palatino Linotype" w:cs="Palatino Linotype"/>
          <w:sz w:val="22"/>
          <w:szCs w:val="22"/>
        </w:rPr>
        <w:t>SÉPTIMA</w:t>
      </w:r>
      <w:r w:rsidRPr="004D07ED">
        <w:rPr>
          <w:rFonts w:ascii="Palatino Linotype" w:eastAsia="Palatino Linotype" w:hAnsi="Palatino Linotype" w:cs="Palatino Linotype"/>
          <w:sz w:val="22"/>
          <w:szCs w:val="22"/>
        </w:rPr>
        <w:t xml:space="preserve"> SESIÓN ORDINARIA CELEBRADA EL</w:t>
      </w:r>
      <w:r w:rsidR="00460534" w:rsidRPr="004D07ED">
        <w:rPr>
          <w:rFonts w:ascii="Palatino Linotype" w:eastAsia="Palatino Linotype" w:hAnsi="Palatino Linotype" w:cs="Palatino Linotype"/>
          <w:sz w:val="22"/>
          <w:szCs w:val="22"/>
        </w:rPr>
        <w:t xml:space="preserve"> </w:t>
      </w:r>
      <w:r w:rsidR="00426562" w:rsidRPr="004D07ED">
        <w:rPr>
          <w:rFonts w:ascii="Palatino Linotype" w:eastAsia="Palatino Linotype" w:hAnsi="Palatino Linotype" w:cs="Palatino Linotype"/>
          <w:sz w:val="22"/>
          <w:szCs w:val="22"/>
        </w:rPr>
        <w:t>VEINTICINCO</w:t>
      </w:r>
      <w:r w:rsidRPr="004D07ED">
        <w:rPr>
          <w:rFonts w:ascii="Palatino Linotype" w:eastAsia="Palatino Linotype" w:hAnsi="Palatino Linotype" w:cs="Palatino Linotype"/>
          <w:sz w:val="22"/>
          <w:szCs w:val="22"/>
        </w:rPr>
        <w:t xml:space="preserve"> DE FEBRERO DE DOS MIL VEINTISÉIS, ANTE EL SECRETARIO TÉCNICO DEL PLENO ALEXIS TAPIA RAMÍREZ.</w:t>
      </w:r>
    </w:p>
    <w:p w14:paraId="5E968D65" w14:textId="77777777" w:rsidR="006C2841" w:rsidRPr="003E2626" w:rsidRDefault="006C2841">
      <w:pPr>
        <w:spacing w:line="360" w:lineRule="auto"/>
        <w:jc w:val="both"/>
        <w:rPr>
          <w:rFonts w:ascii="Palatino Linotype" w:eastAsia="Palatino Linotype" w:hAnsi="Palatino Linotype" w:cs="Palatino Linotype"/>
          <w:sz w:val="22"/>
          <w:szCs w:val="22"/>
        </w:rPr>
      </w:pPr>
    </w:p>
    <w:p w14:paraId="50BB4B8F" w14:textId="77777777" w:rsidR="006C2841" w:rsidRPr="003E2626" w:rsidRDefault="006C2841">
      <w:pPr>
        <w:spacing w:line="360" w:lineRule="auto"/>
        <w:jc w:val="center"/>
        <w:rPr>
          <w:rFonts w:ascii="Palatino Linotype" w:eastAsia="Palatino Linotype" w:hAnsi="Palatino Linotype" w:cs="Palatino Linotype"/>
          <w:sz w:val="22"/>
          <w:szCs w:val="22"/>
        </w:rPr>
      </w:pPr>
    </w:p>
    <w:p w14:paraId="3C4E8E0F" w14:textId="77777777" w:rsidR="006C2841" w:rsidRPr="003E2626" w:rsidRDefault="006C2841">
      <w:pPr>
        <w:spacing w:line="360" w:lineRule="auto"/>
        <w:jc w:val="both"/>
        <w:rPr>
          <w:rFonts w:ascii="Palatino Linotype" w:eastAsia="Palatino Linotype" w:hAnsi="Palatino Linotype" w:cs="Palatino Linotype"/>
          <w:sz w:val="22"/>
          <w:szCs w:val="22"/>
        </w:rPr>
      </w:pPr>
    </w:p>
    <w:p w14:paraId="2CAC9883" w14:textId="77777777" w:rsidR="006C2841" w:rsidRPr="003E2626" w:rsidRDefault="006C2841">
      <w:pPr>
        <w:spacing w:line="360" w:lineRule="auto"/>
        <w:jc w:val="both"/>
        <w:rPr>
          <w:rFonts w:ascii="Palatino Linotype" w:eastAsia="Palatino Linotype" w:hAnsi="Palatino Linotype" w:cs="Palatino Linotype"/>
          <w:sz w:val="22"/>
          <w:szCs w:val="22"/>
        </w:rPr>
      </w:pPr>
    </w:p>
    <w:p w14:paraId="7463A2DE" w14:textId="77777777" w:rsidR="006C2841" w:rsidRPr="003E2626" w:rsidRDefault="006C2841">
      <w:pPr>
        <w:spacing w:line="360" w:lineRule="auto"/>
        <w:jc w:val="both"/>
        <w:rPr>
          <w:rFonts w:ascii="Palatino Linotype" w:eastAsia="Palatino Linotype" w:hAnsi="Palatino Linotype" w:cs="Palatino Linotype"/>
          <w:sz w:val="22"/>
          <w:szCs w:val="22"/>
        </w:rPr>
      </w:pPr>
    </w:p>
    <w:p w14:paraId="2D6C1137" w14:textId="77777777" w:rsidR="006C2841" w:rsidRPr="003E2626" w:rsidRDefault="006C2841">
      <w:pPr>
        <w:spacing w:line="360" w:lineRule="auto"/>
        <w:jc w:val="both"/>
        <w:rPr>
          <w:rFonts w:ascii="Palatino Linotype" w:eastAsia="Palatino Linotype" w:hAnsi="Palatino Linotype" w:cs="Palatino Linotype"/>
          <w:sz w:val="22"/>
          <w:szCs w:val="22"/>
        </w:rPr>
      </w:pPr>
    </w:p>
    <w:p w14:paraId="25DD3A7B" w14:textId="77777777" w:rsidR="006C2841" w:rsidRPr="003E2626" w:rsidRDefault="006C2841">
      <w:pPr>
        <w:spacing w:line="360" w:lineRule="auto"/>
        <w:jc w:val="both"/>
        <w:rPr>
          <w:rFonts w:ascii="Palatino Linotype" w:eastAsia="Palatino Linotype" w:hAnsi="Palatino Linotype" w:cs="Palatino Linotype"/>
          <w:sz w:val="22"/>
          <w:szCs w:val="22"/>
        </w:rPr>
      </w:pPr>
    </w:p>
    <w:p w14:paraId="33194FCF" w14:textId="77777777" w:rsidR="006C2841" w:rsidRPr="003E2626" w:rsidRDefault="006C2841">
      <w:pPr>
        <w:spacing w:line="360" w:lineRule="auto"/>
        <w:jc w:val="both"/>
        <w:rPr>
          <w:rFonts w:ascii="Palatino Linotype" w:eastAsia="Palatino Linotype" w:hAnsi="Palatino Linotype" w:cs="Palatino Linotype"/>
          <w:sz w:val="22"/>
          <w:szCs w:val="22"/>
        </w:rPr>
      </w:pPr>
    </w:p>
    <w:p w14:paraId="6D178AD8" w14:textId="77777777" w:rsidR="006C2841" w:rsidRPr="003E2626" w:rsidRDefault="006C2841">
      <w:pPr>
        <w:spacing w:line="360" w:lineRule="auto"/>
        <w:jc w:val="both"/>
        <w:rPr>
          <w:rFonts w:ascii="Palatino Linotype" w:eastAsia="Palatino Linotype" w:hAnsi="Palatino Linotype" w:cs="Palatino Linotype"/>
          <w:sz w:val="22"/>
          <w:szCs w:val="22"/>
        </w:rPr>
      </w:pPr>
    </w:p>
    <w:p w14:paraId="3B3667B8" w14:textId="77777777" w:rsidR="006C2841" w:rsidRPr="003E2626" w:rsidRDefault="006C2841">
      <w:pPr>
        <w:spacing w:line="360" w:lineRule="auto"/>
        <w:jc w:val="both"/>
        <w:rPr>
          <w:rFonts w:ascii="Palatino Linotype" w:eastAsia="Palatino Linotype" w:hAnsi="Palatino Linotype" w:cs="Palatino Linotype"/>
          <w:sz w:val="22"/>
          <w:szCs w:val="22"/>
        </w:rPr>
      </w:pPr>
    </w:p>
    <w:p w14:paraId="3135E35F" w14:textId="77777777" w:rsidR="006C2841" w:rsidRPr="003E2626" w:rsidRDefault="006C2841">
      <w:pPr>
        <w:spacing w:line="360" w:lineRule="auto"/>
        <w:jc w:val="both"/>
        <w:rPr>
          <w:rFonts w:ascii="Palatino Linotype" w:eastAsia="Palatino Linotype" w:hAnsi="Palatino Linotype" w:cs="Palatino Linotype"/>
          <w:sz w:val="22"/>
          <w:szCs w:val="22"/>
        </w:rPr>
      </w:pPr>
    </w:p>
    <w:p w14:paraId="7B609211" w14:textId="77777777" w:rsidR="006C2841" w:rsidRPr="003E2626" w:rsidRDefault="006C2841">
      <w:pPr>
        <w:spacing w:line="360" w:lineRule="auto"/>
        <w:jc w:val="both"/>
        <w:rPr>
          <w:rFonts w:ascii="Palatino Linotype" w:eastAsia="Palatino Linotype" w:hAnsi="Palatino Linotype" w:cs="Palatino Linotype"/>
          <w:sz w:val="22"/>
          <w:szCs w:val="22"/>
        </w:rPr>
      </w:pPr>
    </w:p>
    <w:p w14:paraId="42D09F38" w14:textId="77777777" w:rsidR="006C2841" w:rsidRPr="003E2626" w:rsidRDefault="006C2841">
      <w:pPr>
        <w:spacing w:line="360" w:lineRule="auto"/>
        <w:jc w:val="both"/>
        <w:rPr>
          <w:rFonts w:ascii="Palatino Linotype" w:eastAsia="Palatino Linotype" w:hAnsi="Palatino Linotype" w:cs="Palatino Linotype"/>
          <w:sz w:val="22"/>
          <w:szCs w:val="22"/>
        </w:rPr>
      </w:pPr>
    </w:p>
    <w:p w14:paraId="587909B9" w14:textId="77777777" w:rsidR="006C2841" w:rsidRPr="003E2626" w:rsidRDefault="006C2841">
      <w:pPr>
        <w:spacing w:line="360" w:lineRule="auto"/>
        <w:jc w:val="both"/>
        <w:rPr>
          <w:rFonts w:ascii="Palatino Linotype" w:eastAsia="Palatino Linotype" w:hAnsi="Palatino Linotype" w:cs="Palatino Linotype"/>
          <w:sz w:val="22"/>
          <w:szCs w:val="22"/>
        </w:rPr>
      </w:pPr>
    </w:p>
    <w:p w14:paraId="3676EB01" w14:textId="77777777" w:rsidR="006C2841" w:rsidRPr="003E2626" w:rsidRDefault="006C2841">
      <w:pPr>
        <w:spacing w:line="360" w:lineRule="auto"/>
        <w:jc w:val="both"/>
        <w:rPr>
          <w:rFonts w:ascii="Palatino Linotype" w:eastAsia="Palatino Linotype" w:hAnsi="Palatino Linotype" w:cs="Palatino Linotype"/>
          <w:sz w:val="22"/>
          <w:szCs w:val="22"/>
        </w:rPr>
      </w:pPr>
    </w:p>
    <w:p w14:paraId="0B225551" w14:textId="77777777" w:rsidR="006C2841" w:rsidRPr="003E2626" w:rsidRDefault="006C2841">
      <w:pPr>
        <w:spacing w:line="360" w:lineRule="auto"/>
        <w:jc w:val="both"/>
        <w:rPr>
          <w:rFonts w:ascii="Palatino Linotype" w:eastAsia="Palatino Linotype" w:hAnsi="Palatino Linotype" w:cs="Palatino Linotype"/>
          <w:sz w:val="22"/>
          <w:szCs w:val="22"/>
        </w:rPr>
      </w:pPr>
    </w:p>
    <w:p w14:paraId="3F2FB0A2" w14:textId="77777777" w:rsidR="006C2841" w:rsidRPr="003E2626" w:rsidRDefault="006C2841">
      <w:pPr>
        <w:spacing w:line="360" w:lineRule="auto"/>
        <w:jc w:val="both"/>
        <w:rPr>
          <w:rFonts w:ascii="Palatino Linotype" w:eastAsia="Palatino Linotype" w:hAnsi="Palatino Linotype" w:cs="Palatino Linotype"/>
          <w:sz w:val="22"/>
          <w:szCs w:val="22"/>
        </w:rPr>
      </w:pPr>
    </w:p>
    <w:p w14:paraId="23981723" w14:textId="77777777" w:rsidR="006C2841" w:rsidRPr="003E2626" w:rsidRDefault="006C2841">
      <w:pPr>
        <w:spacing w:line="360" w:lineRule="auto"/>
        <w:jc w:val="both"/>
        <w:rPr>
          <w:rFonts w:ascii="Palatino Linotype" w:eastAsia="Palatino Linotype" w:hAnsi="Palatino Linotype" w:cs="Palatino Linotype"/>
          <w:sz w:val="22"/>
          <w:szCs w:val="22"/>
        </w:rPr>
      </w:pPr>
    </w:p>
    <w:p w14:paraId="1CBC5CDA" w14:textId="77777777" w:rsidR="006C2841" w:rsidRPr="003E2626" w:rsidRDefault="006C2841">
      <w:pPr>
        <w:spacing w:line="360" w:lineRule="auto"/>
        <w:jc w:val="both"/>
        <w:rPr>
          <w:rFonts w:ascii="Palatino Linotype" w:eastAsia="Palatino Linotype" w:hAnsi="Palatino Linotype" w:cs="Palatino Linotype"/>
          <w:sz w:val="22"/>
          <w:szCs w:val="22"/>
        </w:rPr>
      </w:pPr>
    </w:p>
    <w:p w14:paraId="0142E773" w14:textId="77777777" w:rsidR="006C2841" w:rsidRPr="003E2626" w:rsidRDefault="006C2841">
      <w:pPr>
        <w:spacing w:line="360" w:lineRule="auto"/>
        <w:jc w:val="both"/>
        <w:rPr>
          <w:rFonts w:ascii="Palatino Linotype" w:eastAsia="Palatino Linotype" w:hAnsi="Palatino Linotype" w:cs="Palatino Linotype"/>
          <w:sz w:val="22"/>
          <w:szCs w:val="22"/>
        </w:rPr>
      </w:pPr>
    </w:p>
    <w:p w14:paraId="7EB5C87E" w14:textId="77777777" w:rsidR="006C2841" w:rsidRPr="003E2626" w:rsidRDefault="006C2841">
      <w:pPr>
        <w:spacing w:line="360" w:lineRule="auto"/>
        <w:jc w:val="both"/>
        <w:rPr>
          <w:rFonts w:ascii="Palatino Linotype" w:eastAsia="Palatino Linotype" w:hAnsi="Palatino Linotype" w:cs="Palatino Linotype"/>
          <w:sz w:val="22"/>
          <w:szCs w:val="22"/>
        </w:rPr>
      </w:pPr>
    </w:p>
    <w:p w14:paraId="1ED97FF0" w14:textId="77777777" w:rsidR="006C2841" w:rsidRPr="003E2626" w:rsidRDefault="006C2841">
      <w:pPr>
        <w:spacing w:line="360" w:lineRule="auto"/>
        <w:jc w:val="both"/>
        <w:rPr>
          <w:rFonts w:ascii="Palatino Linotype" w:eastAsia="Palatino Linotype" w:hAnsi="Palatino Linotype" w:cs="Palatino Linotype"/>
          <w:sz w:val="22"/>
          <w:szCs w:val="22"/>
        </w:rPr>
      </w:pPr>
    </w:p>
    <w:p w14:paraId="190DEA70" w14:textId="77777777" w:rsidR="006C2841" w:rsidRPr="003E2626" w:rsidRDefault="006C2841">
      <w:pPr>
        <w:spacing w:line="360" w:lineRule="auto"/>
        <w:jc w:val="both"/>
        <w:rPr>
          <w:rFonts w:ascii="Palatino Linotype" w:eastAsia="Palatino Linotype" w:hAnsi="Palatino Linotype" w:cs="Palatino Linotype"/>
          <w:sz w:val="22"/>
          <w:szCs w:val="22"/>
        </w:rPr>
      </w:pPr>
    </w:p>
    <w:sectPr w:rsidR="006C2841" w:rsidRPr="003E2626">
      <w:headerReference w:type="default" r:id="rId8"/>
      <w:footerReference w:type="default" r:id="rId9"/>
      <w:headerReference w:type="first" r:id="rId10"/>
      <w:footerReference w:type="first" r:id="rId11"/>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E58DA" w14:textId="77777777" w:rsidR="00305E3E" w:rsidRDefault="00305E3E">
      <w:r>
        <w:separator/>
      </w:r>
    </w:p>
  </w:endnote>
  <w:endnote w:type="continuationSeparator" w:id="0">
    <w:p w14:paraId="4F7D4218" w14:textId="77777777" w:rsidR="00305E3E" w:rsidRDefault="00305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F873FE5-5EBA-4DE6-BCAB-F350AE0B8F6C}"/>
    <w:embedBold r:id="rId2" w:fontKey="{D2CD0537-BA12-48F4-92AC-AEEDFD9A4244}"/>
  </w:font>
  <w:font w:name="Cambria">
    <w:panose1 w:val="02040503050406030204"/>
    <w:charset w:val="00"/>
    <w:family w:val="roman"/>
    <w:pitch w:val="variable"/>
    <w:sig w:usb0="E00006FF" w:usb1="420024FF" w:usb2="02000000" w:usb3="00000000" w:csb0="0000019F" w:csb1="00000000"/>
    <w:embedRegular r:id="rId3" w:fontKey="{9230C650-6D1F-479D-AE24-EF401213B407}"/>
    <w:embedBold r:id="rId4" w:fontKey="{1FFB90DA-63CD-458D-926E-F26F6166637E}"/>
    <w:embedBoldItalic r:id="rId5" w:fontKey="{2A3C05F7-64EA-4F19-975F-D1CB737F7D64}"/>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6" w:fontKey="{F07C87E6-D154-464F-AC39-F5BECC15EC14}"/>
  </w:font>
  <w:font w:name="Georgia">
    <w:panose1 w:val="02040502050405020303"/>
    <w:charset w:val="00"/>
    <w:family w:val="roman"/>
    <w:pitch w:val="variable"/>
    <w:sig w:usb0="00000287" w:usb1="00000000" w:usb2="00000000" w:usb3="00000000" w:csb0="0000009F" w:csb1="00000000"/>
    <w:embedItalic r:id="rId7" w:fontKey="{11D0FCFF-B617-480A-BA69-928B12085C0C}"/>
  </w:font>
  <w:font w:name="Palatino Linotype">
    <w:panose1 w:val="02040502050505030304"/>
    <w:charset w:val="00"/>
    <w:family w:val="roman"/>
    <w:pitch w:val="variable"/>
    <w:sig w:usb0="E0000287" w:usb1="40000013" w:usb2="00000000" w:usb3="00000000" w:csb0="0000019F" w:csb1="00000000"/>
    <w:embedRegular r:id="rId8" w:fontKey="{9FB3ED1E-F736-4E71-AD52-035F09B75024}"/>
    <w:embedBold r:id="rId9" w:fontKey="{A1390864-1CBD-4BB4-9931-A5FE081628FF}"/>
    <w:embedItalic r:id="rId10" w:fontKey="{B1F7D6F8-2073-4736-ABA5-024681D93D14}"/>
    <w:embedBoldItalic r:id="rId11" w:fontKey="{F5B199C2-65BC-4854-952B-B265F0963FD3}"/>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816D2" w14:textId="0584A6C7" w:rsidR="006C2841" w:rsidRDefault="00D06478">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9A474F">
      <w:rPr>
        <w:rFonts w:ascii="Palatino Linotype" w:eastAsia="Palatino Linotype" w:hAnsi="Palatino Linotype" w:cs="Palatino Linotype"/>
        <w:b/>
        <w:bCs/>
        <w:noProof/>
        <w:color w:val="000000"/>
        <w:sz w:val="20"/>
        <w:szCs w:val="20"/>
      </w:rPr>
      <w:t>20</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9A474F">
      <w:rPr>
        <w:rFonts w:ascii="Palatino Linotype" w:eastAsia="Palatino Linotype" w:hAnsi="Palatino Linotype" w:cs="Palatino Linotype"/>
        <w:b/>
        <w:bCs/>
        <w:noProof/>
        <w:color w:val="000000"/>
        <w:sz w:val="20"/>
        <w:szCs w:val="20"/>
      </w:rPr>
      <w:t>21</w:t>
    </w:r>
    <w:r>
      <w:rPr>
        <w:rFonts w:ascii="Palatino Linotype" w:eastAsia="Palatino Linotype" w:hAnsi="Palatino Linotype" w:cs="Palatino Linotype"/>
        <w:b/>
        <w:bCs/>
        <w:color w:val="000000"/>
        <w:sz w:val="20"/>
        <w:szCs w:val="20"/>
      </w:rPr>
      <w:fldChar w:fldCharType="end"/>
    </w:r>
  </w:p>
  <w:p w14:paraId="01F04B30" w14:textId="77777777" w:rsidR="006C2841" w:rsidRDefault="006C2841">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7EB4E" w14:textId="76F14C1E" w:rsidR="006C2841" w:rsidRDefault="00D06478">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9A474F">
      <w:rPr>
        <w:rFonts w:ascii="Palatino Linotype" w:eastAsia="Palatino Linotype" w:hAnsi="Palatino Linotype" w:cs="Palatino Linotype"/>
        <w:b/>
        <w:bCs/>
        <w:noProof/>
        <w:color w:val="000000"/>
        <w:sz w:val="20"/>
        <w:szCs w:val="20"/>
      </w:rPr>
      <w:t>1</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9A474F">
      <w:rPr>
        <w:rFonts w:ascii="Palatino Linotype" w:eastAsia="Palatino Linotype" w:hAnsi="Palatino Linotype" w:cs="Palatino Linotype"/>
        <w:b/>
        <w:bCs/>
        <w:noProof/>
        <w:color w:val="000000"/>
        <w:sz w:val="20"/>
        <w:szCs w:val="20"/>
      </w:rPr>
      <w:t>21</w:t>
    </w:r>
    <w:r>
      <w:rPr>
        <w:rFonts w:ascii="Palatino Linotype" w:eastAsia="Palatino Linotype" w:hAnsi="Palatino Linotype" w:cs="Palatino Linotype"/>
        <w:b/>
        <w:bCs/>
        <w:color w:val="000000"/>
        <w:sz w:val="20"/>
        <w:szCs w:val="20"/>
      </w:rPr>
      <w:fldChar w:fldCharType="end"/>
    </w:r>
  </w:p>
  <w:p w14:paraId="2D6AC822" w14:textId="77777777" w:rsidR="006C2841" w:rsidRDefault="006C2841">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AE02F" w14:textId="77777777" w:rsidR="00305E3E" w:rsidRDefault="00305E3E">
      <w:r>
        <w:separator/>
      </w:r>
    </w:p>
  </w:footnote>
  <w:footnote w:type="continuationSeparator" w:id="0">
    <w:p w14:paraId="3E10C97D" w14:textId="77777777" w:rsidR="00305E3E" w:rsidRDefault="00305E3E">
      <w:r>
        <w:continuationSeparator/>
      </w:r>
    </w:p>
  </w:footnote>
  <w:footnote w:id="1">
    <w:p w14:paraId="7C9E8B85" w14:textId="77777777" w:rsidR="008B4F64" w:rsidRPr="001F7906" w:rsidRDefault="008B4F64" w:rsidP="008B4F64">
      <w:pPr>
        <w:jc w:val="both"/>
        <w:rPr>
          <w:rFonts w:ascii="Palatino Linotype" w:eastAsia="Palatino Linotype" w:hAnsi="Palatino Linotype" w:cs="Palatino Linotype"/>
          <w:sz w:val="16"/>
          <w:szCs w:val="16"/>
        </w:rPr>
      </w:pPr>
      <w:r w:rsidRPr="001F7906">
        <w:rPr>
          <w:rFonts w:ascii="Palatino Linotype" w:hAnsi="Palatino Linotype"/>
          <w:sz w:val="16"/>
          <w:szCs w:val="16"/>
          <w:vertAlign w:val="superscript"/>
        </w:rPr>
        <w:footnoteRef/>
      </w:r>
      <w:r w:rsidRPr="001F7906">
        <w:rPr>
          <w:rFonts w:ascii="Palatino Linotype" w:eastAsia="Palatino Linotype" w:hAnsi="Palatino Linotype" w:cs="Palatino Linotype"/>
          <w:sz w:val="16"/>
          <w:szCs w:val="16"/>
        </w:rPr>
        <w:t xml:space="preserve"> CIENFUEGOS SALGADO David. El Derecho de Petición en México. Ed. Instituto de Investigaciones Jurídica UNAM. México 2004. p. 31</w:t>
      </w:r>
    </w:p>
  </w:footnote>
  <w:footnote w:id="2">
    <w:p w14:paraId="695B5910" w14:textId="77777777" w:rsidR="008B4F64" w:rsidRPr="001F7906" w:rsidRDefault="008B4F64" w:rsidP="008B4F64">
      <w:pPr>
        <w:jc w:val="both"/>
        <w:rPr>
          <w:rFonts w:ascii="Palatino Linotype" w:eastAsia="Palatino Linotype" w:hAnsi="Palatino Linotype" w:cs="Palatino Linotype"/>
          <w:sz w:val="16"/>
          <w:szCs w:val="16"/>
        </w:rPr>
      </w:pPr>
      <w:r w:rsidRPr="001F7906">
        <w:rPr>
          <w:rFonts w:ascii="Palatino Linotype" w:hAnsi="Palatino Linotype"/>
          <w:sz w:val="16"/>
          <w:szCs w:val="16"/>
          <w:vertAlign w:val="superscript"/>
        </w:rPr>
        <w:footnoteRef/>
      </w:r>
      <w:r w:rsidRPr="001F7906">
        <w:rPr>
          <w:rFonts w:ascii="Palatino Linotype" w:eastAsia="Palatino Linotype" w:hAnsi="Palatino Linotype" w:cs="Palatino Linotype"/>
          <w:sz w:val="16"/>
          <w:szCs w:val="16"/>
        </w:rPr>
        <w:t xml:space="preserve"> Carbonell, M. (2004). Los Derechos Fundamentales (Primera Edición ed.), México: Instituto de investigaciones Jurídicas.</w:t>
      </w:r>
    </w:p>
  </w:footnote>
  <w:footnote w:id="3">
    <w:p w14:paraId="70749C71" w14:textId="77777777" w:rsidR="008B4F64" w:rsidRPr="001F7906" w:rsidRDefault="008B4F64" w:rsidP="008B4F64">
      <w:pPr>
        <w:pBdr>
          <w:top w:val="nil"/>
          <w:left w:val="nil"/>
          <w:bottom w:val="nil"/>
          <w:right w:val="nil"/>
          <w:between w:val="nil"/>
        </w:pBdr>
        <w:jc w:val="both"/>
        <w:rPr>
          <w:rFonts w:ascii="Palatino Linotype" w:eastAsia="Palatino Linotype" w:hAnsi="Palatino Linotype" w:cs="Palatino Linotype"/>
          <w:color w:val="000000"/>
          <w:sz w:val="16"/>
          <w:szCs w:val="16"/>
        </w:rPr>
      </w:pPr>
      <w:r w:rsidRPr="001F7906">
        <w:rPr>
          <w:rFonts w:ascii="Palatino Linotype" w:hAnsi="Palatino Linotype"/>
          <w:sz w:val="16"/>
          <w:szCs w:val="16"/>
          <w:vertAlign w:val="superscript"/>
        </w:rPr>
        <w:footnoteRef/>
      </w:r>
      <w:r w:rsidRPr="001F7906">
        <w:rPr>
          <w:rFonts w:ascii="Palatino Linotype" w:eastAsia="Palatino Linotype" w:hAnsi="Palatino Linotype" w:cs="Palatino Linotype"/>
          <w:color w:val="000000"/>
          <w:sz w:val="16"/>
          <w:szCs w:val="16"/>
        </w:rPr>
        <w:t xml:space="preserve"> VILLANUEVA VILLANUEVA Ernesto, Derecho de la Información, Ed, Porrúa S.A., México. 2006, pág.270.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9673E" w14:textId="77777777" w:rsidR="006C2841" w:rsidRDefault="00D06478">
    <w:pPr>
      <w:rPr>
        <w:rFonts w:ascii="Cambria" w:eastAsia="Cambria" w:hAnsi="Cambria" w:cs="Cambria"/>
        <w:color w:val="000000"/>
      </w:rPr>
    </w:pPr>
    <w:r>
      <w:rPr>
        <w:noProof/>
      </w:rPr>
      <w:drawing>
        <wp:anchor distT="0" distB="0" distL="0" distR="0" simplePos="0" relativeHeight="251658240" behindDoc="1" locked="0" layoutInCell="1" hidden="0" allowOverlap="1" wp14:anchorId="5D0FC80F" wp14:editId="417AC5B6">
          <wp:simplePos x="0" y="0"/>
          <wp:positionH relativeFrom="column">
            <wp:posOffset>-1080089</wp:posOffset>
          </wp:positionH>
          <wp:positionV relativeFrom="paragraph">
            <wp:posOffset>-488259</wp:posOffset>
          </wp:positionV>
          <wp:extent cx="7809865" cy="10165715"/>
          <wp:effectExtent l="0" t="0" r="0" b="0"/>
          <wp:wrapNone/>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fe"/>
      <w:tblW w:w="5953" w:type="dxa"/>
      <w:tblInd w:w="3261" w:type="dxa"/>
      <w:tblLayout w:type="fixed"/>
      <w:tblLook w:val="0400" w:firstRow="0" w:lastRow="0" w:firstColumn="0" w:lastColumn="0" w:noHBand="0" w:noVBand="1"/>
    </w:tblPr>
    <w:tblGrid>
      <w:gridCol w:w="2489"/>
      <w:gridCol w:w="3464"/>
    </w:tblGrid>
    <w:tr w:rsidR="006C2841" w14:paraId="642E7B73" w14:textId="77777777">
      <w:tc>
        <w:tcPr>
          <w:tcW w:w="2489" w:type="dxa"/>
        </w:tcPr>
        <w:p w14:paraId="2D7A8613" w14:textId="77777777" w:rsidR="006C2841" w:rsidRDefault="00D06478">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3464" w:type="dxa"/>
          <w:vAlign w:val="center"/>
        </w:tcPr>
        <w:p w14:paraId="5076447E" w14:textId="4CB09675" w:rsidR="006C2841" w:rsidRDefault="00426562" w:rsidP="00426562">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13354</w:t>
          </w:r>
          <w:r w:rsidR="00D06478">
            <w:rPr>
              <w:rFonts w:ascii="Palatino Linotype" w:eastAsia="Palatino Linotype" w:hAnsi="Palatino Linotype" w:cs="Palatino Linotype"/>
              <w:b/>
              <w:bCs/>
              <w:sz w:val="22"/>
              <w:szCs w:val="22"/>
            </w:rPr>
            <w:t>/INFOEM/IP/RR/2025</w:t>
          </w:r>
        </w:p>
      </w:tc>
    </w:tr>
    <w:tr w:rsidR="006C2841" w14:paraId="75C891B3" w14:textId="77777777">
      <w:trPr>
        <w:trHeight w:val="228"/>
      </w:trPr>
      <w:tc>
        <w:tcPr>
          <w:tcW w:w="2489" w:type="dxa"/>
          <w:vAlign w:val="center"/>
        </w:tcPr>
        <w:p w14:paraId="6642D746" w14:textId="77777777" w:rsidR="006C2841" w:rsidRDefault="00D06478">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3464" w:type="dxa"/>
          <w:vAlign w:val="center"/>
        </w:tcPr>
        <w:p w14:paraId="2D4972DF" w14:textId="09DF60A1" w:rsidR="006C2841" w:rsidRDefault="00426562">
          <w:pPr>
            <w:ind w:left="-45" w:right="176"/>
            <w:jc w:val="both"/>
            <w:rPr>
              <w:rFonts w:ascii="Palatino Linotype" w:eastAsia="Palatino Linotype" w:hAnsi="Palatino Linotype" w:cs="Palatino Linotype"/>
              <w:b/>
              <w:bCs/>
              <w:sz w:val="22"/>
              <w:szCs w:val="22"/>
            </w:rPr>
          </w:pPr>
          <w:r w:rsidRPr="00426562">
            <w:rPr>
              <w:rFonts w:ascii="Palatino Linotype" w:eastAsia="Palatino Linotype" w:hAnsi="Palatino Linotype" w:cs="Palatino Linotype"/>
              <w:b/>
              <w:bCs/>
              <w:sz w:val="22"/>
              <w:szCs w:val="22"/>
            </w:rPr>
            <w:t>Consejo de Investigación y Evaluación de la Política Social</w:t>
          </w:r>
        </w:p>
      </w:tc>
    </w:tr>
    <w:tr w:rsidR="006C2841" w14:paraId="3E6DF6DA" w14:textId="77777777">
      <w:tc>
        <w:tcPr>
          <w:tcW w:w="2489" w:type="dxa"/>
          <w:vAlign w:val="center"/>
        </w:tcPr>
        <w:p w14:paraId="2A8A852D" w14:textId="77777777" w:rsidR="006C2841" w:rsidRDefault="00D06478">
          <w:pPr>
            <w:ind w:right="-108"/>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3464" w:type="dxa"/>
          <w:vAlign w:val="center"/>
        </w:tcPr>
        <w:p w14:paraId="1F23E0A6" w14:textId="77777777" w:rsidR="006C2841" w:rsidRDefault="00D06478">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1BA3EC07" w14:textId="77777777" w:rsidR="006C2841" w:rsidRDefault="00D06478">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38701" w14:textId="77777777" w:rsidR="006C2841" w:rsidRDefault="00D06478">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1DFF9DED" wp14:editId="725A5986">
          <wp:simplePos x="0" y="0"/>
          <wp:positionH relativeFrom="column">
            <wp:posOffset>-1080131</wp:posOffset>
          </wp:positionH>
          <wp:positionV relativeFrom="paragraph">
            <wp:posOffset>-369890</wp:posOffset>
          </wp:positionV>
          <wp:extent cx="7809865" cy="10165715"/>
          <wp:effectExtent l="0" t="0" r="0" b="0"/>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ff"/>
      <w:tblW w:w="5953" w:type="dxa"/>
      <w:tblInd w:w="3261" w:type="dxa"/>
      <w:tblLayout w:type="fixed"/>
      <w:tblLook w:val="0400" w:firstRow="0" w:lastRow="0" w:firstColumn="0" w:lastColumn="0" w:noHBand="0" w:noVBand="1"/>
    </w:tblPr>
    <w:tblGrid>
      <w:gridCol w:w="2489"/>
      <w:gridCol w:w="3464"/>
    </w:tblGrid>
    <w:tr w:rsidR="006C2841" w14:paraId="0F301C2B" w14:textId="77777777">
      <w:tc>
        <w:tcPr>
          <w:tcW w:w="2489" w:type="dxa"/>
        </w:tcPr>
        <w:p w14:paraId="5BFEFDDD" w14:textId="77777777" w:rsidR="006C2841" w:rsidRDefault="00D06478">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3464" w:type="dxa"/>
          <w:vAlign w:val="center"/>
        </w:tcPr>
        <w:p w14:paraId="605DF295" w14:textId="54DD7EA1" w:rsidR="006C2841" w:rsidRDefault="00D06478" w:rsidP="00426562">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1</w:t>
          </w:r>
          <w:r w:rsidR="00426562">
            <w:rPr>
              <w:rFonts w:ascii="Palatino Linotype" w:eastAsia="Palatino Linotype" w:hAnsi="Palatino Linotype" w:cs="Palatino Linotype"/>
              <w:b/>
              <w:bCs/>
              <w:sz w:val="22"/>
              <w:szCs w:val="22"/>
            </w:rPr>
            <w:t>3354</w:t>
          </w:r>
          <w:r>
            <w:rPr>
              <w:rFonts w:ascii="Palatino Linotype" w:eastAsia="Palatino Linotype" w:hAnsi="Palatino Linotype" w:cs="Palatino Linotype"/>
              <w:b/>
              <w:bCs/>
              <w:sz w:val="22"/>
              <w:szCs w:val="22"/>
            </w:rPr>
            <w:t>/INFOEM/IP/RR/2025</w:t>
          </w:r>
        </w:p>
      </w:tc>
    </w:tr>
    <w:tr w:rsidR="006C2841" w14:paraId="4EF0FECC" w14:textId="77777777">
      <w:tc>
        <w:tcPr>
          <w:tcW w:w="2489" w:type="dxa"/>
        </w:tcPr>
        <w:p w14:paraId="43B54F86" w14:textId="77777777" w:rsidR="006C2841" w:rsidRDefault="00D06478">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Recurrente</w:t>
          </w:r>
        </w:p>
      </w:tc>
      <w:tc>
        <w:tcPr>
          <w:tcW w:w="3464" w:type="dxa"/>
          <w:vAlign w:val="center"/>
        </w:tcPr>
        <w:p w14:paraId="1DB8A079" w14:textId="504FCA4B" w:rsidR="006C2841" w:rsidRDefault="006C2841">
          <w:pPr>
            <w:ind w:right="175"/>
            <w:jc w:val="both"/>
            <w:rPr>
              <w:rFonts w:ascii="Palatino Linotype" w:eastAsia="Palatino Linotype" w:hAnsi="Palatino Linotype" w:cs="Palatino Linotype"/>
              <w:b/>
              <w:bCs/>
              <w:sz w:val="22"/>
              <w:szCs w:val="22"/>
              <w:highlight w:val="yellow"/>
            </w:rPr>
          </w:pPr>
        </w:p>
      </w:tc>
    </w:tr>
    <w:tr w:rsidR="006C2841" w14:paraId="3B60E81D" w14:textId="77777777">
      <w:trPr>
        <w:trHeight w:val="228"/>
      </w:trPr>
      <w:tc>
        <w:tcPr>
          <w:tcW w:w="2489" w:type="dxa"/>
          <w:vAlign w:val="center"/>
        </w:tcPr>
        <w:p w14:paraId="0E6BC4D5" w14:textId="77777777" w:rsidR="006C2841" w:rsidRDefault="00D06478">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3464" w:type="dxa"/>
          <w:vAlign w:val="center"/>
        </w:tcPr>
        <w:p w14:paraId="576AE85C" w14:textId="230EC797" w:rsidR="006C2841" w:rsidRDefault="00426562">
          <w:pPr>
            <w:ind w:left="-45" w:right="176"/>
            <w:jc w:val="both"/>
            <w:rPr>
              <w:rFonts w:ascii="Palatino Linotype" w:eastAsia="Palatino Linotype" w:hAnsi="Palatino Linotype" w:cs="Palatino Linotype"/>
              <w:b/>
              <w:bCs/>
              <w:sz w:val="22"/>
              <w:szCs w:val="22"/>
            </w:rPr>
          </w:pPr>
          <w:r w:rsidRPr="00426562">
            <w:rPr>
              <w:rFonts w:ascii="Palatino Linotype" w:eastAsia="Palatino Linotype" w:hAnsi="Palatino Linotype" w:cs="Palatino Linotype"/>
              <w:b/>
              <w:bCs/>
              <w:sz w:val="22"/>
              <w:szCs w:val="22"/>
            </w:rPr>
            <w:t>Consejo de Investigación y Evaluación de la Política Social</w:t>
          </w:r>
        </w:p>
      </w:tc>
    </w:tr>
    <w:tr w:rsidR="006C2841" w14:paraId="38920365" w14:textId="77777777">
      <w:tc>
        <w:tcPr>
          <w:tcW w:w="2489" w:type="dxa"/>
          <w:vAlign w:val="center"/>
        </w:tcPr>
        <w:p w14:paraId="0FB58072" w14:textId="77777777" w:rsidR="006C2841" w:rsidRDefault="00D06478">
          <w:pPr>
            <w:ind w:right="-108"/>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3464" w:type="dxa"/>
          <w:vAlign w:val="center"/>
        </w:tcPr>
        <w:p w14:paraId="410D5C12" w14:textId="77777777" w:rsidR="006C2841" w:rsidRDefault="00D06478">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5498FFE6" w14:textId="77777777" w:rsidR="006C2841" w:rsidRDefault="006C284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C3ACF"/>
    <w:multiLevelType w:val="multilevel"/>
    <w:tmpl w:val="D3C2437A"/>
    <w:lvl w:ilvl="0">
      <w:start w:val="1"/>
      <w:numFmt w:val="decimal"/>
      <w:pStyle w:val="Listaconvieta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69F5480"/>
    <w:multiLevelType w:val="multilevel"/>
    <w:tmpl w:val="149E3BF8"/>
    <w:lvl w:ilvl="0">
      <w:start w:val="1"/>
      <w:numFmt w:val="decimal"/>
      <w:pStyle w:val="Listaconvietas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841"/>
    <w:rsid w:val="00065E97"/>
    <w:rsid w:val="000A0BC1"/>
    <w:rsid w:val="000A292E"/>
    <w:rsid w:val="001472DF"/>
    <w:rsid w:val="001741ED"/>
    <w:rsid w:val="00227BFC"/>
    <w:rsid w:val="00275D31"/>
    <w:rsid w:val="002D3B51"/>
    <w:rsid w:val="00305E3E"/>
    <w:rsid w:val="00370CB1"/>
    <w:rsid w:val="00395BD8"/>
    <w:rsid w:val="003D3078"/>
    <w:rsid w:val="003E2626"/>
    <w:rsid w:val="00421223"/>
    <w:rsid w:val="00426562"/>
    <w:rsid w:val="00460534"/>
    <w:rsid w:val="004D07ED"/>
    <w:rsid w:val="004E0183"/>
    <w:rsid w:val="004E4BCB"/>
    <w:rsid w:val="004F743D"/>
    <w:rsid w:val="00596C9D"/>
    <w:rsid w:val="005E0BC3"/>
    <w:rsid w:val="00637CC3"/>
    <w:rsid w:val="00693153"/>
    <w:rsid w:val="00697EFC"/>
    <w:rsid w:val="006C2841"/>
    <w:rsid w:val="006E4E47"/>
    <w:rsid w:val="006F4E99"/>
    <w:rsid w:val="00727C6D"/>
    <w:rsid w:val="007A65C2"/>
    <w:rsid w:val="00817A64"/>
    <w:rsid w:val="00834F86"/>
    <w:rsid w:val="00854D54"/>
    <w:rsid w:val="008934F1"/>
    <w:rsid w:val="008B4F64"/>
    <w:rsid w:val="009A474F"/>
    <w:rsid w:val="009D3890"/>
    <w:rsid w:val="009D60E9"/>
    <w:rsid w:val="00A2165A"/>
    <w:rsid w:val="00A632BE"/>
    <w:rsid w:val="00AF4630"/>
    <w:rsid w:val="00AF72FA"/>
    <w:rsid w:val="00B41BEE"/>
    <w:rsid w:val="00C977DD"/>
    <w:rsid w:val="00CA39B4"/>
    <w:rsid w:val="00CC503F"/>
    <w:rsid w:val="00D06478"/>
    <w:rsid w:val="00D31A7E"/>
    <w:rsid w:val="00D41006"/>
    <w:rsid w:val="00D8413D"/>
    <w:rsid w:val="00D86ACA"/>
    <w:rsid w:val="00DA4694"/>
    <w:rsid w:val="00DC1F6B"/>
    <w:rsid w:val="00DF4E48"/>
    <w:rsid w:val="00E16262"/>
    <w:rsid w:val="00E65EBC"/>
    <w:rsid w:val="00EE75D9"/>
    <w:rsid w:val="00F544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B7159"/>
  <w15:docId w15:val="{226AEDDE-E89A-419F-8D24-26C1DE86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bCs/>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bCs/>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bCs/>
      <w:i/>
      <w:iCs/>
      <w:sz w:val="26"/>
      <w:szCs w:val="26"/>
    </w:rPr>
  </w:style>
  <w:style w:type="paragraph" w:styleId="Ttulo6">
    <w:name w:val="heading 6"/>
    <w:basedOn w:val="Normal"/>
    <w:next w:val="Normal"/>
    <w:uiPriority w:val="9"/>
    <w:semiHidden/>
    <w:unhideWhenUsed/>
    <w:qFormat/>
    <w:pPr>
      <w:spacing w:before="240" w:after="60"/>
      <w:ind w:left="4320" w:hanging="72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TableNormalf2">
    <w:name w:val="Table Normal"/>
    <w:tblPr>
      <w:tblCellMar>
        <w:top w:w="0" w:type="dxa"/>
        <w:left w:w="0" w:type="dxa"/>
        <w:bottom w:w="0" w:type="dxa"/>
        <w:right w:w="0" w:type="dxa"/>
      </w:tblCellMar>
    </w:tblPr>
  </w:style>
  <w:style w:type="table" w:customStyle="1" w:styleId="TableNormalf3">
    <w:name w:val="Table Normal"/>
    <w:tblPr>
      <w:tblCellMar>
        <w:top w:w="0" w:type="dxa"/>
        <w:left w:w="0" w:type="dxa"/>
        <w:bottom w:w="0" w:type="dxa"/>
        <w:right w:w="0" w:type="dxa"/>
      </w:tblCellMar>
    </w:tblPr>
  </w:style>
  <w:style w:type="table" w:customStyle="1" w:styleId="a">
    <w:basedOn w:val="TableNormalf3"/>
    <w:tblPr>
      <w:tblStyleRowBandSize w:val="1"/>
      <w:tblStyleColBandSize w:val="1"/>
      <w:tblCellMar>
        <w:left w:w="115" w:type="dxa"/>
        <w:right w:w="115" w:type="dxa"/>
      </w:tblCellMar>
    </w:tblPr>
  </w:style>
  <w:style w:type="table" w:customStyle="1" w:styleId="a0">
    <w:basedOn w:val="TableNormalf3"/>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0D197B"/>
    <w:pPr>
      <w:tabs>
        <w:tab w:val="center" w:pos="4419"/>
        <w:tab w:val="right" w:pos="8838"/>
      </w:tabs>
    </w:pPr>
  </w:style>
  <w:style w:type="character" w:customStyle="1" w:styleId="EncabezadoCar">
    <w:name w:val="Encabezado Car"/>
    <w:basedOn w:val="Fuentedeprrafopredeter"/>
    <w:link w:val="Encabezado"/>
    <w:uiPriority w:val="99"/>
    <w:rsid w:val="000D197B"/>
  </w:style>
  <w:style w:type="paragraph" w:styleId="Piedepgina">
    <w:name w:val="footer"/>
    <w:basedOn w:val="Normal"/>
    <w:link w:val="PiedepginaCar"/>
    <w:uiPriority w:val="99"/>
    <w:unhideWhenUsed/>
    <w:rsid w:val="000D197B"/>
    <w:pPr>
      <w:tabs>
        <w:tab w:val="center" w:pos="4419"/>
        <w:tab w:val="right" w:pos="8838"/>
      </w:tabs>
    </w:pPr>
  </w:style>
  <w:style w:type="character" w:customStyle="1" w:styleId="PiedepginaCar">
    <w:name w:val="Pie de página Car"/>
    <w:basedOn w:val="Fuentedeprrafopredeter"/>
    <w:link w:val="Piedepgina"/>
    <w:uiPriority w:val="99"/>
    <w:rsid w:val="000D197B"/>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C43334"/>
    <w:pPr>
      <w:ind w:left="720"/>
      <w:contextualSpacing/>
    </w:pPr>
  </w:style>
  <w:style w:type="paragraph" w:styleId="NormalWeb">
    <w:name w:val="Normal (Web)"/>
    <w:basedOn w:val="Normal"/>
    <w:uiPriority w:val="99"/>
    <w:unhideWhenUsed/>
    <w:rsid w:val="00476335"/>
    <w:pPr>
      <w:spacing w:before="100" w:beforeAutospacing="1" w:after="100" w:afterAutospacing="1"/>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06B5C"/>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06B5C"/>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806B5C"/>
    <w:rPr>
      <w:vertAlign w:val="superscript"/>
    </w:rPr>
  </w:style>
  <w:style w:type="table" w:customStyle="1" w:styleId="a1">
    <w:basedOn w:val="TableNormalf3"/>
    <w:tblPr>
      <w:tblStyleRowBandSize w:val="1"/>
      <w:tblStyleColBandSize w:val="1"/>
      <w:tblCellMar>
        <w:left w:w="115" w:type="dxa"/>
        <w:right w:w="115" w:type="dxa"/>
      </w:tblCellMar>
    </w:tblPr>
  </w:style>
  <w:style w:type="table" w:customStyle="1" w:styleId="a2">
    <w:basedOn w:val="TableNormalf3"/>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504D6C"/>
    <w:rPr>
      <w:color w:val="0000FF" w:themeColor="hyperlink"/>
      <w:u w:val="single"/>
    </w:rPr>
  </w:style>
  <w:style w:type="character" w:styleId="Hipervnculovisitado">
    <w:name w:val="FollowedHyperlink"/>
    <w:basedOn w:val="Fuentedeprrafopredeter"/>
    <w:uiPriority w:val="99"/>
    <w:semiHidden/>
    <w:unhideWhenUsed/>
    <w:rsid w:val="00504D6C"/>
    <w:rPr>
      <w:color w:val="800080" w:themeColor="followedHyperlink"/>
      <w:u w:val="single"/>
    </w:rPr>
  </w:style>
  <w:style w:type="table" w:styleId="Tablaconcuadrcula">
    <w:name w:val="Table Grid"/>
    <w:basedOn w:val="Tablanormal"/>
    <w:uiPriority w:val="39"/>
    <w:rsid w:val="00134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f2"/>
    <w:tblPr>
      <w:tblStyleRowBandSize w:val="1"/>
      <w:tblStyleColBandSize w:val="1"/>
      <w:tblCellMar>
        <w:left w:w="115" w:type="dxa"/>
        <w:right w:w="115" w:type="dxa"/>
      </w:tblCellMar>
    </w:tblPr>
  </w:style>
  <w:style w:type="table" w:customStyle="1" w:styleId="a4">
    <w:basedOn w:val="TableNormalf2"/>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5E017B"/>
    <w:pPr>
      <w:numPr>
        <w:numId w:val="1"/>
      </w:numPr>
      <w:contextualSpacing/>
    </w:pPr>
  </w:style>
  <w:style w:type="character" w:customStyle="1" w:styleId="yt-core-attributed-string--link-inherit-color">
    <w:name w:val="yt-core-attributed-string--link-inherit-color"/>
    <w:basedOn w:val="Fuentedeprrafopredeter"/>
    <w:rsid w:val="00EA0BE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72"/>
    <w:qFormat/>
    <w:locked/>
    <w:rsid w:val="00452086"/>
  </w:style>
  <w:style w:type="character" w:customStyle="1" w:styleId="Mencinsinresolver1">
    <w:name w:val="Mención sin resolver1"/>
    <w:basedOn w:val="Fuentedeprrafopredeter"/>
    <w:uiPriority w:val="99"/>
    <w:semiHidden/>
    <w:unhideWhenUsed/>
    <w:rsid w:val="00C64B15"/>
    <w:rPr>
      <w:color w:val="605E5C"/>
      <w:shd w:val="clear" w:color="auto" w:fill="E1DFDD"/>
    </w:rPr>
  </w:style>
  <w:style w:type="paragraph" w:customStyle="1" w:styleId="Default">
    <w:name w:val="Default"/>
    <w:rsid w:val="00B92077"/>
    <w:pPr>
      <w:autoSpaceDE w:val="0"/>
      <w:autoSpaceDN w:val="0"/>
      <w:adjustRightInd w:val="0"/>
    </w:pPr>
    <w:rPr>
      <w:rFonts w:ascii="Arial" w:hAnsi="Arial" w:cs="Arial"/>
      <w:color w:val="000000"/>
    </w:rPr>
  </w:style>
  <w:style w:type="character" w:customStyle="1" w:styleId="Mencinsinresolver2">
    <w:name w:val="Mención sin resolver2"/>
    <w:basedOn w:val="Fuentedeprrafopredeter"/>
    <w:uiPriority w:val="99"/>
    <w:semiHidden/>
    <w:unhideWhenUsed/>
    <w:rsid w:val="00251B93"/>
    <w:rPr>
      <w:color w:val="605E5C"/>
      <w:shd w:val="clear" w:color="auto" w:fill="E1DFDD"/>
    </w:rPr>
  </w:style>
  <w:style w:type="paragraph" w:styleId="Textodeglobo">
    <w:name w:val="Balloon Text"/>
    <w:basedOn w:val="Normal"/>
    <w:link w:val="TextodegloboCar"/>
    <w:uiPriority w:val="99"/>
    <w:semiHidden/>
    <w:unhideWhenUsed/>
    <w:rsid w:val="00DD0D6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0D64"/>
    <w:rPr>
      <w:rFonts w:ascii="Segoe UI" w:hAnsi="Segoe UI" w:cs="Segoe UI"/>
      <w:sz w:val="18"/>
      <w:szCs w:val="18"/>
    </w:rPr>
  </w:style>
  <w:style w:type="paragraph" w:styleId="Sinespaciado">
    <w:name w:val="No Spacing"/>
    <w:aliases w:val="Francesa"/>
    <w:link w:val="SinespaciadoCar"/>
    <w:uiPriority w:val="1"/>
    <w:qFormat/>
    <w:rsid w:val="000D0148"/>
    <w:rPr>
      <w:rFonts w:asciiTheme="minorHAnsi" w:eastAsiaTheme="minorHAnsi" w:hAnsiTheme="minorHAnsi" w:cstheme="minorBidi"/>
      <w:sz w:val="22"/>
      <w:szCs w:val="22"/>
      <w:lang w:eastAsia="en-US"/>
    </w:rPr>
  </w:style>
  <w:style w:type="character" w:customStyle="1" w:styleId="SinespaciadoCar">
    <w:name w:val="Sin espaciado Car"/>
    <w:aliases w:val="Francesa Car"/>
    <w:link w:val="Sinespaciado"/>
    <w:uiPriority w:val="1"/>
    <w:locked/>
    <w:rsid w:val="000D0148"/>
    <w:rPr>
      <w:rFonts w:asciiTheme="minorHAnsi" w:eastAsiaTheme="minorHAnsi" w:hAnsiTheme="minorHAnsi" w:cstheme="minorBidi"/>
      <w:sz w:val="22"/>
      <w:szCs w:val="22"/>
      <w:lang w:eastAsia="en-US"/>
    </w:rPr>
  </w:style>
  <w:style w:type="paragraph" w:customStyle="1" w:styleId="rtejustify">
    <w:name w:val="rtejustify"/>
    <w:basedOn w:val="Normal"/>
    <w:rsid w:val="00876EB7"/>
    <w:pPr>
      <w:spacing w:before="100" w:beforeAutospacing="1" w:after="100" w:afterAutospacing="1"/>
    </w:pPr>
  </w:style>
  <w:style w:type="table" w:customStyle="1" w:styleId="a5">
    <w:basedOn w:val="TableNormalf1"/>
    <w:tblPr>
      <w:tblStyleRowBandSize w:val="1"/>
      <w:tblStyleColBandSize w:val="1"/>
      <w:tblCellMar>
        <w:left w:w="108" w:type="dxa"/>
        <w:right w:w="108" w:type="dxa"/>
      </w:tblCellMar>
    </w:tblPr>
  </w:style>
  <w:style w:type="table" w:customStyle="1" w:styleId="a6">
    <w:basedOn w:val="TableNormalf1"/>
    <w:tblPr>
      <w:tblStyleRowBandSize w:val="1"/>
      <w:tblStyleColBandSize w:val="1"/>
      <w:tblCellMar>
        <w:left w:w="108" w:type="dxa"/>
        <w:right w:w="108" w:type="dxa"/>
      </w:tblCellMar>
    </w:tblPr>
  </w:style>
  <w:style w:type="table" w:customStyle="1" w:styleId="a7">
    <w:basedOn w:val="TableNormalf1"/>
    <w:tblPr>
      <w:tblStyleRowBandSize w:val="1"/>
      <w:tblStyleColBandSize w:val="1"/>
      <w:tblCellMar>
        <w:left w:w="108" w:type="dxa"/>
        <w:right w:w="108" w:type="dxa"/>
      </w:tblCellMar>
    </w:tblPr>
  </w:style>
  <w:style w:type="table" w:customStyle="1" w:styleId="a8">
    <w:basedOn w:val="TableNormalf1"/>
    <w:tblPr>
      <w:tblStyleRowBandSize w:val="1"/>
      <w:tblStyleColBandSize w:val="1"/>
      <w:tblCellMar>
        <w:left w:w="108" w:type="dxa"/>
        <w:right w:w="108" w:type="dxa"/>
      </w:tblCellMar>
    </w:tblPr>
  </w:style>
  <w:style w:type="table" w:customStyle="1" w:styleId="a9">
    <w:basedOn w:val="TableNormalf1"/>
    <w:tblPr>
      <w:tblStyleRowBandSize w:val="1"/>
      <w:tblStyleColBandSize w:val="1"/>
      <w:tblCellMar>
        <w:left w:w="108" w:type="dxa"/>
        <w:right w:w="108" w:type="dxa"/>
      </w:tblCellMar>
    </w:tblPr>
  </w:style>
  <w:style w:type="table" w:customStyle="1" w:styleId="aa">
    <w:basedOn w:val="TableNormalf1"/>
    <w:tblPr>
      <w:tblStyleRowBandSize w:val="1"/>
      <w:tblStyleColBandSize w:val="1"/>
      <w:tblCellMar>
        <w:left w:w="115" w:type="dxa"/>
        <w:right w:w="115" w:type="dxa"/>
      </w:tblCellMar>
    </w:tblPr>
  </w:style>
  <w:style w:type="table" w:customStyle="1" w:styleId="ab">
    <w:basedOn w:val="TableNormalf1"/>
    <w:tblPr>
      <w:tblStyleRowBandSize w:val="1"/>
      <w:tblStyleColBandSize w:val="1"/>
      <w:tblCellMar>
        <w:left w:w="115" w:type="dxa"/>
        <w:right w:w="115" w:type="dxa"/>
      </w:tblCellMar>
    </w:tblPr>
  </w:style>
  <w:style w:type="table" w:customStyle="1" w:styleId="ac">
    <w:basedOn w:val="TableNormalf0"/>
    <w:tblPr>
      <w:tblStyleRowBandSize w:val="1"/>
      <w:tblStyleColBandSize w:val="1"/>
      <w:tblCellMar>
        <w:left w:w="108" w:type="dxa"/>
        <w:right w:w="108" w:type="dxa"/>
      </w:tblCellMar>
    </w:tblPr>
  </w:style>
  <w:style w:type="table" w:customStyle="1" w:styleId="ad">
    <w:basedOn w:val="TableNormalf0"/>
    <w:tblPr>
      <w:tblStyleRowBandSize w:val="1"/>
      <w:tblStyleColBandSize w:val="1"/>
      <w:tblCellMar>
        <w:left w:w="115" w:type="dxa"/>
        <w:right w:w="115" w:type="dxa"/>
      </w:tblCellMar>
    </w:tblPr>
  </w:style>
  <w:style w:type="table" w:customStyle="1" w:styleId="ae">
    <w:basedOn w:val="TableNormalf0"/>
    <w:tblPr>
      <w:tblStyleRowBandSize w:val="1"/>
      <w:tblStyleColBandSize w:val="1"/>
      <w:tblCellMar>
        <w:left w:w="115" w:type="dxa"/>
        <w:right w:w="115" w:type="dxa"/>
      </w:tblCellMar>
    </w:tblPr>
  </w:style>
  <w:style w:type="table" w:customStyle="1" w:styleId="af">
    <w:basedOn w:val="TableNormalf"/>
    <w:tblPr>
      <w:tblStyleRowBandSize w:val="1"/>
      <w:tblStyleColBandSize w:val="1"/>
      <w:tblCellMar>
        <w:left w:w="115" w:type="dxa"/>
        <w:right w:w="115" w:type="dxa"/>
      </w:tblCellMar>
    </w:tblPr>
  </w:style>
  <w:style w:type="table" w:customStyle="1" w:styleId="af0">
    <w:basedOn w:val="TableNormalf"/>
    <w:tblPr>
      <w:tblStyleRowBandSize w:val="1"/>
      <w:tblStyleColBandSize w:val="1"/>
      <w:tblCellMar>
        <w:left w:w="115" w:type="dxa"/>
        <w:right w:w="115" w:type="dxa"/>
      </w:tblCellMar>
    </w:tblPr>
  </w:style>
  <w:style w:type="table" w:customStyle="1" w:styleId="af1">
    <w:basedOn w:val="TableNormalf"/>
    <w:tblPr>
      <w:tblStyleRowBandSize w:val="1"/>
      <w:tblStyleColBandSize w:val="1"/>
      <w:tblCellMar>
        <w:left w:w="115" w:type="dxa"/>
        <w:right w:w="115" w:type="dxa"/>
      </w:tblCellMar>
    </w:tblPr>
  </w:style>
  <w:style w:type="table" w:customStyle="1" w:styleId="af2">
    <w:basedOn w:val="TableNormale"/>
    <w:tblPr>
      <w:tblStyleRowBandSize w:val="1"/>
      <w:tblStyleColBandSize w:val="1"/>
      <w:tblCellMar>
        <w:left w:w="115" w:type="dxa"/>
        <w:right w:w="115" w:type="dxa"/>
      </w:tblCellMar>
    </w:tblPr>
  </w:style>
  <w:style w:type="table" w:customStyle="1" w:styleId="af3">
    <w:basedOn w:val="TableNormale"/>
    <w:tblPr>
      <w:tblStyleRowBandSize w:val="1"/>
      <w:tblStyleColBandSize w:val="1"/>
      <w:tblCellMar>
        <w:left w:w="115" w:type="dxa"/>
        <w:right w:w="115" w:type="dxa"/>
      </w:tblCellMar>
    </w:tblPr>
  </w:style>
  <w:style w:type="table" w:customStyle="1" w:styleId="af4">
    <w:basedOn w:val="TableNormald"/>
    <w:tblPr>
      <w:tblStyleRowBandSize w:val="1"/>
      <w:tblStyleColBandSize w:val="1"/>
      <w:tblCellMar>
        <w:left w:w="115" w:type="dxa"/>
        <w:right w:w="115" w:type="dxa"/>
      </w:tblCellMar>
    </w:tblPr>
  </w:style>
  <w:style w:type="table" w:customStyle="1" w:styleId="af5">
    <w:basedOn w:val="TableNormald"/>
    <w:tblPr>
      <w:tblStyleRowBandSize w:val="1"/>
      <w:tblStyleColBandSize w:val="1"/>
      <w:tblCellMar>
        <w:left w:w="115" w:type="dxa"/>
        <w:right w:w="115" w:type="dxa"/>
      </w:tblCellMar>
    </w:tblPr>
  </w:style>
  <w:style w:type="table" w:customStyle="1" w:styleId="af6">
    <w:basedOn w:val="TableNormalc"/>
    <w:tblPr>
      <w:tblStyleRowBandSize w:val="1"/>
      <w:tblStyleColBandSize w:val="1"/>
      <w:tblCellMar>
        <w:left w:w="115" w:type="dxa"/>
        <w:right w:w="115" w:type="dxa"/>
      </w:tblCellMar>
    </w:tblPr>
  </w:style>
  <w:style w:type="table" w:customStyle="1" w:styleId="af7">
    <w:basedOn w:val="TableNormalc"/>
    <w:tblPr>
      <w:tblStyleRowBandSize w:val="1"/>
      <w:tblStyleColBandSize w:val="1"/>
      <w:tblCellMar>
        <w:left w:w="115" w:type="dxa"/>
        <w:right w:w="115" w:type="dxa"/>
      </w:tblCellMar>
    </w:tblPr>
  </w:style>
  <w:style w:type="character" w:styleId="Textoennegrita">
    <w:name w:val="Strong"/>
    <w:basedOn w:val="Fuentedeprrafopredeter"/>
    <w:uiPriority w:val="22"/>
    <w:qFormat/>
    <w:rsid w:val="002C02D7"/>
    <w:rPr>
      <w:b/>
      <w:bCs/>
    </w:rPr>
  </w:style>
  <w:style w:type="character" w:customStyle="1" w:styleId="object">
    <w:name w:val="object"/>
    <w:basedOn w:val="Fuentedeprrafopredeter"/>
    <w:rsid w:val="002C02D7"/>
  </w:style>
  <w:style w:type="table" w:customStyle="1" w:styleId="af8">
    <w:basedOn w:val="TableNormalb"/>
    <w:tblPr>
      <w:tblStyleRowBandSize w:val="1"/>
      <w:tblStyleColBandSize w:val="1"/>
      <w:tblCellMar>
        <w:left w:w="115" w:type="dxa"/>
        <w:right w:w="115" w:type="dxa"/>
      </w:tblCellMar>
    </w:tblPr>
  </w:style>
  <w:style w:type="table" w:customStyle="1" w:styleId="af9">
    <w:basedOn w:val="TableNormalb"/>
    <w:tblPr>
      <w:tblStyleRowBandSize w:val="1"/>
      <w:tblStyleColBandSize w:val="1"/>
      <w:tblCellMar>
        <w:left w:w="115" w:type="dxa"/>
        <w:right w:w="115" w:type="dxa"/>
      </w:tblCellMar>
    </w:tblPr>
  </w:style>
  <w:style w:type="table" w:customStyle="1" w:styleId="afa">
    <w:basedOn w:val="TableNormala"/>
    <w:tblPr>
      <w:tblStyleRowBandSize w:val="1"/>
      <w:tblStyleColBandSize w:val="1"/>
      <w:tblCellMar>
        <w:left w:w="115" w:type="dxa"/>
        <w:right w:w="115" w:type="dxa"/>
      </w:tblCellMar>
    </w:tblPr>
  </w:style>
  <w:style w:type="table" w:customStyle="1" w:styleId="afb">
    <w:basedOn w:val="TableNormala"/>
    <w:tblPr>
      <w:tblStyleRowBandSize w:val="1"/>
      <w:tblStyleColBandSize w:val="1"/>
      <w:tblCellMar>
        <w:left w:w="115" w:type="dxa"/>
        <w:right w:w="115" w:type="dxa"/>
      </w:tblCellMar>
    </w:tblPr>
  </w:style>
  <w:style w:type="table" w:customStyle="1" w:styleId="afc">
    <w:basedOn w:val="TableNormal9"/>
    <w:tblPr>
      <w:tblStyleRowBandSize w:val="1"/>
      <w:tblStyleColBandSize w:val="1"/>
      <w:tblCellMar>
        <w:left w:w="115" w:type="dxa"/>
        <w:right w:w="115" w:type="dxa"/>
      </w:tblCellMar>
    </w:tblPr>
  </w:style>
  <w:style w:type="table" w:customStyle="1" w:styleId="afd">
    <w:basedOn w:val="TableNormal9"/>
    <w:tblPr>
      <w:tblStyleRowBandSize w:val="1"/>
      <w:tblStyleColBandSize w:val="1"/>
      <w:tblCellMar>
        <w:left w:w="115" w:type="dxa"/>
        <w:right w:w="115" w:type="dxa"/>
      </w:tblCellMar>
    </w:tblPr>
  </w:style>
  <w:style w:type="table" w:customStyle="1" w:styleId="afe">
    <w:basedOn w:val="TableNormal8"/>
    <w:tblPr>
      <w:tblStyleRowBandSize w:val="1"/>
      <w:tblStyleColBandSize w:val="1"/>
      <w:tblCellMar>
        <w:left w:w="115" w:type="dxa"/>
        <w:right w:w="115" w:type="dxa"/>
      </w:tblCellMar>
    </w:tblPr>
  </w:style>
  <w:style w:type="table" w:customStyle="1" w:styleId="aff">
    <w:basedOn w:val="TableNormal8"/>
    <w:tblPr>
      <w:tblStyleRowBandSize w:val="1"/>
      <w:tblStyleColBandSize w:val="1"/>
      <w:tblCellMar>
        <w:left w:w="115" w:type="dxa"/>
        <w:right w:w="115" w:type="dxa"/>
      </w:tblCellMar>
    </w:tblPr>
  </w:style>
  <w:style w:type="table" w:customStyle="1" w:styleId="aff0">
    <w:basedOn w:val="TableNormal7"/>
    <w:tblPr>
      <w:tblStyleRowBandSize w:val="1"/>
      <w:tblStyleColBandSize w:val="1"/>
      <w:tblCellMar>
        <w:left w:w="115" w:type="dxa"/>
        <w:right w:w="115" w:type="dxa"/>
      </w:tblCellMar>
    </w:tblPr>
  </w:style>
  <w:style w:type="table" w:customStyle="1" w:styleId="aff1">
    <w:basedOn w:val="TableNormal7"/>
    <w:tblPr>
      <w:tblStyleRowBandSize w:val="1"/>
      <w:tblStyleColBandSize w:val="1"/>
      <w:tblCellMar>
        <w:left w:w="115" w:type="dxa"/>
        <w:right w:w="115" w:type="dxa"/>
      </w:tblCellMar>
    </w:tblPr>
  </w:style>
  <w:style w:type="table" w:customStyle="1" w:styleId="aff2">
    <w:basedOn w:val="TableNormal6"/>
    <w:tblPr>
      <w:tblStyleRowBandSize w:val="1"/>
      <w:tblStyleColBandSize w:val="1"/>
      <w:tblCellMar>
        <w:left w:w="115" w:type="dxa"/>
        <w:right w:w="115" w:type="dxa"/>
      </w:tblCellMar>
    </w:tblPr>
  </w:style>
  <w:style w:type="table" w:customStyle="1" w:styleId="aff3">
    <w:basedOn w:val="TableNormal6"/>
    <w:tblPr>
      <w:tblStyleRowBandSize w:val="1"/>
      <w:tblStyleColBandSize w:val="1"/>
      <w:tblCellMar>
        <w:left w:w="115" w:type="dxa"/>
        <w:right w:w="115" w:type="dxa"/>
      </w:tblCellMar>
    </w:tblPr>
  </w:style>
  <w:style w:type="table" w:customStyle="1" w:styleId="aff4">
    <w:basedOn w:val="TableNormal5"/>
    <w:tblPr>
      <w:tblStyleRowBandSize w:val="1"/>
      <w:tblStyleColBandSize w:val="1"/>
      <w:tblCellMar>
        <w:left w:w="115" w:type="dxa"/>
        <w:right w:w="115" w:type="dxa"/>
      </w:tblCellMar>
    </w:tblPr>
  </w:style>
  <w:style w:type="table" w:customStyle="1" w:styleId="aff5">
    <w:basedOn w:val="TableNormal5"/>
    <w:tblPr>
      <w:tblStyleRowBandSize w:val="1"/>
      <w:tblStyleColBandSize w:val="1"/>
      <w:tblCellMar>
        <w:left w:w="115" w:type="dxa"/>
        <w:right w:w="115" w:type="dxa"/>
      </w:tblCellMar>
    </w:tblPr>
  </w:style>
  <w:style w:type="table" w:customStyle="1" w:styleId="aff6">
    <w:basedOn w:val="TableNormal4"/>
    <w:tblPr>
      <w:tblStyleRowBandSize w:val="1"/>
      <w:tblStyleColBandSize w:val="1"/>
      <w:tblCellMar>
        <w:left w:w="115" w:type="dxa"/>
        <w:right w:w="115" w:type="dxa"/>
      </w:tblCellMar>
    </w:tblPr>
  </w:style>
  <w:style w:type="table" w:customStyle="1" w:styleId="aff7">
    <w:basedOn w:val="TableNormal4"/>
    <w:tblPr>
      <w:tblStyleRowBandSize w:val="1"/>
      <w:tblStyleColBandSize w:val="1"/>
      <w:tblCellMar>
        <w:left w:w="115" w:type="dxa"/>
        <w:right w:w="115" w:type="dxa"/>
      </w:tblCellMar>
    </w:tblPr>
  </w:style>
  <w:style w:type="table" w:customStyle="1" w:styleId="aff8">
    <w:basedOn w:val="TableNormal3"/>
    <w:tblPr>
      <w:tblStyleRowBandSize w:val="1"/>
      <w:tblStyleColBandSize w:val="1"/>
      <w:tblCellMar>
        <w:left w:w="115" w:type="dxa"/>
        <w:right w:w="115" w:type="dxa"/>
      </w:tblCellMar>
    </w:tblPr>
  </w:style>
  <w:style w:type="table" w:customStyle="1" w:styleId="aff9">
    <w:basedOn w:val="TableNormal3"/>
    <w:tblPr>
      <w:tblStyleRowBandSize w:val="1"/>
      <w:tblStyleColBandSize w:val="1"/>
      <w:tblCellMar>
        <w:left w:w="115" w:type="dxa"/>
        <w:right w:w="115" w:type="dxa"/>
      </w:tblCellMar>
    </w:tblPr>
  </w:style>
  <w:style w:type="table" w:customStyle="1" w:styleId="affa">
    <w:basedOn w:val="TableNormal2"/>
    <w:tblPr>
      <w:tblStyleRowBandSize w:val="1"/>
      <w:tblStyleColBandSize w:val="1"/>
      <w:tblCellMar>
        <w:left w:w="115" w:type="dxa"/>
        <w:right w:w="115" w:type="dxa"/>
      </w:tblCellMar>
    </w:tblPr>
  </w:style>
  <w:style w:type="table" w:customStyle="1" w:styleId="affb">
    <w:basedOn w:val="TableNormal2"/>
    <w:tblPr>
      <w:tblStyleRowBandSize w:val="1"/>
      <w:tblStyleColBandSize w:val="1"/>
      <w:tblCellMar>
        <w:left w:w="115" w:type="dxa"/>
        <w:right w:w="115" w:type="dxa"/>
      </w:tblCellMar>
    </w:tblPr>
  </w:style>
  <w:style w:type="paragraph" w:styleId="Lista">
    <w:name w:val="List"/>
    <w:basedOn w:val="Normal"/>
    <w:uiPriority w:val="99"/>
    <w:unhideWhenUsed/>
    <w:rsid w:val="00AD21B4"/>
    <w:pPr>
      <w:ind w:left="283" w:hanging="283"/>
      <w:contextualSpacing/>
    </w:pPr>
  </w:style>
  <w:style w:type="paragraph" w:styleId="Lista2">
    <w:name w:val="List 2"/>
    <w:basedOn w:val="Normal"/>
    <w:uiPriority w:val="99"/>
    <w:unhideWhenUsed/>
    <w:rsid w:val="00AD21B4"/>
    <w:pPr>
      <w:ind w:left="566" w:hanging="283"/>
      <w:contextualSpacing/>
    </w:pPr>
  </w:style>
  <w:style w:type="paragraph" w:styleId="Lista3">
    <w:name w:val="List 3"/>
    <w:basedOn w:val="Normal"/>
    <w:uiPriority w:val="99"/>
    <w:unhideWhenUsed/>
    <w:rsid w:val="00AD21B4"/>
    <w:pPr>
      <w:ind w:left="849" w:hanging="283"/>
      <w:contextualSpacing/>
    </w:pPr>
  </w:style>
  <w:style w:type="paragraph" w:styleId="Lista4">
    <w:name w:val="List 4"/>
    <w:basedOn w:val="Normal"/>
    <w:uiPriority w:val="99"/>
    <w:unhideWhenUsed/>
    <w:rsid w:val="00AD21B4"/>
    <w:pPr>
      <w:ind w:left="1132" w:hanging="283"/>
      <w:contextualSpacing/>
    </w:pPr>
  </w:style>
  <w:style w:type="paragraph" w:styleId="Lista5">
    <w:name w:val="List 5"/>
    <w:basedOn w:val="Normal"/>
    <w:uiPriority w:val="99"/>
    <w:unhideWhenUsed/>
    <w:rsid w:val="00AD21B4"/>
    <w:pPr>
      <w:ind w:left="1415" w:hanging="283"/>
      <w:contextualSpacing/>
    </w:pPr>
  </w:style>
  <w:style w:type="paragraph" w:styleId="Listaconvietas">
    <w:name w:val="List Bullet"/>
    <w:basedOn w:val="Normal"/>
    <w:uiPriority w:val="99"/>
    <w:unhideWhenUsed/>
    <w:rsid w:val="00AD21B4"/>
    <w:pPr>
      <w:numPr>
        <w:numId w:val="2"/>
      </w:numPr>
      <w:contextualSpacing/>
    </w:pPr>
  </w:style>
  <w:style w:type="paragraph" w:styleId="Listaconvietas2">
    <w:name w:val="List Bullet 2"/>
    <w:basedOn w:val="Normal"/>
    <w:uiPriority w:val="99"/>
    <w:unhideWhenUsed/>
    <w:rsid w:val="00AD21B4"/>
    <w:pPr>
      <w:tabs>
        <w:tab w:val="num" w:pos="720"/>
      </w:tabs>
      <w:ind w:left="720" w:hanging="720"/>
      <w:contextualSpacing/>
    </w:pPr>
  </w:style>
  <w:style w:type="paragraph" w:styleId="Textoindependiente">
    <w:name w:val="Body Text"/>
    <w:basedOn w:val="Normal"/>
    <w:link w:val="TextoindependienteCar"/>
    <w:uiPriority w:val="99"/>
    <w:unhideWhenUsed/>
    <w:rsid w:val="00AD21B4"/>
    <w:pPr>
      <w:spacing w:after="120"/>
    </w:pPr>
  </w:style>
  <w:style w:type="character" w:customStyle="1" w:styleId="TextoindependienteCar">
    <w:name w:val="Texto independiente Car"/>
    <w:basedOn w:val="Fuentedeprrafopredeter"/>
    <w:link w:val="Textoindependiente"/>
    <w:uiPriority w:val="99"/>
    <w:rsid w:val="00AD21B4"/>
  </w:style>
  <w:style w:type="paragraph" w:styleId="Sangradetextonormal">
    <w:name w:val="Body Text Indent"/>
    <w:basedOn w:val="Normal"/>
    <w:link w:val="SangradetextonormalCar"/>
    <w:uiPriority w:val="99"/>
    <w:unhideWhenUsed/>
    <w:rsid w:val="00AD21B4"/>
    <w:pPr>
      <w:spacing w:after="120"/>
      <w:ind w:left="283"/>
    </w:pPr>
  </w:style>
  <w:style w:type="character" w:customStyle="1" w:styleId="SangradetextonormalCar">
    <w:name w:val="Sangría de texto normal Car"/>
    <w:basedOn w:val="Fuentedeprrafopredeter"/>
    <w:link w:val="Sangradetextonormal"/>
    <w:uiPriority w:val="99"/>
    <w:rsid w:val="00AD21B4"/>
  </w:style>
  <w:style w:type="paragraph" w:styleId="Textoindependienteprimerasangra2">
    <w:name w:val="Body Text First Indent 2"/>
    <w:basedOn w:val="Sangradetextonormal"/>
    <w:link w:val="Textoindependienteprimerasangra2Car"/>
    <w:uiPriority w:val="99"/>
    <w:unhideWhenUsed/>
    <w:rsid w:val="00AD21B4"/>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AD21B4"/>
  </w:style>
  <w:style w:type="table" w:customStyle="1" w:styleId="affc">
    <w:basedOn w:val="TableNormal1"/>
    <w:tblPr>
      <w:tblStyleRowBandSize w:val="1"/>
      <w:tblStyleColBandSize w:val="1"/>
      <w:tblCellMar>
        <w:left w:w="115" w:type="dxa"/>
        <w:right w:w="115" w:type="dxa"/>
      </w:tblCellMar>
    </w:tblPr>
  </w:style>
  <w:style w:type="table" w:customStyle="1" w:styleId="affd">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e">
    <w:basedOn w:val="TableNormal0"/>
    <w:tblPr>
      <w:tblStyleRowBandSize w:val="1"/>
      <w:tblStyleColBandSize w:val="1"/>
      <w:tblCellMar>
        <w:top w:w="0" w:type="dxa"/>
        <w:left w:w="115" w:type="dxa"/>
        <w:bottom w:w="0" w:type="dxa"/>
        <w:right w:w="115" w:type="dxa"/>
      </w:tblCellMar>
    </w:tblPr>
  </w:style>
  <w:style w:type="table" w:customStyle="1" w:styleId="afff">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vHqCJNaLOqPgUEWf31ZglzVOyA==">CgMxLjAyCWguM3JkY3JqbjIOaC5kYWozajJ4bzZxNjYyCGguZ2pkZ3hzMgloLjNkeTZ2a20yCWguMzBqMHpsbDIOaC45aHZ3ZWwxOTlreHAyCGgudHlqY3d0MgloLjJldDkycDAyCWguMjZpbjFyZzIOaC40Y3hhdTRhbTBycGQyCWguMTdkcDh2dTIIaC5sbnhiejk4AHIhMXl4MC1pTWQ3QmRhNWc1Ty1TckhGaGVRR0ROYVVWaG9t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5868</Words>
  <Characters>32279</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Maricela Villagómez Martínez</cp:lastModifiedBy>
  <cp:revision>2</cp:revision>
  <cp:lastPrinted>2026-02-27T18:12:00Z</cp:lastPrinted>
  <dcterms:created xsi:type="dcterms:W3CDTF">2026-04-06T22:54:00Z</dcterms:created>
  <dcterms:modified xsi:type="dcterms:W3CDTF">2026-04-06T22:54:00Z</dcterms:modified>
</cp:coreProperties>
</file>