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F9C" w:rsidRPr="00B51FDC" w:rsidRDefault="00724ACC">
      <w:pPr>
        <w:spacing w:line="360" w:lineRule="auto"/>
        <w:ind w:right="49" w:hanging="22"/>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B51FDC">
        <w:rPr>
          <w:rFonts w:ascii="Palatino Linotype" w:eastAsia="Palatino Linotype" w:hAnsi="Palatino Linotype" w:cs="Palatino Linotype"/>
          <w:b/>
          <w:bCs/>
          <w:sz w:val="22"/>
          <w:szCs w:val="22"/>
        </w:rPr>
        <w:t>catorce de enero</w:t>
      </w:r>
      <w:r w:rsidRPr="00B51FDC">
        <w:rPr>
          <w:rFonts w:ascii="Palatino Linotype" w:eastAsia="Palatino Linotype" w:hAnsi="Palatino Linotype" w:cs="Palatino Linotype"/>
          <w:sz w:val="22"/>
          <w:szCs w:val="22"/>
        </w:rPr>
        <w:t xml:space="preserve"> </w:t>
      </w:r>
      <w:r w:rsidRPr="00B51FDC">
        <w:rPr>
          <w:rFonts w:ascii="Palatino Linotype" w:eastAsia="Palatino Linotype" w:hAnsi="Palatino Linotype" w:cs="Palatino Linotype"/>
          <w:b/>
          <w:bCs/>
          <w:sz w:val="22"/>
          <w:szCs w:val="22"/>
        </w:rPr>
        <w:t xml:space="preserve">de dos mil veintiséis. </w:t>
      </w:r>
    </w:p>
    <w:p w:rsidR="004D1F9C" w:rsidRPr="00B51FDC" w:rsidRDefault="004D1F9C">
      <w:pPr>
        <w:spacing w:line="360" w:lineRule="auto"/>
        <w:ind w:right="49" w:hanging="22"/>
        <w:jc w:val="both"/>
        <w:rPr>
          <w:rFonts w:ascii="Palatino Linotype" w:eastAsia="Palatino Linotype" w:hAnsi="Palatino Linotype" w:cs="Palatino Linotype"/>
          <w:sz w:val="22"/>
          <w:szCs w:val="22"/>
        </w:rPr>
      </w:pPr>
    </w:p>
    <w:p w:rsidR="004D1F9C" w:rsidRPr="00B51FDC" w:rsidRDefault="00724ACC">
      <w:pPr>
        <w:spacing w:line="360" w:lineRule="auto"/>
        <w:ind w:right="49"/>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 xml:space="preserve">VISTO </w:t>
      </w:r>
      <w:r w:rsidRPr="00B51FDC">
        <w:rPr>
          <w:rFonts w:ascii="Palatino Linotype" w:eastAsia="Palatino Linotype" w:hAnsi="Palatino Linotype" w:cs="Palatino Linotype"/>
          <w:sz w:val="22"/>
          <w:szCs w:val="22"/>
        </w:rPr>
        <w:t xml:space="preserve">el expediente relativo al recurso de revisión </w:t>
      </w:r>
      <w:r w:rsidRPr="00B51FDC">
        <w:rPr>
          <w:rFonts w:ascii="Palatino Linotype" w:eastAsia="Palatino Linotype" w:hAnsi="Palatino Linotype" w:cs="Palatino Linotype"/>
          <w:b/>
          <w:bCs/>
          <w:sz w:val="22"/>
          <w:szCs w:val="22"/>
        </w:rPr>
        <w:t xml:space="preserve">10144/INFOEM/IP/RR/2025, </w:t>
      </w:r>
      <w:r w:rsidRPr="00B51FDC">
        <w:rPr>
          <w:rFonts w:ascii="Palatino Linotype" w:eastAsia="Palatino Linotype" w:hAnsi="Palatino Linotype" w:cs="Palatino Linotype"/>
          <w:sz w:val="22"/>
          <w:szCs w:val="22"/>
        </w:rPr>
        <w:t xml:space="preserve">interpuesto por </w:t>
      </w:r>
      <w:r w:rsidR="002B0B65" w:rsidRPr="002B0B65">
        <w:rPr>
          <w:rFonts w:ascii="Palatino Linotype" w:eastAsia="Palatino Linotype" w:hAnsi="Palatino Linotype" w:cs="Palatino Linotype"/>
          <w:b/>
          <w:bCs/>
          <w:sz w:val="22"/>
          <w:szCs w:val="22"/>
        </w:rPr>
        <w:t>XXXXXXXX XXXX XXXXXX</w:t>
      </w:r>
      <w:bookmarkStart w:id="0" w:name="_GoBack"/>
      <w:bookmarkEnd w:id="0"/>
      <w:r w:rsidRPr="00B51FDC">
        <w:rPr>
          <w:rFonts w:ascii="Palatino Linotype" w:eastAsia="Palatino Linotype" w:hAnsi="Palatino Linotype" w:cs="Palatino Linotype"/>
          <w:sz w:val="22"/>
          <w:szCs w:val="22"/>
        </w:rPr>
        <w:t xml:space="preserve">, en lo sucesivo la parte </w:t>
      </w:r>
      <w:r w:rsidRPr="00B51FDC">
        <w:rPr>
          <w:rFonts w:ascii="Palatino Linotype" w:eastAsia="Palatino Linotype" w:hAnsi="Palatino Linotype" w:cs="Palatino Linotype"/>
          <w:b/>
          <w:bCs/>
          <w:sz w:val="22"/>
          <w:szCs w:val="22"/>
        </w:rPr>
        <w:t>Recurrente</w:t>
      </w:r>
      <w:r w:rsidRPr="00B51FDC">
        <w:rPr>
          <w:rFonts w:ascii="Palatino Linotype" w:eastAsia="Palatino Linotype" w:hAnsi="Palatino Linotype" w:cs="Palatino Linotype"/>
          <w:sz w:val="22"/>
          <w:szCs w:val="22"/>
        </w:rPr>
        <w:t xml:space="preserve">, en contra de la respuesta a la solicitud de información por parte del </w:t>
      </w:r>
      <w:r w:rsidRPr="00B51FDC">
        <w:rPr>
          <w:rFonts w:ascii="Palatino Linotype" w:eastAsia="Palatino Linotype" w:hAnsi="Palatino Linotype" w:cs="Palatino Linotype"/>
          <w:b/>
          <w:bCs/>
          <w:sz w:val="22"/>
          <w:szCs w:val="22"/>
        </w:rPr>
        <w:t>Ayuntamiento de Almoloya de Juárez</w:t>
      </w:r>
      <w:r w:rsidRPr="00B51FDC">
        <w:rPr>
          <w:rFonts w:ascii="Palatino Linotype" w:eastAsia="Palatino Linotype" w:hAnsi="Palatino Linotype" w:cs="Palatino Linotype"/>
          <w:sz w:val="22"/>
          <w:szCs w:val="22"/>
        </w:rPr>
        <w:t xml:space="preserve">, en lo sucesivo el </w:t>
      </w:r>
      <w:r w:rsidRPr="00B51FDC">
        <w:rPr>
          <w:rFonts w:ascii="Palatino Linotype" w:eastAsia="Palatino Linotype" w:hAnsi="Palatino Linotype" w:cs="Palatino Linotype"/>
          <w:b/>
          <w:bCs/>
          <w:sz w:val="22"/>
          <w:szCs w:val="22"/>
        </w:rPr>
        <w:t xml:space="preserve">Sujeto Obligado; </w:t>
      </w:r>
      <w:r w:rsidRPr="00B51FDC">
        <w:rPr>
          <w:rFonts w:ascii="Palatino Linotype" w:eastAsia="Palatino Linotype" w:hAnsi="Palatino Linotype" w:cs="Palatino Linotype"/>
          <w:sz w:val="22"/>
          <w:szCs w:val="22"/>
        </w:rPr>
        <w:t>se procede a dictar la presente resolución, con base en lo siguiente.</w:t>
      </w:r>
    </w:p>
    <w:p w:rsidR="004D1F9C" w:rsidRPr="00B51FDC" w:rsidRDefault="00724ACC">
      <w:pPr>
        <w:spacing w:line="360" w:lineRule="auto"/>
        <w:ind w:right="49"/>
        <w:jc w:val="center"/>
        <w:rPr>
          <w:rFonts w:ascii="Palatino Linotype" w:eastAsia="Palatino Linotype" w:hAnsi="Palatino Linotype" w:cs="Palatino Linotype"/>
          <w:b/>
          <w:bCs/>
          <w:sz w:val="22"/>
          <w:szCs w:val="22"/>
        </w:rPr>
      </w:pPr>
      <w:r w:rsidRPr="00B51FDC">
        <w:rPr>
          <w:rFonts w:ascii="Palatino Linotype" w:eastAsia="Palatino Linotype" w:hAnsi="Palatino Linotype" w:cs="Palatino Linotype"/>
          <w:b/>
          <w:bCs/>
          <w:sz w:val="22"/>
          <w:szCs w:val="22"/>
        </w:rPr>
        <w:t>I.</w:t>
      </w:r>
      <w:r w:rsidRPr="00B51FDC">
        <w:rPr>
          <w:rFonts w:ascii="Palatino Linotype" w:eastAsia="Palatino Linotype" w:hAnsi="Palatino Linotype" w:cs="Palatino Linotype"/>
          <w:b/>
          <w:bCs/>
          <w:sz w:val="22"/>
          <w:szCs w:val="22"/>
        </w:rPr>
        <w:tab/>
        <w:t>A N T E C E D E N T E S</w:t>
      </w:r>
    </w:p>
    <w:p w:rsidR="004D1F9C" w:rsidRPr="00B51FDC" w:rsidRDefault="004D1F9C">
      <w:pPr>
        <w:spacing w:line="360" w:lineRule="auto"/>
        <w:ind w:right="49"/>
        <w:jc w:val="both"/>
        <w:rPr>
          <w:rFonts w:ascii="Palatino Linotype" w:eastAsia="Palatino Linotype" w:hAnsi="Palatino Linotype" w:cs="Palatino Linotype"/>
          <w:sz w:val="22"/>
          <w:szCs w:val="22"/>
        </w:rPr>
      </w:pP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1.</w:t>
      </w:r>
      <w:r w:rsidRPr="00B51FDC">
        <w:rPr>
          <w:rFonts w:ascii="Palatino Linotype" w:eastAsia="Palatino Linotype" w:hAnsi="Palatino Linotype" w:cs="Palatino Linotype"/>
          <w:sz w:val="22"/>
          <w:szCs w:val="22"/>
        </w:rPr>
        <w:t xml:space="preserve"> </w:t>
      </w:r>
      <w:r w:rsidRPr="00B51FDC">
        <w:rPr>
          <w:rFonts w:ascii="Palatino Linotype" w:eastAsia="Palatino Linotype" w:hAnsi="Palatino Linotype" w:cs="Palatino Linotype"/>
          <w:b/>
          <w:bCs/>
          <w:sz w:val="22"/>
          <w:szCs w:val="22"/>
        </w:rPr>
        <w:t>Solicitud de Acceso a la Información. El veinte de agosto de dos mil veinticinco</w:t>
      </w:r>
      <w:r w:rsidRPr="00B51FDC">
        <w:rPr>
          <w:rFonts w:ascii="Palatino Linotype" w:eastAsia="Palatino Linotype" w:hAnsi="Palatino Linotype" w:cs="Palatino Linotype"/>
          <w:sz w:val="22"/>
          <w:szCs w:val="22"/>
        </w:rPr>
        <w:t xml:space="preserve">, </w:t>
      </w:r>
      <w:r w:rsidRPr="00B51FDC">
        <w:rPr>
          <w:rFonts w:ascii="Palatino Linotype" w:eastAsia="Palatino Linotype" w:hAnsi="Palatino Linotype" w:cs="Palatino Linotype"/>
          <w:b/>
          <w:bCs/>
          <w:sz w:val="22"/>
          <w:szCs w:val="22"/>
        </w:rPr>
        <w:t>LA PARTE</w:t>
      </w:r>
      <w:r w:rsidRPr="00B51FDC">
        <w:rPr>
          <w:rFonts w:ascii="Palatino Linotype" w:eastAsia="Palatino Linotype" w:hAnsi="Palatino Linotype" w:cs="Palatino Linotype"/>
          <w:sz w:val="22"/>
          <w:szCs w:val="22"/>
        </w:rPr>
        <w:t xml:space="preserve"> </w:t>
      </w:r>
      <w:r w:rsidRPr="00B51FDC">
        <w:rPr>
          <w:rFonts w:ascii="Palatino Linotype" w:eastAsia="Palatino Linotype" w:hAnsi="Palatino Linotype" w:cs="Palatino Linotype"/>
          <w:b/>
          <w:bCs/>
          <w:sz w:val="22"/>
          <w:szCs w:val="22"/>
        </w:rPr>
        <w:t>RECURRENTE</w:t>
      </w:r>
      <w:r w:rsidRPr="00B51FDC">
        <w:rPr>
          <w:rFonts w:ascii="Palatino Linotype" w:eastAsia="Palatino Linotype" w:hAnsi="Palatino Linotype" w:cs="Palatino Linotype"/>
          <w:sz w:val="22"/>
          <w:szCs w:val="22"/>
        </w:rPr>
        <w:t xml:space="preserve"> formuló solicitud de acceso a información pública a través del </w:t>
      </w:r>
      <w:r w:rsidRPr="00B51FDC">
        <w:rPr>
          <w:rFonts w:ascii="Palatino Linotype" w:eastAsia="Palatino Linotype" w:hAnsi="Palatino Linotype" w:cs="Palatino Linotype"/>
          <w:b/>
          <w:bCs/>
          <w:sz w:val="22"/>
          <w:szCs w:val="22"/>
        </w:rPr>
        <w:t>SAIMEX</w:t>
      </w:r>
      <w:r w:rsidRPr="00B51FDC">
        <w:rPr>
          <w:rFonts w:ascii="Palatino Linotype" w:eastAsia="Palatino Linotype" w:hAnsi="Palatino Linotype" w:cs="Palatino Linotype"/>
          <w:sz w:val="22"/>
          <w:szCs w:val="22"/>
        </w:rPr>
        <w:t xml:space="preserve">, en la que requirió lo siguiente: </w:t>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1" w:name="_heading=h.3znysh7" w:colFirst="0" w:colLast="0"/>
      <w:bookmarkEnd w:id="1"/>
      <w:r w:rsidRPr="00B51FDC">
        <w:rPr>
          <w:rFonts w:ascii="Palatino Linotype" w:eastAsia="Palatino Linotype" w:hAnsi="Palatino Linotype" w:cs="Palatino Linotype"/>
          <w:b/>
          <w:bCs/>
          <w:sz w:val="22"/>
          <w:szCs w:val="22"/>
        </w:rPr>
        <w:t xml:space="preserve">00382/ALMOJU/IP/2025 </w:t>
      </w:r>
    </w:p>
    <w:p w:rsidR="004D1F9C" w:rsidRPr="00B51FDC" w:rsidRDefault="00724ACC">
      <w:pPr>
        <w:spacing w:line="360" w:lineRule="auto"/>
        <w:ind w:left="567" w:right="-7"/>
        <w:jc w:val="both"/>
        <w:rPr>
          <w:rFonts w:ascii="Palatino Linotype" w:eastAsia="Palatino Linotype" w:hAnsi="Palatino Linotype" w:cs="Palatino Linotype"/>
          <w:b/>
          <w:bCs/>
          <w:i/>
          <w:iCs/>
          <w:sz w:val="22"/>
          <w:szCs w:val="22"/>
        </w:rPr>
      </w:pPr>
      <w:r w:rsidRPr="00B51FDC">
        <w:rPr>
          <w:rFonts w:ascii="Palatino Linotype" w:eastAsia="Palatino Linotype" w:hAnsi="Palatino Linotype" w:cs="Palatino Linotype"/>
          <w:i/>
          <w:iCs/>
          <w:sz w:val="22"/>
          <w:szCs w:val="22"/>
        </w:rPr>
        <w:t>"Solicito los planos en los que se contemplen carreteras, caminos, pasos y brechas del Ejido San Pedro, Municipio de Almoloya de Juárez.</w:t>
      </w:r>
      <w:r w:rsidRPr="00B51FDC">
        <w:rPr>
          <w:rFonts w:ascii="Palatino Linotype" w:eastAsia="Palatino Linotype" w:hAnsi="Palatino Linotype" w:cs="Palatino Linotype"/>
          <w:b/>
          <w:bCs/>
          <w:i/>
          <w:iCs/>
          <w:sz w:val="22"/>
          <w:szCs w:val="22"/>
        </w:rPr>
        <w:t>” (Sic.)</w:t>
      </w:r>
    </w:p>
    <w:p w:rsidR="004D1F9C" w:rsidRPr="00B51FDC" w:rsidRDefault="004D1F9C">
      <w:pPr>
        <w:spacing w:line="360" w:lineRule="auto"/>
        <w:ind w:left="567" w:right="843"/>
        <w:jc w:val="both"/>
        <w:rPr>
          <w:rFonts w:ascii="Palatino Linotype" w:eastAsia="Palatino Linotype" w:hAnsi="Palatino Linotype" w:cs="Palatino Linotype"/>
          <w:i/>
          <w:iCs/>
          <w:sz w:val="22"/>
          <w:szCs w:val="22"/>
        </w:rPr>
      </w:pPr>
    </w:p>
    <w:p w:rsidR="004D1F9C" w:rsidRPr="00B51FDC" w:rsidRDefault="00724ACC">
      <w:pPr>
        <w:spacing w:line="360" w:lineRule="auto"/>
        <w:ind w:right="49"/>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Modalidad elegida para la entrega de la información:</w:t>
      </w:r>
      <w:r w:rsidRPr="00B51FDC">
        <w:rPr>
          <w:rFonts w:ascii="Palatino Linotype" w:eastAsia="Palatino Linotype" w:hAnsi="Palatino Linotype" w:cs="Palatino Linotype"/>
          <w:sz w:val="22"/>
          <w:szCs w:val="22"/>
        </w:rPr>
        <w:t xml:space="preserve"> a través del Sistema de Acceso a la Información Mexiquense (SAIMEX).</w:t>
      </w:r>
    </w:p>
    <w:p w:rsidR="004D1F9C" w:rsidRPr="00B51FDC" w:rsidRDefault="004D1F9C">
      <w:pPr>
        <w:spacing w:line="360" w:lineRule="auto"/>
        <w:ind w:right="49"/>
        <w:jc w:val="both"/>
        <w:rPr>
          <w:rFonts w:ascii="Palatino Linotype" w:eastAsia="Palatino Linotype" w:hAnsi="Palatino Linotype" w:cs="Palatino Linotype"/>
          <w:sz w:val="22"/>
          <w:szCs w:val="22"/>
        </w:rPr>
      </w:pPr>
    </w:p>
    <w:p w:rsidR="004D1F9C" w:rsidRPr="00B51FDC" w:rsidRDefault="00724ACC">
      <w:pPr>
        <w:widowControl w:val="0"/>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2. Respuesta.</w:t>
      </w:r>
      <w:r w:rsidRPr="00B51FDC">
        <w:rPr>
          <w:rFonts w:ascii="Palatino Linotype" w:eastAsia="Palatino Linotype" w:hAnsi="Palatino Linotype" w:cs="Palatino Linotype"/>
          <w:sz w:val="22"/>
          <w:szCs w:val="22"/>
        </w:rPr>
        <w:t xml:space="preserve"> El </w:t>
      </w:r>
      <w:r w:rsidRPr="00B51FDC">
        <w:rPr>
          <w:rFonts w:ascii="Palatino Linotype" w:eastAsia="Palatino Linotype" w:hAnsi="Palatino Linotype" w:cs="Palatino Linotype"/>
          <w:b/>
          <w:bCs/>
          <w:sz w:val="22"/>
          <w:szCs w:val="22"/>
        </w:rPr>
        <w:t>veintiséis de agosto de dos mil veinticinco</w:t>
      </w:r>
      <w:r w:rsidRPr="00B51FDC">
        <w:rPr>
          <w:rFonts w:ascii="Palatino Linotype" w:eastAsia="Palatino Linotype" w:hAnsi="Palatino Linotype" w:cs="Palatino Linotype"/>
          <w:sz w:val="22"/>
          <w:szCs w:val="22"/>
        </w:rPr>
        <w:t>, el Sujeto Obligado dio respuesta a la solicitud, señalando lo siguiente:</w:t>
      </w:r>
    </w:p>
    <w:p w:rsidR="004D1F9C" w:rsidRPr="00B51FDC" w:rsidRDefault="004D1F9C">
      <w:pPr>
        <w:widowControl w:val="0"/>
        <w:spacing w:line="360" w:lineRule="auto"/>
        <w:jc w:val="both"/>
        <w:rPr>
          <w:rFonts w:ascii="Palatino Linotype" w:eastAsia="Palatino Linotype" w:hAnsi="Palatino Linotype" w:cs="Palatino Linotype"/>
          <w:sz w:val="22"/>
          <w:szCs w:val="22"/>
        </w:rPr>
      </w:pPr>
    </w:p>
    <w:p w:rsidR="004D1F9C" w:rsidRPr="00B51FDC" w:rsidRDefault="00724ACC">
      <w:pPr>
        <w:widowControl w:val="0"/>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“Con fundamento en lo establecido en los artículos 4, 12, 59 y 164 de la Ley de Transparencia y Acceso a la Información Pública del Estado de México y Municipios, se adjunta la respuesta proporcionada por autoridad competente. Se le hace de su conocimiento que en caso de no estar conforme con la respuesta proporcionada, tiene derecho a impugnarla a través del recurso de revisión de conformidad con lo dispuesto en el artículo 177 de la Ley de Transparencia y Acceso a la Información Pública del Estado de México y Municipios, dentro del plazo de 15 días hábiles contados a partir del día siguiente de la presente notificación.</w:t>
      </w:r>
    </w:p>
    <w:p w:rsidR="004D1F9C" w:rsidRPr="00B51FDC" w:rsidRDefault="00724ACC">
      <w:pPr>
        <w:widowControl w:val="0"/>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ATENTAMENTE</w:t>
      </w:r>
    </w:p>
    <w:p w:rsidR="004D1F9C" w:rsidRPr="00B51FDC" w:rsidRDefault="00724ACC">
      <w:pPr>
        <w:widowControl w:val="0"/>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LICENCIADO Christian Alejandro Arellano Serrano”</w:t>
      </w:r>
    </w:p>
    <w:p w:rsidR="004D1F9C" w:rsidRPr="00B51FDC" w:rsidRDefault="004D1F9C">
      <w:pPr>
        <w:widowControl w:val="0"/>
        <w:spacing w:line="360" w:lineRule="auto"/>
        <w:jc w:val="both"/>
        <w:rPr>
          <w:rFonts w:ascii="Palatino Linotype" w:eastAsia="Palatino Linotype" w:hAnsi="Palatino Linotype" w:cs="Palatino Linotype"/>
          <w:sz w:val="22"/>
          <w:szCs w:val="22"/>
        </w:rPr>
      </w:pPr>
    </w:p>
    <w:p w:rsidR="004D1F9C" w:rsidRPr="00B51FDC" w:rsidRDefault="00724ACC">
      <w:pPr>
        <w:widowControl w:val="0"/>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Además, adjuntó a la respuesta el documento electrónico siguiente:</w:t>
      </w:r>
    </w:p>
    <w:p w:rsidR="004D1F9C" w:rsidRPr="00B51FDC" w:rsidRDefault="004D1F9C">
      <w:pPr>
        <w:widowControl w:val="0"/>
        <w:spacing w:line="360" w:lineRule="auto"/>
        <w:jc w:val="both"/>
        <w:rPr>
          <w:rFonts w:ascii="Palatino Linotype" w:eastAsia="Palatino Linotype" w:hAnsi="Palatino Linotype" w:cs="Palatino Linotype"/>
          <w:sz w:val="22"/>
          <w:szCs w:val="22"/>
        </w:rPr>
      </w:pPr>
    </w:p>
    <w:p w:rsidR="004D1F9C" w:rsidRPr="00B51FDC" w:rsidRDefault="00724ACC">
      <w:pPr>
        <w:widowControl w:val="0"/>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roofErr w:type="spellStart"/>
      <w:r w:rsidRPr="00B51FDC">
        <w:rPr>
          <w:rFonts w:ascii="Palatino Linotype" w:eastAsia="Palatino Linotype" w:hAnsi="Palatino Linotype" w:cs="Palatino Linotype"/>
          <w:b/>
          <w:bCs/>
          <w:sz w:val="22"/>
          <w:szCs w:val="22"/>
        </w:rPr>
        <w:t>Resp.Sol</w:t>
      </w:r>
      <w:proofErr w:type="spellEnd"/>
      <w:r w:rsidRPr="00B51FDC">
        <w:rPr>
          <w:rFonts w:ascii="Palatino Linotype" w:eastAsia="Palatino Linotype" w:hAnsi="Palatino Linotype" w:cs="Palatino Linotype"/>
          <w:b/>
          <w:bCs/>
          <w:sz w:val="22"/>
          <w:szCs w:val="22"/>
        </w:rPr>
        <w:t xml:space="preserve"> 00382-2025.pdf: </w:t>
      </w:r>
      <w:r w:rsidRPr="00B51FDC">
        <w:rPr>
          <w:rFonts w:ascii="Palatino Linotype" w:eastAsia="Palatino Linotype" w:hAnsi="Palatino Linotype" w:cs="Palatino Linotype"/>
          <w:sz w:val="22"/>
          <w:szCs w:val="22"/>
        </w:rPr>
        <w:t>Contiene dos oficios, el primero corresponde al Turno de la Unidad de Transparencia al Servidor Público habilitado. El segundo, corresponde al oficio del Director de Obras Públicas mediante el cual refiere que la información requerida es competencia de la Dirección de Desarrollo Urbano.</w:t>
      </w:r>
    </w:p>
    <w:p w:rsidR="004D1F9C" w:rsidRPr="00B51FDC" w:rsidRDefault="004D1F9C">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 xml:space="preserve">3. Del Recurso de Revisión. </w:t>
      </w:r>
      <w:r w:rsidRPr="00B51FDC">
        <w:rPr>
          <w:rFonts w:ascii="Palatino Linotype" w:eastAsia="Palatino Linotype" w:hAnsi="Palatino Linotype" w:cs="Palatino Linotype"/>
          <w:sz w:val="22"/>
          <w:szCs w:val="22"/>
        </w:rPr>
        <w:t>Inconforme con la respuesta del</w:t>
      </w:r>
      <w:r w:rsidRPr="00B51FDC">
        <w:rPr>
          <w:rFonts w:ascii="Palatino Linotype" w:eastAsia="Palatino Linotype" w:hAnsi="Palatino Linotype" w:cs="Palatino Linotype"/>
          <w:b/>
          <w:bCs/>
          <w:sz w:val="22"/>
          <w:szCs w:val="22"/>
        </w:rPr>
        <w:t xml:space="preserve"> SUJETO OBLIGADO, </w:t>
      </w:r>
      <w:r w:rsidRPr="00B51FDC">
        <w:rPr>
          <w:rFonts w:ascii="Palatino Linotype" w:eastAsia="Palatino Linotype" w:hAnsi="Palatino Linotype" w:cs="Palatino Linotype"/>
          <w:sz w:val="22"/>
          <w:szCs w:val="22"/>
        </w:rPr>
        <w:t xml:space="preserve">el </w:t>
      </w:r>
      <w:r w:rsidRPr="00B51FDC">
        <w:rPr>
          <w:rFonts w:ascii="Palatino Linotype" w:eastAsia="Palatino Linotype" w:hAnsi="Palatino Linotype" w:cs="Palatino Linotype"/>
          <w:b/>
          <w:bCs/>
          <w:sz w:val="22"/>
          <w:szCs w:val="22"/>
        </w:rPr>
        <w:t xml:space="preserve">veintiocho de agosto de dos mil veinticinco, LA PARTE RECURRENTE </w:t>
      </w:r>
      <w:r w:rsidRPr="00B51FDC">
        <w:rPr>
          <w:rFonts w:ascii="Palatino Linotype" w:eastAsia="Palatino Linotype" w:hAnsi="Palatino Linotype" w:cs="Palatino Linotype"/>
          <w:sz w:val="22"/>
          <w:szCs w:val="22"/>
        </w:rPr>
        <w:t xml:space="preserve">interpuso el recurso de revisión, mediante el cual y manifestó lo siguiente: </w:t>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B51FDC">
        <w:rPr>
          <w:rFonts w:ascii="Palatino Linotype" w:eastAsia="Palatino Linotype" w:hAnsi="Palatino Linotype" w:cs="Palatino Linotype"/>
          <w:b/>
          <w:bCs/>
          <w:sz w:val="22"/>
          <w:szCs w:val="22"/>
        </w:rPr>
        <w:t>Acto Impugnado:</w:t>
      </w:r>
      <w:r w:rsidRPr="00B51FDC">
        <w:rPr>
          <w:rFonts w:ascii="Palatino Linotype" w:eastAsia="Palatino Linotype" w:hAnsi="Palatino Linotype" w:cs="Palatino Linotype"/>
          <w:sz w:val="22"/>
          <w:szCs w:val="22"/>
        </w:rPr>
        <w:t xml:space="preserve"> “</w:t>
      </w:r>
      <w:r w:rsidRPr="00B51FDC">
        <w:rPr>
          <w:rFonts w:ascii="Palatino Linotype" w:eastAsia="Palatino Linotype" w:hAnsi="Palatino Linotype" w:cs="Palatino Linotype"/>
          <w:i/>
          <w:iCs/>
          <w:sz w:val="22"/>
          <w:szCs w:val="22"/>
        </w:rPr>
        <w:t>La respuesta</w:t>
      </w:r>
      <w:r w:rsidRPr="00B51FDC">
        <w:rPr>
          <w:rFonts w:ascii="Palatino Linotype" w:eastAsia="Palatino Linotype" w:hAnsi="Palatino Linotype" w:cs="Palatino Linotype"/>
          <w:sz w:val="22"/>
          <w:szCs w:val="22"/>
        </w:rPr>
        <w:t>” (Sic.)</w:t>
      </w:r>
    </w:p>
    <w:p w:rsidR="004D1F9C" w:rsidRPr="00B51FDC" w:rsidRDefault="004D1F9C">
      <w:pPr>
        <w:pBdr>
          <w:top w:val="nil"/>
          <w:left w:val="nil"/>
          <w:bottom w:val="nil"/>
          <w:right w:val="nil"/>
          <w:between w:val="nil"/>
        </w:pBdr>
        <w:spacing w:line="360" w:lineRule="auto"/>
        <w:ind w:left="720" w:right="560"/>
        <w:jc w:val="both"/>
        <w:rPr>
          <w:rFonts w:ascii="Palatino Linotype" w:eastAsia="Palatino Linotype" w:hAnsi="Palatino Linotype" w:cs="Palatino Linotype"/>
          <w:i/>
          <w:iCs/>
          <w:sz w:val="22"/>
          <w:szCs w:val="22"/>
        </w:rPr>
      </w:pPr>
    </w:p>
    <w:p w:rsidR="004D1F9C" w:rsidRPr="00B51FDC" w:rsidRDefault="00724ACC">
      <w:pPr>
        <w:numPr>
          <w:ilvl w:val="0"/>
          <w:numId w:val="1"/>
        </w:numPr>
        <w:pBdr>
          <w:top w:val="nil"/>
          <w:left w:val="nil"/>
          <w:bottom w:val="nil"/>
          <w:right w:val="nil"/>
          <w:between w:val="nil"/>
        </w:pBdr>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lastRenderedPageBreak/>
        <w:t>Motivo de inconformidad:</w:t>
      </w:r>
      <w:r w:rsidRPr="00B51FDC">
        <w:rPr>
          <w:rFonts w:ascii="Palatino Linotype" w:eastAsia="Palatino Linotype" w:hAnsi="Palatino Linotype" w:cs="Palatino Linotype"/>
          <w:sz w:val="22"/>
          <w:szCs w:val="22"/>
        </w:rPr>
        <w:t xml:space="preserve"> “</w:t>
      </w:r>
      <w:r w:rsidRPr="00B51FDC">
        <w:rPr>
          <w:rFonts w:ascii="Palatino Linotype" w:eastAsia="Palatino Linotype" w:hAnsi="Palatino Linotype" w:cs="Palatino Linotype"/>
          <w:i/>
          <w:iCs/>
          <w:sz w:val="22"/>
          <w:szCs w:val="22"/>
        </w:rPr>
        <w:t>La Unidad de Transparencia no dio cumplimiento a la búsqueda exhaustiva y minuciosa en las áreas que pueden tener la información requerida, pues de su respuesta se desprende que si existe el área que puede tener la información.</w:t>
      </w:r>
      <w:r w:rsidRPr="00B51FDC">
        <w:rPr>
          <w:rFonts w:ascii="Palatino Linotype" w:eastAsia="Palatino Linotype" w:hAnsi="Palatino Linotype" w:cs="Palatino Linotype"/>
          <w:sz w:val="22"/>
          <w:szCs w:val="22"/>
        </w:rPr>
        <w:t>” (Sic.)</w:t>
      </w:r>
    </w:p>
    <w:p w:rsidR="004D1F9C" w:rsidRPr="00B51FDC" w:rsidRDefault="004D1F9C">
      <w:pPr>
        <w:pBdr>
          <w:top w:val="nil"/>
          <w:left w:val="nil"/>
          <w:bottom w:val="nil"/>
          <w:right w:val="nil"/>
          <w:between w:val="nil"/>
        </w:pBdr>
        <w:spacing w:line="360" w:lineRule="auto"/>
        <w:ind w:left="720"/>
        <w:rPr>
          <w:rFonts w:ascii="Palatino Linotype" w:eastAsia="Palatino Linotype" w:hAnsi="Palatino Linotype" w:cs="Palatino Linotype"/>
          <w:i/>
          <w:iCs/>
          <w:sz w:val="22"/>
          <w:szCs w:val="22"/>
        </w:rPr>
      </w:pP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 xml:space="preserve">4. Turno. </w:t>
      </w:r>
      <w:r w:rsidRPr="00B51FD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B51FDC">
        <w:rPr>
          <w:rFonts w:ascii="Palatino Linotype" w:eastAsia="Palatino Linotype" w:hAnsi="Palatino Linotype" w:cs="Palatino Linotype"/>
          <w:b/>
          <w:bCs/>
          <w:sz w:val="22"/>
          <w:szCs w:val="22"/>
        </w:rPr>
        <w:t>10144/INFOEM/IP/RR/2025</w:t>
      </w:r>
      <w:r w:rsidRPr="00B51FDC">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B51FDC">
        <w:rPr>
          <w:rFonts w:ascii="Palatino Linotype" w:eastAsia="Palatino Linotype" w:hAnsi="Palatino Linotype" w:cs="Palatino Linotype"/>
          <w:b/>
          <w:bCs/>
          <w:sz w:val="22"/>
          <w:szCs w:val="22"/>
        </w:rPr>
        <w:t>Guadalupe Ramírez Peña</w:t>
      </w:r>
      <w:r w:rsidRPr="00B51FDC">
        <w:rPr>
          <w:rFonts w:ascii="Palatino Linotype" w:eastAsia="Palatino Linotype" w:hAnsi="Palatino Linotype" w:cs="Palatino Linotype"/>
          <w:sz w:val="22"/>
          <w:szCs w:val="22"/>
        </w:rPr>
        <w:t xml:space="preserve">, para su análisis, estudio, elaboración del proyecto y presentación ante el Pleno de este Instituto. </w:t>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spacing w:line="360" w:lineRule="auto"/>
        <w:jc w:val="both"/>
        <w:rPr>
          <w:rFonts w:ascii="Palatino Linotype" w:eastAsia="Palatino Linotype" w:hAnsi="Palatino Linotype" w:cs="Palatino Linotype"/>
          <w:b/>
          <w:bCs/>
          <w:sz w:val="22"/>
          <w:szCs w:val="22"/>
        </w:rPr>
      </w:pPr>
      <w:r w:rsidRPr="00B51FDC">
        <w:rPr>
          <w:rFonts w:ascii="Palatino Linotype" w:eastAsia="Palatino Linotype" w:hAnsi="Palatino Linotype" w:cs="Palatino Linotype"/>
          <w:b/>
          <w:bCs/>
          <w:sz w:val="22"/>
          <w:szCs w:val="22"/>
        </w:rPr>
        <w:t xml:space="preserve">5. Admisión. </w:t>
      </w:r>
      <w:r w:rsidRPr="00B51FDC">
        <w:rPr>
          <w:rFonts w:ascii="Palatino Linotype" w:eastAsia="Palatino Linotype" w:hAnsi="Palatino Linotype" w:cs="Palatino Linotype"/>
          <w:sz w:val="22"/>
          <w:szCs w:val="22"/>
        </w:rPr>
        <w:t xml:space="preserve">El </w:t>
      </w:r>
      <w:r w:rsidRPr="00B51FDC">
        <w:rPr>
          <w:rFonts w:ascii="Palatino Linotype" w:eastAsia="Palatino Linotype" w:hAnsi="Palatino Linotype" w:cs="Palatino Linotype"/>
          <w:b/>
          <w:bCs/>
          <w:sz w:val="22"/>
          <w:szCs w:val="22"/>
        </w:rPr>
        <w:t>dos de septiembre de dos mil veinticinco</w:t>
      </w:r>
      <w:r w:rsidRPr="00B51FDC">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B51FDC">
        <w:rPr>
          <w:rFonts w:ascii="Palatino Linotype" w:eastAsia="Palatino Linotype" w:hAnsi="Palatino Linotype" w:cs="Palatino Linotype"/>
          <w:b/>
          <w:bCs/>
          <w:sz w:val="22"/>
          <w:szCs w:val="22"/>
        </w:rPr>
        <w:t xml:space="preserve">. </w:t>
      </w:r>
    </w:p>
    <w:p w:rsidR="004D1F9C" w:rsidRPr="00B51FDC" w:rsidRDefault="004D1F9C">
      <w:pPr>
        <w:spacing w:line="360" w:lineRule="auto"/>
        <w:jc w:val="both"/>
        <w:rPr>
          <w:rFonts w:ascii="Palatino Linotype" w:eastAsia="Palatino Linotype" w:hAnsi="Palatino Linotype" w:cs="Palatino Linotype"/>
          <w:b/>
          <w:bCs/>
          <w:sz w:val="22"/>
          <w:szCs w:val="22"/>
        </w:rPr>
      </w:pP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6. Manifestaciones.</w:t>
      </w:r>
      <w:r w:rsidRPr="00B51FDC">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B51FDC">
        <w:rPr>
          <w:rFonts w:ascii="Palatino Linotype" w:eastAsia="Palatino Linotype" w:hAnsi="Palatino Linotype" w:cs="Palatino Linotype"/>
          <w:b/>
          <w:bCs/>
          <w:sz w:val="22"/>
          <w:szCs w:val="22"/>
        </w:rPr>
        <w:t>tres de octubre de dos mil veinticinco</w:t>
      </w:r>
      <w:r w:rsidRPr="00B51FDC">
        <w:rPr>
          <w:rFonts w:ascii="Palatino Linotype" w:eastAsia="Palatino Linotype" w:hAnsi="Palatino Linotype" w:cs="Palatino Linotype"/>
          <w:sz w:val="22"/>
          <w:szCs w:val="22"/>
        </w:rPr>
        <w:t xml:space="preserve">, mediante el documento electrónico </w:t>
      </w:r>
      <w:proofErr w:type="spellStart"/>
      <w:r w:rsidRPr="00B51FDC">
        <w:rPr>
          <w:rFonts w:ascii="Palatino Linotype" w:eastAsia="Palatino Linotype" w:hAnsi="Palatino Linotype" w:cs="Palatino Linotype"/>
          <w:b/>
          <w:bCs/>
          <w:sz w:val="22"/>
          <w:szCs w:val="22"/>
        </w:rPr>
        <w:t>Resp.Sol</w:t>
      </w:r>
      <w:proofErr w:type="spellEnd"/>
      <w:r w:rsidRPr="00B51FDC">
        <w:rPr>
          <w:rFonts w:ascii="Palatino Linotype" w:eastAsia="Palatino Linotype" w:hAnsi="Palatino Linotype" w:cs="Palatino Linotype"/>
          <w:b/>
          <w:bCs/>
          <w:sz w:val="22"/>
          <w:szCs w:val="22"/>
        </w:rPr>
        <w:t xml:space="preserve"> 00382-2025 1.pdf</w:t>
      </w:r>
      <w:r w:rsidRPr="00B51FDC">
        <w:rPr>
          <w:rFonts w:ascii="Palatino Linotype" w:eastAsia="Palatino Linotype" w:hAnsi="Palatino Linotype" w:cs="Palatino Linotype"/>
          <w:sz w:val="22"/>
          <w:szCs w:val="22"/>
        </w:rPr>
        <w:t xml:space="preserve"> mediante el cual, el Director de Desarrollo Urbano informa que no cuenta con información alguna, por no haber realizado algún reconocimiento oficial por parte de la comunidad referida. Sin embargo, al ser un polígono ejidal, se podrá dirigir a la Mesa del Comisariado Ejidal, para saber si dentro de su cartografía existen besanas, caminos saca cosechas, veredas o algún paso contemplado. El contenido del documento electrónico se puso a disposición del Recurrente el </w:t>
      </w:r>
      <w:r w:rsidRPr="00B51FDC">
        <w:rPr>
          <w:rFonts w:ascii="Palatino Linotype" w:eastAsia="Palatino Linotype" w:hAnsi="Palatino Linotype" w:cs="Palatino Linotype"/>
          <w:b/>
          <w:bCs/>
          <w:sz w:val="22"/>
          <w:szCs w:val="22"/>
        </w:rPr>
        <w:t>quince de diciembre de dos mil veinticinco</w:t>
      </w:r>
      <w:r w:rsidRPr="00B51FDC">
        <w:rPr>
          <w:rFonts w:ascii="Palatino Linotype" w:eastAsia="Palatino Linotype" w:hAnsi="Palatino Linotype" w:cs="Palatino Linotype"/>
          <w:sz w:val="22"/>
          <w:szCs w:val="22"/>
        </w:rPr>
        <w:t>.</w:t>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7. Ampliación de plazo. El doce de enero de dos mil veintiséis</w:t>
      </w:r>
      <w:r w:rsidRPr="00B51FDC">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4D1F9C" w:rsidRPr="00B51FDC" w:rsidRDefault="00724ACC">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Complejidad del Asunto:</w:t>
      </w:r>
      <w:r w:rsidRPr="00B51FD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rsidR="004D1F9C" w:rsidRPr="00B51FDC" w:rsidRDefault="00724ACC">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Actividad Procesal del interesado</w:t>
      </w:r>
      <w:r w:rsidRPr="00B51FDC">
        <w:rPr>
          <w:rFonts w:ascii="Palatino Linotype" w:eastAsia="Palatino Linotype" w:hAnsi="Palatino Linotype" w:cs="Palatino Linotype"/>
          <w:sz w:val="22"/>
          <w:szCs w:val="22"/>
        </w:rPr>
        <w:t>. Acciones u omisiones del interesado.</w:t>
      </w:r>
    </w:p>
    <w:p w:rsidR="004D1F9C" w:rsidRPr="00B51FDC" w:rsidRDefault="00724ACC">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Conducta de la Autoridad:</w:t>
      </w:r>
      <w:r w:rsidRPr="00B51FD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rsidR="004D1F9C" w:rsidRPr="00B51FDC" w:rsidRDefault="00724ACC">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La afectación generada en la situación jurídica de la persona involucrada en el proceso:</w:t>
      </w:r>
      <w:r w:rsidRPr="00B51FDC">
        <w:rPr>
          <w:rFonts w:ascii="Palatino Linotype" w:eastAsia="Palatino Linotype" w:hAnsi="Palatino Linotype" w:cs="Palatino Linotype"/>
          <w:sz w:val="22"/>
          <w:szCs w:val="22"/>
        </w:rPr>
        <w:t xml:space="preserve"> Violación a sus derechos humanos.</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51FDC">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B51FDC">
        <w:rPr>
          <w:rFonts w:ascii="Palatino Linotype" w:eastAsia="Palatino Linotype" w:hAnsi="Palatino Linotype" w:cs="Palatino Linotype"/>
          <w:sz w:val="22"/>
          <w:szCs w:val="22"/>
        </w:rPr>
        <w:t>, visible en la Gaceta del Seminario Judicial de la Federación con el registro digital 205635.</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4D1F9C" w:rsidRPr="00B51FDC" w:rsidRDefault="00724ACC">
      <w:pPr>
        <w:spacing w:before="240" w:after="240" w:line="360" w:lineRule="auto"/>
        <w:ind w:left="851" w:right="900"/>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 </w:t>
      </w:r>
      <w:r w:rsidRPr="00B51FDC">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B51FDC">
        <w:rPr>
          <w:rFonts w:ascii="Palatino Linotype" w:eastAsia="Palatino Linotype" w:hAnsi="Palatino Linotype" w:cs="Palatino Linotype"/>
          <w:i/>
          <w:iCs/>
          <w:sz w:val="22"/>
          <w:szCs w:val="22"/>
        </w:rPr>
        <w:t>.”</w:t>
      </w:r>
      <w:r w:rsidRPr="00B51FDC">
        <w:rPr>
          <w:rFonts w:ascii="Palatino Linotype" w:eastAsia="Palatino Linotype" w:hAnsi="Palatino Linotype" w:cs="Palatino Linotype"/>
          <w:sz w:val="22"/>
          <w:szCs w:val="22"/>
        </w:rPr>
        <w:t xml:space="preserve"> consultable en el Seminario Judicial de la Federación y su gaceta, con el registro digital 2002351.</w:t>
      </w:r>
    </w:p>
    <w:p w:rsidR="004D1F9C" w:rsidRPr="00B51FDC" w:rsidRDefault="00724ACC">
      <w:pPr>
        <w:spacing w:before="240" w:after="240" w:line="360" w:lineRule="auto"/>
        <w:ind w:left="851" w:right="900"/>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B51FDC">
        <w:rPr>
          <w:rFonts w:ascii="Palatino Linotype" w:eastAsia="Palatino Linotype" w:hAnsi="Palatino Linotype" w:cs="Palatino Linotype"/>
          <w:sz w:val="22"/>
          <w:szCs w:val="22"/>
        </w:rPr>
        <w:t>, visible en el Seminario Judicial de la Federación y su gaceta, con el registro digital 2002350.</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4D1F9C" w:rsidRPr="00B51FDC" w:rsidRDefault="00724AC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8. Cierre de instrucción</w:t>
      </w:r>
      <w:r w:rsidRPr="00B51FDC">
        <w:rPr>
          <w:rFonts w:ascii="Palatino Linotype" w:eastAsia="Palatino Linotype" w:hAnsi="Palatino Linotype" w:cs="Palatino Linotype"/>
          <w:sz w:val="22"/>
          <w:szCs w:val="22"/>
        </w:rPr>
        <w:t xml:space="preserve">. En fecha </w:t>
      </w:r>
      <w:r w:rsidRPr="00B51FDC">
        <w:rPr>
          <w:rFonts w:ascii="Palatino Linotype" w:eastAsia="Palatino Linotype" w:hAnsi="Palatino Linotype" w:cs="Palatino Linotype"/>
          <w:b/>
          <w:bCs/>
          <w:sz w:val="22"/>
          <w:szCs w:val="22"/>
        </w:rPr>
        <w:t>doce</w:t>
      </w:r>
      <w:r w:rsidRPr="00B51FDC">
        <w:rPr>
          <w:rFonts w:ascii="Palatino Linotype" w:eastAsia="Palatino Linotype" w:hAnsi="Palatino Linotype" w:cs="Palatino Linotype"/>
          <w:sz w:val="22"/>
          <w:szCs w:val="22"/>
        </w:rPr>
        <w:t xml:space="preserve"> </w:t>
      </w:r>
      <w:r w:rsidRPr="00B51FDC">
        <w:rPr>
          <w:rFonts w:ascii="Palatino Linotype" w:eastAsia="Palatino Linotype" w:hAnsi="Palatino Linotype" w:cs="Palatino Linotype"/>
          <w:b/>
          <w:bCs/>
          <w:sz w:val="22"/>
          <w:szCs w:val="22"/>
        </w:rPr>
        <w:t>de enero de dos mil veintiséis</w:t>
      </w:r>
      <w:r w:rsidRPr="00B51FD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rsidR="004D1F9C" w:rsidRPr="00B51FDC" w:rsidRDefault="004D1F9C">
      <w:pPr>
        <w:spacing w:line="360" w:lineRule="auto"/>
        <w:ind w:right="49"/>
        <w:jc w:val="both"/>
        <w:rPr>
          <w:rFonts w:ascii="Palatino Linotype" w:eastAsia="Palatino Linotype" w:hAnsi="Palatino Linotype" w:cs="Palatino Linotype"/>
          <w:sz w:val="22"/>
          <w:szCs w:val="22"/>
        </w:rPr>
      </w:pPr>
    </w:p>
    <w:p w:rsidR="004D1F9C" w:rsidRPr="00B51FDC" w:rsidRDefault="00724ACC">
      <w:pPr>
        <w:spacing w:line="360" w:lineRule="auto"/>
        <w:ind w:right="49"/>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Debido a que fue debidamente sustanciado </w:t>
      </w:r>
      <w:r w:rsidRPr="00B51FDC">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rsidR="004D1F9C" w:rsidRPr="00B51FDC" w:rsidRDefault="004D1F9C">
      <w:pPr>
        <w:spacing w:line="360" w:lineRule="auto"/>
        <w:ind w:right="49"/>
        <w:jc w:val="both"/>
        <w:rPr>
          <w:rFonts w:ascii="Palatino Linotype" w:eastAsia="Palatino Linotype" w:hAnsi="Palatino Linotype" w:cs="Palatino Linotype"/>
          <w:sz w:val="22"/>
          <w:szCs w:val="22"/>
        </w:rPr>
      </w:pPr>
    </w:p>
    <w:p w:rsidR="004D1F9C" w:rsidRPr="00B51FDC" w:rsidRDefault="00724ACC">
      <w:pPr>
        <w:spacing w:line="360" w:lineRule="auto"/>
        <w:ind w:right="49"/>
        <w:jc w:val="center"/>
        <w:rPr>
          <w:rFonts w:ascii="Palatino Linotype" w:eastAsia="Palatino Linotype" w:hAnsi="Palatino Linotype" w:cs="Palatino Linotype"/>
          <w:b/>
          <w:bCs/>
          <w:sz w:val="22"/>
          <w:szCs w:val="22"/>
        </w:rPr>
      </w:pPr>
      <w:r w:rsidRPr="00B51FDC">
        <w:rPr>
          <w:rFonts w:ascii="Palatino Linotype" w:eastAsia="Palatino Linotype" w:hAnsi="Palatino Linotype" w:cs="Palatino Linotype"/>
          <w:b/>
          <w:bCs/>
          <w:sz w:val="22"/>
          <w:szCs w:val="22"/>
        </w:rPr>
        <w:t>II.</w:t>
      </w:r>
      <w:r w:rsidRPr="00B51FDC">
        <w:rPr>
          <w:rFonts w:ascii="Palatino Linotype" w:eastAsia="Palatino Linotype" w:hAnsi="Palatino Linotype" w:cs="Palatino Linotype"/>
          <w:b/>
          <w:bCs/>
          <w:sz w:val="22"/>
          <w:szCs w:val="22"/>
        </w:rPr>
        <w:tab/>
        <w:t>C O N S I D E R A N D O:</w:t>
      </w:r>
    </w:p>
    <w:p w:rsidR="004D1F9C" w:rsidRPr="00B51FDC" w:rsidRDefault="004D1F9C">
      <w:pPr>
        <w:spacing w:line="360" w:lineRule="auto"/>
        <w:ind w:right="49"/>
        <w:jc w:val="both"/>
        <w:rPr>
          <w:rFonts w:ascii="Palatino Linotype" w:eastAsia="Palatino Linotype" w:hAnsi="Palatino Linotype" w:cs="Palatino Linotype"/>
          <w:sz w:val="22"/>
          <w:szCs w:val="22"/>
        </w:rPr>
      </w:pP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Primero. Competencia.</w:t>
      </w:r>
      <w:r w:rsidRPr="00B51FD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 xml:space="preserve">Segundo. Oportunidad y </w:t>
      </w:r>
      <w:proofErr w:type="spellStart"/>
      <w:r w:rsidRPr="00B51FDC">
        <w:rPr>
          <w:rFonts w:ascii="Palatino Linotype" w:eastAsia="Palatino Linotype" w:hAnsi="Palatino Linotype" w:cs="Palatino Linotype"/>
          <w:b/>
          <w:bCs/>
          <w:sz w:val="22"/>
          <w:szCs w:val="22"/>
        </w:rPr>
        <w:t>Procedibilidad</w:t>
      </w:r>
      <w:proofErr w:type="spellEnd"/>
      <w:r w:rsidRPr="00B51FDC">
        <w:rPr>
          <w:rFonts w:ascii="Palatino Linotype" w:eastAsia="Palatino Linotype" w:hAnsi="Palatino Linotype" w:cs="Palatino Linotype"/>
          <w:b/>
          <w:bCs/>
          <w:sz w:val="22"/>
          <w:szCs w:val="22"/>
        </w:rPr>
        <w:t xml:space="preserve"> del Recurso de Revisión. </w:t>
      </w:r>
      <w:r w:rsidRPr="00B51FDC">
        <w:rPr>
          <w:rFonts w:ascii="Palatino Linotype" w:eastAsia="Palatino Linotype" w:hAnsi="Palatino Linotype" w:cs="Palatino Linotype"/>
          <w:sz w:val="22"/>
          <w:szCs w:val="22"/>
        </w:rPr>
        <w:t xml:space="preserve">Previo al estudio del fondo del asunto, se procede a analizar los requisitos de oportunidad y </w:t>
      </w:r>
      <w:proofErr w:type="spellStart"/>
      <w:r w:rsidRPr="00B51FDC">
        <w:rPr>
          <w:rFonts w:ascii="Palatino Linotype" w:eastAsia="Palatino Linotype" w:hAnsi="Palatino Linotype" w:cs="Palatino Linotype"/>
          <w:sz w:val="22"/>
          <w:szCs w:val="22"/>
        </w:rPr>
        <w:t>procedibilidad</w:t>
      </w:r>
      <w:proofErr w:type="spellEnd"/>
      <w:r w:rsidRPr="00B51FDC">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rsidR="004D1F9C" w:rsidRPr="00B51FDC" w:rsidRDefault="00724ACC">
      <w:pPr>
        <w:spacing w:line="276" w:lineRule="auto"/>
        <w:ind w:left="851"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 xml:space="preserve">“Artículo 178. </w:t>
      </w:r>
      <w:r w:rsidRPr="00B51FDC">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D1F9C" w:rsidRPr="00B51FDC" w:rsidRDefault="00724ACC">
      <w:pPr>
        <w:spacing w:before="240" w:after="240" w:line="360" w:lineRule="auto"/>
        <w:ind w:right="49"/>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B51FDC">
        <w:rPr>
          <w:rFonts w:ascii="Palatino Linotype" w:eastAsia="Palatino Linotype" w:hAnsi="Palatino Linotype" w:cs="Palatino Linotype"/>
          <w:b/>
          <w:bCs/>
          <w:sz w:val="22"/>
          <w:szCs w:val="22"/>
        </w:rPr>
        <w:t>SUJETO OBLIGADO</w:t>
      </w:r>
      <w:r w:rsidRPr="00B51FDC">
        <w:rPr>
          <w:rFonts w:ascii="Palatino Linotype" w:eastAsia="Palatino Linotype" w:hAnsi="Palatino Linotype" w:cs="Palatino Linotype"/>
          <w:sz w:val="22"/>
          <w:szCs w:val="22"/>
        </w:rPr>
        <w:t xml:space="preserve"> remitió la respuesta a la solicitud de información el día </w:t>
      </w:r>
      <w:r w:rsidRPr="00B51FDC">
        <w:rPr>
          <w:rFonts w:ascii="Palatino Linotype" w:eastAsia="Palatino Linotype" w:hAnsi="Palatino Linotype" w:cs="Palatino Linotype"/>
          <w:b/>
          <w:bCs/>
          <w:sz w:val="22"/>
          <w:szCs w:val="22"/>
        </w:rPr>
        <w:t>veintiséis</w:t>
      </w:r>
      <w:r w:rsidRPr="00B51FDC">
        <w:rPr>
          <w:rFonts w:ascii="Palatino Linotype" w:eastAsia="Palatino Linotype" w:hAnsi="Palatino Linotype" w:cs="Palatino Linotype"/>
          <w:sz w:val="22"/>
          <w:szCs w:val="22"/>
        </w:rPr>
        <w:t xml:space="preserve"> </w:t>
      </w:r>
      <w:r w:rsidRPr="00B51FDC">
        <w:rPr>
          <w:rFonts w:ascii="Palatino Linotype" w:eastAsia="Palatino Linotype" w:hAnsi="Palatino Linotype" w:cs="Palatino Linotype"/>
          <w:b/>
          <w:bCs/>
          <w:sz w:val="22"/>
          <w:szCs w:val="22"/>
        </w:rPr>
        <w:t xml:space="preserve">de agosto de dos mil veinticinco, </w:t>
      </w:r>
      <w:r w:rsidRPr="00B51FDC">
        <w:rPr>
          <w:rFonts w:ascii="Palatino Linotype" w:eastAsia="Palatino Linotype" w:hAnsi="Palatino Linotype" w:cs="Palatino Linotype"/>
          <w:sz w:val="22"/>
          <w:szCs w:val="22"/>
        </w:rPr>
        <w:t xml:space="preserve">mientras que el recurso de revisión interpuesto por la parte </w:t>
      </w:r>
      <w:r w:rsidRPr="00B51FDC">
        <w:rPr>
          <w:rFonts w:ascii="Palatino Linotype" w:eastAsia="Palatino Linotype" w:hAnsi="Palatino Linotype" w:cs="Palatino Linotype"/>
          <w:b/>
          <w:bCs/>
          <w:sz w:val="22"/>
          <w:szCs w:val="22"/>
        </w:rPr>
        <w:t>RECURRENTE</w:t>
      </w:r>
      <w:r w:rsidRPr="00B51FDC">
        <w:rPr>
          <w:rFonts w:ascii="Palatino Linotype" w:eastAsia="Palatino Linotype" w:hAnsi="Palatino Linotype" w:cs="Palatino Linotype"/>
          <w:sz w:val="22"/>
          <w:szCs w:val="22"/>
        </w:rPr>
        <w:t xml:space="preserve">, se tuvo por presentado el </w:t>
      </w:r>
      <w:r w:rsidRPr="00B51FDC">
        <w:rPr>
          <w:rFonts w:ascii="Palatino Linotype" w:eastAsia="Palatino Linotype" w:hAnsi="Palatino Linotype" w:cs="Palatino Linotype"/>
          <w:b/>
          <w:bCs/>
          <w:sz w:val="22"/>
          <w:szCs w:val="22"/>
        </w:rPr>
        <w:t>veintiocho de agosto del año dos mil veinticinco</w:t>
      </w:r>
      <w:r w:rsidRPr="00B51FDC">
        <w:rPr>
          <w:rFonts w:ascii="Palatino Linotype" w:eastAsia="Palatino Linotype" w:hAnsi="Palatino Linotype" w:cs="Palatino Linotype"/>
          <w:sz w:val="22"/>
          <w:szCs w:val="22"/>
        </w:rPr>
        <w:t xml:space="preserve">; esto es, al </w:t>
      </w:r>
      <w:r w:rsidRPr="00B51FDC">
        <w:rPr>
          <w:rFonts w:ascii="Palatino Linotype" w:eastAsia="Palatino Linotype" w:hAnsi="Palatino Linotype" w:cs="Palatino Linotype"/>
          <w:b/>
          <w:bCs/>
          <w:sz w:val="22"/>
          <w:szCs w:val="22"/>
        </w:rPr>
        <w:t>segundo</w:t>
      </w:r>
      <w:r w:rsidRPr="00B51FDC">
        <w:rPr>
          <w:rFonts w:ascii="Palatino Linotype" w:eastAsia="Palatino Linotype" w:hAnsi="Palatino Linotype" w:cs="Palatino Linotype"/>
          <w:sz w:val="22"/>
          <w:szCs w:val="22"/>
        </w:rPr>
        <w:t xml:space="preserve"> día hábil que se tuvo conocimiento de la respuesta. </w:t>
      </w:r>
    </w:p>
    <w:p w:rsidR="004D1F9C" w:rsidRPr="00B51FDC" w:rsidRDefault="00724ACC">
      <w:pPr>
        <w:spacing w:before="240" w:after="240" w:line="360" w:lineRule="auto"/>
        <w:ind w:right="49"/>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Así también, por cuanto hace a la </w:t>
      </w:r>
      <w:proofErr w:type="spellStart"/>
      <w:r w:rsidRPr="00B51FDC">
        <w:rPr>
          <w:rFonts w:ascii="Palatino Linotype" w:eastAsia="Palatino Linotype" w:hAnsi="Palatino Linotype" w:cs="Palatino Linotype"/>
          <w:sz w:val="22"/>
          <w:szCs w:val="22"/>
        </w:rPr>
        <w:t>procedibilidad</w:t>
      </w:r>
      <w:proofErr w:type="spellEnd"/>
      <w:r w:rsidRPr="00B51FDC">
        <w:rPr>
          <w:rFonts w:ascii="Palatino Linotype" w:eastAsia="Palatino Linotype" w:hAnsi="Palatino Linotype" w:cs="Palatino Linotype"/>
          <w:sz w:val="22"/>
          <w:szCs w:val="22"/>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fracciones I de la ley de la materia, que a la letra dice:</w:t>
      </w:r>
    </w:p>
    <w:p w:rsidR="004D1F9C" w:rsidRPr="00B51FDC" w:rsidRDefault="00724ACC">
      <w:pPr>
        <w:spacing w:line="360" w:lineRule="auto"/>
        <w:ind w:left="851" w:right="1041"/>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w:t>
      </w:r>
      <w:r w:rsidRPr="00B51FDC">
        <w:rPr>
          <w:rFonts w:ascii="Palatino Linotype" w:eastAsia="Palatino Linotype" w:hAnsi="Palatino Linotype" w:cs="Palatino Linotype"/>
          <w:b/>
          <w:bCs/>
          <w:i/>
          <w:iCs/>
          <w:sz w:val="22"/>
          <w:szCs w:val="22"/>
        </w:rPr>
        <w:t xml:space="preserve">Artículo 179. </w:t>
      </w:r>
      <w:r w:rsidRPr="00B51FDC">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rsidR="004D1F9C" w:rsidRPr="00B51FDC" w:rsidRDefault="00724ACC">
      <w:pPr>
        <w:spacing w:line="360" w:lineRule="auto"/>
        <w:ind w:left="851" w:right="1041"/>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I. La negativa de la información solicitada</w:t>
      </w:r>
    </w:p>
    <w:p w:rsidR="004D1F9C" w:rsidRPr="00B51FDC" w:rsidRDefault="00724ACC">
      <w:pPr>
        <w:spacing w:line="360" w:lineRule="auto"/>
        <w:ind w:left="851" w:right="1041"/>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 xml:space="preserve">Tercero. Materia de la revisión. </w:t>
      </w:r>
      <w:r w:rsidRPr="00B51FD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51FDC">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B51FDC">
        <w:rPr>
          <w:rFonts w:ascii="Palatino Linotype" w:eastAsia="Palatino Linotype" w:hAnsi="Palatino Linotype" w:cs="Palatino Linotype"/>
          <w:sz w:val="22"/>
          <w:szCs w:val="22"/>
        </w:rPr>
        <w:t xml:space="preserve">de la parte </w:t>
      </w:r>
      <w:r w:rsidRPr="00B51FDC">
        <w:rPr>
          <w:rFonts w:ascii="Palatino Linotype" w:eastAsia="Palatino Linotype" w:hAnsi="Palatino Linotype" w:cs="Palatino Linotype"/>
          <w:b/>
          <w:bCs/>
          <w:sz w:val="22"/>
          <w:szCs w:val="22"/>
        </w:rPr>
        <w:t>Recurrente</w:t>
      </w:r>
      <w:r w:rsidRPr="00B51FDC">
        <w:rPr>
          <w:rFonts w:ascii="Palatino Linotype" w:eastAsia="Palatino Linotype" w:hAnsi="Palatino Linotype" w:cs="Palatino Linotype"/>
          <w:sz w:val="22"/>
          <w:szCs w:val="22"/>
        </w:rPr>
        <w:t>, o en su defecto, en caso de ser procedente, ordenar la entrega de información.</w:t>
      </w: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 xml:space="preserve">Cuarto. Estudio del asunto. </w:t>
      </w:r>
      <w:r w:rsidRPr="00B51FDC">
        <w:rPr>
          <w:rFonts w:ascii="Palatino Linotype" w:eastAsia="Palatino Linotype" w:hAnsi="Palatino Linotype" w:cs="Palatino Linotype"/>
          <w:sz w:val="22"/>
          <w:szCs w:val="22"/>
        </w:rPr>
        <w:t xml:space="preserve">En principio, es conveniente analizar si la respuesta del </w:t>
      </w:r>
      <w:r w:rsidRPr="00B51FDC">
        <w:rPr>
          <w:rFonts w:ascii="Palatino Linotype" w:eastAsia="Palatino Linotype" w:hAnsi="Palatino Linotype" w:cs="Palatino Linotype"/>
          <w:b/>
          <w:bCs/>
          <w:sz w:val="22"/>
          <w:szCs w:val="22"/>
        </w:rPr>
        <w:t>SUJETO OBLIGADO</w:t>
      </w:r>
      <w:r w:rsidRPr="00B51FDC">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spacing w:line="360" w:lineRule="auto"/>
        <w:ind w:left="567" w:right="616"/>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w:t>
      </w:r>
      <w:r w:rsidRPr="00B51FDC">
        <w:rPr>
          <w:rFonts w:ascii="Palatino Linotype" w:eastAsia="Palatino Linotype" w:hAnsi="Palatino Linotype" w:cs="Palatino Linotype"/>
          <w:b/>
          <w:bCs/>
          <w:i/>
          <w:iCs/>
          <w:sz w:val="22"/>
          <w:szCs w:val="22"/>
        </w:rPr>
        <w:t>Artículo 4</w:t>
      </w:r>
      <w:r w:rsidRPr="00B51FDC">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D1F9C" w:rsidRPr="00B51FDC" w:rsidRDefault="00724ACC">
      <w:pPr>
        <w:spacing w:line="360" w:lineRule="auto"/>
        <w:ind w:left="567" w:right="616"/>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B51FDC">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4D1F9C" w:rsidRPr="00B51FDC" w:rsidRDefault="00724ACC">
      <w:pPr>
        <w:spacing w:line="360" w:lineRule="auto"/>
        <w:ind w:left="567" w:right="616"/>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B51FDC">
        <w:rPr>
          <w:rFonts w:ascii="Palatino Linotype" w:eastAsia="Palatino Linotype" w:hAnsi="Palatino Linotype" w:cs="Palatino Linotype"/>
          <w:i/>
          <w:iCs/>
          <w:sz w:val="22"/>
          <w:szCs w:val="22"/>
        </w:rPr>
        <w:t>.”</w:t>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spacing w:line="360" w:lineRule="auto"/>
        <w:ind w:left="567" w:right="616"/>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“Artículo 12.-</w:t>
      </w:r>
      <w:r w:rsidRPr="00B51FDC">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4D1F9C" w:rsidRPr="00B51FDC" w:rsidRDefault="004D1F9C">
      <w:pPr>
        <w:spacing w:line="360" w:lineRule="auto"/>
        <w:ind w:left="567" w:right="616"/>
        <w:jc w:val="both"/>
        <w:rPr>
          <w:rFonts w:ascii="Palatino Linotype" w:eastAsia="Palatino Linotype" w:hAnsi="Palatino Linotype" w:cs="Palatino Linotype"/>
          <w:i/>
          <w:iCs/>
          <w:sz w:val="22"/>
          <w:szCs w:val="22"/>
        </w:rPr>
      </w:pPr>
    </w:p>
    <w:p w:rsidR="004D1F9C" w:rsidRPr="00B51FDC" w:rsidRDefault="00724ACC">
      <w:pPr>
        <w:spacing w:line="360" w:lineRule="auto"/>
        <w:ind w:left="567" w:right="616"/>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B51FDC">
        <w:rPr>
          <w:rFonts w:ascii="Palatino Linotype" w:eastAsia="Palatino Linotype" w:hAnsi="Palatino Linotype" w:cs="Palatino Linotype"/>
          <w:i/>
          <w:iCs/>
          <w:sz w:val="22"/>
          <w:szCs w:val="22"/>
        </w:rPr>
        <w:t xml:space="preserve">. </w:t>
      </w:r>
      <w:r w:rsidRPr="00B51FDC">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4D1F9C" w:rsidRPr="00B51FDC" w:rsidRDefault="004D1F9C">
      <w:pPr>
        <w:spacing w:line="360" w:lineRule="auto"/>
        <w:ind w:right="-93"/>
        <w:jc w:val="both"/>
        <w:rPr>
          <w:rFonts w:ascii="Palatino Linotype" w:eastAsia="Palatino Linotype" w:hAnsi="Palatino Linotype" w:cs="Palatino Linotype"/>
          <w:sz w:val="22"/>
          <w:szCs w:val="22"/>
        </w:rPr>
      </w:pPr>
    </w:p>
    <w:p w:rsidR="004D1F9C" w:rsidRPr="00B51FDC" w:rsidRDefault="00724ACC">
      <w:pPr>
        <w:spacing w:line="360" w:lineRule="auto"/>
        <w:ind w:right="-93"/>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4D1F9C" w:rsidRPr="00B51FDC" w:rsidRDefault="004D1F9C">
      <w:pPr>
        <w:spacing w:line="360" w:lineRule="auto"/>
        <w:ind w:right="-93"/>
        <w:jc w:val="both"/>
        <w:rPr>
          <w:rFonts w:ascii="Palatino Linotype" w:eastAsia="Palatino Linotype" w:hAnsi="Palatino Linotype" w:cs="Palatino Linotype"/>
          <w:sz w:val="22"/>
          <w:szCs w:val="22"/>
        </w:rPr>
      </w:pPr>
    </w:p>
    <w:p w:rsidR="004D1F9C" w:rsidRPr="00B51FDC" w:rsidRDefault="00724ACC">
      <w:pPr>
        <w:spacing w:line="360" w:lineRule="auto"/>
        <w:ind w:right="-93"/>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51FDC">
        <w:rPr>
          <w:rFonts w:ascii="Palatino Linotype" w:eastAsia="Palatino Linotype" w:hAnsi="Palatino Linotype" w:cs="Palatino Linotype"/>
          <w:b/>
          <w:bCs/>
          <w:sz w:val="22"/>
          <w:szCs w:val="22"/>
        </w:rPr>
        <w:t xml:space="preserve"> </w:t>
      </w:r>
    </w:p>
    <w:p w:rsidR="004D1F9C" w:rsidRPr="00B51FDC" w:rsidRDefault="004D1F9C">
      <w:pPr>
        <w:spacing w:line="360" w:lineRule="auto"/>
        <w:jc w:val="both"/>
        <w:rPr>
          <w:rFonts w:ascii="Palatino Linotype" w:eastAsia="Palatino Linotype" w:hAnsi="Palatino Linotype" w:cs="Palatino Linotype"/>
          <w:b/>
          <w:bCs/>
          <w:sz w:val="22"/>
          <w:szCs w:val="22"/>
        </w:rPr>
      </w:pPr>
    </w:p>
    <w:p w:rsidR="004D1F9C" w:rsidRPr="00B51FDC" w:rsidRDefault="00724ACC">
      <w:pPr>
        <w:spacing w:line="360" w:lineRule="auto"/>
        <w:ind w:left="567" w:right="616"/>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w:t>
      </w:r>
      <w:r w:rsidRPr="00B51FDC">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B51FDC">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4D1F9C" w:rsidRPr="00B51FDC" w:rsidRDefault="004D1F9C">
      <w:pPr>
        <w:spacing w:line="360" w:lineRule="auto"/>
        <w:ind w:right="-93"/>
        <w:jc w:val="both"/>
        <w:rPr>
          <w:rFonts w:ascii="Palatino Linotype" w:eastAsia="Palatino Linotype" w:hAnsi="Palatino Linotype" w:cs="Palatino Linotype"/>
          <w:sz w:val="22"/>
          <w:szCs w:val="22"/>
        </w:rPr>
      </w:pP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spacing w:line="360" w:lineRule="auto"/>
        <w:ind w:right="49"/>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D1F9C" w:rsidRPr="00B51FDC" w:rsidRDefault="004D1F9C">
      <w:pPr>
        <w:spacing w:line="360" w:lineRule="auto"/>
        <w:ind w:right="49"/>
        <w:jc w:val="both"/>
        <w:rPr>
          <w:rFonts w:ascii="Palatino Linotype" w:eastAsia="Palatino Linotype" w:hAnsi="Palatino Linotype" w:cs="Palatino Linotype"/>
          <w:sz w:val="22"/>
          <w:szCs w:val="22"/>
        </w:rPr>
      </w:pP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D1F9C" w:rsidRPr="00B51FDC" w:rsidRDefault="004D1F9C">
      <w:pPr>
        <w:spacing w:line="360" w:lineRule="auto"/>
        <w:ind w:left="567" w:right="616"/>
        <w:jc w:val="both"/>
        <w:rPr>
          <w:rFonts w:ascii="Palatino Linotype" w:eastAsia="Palatino Linotype" w:hAnsi="Palatino Linotype" w:cs="Palatino Linotype"/>
          <w:i/>
          <w:iCs/>
          <w:sz w:val="22"/>
          <w:szCs w:val="22"/>
        </w:rPr>
      </w:pPr>
    </w:p>
    <w:p w:rsidR="004D1F9C" w:rsidRPr="00B51FDC" w:rsidRDefault="00724ACC">
      <w:pPr>
        <w:spacing w:line="360" w:lineRule="auto"/>
        <w:ind w:left="567" w:right="616"/>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w:t>
      </w:r>
      <w:r w:rsidRPr="00B51FDC">
        <w:rPr>
          <w:rFonts w:ascii="Palatino Linotype" w:eastAsia="Palatino Linotype" w:hAnsi="Palatino Linotype" w:cs="Palatino Linotype"/>
          <w:b/>
          <w:bCs/>
          <w:i/>
          <w:iCs/>
          <w:sz w:val="22"/>
          <w:szCs w:val="22"/>
        </w:rPr>
        <w:t xml:space="preserve">Artículo 3. </w:t>
      </w:r>
      <w:r w:rsidRPr="00B51FDC">
        <w:rPr>
          <w:rFonts w:ascii="Palatino Linotype" w:eastAsia="Palatino Linotype" w:hAnsi="Palatino Linotype" w:cs="Palatino Linotype"/>
          <w:i/>
          <w:iCs/>
          <w:sz w:val="22"/>
          <w:szCs w:val="22"/>
        </w:rPr>
        <w:t>Para los efectos de la presente Ley se entenderá por:</w:t>
      </w:r>
    </w:p>
    <w:p w:rsidR="004D1F9C" w:rsidRPr="00B51FDC" w:rsidRDefault="00724ACC">
      <w:pPr>
        <w:spacing w:line="360" w:lineRule="auto"/>
        <w:ind w:left="567" w:right="616"/>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w:t>
      </w:r>
    </w:p>
    <w:p w:rsidR="004D1F9C" w:rsidRPr="00B51FDC" w:rsidRDefault="00724ACC">
      <w:pPr>
        <w:spacing w:line="360" w:lineRule="auto"/>
        <w:ind w:left="567" w:right="616"/>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XI. Documento:</w:t>
      </w:r>
      <w:r w:rsidRPr="00B51FDC">
        <w:rPr>
          <w:rFonts w:ascii="Palatino Linotype" w:eastAsia="Palatino Linotype" w:hAnsi="Palatino Linotype" w:cs="Palatino Linotype"/>
          <w:i/>
          <w:iCs/>
          <w:sz w:val="22"/>
          <w:szCs w:val="22"/>
        </w:rPr>
        <w:t xml:space="preserve"> Los expedientes, reportes, estudios, actas</w:t>
      </w:r>
      <w:r w:rsidRPr="00B51FDC">
        <w:rPr>
          <w:rFonts w:ascii="Palatino Linotype" w:eastAsia="Palatino Linotype" w:hAnsi="Palatino Linotype" w:cs="Palatino Linotype"/>
          <w:b/>
          <w:bCs/>
          <w:i/>
          <w:iCs/>
          <w:sz w:val="22"/>
          <w:szCs w:val="22"/>
        </w:rPr>
        <w:t>,</w:t>
      </w:r>
      <w:r w:rsidRPr="00B51FDC">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4D1F9C" w:rsidRPr="00B51FDC" w:rsidRDefault="004D1F9C">
      <w:pPr>
        <w:spacing w:line="360" w:lineRule="auto"/>
        <w:ind w:left="851" w:right="899"/>
        <w:jc w:val="both"/>
        <w:rPr>
          <w:rFonts w:ascii="Palatino Linotype" w:eastAsia="Palatino Linotype" w:hAnsi="Palatino Linotype" w:cs="Palatino Linotype"/>
          <w:sz w:val="22"/>
          <w:szCs w:val="22"/>
        </w:rPr>
      </w:pP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spacing w:line="360" w:lineRule="auto"/>
        <w:ind w:left="567" w:right="616"/>
        <w:jc w:val="both"/>
        <w:rPr>
          <w:rFonts w:ascii="Palatino Linotype" w:eastAsia="Palatino Linotype" w:hAnsi="Palatino Linotype" w:cs="Palatino Linotype"/>
          <w:b/>
          <w:bCs/>
          <w:i/>
          <w:iCs/>
          <w:sz w:val="22"/>
          <w:szCs w:val="22"/>
        </w:rPr>
      </w:pPr>
      <w:r w:rsidRPr="00B51FDC">
        <w:rPr>
          <w:rFonts w:ascii="Palatino Linotype" w:eastAsia="Palatino Linotype" w:hAnsi="Palatino Linotype" w:cs="Palatino Linotype"/>
          <w:b/>
          <w:bCs/>
          <w:sz w:val="22"/>
          <w:szCs w:val="22"/>
        </w:rPr>
        <w:t>“</w:t>
      </w:r>
      <w:r w:rsidRPr="00B51FDC">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B51FDC">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D1F9C" w:rsidRPr="00B51FDC" w:rsidRDefault="00724ACC">
      <w:pPr>
        <w:spacing w:line="360" w:lineRule="auto"/>
        <w:ind w:left="567" w:right="616"/>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4D1F9C" w:rsidRPr="00B51FDC" w:rsidRDefault="00724ACC">
      <w:pPr>
        <w:spacing w:line="360" w:lineRule="auto"/>
        <w:ind w:left="567" w:right="616"/>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4D1F9C" w:rsidRPr="00B51FDC" w:rsidRDefault="00724ACC">
      <w:pPr>
        <w:spacing w:line="360" w:lineRule="auto"/>
        <w:ind w:left="567" w:right="616"/>
        <w:jc w:val="both"/>
        <w:rPr>
          <w:rFonts w:ascii="Palatino Linotype" w:eastAsia="Palatino Linotype" w:hAnsi="Palatino Linotype" w:cs="Palatino Linotype"/>
          <w:b/>
          <w:bCs/>
          <w:i/>
          <w:iCs/>
          <w:sz w:val="22"/>
          <w:szCs w:val="22"/>
        </w:rPr>
      </w:pPr>
      <w:r w:rsidRPr="00B51FDC">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rsidR="004D1F9C" w:rsidRPr="00B51FDC" w:rsidRDefault="00724ACC">
      <w:pPr>
        <w:spacing w:line="360" w:lineRule="auto"/>
        <w:ind w:left="567" w:right="616"/>
        <w:jc w:val="both"/>
        <w:rPr>
          <w:rFonts w:ascii="Palatino Linotype" w:eastAsia="Palatino Linotype" w:hAnsi="Palatino Linotype" w:cs="Palatino Linotype"/>
          <w:b/>
          <w:bCs/>
          <w:i/>
          <w:iCs/>
          <w:sz w:val="22"/>
          <w:szCs w:val="22"/>
        </w:rPr>
      </w:pPr>
      <w:r w:rsidRPr="00B51FDC">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rsidR="004D1F9C" w:rsidRPr="00B51FDC" w:rsidRDefault="004D1F9C">
      <w:pPr>
        <w:tabs>
          <w:tab w:val="left" w:pos="8647"/>
        </w:tabs>
        <w:spacing w:line="360" w:lineRule="auto"/>
        <w:jc w:val="both"/>
        <w:rPr>
          <w:rFonts w:ascii="Palatino Linotype" w:eastAsia="Palatino Linotype" w:hAnsi="Palatino Linotype" w:cs="Palatino Linotype"/>
          <w:b/>
          <w:bCs/>
          <w:sz w:val="22"/>
          <w:szCs w:val="22"/>
        </w:rPr>
      </w:pPr>
    </w:p>
    <w:p w:rsidR="004D1F9C" w:rsidRPr="00B51FDC" w:rsidRDefault="00724ACC">
      <w:pPr>
        <w:spacing w:after="240" w:line="360" w:lineRule="auto"/>
        <w:jc w:val="both"/>
        <w:rPr>
          <w:rFonts w:ascii="Palatino Linotype" w:eastAsia="Palatino Linotype" w:hAnsi="Palatino Linotype" w:cs="Palatino Linotype"/>
          <w:b/>
          <w:bCs/>
          <w:sz w:val="22"/>
          <w:szCs w:val="22"/>
        </w:rPr>
      </w:pPr>
      <w:r w:rsidRPr="00B51FDC">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al </w:t>
      </w:r>
      <w:r w:rsidRPr="00B51FDC">
        <w:rPr>
          <w:rFonts w:ascii="Palatino Linotype" w:eastAsia="Palatino Linotype" w:hAnsi="Palatino Linotype" w:cs="Palatino Linotype"/>
          <w:b/>
          <w:bCs/>
          <w:sz w:val="22"/>
          <w:szCs w:val="22"/>
        </w:rPr>
        <w:t>Ayuntamiento de Almoloya de Juárez, lo siguiente:</w:t>
      </w:r>
    </w:p>
    <w:p w:rsidR="004D1F9C" w:rsidRPr="00B51FDC" w:rsidRDefault="00724ACC">
      <w:pPr>
        <w:numPr>
          <w:ilvl w:val="0"/>
          <w:numId w:val="3"/>
        </w:numPr>
        <w:pBdr>
          <w:top w:val="nil"/>
          <w:left w:val="nil"/>
          <w:bottom w:val="nil"/>
          <w:right w:val="nil"/>
          <w:between w:val="nil"/>
        </w:pBdr>
        <w:spacing w:line="360" w:lineRule="auto"/>
        <w:ind w:left="567"/>
        <w:jc w:val="both"/>
        <w:rPr>
          <w:rFonts w:ascii="Palatino Linotype" w:eastAsia="Palatino Linotype" w:hAnsi="Palatino Linotype" w:cs="Palatino Linotype"/>
          <w:b/>
          <w:bCs/>
          <w:sz w:val="22"/>
          <w:szCs w:val="22"/>
        </w:rPr>
      </w:pPr>
      <w:r w:rsidRPr="00B51FDC">
        <w:rPr>
          <w:rFonts w:ascii="Palatino Linotype" w:eastAsia="Palatino Linotype" w:hAnsi="Palatino Linotype" w:cs="Palatino Linotype"/>
          <w:b/>
          <w:bCs/>
          <w:sz w:val="22"/>
          <w:szCs w:val="22"/>
        </w:rPr>
        <w:t>Planos en los que se contemplen carreteras, caminos, pasos y brechas del Ejido San Pedro, Municipio de Almoloya de Juárez.</w:t>
      </w:r>
    </w:p>
    <w:p w:rsidR="004D1F9C" w:rsidRPr="00B51FDC" w:rsidRDefault="004D1F9C">
      <w:pPr>
        <w:spacing w:line="360" w:lineRule="auto"/>
        <w:jc w:val="both"/>
        <w:rPr>
          <w:rFonts w:ascii="Palatino Linotype" w:eastAsia="Palatino Linotype" w:hAnsi="Palatino Linotype" w:cs="Palatino Linotype"/>
          <w:b/>
          <w:bCs/>
          <w:sz w:val="22"/>
          <w:szCs w:val="22"/>
        </w:rPr>
      </w:pPr>
    </w:p>
    <w:p w:rsidR="004D1F9C" w:rsidRPr="00B51FDC" w:rsidRDefault="00724ACC">
      <w:pPr>
        <w:spacing w:line="360" w:lineRule="auto"/>
        <w:ind w:right="49"/>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En respuesta, el Sujeto Obligado por conducto del Director de Obras Públicas refirió que no es de su competencia. Mientras que, mediante informe justificado indicó la Dirección de Desarrollo Urbano que no cuenta con información alguna, por no haber realizado algún reconocimiento oficial por parte de la comunidad referida. Sin embargo, al ser un polígono ejidal, se podrá dirigir a la Mesa del Comisariado Ejidal, para saber si dentro de su cartografía existen besanas, caminos saca cosechas, veredas o algún paso contemplado.</w:t>
      </w:r>
    </w:p>
    <w:p w:rsidR="004D1F9C" w:rsidRPr="00B51FDC" w:rsidRDefault="004D1F9C">
      <w:pPr>
        <w:spacing w:line="360" w:lineRule="auto"/>
        <w:ind w:right="49"/>
        <w:jc w:val="both"/>
        <w:rPr>
          <w:rFonts w:ascii="Palatino Linotype" w:eastAsia="Palatino Linotype" w:hAnsi="Palatino Linotype" w:cs="Palatino Linotype"/>
          <w:sz w:val="22"/>
          <w:szCs w:val="22"/>
        </w:rPr>
      </w:pPr>
    </w:p>
    <w:p w:rsidR="004D1F9C" w:rsidRPr="00B51FDC" w:rsidRDefault="00724ACC">
      <w:pPr>
        <w:spacing w:line="360" w:lineRule="auto"/>
        <w:ind w:right="49"/>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De la manifestación del Sujeto Obligado es necesario referir que si bien es cierto, la delimitación territorial a la que hace referencia el Particular corresponde a un ejido, el Ejido de San Pedro; sin embargo, se encuentra dentro de las delimitaciones territoriales del Ayuntamiento de Almoloya de Juárez, tan es así que lo reconoce como una localidad; se inserta imagen de referencia:</w:t>
      </w:r>
    </w:p>
    <w:p w:rsidR="004D1F9C" w:rsidRPr="00B51FDC" w:rsidRDefault="00724ACC">
      <w:pPr>
        <w:spacing w:line="360" w:lineRule="auto"/>
        <w:ind w:right="49"/>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noProof/>
          <w:sz w:val="22"/>
          <w:szCs w:val="22"/>
        </w:rPr>
        <w:drawing>
          <wp:inline distT="0" distB="0" distL="0" distR="0">
            <wp:extent cx="5756275" cy="4251325"/>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56275" cy="4251325"/>
                    </a:xfrm>
                    <a:prstGeom prst="rect">
                      <a:avLst/>
                    </a:prstGeom>
                    <a:ln/>
                  </pic:spPr>
                </pic:pic>
              </a:graphicData>
            </a:graphic>
          </wp:inline>
        </w:drawing>
      </w:r>
    </w:p>
    <w:p w:rsidR="004D1F9C" w:rsidRPr="00B51FDC" w:rsidRDefault="004D1F9C">
      <w:pPr>
        <w:spacing w:line="360" w:lineRule="auto"/>
        <w:ind w:right="49"/>
        <w:jc w:val="both"/>
        <w:rPr>
          <w:rFonts w:ascii="Palatino Linotype" w:eastAsia="Palatino Linotype" w:hAnsi="Palatino Linotype" w:cs="Palatino Linotype"/>
          <w:sz w:val="22"/>
          <w:szCs w:val="22"/>
        </w:rPr>
      </w:pPr>
    </w:p>
    <w:p w:rsidR="004D1F9C" w:rsidRPr="00B51FDC" w:rsidRDefault="00724ACC">
      <w:pPr>
        <w:spacing w:line="360" w:lineRule="auto"/>
        <w:ind w:right="49"/>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Dicho lo anterior, es necesario traer a contexto el Bando Municipal del Sujeto Obligado, el cual refiere lo siguiente:</w:t>
      </w:r>
    </w:p>
    <w:p w:rsidR="004D1F9C" w:rsidRPr="00B51FDC" w:rsidRDefault="004D1F9C">
      <w:pPr>
        <w:spacing w:line="360" w:lineRule="auto"/>
        <w:ind w:right="49"/>
        <w:jc w:val="both"/>
        <w:rPr>
          <w:rFonts w:ascii="Palatino Linotype" w:eastAsia="Palatino Linotype" w:hAnsi="Palatino Linotype" w:cs="Palatino Linotype"/>
          <w:sz w:val="22"/>
          <w:szCs w:val="22"/>
        </w:rPr>
      </w:pP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 xml:space="preserve">Título IX. </w:t>
      </w: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 xml:space="preserve">Del Desarrollo Urbano Capítulo </w:t>
      </w: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 xml:space="preserve">I. Del Desarrollo Urbano </w:t>
      </w:r>
    </w:p>
    <w:p w:rsidR="004D1F9C" w:rsidRPr="00B51FDC" w:rsidRDefault="004D1F9C">
      <w:pPr>
        <w:spacing w:line="360" w:lineRule="auto"/>
        <w:ind w:left="567" w:right="843"/>
        <w:jc w:val="both"/>
        <w:rPr>
          <w:rFonts w:ascii="Palatino Linotype" w:eastAsia="Palatino Linotype" w:hAnsi="Palatino Linotype" w:cs="Palatino Linotype"/>
          <w:i/>
          <w:iCs/>
          <w:sz w:val="22"/>
          <w:szCs w:val="22"/>
        </w:rPr>
      </w:pP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Artículo 215.- El Ayuntamiento, a través de la Dirección de Desarrollo Urbano, en conjunto con sus coordinaciones de Normatividad Territorial y Licencias, Planeación y Control Urbano, Movilidad y Transporte, llevará a cabo los principios rectores en materia de ordenamiento territorial de los centros de población teniendo las siguientes atribuciones:</w:t>
      </w: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w:t>
      </w: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 xml:space="preserve">X.- Instrumentar programas o normativa aplicable basada en el Libro Quinto del Código Administrativo del Estado de México, para efectuar el procedimiento de apertura para vías públicas, otorgamiento de nomenclatura y asignación de números oficiales; </w:t>
      </w:r>
    </w:p>
    <w:p w:rsidR="004D1F9C" w:rsidRPr="00B51FDC" w:rsidRDefault="004D1F9C">
      <w:pPr>
        <w:spacing w:line="360" w:lineRule="auto"/>
        <w:ind w:left="567" w:right="843"/>
        <w:jc w:val="both"/>
        <w:rPr>
          <w:rFonts w:ascii="Palatino Linotype" w:eastAsia="Palatino Linotype" w:hAnsi="Palatino Linotype" w:cs="Palatino Linotype"/>
          <w:i/>
          <w:iCs/>
          <w:sz w:val="22"/>
          <w:szCs w:val="22"/>
        </w:rPr>
      </w:pPr>
    </w:p>
    <w:p w:rsidR="004D1F9C" w:rsidRPr="00B51FDC" w:rsidRDefault="00724ACC">
      <w:pPr>
        <w:spacing w:line="360" w:lineRule="auto"/>
        <w:ind w:left="567" w:right="843" w:hanging="72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XI.- Supervisar, en conjunto con la Dirección General de Operación Urbana del Gobierno del Estado de México, las obras de urbanización y equipamiento urbano y, en su caso, de infraestructura primaria; la ubicación y condiciones de las áreas de donación en conjuntos urbanos, subdivisiones y lotificaciones para condominio, cuyo objeto será constatar que se cumpla con las obligaciones de competencia municipal establecidas en el correspondiente acuerdo de autorización; desde su inicio, avance y terminación, hasta la entrega parcial o total al Municipio;</w:t>
      </w:r>
    </w:p>
    <w:p w:rsidR="004D1F9C" w:rsidRPr="00B51FDC" w:rsidRDefault="004D1F9C">
      <w:pPr>
        <w:spacing w:line="360" w:lineRule="auto"/>
        <w:ind w:right="49"/>
        <w:jc w:val="both"/>
        <w:rPr>
          <w:rFonts w:ascii="Palatino Linotype" w:eastAsia="Palatino Linotype" w:hAnsi="Palatino Linotype" w:cs="Palatino Linotype"/>
          <w:sz w:val="22"/>
          <w:szCs w:val="22"/>
        </w:rPr>
      </w:pPr>
    </w:p>
    <w:p w:rsidR="004D1F9C" w:rsidRPr="00B51FDC" w:rsidRDefault="00724ACC">
      <w:pPr>
        <w:spacing w:line="360" w:lineRule="auto"/>
        <w:ind w:right="49"/>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Si bien es cierto, la Dirección de Desarrollo Urbano tiene atribuciones para conocer respecto a la Planeación y Control Urbano, Movilidad y Transporte, llevará a cabo los principios rectores en materia de ordenamiento territorial de los centros de población teniendo las siguientes atribuciones, por lo que pudiera conocer respecto a la información requerida; sin embargo, del mismo modo, el Ayuntamiento cuenta con el Instituto Municipal de Planeación, cuyas atribuciones son las siguientes:</w:t>
      </w:r>
    </w:p>
    <w:p w:rsidR="004D1F9C" w:rsidRPr="00B51FDC" w:rsidRDefault="004D1F9C">
      <w:pPr>
        <w:spacing w:line="360" w:lineRule="auto"/>
        <w:ind w:right="49"/>
        <w:jc w:val="both"/>
        <w:rPr>
          <w:rFonts w:ascii="Palatino Linotype" w:eastAsia="Palatino Linotype" w:hAnsi="Palatino Linotype" w:cs="Palatino Linotype"/>
          <w:i/>
          <w:iCs/>
          <w:sz w:val="22"/>
          <w:szCs w:val="22"/>
        </w:rPr>
      </w:pPr>
    </w:p>
    <w:p w:rsidR="004D1F9C" w:rsidRPr="00B51FDC" w:rsidRDefault="00724ACC">
      <w:pPr>
        <w:spacing w:line="360" w:lineRule="auto"/>
        <w:ind w:left="567" w:right="843"/>
        <w:jc w:val="center"/>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Capítulo V.</w:t>
      </w:r>
    </w:p>
    <w:p w:rsidR="004D1F9C" w:rsidRPr="00B51FDC" w:rsidRDefault="00724ACC">
      <w:pPr>
        <w:spacing w:line="360" w:lineRule="auto"/>
        <w:ind w:left="567" w:right="843"/>
        <w:jc w:val="center"/>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Del Instituto Municipal de Planeación de Almoloya de Juárez</w:t>
      </w:r>
    </w:p>
    <w:p w:rsidR="004D1F9C" w:rsidRPr="00B51FDC" w:rsidRDefault="004D1F9C">
      <w:pPr>
        <w:spacing w:line="360" w:lineRule="auto"/>
        <w:ind w:left="567" w:right="843"/>
        <w:jc w:val="both"/>
        <w:rPr>
          <w:rFonts w:ascii="Palatino Linotype" w:eastAsia="Palatino Linotype" w:hAnsi="Palatino Linotype" w:cs="Palatino Linotype"/>
          <w:i/>
          <w:iCs/>
          <w:sz w:val="22"/>
          <w:szCs w:val="22"/>
        </w:rPr>
      </w:pP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 xml:space="preserve">Artículo 246.- El Instituto Municipal de Planeación de Almoloya de Juárez es un organismo público desconcentrado de la Administración Municipal, que tiene por objeto contribuir a la planeación, ordenamiento territorial y desarrollo urbano sostenible del municipio, promoviendo la elaboración y actualización de los instrumentos que integran el sistema municipal de planeación, así como la propuesta de proyectos y acciones que contribuyan a la planeación urbana integral y metropolitana con visión de largo plazo, fijando los procedimientos para su evaluación e implementación, que aseguren la calidad de los distintos proyectos y la participación social en su elaboración. </w:t>
      </w:r>
    </w:p>
    <w:p w:rsidR="004D1F9C" w:rsidRPr="00B51FDC" w:rsidRDefault="004D1F9C">
      <w:pPr>
        <w:spacing w:line="360" w:lineRule="auto"/>
        <w:ind w:left="567" w:right="843"/>
        <w:jc w:val="both"/>
        <w:rPr>
          <w:rFonts w:ascii="Palatino Linotype" w:eastAsia="Palatino Linotype" w:hAnsi="Palatino Linotype" w:cs="Palatino Linotype"/>
          <w:i/>
          <w:iCs/>
          <w:sz w:val="22"/>
          <w:szCs w:val="22"/>
        </w:rPr>
      </w:pP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 xml:space="preserve">Articulo 247.- El Instituto Municipal de Planeación de Almoloya de Juárez, tendrá las siguientes atribuciones: </w:t>
      </w:r>
    </w:p>
    <w:p w:rsidR="004D1F9C" w:rsidRPr="00B51FDC" w:rsidRDefault="004D1F9C">
      <w:pPr>
        <w:spacing w:line="360" w:lineRule="auto"/>
        <w:ind w:left="567" w:right="843"/>
        <w:jc w:val="both"/>
        <w:rPr>
          <w:rFonts w:ascii="Palatino Linotype" w:eastAsia="Palatino Linotype" w:hAnsi="Palatino Linotype" w:cs="Palatino Linotype"/>
          <w:i/>
          <w:iCs/>
          <w:sz w:val="22"/>
          <w:szCs w:val="22"/>
        </w:rPr>
      </w:pP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I. Operar y fortalecer el proceso de Planeación Estratégica Integral, para impulsar el desarrollo sostenible del territorio municipal a corto, mediano y largo plazo;</w:t>
      </w: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w:t>
      </w: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III. Fomentar el desarrollo económico sostenible y competitividad del Municipio a través de la formulación y evaluación de proyectos estratégicos, que contribuyan al desarrollo urbano y rural municipal, atrayendo la inversión de la iniciativa privada y/o financiamiento público.</w:t>
      </w: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IV. Elaborar estudios y proyectos técnicos viables urbanos, semiurbanos y/o rurales, para fortalecer el proceso de toma de decisiones del Ayuntamiento, así como impulsar el cumplimiento de los compromisos establecidos en el Plan Municipal de Desarrollo.</w:t>
      </w: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V. Incorporar la participación ciudadana en el proceso de planeación territorial, así como en la elaboración y aprobación de los proyectos de inversión.</w:t>
      </w: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 xml:space="preserve">VI. Asesorar en materia de planeación integral con visión de largo plazo, a las áreas de la Administración Pública Municipal. </w:t>
      </w:r>
    </w:p>
    <w:p w:rsidR="004D1F9C" w:rsidRPr="00B51FDC" w:rsidRDefault="00724ACC">
      <w:pPr>
        <w:spacing w:line="360" w:lineRule="auto"/>
        <w:ind w:left="567" w:right="843"/>
        <w:jc w:val="both"/>
        <w:rPr>
          <w:rFonts w:ascii="Palatino Linotype" w:eastAsia="Palatino Linotype" w:hAnsi="Palatino Linotype" w:cs="Palatino Linotype"/>
          <w:b/>
          <w:bCs/>
          <w:i/>
          <w:iCs/>
          <w:sz w:val="22"/>
          <w:szCs w:val="22"/>
        </w:rPr>
      </w:pPr>
      <w:r w:rsidRPr="00B51FDC">
        <w:rPr>
          <w:rFonts w:ascii="Palatino Linotype" w:eastAsia="Palatino Linotype" w:hAnsi="Palatino Linotype" w:cs="Palatino Linotype"/>
          <w:b/>
          <w:bCs/>
          <w:i/>
          <w:iCs/>
          <w:sz w:val="22"/>
          <w:szCs w:val="22"/>
        </w:rPr>
        <w:t xml:space="preserve">VII. Crear, actualizar y dirigir el banco municipal de información estadística básica, a través de los instrumentos de investigación estadística </w:t>
      </w:r>
      <w:r w:rsidRPr="00B51FDC">
        <w:rPr>
          <w:rFonts w:ascii="Palatino Linotype" w:eastAsia="Palatino Linotype" w:hAnsi="Palatino Linotype" w:cs="Palatino Linotype"/>
          <w:b/>
          <w:bCs/>
          <w:i/>
          <w:iCs/>
          <w:sz w:val="22"/>
          <w:szCs w:val="22"/>
          <w:u w:val="single"/>
        </w:rPr>
        <w:t xml:space="preserve">y de actualización cartográfica, </w:t>
      </w:r>
      <w:r w:rsidRPr="00B51FDC">
        <w:rPr>
          <w:rFonts w:ascii="Palatino Linotype" w:eastAsia="Palatino Linotype" w:hAnsi="Palatino Linotype" w:cs="Palatino Linotype"/>
          <w:b/>
          <w:bCs/>
          <w:i/>
          <w:iCs/>
          <w:sz w:val="22"/>
          <w:szCs w:val="22"/>
        </w:rPr>
        <w:t xml:space="preserve">así como poner a disposición del Municipio, el sistema de información geográfica municipal; </w:t>
      </w:r>
    </w:p>
    <w:p w:rsidR="004D1F9C" w:rsidRPr="00B51FDC" w:rsidRDefault="00724ACC">
      <w:pPr>
        <w:spacing w:line="360" w:lineRule="auto"/>
        <w:ind w:left="567" w:right="843"/>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VIII. Elaborar estudios e identificar las zonas prioritarias de atención del municipio, para facilitar su desarrollo económico y social;</w:t>
      </w:r>
    </w:p>
    <w:p w:rsidR="004D1F9C" w:rsidRPr="00B51FDC" w:rsidRDefault="004D1F9C">
      <w:pPr>
        <w:spacing w:line="360" w:lineRule="auto"/>
        <w:ind w:right="49"/>
        <w:jc w:val="both"/>
        <w:rPr>
          <w:rFonts w:ascii="Palatino Linotype" w:eastAsia="Palatino Linotype" w:hAnsi="Palatino Linotype" w:cs="Palatino Linotype"/>
          <w:sz w:val="22"/>
          <w:szCs w:val="22"/>
        </w:rPr>
      </w:pPr>
    </w:p>
    <w:p w:rsidR="004D1F9C" w:rsidRPr="00B51FDC" w:rsidRDefault="00724ACC">
      <w:pPr>
        <w:spacing w:line="360" w:lineRule="auto"/>
        <w:ind w:right="49"/>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Es así que, a nivel municipal quien tiene atribuciones para generar información relacionada con actualización cartográfica o geográfica del Municipio es el Instituto Municipal de Planeación.</w:t>
      </w:r>
    </w:p>
    <w:p w:rsidR="004D1F9C" w:rsidRPr="00B51FDC" w:rsidRDefault="004D1F9C">
      <w:pPr>
        <w:spacing w:line="360" w:lineRule="auto"/>
        <w:ind w:right="49"/>
        <w:jc w:val="both"/>
        <w:rPr>
          <w:rFonts w:ascii="Palatino Linotype" w:eastAsia="Palatino Linotype" w:hAnsi="Palatino Linotype" w:cs="Palatino Linotype"/>
          <w:sz w:val="22"/>
          <w:szCs w:val="22"/>
        </w:rPr>
      </w:pPr>
    </w:p>
    <w:p w:rsidR="004D1F9C" w:rsidRPr="00B51FDC" w:rsidRDefault="00724ACC">
      <w:pPr>
        <w:pBdr>
          <w:top w:val="nil"/>
          <w:left w:val="nil"/>
          <w:bottom w:val="nil"/>
          <w:right w:val="nil"/>
          <w:between w:val="nil"/>
        </w:pBdr>
        <w:spacing w:before="120" w:after="120" w:line="360" w:lineRule="auto"/>
        <w:ind w:right="-7"/>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Entonces, no haber turnado la solicitud a todas las áreas con atribuciones, funciones y competencias, se determina que no se siguió con ello el procedimiento para la atención a las solicitudes de acceso a la información, establecido en los artículos 151, 160, 162, 163, 164, 165 y 166, de la Ley de Transparencia y Acceso a la Información Pública del Estado de México y Municipios:  </w:t>
      </w:r>
    </w:p>
    <w:p w:rsidR="004D1F9C" w:rsidRPr="00B51FDC" w:rsidRDefault="00724ACC">
      <w:pPr>
        <w:spacing w:after="240" w:line="360" w:lineRule="auto"/>
        <w:ind w:left="284"/>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4D1F9C" w:rsidRPr="00B51FDC" w:rsidRDefault="00724ACC">
      <w:pPr>
        <w:spacing w:after="240" w:line="360" w:lineRule="auto"/>
        <w:ind w:left="284"/>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rsidR="004D1F9C" w:rsidRPr="00B51FDC" w:rsidRDefault="00724ACC">
      <w:pPr>
        <w:spacing w:after="240" w:line="360" w:lineRule="auto"/>
        <w:ind w:left="284"/>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rsidR="004D1F9C" w:rsidRPr="00B51FDC" w:rsidRDefault="00724ACC">
      <w:pPr>
        <w:spacing w:after="240" w:line="360" w:lineRule="auto"/>
        <w:ind w:left="284"/>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4D1F9C" w:rsidRPr="00B51FDC" w:rsidRDefault="00724ACC">
      <w:pPr>
        <w:spacing w:after="240" w:line="360" w:lineRule="auto"/>
        <w:ind w:left="284"/>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4D1F9C" w:rsidRPr="00B51FDC" w:rsidRDefault="00724ACC">
      <w:pPr>
        <w:spacing w:after="240" w:line="360" w:lineRule="auto"/>
        <w:ind w:left="284"/>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En este orden de ideas, se reitera que al no turnarse la solicitud a las unidades administrativas que cuentan con atribuciones para generar, administrar o poseer la información relacionada con mapas, planos o cartografía del municipio es que no se acreditó la correcta búsqueda exhaustiva y razonable de la información.</w:t>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pBdr>
          <w:top w:val="nil"/>
          <w:left w:val="nil"/>
          <w:bottom w:val="nil"/>
          <w:right w:val="nil"/>
          <w:between w:val="nil"/>
        </w:pBdr>
        <w:spacing w:before="120" w:after="120" w:line="360" w:lineRule="auto"/>
        <w:ind w:right="-7"/>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Es importante mencionar que, el Particular solicitó planos; sin embargo, derivado de la naturaleza de la información, la misma pudiera obrar, de manera enunciativa más no limitativa en mapas, planos o cartografía del municipio, de tal forma que permita identificar, a mayor grado de desagregación las carreteras, caminos, pasos y brechas del Ejido San Pedro en el Municipio de Almoloya de Juárez.</w:t>
      </w:r>
    </w:p>
    <w:p w:rsidR="004D1F9C" w:rsidRPr="00B51FDC" w:rsidRDefault="00724ACC">
      <w:pPr>
        <w:pBdr>
          <w:top w:val="nil"/>
          <w:left w:val="nil"/>
          <w:bottom w:val="nil"/>
          <w:right w:val="nil"/>
          <w:between w:val="nil"/>
        </w:pBdr>
        <w:spacing w:before="120" w:after="120" w:line="360" w:lineRule="auto"/>
        <w:ind w:right="-7"/>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Además, se localizó en el Plan de Desarrollo Urbano del Ayuntamiento de Almoloya de Juárez información relativa a planos del Municipio, en donde se puede advertir el correspondiente a “vialidades y restricciones” donde se contienen todas las calles y avenidas que hay en el Municipio, se adjunta, a manera de ejemplo el ejido la Gavia:</w:t>
      </w:r>
    </w:p>
    <w:p w:rsidR="004D1F9C" w:rsidRPr="00B51FDC" w:rsidRDefault="00724ACC">
      <w:pPr>
        <w:pBdr>
          <w:top w:val="nil"/>
          <w:left w:val="nil"/>
          <w:bottom w:val="nil"/>
          <w:right w:val="nil"/>
          <w:between w:val="nil"/>
        </w:pBdr>
        <w:spacing w:before="120" w:after="120" w:line="360" w:lineRule="auto"/>
        <w:ind w:right="-7"/>
        <w:jc w:val="center"/>
        <w:rPr>
          <w:rFonts w:ascii="Palatino Linotype" w:eastAsia="Palatino Linotype" w:hAnsi="Palatino Linotype" w:cs="Palatino Linotype"/>
          <w:sz w:val="22"/>
          <w:szCs w:val="22"/>
        </w:rPr>
      </w:pPr>
      <w:r w:rsidRPr="00B51FDC">
        <w:rPr>
          <w:rFonts w:ascii="Palatino Linotype" w:eastAsia="Palatino Linotype" w:hAnsi="Palatino Linotype" w:cs="Palatino Linotype"/>
          <w:noProof/>
          <w:sz w:val="22"/>
          <w:szCs w:val="22"/>
        </w:rPr>
        <w:drawing>
          <wp:inline distT="0" distB="0" distL="0" distR="0">
            <wp:extent cx="3166910" cy="2230287"/>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66910" cy="2230287"/>
                    </a:xfrm>
                    <a:prstGeom prst="rect">
                      <a:avLst/>
                    </a:prstGeom>
                    <a:ln/>
                  </pic:spPr>
                </pic:pic>
              </a:graphicData>
            </a:graphic>
          </wp:inline>
        </w:drawing>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Por lo que, contrario a lo que refirió el Sujeto Obligado en su respuesta, aún y cuando corresponde a información de un Ejido, el Municipio sí tiene atribuciones, funciones y competencias, para conocer respecto a las calles y avenidas del mismo.</w:t>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spacing w:line="360" w:lineRule="auto"/>
        <w:jc w:val="both"/>
        <w:rPr>
          <w:rFonts w:ascii="Palatino Linotype" w:eastAsia="Palatino Linotype" w:hAnsi="Palatino Linotype" w:cs="Palatino Linotype"/>
          <w:sz w:val="22"/>
          <w:szCs w:val="22"/>
        </w:rPr>
      </w:pPr>
      <w:bookmarkStart w:id="2" w:name="_heading=h.w3yqsrfpbxwd" w:colFirst="0" w:colLast="0"/>
      <w:bookmarkEnd w:id="2"/>
      <w:r w:rsidRPr="00B51FDC">
        <w:rPr>
          <w:rFonts w:ascii="Palatino Linotype" w:eastAsia="Palatino Linotype" w:hAnsi="Palatino Linotype" w:cs="Palatino Linotype"/>
          <w:sz w:val="22"/>
          <w:szCs w:val="22"/>
        </w:rPr>
        <w:t>Por lo anterior, se ORDENA realizar una nueva búsqueda exhaustiva y razonable de la información a efecto de localizar y poner a disposición del Recurrente los documentos donde obre la información de los planos correspondientes a las vialidades, a mayor grado de desagregación, del Ejido San Pedro, Municipio de Almoloya de Juárez al veinte de agosto de dos mil veinticinco.</w:t>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De ser el caso de que la información que se ordena entregar contenga datos personales susceptibles de clasificarse como información confidencial, el Sujeto Obligado estará a lo dispuesto en el Considerando Quinto de la presente resolución.</w:t>
      </w:r>
    </w:p>
    <w:p w:rsidR="004D1F9C" w:rsidRPr="00B51FDC" w:rsidRDefault="00724ACC">
      <w:pPr>
        <w:spacing w:before="240" w:after="240" w:line="360" w:lineRule="auto"/>
        <w:ind w:right="51"/>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 xml:space="preserve">Quinto. Versión Pública. </w:t>
      </w:r>
      <w:r w:rsidRPr="00B51FDC">
        <w:rPr>
          <w:rFonts w:ascii="Palatino Linotype" w:eastAsia="Palatino Linotype" w:hAnsi="Palatino Linotype" w:cs="Palatino Linotype"/>
          <w:sz w:val="22"/>
          <w:szCs w:val="22"/>
        </w:rPr>
        <w:t>Como fue debidamente apuntado, el </w:t>
      </w:r>
      <w:r w:rsidRPr="00B51FDC">
        <w:rPr>
          <w:rFonts w:ascii="Palatino Linotype" w:eastAsia="Palatino Linotype" w:hAnsi="Palatino Linotype" w:cs="Palatino Linotype"/>
          <w:b/>
          <w:bCs/>
          <w:sz w:val="22"/>
          <w:szCs w:val="22"/>
        </w:rPr>
        <w:t>Sujeto Obligado</w:t>
      </w:r>
      <w:r w:rsidRPr="00B51FDC">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su caso, en versión pública</w:t>
      </w:r>
    </w:p>
    <w:p w:rsidR="004D1F9C" w:rsidRPr="00B51FDC" w:rsidRDefault="00724ACC">
      <w:pPr>
        <w:spacing w:before="240" w:after="240" w:line="360" w:lineRule="auto"/>
        <w:ind w:right="50"/>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4D1F9C" w:rsidRPr="00B51FDC" w:rsidRDefault="00724ACC">
      <w:pPr>
        <w:spacing w:before="120" w:after="120"/>
        <w:ind w:left="851"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“Artículo 49.</w:t>
      </w:r>
      <w:r w:rsidRPr="00B51FDC">
        <w:rPr>
          <w:rFonts w:ascii="Palatino Linotype" w:eastAsia="Palatino Linotype" w:hAnsi="Palatino Linotype" w:cs="Palatino Linotype"/>
          <w:i/>
          <w:iCs/>
          <w:sz w:val="22"/>
          <w:szCs w:val="22"/>
        </w:rPr>
        <w:t xml:space="preserve"> </w:t>
      </w:r>
      <w:r w:rsidRPr="00B51FDC">
        <w:rPr>
          <w:rFonts w:ascii="Palatino Linotype" w:eastAsia="Palatino Linotype" w:hAnsi="Palatino Linotype" w:cs="Palatino Linotype"/>
          <w:b/>
          <w:bCs/>
          <w:i/>
          <w:iCs/>
          <w:sz w:val="22"/>
          <w:szCs w:val="22"/>
        </w:rPr>
        <w:t>Los Comités de Transparencia</w:t>
      </w:r>
      <w:r w:rsidRPr="00B51FDC">
        <w:rPr>
          <w:rFonts w:ascii="Palatino Linotype" w:eastAsia="Palatino Linotype" w:hAnsi="Palatino Linotype" w:cs="Palatino Linotype"/>
          <w:i/>
          <w:iCs/>
          <w:sz w:val="22"/>
          <w:szCs w:val="22"/>
        </w:rPr>
        <w:t xml:space="preserve"> tendrán las siguientes atribuciones:</w:t>
      </w:r>
    </w:p>
    <w:p w:rsidR="004D1F9C" w:rsidRPr="00B51FDC" w:rsidRDefault="00724ACC">
      <w:pPr>
        <w:spacing w:before="120" w:after="120"/>
        <w:ind w:left="1134"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VIII. Aprobar, modificar o revocar la clasificación de la información</w:t>
      </w:r>
      <w:r w:rsidRPr="00B51FDC">
        <w:rPr>
          <w:rFonts w:ascii="Palatino Linotype" w:eastAsia="Palatino Linotype" w:hAnsi="Palatino Linotype" w:cs="Palatino Linotype"/>
          <w:i/>
          <w:iCs/>
          <w:sz w:val="22"/>
          <w:szCs w:val="22"/>
        </w:rPr>
        <w:t>…”</w:t>
      </w:r>
    </w:p>
    <w:p w:rsidR="004D1F9C" w:rsidRPr="00B51FDC" w:rsidRDefault="00724ACC">
      <w:pPr>
        <w:spacing w:before="120" w:after="120"/>
        <w:ind w:left="851"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w:t>
      </w:r>
      <w:r w:rsidRPr="00B51FDC">
        <w:rPr>
          <w:rFonts w:ascii="Palatino Linotype" w:eastAsia="Palatino Linotype" w:hAnsi="Palatino Linotype" w:cs="Palatino Linotype"/>
          <w:b/>
          <w:bCs/>
          <w:i/>
          <w:iCs/>
          <w:sz w:val="22"/>
          <w:szCs w:val="22"/>
        </w:rPr>
        <w:t>Artículo 53.</w:t>
      </w:r>
      <w:r w:rsidRPr="00B51FDC">
        <w:rPr>
          <w:rFonts w:ascii="Palatino Linotype" w:eastAsia="Palatino Linotype" w:hAnsi="Palatino Linotype" w:cs="Palatino Linotype"/>
          <w:i/>
          <w:iCs/>
          <w:sz w:val="22"/>
          <w:szCs w:val="22"/>
        </w:rPr>
        <w:t xml:space="preserve"> Las </w:t>
      </w:r>
      <w:r w:rsidRPr="00B51FDC">
        <w:rPr>
          <w:rFonts w:ascii="Palatino Linotype" w:eastAsia="Palatino Linotype" w:hAnsi="Palatino Linotype" w:cs="Palatino Linotype"/>
          <w:b/>
          <w:bCs/>
          <w:i/>
          <w:iCs/>
          <w:sz w:val="22"/>
          <w:szCs w:val="22"/>
        </w:rPr>
        <w:t>Unidades de Transparencia</w:t>
      </w:r>
      <w:r w:rsidRPr="00B51FDC">
        <w:rPr>
          <w:rFonts w:ascii="Palatino Linotype" w:eastAsia="Palatino Linotype" w:hAnsi="Palatino Linotype" w:cs="Palatino Linotype"/>
          <w:i/>
          <w:iCs/>
          <w:sz w:val="22"/>
          <w:szCs w:val="22"/>
        </w:rPr>
        <w:t xml:space="preserve"> tendrán las siguientes </w:t>
      </w:r>
      <w:r w:rsidRPr="00B51FDC">
        <w:rPr>
          <w:rFonts w:ascii="Palatino Linotype" w:eastAsia="Palatino Linotype" w:hAnsi="Palatino Linotype" w:cs="Palatino Linotype"/>
          <w:b/>
          <w:bCs/>
          <w:i/>
          <w:iCs/>
          <w:sz w:val="22"/>
          <w:szCs w:val="22"/>
        </w:rPr>
        <w:t>funciones</w:t>
      </w:r>
      <w:r w:rsidRPr="00B51FDC">
        <w:rPr>
          <w:rFonts w:ascii="Palatino Linotype" w:eastAsia="Palatino Linotype" w:hAnsi="Palatino Linotype" w:cs="Palatino Linotype"/>
          <w:i/>
          <w:iCs/>
          <w:sz w:val="22"/>
          <w:szCs w:val="22"/>
        </w:rPr>
        <w:t>:</w:t>
      </w:r>
    </w:p>
    <w:p w:rsidR="004D1F9C" w:rsidRPr="00B51FDC" w:rsidRDefault="00724ACC">
      <w:pPr>
        <w:spacing w:before="120" w:after="120"/>
        <w:ind w:left="1134"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X. Presentar ante el Comité, el proyecto de clasificación de información</w:t>
      </w:r>
      <w:r w:rsidRPr="00B51FDC">
        <w:rPr>
          <w:rFonts w:ascii="Palatino Linotype" w:eastAsia="Palatino Linotype" w:hAnsi="Palatino Linotype" w:cs="Palatino Linotype"/>
          <w:i/>
          <w:iCs/>
          <w:sz w:val="22"/>
          <w:szCs w:val="22"/>
        </w:rPr>
        <w:t xml:space="preserve">…” </w:t>
      </w:r>
    </w:p>
    <w:p w:rsidR="004D1F9C" w:rsidRPr="00B51FDC" w:rsidRDefault="00724ACC">
      <w:pPr>
        <w:spacing w:before="120" w:after="120"/>
        <w:ind w:left="851"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“Artículo 59.</w:t>
      </w:r>
      <w:r w:rsidRPr="00B51FDC">
        <w:rPr>
          <w:rFonts w:ascii="Palatino Linotype" w:eastAsia="Palatino Linotype" w:hAnsi="Palatino Linotype" w:cs="Palatino Linotype"/>
          <w:i/>
          <w:iCs/>
          <w:sz w:val="22"/>
          <w:szCs w:val="22"/>
        </w:rPr>
        <w:t xml:space="preserve"> Los </w:t>
      </w:r>
      <w:r w:rsidRPr="00B51FDC">
        <w:rPr>
          <w:rFonts w:ascii="Palatino Linotype" w:eastAsia="Palatino Linotype" w:hAnsi="Palatino Linotype" w:cs="Palatino Linotype"/>
          <w:b/>
          <w:bCs/>
          <w:i/>
          <w:iCs/>
          <w:sz w:val="22"/>
          <w:szCs w:val="22"/>
        </w:rPr>
        <w:t>servidores públicos habilitados</w:t>
      </w:r>
      <w:r w:rsidRPr="00B51FDC">
        <w:rPr>
          <w:rFonts w:ascii="Palatino Linotype" w:eastAsia="Palatino Linotype" w:hAnsi="Palatino Linotype" w:cs="Palatino Linotype"/>
          <w:i/>
          <w:iCs/>
          <w:sz w:val="22"/>
          <w:szCs w:val="22"/>
        </w:rPr>
        <w:t xml:space="preserve"> tendrán las </w:t>
      </w:r>
      <w:r w:rsidRPr="00B51FDC">
        <w:rPr>
          <w:rFonts w:ascii="Palatino Linotype" w:eastAsia="Palatino Linotype" w:hAnsi="Palatino Linotype" w:cs="Palatino Linotype"/>
          <w:b/>
          <w:bCs/>
          <w:i/>
          <w:iCs/>
          <w:sz w:val="22"/>
          <w:szCs w:val="22"/>
        </w:rPr>
        <w:t>funciones</w:t>
      </w:r>
      <w:r w:rsidRPr="00B51FDC">
        <w:rPr>
          <w:rFonts w:ascii="Palatino Linotype" w:eastAsia="Palatino Linotype" w:hAnsi="Palatino Linotype" w:cs="Palatino Linotype"/>
          <w:i/>
          <w:iCs/>
          <w:sz w:val="22"/>
          <w:szCs w:val="22"/>
        </w:rPr>
        <w:t xml:space="preserve"> siguientes:</w:t>
      </w:r>
    </w:p>
    <w:p w:rsidR="004D1F9C" w:rsidRPr="00B51FDC" w:rsidRDefault="00724ACC">
      <w:pPr>
        <w:spacing w:before="120" w:after="120"/>
        <w:ind w:left="1134"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B51FDC">
        <w:rPr>
          <w:rFonts w:ascii="Palatino Linotype" w:eastAsia="Palatino Linotype" w:hAnsi="Palatino Linotype" w:cs="Palatino Linotype"/>
          <w:i/>
          <w:iCs/>
          <w:sz w:val="22"/>
          <w:szCs w:val="22"/>
        </w:rPr>
        <w:t>, la cual tendrá los fundamentos y argumentos en que se basa dicha propuesta…”</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rsidR="004D1F9C" w:rsidRPr="00B51FDC" w:rsidRDefault="00724ACC">
      <w:pPr>
        <w:spacing w:before="120" w:after="120"/>
        <w:ind w:left="851"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w:t>
      </w:r>
      <w:r w:rsidRPr="00B51FDC">
        <w:rPr>
          <w:rFonts w:ascii="Palatino Linotype" w:eastAsia="Palatino Linotype" w:hAnsi="Palatino Linotype" w:cs="Palatino Linotype"/>
          <w:b/>
          <w:bCs/>
          <w:i/>
          <w:iCs/>
          <w:sz w:val="22"/>
          <w:szCs w:val="22"/>
        </w:rPr>
        <w:t>Artículo 149.</w:t>
      </w:r>
      <w:r w:rsidRPr="00B51FDC">
        <w:rPr>
          <w:rFonts w:ascii="Palatino Linotype" w:eastAsia="Palatino Linotype" w:hAnsi="Palatino Linotype" w:cs="Palatino Linotype"/>
          <w:i/>
          <w:iCs/>
          <w:sz w:val="22"/>
          <w:szCs w:val="22"/>
        </w:rPr>
        <w:t xml:space="preserve"> El </w:t>
      </w:r>
      <w:r w:rsidRPr="00B51FDC">
        <w:rPr>
          <w:rFonts w:ascii="Palatino Linotype" w:eastAsia="Palatino Linotype" w:hAnsi="Palatino Linotype" w:cs="Palatino Linotype"/>
          <w:b/>
          <w:bCs/>
          <w:i/>
          <w:iCs/>
          <w:sz w:val="22"/>
          <w:szCs w:val="22"/>
        </w:rPr>
        <w:t>acuerdo que clasifique la información como confidencial</w:t>
      </w:r>
      <w:r w:rsidRPr="00B51FDC">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rsidR="004D1F9C" w:rsidRPr="00B51FDC" w:rsidRDefault="00724ACC">
      <w:pPr>
        <w:spacing w:before="240" w:after="240" w:line="360" w:lineRule="auto"/>
        <w:ind w:right="51"/>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Es decir, el </w:t>
      </w:r>
      <w:r w:rsidRPr="00B51FDC">
        <w:rPr>
          <w:rFonts w:ascii="Palatino Linotype" w:eastAsia="Palatino Linotype" w:hAnsi="Palatino Linotype" w:cs="Palatino Linotype"/>
          <w:b/>
          <w:bCs/>
          <w:sz w:val="22"/>
          <w:szCs w:val="22"/>
        </w:rPr>
        <w:t>Sujeto Obligado</w:t>
      </w:r>
      <w:r w:rsidRPr="00B51FDC">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4D1F9C" w:rsidRPr="00B51FDC" w:rsidRDefault="00724AC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B51FDC">
        <w:rPr>
          <w:rFonts w:ascii="Palatino Linotype" w:eastAsia="Palatino Linotype" w:hAnsi="Palatino Linotype" w:cs="Palatino Linotype"/>
          <w:b/>
          <w:bCs/>
          <w:sz w:val="22"/>
          <w:szCs w:val="22"/>
        </w:rPr>
        <w:t>Sujeto Obligado</w:t>
      </w:r>
      <w:r w:rsidRPr="00B51FDC">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rsidR="004D1F9C" w:rsidRPr="00B51FDC" w:rsidRDefault="00724ACC">
      <w:pPr>
        <w:spacing w:before="120" w:after="120"/>
        <w:ind w:left="851"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 xml:space="preserve"> “Quincuagésimo. </w:t>
      </w:r>
      <w:r w:rsidRPr="00B51FDC">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4D1F9C" w:rsidRPr="00B51FDC" w:rsidRDefault="00724AC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 xml:space="preserve">Quincuagésimo primero. </w:t>
      </w:r>
      <w:r w:rsidRPr="00B51FDC">
        <w:rPr>
          <w:rFonts w:ascii="Palatino Linotype" w:eastAsia="Palatino Linotype" w:hAnsi="Palatino Linotype" w:cs="Palatino Linotype"/>
          <w:i/>
          <w:iCs/>
          <w:sz w:val="22"/>
          <w:szCs w:val="22"/>
        </w:rPr>
        <w:t xml:space="preserve">Toda acta del Comité de Transparencia deberá contener: </w:t>
      </w:r>
    </w:p>
    <w:p w:rsidR="004D1F9C" w:rsidRPr="00B51FDC" w:rsidRDefault="00724ACC">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I.</w:t>
      </w:r>
      <w:r w:rsidRPr="00B51FDC">
        <w:rPr>
          <w:rFonts w:ascii="Palatino Linotype" w:eastAsia="Palatino Linotype" w:hAnsi="Palatino Linotype" w:cs="Palatino Linotype"/>
          <w:i/>
          <w:iCs/>
          <w:sz w:val="22"/>
          <w:szCs w:val="22"/>
        </w:rPr>
        <w:t xml:space="preserve"> El número de sesión y fecha; </w:t>
      </w:r>
    </w:p>
    <w:p w:rsidR="004D1F9C" w:rsidRPr="00B51FDC" w:rsidRDefault="00724ACC">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II</w:t>
      </w:r>
      <w:r w:rsidRPr="00B51FDC">
        <w:rPr>
          <w:rFonts w:ascii="Palatino Linotype" w:eastAsia="Palatino Linotype" w:hAnsi="Palatino Linotype" w:cs="Palatino Linotype"/>
          <w:i/>
          <w:iCs/>
          <w:sz w:val="22"/>
          <w:szCs w:val="22"/>
        </w:rPr>
        <w:t xml:space="preserve">. El nombre del área que solicitó la clasificación de información; </w:t>
      </w:r>
    </w:p>
    <w:p w:rsidR="004D1F9C" w:rsidRPr="00B51FDC" w:rsidRDefault="00724ACC">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III</w:t>
      </w:r>
      <w:r w:rsidRPr="00B51FDC">
        <w:rPr>
          <w:rFonts w:ascii="Palatino Linotype" w:eastAsia="Palatino Linotype" w:hAnsi="Palatino Linotype" w:cs="Palatino Linotype"/>
          <w:i/>
          <w:iCs/>
          <w:sz w:val="22"/>
          <w:szCs w:val="22"/>
        </w:rPr>
        <w:t xml:space="preserve">. La fundamentación legal y motivación correspondiente; </w:t>
      </w:r>
    </w:p>
    <w:p w:rsidR="004D1F9C" w:rsidRPr="00B51FDC" w:rsidRDefault="00724ACC">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IV</w:t>
      </w:r>
      <w:r w:rsidRPr="00B51FDC">
        <w:rPr>
          <w:rFonts w:ascii="Palatino Linotype" w:eastAsia="Palatino Linotype" w:hAnsi="Palatino Linotype" w:cs="Palatino Linotype"/>
          <w:i/>
          <w:iCs/>
          <w:sz w:val="22"/>
          <w:szCs w:val="22"/>
        </w:rPr>
        <w:t xml:space="preserve">. La resolución o resoluciones aprobadas; y </w:t>
      </w:r>
    </w:p>
    <w:p w:rsidR="004D1F9C" w:rsidRPr="00B51FDC" w:rsidRDefault="00724ACC">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V</w:t>
      </w:r>
      <w:r w:rsidRPr="00B51FDC">
        <w:rPr>
          <w:rFonts w:ascii="Palatino Linotype" w:eastAsia="Palatino Linotype" w:hAnsi="Palatino Linotype" w:cs="Palatino Linotype"/>
          <w:i/>
          <w:iCs/>
          <w:sz w:val="22"/>
          <w:szCs w:val="22"/>
        </w:rPr>
        <w:t xml:space="preserve">. La rúbrica o firma digital de cada integrante del Comité de Transparencia. </w:t>
      </w:r>
    </w:p>
    <w:p w:rsidR="004D1F9C" w:rsidRPr="00B51FDC" w:rsidRDefault="00724AC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rsidR="004D1F9C" w:rsidRPr="00B51FDC" w:rsidRDefault="00724ACC">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I.</w:t>
      </w:r>
      <w:r w:rsidRPr="00B51FDC">
        <w:rPr>
          <w:rFonts w:ascii="Palatino Linotype" w:eastAsia="Palatino Linotype" w:hAnsi="Palatino Linotype" w:cs="Palatino Linotype"/>
          <w:i/>
          <w:iCs/>
          <w:sz w:val="22"/>
          <w:szCs w:val="22"/>
        </w:rPr>
        <w:t xml:space="preserve"> Los motivos y razonamientos que sustenten la confirmación o modificación de la prueba de daño;</w:t>
      </w:r>
    </w:p>
    <w:p w:rsidR="004D1F9C" w:rsidRPr="00B51FDC" w:rsidRDefault="00724ACC">
      <w:pPr>
        <w:pBdr>
          <w:top w:val="nil"/>
          <w:left w:val="nil"/>
          <w:bottom w:val="nil"/>
          <w:right w:val="nil"/>
          <w:between w:val="nil"/>
        </w:pBdr>
        <w:spacing w:before="120" w:after="120"/>
        <w:ind w:left="1134" w:right="902"/>
        <w:jc w:val="both"/>
        <w:rPr>
          <w:rFonts w:ascii="Palatino Linotype" w:eastAsia="Palatino Linotype" w:hAnsi="Palatino Linotype" w:cs="Palatino Linotype"/>
          <w:b/>
          <w:bCs/>
          <w:i/>
          <w:iCs/>
          <w:sz w:val="22"/>
          <w:szCs w:val="22"/>
        </w:rPr>
      </w:pPr>
      <w:r w:rsidRPr="00B51FDC">
        <w:rPr>
          <w:rFonts w:ascii="Palatino Linotype" w:eastAsia="Palatino Linotype" w:hAnsi="Palatino Linotype" w:cs="Palatino Linotype"/>
          <w:b/>
          <w:bCs/>
          <w:i/>
          <w:iCs/>
          <w:sz w:val="22"/>
          <w:szCs w:val="22"/>
        </w:rPr>
        <w:t>II</w:t>
      </w:r>
      <w:r w:rsidRPr="00B51FDC">
        <w:rPr>
          <w:rFonts w:ascii="Palatino Linotype" w:eastAsia="Palatino Linotype" w:hAnsi="Palatino Linotype" w:cs="Palatino Linotype"/>
          <w:i/>
          <w:iCs/>
          <w:sz w:val="22"/>
          <w:szCs w:val="22"/>
        </w:rPr>
        <w:t>. Descripción de las partes o secciones reservadas, en caso de clasificación parcial</w:t>
      </w:r>
      <w:r w:rsidRPr="00B51FDC">
        <w:rPr>
          <w:rFonts w:ascii="Palatino Linotype" w:eastAsia="Palatino Linotype" w:hAnsi="Palatino Linotype" w:cs="Palatino Linotype"/>
          <w:b/>
          <w:bCs/>
          <w:i/>
          <w:iCs/>
          <w:sz w:val="22"/>
          <w:szCs w:val="22"/>
        </w:rPr>
        <w:t xml:space="preserve">; </w:t>
      </w:r>
    </w:p>
    <w:p w:rsidR="004D1F9C" w:rsidRPr="00B51FDC" w:rsidRDefault="00724ACC">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III.</w:t>
      </w:r>
      <w:r w:rsidRPr="00B51FDC">
        <w:rPr>
          <w:rFonts w:ascii="Palatino Linotype" w:eastAsia="Palatino Linotype" w:hAnsi="Palatino Linotype" w:cs="Palatino Linotype"/>
          <w:i/>
          <w:iCs/>
          <w:sz w:val="22"/>
          <w:szCs w:val="22"/>
        </w:rPr>
        <w:t xml:space="preserve"> El periodo por el que mantendrá su clasificación y fecha de expiración; y </w:t>
      </w:r>
    </w:p>
    <w:p w:rsidR="004D1F9C" w:rsidRPr="00B51FDC" w:rsidRDefault="00724ACC">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IV.</w:t>
      </w:r>
      <w:r w:rsidRPr="00B51FDC">
        <w:rPr>
          <w:rFonts w:ascii="Palatino Linotype" w:eastAsia="Palatino Linotype" w:hAnsi="Palatino Linotype" w:cs="Palatino Linotype"/>
          <w:i/>
          <w:iCs/>
          <w:sz w:val="22"/>
          <w:szCs w:val="22"/>
        </w:rPr>
        <w:t xml:space="preserve"> El nombre del titular y área encargada de realizar la versión pública del documento, en su caso. </w:t>
      </w:r>
    </w:p>
    <w:p w:rsidR="004D1F9C" w:rsidRPr="00B51FDC" w:rsidRDefault="00724AC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rsidR="004D1F9C" w:rsidRPr="00B51FDC" w:rsidRDefault="00724AC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rsidR="004D1F9C" w:rsidRPr="00B51FDC" w:rsidRDefault="00724ACC">
      <w:pPr>
        <w:spacing w:before="120" w:after="120"/>
        <w:ind w:left="851"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w:t>
      </w:r>
      <w:r w:rsidRPr="00B51FDC">
        <w:rPr>
          <w:rFonts w:ascii="Palatino Linotype" w:eastAsia="Palatino Linotype" w:hAnsi="Palatino Linotype" w:cs="Palatino Linotype"/>
          <w:b/>
          <w:bCs/>
          <w:i/>
          <w:iCs/>
          <w:sz w:val="22"/>
          <w:szCs w:val="22"/>
        </w:rPr>
        <w:t>Quincuagésimo segundo</w:t>
      </w:r>
      <w:r w:rsidRPr="00B51FDC">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B51FDC">
        <w:rPr>
          <w:rFonts w:ascii="Palatino Linotype" w:eastAsia="Palatino Linotype" w:hAnsi="Palatino Linotype" w:cs="Palatino Linotype"/>
          <w:i/>
          <w:iCs/>
          <w:sz w:val="22"/>
          <w:szCs w:val="22"/>
        </w:rPr>
        <w:t>sobreposición</w:t>
      </w:r>
      <w:proofErr w:type="spellEnd"/>
      <w:r w:rsidRPr="00B51FDC">
        <w:rPr>
          <w:rFonts w:ascii="Palatino Linotype" w:eastAsia="Palatino Linotype" w:hAnsi="Palatino Linotype" w:cs="Palatino Linotype"/>
          <w:i/>
          <w:iCs/>
          <w:sz w:val="22"/>
          <w:szCs w:val="22"/>
        </w:rPr>
        <w:t xml:space="preserve"> de contenido distinto al autorizado por el Comité.</w:t>
      </w:r>
    </w:p>
    <w:p w:rsidR="004D1F9C" w:rsidRPr="00B51FDC" w:rsidRDefault="00724ACC">
      <w:pPr>
        <w:spacing w:before="120" w:after="120"/>
        <w:ind w:left="851"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rsidR="004D1F9C" w:rsidRPr="00B51FDC" w:rsidRDefault="00724ACC">
      <w:pPr>
        <w:spacing w:before="120" w:after="120"/>
        <w:ind w:left="1134"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I.</w:t>
      </w:r>
      <w:r w:rsidRPr="00B51FDC">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rsidR="004D1F9C" w:rsidRPr="00B51FDC" w:rsidRDefault="00724ACC">
      <w:pPr>
        <w:spacing w:before="120" w:after="120"/>
        <w:ind w:left="1134"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II.</w:t>
      </w:r>
      <w:r w:rsidRPr="00B51FDC">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rsidR="004D1F9C" w:rsidRPr="00B51FDC" w:rsidRDefault="00724ACC">
      <w:pPr>
        <w:spacing w:before="120" w:after="120"/>
        <w:ind w:left="1134"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III.</w:t>
      </w:r>
      <w:r w:rsidRPr="00B51FDC">
        <w:rPr>
          <w:rFonts w:ascii="Palatino Linotype" w:eastAsia="Palatino Linotype" w:hAnsi="Palatino Linotype" w:cs="Palatino Linotype"/>
          <w:i/>
          <w:iCs/>
          <w:sz w:val="22"/>
          <w:szCs w:val="22"/>
        </w:rPr>
        <w:t xml:space="preserve"> Señalar las personas o instancias autorizadas a acceder a la información clasificada.</w:t>
      </w:r>
    </w:p>
    <w:p w:rsidR="004D1F9C" w:rsidRPr="00B51FDC" w:rsidRDefault="00724ACC">
      <w:pPr>
        <w:spacing w:before="120" w:after="120"/>
        <w:ind w:left="851"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rsidR="004D1F9C" w:rsidRPr="00B51FDC" w:rsidRDefault="00724ACC">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w:t>
      </w:r>
    </w:p>
    <w:p w:rsidR="004D1F9C" w:rsidRPr="00B51FDC" w:rsidRDefault="00724ACC">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B51FDC">
        <w:rPr>
          <w:rFonts w:ascii="Palatino Linotype" w:eastAsia="Palatino Linotype" w:hAnsi="Palatino Linotype" w:cs="Palatino Linotype"/>
          <w:b/>
          <w:bCs/>
          <w:i/>
          <w:iCs/>
          <w:sz w:val="22"/>
          <w:szCs w:val="22"/>
        </w:rPr>
        <w:t xml:space="preserve">Quincuagésimo cuarto. </w:t>
      </w:r>
      <w:r w:rsidRPr="00B51FDC">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B51FDC">
        <w:rPr>
          <w:rFonts w:ascii="Palatino Linotype" w:eastAsia="Palatino Linotype" w:hAnsi="Palatino Linotype" w:cs="Palatino Linotype"/>
          <w:b/>
          <w:bCs/>
          <w:i/>
          <w:iCs/>
          <w:sz w:val="22"/>
          <w:szCs w:val="22"/>
        </w:rPr>
        <w:t xml:space="preserve"> </w:t>
      </w:r>
    </w:p>
    <w:p w:rsidR="004D1F9C" w:rsidRPr="00B51FDC" w:rsidRDefault="00724ACC">
      <w:pPr>
        <w:spacing w:before="120" w:after="120"/>
        <w:ind w:left="851"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 xml:space="preserve">Quincuagésimo quinto. </w:t>
      </w:r>
      <w:r w:rsidRPr="00B51FDC">
        <w:rPr>
          <w:rFonts w:ascii="Palatino Linotype" w:eastAsia="Palatino Linotype" w:hAnsi="Palatino Linotype" w:cs="Palatino Linotype"/>
          <w:i/>
          <w:iCs/>
          <w:sz w:val="22"/>
          <w:szCs w:val="22"/>
        </w:rPr>
        <w:t xml:space="preserve">Cada área del sujeto obligado podrá designar formalmente a una o más personas como responsables del </w:t>
      </w:r>
      <w:proofErr w:type="spellStart"/>
      <w:r w:rsidRPr="00B51FDC">
        <w:rPr>
          <w:rFonts w:ascii="Palatino Linotype" w:eastAsia="Palatino Linotype" w:hAnsi="Palatino Linotype" w:cs="Palatino Linotype"/>
          <w:i/>
          <w:iCs/>
          <w:sz w:val="22"/>
          <w:szCs w:val="22"/>
        </w:rPr>
        <w:t>testado</w:t>
      </w:r>
      <w:proofErr w:type="spellEnd"/>
      <w:r w:rsidRPr="00B51FDC">
        <w:rPr>
          <w:rFonts w:ascii="Palatino Linotype" w:eastAsia="Palatino Linotype" w:hAnsi="Palatino Linotype" w:cs="Palatino Linotype"/>
          <w:i/>
          <w:iCs/>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rsidR="004D1F9C" w:rsidRPr="00B51FDC" w:rsidRDefault="00724ACC">
      <w:pPr>
        <w:spacing w:before="120" w:after="120"/>
        <w:ind w:left="851" w:right="902"/>
        <w:jc w:val="both"/>
        <w:rPr>
          <w:rFonts w:ascii="Palatino Linotype" w:eastAsia="Palatino Linotype" w:hAnsi="Palatino Linotype" w:cs="Palatino Linotype"/>
          <w:b/>
          <w:bCs/>
          <w:i/>
          <w:iCs/>
          <w:sz w:val="22"/>
          <w:szCs w:val="22"/>
        </w:rPr>
      </w:pPr>
      <w:r w:rsidRPr="00B51FDC">
        <w:rPr>
          <w:rFonts w:ascii="Palatino Linotype" w:eastAsia="Palatino Linotype" w:hAnsi="Palatino Linotype" w:cs="Palatino Linotype"/>
          <w:b/>
          <w:bCs/>
          <w:i/>
          <w:iCs/>
          <w:sz w:val="22"/>
          <w:szCs w:val="22"/>
        </w:rPr>
        <w:t>...</w:t>
      </w:r>
    </w:p>
    <w:p w:rsidR="004D1F9C" w:rsidRPr="00B51FDC" w:rsidRDefault="00724ACC">
      <w:pPr>
        <w:spacing w:before="120" w:after="120"/>
        <w:ind w:left="851"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Quincuagésimo séptimo</w:t>
      </w:r>
      <w:r w:rsidRPr="00B51FDC">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rsidR="004D1F9C" w:rsidRPr="00B51FDC" w:rsidRDefault="00724ACC">
      <w:pPr>
        <w:spacing w:before="120" w:after="120"/>
        <w:ind w:left="1134"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I</w:t>
      </w:r>
      <w:r w:rsidRPr="00B51FDC">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rsidR="004D1F9C" w:rsidRPr="00B51FDC" w:rsidRDefault="00724ACC">
      <w:pPr>
        <w:spacing w:before="120" w:after="120"/>
        <w:ind w:left="1134"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II.</w:t>
      </w:r>
      <w:r w:rsidRPr="00B51FDC">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4D1F9C" w:rsidRPr="00B51FDC" w:rsidRDefault="00724ACC">
      <w:pPr>
        <w:spacing w:before="120" w:after="120"/>
        <w:ind w:left="1134"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III</w:t>
      </w:r>
      <w:r w:rsidRPr="00B51FDC">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4D1F9C" w:rsidRPr="00B51FDC" w:rsidRDefault="00724ACC">
      <w:pPr>
        <w:spacing w:before="120" w:after="120"/>
        <w:ind w:left="851"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rsidR="004D1F9C" w:rsidRPr="00B51FDC" w:rsidRDefault="00724ACC">
      <w:pPr>
        <w:spacing w:before="120" w:after="120"/>
        <w:ind w:left="851" w:right="902"/>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b/>
          <w:bCs/>
          <w:i/>
          <w:iCs/>
          <w:sz w:val="22"/>
          <w:szCs w:val="22"/>
        </w:rPr>
        <w:t>Quincuagésimo octavo</w:t>
      </w:r>
      <w:r w:rsidRPr="00B51FDC">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rsidR="004D1F9C" w:rsidRPr="00B51FDC" w:rsidRDefault="004D1F9C">
      <w:pPr>
        <w:spacing w:line="360" w:lineRule="auto"/>
        <w:jc w:val="both"/>
        <w:rPr>
          <w:rFonts w:ascii="Palatino Linotype" w:eastAsia="Palatino Linotype" w:hAnsi="Palatino Linotype" w:cs="Palatino Linotype"/>
          <w:sz w:val="22"/>
          <w:szCs w:val="22"/>
        </w:rPr>
      </w:pPr>
    </w:p>
    <w:p w:rsidR="004D1F9C" w:rsidRPr="00B51FDC" w:rsidRDefault="00724ACC">
      <w:pPr>
        <w:spacing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51FDC">
        <w:rPr>
          <w:rFonts w:ascii="Palatino Linotype" w:eastAsia="Palatino Linotype" w:hAnsi="Palatino Linotype" w:cs="Palatino Linotype"/>
          <w:b/>
          <w:bCs/>
          <w:sz w:val="22"/>
          <w:szCs w:val="22"/>
        </w:rPr>
        <w:t>Sujeto Obligado</w:t>
      </w:r>
      <w:r w:rsidRPr="00B51FDC">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rsidR="004D1F9C" w:rsidRPr="00B51FDC" w:rsidRDefault="00724ACC">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B51FDC">
        <w:rPr>
          <w:rFonts w:ascii="Palatino Linotype" w:eastAsia="Palatino Linotype" w:hAnsi="Palatino Linotype" w:cs="Palatino Linotype"/>
          <w:b/>
          <w:bCs/>
          <w:sz w:val="22"/>
          <w:szCs w:val="22"/>
        </w:rPr>
        <w:t>R E S U E L V E:</w:t>
      </w:r>
    </w:p>
    <w:p w:rsidR="004D1F9C" w:rsidRPr="00B51FDC" w:rsidRDefault="00724ACC">
      <w:pPr>
        <w:spacing w:before="240" w:after="240" w:line="360" w:lineRule="auto"/>
        <w:jc w:val="both"/>
        <w:rPr>
          <w:rFonts w:ascii="Palatino Linotype" w:eastAsia="Palatino Linotype" w:hAnsi="Palatino Linotype" w:cs="Palatino Linotype"/>
          <w:b/>
          <w:bCs/>
          <w:sz w:val="22"/>
          <w:szCs w:val="22"/>
        </w:rPr>
      </w:pPr>
      <w:r w:rsidRPr="00B51FDC">
        <w:rPr>
          <w:rFonts w:ascii="Palatino Linotype" w:eastAsia="Palatino Linotype" w:hAnsi="Palatino Linotype" w:cs="Palatino Linotype"/>
          <w:b/>
          <w:bCs/>
          <w:sz w:val="22"/>
          <w:szCs w:val="22"/>
        </w:rPr>
        <w:t xml:space="preserve">Primero. </w:t>
      </w:r>
      <w:r w:rsidRPr="00B51FDC">
        <w:rPr>
          <w:rFonts w:ascii="Palatino Linotype" w:eastAsia="Palatino Linotype" w:hAnsi="Palatino Linotype" w:cs="Palatino Linotype"/>
          <w:sz w:val="22"/>
          <w:szCs w:val="22"/>
        </w:rPr>
        <w:t>Resultan</w:t>
      </w:r>
      <w:r w:rsidRPr="00B51FDC">
        <w:rPr>
          <w:rFonts w:ascii="Palatino Linotype" w:eastAsia="Palatino Linotype" w:hAnsi="Palatino Linotype" w:cs="Palatino Linotype"/>
          <w:b/>
          <w:bCs/>
          <w:sz w:val="22"/>
          <w:szCs w:val="22"/>
        </w:rPr>
        <w:t xml:space="preserve"> fundados </w:t>
      </w:r>
      <w:r w:rsidRPr="00B51FDC">
        <w:rPr>
          <w:rFonts w:ascii="Palatino Linotype" w:eastAsia="Palatino Linotype" w:hAnsi="Palatino Linotype" w:cs="Palatino Linotype"/>
          <w:sz w:val="22"/>
          <w:szCs w:val="22"/>
        </w:rPr>
        <w:t xml:space="preserve">los motivos de inconformidad hechos valer por </w:t>
      </w:r>
      <w:r w:rsidRPr="00B51FDC">
        <w:rPr>
          <w:rFonts w:ascii="Palatino Linotype" w:eastAsia="Palatino Linotype" w:hAnsi="Palatino Linotype" w:cs="Palatino Linotype"/>
          <w:b/>
          <w:bCs/>
          <w:sz w:val="22"/>
          <w:szCs w:val="22"/>
        </w:rPr>
        <w:t>la parte Recurrente</w:t>
      </w:r>
      <w:r w:rsidRPr="00B51FDC">
        <w:rPr>
          <w:rFonts w:ascii="Palatino Linotype" w:eastAsia="Palatino Linotype" w:hAnsi="Palatino Linotype" w:cs="Palatino Linotype"/>
          <w:sz w:val="22"/>
          <w:szCs w:val="22"/>
        </w:rPr>
        <w:t xml:space="preserve"> en el Recurso de Revisión</w:t>
      </w:r>
      <w:r w:rsidRPr="00B51FDC">
        <w:rPr>
          <w:rFonts w:ascii="Palatino Linotype" w:eastAsia="Palatino Linotype" w:hAnsi="Palatino Linotype" w:cs="Palatino Linotype"/>
          <w:b/>
          <w:bCs/>
          <w:sz w:val="22"/>
          <w:szCs w:val="22"/>
        </w:rPr>
        <w:t xml:space="preserve"> 10144/INFOEM/IP/RR/2025, </w:t>
      </w:r>
      <w:r w:rsidRPr="00B51FDC">
        <w:rPr>
          <w:rFonts w:ascii="Palatino Linotype" w:eastAsia="Palatino Linotype" w:hAnsi="Palatino Linotype" w:cs="Palatino Linotype"/>
          <w:sz w:val="22"/>
          <w:szCs w:val="22"/>
        </w:rPr>
        <w:t>por lo que</w:t>
      </w:r>
      <w:r w:rsidRPr="00B51FDC">
        <w:rPr>
          <w:rFonts w:ascii="Palatino Linotype" w:eastAsia="Palatino Linotype" w:hAnsi="Palatino Linotype" w:cs="Palatino Linotype"/>
          <w:b/>
          <w:bCs/>
          <w:sz w:val="22"/>
          <w:szCs w:val="22"/>
        </w:rPr>
        <w:t xml:space="preserve">, en términos del Considerando Cuarto </w:t>
      </w:r>
      <w:r w:rsidRPr="00B51FDC">
        <w:rPr>
          <w:rFonts w:ascii="Palatino Linotype" w:eastAsia="Palatino Linotype" w:hAnsi="Palatino Linotype" w:cs="Palatino Linotype"/>
          <w:sz w:val="22"/>
          <w:szCs w:val="22"/>
        </w:rPr>
        <w:t>de la presente resolución</w:t>
      </w:r>
      <w:r w:rsidRPr="00B51FDC">
        <w:rPr>
          <w:rFonts w:ascii="Palatino Linotype" w:eastAsia="Palatino Linotype" w:hAnsi="Palatino Linotype" w:cs="Palatino Linotype"/>
          <w:b/>
          <w:bCs/>
          <w:sz w:val="22"/>
          <w:szCs w:val="22"/>
        </w:rPr>
        <w:t>, se REVOCA l</w:t>
      </w:r>
      <w:r w:rsidRPr="00B51FDC">
        <w:rPr>
          <w:rFonts w:ascii="Palatino Linotype" w:eastAsia="Palatino Linotype" w:hAnsi="Palatino Linotype" w:cs="Palatino Linotype"/>
          <w:sz w:val="22"/>
          <w:szCs w:val="22"/>
        </w:rPr>
        <w:t>a respuesta del</w:t>
      </w:r>
      <w:r w:rsidRPr="00B51FDC">
        <w:rPr>
          <w:rFonts w:ascii="Palatino Linotype" w:eastAsia="Palatino Linotype" w:hAnsi="Palatino Linotype" w:cs="Palatino Linotype"/>
          <w:b/>
          <w:bCs/>
          <w:sz w:val="22"/>
          <w:szCs w:val="22"/>
        </w:rPr>
        <w:t xml:space="preserve"> Sujeto Obligado.</w:t>
      </w:r>
    </w:p>
    <w:p w:rsidR="004D1F9C" w:rsidRPr="00B51FDC" w:rsidRDefault="00724ACC">
      <w:pPr>
        <w:spacing w:before="240" w:after="240" w:line="360" w:lineRule="auto"/>
        <w:jc w:val="both"/>
        <w:rPr>
          <w:rFonts w:ascii="Palatino Linotype" w:eastAsia="Palatino Linotype" w:hAnsi="Palatino Linotype" w:cs="Palatino Linotype"/>
          <w:b/>
          <w:bCs/>
          <w:sz w:val="22"/>
          <w:szCs w:val="22"/>
        </w:rPr>
      </w:pPr>
      <w:bookmarkStart w:id="3" w:name="_heading=h.j3ppyxwlb1s2" w:colFirst="0" w:colLast="0"/>
      <w:bookmarkEnd w:id="3"/>
      <w:r w:rsidRPr="00B51FDC">
        <w:rPr>
          <w:rFonts w:ascii="Palatino Linotype" w:eastAsia="Palatino Linotype" w:hAnsi="Palatino Linotype" w:cs="Palatino Linotype"/>
          <w:b/>
          <w:bCs/>
          <w:sz w:val="22"/>
          <w:szCs w:val="22"/>
        </w:rPr>
        <w:t xml:space="preserve">Segundo. Se Ordena al Sujeto Obligado </w:t>
      </w:r>
      <w:r w:rsidRPr="00B51FDC">
        <w:rPr>
          <w:rFonts w:ascii="Palatino Linotype" w:eastAsia="Palatino Linotype" w:hAnsi="Palatino Linotype" w:cs="Palatino Linotype"/>
          <w:sz w:val="22"/>
          <w:szCs w:val="22"/>
        </w:rPr>
        <w:t>que en términos de los</w:t>
      </w:r>
      <w:r w:rsidRPr="00B51FDC">
        <w:rPr>
          <w:rFonts w:ascii="Palatino Linotype" w:eastAsia="Palatino Linotype" w:hAnsi="Palatino Linotype" w:cs="Palatino Linotype"/>
          <w:b/>
          <w:bCs/>
          <w:sz w:val="22"/>
          <w:szCs w:val="22"/>
        </w:rPr>
        <w:t xml:space="preserve"> Considerandos Cuarto y Quinto </w:t>
      </w:r>
      <w:r w:rsidRPr="00B51FDC">
        <w:rPr>
          <w:rFonts w:ascii="Palatino Linotype" w:eastAsia="Palatino Linotype" w:hAnsi="Palatino Linotype" w:cs="Palatino Linotype"/>
          <w:sz w:val="22"/>
          <w:szCs w:val="22"/>
        </w:rPr>
        <w:t xml:space="preserve">de esta resolución, haga entrega previa búsqueda exhaustiva y razonable, a </w:t>
      </w:r>
      <w:r w:rsidRPr="00B51FDC">
        <w:rPr>
          <w:rFonts w:ascii="Palatino Linotype" w:eastAsia="Palatino Linotype" w:hAnsi="Palatino Linotype" w:cs="Palatino Linotype"/>
          <w:b/>
          <w:bCs/>
          <w:sz w:val="22"/>
          <w:szCs w:val="22"/>
        </w:rPr>
        <w:t xml:space="preserve">la parte Recurrente a través del SAIMEX, de ser el caso en versión pública, los documentos donde conste </w:t>
      </w:r>
      <w:r w:rsidRPr="00B51FDC">
        <w:rPr>
          <w:rFonts w:ascii="Palatino Linotype" w:eastAsia="Palatino Linotype" w:hAnsi="Palatino Linotype" w:cs="Palatino Linotype"/>
          <w:sz w:val="22"/>
          <w:szCs w:val="22"/>
        </w:rPr>
        <w:t>la siguiente información:</w:t>
      </w:r>
    </w:p>
    <w:p w:rsidR="004D1F9C" w:rsidRPr="00B51FDC" w:rsidRDefault="00724ACC">
      <w:pPr>
        <w:numPr>
          <w:ilvl w:val="0"/>
          <w:numId w:val="5"/>
        </w:numPr>
        <w:pBdr>
          <w:top w:val="nil"/>
          <w:left w:val="nil"/>
          <w:bottom w:val="nil"/>
          <w:right w:val="nil"/>
          <w:between w:val="nil"/>
        </w:pBdr>
        <w:spacing w:before="240" w:after="240" w:line="276" w:lineRule="auto"/>
        <w:ind w:left="360" w:right="49"/>
        <w:jc w:val="both"/>
        <w:rPr>
          <w:rFonts w:ascii="Palatino Linotype" w:eastAsia="Palatino Linotype" w:hAnsi="Palatino Linotype" w:cs="Palatino Linotype"/>
          <w:b/>
          <w:bCs/>
          <w:i/>
          <w:iCs/>
          <w:sz w:val="22"/>
          <w:szCs w:val="22"/>
        </w:rPr>
      </w:pPr>
      <w:r w:rsidRPr="00B51FDC">
        <w:rPr>
          <w:rFonts w:ascii="Palatino Linotype" w:eastAsia="Palatino Linotype" w:hAnsi="Palatino Linotype" w:cs="Palatino Linotype"/>
          <w:b/>
          <w:bCs/>
          <w:sz w:val="22"/>
          <w:szCs w:val="22"/>
        </w:rPr>
        <w:t>Planos correspondientes a las vialidades, a mayor grado de desagregación, del Ejido San Pedro, Municipio de Almoloya de Juárez al veinte de agosto de dos mil veinticinco.</w:t>
      </w:r>
    </w:p>
    <w:p w:rsidR="004D1F9C" w:rsidRPr="00B51FDC" w:rsidRDefault="00724ACC">
      <w:pPr>
        <w:pBdr>
          <w:top w:val="nil"/>
          <w:left w:val="nil"/>
          <w:bottom w:val="nil"/>
          <w:right w:val="nil"/>
          <w:between w:val="nil"/>
        </w:pBdr>
        <w:spacing w:before="240" w:after="240" w:line="276" w:lineRule="auto"/>
        <w:ind w:left="360" w:right="49"/>
        <w:jc w:val="both"/>
        <w:rPr>
          <w:rFonts w:ascii="Palatino Linotype" w:eastAsia="Palatino Linotype" w:hAnsi="Palatino Linotype" w:cs="Palatino Linotype"/>
          <w:i/>
          <w:iCs/>
          <w:sz w:val="22"/>
          <w:szCs w:val="22"/>
        </w:rPr>
      </w:pPr>
      <w:r w:rsidRPr="00B51FDC">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B51FDC">
        <w:rPr>
          <w:rFonts w:ascii="Palatino Linotype" w:eastAsia="Palatino Linotype" w:hAnsi="Palatino Linotype" w:cs="Palatino Linotype"/>
          <w:b/>
          <w:bCs/>
          <w:i/>
          <w:iCs/>
          <w:sz w:val="22"/>
          <w:szCs w:val="22"/>
        </w:rPr>
        <w:t>Recurrente</w:t>
      </w:r>
      <w:r w:rsidRPr="00B51FDC">
        <w:rPr>
          <w:rFonts w:ascii="Palatino Linotype" w:eastAsia="Palatino Linotype" w:hAnsi="Palatino Linotype" w:cs="Palatino Linotype"/>
          <w:i/>
          <w:iCs/>
          <w:sz w:val="22"/>
          <w:szCs w:val="22"/>
        </w:rPr>
        <w:t xml:space="preserve">, mismo que igualmente hará de su conocimiento. </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 xml:space="preserve">Tercero.  Notifíquese vía SAIMEX, </w:t>
      </w:r>
      <w:r w:rsidRPr="00B51FDC">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D1F9C" w:rsidRPr="00B51FDC" w:rsidRDefault="00724ACC">
      <w:pPr>
        <w:spacing w:before="240" w:after="240" w:line="360" w:lineRule="auto"/>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b/>
          <w:bCs/>
          <w:sz w:val="22"/>
          <w:szCs w:val="22"/>
        </w:rPr>
        <w:t xml:space="preserve">Cuarto. </w:t>
      </w:r>
      <w:r w:rsidRPr="00B51FDC">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B51FDC">
        <w:rPr>
          <w:rFonts w:ascii="Palatino Linotype" w:eastAsia="Palatino Linotype" w:hAnsi="Palatino Linotype" w:cs="Palatino Linotype"/>
          <w:b/>
          <w:bCs/>
          <w:sz w:val="22"/>
          <w:szCs w:val="22"/>
        </w:rPr>
        <w:t>Sujeto Obligado</w:t>
      </w:r>
      <w:r w:rsidRPr="00B51FDC">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4D1F9C" w:rsidRPr="00B51FDC" w:rsidRDefault="00724ACC">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B51FDC">
        <w:rPr>
          <w:rFonts w:ascii="Palatino Linotype" w:eastAsia="Palatino Linotype" w:hAnsi="Palatino Linotype" w:cs="Palatino Linotype"/>
          <w:b/>
          <w:bCs/>
          <w:sz w:val="22"/>
          <w:szCs w:val="22"/>
        </w:rPr>
        <w:t xml:space="preserve">Quinto. Notifíquese vía SAIMEX, </w:t>
      </w:r>
      <w:r w:rsidRPr="00B51FDC">
        <w:rPr>
          <w:rFonts w:ascii="Palatino Linotype" w:eastAsia="Palatino Linotype" w:hAnsi="Palatino Linotype" w:cs="Palatino Linotype"/>
          <w:sz w:val="22"/>
          <w:szCs w:val="22"/>
        </w:rPr>
        <w:t>a</w:t>
      </w:r>
      <w:r w:rsidRPr="00B51FDC">
        <w:rPr>
          <w:rFonts w:ascii="Palatino Linotype" w:eastAsia="Palatino Linotype" w:hAnsi="Palatino Linotype" w:cs="Palatino Linotype"/>
          <w:b/>
          <w:bCs/>
          <w:sz w:val="22"/>
          <w:szCs w:val="22"/>
        </w:rPr>
        <w:t xml:space="preserve"> la parte Recurrente</w:t>
      </w:r>
      <w:r w:rsidRPr="00B51FDC">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rsidR="004D1F9C" w:rsidRPr="00B51FDC" w:rsidRDefault="004D1F9C">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p>
    <w:p w:rsidR="004D1F9C" w:rsidRPr="00EA7E98" w:rsidRDefault="00724ACC">
      <w:pPr>
        <w:spacing w:line="360" w:lineRule="auto"/>
        <w:ind w:right="-93"/>
        <w:jc w:val="both"/>
        <w:rPr>
          <w:rFonts w:ascii="Palatino Linotype" w:eastAsia="Palatino Linotype" w:hAnsi="Palatino Linotype" w:cs="Palatino Linotype"/>
          <w:sz w:val="22"/>
          <w:szCs w:val="22"/>
        </w:rPr>
      </w:pPr>
      <w:r w:rsidRPr="00B51FDC">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w:t>
      </w:r>
    </w:p>
    <w:p w:rsidR="004D1F9C" w:rsidRPr="00EA7E98" w:rsidRDefault="004D1F9C">
      <w:pPr>
        <w:spacing w:line="360" w:lineRule="auto"/>
        <w:ind w:right="-93"/>
        <w:jc w:val="both"/>
        <w:rPr>
          <w:rFonts w:ascii="Palatino Linotype" w:eastAsia="Palatino Linotype" w:hAnsi="Palatino Linotype" w:cs="Palatino Linotype"/>
          <w:sz w:val="22"/>
          <w:szCs w:val="22"/>
        </w:rPr>
      </w:pPr>
    </w:p>
    <w:p w:rsidR="004D1F9C" w:rsidRPr="00EA7E98" w:rsidRDefault="004D1F9C">
      <w:pPr>
        <w:spacing w:line="360" w:lineRule="auto"/>
        <w:ind w:right="-93"/>
        <w:jc w:val="both"/>
        <w:rPr>
          <w:rFonts w:ascii="Palatino Linotype" w:eastAsia="Palatino Linotype" w:hAnsi="Palatino Linotype" w:cs="Palatino Linotype"/>
          <w:sz w:val="22"/>
          <w:szCs w:val="22"/>
        </w:rPr>
      </w:pPr>
    </w:p>
    <w:p w:rsidR="004D1F9C" w:rsidRPr="00EA7E98" w:rsidRDefault="004D1F9C">
      <w:pPr>
        <w:spacing w:line="360" w:lineRule="auto"/>
        <w:ind w:right="-93"/>
        <w:jc w:val="both"/>
        <w:rPr>
          <w:rFonts w:ascii="Palatino Linotype" w:eastAsia="Palatino Linotype" w:hAnsi="Palatino Linotype" w:cs="Palatino Linotype"/>
          <w:sz w:val="22"/>
          <w:szCs w:val="22"/>
        </w:rPr>
      </w:pPr>
    </w:p>
    <w:p w:rsidR="004D1F9C" w:rsidRPr="00EA7E98" w:rsidRDefault="004D1F9C">
      <w:pPr>
        <w:spacing w:line="360" w:lineRule="auto"/>
        <w:ind w:right="-93"/>
        <w:jc w:val="both"/>
        <w:rPr>
          <w:rFonts w:ascii="Palatino Linotype" w:eastAsia="Palatino Linotype" w:hAnsi="Palatino Linotype" w:cs="Palatino Linotype"/>
          <w:sz w:val="22"/>
          <w:szCs w:val="22"/>
        </w:rPr>
      </w:pPr>
    </w:p>
    <w:p w:rsidR="004D1F9C" w:rsidRPr="00EA7E98" w:rsidRDefault="004D1F9C">
      <w:pPr>
        <w:spacing w:line="360" w:lineRule="auto"/>
        <w:ind w:right="-93"/>
        <w:jc w:val="both"/>
        <w:rPr>
          <w:rFonts w:ascii="Palatino Linotype" w:eastAsia="Palatino Linotype" w:hAnsi="Palatino Linotype" w:cs="Palatino Linotype"/>
          <w:sz w:val="22"/>
          <w:szCs w:val="22"/>
        </w:rPr>
      </w:pPr>
    </w:p>
    <w:p w:rsidR="004D1F9C" w:rsidRPr="00EA7E98" w:rsidRDefault="004D1F9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p w:rsidR="00724ACC" w:rsidRPr="00EA7E98" w:rsidRDefault="00724ACC">
      <w:pPr>
        <w:spacing w:line="360" w:lineRule="auto"/>
        <w:ind w:right="49"/>
        <w:jc w:val="both"/>
        <w:rPr>
          <w:rFonts w:ascii="Palatino Linotype" w:eastAsia="Palatino Linotype" w:hAnsi="Palatino Linotype" w:cs="Palatino Linotype"/>
          <w:sz w:val="22"/>
          <w:szCs w:val="22"/>
        </w:rPr>
      </w:pPr>
    </w:p>
    <w:sectPr w:rsidR="00724ACC" w:rsidRPr="00EA7E98">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CFD" w:rsidRDefault="00F24CFD">
      <w:r>
        <w:separator/>
      </w:r>
    </w:p>
  </w:endnote>
  <w:endnote w:type="continuationSeparator" w:id="0">
    <w:p w:rsidR="00F24CFD" w:rsidRDefault="00F24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6BF93CC1-FFF4-4430-AF4B-14018C352F69}"/>
    <w:embedBold r:id="rId2" w:fontKey="{E8637699-A564-4866-A3B9-68E67E596841}"/>
    <w:embedItalic r:id="rId3" w:fontKey="{B2ECD63F-E898-44C5-846A-DEDBD4652894}"/>
    <w:embedBoldItalic r:id="rId4" w:fontKey="{6DAC664B-EF95-40C6-9368-F82CDC27D511}"/>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DEF67272-3AF8-4B8F-970E-873D92E0A87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6FCFED4-EB9C-4C1B-B8A2-A72D30D3D62A}"/>
    <w:embedBold r:id="rId7" w:fontKey="{C48EF58C-94BD-4155-95DA-805E3E08A097}"/>
    <w:embedItalic r:id="rId8" w:fontKey="{BBFD52E7-3B3C-4A7D-AF63-E04A3E37C133}"/>
  </w:font>
  <w:font w:name="Bookman Old Style">
    <w:panose1 w:val="02050604050505020204"/>
    <w:charset w:val="00"/>
    <w:family w:val="roman"/>
    <w:pitch w:val="variable"/>
    <w:sig w:usb0="00000287" w:usb1="00000000" w:usb2="00000000" w:usb3="00000000" w:csb0="0000009F" w:csb1="00000000"/>
    <w:embedRegular r:id="rId9" w:fontKey="{038B4872-CED4-4494-A395-33D38B56297B}"/>
  </w:font>
  <w:font w:name="Georgia">
    <w:panose1 w:val="02040502050405020303"/>
    <w:charset w:val="00"/>
    <w:family w:val="roman"/>
    <w:pitch w:val="variable"/>
    <w:sig w:usb0="00000287" w:usb1="00000000" w:usb2="00000000" w:usb3="00000000" w:csb0="0000009F" w:csb1="00000000"/>
    <w:embedItalic r:id="rId10" w:fontKey="{0D30F54C-A8DC-40DF-A7BB-A5BA4614E142}"/>
  </w:font>
  <w:font w:name="Calibri Light">
    <w:panose1 w:val="020F0302020204030204"/>
    <w:charset w:val="00"/>
    <w:family w:val="swiss"/>
    <w:pitch w:val="variable"/>
    <w:sig w:usb0="E4002EFF" w:usb1="C200247B" w:usb2="00000009" w:usb3="00000000" w:csb0="000001FF" w:csb1="00000000"/>
    <w:embedRegular r:id="rId11" w:fontKey="{BEDB0E4C-A4F5-47AD-983B-02205566D1B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F9C" w:rsidRDefault="00724ACC">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2B0B65">
      <w:rPr>
        <w:b/>
        <w:bCs/>
        <w:noProof/>
        <w:color w:val="000000"/>
      </w:rPr>
      <w:t>20</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2B0B65">
      <w:rPr>
        <w:b/>
        <w:bCs/>
        <w:noProof/>
        <w:color w:val="000000"/>
      </w:rPr>
      <w:t>29</w:t>
    </w:r>
    <w:r>
      <w:rPr>
        <w:b/>
        <w:bCs/>
        <w:color w:val="000000"/>
      </w:rPr>
      <w:fldChar w:fldCharType="end"/>
    </w:r>
  </w:p>
  <w:p w:rsidR="004D1F9C" w:rsidRDefault="004D1F9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F9C" w:rsidRDefault="00724ACC">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2B0B65">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2B0B65">
      <w:rPr>
        <w:b/>
        <w:bCs/>
        <w:noProof/>
        <w:color w:val="000000"/>
      </w:rPr>
      <w:t>29</w:t>
    </w:r>
    <w:r>
      <w:rPr>
        <w:b/>
        <w:bCs/>
        <w:color w:val="000000"/>
      </w:rPr>
      <w:fldChar w:fldCharType="end"/>
    </w:r>
  </w:p>
  <w:p w:rsidR="004D1F9C" w:rsidRDefault="004D1F9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CFD" w:rsidRDefault="00F24CFD">
      <w:r>
        <w:separator/>
      </w:r>
    </w:p>
  </w:footnote>
  <w:footnote w:type="continuationSeparator" w:id="0">
    <w:p w:rsidR="00F24CFD" w:rsidRDefault="00F24C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F9C" w:rsidRDefault="00724ACC">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-401952</wp:posOffset>
          </wp:positionV>
          <wp:extent cx="7809876" cy="10165823"/>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4D1F9C">
      <w:tc>
        <w:tcPr>
          <w:tcW w:w="2551" w:type="dxa"/>
          <w:vAlign w:val="center"/>
        </w:tcPr>
        <w:p w:rsidR="004D1F9C" w:rsidRDefault="00724AC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rsidR="004D1F9C" w:rsidRDefault="004D1F9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rsidR="004D1F9C" w:rsidRDefault="00724AC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10144/INFOEM/IP/RR/2025</w:t>
          </w:r>
        </w:p>
      </w:tc>
    </w:tr>
    <w:tr w:rsidR="004D1F9C">
      <w:trPr>
        <w:trHeight w:val="217"/>
      </w:trPr>
      <w:tc>
        <w:tcPr>
          <w:tcW w:w="2551" w:type="dxa"/>
          <w:vAlign w:val="center"/>
        </w:tcPr>
        <w:p w:rsidR="004D1F9C" w:rsidRDefault="00724AC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rsidR="004D1F9C" w:rsidRDefault="00724ACC">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Almoloya de Juárez</w:t>
          </w:r>
        </w:p>
      </w:tc>
    </w:tr>
    <w:tr w:rsidR="004D1F9C">
      <w:tc>
        <w:tcPr>
          <w:tcW w:w="2551" w:type="dxa"/>
          <w:vAlign w:val="center"/>
        </w:tcPr>
        <w:p w:rsidR="004D1F9C" w:rsidRDefault="00724AC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rsidR="004D1F9C" w:rsidRDefault="00724AC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rsidR="004D1F9C" w:rsidRDefault="004D1F9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F9C" w:rsidRDefault="00724ACC">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simplePos x="0" y="0"/>
          <wp:positionH relativeFrom="column">
            <wp:posOffset>-929003</wp:posOffset>
          </wp:positionH>
          <wp:positionV relativeFrom="paragraph">
            <wp:posOffset>-644523</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461" w:type="dxa"/>
      <w:tblInd w:w="3611" w:type="dxa"/>
      <w:tblLayout w:type="fixed"/>
      <w:tblLook w:val="0400" w:firstRow="0" w:lastRow="0" w:firstColumn="0" w:lastColumn="0" w:noHBand="0" w:noVBand="1"/>
    </w:tblPr>
    <w:tblGrid>
      <w:gridCol w:w="2343"/>
      <w:gridCol w:w="3118"/>
    </w:tblGrid>
    <w:tr w:rsidR="004D1F9C">
      <w:tc>
        <w:tcPr>
          <w:tcW w:w="2343" w:type="dxa"/>
          <w:vAlign w:val="center"/>
        </w:tcPr>
        <w:p w:rsidR="004D1F9C" w:rsidRDefault="00724AC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rsidR="004D1F9C" w:rsidRDefault="004D1F9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118" w:type="dxa"/>
          <w:vAlign w:val="center"/>
        </w:tcPr>
        <w:p w:rsidR="004D1F9C" w:rsidRDefault="00724AC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10144/INFOEM/IP/RR/2025</w:t>
          </w:r>
        </w:p>
      </w:tc>
    </w:tr>
    <w:tr w:rsidR="004D1F9C">
      <w:tc>
        <w:tcPr>
          <w:tcW w:w="2343" w:type="dxa"/>
          <w:vAlign w:val="center"/>
        </w:tcPr>
        <w:p w:rsidR="004D1F9C" w:rsidRDefault="00724AC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Recurrente:</w:t>
          </w:r>
        </w:p>
      </w:tc>
      <w:tc>
        <w:tcPr>
          <w:tcW w:w="3118" w:type="dxa"/>
          <w:vAlign w:val="center"/>
        </w:tcPr>
        <w:p w:rsidR="004D1F9C" w:rsidRDefault="002B0B65" w:rsidP="002B0B6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XXXXXXXX XXXX XXXXXX</w:t>
          </w:r>
        </w:p>
      </w:tc>
    </w:tr>
    <w:tr w:rsidR="004D1F9C">
      <w:trPr>
        <w:trHeight w:val="152"/>
      </w:trPr>
      <w:tc>
        <w:tcPr>
          <w:tcW w:w="2343" w:type="dxa"/>
          <w:vAlign w:val="center"/>
        </w:tcPr>
        <w:p w:rsidR="004D1F9C" w:rsidRDefault="00724ACC">
          <w:pP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p w:rsidR="004D1F9C" w:rsidRDefault="004D1F9C">
          <w:pPr>
            <w:tabs>
              <w:tab w:val="center" w:pos="4419"/>
              <w:tab w:val="right" w:pos="8838"/>
            </w:tabs>
            <w:rPr>
              <w:rFonts w:ascii="Palatino Linotype" w:eastAsia="Palatino Linotype" w:hAnsi="Palatino Linotype" w:cs="Palatino Linotype"/>
              <w:b/>
              <w:bCs/>
              <w:color w:val="000000"/>
              <w:sz w:val="22"/>
              <w:szCs w:val="22"/>
            </w:rPr>
          </w:pPr>
        </w:p>
      </w:tc>
      <w:tc>
        <w:tcPr>
          <w:tcW w:w="3118" w:type="dxa"/>
          <w:vAlign w:val="center"/>
        </w:tcPr>
        <w:p w:rsidR="004D1F9C" w:rsidRDefault="00724ACC">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Almoloya de Juárez</w:t>
          </w:r>
        </w:p>
      </w:tc>
    </w:tr>
    <w:tr w:rsidR="004D1F9C">
      <w:tc>
        <w:tcPr>
          <w:tcW w:w="2343" w:type="dxa"/>
          <w:vAlign w:val="center"/>
        </w:tcPr>
        <w:p w:rsidR="004D1F9C" w:rsidRDefault="00724AC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118" w:type="dxa"/>
          <w:vAlign w:val="center"/>
        </w:tcPr>
        <w:p w:rsidR="004D1F9C" w:rsidRDefault="00724AC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rsidR="004D1F9C" w:rsidRDefault="00724ACC">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733B6"/>
    <w:multiLevelType w:val="multilevel"/>
    <w:tmpl w:val="2C74CD6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071AF3"/>
    <w:multiLevelType w:val="multilevel"/>
    <w:tmpl w:val="453207DC"/>
    <w:lvl w:ilvl="0">
      <w:start w:val="1"/>
      <w:numFmt w:val="bullet"/>
      <w:lvlText w:val="⮚"/>
      <w:lvlJc w:val="left"/>
      <w:pPr>
        <w:ind w:left="1440" w:hanging="360"/>
      </w:pPr>
      <w:rPr>
        <w:rFonts w:ascii="Noto Sans Symbols" w:eastAsia="Noto Sans Symbols" w:hAnsi="Noto Sans Symbols" w:cs="Noto Sans Symbols"/>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45260CDA"/>
    <w:multiLevelType w:val="multilevel"/>
    <w:tmpl w:val="8A484FC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98726D"/>
    <w:multiLevelType w:val="multilevel"/>
    <w:tmpl w:val="1CE4C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D73861"/>
    <w:multiLevelType w:val="multilevel"/>
    <w:tmpl w:val="5FE8D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50B0061"/>
    <w:multiLevelType w:val="multilevel"/>
    <w:tmpl w:val="7CF66A74"/>
    <w:lvl w:ilvl="0">
      <w:start w:val="1"/>
      <w:numFmt w:val="lowerLetter"/>
      <w:pStyle w:val="Listaconvietas"/>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F9C"/>
    <w:rsid w:val="002B0B65"/>
    <w:rsid w:val="004D1F9C"/>
    <w:rsid w:val="00631F03"/>
    <w:rsid w:val="00724ACC"/>
    <w:rsid w:val="00B51FDC"/>
    <w:rsid w:val="00EA7E98"/>
    <w:rsid w:val="00F24C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0A5B0"/>
  <w15:docId w15:val="{9E458146-C868-4198-87EC-F07456A16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HtWoNQmPGJ1S0CHLOMor9ppoEg==">CgMxLjAyCWguM3pueXNoNzIOaC53M3lxc3JmcGJ4d2QyDmguajNwcHl4d2xiMXMyMghoLnR5amN3dDINaC5qbDBkbGFzb3Q0ZjgAciExQXRaY3FuMEFWbjJ6dDVMd2hFeXdlamFlTEw2bWNWTjQ=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6919</Words>
  <Characters>38055</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2026-01-16T17:03:00Z</cp:lastPrinted>
  <dcterms:created xsi:type="dcterms:W3CDTF">2026-03-18T18:25:00Z</dcterms:created>
  <dcterms:modified xsi:type="dcterms:W3CDTF">2026-03-18T18:25:00Z</dcterms:modified>
</cp:coreProperties>
</file>