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FB8" w:rsidRPr="00DC38C2" w:rsidRDefault="005F2828">
      <w:pPr>
        <w:tabs>
          <w:tab w:val="left" w:pos="0"/>
        </w:tabs>
        <w:spacing w:line="360" w:lineRule="auto"/>
        <w:jc w:val="both"/>
        <w:rPr>
          <w:rFonts w:ascii="Palatino Linotype" w:eastAsia="Palatino Linotype" w:hAnsi="Palatino Linotype" w:cs="Palatino Linotype"/>
          <w:b/>
        </w:rPr>
      </w:pPr>
      <w:bookmarkStart w:id="0" w:name="_heading=h.sre9h05q4v0b" w:colFirst="0" w:colLast="0"/>
      <w:bookmarkStart w:id="1" w:name="_GoBack"/>
      <w:bookmarkEnd w:id="0"/>
      <w:bookmarkEnd w:id="1"/>
      <w:r w:rsidRPr="00DC38C2">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7559A4" w:rsidRPr="00DC38C2">
        <w:rPr>
          <w:rFonts w:ascii="Palatino Linotype" w:eastAsia="Palatino Linotype" w:hAnsi="Palatino Linotype" w:cs="Palatino Linotype"/>
          <w:b/>
        </w:rPr>
        <w:t xml:space="preserve">diecisiete </w:t>
      </w:r>
      <w:r w:rsidR="00DC38C2">
        <w:rPr>
          <w:rFonts w:ascii="Palatino Linotype" w:eastAsia="Palatino Linotype" w:hAnsi="Palatino Linotype" w:cs="Palatino Linotype"/>
          <w:b/>
        </w:rPr>
        <w:t xml:space="preserve">(17) </w:t>
      </w:r>
      <w:r w:rsidRPr="00DC38C2">
        <w:rPr>
          <w:rFonts w:ascii="Palatino Linotype" w:eastAsia="Palatino Linotype" w:hAnsi="Palatino Linotype" w:cs="Palatino Linotype"/>
          <w:b/>
        </w:rPr>
        <w:t xml:space="preserve">de </w:t>
      </w:r>
      <w:r w:rsidR="007559A4" w:rsidRPr="00DC38C2">
        <w:rPr>
          <w:rFonts w:ascii="Palatino Linotype" w:eastAsia="Palatino Linotype" w:hAnsi="Palatino Linotype" w:cs="Palatino Linotype"/>
          <w:b/>
        </w:rPr>
        <w:t xml:space="preserve">junio </w:t>
      </w:r>
      <w:r w:rsidRPr="00DC38C2">
        <w:rPr>
          <w:rFonts w:ascii="Palatino Linotype" w:eastAsia="Palatino Linotype" w:hAnsi="Palatino Linotype" w:cs="Palatino Linotype"/>
          <w:b/>
        </w:rPr>
        <w:t xml:space="preserve">de dos mil </w:t>
      </w:r>
      <w:r w:rsidR="007559A4" w:rsidRPr="00DC38C2">
        <w:rPr>
          <w:rFonts w:ascii="Palatino Linotype" w:eastAsia="Palatino Linotype" w:hAnsi="Palatino Linotype" w:cs="Palatino Linotype"/>
          <w:b/>
        </w:rPr>
        <w:t>veintiséis</w:t>
      </w:r>
      <w:r w:rsidRPr="00DC38C2">
        <w:rPr>
          <w:rFonts w:ascii="Palatino Linotype" w:eastAsia="Palatino Linotype" w:hAnsi="Palatino Linotype" w:cs="Palatino Linotype"/>
          <w:b/>
        </w:rPr>
        <w:t>.</w:t>
      </w:r>
    </w:p>
    <w:p w:rsidR="00783FB8" w:rsidRPr="00DC38C2" w:rsidRDefault="00783FB8">
      <w:pPr>
        <w:tabs>
          <w:tab w:val="left" w:pos="567"/>
        </w:tabs>
        <w:spacing w:line="360" w:lineRule="auto"/>
        <w:jc w:val="both"/>
        <w:rPr>
          <w:rFonts w:ascii="Palatino Linotype" w:eastAsia="Palatino Linotype" w:hAnsi="Palatino Linotype" w:cs="Palatino Linotype"/>
        </w:rPr>
      </w:pPr>
    </w:p>
    <w:p w:rsidR="00783FB8" w:rsidRPr="00DC38C2" w:rsidRDefault="005F2828">
      <w:pPr>
        <w:spacing w:line="360" w:lineRule="auto"/>
        <w:jc w:val="both"/>
        <w:rPr>
          <w:rFonts w:ascii="Palatino Linotype" w:eastAsia="Palatino Linotype" w:hAnsi="Palatino Linotype" w:cs="Palatino Linotype"/>
        </w:rPr>
      </w:pPr>
      <w:bookmarkStart w:id="2" w:name="_heading=h.gjdgxs" w:colFirst="0" w:colLast="0"/>
      <w:bookmarkEnd w:id="2"/>
      <w:r w:rsidRPr="00DC38C2">
        <w:rPr>
          <w:rFonts w:ascii="Palatino Linotype" w:eastAsia="Palatino Linotype" w:hAnsi="Palatino Linotype" w:cs="Palatino Linotype"/>
          <w:b/>
        </w:rPr>
        <w:t>VISTO</w:t>
      </w:r>
      <w:r w:rsidRPr="00DC38C2">
        <w:rPr>
          <w:rFonts w:ascii="Palatino Linotype" w:eastAsia="Palatino Linotype" w:hAnsi="Palatino Linotype" w:cs="Palatino Linotype"/>
        </w:rPr>
        <w:t xml:space="preserve"> el expediente electrónico formado con motivo del recurso de revisión </w:t>
      </w:r>
      <w:r w:rsidR="007559A4" w:rsidRPr="00DC38C2">
        <w:rPr>
          <w:rFonts w:ascii="Palatino Linotype" w:eastAsia="Palatino Linotype" w:hAnsi="Palatino Linotype" w:cs="Palatino Linotype"/>
          <w:b/>
        </w:rPr>
        <w:t>04433</w:t>
      </w:r>
      <w:r w:rsidRPr="00DC38C2">
        <w:rPr>
          <w:rFonts w:ascii="Palatino Linotype" w:eastAsia="Palatino Linotype" w:hAnsi="Palatino Linotype" w:cs="Palatino Linotype"/>
          <w:b/>
        </w:rPr>
        <w:t>/INFOEM/IP/RR/202</w:t>
      </w:r>
      <w:r w:rsidR="007559A4" w:rsidRPr="00DC38C2">
        <w:rPr>
          <w:rFonts w:ascii="Palatino Linotype" w:eastAsia="Palatino Linotype" w:hAnsi="Palatino Linotype" w:cs="Palatino Linotype"/>
          <w:b/>
        </w:rPr>
        <w:t>6</w:t>
      </w:r>
      <w:r w:rsidRPr="00DC38C2">
        <w:rPr>
          <w:rFonts w:ascii="Palatino Linotype" w:eastAsia="Palatino Linotype" w:hAnsi="Palatino Linotype" w:cs="Palatino Linotype"/>
        </w:rPr>
        <w:t>,</w:t>
      </w:r>
      <w:r w:rsidRPr="00DC38C2">
        <w:rPr>
          <w:rFonts w:ascii="Palatino Linotype" w:eastAsia="Palatino Linotype" w:hAnsi="Palatino Linotype" w:cs="Palatino Linotype"/>
          <w:b/>
        </w:rPr>
        <w:t xml:space="preserve"> </w:t>
      </w:r>
      <w:r w:rsidRPr="00DC38C2">
        <w:rPr>
          <w:rFonts w:ascii="Palatino Linotype" w:eastAsia="Palatino Linotype" w:hAnsi="Palatino Linotype" w:cs="Palatino Linotype"/>
        </w:rPr>
        <w:t xml:space="preserve">promovido por </w:t>
      </w:r>
      <w:r w:rsidR="00C83013">
        <w:rPr>
          <w:rFonts w:ascii="Palatino Linotype" w:eastAsia="Palatino Linotype" w:hAnsi="Palatino Linotype" w:cs="Palatino Linotype"/>
          <w:b/>
        </w:rPr>
        <w:t>XXXX</w:t>
      </w:r>
      <w:r w:rsidRPr="00DC38C2">
        <w:rPr>
          <w:rFonts w:ascii="Palatino Linotype" w:eastAsia="Palatino Linotype" w:hAnsi="Palatino Linotype" w:cs="Palatino Linotype"/>
        </w:rPr>
        <w:t xml:space="preserve">, a quien en lo sucesivo se le identificará como </w:t>
      </w:r>
      <w:r w:rsidRPr="00DC38C2">
        <w:rPr>
          <w:rFonts w:ascii="Palatino Linotype" w:eastAsia="Palatino Linotype" w:hAnsi="Palatino Linotype" w:cs="Palatino Linotype"/>
          <w:b/>
        </w:rPr>
        <w:t>EL RECURRENTE</w:t>
      </w:r>
      <w:r w:rsidRPr="00DC38C2">
        <w:rPr>
          <w:rFonts w:ascii="Palatino Linotype" w:eastAsia="Palatino Linotype" w:hAnsi="Palatino Linotype" w:cs="Palatino Linotype"/>
        </w:rPr>
        <w:t xml:space="preserve">, en contra de la respuesta del </w:t>
      </w:r>
      <w:r w:rsidR="00026373" w:rsidRPr="00DC38C2">
        <w:rPr>
          <w:rFonts w:ascii="Palatino Linotype" w:eastAsia="Palatino Linotype" w:hAnsi="Palatino Linotype" w:cs="Palatino Linotype"/>
          <w:b/>
        </w:rPr>
        <w:t xml:space="preserve">Ayuntamiento de </w:t>
      </w:r>
      <w:r w:rsidR="007559A4" w:rsidRPr="00DC38C2">
        <w:rPr>
          <w:rFonts w:ascii="Palatino Linotype" w:eastAsia="Palatino Linotype" w:hAnsi="Palatino Linotype" w:cs="Palatino Linotype"/>
          <w:b/>
        </w:rPr>
        <w:t>Capulhuac</w:t>
      </w:r>
      <w:r w:rsidRPr="00DC38C2">
        <w:rPr>
          <w:rFonts w:ascii="Palatino Linotype" w:eastAsia="Palatino Linotype" w:hAnsi="Palatino Linotype" w:cs="Palatino Linotype"/>
          <w:b/>
        </w:rPr>
        <w:t xml:space="preserve">, </w:t>
      </w:r>
      <w:r w:rsidRPr="00DC38C2">
        <w:rPr>
          <w:rFonts w:ascii="Palatino Linotype" w:eastAsia="Palatino Linotype" w:hAnsi="Palatino Linotype" w:cs="Palatino Linotype"/>
        </w:rPr>
        <w:t>en adelante el</w:t>
      </w:r>
      <w:r w:rsidRPr="00DC38C2">
        <w:rPr>
          <w:rFonts w:ascii="Palatino Linotype" w:eastAsia="Palatino Linotype" w:hAnsi="Palatino Linotype" w:cs="Palatino Linotype"/>
          <w:b/>
        </w:rPr>
        <w:t xml:space="preserve"> SUJETO OBLIGADO</w:t>
      </w:r>
      <w:r w:rsidRPr="00DC38C2">
        <w:rPr>
          <w:rFonts w:ascii="Palatino Linotype" w:eastAsia="Palatino Linotype" w:hAnsi="Palatino Linotype" w:cs="Palatino Linotype"/>
        </w:rPr>
        <w:t>, se procede a dictar la presente resolución, con base en los siguientes:</w:t>
      </w:r>
    </w:p>
    <w:p w:rsidR="00783FB8" w:rsidRPr="00DC38C2" w:rsidRDefault="00783FB8">
      <w:pPr>
        <w:spacing w:line="360" w:lineRule="auto"/>
        <w:jc w:val="both"/>
        <w:rPr>
          <w:rFonts w:ascii="Palatino Linotype" w:eastAsia="Palatino Linotype" w:hAnsi="Palatino Linotype" w:cs="Palatino Linotype"/>
        </w:rPr>
      </w:pPr>
    </w:p>
    <w:p w:rsidR="00783FB8" w:rsidRPr="00DC38C2" w:rsidRDefault="005F2828">
      <w:pPr>
        <w:pStyle w:val="Ttulo1"/>
        <w:tabs>
          <w:tab w:val="left" w:pos="567"/>
        </w:tabs>
        <w:spacing w:before="0" w:line="360" w:lineRule="auto"/>
        <w:jc w:val="center"/>
        <w:rPr>
          <w:b w:val="0"/>
          <w:color w:val="000000"/>
          <w:szCs w:val="24"/>
        </w:rPr>
      </w:pPr>
      <w:bookmarkStart w:id="3" w:name="_heading=h.30j0zll" w:colFirst="0" w:colLast="0"/>
      <w:bookmarkEnd w:id="3"/>
      <w:r w:rsidRPr="00DC38C2">
        <w:rPr>
          <w:color w:val="000000"/>
          <w:szCs w:val="24"/>
        </w:rPr>
        <w:t>A N T E C E D E N T E S</w:t>
      </w:r>
    </w:p>
    <w:p w:rsidR="00783FB8" w:rsidRPr="00DC38C2" w:rsidRDefault="00783FB8">
      <w:pPr>
        <w:pStyle w:val="Ttulo1"/>
        <w:tabs>
          <w:tab w:val="left" w:pos="567"/>
        </w:tabs>
        <w:spacing w:before="0" w:line="360" w:lineRule="auto"/>
        <w:jc w:val="center"/>
        <w:rPr>
          <w:szCs w:val="24"/>
        </w:rPr>
      </w:pPr>
    </w:p>
    <w:p w:rsidR="00783FB8" w:rsidRPr="00DC38C2" w:rsidRDefault="005F2828">
      <w:pPr>
        <w:numPr>
          <w:ilvl w:val="0"/>
          <w:numId w:val="6"/>
        </w:numPr>
        <w:pBdr>
          <w:top w:val="nil"/>
          <w:left w:val="nil"/>
          <w:bottom w:val="nil"/>
          <w:right w:val="nil"/>
          <w:between w:val="nil"/>
        </w:pBdr>
        <w:spacing w:line="360" w:lineRule="auto"/>
        <w:jc w:val="both"/>
        <w:rPr>
          <w:color w:val="000000"/>
        </w:rPr>
      </w:pPr>
      <w:r w:rsidRPr="00DC38C2">
        <w:rPr>
          <w:rFonts w:ascii="Palatino Linotype" w:eastAsia="Palatino Linotype" w:hAnsi="Palatino Linotype" w:cs="Palatino Linotype"/>
          <w:color w:val="000000"/>
        </w:rPr>
        <w:t xml:space="preserve">El </w:t>
      </w:r>
      <w:r w:rsidR="007559A4" w:rsidRPr="00DC38C2">
        <w:rPr>
          <w:rFonts w:ascii="Palatino Linotype" w:eastAsia="Palatino Linotype" w:hAnsi="Palatino Linotype" w:cs="Palatino Linotype"/>
          <w:b/>
          <w:color w:val="000000"/>
        </w:rPr>
        <w:t>nueve de abril de dos mil veintiséis</w:t>
      </w:r>
      <w:r w:rsidRPr="00DC38C2">
        <w:rPr>
          <w:rFonts w:ascii="Palatino Linotype" w:eastAsia="Palatino Linotype" w:hAnsi="Palatino Linotype" w:cs="Palatino Linotype"/>
          <w:b/>
          <w:color w:val="000000"/>
        </w:rPr>
        <w:t xml:space="preserve">, </w:t>
      </w:r>
      <w:r w:rsidRPr="00DC38C2">
        <w:rPr>
          <w:rFonts w:ascii="Palatino Linotype" w:eastAsia="Palatino Linotype" w:hAnsi="Palatino Linotype" w:cs="Palatino Linotype"/>
          <w:color w:val="000000"/>
        </w:rPr>
        <w:t xml:space="preserve">se presentó ante el </w:t>
      </w:r>
      <w:r w:rsidRPr="00DC38C2">
        <w:rPr>
          <w:rFonts w:ascii="Palatino Linotype" w:eastAsia="Palatino Linotype" w:hAnsi="Palatino Linotype" w:cs="Palatino Linotype"/>
          <w:b/>
          <w:color w:val="000000"/>
        </w:rPr>
        <w:t>SUJETO OBLIGADO</w:t>
      </w:r>
      <w:r w:rsidRPr="00DC38C2">
        <w:rPr>
          <w:rFonts w:ascii="Palatino Linotype" w:eastAsia="Palatino Linotype" w:hAnsi="Palatino Linotype" w:cs="Palatino Linotype"/>
          <w:color w:val="000000"/>
        </w:rPr>
        <w:t xml:space="preserve"> vía SAIMEX, la solicitud de información pública registrada con el número</w:t>
      </w:r>
      <w:r w:rsidR="007559A4" w:rsidRPr="00DC38C2">
        <w:rPr>
          <w:rFonts w:ascii="Palatino Linotype" w:eastAsia="Palatino Linotype" w:hAnsi="Palatino Linotype" w:cs="Palatino Linotype"/>
          <w:b/>
          <w:color w:val="000000"/>
        </w:rPr>
        <w:t xml:space="preserve"> 00060</w:t>
      </w:r>
      <w:r w:rsidRPr="00DC38C2">
        <w:rPr>
          <w:rFonts w:ascii="Palatino Linotype" w:eastAsia="Palatino Linotype" w:hAnsi="Palatino Linotype" w:cs="Palatino Linotype"/>
          <w:b/>
          <w:color w:val="000000"/>
        </w:rPr>
        <w:t>/</w:t>
      </w:r>
      <w:r w:rsidR="007559A4" w:rsidRPr="00DC38C2">
        <w:rPr>
          <w:rFonts w:ascii="Palatino Linotype" w:eastAsia="Palatino Linotype" w:hAnsi="Palatino Linotype" w:cs="Palatino Linotype"/>
          <w:b/>
          <w:color w:val="000000"/>
        </w:rPr>
        <w:t>CAPULHUA</w:t>
      </w:r>
      <w:r w:rsidRPr="00DC38C2">
        <w:rPr>
          <w:rFonts w:ascii="Palatino Linotype" w:eastAsia="Palatino Linotype" w:hAnsi="Palatino Linotype" w:cs="Palatino Linotype"/>
          <w:b/>
          <w:color w:val="000000"/>
        </w:rPr>
        <w:t>/IP/202</w:t>
      </w:r>
      <w:r w:rsidR="007559A4" w:rsidRPr="00DC38C2">
        <w:rPr>
          <w:rFonts w:ascii="Palatino Linotype" w:eastAsia="Palatino Linotype" w:hAnsi="Palatino Linotype" w:cs="Palatino Linotype"/>
          <w:b/>
          <w:color w:val="000000"/>
        </w:rPr>
        <w:t>6</w:t>
      </w:r>
      <w:r w:rsidRPr="00DC38C2">
        <w:rPr>
          <w:rFonts w:ascii="Palatino Linotype" w:eastAsia="Palatino Linotype" w:hAnsi="Palatino Linotype" w:cs="Palatino Linotype"/>
          <w:b/>
          <w:color w:val="000000"/>
        </w:rPr>
        <w:t xml:space="preserve">; </w:t>
      </w:r>
      <w:r w:rsidRPr="00DC38C2">
        <w:rPr>
          <w:rFonts w:ascii="Palatino Linotype" w:eastAsia="Palatino Linotype" w:hAnsi="Palatino Linotype" w:cs="Palatino Linotype"/>
          <w:color w:val="000000"/>
        </w:rPr>
        <w:t>mediante la cual se solicitó la siguiente información:</w:t>
      </w:r>
    </w:p>
    <w:p w:rsidR="00783FB8" w:rsidRPr="00DC38C2" w:rsidRDefault="00783FB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83FB8" w:rsidRPr="00DC38C2" w:rsidRDefault="005F2828">
      <w:pPr>
        <w:pBdr>
          <w:top w:val="nil"/>
          <w:left w:val="nil"/>
          <w:bottom w:val="nil"/>
          <w:right w:val="nil"/>
          <w:between w:val="nil"/>
        </w:pBdr>
        <w:ind w:left="426" w:right="476"/>
        <w:jc w:val="both"/>
        <w:rPr>
          <w:rFonts w:ascii="Palatino Linotype" w:eastAsia="Palatino Linotype" w:hAnsi="Palatino Linotype" w:cs="Palatino Linotype"/>
          <w:i/>
          <w:color w:val="000000"/>
        </w:rPr>
      </w:pPr>
      <w:r w:rsidRPr="00DC38C2">
        <w:rPr>
          <w:rFonts w:ascii="Palatino Linotype" w:eastAsia="Palatino Linotype" w:hAnsi="Palatino Linotype" w:cs="Palatino Linotype"/>
          <w:i/>
          <w:color w:val="000000"/>
        </w:rPr>
        <w:t>“</w:t>
      </w:r>
      <w:r w:rsidR="007559A4" w:rsidRPr="00DC38C2">
        <w:rPr>
          <w:rFonts w:ascii="Palatino Linotype" w:eastAsia="Palatino Linotype" w:hAnsi="Palatino Linotype" w:cs="Palatino Linotype"/>
          <w:i/>
          <w:color w:val="000000"/>
        </w:rPr>
        <w:t xml:space="preserve">Los recibos de nomina de la ultima quincena” </w:t>
      </w:r>
      <w:r w:rsidRPr="00DC38C2">
        <w:rPr>
          <w:rFonts w:ascii="Palatino Linotype" w:eastAsia="Palatino Linotype" w:hAnsi="Palatino Linotype" w:cs="Palatino Linotype"/>
          <w:i/>
          <w:color w:val="000000"/>
        </w:rPr>
        <w:t>(Sic)</w:t>
      </w:r>
    </w:p>
    <w:p w:rsidR="00783FB8" w:rsidRDefault="00783FB8">
      <w:pPr>
        <w:pBdr>
          <w:top w:val="nil"/>
          <w:left w:val="nil"/>
          <w:bottom w:val="nil"/>
          <w:right w:val="nil"/>
          <w:between w:val="nil"/>
        </w:pBdr>
        <w:ind w:left="426" w:right="476"/>
        <w:jc w:val="both"/>
        <w:rPr>
          <w:rFonts w:ascii="Palatino Linotype" w:eastAsia="Palatino Linotype" w:hAnsi="Palatino Linotype" w:cs="Palatino Linotype"/>
          <w:color w:val="000000"/>
        </w:rPr>
      </w:pPr>
    </w:p>
    <w:p w:rsidR="00DC38C2" w:rsidRPr="00DC38C2" w:rsidRDefault="00DC38C2">
      <w:pPr>
        <w:pBdr>
          <w:top w:val="nil"/>
          <w:left w:val="nil"/>
          <w:bottom w:val="nil"/>
          <w:right w:val="nil"/>
          <w:between w:val="nil"/>
        </w:pBdr>
        <w:ind w:left="426" w:right="476"/>
        <w:jc w:val="both"/>
        <w:rPr>
          <w:rFonts w:ascii="Palatino Linotype" w:eastAsia="Palatino Linotype" w:hAnsi="Palatino Linotype" w:cs="Palatino Linotype"/>
          <w:color w:val="000000"/>
        </w:rPr>
      </w:pPr>
    </w:p>
    <w:p w:rsidR="00783FB8" w:rsidRPr="00DC38C2" w:rsidRDefault="005F2828">
      <w:pPr>
        <w:numPr>
          <w:ilvl w:val="0"/>
          <w:numId w:val="7"/>
        </w:numPr>
        <w:pBdr>
          <w:top w:val="nil"/>
          <w:left w:val="nil"/>
          <w:bottom w:val="nil"/>
          <w:right w:val="nil"/>
          <w:between w:val="nil"/>
        </w:pBdr>
        <w:ind w:left="851" w:right="34"/>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Se eligió como modalidad de entrega de la información: A través del </w:t>
      </w:r>
      <w:r w:rsidRPr="00DC38C2">
        <w:rPr>
          <w:rFonts w:ascii="Palatino Linotype" w:eastAsia="Palatino Linotype" w:hAnsi="Palatino Linotype" w:cs="Palatino Linotype"/>
          <w:b/>
          <w:color w:val="000000"/>
        </w:rPr>
        <w:t>SAIMEX.</w:t>
      </w:r>
    </w:p>
    <w:p w:rsidR="007559A4" w:rsidRDefault="007559A4" w:rsidP="007559A4">
      <w:pPr>
        <w:pBdr>
          <w:top w:val="nil"/>
          <w:left w:val="nil"/>
          <w:bottom w:val="nil"/>
          <w:right w:val="nil"/>
          <w:between w:val="nil"/>
        </w:pBdr>
        <w:ind w:left="851" w:right="34"/>
        <w:jc w:val="both"/>
        <w:rPr>
          <w:rFonts w:ascii="Palatino Linotype" w:eastAsia="Palatino Linotype" w:hAnsi="Palatino Linotype" w:cs="Palatino Linotype"/>
          <w:color w:val="000000"/>
        </w:rPr>
      </w:pPr>
    </w:p>
    <w:p w:rsidR="00DC38C2" w:rsidRDefault="00DC38C2" w:rsidP="007559A4">
      <w:pPr>
        <w:pBdr>
          <w:top w:val="nil"/>
          <w:left w:val="nil"/>
          <w:bottom w:val="nil"/>
          <w:right w:val="nil"/>
          <w:between w:val="nil"/>
        </w:pBdr>
        <w:ind w:left="851" w:right="34"/>
        <w:jc w:val="both"/>
        <w:rPr>
          <w:rFonts w:ascii="Palatino Linotype" w:eastAsia="Palatino Linotype" w:hAnsi="Palatino Linotype" w:cs="Palatino Linotype"/>
          <w:color w:val="000000"/>
        </w:rPr>
      </w:pPr>
    </w:p>
    <w:p w:rsidR="00C83013" w:rsidRPr="00DC38C2" w:rsidRDefault="00C83013" w:rsidP="007559A4">
      <w:pPr>
        <w:pBdr>
          <w:top w:val="nil"/>
          <w:left w:val="nil"/>
          <w:bottom w:val="nil"/>
          <w:right w:val="nil"/>
          <w:between w:val="nil"/>
        </w:pBdr>
        <w:ind w:left="851" w:right="34"/>
        <w:jc w:val="both"/>
        <w:rPr>
          <w:rFonts w:ascii="Palatino Linotype" w:eastAsia="Palatino Linotype" w:hAnsi="Palatino Linotype" w:cs="Palatino Linotype"/>
          <w:color w:val="000000"/>
        </w:rPr>
      </w:pPr>
    </w:p>
    <w:p w:rsidR="00783FB8" w:rsidRPr="00DC38C2" w:rsidRDefault="005F2828">
      <w:pPr>
        <w:numPr>
          <w:ilvl w:val="0"/>
          <w:numId w:val="6"/>
        </w:numPr>
        <w:pBdr>
          <w:top w:val="nil"/>
          <w:left w:val="nil"/>
          <w:bottom w:val="nil"/>
          <w:right w:val="nil"/>
          <w:between w:val="nil"/>
        </w:pBdr>
        <w:tabs>
          <w:tab w:val="left" w:pos="0"/>
        </w:tabs>
        <w:spacing w:line="360" w:lineRule="auto"/>
        <w:ind w:right="51"/>
        <w:jc w:val="both"/>
        <w:rPr>
          <w:color w:val="000000"/>
        </w:rPr>
      </w:pPr>
      <w:r w:rsidRPr="00DC38C2">
        <w:rPr>
          <w:rFonts w:ascii="Palatino Linotype" w:eastAsia="Palatino Linotype" w:hAnsi="Palatino Linotype" w:cs="Palatino Linotype"/>
          <w:color w:val="000000"/>
        </w:rPr>
        <w:t xml:space="preserve">El </w:t>
      </w:r>
      <w:r w:rsidR="007559A4" w:rsidRPr="00DC38C2">
        <w:rPr>
          <w:rFonts w:ascii="Palatino Linotype" w:eastAsia="Palatino Linotype" w:hAnsi="Palatino Linotype" w:cs="Palatino Linotype"/>
          <w:b/>
          <w:color w:val="000000"/>
        </w:rPr>
        <w:t>veintitrés de abril de dos mil veintiséis</w:t>
      </w:r>
      <w:r w:rsidRPr="00DC38C2">
        <w:rPr>
          <w:rFonts w:ascii="Palatino Linotype" w:eastAsia="Palatino Linotype" w:hAnsi="Palatino Linotype" w:cs="Palatino Linotype"/>
          <w:color w:val="000000"/>
        </w:rPr>
        <w:t xml:space="preserve">, el </w:t>
      </w:r>
      <w:r w:rsidRPr="00DC38C2">
        <w:rPr>
          <w:rFonts w:ascii="Palatino Linotype" w:eastAsia="Palatino Linotype" w:hAnsi="Palatino Linotype" w:cs="Palatino Linotype"/>
          <w:b/>
          <w:color w:val="000000"/>
        </w:rPr>
        <w:t>SUJETO OBLIGADO,</w:t>
      </w:r>
      <w:r w:rsidRPr="00DC38C2">
        <w:rPr>
          <w:rFonts w:ascii="Palatino Linotype" w:eastAsia="Palatino Linotype" w:hAnsi="Palatino Linotype" w:cs="Palatino Linotype"/>
          <w:color w:val="000000"/>
        </w:rPr>
        <w:t xml:space="preserve"> </w:t>
      </w:r>
      <w:r w:rsidRPr="00DC38C2">
        <w:rPr>
          <w:rFonts w:ascii="Palatino Linotype" w:eastAsia="Palatino Linotype" w:hAnsi="Palatino Linotype" w:cs="Palatino Linotype"/>
        </w:rPr>
        <w:t xml:space="preserve">dio respuesta a la solicitud de información </w:t>
      </w:r>
      <w:r w:rsidRPr="00DC38C2">
        <w:rPr>
          <w:rFonts w:ascii="Palatino Linotype" w:eastAsia="Palatino Linotype" w:hAnsi="Palatino Linotype" w:cs="Palatino Linotype"/>
          <w:color w:val="000000"/>
        </w:rPr>
        <w:t>en el tenor siguiente:</w:t>
      </w:r>
    </w:p>
    <w:p w:rsidR="00783FB8" w:rsidRPr="00DC38C2" w:rsidRDefault="00783FB8">
      <w:pPr>
        <w:tabs>
          <w:tab w:val="left" w:pos="284"/>
        </w:tabs>
        <w:ind w:left="284" w:right="425"/>
        <w:jc w:val="both"/>
        <w:rPr>
          <w:rFonts w:ascii="Palatino Linotype" w:eastAsia="Palatino Linotype" w:hAnsi="Palatino Linotype" w:cs="Palatino Linotype"/>
          <w:i/>
          <w:color w:val="000000"/>
        </w:rPr>
      </w:pPr>
    </w:p>
    <w:tbl>
      <w:tblPr>
        <w:tblStyle w:val="a0"/>
        <w:tblW w:w="10500" w:type="dxa"/>
        <w:jc w:val="center"/>
        <w:tblInd w:w="0" w:type="dxa"/>
        <w:tblLayout w:type="fixed"/>
        <w:tblLook w:val="0400" w:firstRow="0" w:lastRow="0" w:firstColumn="0" w:lastColumn="0" w:noHBand="0" w:noVBand="1"/>
      </w:tblPr>
      <w:tblGrid>
        <w:gridCol w:w="10500"/>
      </w:tblGrid>
      <w:tr w:rsidR="00783FB8" w:rsidRPr="00DC38C2">
        <w:trPr>
          <w:trHeight w:val="739"/>
          <w:jc w:val="center"/>
        </w:trPr>
        <w:tc>
          <w:tcPr>
            <w:tcW w:w="10500" w:type="dxa"/>
            <w:vAlign w:val="center"/>
          </w:tcPr>
          <w:p w:rsidR="007559A4" w:rsidRPr="00DC38C2" w:rsidRDefault="005F2828">
            <w:pPr>
              <w:ind w:left="1418" w:right="1569"/>
              <w:jc w:val="both"/>
              <w:rPr>
                <w:rFonts w:ascii="Palatino Linotype" w:eastAsia="Palatino Linotype" w:hAnsi="Palatino Linotype" w:cs="Palatino Linotype"/>
                <w:i/>
                <w:color w:val="000000"/>
              </w:rPr>
            </w:pPr>
            <w:r w:rsidRPr="00DC38C2">
              <w:rPr>
                <w:rFonts w:ascii="Palatino Linotype" w:eastAsia="Palatino Linotype" w:hAnsi="Palatino Linotype" w:cs="Palatino Linotype"/>
                <w:i/>
                <w:color w:val="000000"/>
              </w:rPr>
              <w:lastRenderedPageBreak/>
              <w:t>“</w:t>
            </w:r>
            <w:r w:rsidR="007559A4" w:rsidRPr="00DC38C2">
              <w:rPr>
                <w:rFonts w:ascii="Palatino Linotype" w:eastAsia="Palatino Linotype" w:hAnsi="Palatino Linotype" w:cs="Palatino Linotype"/>
                <w:i/>
                <w:color w:val="000000"/>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7559A4" w:rsidRPr="00DC38C2" w:rsidRDefault="007559A4">
            <w:pPr>
              <w:ind w:left="1418" w:right="1569"/>
              <w:jc w:val="both"/>
              <w:rPr>
                <w:rFonts w:ascii="Palatino Linotype" w:eastAsia="Palatino Linotype" w:hAnsi="Palatino Linotype" w:cs="Palatino Linotype"/>
                <w:i/>
                <w:color w:val="000000"/>
              </w:rPr>
            </w:pPr>
          </w:p>
          <w:p w:rsidR="00783FB8" w:rsidRPr="00DC38C2" w:rsidRDefault="007559A4">
            <w:pPr>
              <w:ind w:left="1418" w:right="1569"/>
              <w:jc w:val="both"/>
              <w:rPr>
                <w:rFonts w:ascii="Palatino Linotype" w:eastAsia="Palatino Linotype" w:hAnsi="Palatino Linotype" w:cs="Palatino Linotype"/>
                <w:i/>
                <w:color w:val="000000"/>
              </w:rPr>
            </w:pPr>
            <w:r w:rsidRPr="00DC38C2">
              <w:rPr>
                <w:rFonts w:ascii="Palatino Linotype" w:eastAsia="Palatino Linotype" w:hAnsi="Palatino Linotype" w:cs="Palatino Linotype"/>
                <w:i/>
                <w:color w:val="000000"/>
              </w:rPr>
              <w:t>SE ADJUNTA RESPUESTA</w:t>
            </w:r>
            <w:r w:rsidR="005F2828" w:rsidRPr="00DC38C2">
              <w:rPr>
                <w:rFonts w:ascii="Palatino Linotype" w:eastAsia="Palatino Linotype" w:hAnsi="Palatino Linotype" w:cs="Palatino Linotype"/>
                <w:i/>
                <w:color w:val="000000"/>
              </w:rPr>
              <w:t>”.(sic)</w:t>
            </w:r>
          </w:p>
          <w:p w:rsidR="00783FB8" w:rsidRPr="00DC38C2" w:rsidRDefault="00783FB8">
            <w:pPr>
              <w:ind w:left="1418" w:right="1569"/>
              <w:jc w:val="both"/>
            </w:pPr>
          </w:p>
        </w:tc>
      </w:tr>
    </w:tbl>
    <w:p w:rsidR="007559A4" w:rsidRPr="00DC38C2" w:rsidRDefault="005F2828">
      <w:pPr>
        <w:numPr>
          <w:ilvl w:val="0"/>
          <w:numId w:val="2"/>
        </w:numPr>
        <w:pBdr>
          <w:top w:val="nil"/>
          <w:left w:val="nil"/>
          <w:bottom w:val="nil"/>
          <w:right w:val="nil"/>
          <w:between w:val="nil"/>
        </w:pBdr>
        <w:tabs>
          <w:tab w:val="left" w:pos="0"/>
        </w:tabs>
        <w:spacing w:line="360" w:lineRule="auto"/>
        <w:ind w:right="709"/>
        <w:jc w:val="both"/>
        <w:rPr>
          <w:color w:val="000000"/>
        </w:rPr>
      </w:pPr>
      <w:r w:rsidRPr="00DC38C2">
        <w:rPr>
          <w:rFonts w:ascii="Palatino Linotype" w:eastAsia="Palatino Linotype" w:hAnsi="Palatino Linotype" w:cs="Palatino Linotype"/>
          <w:color w:val="000000"/>
        </w:rPr>
        <w:t xml:space="preserve">Se adjuntó el archivo electrónico denominado: </w:t>
      </w:r>
      <w:r w:rsidR="007559A4" w:rsidRPr="00DC38C2">
        <w:rPr>
          <w:rFonts w:ascii="Palatino Linotype" w:eastAsia="Palatino Linotype" w:hAnsi="Palatino Linotype" w:cs="Palatino Linotype"/>
          <w:b/>
          <w:color w:val="000000"/>
        </w:rPr>
        <w:t xml:space="preserve">RESP.00060CAPULHUAIP2026.pdf, </w:t>
      </w:r>
      <w:r w:rsidR="007559A4" w:rsidRPr="00DC38C2">
        <w:rPr>
          <w:rFonts w:ascii="Palatino Linotype" w:eastAsia="Palatino Linotype" w:hAnsi="Palatino Linotype" w:cs="Palatino Linotype"/>
          <w:color w:val="000000"/>
        </w:rPr>
        <w:t xml:space="preserve"> del que se advierte el oficio MCAP/TM/048/2026 de fecha catorce de abril de dos mil veintiséis, suscrito por el Tesorero Municipal, mediante el cual informa que una vez analizada la solitud y toda vez que su interés es conocer los recibos de nómina de la última quincena, se concluye que la información solicitada no es clara y precisa, ya que dicha solicitud caree de datos adicionales como el periodo.</w:t>
      </w:r>
    </w:p>
    <w:p w:rsidR="00783FB8" w:rsidRPr="00DC38C2" w:rsidRDefault="00783FB8"/>
    <w:p w:rsidR="00783FB8" w:rsidRPr="00DC38C2" w:rsidRDefault="005F2828">
      <w:pPr>
        <w:numPr>
          <w:ilvl w:val="0"/>
          <w:numId w:val="6"/>
        </w:numPr>
        <w:pBdr>
          <w:top w:val="nil"/>
          <w:left w:val="nil"/>
          <w:bottom w:val="nil"/>
          <w:right w:val="nil"/>
          <w:between w:val="nil"/>
        </w:pBdr>
        <w:tabs>
          <w:tab w:val="left" w:pos="0"/>
        </w:tabs>
        <w:spacing w:line="360" w:lineRule="auto"/>
        <w:ind w:right="49"/>
        <w:jc w:val="both"/>
        <w:rPr>
          <w:color w:val="000000"/>
        </w:rPr>
      </w:pPr>
      <w:r w:rsidRPr="00DC38C2">
        <w:rPr>
          <w:rFonts w:ascii="Palatino Linotype" w:eastAsia="Palatino Linotype" w:hAnsi="Palatino Linotype" w:cs="Palatino Linotype"/>
          <w:color w:val="000000"/>
        </w:rPr>
        <w:t xml:space="preserve">Inconforme con lo anterior, el </w:t>
      </w:r>
      <w:r w:rsidRPr="00DC38C2">
        <w:rPr>
          <w:rFonts w:ascii="Palatino Linotype" w:eastAsia="Palatino Linotype" w:hAnsi="Palatino Linotype" w:cs="Palatino Linotype"/>
          <w:b/>
          <w:color w:val="000000"/>
        </w:rPr>
        <w:t>PARTICULAR</w:t>
      </w:r>
      <w:r w:rsidRPr="00DC38C2">
        <w:rPr>
          <w:rFonts w:ascii="Palatino Linotype" w:eastAsia="Palatino Linotype" w:hAnsi="Palatino Linotype" w:cs="Palatino Linotype"/>
          <w:color w:val="000000"/>
        </w:rPr>
        <w:t xml:space="preserve"> en fecha </w:t>
      </w:r>
      <w:r w:rsidR="007559A4" w:rsidRPr="00DC38C2">
        <w:rPr>
          <w:rFonts w:ascii="Palatino Linotype" w:eastAsia="Palatino Linotype" w:hAnsi="Palatino Linotype" w:cs="Palatino Linotype"/>
          <w:b/>
          <w:color w:val="000000"/>
        </w:rPr>
        <w:t>veintisiete de abril de dos mil veintiséis</w:t>
      </w:r>
      <w:r w:rsidRPr="00DC38C2">
        <w:rPr>
          <w:rFonts w:ascii="Palatino Linotype" w:eastAsia="Palatino Linotype" w:hAnsi="Palatino Linotype" w:cs="Palatino Linotype"/>
          <w:b/>
          <w:color w:val="000000"/>
        </w:rPr>
        <w:t xml:space="preserve">, </w:t>
      </w:r>
      <w:r w:rsidRPr="00DC38C2">
        <w:rPr>
          <w:rFonts w:ascii="Palatino Linotype" w:eastAsia="Palatino Linotype" w:hAnsi="Palatino Linotype" w:cs="Palatino Linotype"/>
          <w:color w:val="000000"/>
        </w:rPr>
        <w:t>interpuso el recurso de revisión en contra de la respuesta, manifestando las siguientes razones o motivos de inconformidad:</w:t>
      </w:r>
    </w:p>
    <w:p w:rsidR="00DC38C2" w:rsidRPr="00DC38C2" w:rsidRDefault="00DC38C2" w:rsidP="00DC38C2">
      <w:pPr>
        <w:pBdr>
          <w:top w:val="nil"/>
          <w:left w:val="nil"/>
          <w:bottom w:val="nil"/>
          <w:right w:val="nil"/>
          <w:between w:val="nil"/>
        </w:pBdr>
        <w:tabs>
          <w:tab w:val="left" w:pos="0"/>
        </w:tabs>
        <w:spacing w:line="360" w:lineRule="auto"/>
        <w:ind w:right="49"/>
        <w:jc w:val="both"/>
        <w:rPr>
          <w:color w:val="000000"/>
        </w:rPr>
      </w:pPr>
    </w:p>
    <w:p w:rsidR="00783FB8" w:rsidRPr="00DC38C2" w:rsidRDefault="005F2828">
      <w:pPr>
        <w:numPr>
          <w:ilvl w:val="0"/>
          <w:numId w:val="7"/>
        </w:numPr>
        <w:pBdr>
          <w:top w:val="nil"/>
          <w:left w:val="nil"/>
          <w:bottom w:val="nil"/>
          <w:right w:val="nil"/>
          <w:between w:val="nil"/>
        </w:pBdr>
        <w:ind w:left="567"/>
        <w:jc w:val="both"/>
        <w:rPr>
          <w:rFonts w:ascii="Palatino Linotype" w:eastAsia="Palatino Linotype" w:hAnsi="Palatino Linotype" w:cs="Palatino Linotype"/>
          <w:b/>
          <w:i/>
          <w:color w:val="000000"/>
        </w:rPr>
      </w:pPr>
      <w:bookmarkStart w:id="4" w:name="_heading=h.1fob9te" w:colFirst="0" w:colLast="0"/>
      <w:bookmarkEnd w:id="4"/>
      <w:r w:rsidRPr="00DC38C2">
        <w:rPr>
          <w:rFonts w:ascii="Palatino Linotype" w:eastAsia="Palatino Linotype" w:hAnsi="Palatino Linotype" w:cs="Palatino Linotype"/>
          <w:b/>
          <w:color w:val="000000"/>
        </w:rPr>
        <w:t>Acto impugnado</w:t>
      </w:r>
      <w:r w:rsidRPr="00DC38C2">
        <w:rPr>
          <w:rFonts w:ascii="Palatino Linotype" w:eastAsia="Palatino Linotype" w:hAnsi="Palatino Linotype" w:cs="Palatino Linotype"/>
          <w:color w:val="000000"/>
        </w:rPr>
        <w:t xml:space="preserve">: </w:t>
      </w:r>
      <w:r w:rsidRPr="00DC38C2">
        <w:rPr>
          <w:rFonts w:ascii="Palatino Linotype" w:eastAsia="Palatino Linotype" w:hAnsi="Palatino Linotype" w:cs="Palatino Linotype"/>
          <w:i/>
          <w:color w:val="000000"/>
        </w:rPr>
        <w:t>“</w:t>
      </w:r>
      <w:r w:rsidR="007559A4" w:rsidRPr="00DC38C2">
        <w:rPr>
          <w:rFonts w:ascii="Palatino Linotype" w:eastAsia="Palatino Linotype" w:hAnsi="Palatino Linotype" w:cs="Palatino Linotype"/>
          <w:i/>
          <w:color w:val="000000"/>
        </w:rPr>
        <w:t>La respuesta que se hace a la solicitud derivado a que se presenta la solicitud de la ultima quincena se presenta la solicitud el 9 de abril, por ende se entiende que la ultima quincena fue la del 31 de marzo del 2026</w:t>
      </w:r>
      <w:r w:rsidRPr="00DC38C2">
        <w:rPr>
          <w:rFonts w:ascii="Palatino Linotype" w:eastAsia="Palatino Linotype" w:hAnsi="Palatino Linotype" w:cs="Palatino Linotype"/>
          <w:i/>
          <w:color w:val="000000"/>
        </w:rPr>
        <w:t>”</w:t>
      </w:r>
      <w:r w:rsidR="00CB570D" w:rsidRPr="00DC38C2">
        <w:rPr>
          <w:rFonts w:ascii="Palatino Linotype" w:eastAsia="Palatino Linotype" w:hAnsi="Palatino Linotype" w:cs="Palatino Linotype"/>
          <w:i/>
          <w:color w:val="000000"/>
        </w:rPr>
        <w:t xml:space="preserve"> (Sic.)</w:t>
      </w:r>
    </w:p>
    <w:p w:rsidR="00DC38C2" w:rsidRPr="00DC38C2" w:rsidRDefault="00DC38C2" w:rsidP="00DC38C2">
      <w:pPr>
        <w:pBdr>
          <w:top w:val="nil"/>
          <w:left w:val="nil"/>
          <w:bottom w:val="nil"/>
          <w:right w:val="nil"/>
          <w:between w:val="nil"/>
        </w:pBdr>
        <w:ind w:left="567"/>
        <w:jc w:val="both"/>
        <w:rPr>
          <w:rFonts w:ascii="Palatino Linotype" w:eastAsia="Palatino Linotype" w:hAnsi="Palatino Linotype" w:cs="Palatino Linotype"/>
          <w:b/>
          <w:i/>
          <w:color w:val="000000"/>
        </w:rPr>
      </w:pPr>
    </w:p>
    <w:p w:rsidR="00783FB8" w:rsidRPr="00DC38C2" w:rsidRDefault="005F2828">
      <w:pPr>
        <w:numPr>
          <w:ilvl w:val="0"/>
          <w:numId w:val="7"/>
        </w:numPr>
        <w:pBdr>
          <w:top w:val="nil"/>
          <w:left w:val="nil"/>
          <w:bottom w:val="nil"/>
          <w:right w:val="nil"/>
          <w:between w:val="nil"/>
        </w:pBdr>
        <w:ind w:left="567"/>
        <w:jc w:val="both"/>
        <w:rPr>
          <w:rFonts w:ascii="Palatino Linotype" w:eastAsia="Palatino Linotype" w:hAnsi="Palatino Linotype" w:cs="Palatino Linotype"/>
          <w:i/>
          <w:color w:val="000000"/>
        </w:rPr>
      </w:pPr>
      <w:bookmarkStart w:id="5" w:name="_heading=h.3znysh7" w:colFirst="0" w:colLast="0"/>
      <w:bookmarkEnd w:id="5"/>
      <w:r w:rsidRPr="00DC38C2">
        <w:rPr>
          <w:rFonts w:ascii="Palatino Linotype" w:eastAsia="Palatino Linotype" w:hAnsi="Palatino Linotype" w:cs="Palatino Linotype"/>
          <w:b/>
          <w:color w:val="000000"/>
        </w:rPr>
        <w:t xml:space="preserve">Razones o Motivos de inconformidad: </w:t>
      </w:r>
      <w:r w:rsidRPr="00DC38C2">
        <w:rPr>
          <w:rFonts w:ascii="Palatino Linotype" w:eastAsia="Palatino Linotype" w:hAnsi="Palatino Linotype" w:cs="Palatino Linotype"/>
          <w:i/>
          <w:color w:val="000000"/>
        </w:rPr>
        <w:t>“</w:t>
      </w:r>
      <w:r w:rsidR="007559A4" w:rsidRPr="00DC38C2">
        <w:rPr>
          <w:rFonts w:ascii="Palatino Linotype" w:eastAsia="Palatino Linotype" w:hAnsi="Palatino Linotype" w:cs="Palatino Linotype"/>
          <w:i/>
          <w:color w:val="000000"/>
        </w:rPr>
        <w:t>No da respuesta a lo solicitado</w:t>
      </w:r>
      <w:r w:rsidRPr="00DC38C2">
        <w:rPr>
          <w:rFonts w:ascii="Palatino Linotype" w:eastAsia="Palatino Linotype" w:hAnsi="Palatino Linotype" w:cs="Palatino Linotype"/>
          <w:i/>
          <w:color w:val="000000"/>
        </w:rPr>
        <w:t>.”</w:t>
      </w:r>
      <w:r w:rsidR="00CB570D" w:rsidRPr="00DC38C2">
        <w:rPr>
          <w:rFonts w:ascii="Palatino Linotype" w:eastAsia="Palatino Linotype" w:hAnsi="Palatino Linotype" w:cs="Palatino Linotype"/>
          <w:i/>
          <w:color w:val="000000"/>
        </w:rPr>
        <w:t xml:space="preserve"> (Sic.)</w:t>
      </w:r>
    </w:p>
    <w:p w:rsidR="00783FB8" w:rsidRPr="00DC38C2" w:rsidRDefault="00783FB8">
      <w:pPr>
        <w:spacing w:line="360" w:lineRule="auto"/>
        <w:rPr>
          <w:rFonts w:ascii="Palatino Linotype" w:eastAsia="Palatino Linotype" w:hAnsi="Palatino Linotype" w:cs="Palatino Linotype"/>
          <w:i/>
          <w:color w:val="000000"/>
        </w:rPr>
      </w:pPr>
    </w:p>
    <w:p w:rsidR="00783FB8" w:rsidRPr="00DC38C2" w:rsidRDefault="005F2828">
      <w:pPr>
        <w:numPr>
          <w:ilvl w:val="0"/>
          <w:numId w:val="6"/>
        </w:numPr>
        <w:pBdr>
          <w:top w:val="nil"/>
          <w:left w:val="nil"/>
          <w:bottom w:val="nil"/>
          <w:right w:val="nil"/>
          <w:between w:val="nil"/>
        </w:pBdr>
        <w:spacing w:line="360" w:lineRule="auto"/>
        <w:jc w:val="both"/>
        <w:rPr>
          <w:color w:val="000000"/>
        </w:rPr>
      </w:pPr>
      <w:r w:rsidRPr="00DC38C2">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w:t>
      </w:r>
      <w:r w:rsidRPr="00DC38C2">
        <w:rPr>
          <w:rFonts w:ascii="Palatino Linotype" w:eastAsia="Palatino Linotype" w:hAnsi="Palatino Linotype" w:cs="Palatino Linotype"/>
        </w:rPr>
        <w:t>notificado</w:t>
      </w:r>
      <w:r w:rsidRPr="00DC38C2">
        <w:rPr>
          <w:rFonts w:ascii="Palatino Linotype" w:eastAsia="Palatino Linotype" w:hAnsi="Palatino Linotype" w:cs="Palatino Linotype"/>
          <w:color w:val="000000"/>
        </w:rPr>
        <w:t xml:space="preserve"> en fecha </w:t>
      </w:r>
      <w:r w:rsidR="007559A4" w:rsidRPr="00DC38C2">
        <w:rPr>
          <w:rFonts w:ascii="Palatino Linotype" w:eastAsia="Palatino Linotype" w:hAnsi="Palatino Linotype" w:cs="Palatino Linotype"/>
          <w:b/>
          <w:color w:val="000000"/>
        </w:rPr>
        <w:t>treinta de abril de dos mil veintiséis</w:t>
      </w:r>
      <w:r w:rsidRPr="00DC38C2">
        <w:rPr>
          <w:rFonts w:ascii="Palatino Linotype" w:eastAsia="Palatino Linotype" w:hAnsi="Palatino Linotype" w:cs="Palatino Linotype"/>
          <w:color w:val="000000"/>
        </w:rPr>
        <w:t xml:space="preserve">, puso a disposición de las partes el expediente electrónico vía </w:t>
      </w:r>
      <w:r w:rsidRPr="00DC38C2">
        <w:rPr>
          <w:rFonts w:ascii="Palatino Linotype" w:eastAsia="Palatino Linotype" w:hAnsi="Palatino Linotype" w:cs="Palatino Linotype"/>
          <w:b/>
          <w:color w:val="000000"/>
        </w:rPr>
        <w:t xml:space="preserve">SAIMEX </w:t>
      </w:r>
      <w:r w:rsidRPr="00DC38C2">
        <w:rPr>
          <w:rFonts w:ascii="Palatino Linotype" w:eastAsia="Palatino Linotype" w:hAnsi="Palatino Linotype" w:cs="Palatino Linotype"/>
          <w:color w:val="000000"/>
        </w:rPr>
        <w:t xml:space="preserve">a efecto de que en un plazo máximo de siete días </w:t>
      </w:r>
      <w:r w:rsidRPr="00DC38C2">
        <w:rPr>
          <w:rFonts w:ascii="Palatino Linotype" w:eastAsia="Palatino Linotype" w:hAnsi="Palatino Linotype" w:cs="Palatino Linotype"/>
        </w:rPr>
        <w:t>manifestara</w:t>
      </w:r>
      <w:r w:rsidRPr="00DC38C2">
        <w:rPr>
          <w:rFonts w:ascii="Palatino Linotype" w:eastAsia="Palatino Linotype" w:hAnsi="Palatino Linotype" w:cs="Palatino Linotype"/>
          <w:color w:val="000000"/>
        </w:rPr>
        <w:t xml:space="preserve"> lo que a su derecho conviniera, </w:t>
      </w:r>
      <w:r w:rsidRPr="00DC38C2">
        <w:rPr>
          <w:rFonts w:ascii="Palatino Linotype" w:eastAsia="Palatino Linotype" w:hAnsi="Palatino Linotype" w:cs="Palatino Linotype"/>
        </w:rPr>
        <w:lastRenderedPageBreak/>
        <w:t>ofreciera</w:t>
      </w:r>
      <w:r w:rsidRPr="00DC38C2">
        <w:rPr>
          <w:rFonts w:ascii="Palatino Linotype" w:eastAsia="Palatino Linotype" w:hAnsi="Palatino Linotype" w:cs="Palatino Linotype"/>
          <w:color w:val="000000"/>
        </w:rPr>
        <w:t xml:space="preserve"> pruebas y alegatos según corresponda a los casos concretos, y el </w:t>
      </w:r>
      <w:r w:rsidRPr="00DC38C2">
        <w:rPr>
          <w:rFonts w:ascii="Palatino Linotype" w:eastAsia="Palatino Linotype" w:hAnsi="Palatino Linotype" w:cs="Palatino Linotype"/>
          <w:b/>
          <w:color w:val="000000"/>
        </w:rPr>
        <w:t>SUJETO OBLIGADO</w:t>
      </w:r>
      <w:r w:rsidRPr="00DC38C2">
        <w:rPr>
          <w:rFonts w:ascii="Palatino Linotype" w:eastAsia="Palatino Linotype" w:hAnsi="Palatino Linotype" w:cs="Palatino Linotype"/>
          <w:color w:val="000000"/>
        </w:rPr>
        <w:t xml:space="preserve"> presentará el Informe Justificado procedente.</w:t>
      </w:r>
    </w:p>
    <w:p w:rsidR="00783FB8" w:rsidRPr="00DC38C2" w:rsidRDefault="00783FB8"/>
    <w:p w:rsidR="007559A4" w:rsidRPr="00DC38C2" w:rsidRDefault="007559A4" w:rsidP="007559A4">
      <w:pPr>
        <w:numPr>
          <w:ilvl w:val="0"/>
          <w:numId w:val="6"/>
        </w:numPr>
        <w:pBdr>
          <w:top w:val="nil"/>
          <w:left w:val="nil"/>
          <w:bottom w:val="nil"/>
          <w:right w:val="nil"/>
          <w:between w:val="nil"/>
        </w:pBdr>
        <w:tabs>
          <w:tab w:val="left" w:pos="567"/>
          <w:tab w:val="left" w:pos="8789"/>
        </w:tabs>
        <w:spacing w:line="360" w:lineRule="auto"/>
        <w:ind w:right="426"/>
        <w:jc w:val="both"/>
        <w:rPr>
          <w:rFonts w:ascii="Palatino Linotype" w:eastAsia="Palatino Linotype" w:hAnsi="Palatino Linotype" w:cs="Palatino Linotype"/>
          <w:color w:val="000000"/>
        </w:rPr>
      </w:pPr>
      <w:bookmarkStart w:id="6" w:name="_heading=h.2et92p0" w:colFirst="0" w:colLast="0"/>
      <w:bookmarkEnd w:id="6"/>
      <w:r w:rsidRPr="00DC38C2">
        <w:rPr>
          <w:rFonts w:ascii="Palatino Linotype" w:eastAsia="Palatino Linotype" w:hAnsi="Palatino Linotype" w:cs="Palatino Linotype"/>
          <w:color w:val="000000"/>
        </w:rPr>
        <w:t xml:space="preserve">El </w:t>
      </w:r>
      <w:r w:rsidRPr="00DC38C2">
        <w:rPr>
          <w:rFonts w:ascii="Palatino Linotype" w:eastAsia="Palatino Linotype" w:hAnsi="Palatino Linotype" w:cs="Palatino Linotype"/>
          <w:b/>
          <w:color w:val="000000"/>
        </w:rPr>
        <w:t xml:space="preserve">SUJETO OBLIGADO </w:t>
      </w:r>
      <w:r w:rsidRPr="00DC38C2">
        <w:rPr>
          <w:rFonts w:ascii="Palatino Linotype" w:eastAsia="Palatino Linotype" w:hAnsi="Palatino Linotype" w:cs="Palatino Linotype"/>
          <w:color w:val="000000"/>
        </w:rPr>
        <w:t xml:space="preserve">en fecha </w:t>
      </w:r>
      <w:r w:rsidRPr="00DC38C2">
        <w:rPr>
          <w:rFonts w:ascii="Palatino Linotype" w:eastAsia="Palatino Linotype" w:hAnsi="Palatino Linotype" w:cs="Palatino Linotype"/>
          <w:b/>
          <w:color w:val="000000"/>
        </w:rPr>
        <w:t>uno de septiembre de dos mil veinticinco</w:t>
      </w:r>
      <w:r w:rsidRPr="00DC38C2">
        <w:rPr>
          <w:rFonts w:ascii="Palatino Linotype" w:eastAsia="Palatino Linotype" w:hAnsi="Palatino Linotype" w:cs="Palatino Linotype"/>
          <w:color w:val="000000"/>
        </w:rPr>
        <w:t xml:space="preserve">, rindió el informe justificado correspondiente, mediante </w:t>
      </w:r>
      <w:r w:rsidR="00906428" w:rsidRPr="00DC38C2">
        <w:rPr>
          <w:rFonts w:ascii="Palatino Linotype" w:eastAsia="Palatino Linotype" w:hAnsi="Palatino Linotype" w:cs="Palatino Linotype"/>
          <w:color w:val="000000"/>
        </w:rPr>
        <w:t>los siguientes archivos:</w:t>
      </w:r>
    </w:p>
    <w:p w:rsidR="00906428" w:rsidRPr="00DC38C2" w:rsidRDefault="00906428" w:rsidP="00906428">
      <w:pPr>
        <w:pStyle w:val="Prrafodelista"/>
        <w:numPr>
          <w:ilvl w:val="0"/>
          <w:numId w:val="21"/>
        </w:numPr>
        <w:pBdr>
          <w:top w:val="nil"/>
          <w:left w:val="nil"/>
          <w:bottom w:val="nil"/>
          <w:right w:val="nil"/>
          <w:between w:val="nil"/>
        </w:pBdr>
        <w:tabs>
          <w:tab w:val="left" w:pos="567"/>
          <w:tab w:val="left" w:pos="8789"/>
        </w:tabs>
        <w:spacing w:line="360" w:lineRule="auto"/>
        <w:ind w:right="426"/>
        <w:jc w:val="both"/>
        <w:rPr>
          <w:rFonts w:ascii="Palatino Linotype" w:eastAsia="Palatino Linotype" w:hAnsi="Palatino Linotype" w:cs="Palatino Linotype"/>
          <w:b/>
          <w:color w:val="000000"/>
        </w:rPr>
      </w:pPr>
      <w:r w:rsidRPr="00DC38C2">
        <w:rPr>
          <w:rFonts w:ascii="Palatino Linotype" w:eastAsia="Palatino Linotype" w:hAnsi="Palatino Linotype" w:cs="Palatino Linotype"/>
          <w:b/>
          <w:color w:val="000000"/>
        </w:rPr>
        <w:t xml:space="preserve">MANIFESTACIONES RR 4433.pdf: </w:t>
      </w:r>
      <w:r w:rsidRPr="00DC38C2">
        <w:rPr>
          <w:rFonts w:ascii="Palatino Linotype" w:eastAsia="Palatino Linotype" w:hAnsi="Palatino Linotype" w:cs="Palatino Linotype"/>
          <w:color w:val="000000"/>
        </w:rPr>
        <w:t>Oficio UT/CAP/295/2026 de fecha seis de mayo de dos mil veintiséis, suscrito por el titular de la Unida de Transparencia, a través del cual requiere al Tesorero Municipal, remita el Informe Justificado correspondiente.</w:t>
      </w:r>
    </w:p>
    <w:p w:rsidR="00906428" w:rsidRPr="00DC38C2" w:rsidRDefault="00906428" w:rsidP="00906428">
      <w:pPr>
        <w:pStyle w:val="Prrafodelista"/>
        <w:numPr>
          <w:ilvl w:val="0"/>
          <w:numId w:val="21"/>
        </w:numPr>
        <w:pBdr>
          <w:top w:val="nil"/>
          <w:left w:val="nil"/>
          <w:bottom w:val="nil"/>
          <w:right w:val="nil"/>
          <w:between w:val="nil"/>
        </w:pBdr>
        <w:tabs>
          <w:tab w:val="left" w:pos="567"/>
          <w:tab w:val="left" w:pos="8789"/>
        </w:tabs>
        <w:spacing w:line="360" w:lineRule="auto"/>
        <w:ind w:right="426"/>
        <w:jc w:val="both"/>
        <w:rPr>
          <w:rFonts w:ascii="Palatino Linotype" w:eastAsia="Palatino Linotype" w:hAnsi="Palatino Linotype" w:cs="Palatino Linotype"/>
          <w:b/>
          <w:color w:val="000000"/>
        </w:rPr>
      </w:pPr>
      <w:r w:rsidRPr="00DC38C2">
        <w:rPr>
          <w:rFonts w:ascii="Palatino Linotype" w:eastAsia="Palatino Linotype" w:hAnsi="Palatino Linotype" w:cs="Palatino Linotype"/>
          <w:b/>
          <w:color w:val="000000"/>
        </w:rPr>
        <w:t xml:space="preserve">RESPUESTA A MANIFESTACIONES RR 4433.pdf: </w:t>
      </w:r>
      <w:r w:rsidRPr="00DC38C2">
        <w:rPr>
          <w:rFonts w:ascii="Palatino Linotype" w:eastAsia="Palatino Linotype" w:hAnsi="Palatino Linotype" w:cs="Palatino Linotype"/>
          <w:color w:val="000000"/>
        </w:rPr>
        <w:t xml:space="preserve">Oficio MCPA/TM/121/2026 de fecha trece de mayo de dos mil veintiséis, suscrito por el Tesorero Municipal, a través del cual informa que debido a que los recibos de nómina se encuentran en físico en los archivos de la Tesorería Municipal y en acatamiento a lo que dispone el párrafo segundo del </w:t>
      </w:r>
      <w:r w:rsidR="00DC38C2" w:rsidRPr="00DC38C2">
        <w:rPr>
          <w:rFonts w:ascii="Palatino Linotype" w:eastAsia="Palatino Linotype" w:hAnsi="Palatino Linotype" w:cs="Palatino Linotype"/>
          <w:color w:val="000000"/>
        </w:rPr>
        <w:t>artículo</w:t>
      </w:r>
      <w:r w:rsidRPr="00DC38C2">
        <w:rPr>
          <w:rFonts w:ascii="Palatino Linotype" w:eastAsia="Palatino Linotype" w:hAnsi="Palatino Linotype" w:cs="Palatino Linotype"/>
          <w:color w:val="000000"/>
        </w:rPr>
        <w:t xml:space="preserve"> 12 de la Ley de </w:t>
      </w:r>
      <w:r w:rsidR="003F64C8" w:rsidRPr="00DC38C2">
        <w:rPr>
          <w:rFonts w:ascii="Palatino Linotype" w:eastAsia="Palatino Linotype" w:hAnsi="Palatino Linotype" w:cs="Palatino Linotype"/>
          <w:color w:val="000000"/>
        </w:rPr>
        <w:t>Transparencia</w:t>
      </w:r>
      <w:r w:rsidRPr="00DC38C2">
        <w:rPr>
          <w:rFonts w:ascii="Palatino Linotype" w:eastAsia="Palatino Linotype" w:hAnsi="Palatino Linotype" w:cs="Palatino Linotype"/>
          <w:color w:val="000000"/>
        </w:rPr>
        <w:t xml:space="preserve"> y Acceso a la Información Pública del Estado de México y Municipios</w:t>
      </w:r>
      <w:r w:rsidR="003F64C8" w:rsidRPr="00DC38C2">
        <w:rPr>
          <w:rFonts w:ascii="Palatino Linotype" w:eastAsia="Palatino Linotype" w:hAnsi="Palatino Linotype" w:cs="Palatino Linotype"/>
          <w:color w:val="000000"/>
        </w:rPr>
        <w:t>, la información solicitada se pone a disposición del particular  de manera física en las oficinas que ocupa la Tesorería Municipal, para lo cual proporciona el domicilio, no omite mencionar que la información requerida se encuentra en la página del Sistema de Información Pública de Oficio Mexiquense (IPOMEX).</w:t>
      </w:r>
    </w:p>
    <w:p w:rsidR="00DC38C2" w:rsidRPr="00DC38C2" w:rsidRDefault="00DC38C2" w:rsidP="00DC38C2">
      <w:pPr>
        <w:pStyle w:val="Prrafodelista"/>
        <w:pBdr>
          <w:top w:val="nil"/>
          <w:left w:val="nil"/>
          <w:bottom w:val="nil"/>
          <w:right w:val="nil"/>
          <w:between w:val="nil"/>
        </w:pBdr>
        <w:tabs>
          <w:tab w:val="left" w:pos="567"/>
          <w:tab w:val="left" w:pos="8789"/>
        </w:tabs>
        <w:spacing w:line="360" w:lineRule="auto"/>
        <w:ind w:right="426"/>
        <w:jc w:val="both"/>
        <w:rPr>
          <w:rFonts w:ascii="Palatino Linotype" w:eastAsia="Palatino Linotype" w:hAnsi="Palatino Linotype" w:cs="Palatino Linotype"/>
          <w:b/>
          <w:color w:val="000000"/>
        </w:rPr>
      </w:pPr>
    </w:p>
    <w:p w:rsidR="007104B5" w:rsidRPr="00DC38C2" w:rsidRDefault="003F64C8" w:rsidP="007104B5">
      <w:pPr>
        <w:numPr>
          <w:ilvl w:val="0"/>
          <w:numId w:val="6"/>
        </w:numPr>
        <w:spacing w:line="360" w:lineRule="auto"/>
        <w:contextualSpacing/>
        <w:jc w:val="both"/>
        <w:rPr>
          <w:rFonts w:ascii="Palatino Linotype" w:eastAsia="MS Mincho" w:hAnsi="Palatino Linotype"/>
          <w:i/>
          <w:color w:val="000000"/>
        </w:rPr>
      </w:pPr>
      <w:r w:rsidRPr="00DC38C2">
        <w:rPr>
          <w:rFonts w:ascii="Palatino Linotype" w:hAnsi="Palatino Linotype"/>
        </w:rPr>
        <w:t xml:space="preserve">De lo anterior </w:t>
      </w:r>
      <w:r w:rsidR="007104B5" w:rsidRPr="00DC38C2">
        <w:rPr>
          <w:rFonts w:ascii="Palatino Linotype" w:hAnsi="Palatino Linotype"/>
          <w:b/>
        </w:rPr>
        <w:t xml:space="preserve">el RECURRENTE </w:t>
      </w:r>
      <w:r w:rsidRPr="00DC38C2">
        <w:rPr>
          <w:rFonts w:ascii="Palatino Linotype" w:hAnsi="Palatino Linotype"/>
        </w:rPr>
        <w:t>dejó</w:t>
      </w:r>
      <w:r w:rsidR="007104B5" w:rsidRPr="00DC38C2">
        <w:rPr>
          <w:rFonts w:ascii="Palatino Linotype" w:hAnsi="Palatino Linotype"/>
        </w:rPr>
        <w:t xml:space="preserve"> de realizar manifestaciones que a su derecho conviniera y asistiera. </w:t>
      </w:r>
    </w:p>
    <w:p w:rsidR="007104B5" w:rsidRPr="00DC38C2" w:rsidRDefault="007104B5" w:rsidP="007104B5">
      <w:pPr>
        <w:pStyle w:val="Prrafodelista"/>
        <w:rPr>
          <w:rFonts w:ascii="Palatino Linotype" w:eastAsia="MS Mincho" w:hAnsi="Palatino Linotype"/>
          <w:i/>
          <w:color w:val="000000"/>
        </w:rPr>
      </w:pPr>
    </w:p>
    <w:p w:rsidR="003F64C8" w:rsidRPr="00DC38C2" w:rsidRDefault="003F64C8" w:rsidP="003F64C8">
      <w:pPr>
        <w:numPr>
          <w:ilvl w:val="0"/>
          <w:numId w:val="6"/>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b/>
        </w:rPr>
      </w:pPr>
      <w:r w:rsidRPr="00DC38C2">
        <w:rPr>
          <w:rFonts w:ascii="Palatino Linotype" w:eastAsia="Palatino Linotype" w:hAnsi="Palatino Linotype" w:cs="Palatino Linotype"/>
          <w:color w:val="000000"/>
        </w:rPr>
        <w:t xml:space="preserve">El </w:t>
      </w:r>
      <w:r w:rsidRPr="00DC38C2">
        <w:rPr>
          <w:rFonts w:ascii="Palatino Linotype" w:eastAsia="Palatino Linotype" w:hAnsi="Palatino Linotype" w:cs="Palatino Linotype"/>
          <w:b/>
          <w:color w:val="000000"/>
        </w:rPr>
        <w:t>diez de junio de dos mil veintiséis</w:t>
      </w:r>
      <w:r w:rsidRPr="00DC38C2">
        <w:rPr>
          <w:rFonts w:ascii="Palatino Linotype" w:eastAsia="Palatino Linotype" w:hAnsi="Palatino Linotype" w:cs="Palatino Linotype"/>
          <w:color w:val="000000"/>
        </w:rPr>
        <w:t>, se notificó el acuerdo mediante el cual se amplió el plazo para emitir resolución por un término de 15 días adicionales.</w:t>
      </w:r>
    </w:p>
    <w:p w:rsidR="00783FB8" w:rsidRPr="00DC38C2" w:rsidRDefault="005F2828">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DC38C2">
        <w:rPr>
          <w:rFonts w:ascii="Palatino Linotype" w:eastAsia="Palatino Linotype" w:hAnsi="Palatino Linotype" w:cs="Palatino Linotype"/>
          <w:color w:val="000000"/>
        </w:rPr>
        <w:lastRenderedPageBreak/>
        <w:t xml:space="preserve">Finalmente, mediante acuerdo de </w:t>
      </w:r>
      <w:r w:rsidR="003F64C8" w:rsidRPr="00DC38C2">
        <w:rPr>
          <w:rFonts w:ascii="Palatino Linotype" w:eastAsia="Palatino Linotype" w:hAnsi="Palatino Linotype" w:cs="Palatino Linotype"/>
          <w:color w:val="000000"/>
        </w:rPr>
        <w:t xml:space="preserve">fecha </w:t>
      </w:r>
      <w:r w:rsidR="003F64C8" w:rsidRPr="00DC38C2">
        <w:rPr>
          <w:rFonts w:ascii="Palatino Linotype" w:eastAsia="Palatino Linotype" w:hAnsi="Palatino Linotype" w:cs="Palatino Linotype"/>
          <w:b/>
          <w:color w:val="000000"/>
        </w:rPr>
        <w:t xml:space="preserve">diecisiete de junio de dos mil veintiséis </w:t>
      </w:r>
      <w:r w:rsidRPr="00DC38C2">
        <w:rPr>
          <w:rFonts w:ascii="Palatino Linotype" w:eastAsia="Palatino Linotype" w:hAnsi="Palatino Linotype" w:cs="Palatino Linotype"/>
          <w:color w:val="000000"/>
        </w:rPr>
        <w:t>, se decretó el cierre de instrucción, por lo que no habiendo más que hacer constar, y</w:t>
      </w:r>
    </w:p>
    <w:p w:rsidR="00783FB8" w:rsidRPr="00DC38C2" w:rsidRDefault="00783FB8">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rsidR="00783FB8" w:rsidRPr="00DC38C2" w:rsidRDefault="005F2828">
      <w:pPr>
        <w:pStyle w:val="Ttulo1"/>
        <w:tabs>
          <w:tab w:val="left" w:pos="567"/>
        </w:tabs>
        <w:spacing w:before="0" w:line="360" w:lineRule="auto"/>
        <w:jc w:val="center"/>
        <w:rPr>
          <w:szCs w:val="24"/>
        </w:rPr>
      </w:pPr>
      <w:bookmarkStart w:id="7" w:name="_heading=h.tyjcwt" w:colFirst="0" w:colLast="0"/>
      <w:bookmarkEnd w:id="7"/>
      <w:r w:rsidRPr="00DC38C2">
        <w:rPr>
          <w:szCs w:val="24"/>
        </w:rPr>
        <w:t>C O N S I D E R A N D O</w:t>
      </w:r>
    </w:p>
    <w:p w:rsidR="00783FB8" w:rsidRPr="00DC38C2" w:rsidRDefault="00783FB8">
      <w:pPr>
        <w:spacing w:line="360" w:lineRule="auto"/>
        <w:rPr>
          <w:rFonts w:ascii="Palatino Linotype" w:eastAsia="Palatino Linotype" w:hAnsi="Palatino Linotype" w:cs="Palatino Linotype"/>
        </w:rPr>
      </w:pPr>
    </w:p>
    <w:p w:rsidR="00783FB8" w:rsidRPr="00DC38C2" w:rsidRDefault="005F2828">
      <w:pPr>
        <w:pStyle w:val="Ttulo1"/>
        <w:tabs>
          <w:tab w:val="left" w:pos="567"/>
        </w:tabs>
        <w:spacing w:before="0" w:line="360" w:lineRule="auto"/>
        <w:rPr>
          <w:b w:val="0"/>
          <w:szCs w:val="24"/>
        </w:rPr>
      </w:pPr>
      <w:bookmarkStart w:id="8" w:name="_heading=h.3dy6vkm" w:colFirst="0" w:colLast="0"/>
      <w:bookmarkEnd w:id="8"/>
      <w:r w:rsidRPr="00DC38C2">
        <w:rPr>
          <w:szCs w:val="24"/>
        </w:rPr>
        <w:t>PRIMERO. De la competencia</w:t>
      </w:r>
    </w:p>
    <w:p w:rsidR="00783FB8" w:rsidRPr="00DC38C2" w:rsidRDefault="005F2828" w:rsidP="007104B5">
      <w:pPr>
        <w:numPr>
          <w:ilvl w:val="0"/>
          <w:numId w:val="6"/>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 </w:t>
      </w:r>
      <w:r w:rsidR="007104B5" w:rsidRPr="00DC38C2">
        <w:rPr>
          <w:rFonts w:ascii="Palatino Linotype" w:hAnsi="Palatino Linotype"/>
          <w:color w:val="000000"/>
          <w:shd w:val="clear" w:color="auto" w:fill="FFFFFF"/>
        </w:rPr>
        <w:t>Este Instituto de Transparencia, Acceso a la Información Pública y Protección de Datos Personales del Estado de México y Municipios, es competente para conocer y resolver del presente recurso de conformidad con el artículo: 6, apartado A, fracción IV de la </w:t>
      </w:r>
      <w:r w:rsidR="007104B5" w:rsidRPr="00DC38C2">
        <w:rPr>
          <w:rFonts w:ascii="Palatino Linotype" w:hAnsi="Palatino Linotype"/>
          <w:b/>
          <w:bCs/>
          <w:color w:val="000000"/>
          <w:shd w:val="clear" w:color="auto" w:fill="FFFFFF"/>
        </w:rPr>
        <w:t>Constitución Política de los Estados Unidos Mexicanos</w:t>
      </w:r>
      <w:r w:rsidR="007104B5" w:rsidRPr="00DC38C2">
        <w:rPr>
          <w:rFonts w:ascii="Palatino Linotype" w:hAnsi="Palatino Linotype"/>
          <w:color w:val="000000"/>
          <w:shd w:val="clear" w:color="auto" w:fill="FFFFFF"/>
        </w:rPr>
        <w:t>; 5, párrafos trigésimo segundo, trigésimo tercero y trigésimo cuarto fracciones IV y V de la </w:t>
      </w:r>
      <w:r w:rsidR="007104B5" w:rsidRPr="00DC38C2">
        <w:rPr>
          <w:rFonts w:ascii="Palatino Linotype" w:hAnsi="Palatino Linotype"/>
          <w:b/>
          <w:bCs/>
          <w:color w:val="000000"/>
          <w:shd w:val="clear" w:color="auto" w:fill="FFFFFF"/>
        </w:rPr>
        <w:t>Constitución Política del Estado Libre y Soberano de México</w:t>
      </w:r>
      <w:r w:rsidR="007104B5" w:rsidRPr="00DC38C2">
        <w:rPr>
          <w:rFonts w:ascii="Palatino Linotype" w:hAnsi="Palatino Linotype"/>
          <w:color w:val="000000"/>
          <w:shd w:val="clear" w:color="auto" w:fill="FFFFFF"/>
        </w:rPr>
        <w:t>; artículos 1, 2 fracción II, 13, 29, 36 fracciones I y II, 176, 178, 179, 181 párrafo tercero y 185 de la </w:t>
      </w:r>
      <w:r w:rsidR="007104B5" w:rsidRPr="00DC38C2">
        <w:rPr>
          <w:rFonts w:ascii="Palatino Linotype" w:hAnsi="Palatino Linotype"/>
          <w:b/>
          <w:bCs/>
          <w:color w:val="000000"/>
          <w:shd w:val="clear" w:color="auto" w:fill="FFFFFF"/>
        </w:rPr>
        <w:t>Ley de Transparencia y Acceso a la Información Pública del Estado de México y Municipios</w:t>
      </w:r>
      <w:r w:rsidR="007104B5" w:rsidRPr="00DC38C2">
        <w:rPr>
          <w:rFonts w:ascii="Palatino Linotype" w:hAnsi="Palatino Linotype"/>
          <w:color w:val="000000"/>
          <w:shd w:val="clear" w:color="auto" w:fill="FFFFFF"/>
        </w:rPr>
        <w:t>; y 7, 9 fracciones I y XXIII, y 11 del </w:t>
      </w:r>
      <w:r w:rsidR="007104B5" w:rsidRPr="00DC38C2">
        <w:rPr>
          <w:rFonts w:ascii="Palatino Linotype" w:hAnsi="Palatino Linotype"/>
          <w:b/>
          <w:bCs/>
          <w:color w:val="000000"/>
          <w:shd w:val="clear" w:color="auto" w:fill="FFFFFF"/>
        </w:rPr>
        <w:t>Reglamento Interior del Instituto de Transparencia, Acceso a la Información Pública y Protección de Datos Personales del Estado de México y Municipios</w:t>
      </w:r>
      <w:r w:rsidR="007104B5" w:rsidRPr="00DC38C2">
        <w:rPr>
          <w:rFonts w:ascii="Palatino Linotype" w:hAnsi="Palatino Linotype"/>
          <w:color w:val="000000"/>
          <w:shd w:val="clear" w:color="auto" w:fill="FFFFFF"/>
        </w:rPr>
        <w:t>.</w:t>
      </w:r>
    </w:p>
    <w:p w:rsidR="007104B5" w:rsidRPr="00DC38C2" w:rsidRDefault="007104B5" w:rsidP="007104B5">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rsidR="00783FB8" w:rsidRPr="00DC38C2" w:rsidRDefault="005F2828">
      <w:pPr>
        <w:pStyle w:val="Ttulo2"/>
        <w:spacing w:before="0" w:line="360" w:lineRule="auto"/>
        <w:rPr>
          <w:color w:val="000000"/>
          <w:szCs w:val="24"/>
        </w:rPr>
      </w:pPr>
      <w:bookmarkStart w:id="9" w:name="_heading=h.1t3h5sf" w:colFirst="0" w:colLast="0"/>
      <w:bookmarkEnd w:id="9"/>
      <w:r w:rsidRPr="00DC38C2">
        <w:rPr>
          <w:color w:val="000000"/>
          <w:szCs w:val="24"/>
        </w:rPr>
        <w:t>SEGUNDO. De la oportunidad y procedencia.</w:t>
      </w:r>
    </w:p>
    <w:p w:rsidR="00783FB8" w:rsidRPr="00DC38C2" w:rsidRDefault="005F2828" w:rsidP="00CF6E66">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 El medio de impugnación fue presentado a través del </w:t>
      </w:r>
      <w:r w:rsidRPr="00DC38C2">
        <w:rPr>
          <w:rFonts w:ascii="Palatino Linotype" w:eastAsia="Palatino Linotype" w:hAnsi="Palatino Linotype" w:cs="Palatino Linotype"/>
          <w:b/>
          <w:color w:val="000000"/>
        </w:rPr>
        <w:t>SAIMEX,</w:t>
      </w:r>
      <w:r w:rsidRPr="00DC38C2">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DC38C2">
        <w:rPr>
          <w:rFonts w:ascii="Palatino Linotype" w:eastAsia="Palatino Linotype" w:hAnsi="Palatino Linotype" w:cs="Palatino Linotype"/>
          <w:b/>
          <w:color w:val="000000"/>
        </w:rPr>
        <w:t>SUJETO OBLIGADO</w:t>
      </w:r>
      <w:r w:rsidRPr="00DC38C2">
        <w:rPr>
          <w:rFonts w:ascii="Palatino Linotype" w:eastAsia="Palatino Linotype" w:hAnsi="Palatino Linotype" w:cs="Palatino Linotype"/>
          <w:color w:val="000000"/>
        </w:rPr>
        <w:t xml:space="preserve"> entregó su respuesta el </w:t>
      </w:r>
      <w:r w:rsidR="003F64C8" w:rsidRPr="00DC38C2">
        <w:rPr>
          <w:rFonts w:ascii="Palatino Linotype" w:eastAsia="Palatino Linotype" w:hAnsi="Palatino Linotype" w:cs="Palatino Linotype"/>
          <w:b/>
          <w:color w:val="000000"/>
        </w:rPr>
        <w:t>veintitrés de abril de dos mil veintiséis</w:t>
      </w:r>
      <w:r w:rsidRPr="00DC38C2">
        <w:rPr>
          <w:rFonts w:ascii="Palatino Linotype" w:eastAsia="Palatino Linotype" w:hAnsi="Palatino Linotype" w:cs="Palatino Linotype"/>
          <w:color w:val="000000"/>
        </w:rPr>
        <w:t xml:space="preserve">, de tal forma que el plazo para interponer el recurso de revisión transcurrió del </w:t>
      </w:r>
      <w:r w:rsidR="003F64C8" w:rsidRPr="00DC38C2">
        <w:rPr>
          <w:rFonts w:ascii="Palatino Linotype" w:eastAsia="Palatino Linotype" w:hAnsi="Palatino Linotype" w:cs="Palatino Linotype"/>
          <w:b/>
          <w:color w:val="000000"/>
        </w:rPr>
        <w:t>veinticuatro de abril al dieciocho de mayo de dos mil veintiséis</w:t>
      </w:r>
      <w:r w:rsidRPr="00DC38C2">
        <w:rPr>
          <w:rFonts w:ascii="Palatino Linotype" w:eastAsia="Palatino Linotype" w:hAnsi="Palatino Linotype" w:cs="Palatino Linotype"/>
          <w:color w:val="000000"/>
        </w:rPr>
        <w:t xml:space="preserve">; en consecuencia, el ahora </w:t>
      </w:r>
      <w:r w:rsidRPr="00DC38C2">
        <w:rPr>
          <w:rFonts w:ascii="Palatino Linotype" w:eastAsia="Palatino Linotype" w:hAnsi="Palatino Linotype" w:cs="Palatino Linotype"/>
          <w:b/>
          <w:color w:val="000000"/>
        </w:rPr>
        <w:t>RECURRENTE</w:t>
      </w:r>
      <w:r w:rsidRPr="00DC38C2">
        <w:rPr>
          <w:rFonts w:ascii="Palatino Linotype" w:eastAsia="Palatino Linotype" w:hAnsi="Palatino Linotype" w:cs="Palatino Linotype"/>
          <w:color w:val="000000"/>
        </w:rPr>
        <w:t xml:space="preserve"> presentó su inconformidad </w:t>
      </w:r>
      <w:r w:rsidRPr="00DC38C2">
        <w:rPr>
          <w:rFonts w:ascii="Palatino Linotype" w:eastAsia="Palatino Linotype" w:hAnsi="Palatino Linotype" w:cs="Palatino Linotype"/>
          <w:color w:val="000000"/>
        </w:rPr>
        <w:lastRenderedPageBreak/>
        <w:t xml:space="preserve">el </w:t>
      </w:r>
      <w:r w:rsidR="003F64C8" w:rsidRPr="00DC38C2">
        <w:rPr>
          <w:rFonts w:ascii="Palatino Linotype" w:eastAsia="Palatino Linotype" w:hAnsi="Palatino Linotype" w:cs="Palatino Linotype"/>
          <w:b/>
          <w:color w:val="000000"/>
        </w:rPr>
        <w:t xml:space="preserve">veintisiete de </w:t>
      </w:r>
      <w:r w:rsidR="00A84254" w:rsidRPr="00DC38C2">
        <w:rPr>
          <w:rFonts w:ascii="Palatino Linotype" w:eastAsia="Palatino Linotype" w:hAnsi="Palatino Linotype" w:cs="Palatino Linotype"/>
          <w:b/>
          <w:color w:val="000000"/>
        </w:rPr>
        <w:t>abril</w:t>
      </w:r>
      <w:r w:rsidR="003F64C8" w:rsidRPr="00DC38C2">
        <w:rPr>
          <w:rFonts w:ascii="Palatino Linotype" w:eastAsia="Palatino Linotype" w:hAnsi="Palatino Linotype" w:cs="Palatino Linotype"/>
          <w:b/>
          <w:color w:val="000000"/>
        </w:rPr>
        <w:t xml:space="preserve"> de dos mil veintiséis</w:t>
      </w:r>
      <w:r w:rsidRPr="00DC38C2">
        <w:rPr>
          <w:rFonts w:ascii="Palatino Linotype" w:eastAsia="Palatino Linotype" w:hAnsi="Palatino Linotype" w:cs="Palatino Linotype"/>
          <w:color w:val="000000"/>
        </w:rPr>
        <w:t>; por lo que se estima que la inconformidad se presentó dentro del lapso legalmente establecido para tal efecto.</w:t>
      </w:r>
    </w:p>
    <w:p w:rsidR="00783FB8" w:rsidRPr="00DC38C2" w:rsidRDefault="00783FB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CF6E66" w:rsidRPr="00DC38C2" w:rsidRDefault="00CF6E66" w:rsidP="00CF6E66">
      <w:pPr>
        <w:numPr>
          <w:ilvl w:val="0"/>
          <w:numId w:val="6"/>
        </w:numPr>
        <w:spacing w:line="360" w:lineRule="auto"/>
        <w:jc w:val="both"/>
        <w:rPr>
          <w:rFonts w:ascii="Palatino Linotype" w:eastAsia="Palatino Linotype" w:hAnsi="Palatino Linotype" w:cs="Palatino Linotype"/>
          <w:b/>
        </w:rPr>
      </w:pPr>
      <w:r w:rsidRPr="00DC38C2">
        <w:rPr>
          <w:rFonts w:ascii="Palatino Linotype" w:eastAsia="Palatino Linotype" w:hAnsi="Palatino Linotype" w:cs="Palatino Linotype"/>
        </w:rPr>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783FB8" w:rsidRPr="00DC38C2" w:rsidRDefault="00783FB8">
      <w:pPr>
        <w:spacing w:line="360" w:lineRule="auto"/>
        <w:rPr>
          <w:rFonts w:ascii="Palatino Linotype" w:eastAsia="Palatino Linotype" w:hAnsi="Palatino Linotype" w:cs="Palatino Linotype"/>
        </w:rPr>
      </w:pPr>
    </w:p>
    <w:p w:rsidR="00783FB8" w:rsidRPr="00DC38C2" w:rsidRDefault="005F2828">
      <w:pPr>
        <w:pStyle w:val="Ttulo1"/>
        <w:spacing w:before="0" w:line="360" w:lineRule="auto"/>
        <w:rPr>
          <w:color w:val="000000"/>
          <w:szCs w:val="24"/>
        </w:rPr>
      </w:pPr>
      <w:r w:rsidRPr="00DC38C2">
        <w:rPr>
          <w:color w:val="000000"/>
          <w:szCs w:val="24"/>
        </w:rPr>
        <w:t xml:space="preserve">TERCERO. Del planteamiento de la </w:t>
      </w:r>
      <w:r w:rsidRPr="00DC38C2">
        <w:rPr>
          <w:i/>
          <w:color w:val="000000"/>
          <w:szCs w:val="24"/>
        </w:rPr>
        <w:t>Litis</w:t>
      </w:r>
      <w:r w:rsidRPr="00DC38C2">
        <w:rPr>
          <w:color w:val="000000"/>
          <w:szCs w:val="24"/>
        </w:rPr>
        <w:t>.</w:t>
      </w:r>
    </w:p>
    <w:p w:rsidR="003F64C8" w:rsidRPr="00DC38C2" w:rsidRDefault="005F2828" w:rsidP="00CF6E66">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i/>
        </w:rPr>
      </w:pPr>
      <w:r w:rsidRPr="00DC38C2">
        <w:rPr>
          <w:rFonts w:ascii="Palatino Linotype" w:eastAsia="Palatino Linotype" w:hAnsi="Palatino Linotype" w:cs="Palatino Linotype"/>
          <w:color w:val="000000"/>
        </w:rPr>
        <w:t xml:space="preserve">De las constancias </w:t>
      </w:r>
      <w:r w:rsidR="00CF6E66" w:rsidRPr="00DC38C2">
        <w:rPr>
          <w:rFonts w:ascii="Palatino Linotype" w:eastAsia="Palatino Linotype" w:hAnsi="Palatino Linotype" w:cs="Palatino Linotype"/>
          <w:color w:val="000000"/>
        </w:rPr>
        <w:t xml:space="preserve">que integran el </w:t>
      </w:r>
      <w:r w:rsidRPr="00DC38C2">
        <w:rPr>
          <w:rFonts w:ascii="Palatino Linotype" w:eastAsia="Palatino Linotype" w:hAnsi="Palatino Linotype" w:cs="Palatino Linotype"/>
          <w:color w:val="000000"/>
        </w:rPr>
        <w:t>expediente al ru</w:t>
      </w:r>
      <w:r w:rsidR="00CF6E66" w:rsidRPr="00DC38C2">
        <w:rPr>
          <w:rFonts w:ascii="Palatino Linotype" w:eastAsia="Palatino Linotype" w:hAnsi="Palatino Linotype" w:cs="Palatino Linotype"/>
          <w:color w:val="000000"/>
        </w:rPr>
        <w:t>bro indicado, se desprende que el</w:t>
      </w:r>
      <w:r w:rsidRPr="00DC38C2">
        <w:rPr>
          <w:rFonts w:ascii="Palatino Linotype" w:eastAsia="Palatino Linotype" w:hAnsi="Palatino Linotype" w:cs="Palatino Linotype"/>
          <w:color w:val="000000"/>
        </w:rPr>
        <w:t xml:space="preserve"> particular solicitó</w:t>
      </w:r>
      <w:r w:rsidR="003F64C8" w:rsidRPr="00DC38C2">
        <w:rPr>
          <w:rFonts w:ascii="Palatino Linotype" w:eastAsia="Palatino Linotype" w:hAnsi="Palatino Linotype" w:cs="Palatino Linotype"/>
          <w:color w:val="000000"/>
        </w:rPr>
        <w:t xml:space="preserve"> </w:t>
      </w:r>
      <w:r w:rsidR="003F64C8" w:rsidRPr="00DC38C2">
        <w:rPr>
          <w:rFonts w:ascii="Palatino Linotype" w:eastAsia="Palatino Linotype" w:hAnsi="Palatino Linotype" w:cs="Palatino Linotype"/>
          <w:b/>
          <w:color w:val="000000"/>
        </w:rPr>
        <w:t>los recibos de nómina de la última quincena, es decir del 15 al 31 de marzo de dos mil veintiséis.</w:t>
      </w:r>
    </w:p>
    <w:p w:rsidR="00783FB8" w:rsidRPr="00DC38C2" w:rsidRDefault="00783FB8">
      <w:pPr>
        <w:pBdr>
          <w:top w:val="nil"/>
          <w:left w:val="nil"/>
          <w:bottom w:val="nil"/>
          <w:right w:val="nil"/>
          <w:between w:val="nil"/>
        </w:pBdr>
        <w:ind w:left="567" w:right="567"/>
        <w:jc w:val="both"/>
        <w:rPr>
          <w:rFonts w:ascii="Palatino Linotype" w:eastAsia="Palatino Linotype" w:hAnsi="Palatino Linotype" w:cs="Palatino Linotype"/>
          <w:i/>
        </w:rPr>
      </w:pPr>
    </w:p>
    <w:p w:rsidR="00CF6E66" w:rsidRPr="00DC38C2" w:rsidRDefault="005F2828" w:rsidP="002474B8">
      <w:pPr>
        <w:numPr>
          <w:ilvl w:val="0"/>
          <w:numId w:val="6"/>
        </w:num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En </w:t>
      </w:r>
      <w:r w:rsidR="003F64C8" w:rsidRPr="00DC38C2">
        <w:rPr>
          <w:rFonts w:ascii="Palatino Linotype" w:eastAsia="Palatino Linotype" w:hAnsi="Palatino Linotype" w:cs="Palatino Linotype"/>
          <w:color w:val="000000"/>
        </w:rPr>
        <w:t>consecuencia</w:t>
      </w:r>
      <w:r w:rsidRPr="00DC38C2">
        <w:rPr>
          <w:rFonts w:ascii="Palatino Linotype" w:eastAsia="Palatino Linotype" w:hAnsi="Palatino Linotype" w:cs="Palatino Linotype"/>
          <w:color w:val="000000"/>
        </w:rPr>
        <w:t xml:space="preserve"> el </w:t>
      </w:r>
      <w:r w:rsidRPr="00DC38C2">
        <w:rPr>
          <w:rFonts w:ascii="Palatino Linotype" w:eastAsia="Palatino Linotype" w:hAnsi="Palatino Linotype" w:cs="Palatino Linotype"/>
          <w:b/>
          <w:color w:val="000000"/>
        </w:rPr>
        <w:t>SUJETO OBLIGADO</w:t>
      </w:r>
      <w:r w:rsidR="003F64C8" w:rsidRPr="00DC38C2">
        <w:rPr>
          <w:rFonts w:ascii="Palatino Linotype" w:eastAsia="Palatino Linotype" w:hAnsi="Palatino Linotype" w:cs="Palatino Linotype"/>
          <w:b/>
          <w:color w:val="000000"/>
        </w:rPr>
        <w:t xml:space="preserve">, </w:t>
      </w:r>
      <w:r w:rsidR="003F64C8" w:rsidRPr="00DC38C2">
        <w:rPr>
          <w:rFonts w:ascii="Palatino Linotype" w:eastAsia="Palatino Linotype" w:hAnsi="Palatino Linotype" w:cs="Palatino Linotype"/>
          <w:color w:val="000000"/>
        </w:rPr>
        <w:t>brindo respuesta en términos del numeral 2 de la presente resolución.</w:t>
      </w:r>
    </w:p>
    <w:p w:rsidR="003F64C8" w:rsidRPr="00DC38C2" w:rsidRDefault="003F64C8" w:rsidP="003F64C8">
      <w:pPr>
        <w:pStyle w:val="Prrafodelista"/>
        <w:rPr>
          <w:rFonts w:ascii="Palatino Linotype" w:eastAsia="Palatino Linotype" w:hAnsi="Palatino Linotype" w:cs="Palatino Linotype"/>
          <w:color w:val="000000"/>
        </w:rPr>
      </w:pPr>
    </w:p>
    <w:p w:rsidR="00783FB8" w:rsidRPr="00DC38C2" w:rsidRDefault="005F2828">
      <w:pPr>
        <w:numPr>
          <w:ilvl w:val="0"/>
          <w:numId w:val="6"/>
        </w:num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Inconforme con la respuesta proporcionada, el </w:t>
      </w:r>
      <w:r w:rsidRPr="00DC38C2">
        <w:rPr>
          <w:rFonts w:ascii="Palatino Linotype" w:eastAsia="Palatino Linotype" w:hAnsi="Palatino Linotype" w:cs="Palatino Linotype"/>
          <w:b/>
          <w:color w:val="000000"/>
        </w:rPr>
        <w:t xml:space="preserve">RECURRENTE </w:t>
      </w:r>
      <w:r w:rsidRPr="00DC38C2">
        <w:rPr>
          <w:rFonts w:ascii="Palatino Linotype" w:eastAsia="Palatino Linotype" w:hAnsi="Palatino Linotype" w:cs="Palatino Linotype"/>
          <w:color w:val="000000"/>
        </w:rPr>
        <w:t xml:space="preserve">interpuso recurso de revisión arguyendo </w:t>
      </w:r>
      <w:r w:rsidRPr="00DC38C2">
        <w:rPr>
          <w:rFonts w:ascii="Palatino Linotype" w:eastAsia="Palatino Linotype" w:hAnsi="Palatino Linotype" w:cs="Palatino Linotype"/>
          <w:i/>
          <w:color w:val="000000"/>
        </w:rPr>
        <w:t xml:space="preserve">grosso modo </w:t>
      </w:r>
      <w:r w:rsidR="0099693D" w:rsidRPr="00DC38C2">
        <w:rPr>
          <w:rFonts w:ascii="Palatino Linotype" w:eastAsia="Palatino Linotype" w:hAnsi="Palatino Linotype" w:cs="Palatino Linotype"/>
          <w:color w:val="000000"/>
        </w:rPr>
        <w:t xml:space="preserve">la negativa a la información solicitada, por parte del </w:t>
      </w:r>
      <w:r w:rsidRPr="00DC38C2">
        <w:rPr>
          <w:rFonts w:ascii="Palatino Linotype" w:eastAsia="Palatino Linotype" w:hAnsi="Palatino Linotype" w:cs="Palatino Linotype"/>
          <w:b/>
          <w:color w:val="000000"/>
        </w:rPr>
        <w:t>SUJETO OBLIGADO</w:t>
      </w:r>
      <w:r w:rsidR="0099693D" w:rsidRPr="00DC38C2">
        <w:rPr>
          <w:rFonts w:ascii="Palatino Linotype" w:eastAsia="Palatino Linotype" w:hAnsi="Palatino Linotype" w:cs="Palatino Linotype"/>
          <w:b/>
          <w:color w:val="000000"/>
        </w:rPr>
        <w:t>.</w:t>
      </w:r>
    </w:p>
    <w:p w:rsidR="00783FB8" w:rsidRPr="00DC38C2" w:rsidRDefault="00783FB8">
      <w:pPr>
        <w:pBdr>
          <w:top w:val="nil"/>
          <w:left w:val="nil"/>
          <w:bottom w:val="nil"/>
          <w:right w:val="nil"/>
          <w:between w:val="nil"/>
        </w:pBdr>
        <w:ind w:left="567"/>
        <w:jc w:val="both"/>
        <w:rPr>
          <w:rFonts w:ascii="Palatino Linotype" w:eastAsia="Palatino Linotype" w:hAnsi="Palatino Linotype" w:cs="Palatino Linotype"/>
          <w:color w:val="000000"/>
        </w:rPr>
      </w:pP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b/>
          <w:color w:val="000000"/>
        </w:rPr>
      </w:pPr>
      <w:r w:rsidRPr="00DC38C2">
        <w:rPr>
          <w:rFonts w:ascii="Palatino Linotype" w:eastAsia="Palatino Linotype" w:hAnsi="Palatino Linotype" w:cs="Palatino Linotype"/>
          <w:color w:val="000000"/>
        </w:rPr>
        <w:t xml:space="preserve">En dichas condiciones, la </w:t>
      </w:r>
      <w:r w:rsidRPr="00DC38C2">
        <w:rPr>
          <w:rFonts w:ascii="Palatino Linotype" w:eastAsia="Palatino Linotype" w:hAnsi="Palatino Linotype" w:cs="Palatino Linotype"/>
          <w:i/>
          <w:color w:val="000000"/>
        </w:rPr>
        <w:t>Litis</w:t>
      </w:r>
      <w:r w:rsidRPr="00DC38C2">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sidR="0099693D" w:rsidRPr="00DC38C2">
        <w:rPr>
          <w:rFonts w:ascii="Palatino Linotype" w:eastAsia="Palatino Linotype" w:hAnsi="Palatino Linotype" w:cs="Palatino Linotype"/>
          <w:b/>
          <w:color w:val="000000"/>
        </w:rPr>
        <w:t xml:space="preserve">fracción </w:t>
      </w:r>
      <w:r w:rsidRPr="00DC38C2">
        <w:rPr>
          <w:rFonts w:ascii="Palatino Linotype" w:eastAsia="Palatino Linotype" w:hAnsi="Palatino Linotype" w:cs="Palatino Linotype"/>
          <w:b/>
          <w:color w:val="000000"/>
        </w:rPr>
        <w:t xml:space="preserve">I </w:t>
      </w:r>
      <w:r w:rsidRPr="00DC38C2">
        <w:rPr>
          <w:rFonts w:ascii="Palatino Linotype" w:eastAsia="Palatino Linotype" w:hAnsi="Palatino Linotype" w:cs="Palatino Linotype"/>
          <w:color w:val="000000"/>
        </w:rPr>
        <w:t>de la Ley</w:t>
      </w:r>
      <w:r w:rsidRPr="00DC38C2">
        <w:rPr>
          <w:rFonts w:ascii="Palatino Linotype" w:eastAsia="Palatino Linotype" w:hAnsi="Palatino Linotype" w:cs="Palatino Linotype"/>
          <w:b/>
          <w:color w:val="000000"/>
        </w:rPr>
        <w:t xml:space="preserve"> de Transparencia y Acceso a la Información Pública del Estado de </w:t>
      </w:r>
      <w:r w:rsidRPr="00DC38C2">
        <w:rPr>
          <w:rFonts w:ascii="Palatino Linotype" w:eastAsia="Palatino Linotype" w:hAnsi="Palatino Linotype" w:cs="Palatino Linotype"/>
          <w:color w:val="000000"/>
        </w:rPr>
        <w:t>México</w:t>
      </w:r>
      <w:r w:rsidRPr="00DC38C2">
        <w:rPr>
          <w:rFonts w:ascii="Palatino Linotype" w:eastAsia="Palatino Linotype" w:hAnsi="Palatino Linotype" w:cs="Palatino Linotype"/>
          <w:b/>
          <w:color w:val="000000"/>
        </w:rPr>
        <w:t xml:space="preserve"> y Municipios</w:t>
      </w:r>
      <w:r w:rsidRPr="00DC38C2">
        <w:rPr>
          <w:rFonts w:ascii="Palatino Linotype" w:eastAsia="Palatino Linotype" w:hAnsi="Palatino Linotype" w:cs="Palatino Linotype"/>
          <w:color w:val="000000"/>
        </w:rPr>
        <w:t xml:space="preserve">; fracción que determina la hipótesis jurídica relativa a la </w:t>
      </w:r>
      <w:r w:rsidR="0099693D" w:rsidRPr="00DC38C2">
        <w:rPr>
          <w:rFonts w:ascii="Palatino Linotype" w:eastAsia="Palatino Linotype" w:hAnsi="Palatino Linotype" w:cs="Palatino Linotype"/>
          <w:b/>
          <w:color w:val="000000"/>
        </w:rPr>
        <w:t xml:space="preserve">negativa a la información solicitada </w:t>
      </w:r>
      <w:r w:rsidRPr="00DC38C2">
        <w:rPr>
          <w:rFonts w:ascii="Palatino Linotype" w:eastAsia="Palatino Linotype" w:hAnsi="Palatino Linotype" w:cs="Palatino Linotype"/>
          <w:color w:val="000000"/>
        </w:rPr>
        <w:lastRenderedPageBreak/>
        <w:t xml:space="preserve">por el </w:t>
      </w:r>
      <w:r w:rsidRPr="00DC38C2">
        <w:rPr>
          <w:rFonts w:ascii="Palatino Linotype" w:eastAsia="Palatino Linotype" w:hAnsi="Palatino Linotype" w:cs="Palatino Linotype"/>
          <w:b/>
          <w:color w:val="000000"/>
        </w:rPr>
        <w:t>SUJETO OBLIGADO</w:t>
      </w:r>
      <w:r w:rsidRPr="00DC38C2">
        <w:rPr>
          <w:rFonts w:ascii="Palatino Linotype" w:eastAsia="Palatino Linotype" w:hAnsi="Palatino Linotype" w:cs="Palatino Linotype"/>
          <w:color w:val="000000"/>
        </w:rPr>
        <w:t xml:space="preserve">; contexto del cual se dolió </w:t>
      </w:r>
      <w:r w:rsidRPr="00DC38C2">
        <w:rPr>
          <w:rFonts w:ascii="Palatino Linotype" w:eastAsia="Palatino Linotype" w:hAnsi="Palatino Linotype" w:cs="Palatino Linotype"/>
          <w:b/>
          <w:color w:val="000000"/>
        </w:rPr>
        <w:t xml:space="preserve">EL RECURRENTE </w:t>
      </w:r>
      <w:r w:rsidRPr="00DC38C2">
        <w:rPr>
          <w:rFonts w:ascii="Palatino Linotype" w:eastAsia="Palatino Linotype" w:hAnsi="Palatino Linotype" w:cs="Palatino Linotype"/>
          <w:color w:val="000000"/>
        </w:rPr>
        <w:t>al momento de interponer su inconformidad.</w:t>
      </w:r>
    </w:p>
    <w:p w:rsidR="00783FB8" w:rsidRPr="00DC38C2" w:rsidRDefault="00783FB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De modo tal que el presente recurso de revisión se abocara en determinar si el </w:t>
      </w:r>
      <w:r w:rsidRPr="00DC38C2">
        <w:rPr>
          <w:rFonts w:ascii="Palatino Linotype" w:eastAsia="Palatino Linotype" w:hAnsi="Palatino Linotype" w:cs="Palatino Linotype"/>
          <w:b/>
          <w:color w:val="000000"/>
        </w:rPr>
        <w:t>SUJETO OBLIGADO</w:t>
      </w:r>
      <w:r w:rsidRPr="00DC38C2">
        <w:rPr>
          <w:rFonts w:ascii="Palatino Linotype" w:eastAsia="Palatino Linotype" w:hAnsi="Palatino Linotype" w:cs="Palatino Linotype"/>
          <w:color w:val="000000"/>
        </w:rPr>
        <w:t xml:space="preserve"> con su respuesta ciertamente actualizan las causales de procedencia</w:t>
      </w:r>
      <w:r w:rsidRPr="00DC38C2">
        <w:rPr>
          <w:rFonts w:ascii="Palatino Linotype" w:eastAsia="Palatino Linotype" w:hAnsi="Palatino Linotype" w:cs="Palatino Linotype"/>
          <w:b/>
          <w:color w:val="000000"/>
        </w:rPr>
        <w:t xml:space="preserve"> </w:t>
      </w:r>
      <w:r w:rsidRPr="00DC38C2">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783FB8" w:rsidRPr="00DC38C2" w:rsidRDefault="00783FB8">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b/>
          <w:color w:val="000000"/>
        </w:rPr>
      </w:pPr>
    </w:p>
    <w:p w:rsidR="00783FB8" w:rsidRPr="00DC38C2" w:rsidRDefault="005F2828">
      <w:pPr>
        <w:pStyle w:val="Ttulo1"/>
        <w:spacing w:before="0" w:line="360" w:lineRule="auto"/>
        <w:rPr>
          <w:b w:val="0"/>
          <w:color w:val="000000"/>
          <w:szCs w:val="24"/>
        </w:rPr>
      </w:pPr>
      <w:r w:rsidRPr="00DC38C2">
        <w:rPr>
          <w:color w:val="000000"/>
          <w:szCs w:val="24"/>
        </w:rPr>
        <w:t>CUARTO. Del estudio y resolución del asunto.</w:t>
      </w: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Acotada la </w:t>
      </w:r>
      <w:r w:rsidRPr="00DC38C2">
        <w:rPr>
          <w:rFonts w:ascii="Palatino Linotype" w:eastAsia="Palatino Linotype" w:hAnsi="Palatino Linotype" w:cs="Palatino Linotype"/>
          <w:i/>
          <w:color w:val="000000"/>
        </w:rPr>
        <w:t>Litis</w:t>
      </w:r>
      <w:r w:rsidRPr="00DC38C2">
        <w:rPr>
          <w:rFonts w:ascii="Palatino Linotype" w:eastAsia="Palatino Linotype" w:hAnsi="Palatino Linotype" w:cs="Palatino Linotype"/>
          <w:color w:val="000000"/>
        </w:rPr>
        <w:t xml:space="preserve"> del asunto de mérito, es dable puntualizar inicialmente en términos generales, que el Derecho de Acceso a la Información Pública es un Derecho Humano reconocido en el Pacto de Derechos Civiles y Políticos en su artículo 19.2; en la Convención 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rsidR="00783FB8" w:rsidRPr="00DC38C2" w:rsidRDefault="00783FB8">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Por su parte, la Ley General de Transparencia y Acceso a la Información Pública, dispone en su artículo 70 que la información que corresponde a las Obligaciones de Transparencia debe estar disponible para cualquier persona de manera permanente y actualizada. En materia local, el artículo 5°, fracción I de la Constitución Política del Estado </w:t>
      </w:r>
      <w:r w:rsidRPr="00DC38C2">
        <w:rPr>
          <w:rFonts w:ascii="Palatino Linotype" w:eastAsia="Palatino Linotype" w:hAnsi="Palatino Linotype" w:cs="Palatino Linotype"/>
          <w:color w:val="000000"/>
        </w:rPr>
        <w:lastRenderedPageBreak/>
        <w:t>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rsidR="00783FB8" w:rsidRPr="00DC38C2" w:rsidRDefault="00783FB8">
      <w:pPr>
        <w:spacing w:line="360" w:lineRule="auto"/>
        <w:jc w:val="both"/>
        <w:rPr>
          <w:rFonts w:ascii="Palatino Linotype" w:eastAsia="Palatino Linotype" w:hAnsi="Palatino Linotype" w:cs="Palatino Linotype"/>
        </w:rPr>
      </w:pP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En el mismo sentido, la Ley de Transparencia y Acceso a la Información Pública del Estado de México y Municipios (Reglamentaria del artículo 5° de la Constitución Local), establece en su artículo 12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783FB8" w:rsidRPr="00DC38C2" w:rsidRDefault="00783FB8">
      <w:pPr>
        <w:pBdr>
          <w:top w:val="nil"/>
          <w:left w:val="nil"/>
          <w:bottom w:val="nil"/>
          <w:right w:val="nil"/>
          <w:between w:val="nil"/>
        </w:pBdr>
        <w:spacing w:line="360" w:lineRule="auto"/>
        <w:ind w:left="708"/>
        <w:rPr>
          <w:rFonts w:ascii="Palatino Linotype" w:eastAsia="Palatino Linotype" w:hAnsi="Palatino Linotype" w:cs="Palatino Linotype"/>
          <w:color w:val="000000"/>
        </w:rPr>
      </w:pP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Finalmente,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783FB8" w:rsidRPr="00DC38C2" w:rsidRDefault="00783FB8">
      <w:pPr>
        <w:spacing w:line="360" w:lineRule="auto"/>
        <w:rPr>
          <w:rFonts w:ascii="Palatino Linotype" w:eastAsia="Palatino Linotype" w:hAnsi="Palatino Linotype" w:cs="Palatino Linotype"/>
        </w:rPr>
      </w:pPr>
    </w:p>
    <w:p w:rsidR="00783FB8" w:rsidRPr="00DC38C2" w:rsidRDefault="005F2828">
      <w:pPr>
        <w:numPr>
          <w:ilvl w:val="0"/>
          <w:numId w:val="5"/>
        </w:numPr>
        <w:pBdr>
          <w:top w:val="nil"/>
          <w:left w:val="nil"/>
          <w:bottom w:val="nil"/>
          <w:right w:val="nil"/>
          <w:between w:val="nil"/>
        </w:pBdr>
        <w:spacing w:line="360" w:lineRule="auto"/>
        <w:ind w:right="757"/>
        <w:jc w:val="both"/>
        <w:rPr>
          <w:rFonts w:ascii="Palatino Linotype" w:eastAsia="Palatino Linotype" w:hAnsi="Palatino Linotype" w:cs="Palatino Linotype"/>
          <w:b/>
          <w:color w:val="000000"/>
        </w:rPr>
      </w:pPr>
      <w:r w:rsidRPr="00DC38C2">
        <w:rPr>
          <w:rFonts w:ascii="Palatino Linotype" w:eastAsia="Palatino Linotype" w:hAnsi="Palatino Linotype" w:cs="Palatino Linotype"/>
          <w:b/>
          <w:color w:val="000000"/>
        </w:rPr>
        <w:t>Estudio de fondo</w:t>
      </w: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Acotada la </w:t>
      </w:r>
      <w:r w:rsidRPr="00DC38C2">
        <w:rPr>
          <w:rFonts w:ascii="Palatino Linotype" w:eastAsia="Palatino Linotype" w:hAnsi="Palatino Linotype" w:cs="Palatino Linotype"/>
          <w:i/>
          <w:color w:val="000000"/>
        </w:rPr>
        <w:t>Litis</w:t>
      </w:r>
      <w:r w:rsidRPr="00DC38C2">
        <w:rPr>
          <w:rFonts w:ascii="Palatino Linotype" w:eastAsia="Palatino Linotype" w:hAnsi="Palatino Linotype" w:cs="Palatino Linotype"/>
          <w:color w:val="000000"/>
        </w:rPr>
        <w:t xml:space="preserve"> del presente asunto, es de recordar que la respuesta versó en realizar un cambio de modalidad de entrega de la información a consulta directa, sin embargo no adjuntan el Acta de Comité que sustenta dicho cambio, ni mucho menos existe evidencia de que hayan realizado la validación ante la Dirección d</w:t>
      </w:r>
      <w:r w:rsidR="0099693D" w:rsidRPr="00DC38C2">
        <w:rPr>
          <w:rFonts w:ascii="Palatino Linotype" w:eastAsia="Palatino Linotype" w:hAnsi="Palatino Linotype" w:cs="Palatino Linotype"/>
          <w:color w:val="000000"/>
        </w:rPr>
        <w:t xml:space="preserve">e Informática de este Instituto, ello </w:t>
      </w:r>
      <w:r w:rsidR="0099693D" w:rsidRPr="00DC38C2">
        <w:rPr>
          <w:rFonts w:ascii="Palatino Linotype" w:eastAsia="Palatino Linotype" w:hAnsi="Palatino Linotype" w:cs="Palatino Linotype"/>
          <w:color w:val="000000"/>
        </w:rPr>
        <w:lastRenderedPageBreak/>
        <w:t xml:space="preserve">aunado a que la información que se requiere no rebasa la capacidad del Sistema de Acceso a la información Mexiquense (SAIMEX), ni mucho menos requiere el procesamiento de la información tal como lo advierte el </w:t>
      </w:r>
      <w:r w:rsidR="0099693D" w:rsidRPr="00DC38C2">
        <w:rPr>
          <w:rFonts w:ascii="Palatino Linotype" w:eastAsia="Palatino Linotype" w:hAnsi="Palatino Linotype" w:cs="Palatino Linotype"/>
          <w:b/>
          <w:color w:val="000000"/>
        </w:rPr>
        <w:t xml:space="preserve">SUJETO OBLIGADO, </w:t>
      </w:r>
      <w:r w:rsidR="0099693D" w:rsidRPr="00DC38C2">
        <w:rPr>
          <w:rFonts w:ascii="Palatino Linotype" w:eastAsia="Palatino Linotype" w:hAnsi="Palatino Linotype" w:cs="Palatino Linotype"/>
          <w:color w:val="000000"/>
        </w:rPr>
        <w:t>pretendiendo justificar el cambio de modalidad.</w:t>
      </w:r>
    </w:p>
    <w:p w:rsidR="00783FB8" w:rsidRPr="00DC38C2" w:rsidRDefault="00783FB8">
      <w:pPr>
        <w:spacing w:line="360" w:lineRule="auto"/>
        <w:ind w:right="48"/>
        <w:jc w:val="both"/>
        <w:rPr>
          <w:rFonts w:ascii="Palatino Linotype" w:eastAsia="Palatino Linotype" w:hAnsi="Palatino Linotype" w:cs="Palatino Linotype"/>
          <w:color w:val="000000"/>
        </w:rPr>
      </w:pP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Primeramente resulta necesario referir que, el </w:t>
      </w:r>
      <w:r w:rsidRPr="00DC38C2">
        <w:rPr>
          <w:rFonts w:ascii="Palatino Linotype" w:eastAsia="Palatino Linotype" w:hAnsi="Palatino Linotype" w:cs="Palatino Linotype"/>
          <w:b/>
          <w:color w:val="000000"/>
        </w:rPr>
        <w:t>SUJETO OBLIGADO</w:t>
      </w:r>
      <w:r w:rsidRPr="00DC38C2">
        <w:rPr>
          <w:rFonts w:ascii="Palatino Linotype" w:eastAsia="Palatino Linotype" w:hAnsi="Palatino Linotype" w:cs="Palatino Linotype"/>
          <w:color w:val="000000"/>
        </w:rPr>
        <w:t xml:space="preserve"> asume de manera expresa que genera, posee y administra lo solicitado, tan es así </w:t>
      </w:r>
      <w:r w:rsidR="00F72FD4" w:rsidRPr="00DC38C2">
        <w:rPr>
          <w:rFonts w:ascii="Palatino Linotype" w:eastAsia="Palatino Linotype" w:hAnsi="Palatino Linotype" w:cs="Palatino Linotype"/>
          <w:color w:val="000000"/>
        </w:rPr>
        <w:t xml:space="preserve">que </w:t>
      </w:r>
      <w:r w:rsidRPr="00DC38C2">
        <w:rPr>
          <w:rFonts w:ascii="Palatino Linotype" w:eastAsia="Palatino Linotype" w:hAnsi="Palatino Linotype" w:cs="Palatino Linotype"/>
          <w:color w:val="000000"/>
        </w:rPr>
        <w:t xml:space="preserve">ofrece al particular </w:t>
      </w:r>
      <w:r w:rsidR="00F72FD4" w:rsidRPr="00DC38C2">
        <w:rPr>
          <w:rFonts w:ascii="Palatino Linotype" w:eastAsia="Palatino Linotype" w:hAnsi="Palatino Linotype" w:cs="Palatino Linotype"/>
          <w:color w:val="000000"/>
        </w:rPr>
        <w:t xml:space="preserve">que la información sea en </w:t>
      </w:r>
      <w:r w:rsidRPr="00DC38C2">
        <w:rPr>
          <w:rFonts w:ascii="Palatino Linotype" w:eastAsia="Palatino Linotype" w:hAnsi="Palatino Linotype" w:cs="Palatino Linotype"/>
          <w:color w:val="000000"/>
        </w:rPr>
        <w:t>consulta directa con las formalidades que ya han sido precisadas en líneas anteriores.</w:t>
      </w:r>
    </w:p>
    <w:p w:rsidR="00783FB8" w:rsidRPr="00DC38C2" w:rsidRDefault="00783FB8">
      <w:pPr>
        <w:pBdr>
          <w:top w:val="nil"/>
          <w:left w:val="nil"/>
          <w:bottom w:val="nil"/>
          <w:right w:val="nil"/>
          <w:between w:val="nil"/>
        </w:pBdr>
        <w:ind w:left="720"/>
        <w:rPr>
          <w:rFonts w:ascii="Palatino Linotype" w:eastAsia="Palatino Linotype" w:hAnsi="Palatino Linotype" w:cs="Palatino Linotype"/>
          <w:color w:val="000000"/>
        </w:rPr>
      </w:pP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Al respecto es de suma importancia aclarar que el </w:t>
      </w:r>
      <w:r w:rsidRPr="00DC38C2">
        <w:rPr>
          <w:rFonts w:ascii="Palatino Linotype" w:eastAsia="Palatino Linotype" w:hAnsi="Palatino Linotype" w:cs="Palatino Linotype"/>
          <w:b/>
          <w:color w:val="000000"/>
        </w:rPr>
        <w:t>SUEJTO OBLIGADO</w:t>
      </w:r>
      <w:r w:rsidRPr="00DC38C2">
        <w:rPr>
          <w:rFonts w:ascii="Palatino Linotype" w:eastAsia="Palatino Linotype" w:hAnsi="Palatino Linotype" w:cs="Palatino Linotype"/>
          <w:color w:val="000000"/>
        </w:rPr>
        <w:t xml:space="preserve">, señaló </w:t>
      </w:r>
      <w:r w:rsidR="00EA62BC" w:rsidRPr="00DC38C2">
        <w:rPr>
          <w:rFonts w:ascii="Palatino Linotype" w:eastAsia="Palatino Linotype" w:hAnsi="Palatino Linotype" w:cs="Palatino Linotype"/>
          <w:color w:val="000000"/>
        </w:rPr>
        <w:t xml:space="preserve">que el particular podría acudir a </w:t>
      </w:r>
      <w:r w:rsidRPr="00DC38C2">
        <w:rPr>
          <w:rFonts w:ascii="Palatino Linotype" w:eastAsia="Palatino Linotype" w:hAnsi="Palatino Linotype" w:cs="Palatino Linotype"/>
          <w:color w:val="000000"/>
        </w:rPr>
        <w:t xml:space="preserve">la consulta directa </w:t>
      </w:r>
      <w:r w:rsidR="002474B8" w:rsidRPr="00DC38C2">
        <w:rPr>
          <w:rFonts w:ascii="Palatino Linotype" w:eastAsia="Palatino Linotype" w:hAnsi="Palatino Linotype" w:cs="Palatino Linotype"/>
          <w:color w:val="000000"/>
        </w:rPr>
        <w:t xml:space="preserve">de </w:t>
      </w:r>
      <w:r w:rsidR="00F72FD4" w:rsidRPr="00DC38C2">
        <w:rPr>
          <w:rFonts w:ascii="Palatino Linotype" w:eastAsia="Palatino Linotype" w:hAnsi="Palatino Linotype" w:cs="Palatino Linotype"/>
          <w:color w:val="000000"/>
        </w:rPr>
        <w:t xml:space="preserve">la </w:t>
      </w:r>
      <w:r w:rsidR="002474B8" w:rsidRPr="00DC38C2">
        <w:rPr>
          <w:rFonts w:ascii="Palatino Linotype" w:eastAsia="Palatino Linotype" w:hAnsi="Palatino Linotype" w:cs="Palatino Linotype"/>
          <w:color w:val="000000"/>
        </w:rPr>
        <w:t>Nómina correspondiente, dentro de las oficinas que ocupa la</w:t>
      </w:r>
      <w:r w:rsidR="00F72FD4" w:rsidRPr="00DC38C2">
        <w:rPr>
          <w:rFonts w:ascii="Palatino Linotype" w:eastAsia="Palatino Linotype" w:hAnsi="Palatino Linotype" w:cs="Palatino Linotype"/>
          <w:color w:val="000000"/>
        </w:rPr>
        <w:t xml:space="preserve"> Tesorería Municipal</w:t>
      </w:r>
      <w:r w:rsidR="002474B8" w:rsidRPr="00DC38C2">
        <w:rPr>
          <w:rFonts w:ascii="Palatino Linotype" w:eastAsia="Palatino Linotype" w:hAnsi="Palatino Linotype" w:cs="Palatino Linotype"/>
          <w:color w:val="000000"/>
        </w:rPr>
        <w:t>, toda vez que implica</w:t>
      </w:r>
      <w:r w:rsidR="00F72FD4" w:rsidRPr="00DC38C2">
        <w:rPr>
          <w:rFonts w:ascii="Palatino Linotype" w:eastAsia="Palatino Linotype" w:hAnsi="Palatino Linotype" w:cs="Palatino Linotype"/>
          <w:color w:val="000000"/>
        </w:rPr>
        <w:t xml:space="preserve"> el procesamiento de documentos</w:t>
      </w:r>
      <w:r w:rsidRPr="00DC38C2">
        <w:rPr>
          <w:rFonts w:ascii="Palatino Linotype" w:eastAsia="Palatino Linotype" w:hAnsi="Palatino Linotype" w:cs="Palatino Linotype"/>
          <w:color w:val="000000"/>
        </w:rPr>
        <w:t>.</w:t>
      </w:r>
    </w:p>
    <w:p w:rsidR="00783FB8" w:rsidRPr="00DC38C2" w:rsidRDefault="00783FB8">
      <w:pPr>
        <w:pBdr>
          <w:top w:val="nil"/>
          <w:left w:val="nil"/>
          <w:bottom w:val="nil"/>
          <w:right w:val="nil"/>
          <w:between w:val="nil"/>
        </w:pBdr>
        <w:ind w:left="720"/>
        <w:rPr>
          <w:rFonts w:ascii="Palatino Linotype" w:eastAsia="Palatino Linotype" w:hAnsi="Palatino Linotype" w:cs="Palatino Linotype"/>
          <w:color w:val="000000"/>
        </w:rPr>
      </w:pP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Aclarado lo anterior, un segundo aspecto que resulta importante establecer, es que debido a que el mismo </w:t>
      </w:r>
      <w:r w:rsidRPr="00DC38C2">
        <w:rPr>
          <w:rFonts w:ascii="Palatino Linotype" w:eastAsia="Palatino Linotype" w:hAnsi="Palatino Linotype" w:cs="Palatino Linotype"/>
          <w:b/>
          <w:color w:val="000000"/>
        </w:rPr>
        <w:t>SUJETO OBLIGADO</w:t>
      </w:r>
      <w:r w:rsidRPr="00DC38C2">
        <w:rPr>
          <w:rFonts w:ascii="Palatino Linotype" w:eastAsia="Palatino Linotype" w:hAnsi="Palatino Linotype" w:cs="Palatino Linotype"/>
          <w:color w:val="000000"/>
        </w:rPr>
        <w:t xml:space="preserve"> admite ser poseedor de la información, no es necesario estudiar si este es competente para conocer y en su caso dar respuesta a las solicitudes, pues al manifestar que pone a disposición la información en consulta directa, este reconoce contar con la misma. </w:t>
      </w:r>
    </w:p>
    <w:p w:rsidR="00783FB8" w:rsidRPr="00DC38C2" w:rsidRDefault="00783FB8">
      <w:pPr>
        <w:pBdr>
          <w:top w:val="nil"/>
          <w:left w:val="nil"/>
          <w:bottom w:val="nil"/>
          <w:right w:val="nil"/>
          <w:between w:val="nil"/>
        </w:pBdr>
        <w:ind w:left="720"/>
        <w:rPr>
          <w:rFonts w:ascii="Palatino Linotype" w:eastAsia="Palatino Linotype" w:hAnsi="Palatino Linotype" w:cs="Palatino Linotype"/>
          <w:color w:val="000000"/>
        </w:rPr>
      </w:pP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En efecto, el hecho de que </w:t>
      </w:r>
      <w:r w:rsidRPr="00DC38C2">
        <w:rPr>
          <w:rFonts w:ascii="Palatino Linotype" w:eastAsia="Palatino Linotype" w:hAnsi="Palatino Linotype" w:cs="Palatino Linotype"/>
          <w:b/>
          <w:color w:val="000000"/>
        </w:rPr>
        <w:t>EL SUJETO OBLIGADO</w:t>
      </w:r>
      <w:r w:rsidRPr="00DC38C2">
        <w:rPr>
          <w:rFonts w:ascii="Palatino Linotype" w:eastAsia="Palatino Linotype" w:hAnsi="Palatino Linotype" w:cs="Palatino Linotype"/>
          <w:color w:val="000000"/>
        </w:rPr>
        <w:t xml:space="preserve"> se haya pronunciado respecto de la información requerida por </w:t>
      </w:r>
      <w:r w:rsidRPr="00DC38C2">
        <w:rPr>
          <w:rFonts w:ascii="Palatino Linotype" w:eastAsia="Palatino Linotype" w:hAnsi="Palatino Linotype" w:cs="Palatino Linotype"/>
          <w:b/>
          <w:color w:val="000000"/>
        </w:rPr>
        <w:t>EL RECURRENTE</w:t>
      </w:r>
      <w:r w:rsidRPr="00DC38C2">
        <w:rPr>
          <w:rFonts w:ascii="Palatino Linotype" w:eastAsia="Palatino Linotype" w:hAnsi="Palatino Linotype" w:cs="Palatino Linotype"/>
          <w:color w:val="000000"/>
        </w:rPr>
        <w:t xml:space="preserve">, acepta que genera, posee y administra dicha información, en ejercicio de sus funciones de derecho público, motivo por el cual se </w:t>
      </w:r>
      <w:r w:rsidRPr="00DC38C2">
        <w:rPr>
          <w:rFonts w:ascii="Palatino Linotype" w:eastAsia="Palatino Linotype" w:hAnsi="Palatino Linotype" w:cs="Palatino Linotype"/>
          <w:color w:val="000000"/>
        </w:rPr>
        <w:lastRenderedPageBreak/>
        <w:t>actualiza el supuesto jurídico, previsto en el artículo 12 de la Ley de Transparencia y Acceso a la Información Pública del Estado de México y Municipios.</w:t>
      </w:r>
    </w:p>
    <w:p w:rsidR="00783FB8" w:rsidRPr="00DC38C2" w:rsidRDefault="00783FB8">
      <w:pPr>
        <w:pBdr>
          <w:top w:val="nil"/>
          <w:left w:val="nil"/>
          <w:bottom w:val="nil"/>
          <w:right w:val="nil"/>
          <w:between w:val="nil"/>
        </w:pBdr>
        <w:ind w:left="720"/>
        <w:rPr>
          <w:rFonts w:ascii="Palatino Linotype" w:eastAsia="Palatino Linotype" w:hAnsi="Palatino Linotype" w:cs="Palatino Linotype"/>
          <w:color w:val="000000"/>
        </w:rPr>
      </w:pP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En atención a ello es importante invocar el contenido del artículo 12 antes mencionado así como el 4 de la Ley de Transparencia y Acceso a la Información Pública del Estado de México y Municipios, mismos que son del tenor siguiente:</w:t>
      </w:r>
    </w:p>
    <w:p w:rsidR="00783FB8" w:rsidRPr="00DC38C2" w:rsidRDefault="005F2828">
      <w:pPr>
        <w:spacing w:line="360" w:lineRule="auto"/>
        <w:ind w:left="567" w:right="709"/>
        <w:jc w:val="both"/>
        <w:rPr>
          <w:rFonts w:ascii="Palatino Linotype" w:eastAsia="Palatino Linotype" w:hAnsi="Palatino Linotype" w:cs="Palatino Linotype"/>
        </w:rPr>
      </w:pPr>
      <w:r w:rsidRPr="00DC38C2">
        <w:rPr>
          <w:rFonts w:ascii="Palatino Linotype" w:eastAsia="Palatino Linotype" w:hAnsi="Palatino Linotype" w:cs="Palatino Linotype"/>
          <w:i/>
        </w:rPr>
        <w:t>“</w:t>
      </w:r>
      <w:r w:rsidRPr="00DC38C2">
        <w:rPr>
          <w:rFonts w:ascii="Palatino Linotype" w:eastAsia="Palatino Linotype" w:hAnsi="Palatino Linotype" w:cs="Palatino Linotype"/>
          <w:b/>
          <w:i/>
        </w:rPr>
        <w:t>Artículo 4.</w:t>
      </w:r>
      <w:r w:rsidRPr="00DC38C2">
        <w:rPr>
          <w:rFonts w:ascii="Palatino Linotype" w:eastAsia="Palatino Linotype" w:hAnsi="Palatino Linotype" w:cs="Palatino Linotype"/>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783FB8" w:rsidRPr="00DC38C2" w:rsidRDefault="005F2828">
      <w:pPr>
        <w:spacing w:line="360" w:lineRule="auto"/>
        <w:ind w:left="567" w:right="709"/>
        <w:jc w:val="both"/>
        <w:rPr>
          <w:rFonts w:ascii="Palatino Linotype" w:eastAsia="Palatino Linotype" w:hAnsi="Palatino Linotype" w:cs="Palatino Linotype"/>
        </w:rPr>
      </w:pPr>
      <w:r w:rsidRPr="00DC38C2">
        <w:rPr>
          <w:rFonts w:ascii="Palatino Linotype" w:eastAsia="Palatino Linotype" w:hAnsi="Palatino Linotype" w:cs="Palatino Linotype"/>
          <w:b/>
          <w:i/>
        </w:rPr>
        <w:t>Toda la información generada, obtenida, adquirida, transformada, administrada o en posesión de los sujetos obligados es pública y accesible de manera permanente a cualquier persona</w:t>
      </w:r>
      <w:r w:rsidRPr="00DC38C2">
        <w:rPr>
          <w:rFonts w:ascii="Palatino Linotype" w:eastAsia="Palatino Linotype" w:hAnsi="Palatino Linotype" w:cs="Palatino Linotype"/>
          <w:i/>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783FB8" w:rsidRPr="00DC38C2" w:rsidRDefault="005F2828">
      <w:pPr>
        <w:spacing w:line="360" w:lineRule="auto"/>
        <w:ind w:left="567" w:right="709"/>
        <w:jc w:val="both"/>
        <w:rPr>
          <w:rFonts w:ascii="Palatino Linotype" w:eastAsia="Palatino Linotype" w:hAnsi="Palatino Linotype" w:cs="Palatino Linotype"/>
        </w:rPr>
      </w:pPr>
      <w:r w:rsidRPr="00DC38C2">
        <w:rPr>
          <w:rFonts w:ascii="Palatino Linotype" w:eastAsia="Palatino Linotype" w:hAnsi="Palatino Linotype" w:cs="Palatino Linotype"/>
          <w:i/>
        </w:rPr>
        <w:t>Los sujetos obligados deben poner en práctica, políticas y programas de acceso a la información que se apeguen a criterios de publicidad, veracidad, oportunidad, precisión y suficiencia en beneficio de los solicitantes.</w:t>
      </w:r>
    </w:p>
    <w:p w:rsidR="00783FB8" w:rsidRPr="00DC38C2" w:rsidRDefault="00783FB8">
      <w:pPr>
        <w:spacing w:line="360" w:lineRule="auto"/>
        <w:ind w:left="567" w:right="709"/>
        <w:rPr>
          <w:rFonts w:ascii="Palatino Linotype" w:eastAsia="Palatino Linotype" w:hAnsi="Palatino Linotype" w:cs="Palatino Linotype"/>
        </w:rPr>
      </w:pPr>
    </w:p>
    <w:p w:rsidR="00783FB8" w:rsidRPr="00DC38C2" w:rsidRDefault="005F2828">
      <w:pPr>
        <w:spacing w:line="360" w:lineRule="auto"/>
        <w:ind w:left="567" w:right="709"/>
        <w:jc w:val="both"/>
        <w:rPr>
          <w:rFonts w:ascii="Palatino Linotype" w:eastAsia="Palatino Linotype" w:hAnsi="Palatino Linotype" w:cs="Palatino Linotype"/>
        </w:rPr>
      </w:pPr>
      <w:r w:rsidRPr="00DC38C2">
        <w:rPr>
          <w:rFonts w:ascii="Palatino Linotype" w:eastAsia="Palatino Linotype" w:hAnsi="Palatino Linotype" w:cs="Palatino Linotype"/>
          <w:b/>
          <w:i/>
        </w:rPr>
        <w:t>Artículo 12.</w:t>
      </w:r>
      <w:r w:rsidRPr="00DC38C2">
        <w:rPr>
          <w:rFonts w:ascii="Palatino Linotype" w:eastAsia="Palatino Linotype" w:hAnsi="Palatino Linotype" w:cs="Palatino Linotype"/>
          <w:i/>
        </w:rPr>
        <w:t xml:space="preserve"> Quienes generen, recopilen, administren, manejen, procesen, archiven o conserven información pública serán responsables de la misma en los términos de las disposiciones jurídicas aplicables.</w:t>
      </w:r>
    </w:p>
    <w:p w:rsidR="00783FB8" w:rsidRPr="00DC38C2" w:rsidRDefault="005F2828">
      <w:pPr>
        <w:spacing w:line="360" w:lineRule="auto"/>
        <w:ind w:left="567" w:right="709"/>
        <w:jc w:val="both"/>
        <w:rPr>
          <w:rFonts w:ascii="Palatino Linotype" w:eastAsia="Palatino Linotype" w:hAnsi="Palatino Linotype" w:cs="Palatino Linotype"/>
        </w:rPr>
      </w:pPr>
      <w:r w:rsidRPr="00DC38C2">
        <w:rPr>
          <w:rFonts w:ascii="Palatino Linotype" w:eastAsia="Palatino Linotype" w:hAnsi="Palatino Linotype" w:cs="Palatino Linotype"/>
          <w:b/>
          <w:i/>
        </w:rPr>
        <w:lastRenderedPageBreak/>
        <w:t>Los sujetos obligados sólo proporcionarán la información pública que se les requiera y que obre en sus archivos y en el estado en que ésta se encuentre.</w:t>
      </w:r>
      <w:r w:rsidRPr="00DC38C2">
        <w:rPr>
          <w:rFonts w:ascii="Palatino Linotype" w:eastAsia="Palatino Linotype" w:hAnsi="Palatino Linotype" w:cs="Palatino Linotype"/>
          <w:i/>
        </w:rPr>
        <w:t xml:space="preserve"> La obligación de proporcionar información no comprende el procesamiento de la misma, ni el presentarla conforme al interés del solicitante; no estarán obligados a generarla, resumirla, efectuar cálculos o practicar investigaciones.” </w:t>
      </w:r>
    </w:p>
    <w:p w:rsidR="00783FB8" w:rsidRPr="00DC38C2" w:rsidRDefault="005F2828">
      <w:pPr>
        <w:spacing w:line="360" w:lineRule="auto"/>
        <w:ind w:left="567" w:right="709"/>
        <w:jc w:val="both"/>
        <w:rPr>
          <w:rFonts w:ascii="Palatino Linotype" w:eastAsia="Palatino Linotype" w:hAnsi="Palatino Linotype" w:cs="Palatino Linotype"/>
        </w:rPr>
      </w:pPr>
      <w:r w:rsidRPr="00DC38C2">
        <w:rPr>
          <w:rFonts w:ascii="Palatino Linotype" w:eastAsia="Palatino Linotype" w:hAnsi="Palatino Linotype" w:cs="Palatino Linotype"/>
        </w:rPr>
        <w:t>(Énfasis añadido)</w:t>
      </w:r>
    </w:p>
    <w:p w:rsidR="00783FB8" w:rsidRPr="00DC38C2" w:rsidRDefault="00783FB8">
      <w:pPr>
        <w:spacing w:line="360" w:lineRule="auto"/>
        <w:ind w:left="851" w:right="901"/>
        <w:jc w:val="both"/>
        <w:rPr>
          <w:rFonts w:ascii="Palatino Linotype" w:eastAsia="Palatino Linotype" w:hAnsi="Palatino Linotype" w:cs="Palatino Linotype"/>
        </w:rPr>
      </w:pPr>
    </w:p>
    <w:p w:rsidR="00F72FD4" w:rsidRPr="00DC38C2" w:rsidRDefault="00F72FD4" w:rsidP="00F72FD4">
      <w:pPr>
        <w:numPr>
          <w:ilvl w:val="0"/>
          <w:numId w:val="6"/>
        </w:numPr>
        <w:pBdr>
          <w:top w:val="nil"/>
          <w:left w:val="nil"/>
          <w:bottom w:val="nil"/>
          <w:right w:val="nil"/>
          <w:between w:val="nil"/>
        </w:pBdr>
        <w:spacing w:line="360" w:lineRule="auto"/>
        <w:ind w:right="113"/>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En ese sentido, sobre la nómina nos lleva a precisar que en nuestra legislación del Estado de México no existe como tal una definición de “nómina”; sin embargo,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 honorarios y personal de lista de raya:</w:t>
      </w:r>
    </w:p>
    <w:p w:rsidR="00F72FD4" w:rsidRPr="00DC38C2" w:rsidRDefault="00F72FD4" w:rsidP="00F72FD4">
      <w:pPr>
        <w:pBdr>
          <w:top w:val="nil"/>
          <w:left w:val="nil"/>
          <w:bottom w:val="nil"/>
          <w:right w:val="nil"/>
          <w:between w:val="nil"/>
        </w:pBdr>
        <w:ind w:left="567" w:right="851"/>
        <w:jc w:val="both"/>
        <w:rPr>
          <w:rFonts w:ascii="Palatino Linotype" w:eastAsia="Palatino Linotype" w:hAnsi="Palatino Linotype" w:cs="Palatino Linotype"/>
          <w:i/>
          <w:color w:val="000000"/>
        </w:rPr>
      </w:pPr>
      <w:r w:rsidRPr="00DC38C2">
        <w:rPr>
          <w:rFonts w:ascii="Palatino Linotype" w:eastAsia="Palatino Linotype" w:hAnsi="Palatino Linotype" w:cs="Palatino Linotype"/>
          <w:b/>
          <w:i/>
          <w:color w:val="000000"/>
        </w:rPr>
        <w:t xml:space="preserve">“NÓMINA </w:t>
      </w:r>
      <w:r w:rsidRPr="00DC38C2">
        <w:rPr>
          <w:rFonts w:ascii="Palatino Linotype" w:eastAsia="Palatino Linotype" w:hAnsi="Palatino Linotype" w:cs="Palatino Linotype"/>
          <w:i/>
          <w:color w:val="000000"/>
        </w:rPr>
        <w:t>Listado general de los trabajadores de una institución, en</w:t>
      </w:r>
      <w:r w:rsidRPr="00DC38C2">
        <w:rPr>
          <w:rFonts w:ascii="Palatino Linotype" w:eastAsia="Palatino Linotype" w:hAnsi="Palatino Linotype" w:cs="Palatino Linotype"/>
          <w:b/>
          <w:i/>
          <w:color w:val="000000"/>
        </w:rPr>
        <w:t xml:space="preserve"> </w:t>
      </w:r>
      <w:r w:rsidRPr="00DC38C2">
        <w:rPr>
          <w:rFonts w:ascii="Palatino Linotype" w:eastAsia="Palatino Linotype" w:hAnsi="Palatino Linotype" w:cs="Palatino Linotype"/>
          <w:i/>
          <w:color w:val="000000"/>
        </w:rPr>
        <w:t>el cual se asientan las percepciones brutas, deducciones y</w:t>
      </w:r>
      <w:r w:rsidRPr="00DC38C2">
        <w:rPr>
          <w:rFonts w:ascii="Palatino Linotype" w:eastAsia="Palatino Linotype" w:hAnsi="Palatino Linotype" w:cs="Palatino Linotype"/>
          <w:b/>
          <w:i/>
          <w:color w:val="000000"/>
        </w:rPr>
        <w:t xml:space="preserve"> </w:t>
      </w:r>
      <w:r w:rsidRPr="00DC38C2">
        <w:rPr>
          <w:rFonts w:ascii="Palatino Linotype" w:eastAsia="Palatino Linotype" w:hAnsi="Palatino Linotype" w:cs="Palatino Linotype"/>
          <w:i/>
          <w:color w:val="000000"/>
        </w:rPr>
        <w:t>alcance neto de las mismas; la nómina es utilizada para</w:t>
      </w:r>
      <w:r w:rsidRPr="00DC38C2">
        <w:rPr>
          <w:rFonts w:ascii="Palatino Linotype" w:eastAsia="Palatino Linotype" w:hAnsi="Palatino Linotype" w:cs="Palatino Linotype"/>
          <w:b/>
          <w:i/>
          <w:color w:val="000000"/>
        </w:rPr>
        <w:t xml:space="preserve"> </w:t>
      </w:r>
      <w:r w:rsidRPr="00DC38C2">
        <w:rPr>
          <w:rFonts w:ascii="Palatino Linotype" w:eastAsia="Palatino Linotype" w:hAnsi="Palatino Linotype" w:cs="Palatino Linotype"/>
          <w:i/>
          <w:color w:val="000000"/>
        </w:rPr>
        <w:t>efectuar los pagos periódicos (semanales, quincenales o</w:t>
      </w:r>
      <w:r w:rsidRPr="00DC38C2">
        <w:rPr>
          <w:rFonts w:ascii="Palatino Linotype" w:eastAsia="Palatino Linotype" w:hAnsi="Palatino Linotype" w:cs="Palatino Linotype"/>
          <w:b/>
          <w:i/>
          <w:color w:val="000000"/>
        </w:rPr>
        <w:t xml:space="preserve"> </w:t>
      </w:r>
      <w:r w:rsidRPr="00DC38C2">
        <w:rPr>
          <w:rFonts w:ascii="Palatino Linotype" w:eastAsia="Palatino Linotype" w:hAnsi="Palatino Linotype" w:cs="Palatino Linotype"/>
          <w:i/>
          <w:color w:val="000000"/>
        </w:rPr>
        <w:t>mensuales) a los trabajadores por concepto de sueldos y</w:t>
      </w:r>
      <w:r w:rsidRPr="00DC38C2">
        <w:rPr>
          <w:rFonts w:ascii="Palatino Linotype" w:eastAsia="Palatino Linotype" w:hAnsi="Palatino Linotype" w:cs="Palatino Linotype"/>
          <w:b/>
          <w:i/>
          <w:color w:val="000000"/>
        </w:rPr>
        <w:t xml:space="preserve"> </w:t>
      </w:r>
      <w:r w:rsidRPr="00DC38C2">
        <w:rPr>
          <w:rFonts w:ascii="Palatino Linotype" w:eastAsia="Palatino Linotype" w:hAnsi="Palatino Linotype" w:cs="Palatino Linotype"/>
          <w:i/>
          <w:color w:val="000000"/>
        </w:rPr>
        <w:t>salarios.”(Sic)</w:t>
      </w:r>
    </w:p>
    <w:p w:rsidR="00F72FD4" w:rsidRPr="00DC38C2" w:rsidRDefault="00F72FD4" w:rsidP="00F72FD4">
      <w:pPr>
        <w:spacing w:line="360" w:lineRule="auto"/>
        <w:ind w:left="851" w:right="901"/>
        <w:jc w:val="both"/>
        <w:rPr>
          <w:rFonts w:ascii="Palatino Linotype" w:eastAsia="Palatino Linotype" w:hAnsi="Palatino Linotype" w:cs="Palatino Linotype"/>
        </w:rPr>
      </w:pPr>
    </w:p>
    <w:p w:rsidR="00F72FD4" w:rsidRPr="00DC38C2" w:rsidRDefault="00F72FD4" w:rsidP="00F72FD4">
      <w:pPr>
        <w:numPr>
          <w:ilvl w:val="0"/>
          <w:numId w:val="6"/>
        </w:numPr>
        <w:pBdr>
          <w:top w:val="nil"/>
          <w:left w:val="nil"/>
          <w:bottom w:val="nil"/>
          <w:right w:val="nil"/>
          <w:between w:val="nil"/>
        </w:pBdr>
        <w:spacing w:line="360" w:lineRule="auto"/>
        <w:ind w:right="113"/>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En base a lo anterior, conviene a traer lo establecido por el artículo 804, fracción II, de la Ley Federal de Trabajo, el cual a la letra establece: </w:t>
      </w:r>
    </w:p>
    <w:p w:rsidR="00F72FD4" w:rsidRPr="00DC38C2" w:rsidRDefault="00F72FD4" w:rsidP="00F72FD4">
      <w:pPr>
        <w:spacing w:line="360" w:lineRule="auto"/>
        <w:ind w:left="851" w:right="901"/>
        <w:jc w:val="both"/>
        <w:rPr>
          <w:rFonts w:ascii="Palatino Linotype" w:eastAsia="Palatino Linotype" w:hAnsi="Palatino Linotype" w:cs="Palatino Linotype"/>
        </w:rPr>
      </w:pPr>
    </w:p>
    <w:p w:rsidR="00F72FD4" w:rsidRPr="00DC38C2" w:rsidRDefault="00F72FD4" w:rsidP="00F72FD4">
      <w:pPr>
        <w:ind w:left="567" w:right="851"/>
        <w:jc w:val="both"/>
        <w:rPr>
          <w:rFonts w:ascii="Palatino Linotype" w:eastAsia="Palatino Linotype" w:hAnsi="Palatino Linotype" w:cs="Palatino Linotype"/>
          <w:i/>
        </w:rPr>
      </w:pPr>
      <w:r w:rsidRPr="00DC38C2">
        <w:rPr>
          <w:rFonts w:ascii="Palatino Linotype" w:eastAsia="Palatino Linotype" w:hAnsi="Palatino Linotype" w:cs="Palatino Linotype"/>
          <w:i/>
        </w:rPr>
        <w:lastRenderedPageBreak/>
        <w:t>“</w:t>
      </w:r>
      <w:r w:rsidRPr="00DC38C2">
        <w:rPr>
          <w:rFonts w:ascii="Palatino Linotype" w:eastAsia="Palatino Linotype" w:hAnsi="Palatino Linotype" w:cs="Palatino Linotype"/>
          <w:b/>
          <w:i/>
        </w:rPr>
        <w:t>Artículo 804.-</w:t>
      </w:r>
      <w:r w:rsidRPr="00DC38C2">
        <w:rPr>
          <w:rFonts w:ascii="Palatino Linotype" w:eastAsia="Palatino Linotype" w:hAnsi="Palatino Linotype" w:cs="Palatino Linotype"/>
          <w:i/>
        </w:rPr>
        <w:t xml:space="preserve"> </w:t>
      </w:r>
      <w:r w:rsidRPr="00DC38C2">
        <w:rPr>
          <w:rFonts w:ascii="Palatino Linotype" w:eastAsia="Palatino Linotype" w:hAnsi="Palatino Linotype" w:cs="Palatino Linotype"/>
          <w:b/>
          <w:i/>
        </w:rPr>
        <w:t>El patrón tiene obligación de conservar y exhibir en juicio los documentos que a continuación se precisan</w:t>
      </w:r>
      <w:r w:rsidRPr="00DC38C2">
        <w:rPr>
          <w:rFonts w:ascii="Palatino Linotype" w:eastAsia="Palatino Linotype" w:hAnsi="Palatino Linotype" w:cs="Palatino Linotype"/>
          <w:i/>
        </w:rPr>
        <w:t>:</w:t>
      </w:r>
    </w:p>
    <w:p w:rsidR="00F72FD4" w:rsidRPr="00DC38C2" w:rsidRDefault="00F72FD4" w:rsidP="00F72FD4">
      <w:pPr>
        <w:ind w:left="567" w:right="851"/>
        <w:jc w:val="both"/>
        <w:rPr>
          <w:rFonts w:ascii="Palatino Linotype" w:eastAsia="Palatino Linotype" w:hAnsi="Palatino Linotype" w:cs="Palatino Linotype"/>
          <w:i/>
        </w:rPr>
      </w:pPr>
    </w:p>
    <w:p w:rsidR="00F72FD4" w:rsidRPr="00DC38C2" w:rsidRDefault="00F72FD4" w:rsidP="00F72FD4">
      <w:pPr>
        <w:ind w:left="567" w:right="851"/>
        <w:jc w:val="both"/>
        <w:rPr>
          <w:rFonts w:ascii="Palatino Linotype" w:eastAsia="Palatino Linotype" w:hAnsi="Palatino Linotype" w:cs="Palatino Linotype"/>
          <w:b/>
          <w:i/>
        </w:rPr>
      </w:pPr>
      <w:r w:rsidRPr="00DC38C2">
        <w:rPr>
          <w:rFonts w:ascii="Palatino Linotype" w:eastAsia="Palatino Linotype" w:hAnsi="Palatino Linotype" w:cs="Palatino Linotype"/>
          <w:b/>
          <w:i/>
        </w:rPr>
        <w:t>II.</w:t>
      </w:r>
      <w:r w:rsidRPr="00DC38C2">
        <w:rPr>
          <w:rFonts w:ascii="Palatino Linotype" w:eastAsia="Palatino Linotype" w:hAnsi="Palatino Linotype" w:cs="Palatino Linotype"/>
          <w:i/>
        </w:rPr>
        <w:t xml:space="preserve"> </w:t>
      </w:r>
      <w:r w:rsidRPr="00DC38C2">
        <w:rPr>
          <w:rFonts w:ascii="Palatino Linotype" w:eastAsia="Palatino Linotype" w:hAnsi="Palatino Linotype" w:cs="Palatino Linotype"/>
          <w:b/>
          <w:i/>
        </w:rPr>
        <w:t>Listas de raya o nómina de personal</w:t>
      </w:r>
      <w:r w:rsidRPr="00DC38C2">
        <w:rPr>
          <w:rFonts w:ascii="Palatino Linotype" w:eastAsia="Palatino Linotype" w:hAnsi="Palatino Linotype" w:cs="Palatino Linotype"/>
          <w:i/>
        </w:rPr>
        <w:t xml:space="preserve">, </w:t>
      </w:r>
      <w:r w:rsidRPr="00DC38C2">
        <w:rPr>
          <w:rFonts w:ascii="Palatino Linotype" w:eastAsia="Palatino Linotype" w:hAnsi="Palatino Linotype" w:cs="Palatino Linotype"/>
          <w:b/>
          <w:i/>
        </w:rPr>
        <w:t xml:space="preserve">cuando se lleven en el centro de trabajo; o recibos de pagos de salarios; </w:t>
      </w:r>
    </w:p>
    <w:p w:rsidR="00F72FD4" w:rsidRPr="00DC38C2" w:rsidRDefault="00F72FD4" w:rsidP="00F72FD4">
      <w:pPr>
        <w:ind w:left="567" w:right="851"/>
        <w:jc w:val="both"/>
        <w:rPr>
          <w:rFonts w:ascii="Palatino Linotype" w:eastAsia="Palatino Linotype" w:hAnsi="Palatino Linotype" w:cs="Palatino Linotype"/>
          <w:i/>
        </w:rPr>
      </w:pPr>
      <w:r w:rsidRPr="00DC38C2">
        <w:rPr>
          <w:rFonts w:ascii="Palatino Linotype" w:eastAsia="Palatino Linotype" w:hAnsi="Palatino Linotype" w:cs="Palatino Linotype"/>
          <w:i/>
        </w:rPr>
        <w:t>(…)</w:t>
      </w:r>
    </w:p>
    <w:p w:rsidR="00F72FD4" w:rsidRPr="00DC38C2" w:rsidRDefault="00F72FD4" w:rsidP="00F72FD4">
      <w:pPr>
        <w:ind w:left="567" w:right="851"/>
        <w:jc w:val="both"/>
        <w:rPr>
          <w:rFonts w:ascii="Palatino Linotype" w:eastAsia="Palatino Linotype" w:hAnsi="Palatino Linotype" w:cs="Palatino Linotype"/>
          <w:i/>
        </w:rPr>
      </w:pPr>
      <w:r w:rsidRPr="00DC38C2">
        <w:rPr>
          <w:rFonts w:ascii="Palatino Linotype" w:eastAsia="Palatino Linotype" w:hAnsi="Palatino Linotype" w:cs="Palatino Linotype"/>
          <w:i/>
        </w:rPr>
        <w:t xml:space="preserve">Los documentos señalados en la fracción I deberán conservarse mientras dure la relación laboral y hasta un año después; </w:t>
      </w:r>
      <w:r w:rsidRPr="00DC38C2">
        <w:rPr>
          <w:rFonts w:ascii="Palatino Linotype" w:eastAsia="Palatino Linotype" w:hAnsi="Palatino Linotype" w:cs="Palatino Linotype"/>
          <w:b/>
          <w:i/>
        </w:rPr>
        <w:t>los señalados en las fracciones II, III y IV, durante el último año y un año después de que se extinga la relación laboral</w:t>
      </w:r>
      <w:r w:rsidRPr="00DC38C2">
        <w:rPr>
          <w:rFonts w:ascii="Palatino Linotype" w:eastAsia="Palatino Linotype" w:hAnsi="Palatino Linotype" w:cs="Palatino Linotype"/>
          <w:i/>
        </w:rPr>
        <w:t>; y los mencionados en la fracción V, conforme lo señalen las Leyes que los rijan.” (Sic)</w:t>
      </w:r>
    </w:p>
    <w:p w:rsidR="00F72FD4" w:rsidRPr="00DC38C2" w:rsidRDefault="00F72FD4" w:rsidP="00F72FD4">
      <w:pPr>
        <w:spacing w:line="360" w:lineRule="auto"/>
        <w:ind w:left="851" w:right="901"/>
        <w:jc w:val="both"/>
        <w:rPr>
          <w:rFonts w:ascii="Palatino Linotype" w:eastAsia="Palatino Linotype" w:hAnsi="Palatino Linotype" w:cs="Palatino Linotype"/>
        </w:rPr>
      </w:pPr>
    </w:p>
    <w:p w:rsidR="00F72FD4" w:rsidRPr="00DC38C2" w:rsidRDefault="00F72FD4" w:rsidP="00F72FD4">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De lo precedente, se concluye que la nómina, es el registro utilizado para efectuar los pagos a los trabajadores por concepto de sueldos y salarios, el cual se compone por el conjunto de trabajadores en el que se asientan las percepciones brutas, deducciones y la cantidad neta a pagar.</w:t>
      </w:r>
    </w:p>
    <w:p w:rsidR="00F72FD4" w:rsidRPr="00DC38C2" w:rsidRDefault="00F72FD4" w:rsidP="00F72FD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F72FD4" w:rsidRPr="00DC38C2" w:rsidRDefault="00F72FD4" w:rsidP="00F72FD4">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En ese contexto, tratándose de servidores públicos de los Municipios la Ley del Trabajo de los Servidores Públicos del Estado y Municipios, en su artículo 220-K, establece lo siguiente:</w:t>
      </w:r>
    </w:p>
    <w:p w:rsidR="00F72FD4" w:rsidRPr="00DC38C2" w:rsidRDefault="00F72FD4" w:rsidP="00F72FD4">
      <w:pPr>
        <w:tabs>
          <w:tab w:val="left" w:pos="9072"/>
        </w:tabs>
        <w:spacing w:before="240"/>
        <w:ind w:left="851" w:right="851"/>
        <w:jc w:val="both"/>
        <w:rPr>
          <w:rFonts w:ascii="Palatino Linotype" w:eastAsia="Palatino Linotype" w:hAnsi="Palatino Linotype" w:cs="Palatino Linotype"/>
          <w:i/>
        </w:rPr>
      </w:pPr>
      <w:r w:rsidRPr="00DC38C2">
        <w:rPr>
          <w:rFonts w:ascii="Palatino Linotype" w:eastAsia="Palatino Linotype" w:hAnsi="Palatino Linotype" w:cs="Palatino Linotype"/>
          <w:b/>
          <w:i/>
        </w:rPr>
        <w:t>“ARTÍCULO 220 K.-</w:t>
      </w:r>
      <w:r w:rsidRPr="00DC38C2">
        <w:rPr>
          <w:rFonts w:ascii="Palatino Linotype" w:eastAsia="Palatino Linotype" w:hAnsi="Palatino Linotype" w:cs="Palatino Linotype"/>
          <w:i/>
        </w:rPr>
        <w:t xml:space="preserve"> La </w:t>
      </w:r>
      <w:r w:rsidRPr="00DC38C2">
        <w:rPr>
          <w:rFonts w:ascii="Palatino Linotype" w:eastAsia="Palatino Linotype" w:hAnsi="Palatino Linotype" w:cs="Palatino Linotype"/>
          <w:b/>
          <w:i/>
        </w:rPr>
        <w:t>institución o dependencia pública tiene la obligación de conservar y exhibir en el proceso los documentos que a continuación</w:t>
      </w:r>
      <w:r w:rsidRPr="00DC38C2">
        <w:rPr>
          <w:rFonts w:ascii="Palatino Linotype" w:eastAsia="Palatino Linotype" w:hAnsi="Palatino Linotype" w:cs="Palatino Linotype"/>
          <w:i/>
        </w:rPr>
        <w:t xml:space="preserve"> </w:t>
      </w:r>
      <w:r w:rsidRPr="00DC38C2">
        <w:rPr>
          <w:rFonts w:ascii="Palatino Linotype" w:eastAsia="Palatino Linotype" w:hAnsi="Palatino Linotype" w:cs="Palatino Linotype"/>
          <w:b/>
          <w:i/>
        </w:rPr>
        <w:t>se precisan</w:t>
      </w:r>
      <w:r w:rsidRPr="00DC38C2">
        <w:rPr>
          <w:rFonts w:ascii="Palatino Linotype" w:eastAsia="Palatino Linotype" w:hAnsi="Palatino Linotype" w:cs="Palatino Linotype"/>
          <w:i/>
        </w:rPr>
        <w:t>:</w:t>
      </w:r>
    </w:p>
    <w:p w:rsidR="00F72FD4" w:rsidRPr="00DC38C2" w:rsidRDefault="00F72FD4" w:rsidP="00F72FD4">
      <w:pPr>
        <w:tabs>
          <w:tab w:val="left" w:pos="9072"/>
        </w:tabs>
        <w:ind w:left="851" w:right="851"/>
        <w:jc w:val="both"/>
        <w:rPr>
          <w:rFonts w:ascii="Palatino Linotype" w:eastAsia="Palatino Linotype" w:hAnsi="Palatino Linotype" w:cs="Palatino Linotype"/>
          <w:i/>
        </w:rPr>
      </w:pPr>
      <w:r w:rsidRPr="00DC38C2">
        <w:rPr>
          <w:rFonts w:ascii="Palatino Linotype" w:eastAsia="Palatino Linotype" w:hAnsi="Palatino Linotype" w:cs="Palatino Linotype"/>
          <w:i/>
        </w:rPr>
        <w:t>…</w:t>
      </w:r>
    </w:p>
    <w:p w:rsidR="00F72FD4" w:rsidRPr="00DC38C2" w:rsidRDefault="00F72FD4" w:rsidP="00F72FD4">
      <w:pPr>
        <w:tabs>
          <w:tab w:val="left" w:pos="9072"/>
        </w:tabs>
        <w:ind w:left="851" w:right="851"/>
        <w:jc w:val="both"/>
        <w:rPr>
          <w:rFonts w:ascii="Palatino Linotype" w:eastAsia="Palatino Linotype" w:hAnsi="Palatino Linotype" w:cs="Palatino Linotype"/>
          <w:b/>
          <w:i/>
        </w:rPr>
      </w:pPr>
      <w:r w:rsidRPr="00DC38C2">
        <w:rPr>
          <w:rFonts w:ascii="Palatino Linotype" w:eastAsia="Palatino Linotype" w:hAnsi="Palatino Linotype" w:cs="Palatino Linotype"/>
          <w:i/>
        </w:rPr>
        <w:t xml:space="preserve">II. </w:t>
      </w:r>
      <w:r w:rsidRPr="00DC38C2">
        <w:rPr>
          <w:rFonts w:ascii="Palatino Linotype" w:eastAsia="Palatino Linotype" w:hAnsi="Palatino Linotype" w:cs="Palatino Linotype"/>
          <w:b/>
          <w:i/>
        </w:rPr>
        <w:t>Recibos de pagos de salarios o</w:t>
      </w:r>
      <w:r w:rsidRPr="00DC38C2">
        <w:rPr>
          <w:rFonts w:ascii="Palatino Linotype" w:eastAsia="Palatino Linotype" w:hAnsi="Palatino Linotype" w:cs="Palatino Linotype"/>
          <w:i/>
        </w:rPr>
        <w:t xml:space="preserve"> </w:t>
      </w:r>
      <w:r w:rsidRPr="00DC38C2">
        <w:rPr>
          <w:rFonts w:ascii="Palatino Linotype" w:eastAsia="Palatino Linotype" w:hAnsi="Palatino Linotype" w:cs="Palatino Linotype"/>
          <w:b/>
          <w:i/>
        </w:rPr>
        <w:t>las constancias documentales del pago de salario</w:t>
      </w:r>
      <w:r w:rsidRPr="00DC38C2">
        <w:rPr>
          <w:rFonts w:ascii="Palatino Linotype" w:eastAsia="Palatino Linotype" w:hAnsi="Palatino Linotype" w:cs="Palatino Linotype"/>
          <w:i/>
        </w:rPr>
        <w:t xml:space="preserve"> </w:t>
      </w:r>
      <w:r w:rsidRPr="00DC38C2">
        <w:rPr>
          <w:rFonts w:ascii="Palatino Linotype" w:eastAsia="Palatino Linotype" w:hAnsi="Palatino Linotype" w:cs="Palatino Linotype"/>
          <w:b/>
          <w:i/>
        </w:rPr>
        <w:t xml:space="preserve">cuando </w:t>
      </w:r>
      <w:r w:rsidRPr="00DC38C2">
        <w:rPr>
          <w:rFonts w:ascii="Palatino Linotype" w:eastAsia="Palatino Linotype" w:hAnsi="Palatino Linotype" w:cs="Palatino Linotype"/>
          <w:b/>
          <w:i/>
          <w:u w:val="single"/>
        </w:rPr>
        <w:t>sea por depósito o mediante información electrónica</w:t>
      </w:r>
      <w:r w:rsidRPr="00DC38C2">
        <w:rPr>
          <w:rFonts w:ascii="Palatino Linotype" w:eastAsia="Palatino Linotype" w:hAnsi="Palatino Linotype" w:cs="Palatino Linotype"/>
          <w:b/>
          <w:i/>
        </w:rPr>
        <w:t>;</w:t>
      </w:r>
    </w:p>
    <w:p w:rsidR="00F72FD4" w:rsidRPr="00DC38C2" w:rsidRDefault="00F72FD4" w:rsidP="00F72FD4">
      <w:pPr>
        <w:tabs>
          <w:tab w:val="left" w:pos="9072"/>
        </w:tabs>
        <w:ind w:left="851" w:right="851"/>
        <w:jc w:val="both"/>
        <w:rPr>
          <w:rFonts w:ascii="Palatino Linotype" w:eastAsia="Palatino Linotype" w:hAnsi="Palatino Linotype" w:cs="Palatino Linotype"/>
          <w:i/>
        </w:rPr>
      </w:pPr>
      <w:r w:rsidRPr="00DC38C2">
        <w:rPr>
          <w:rFonts w:ascii="Palatino Linotype" w:eastAsia="Palatino Linotype" w:hAnsi="Palatino Linotype" w:cs="Palatino Linotype"/>
          <w:i/>
        </w:rPr>
        <w:t>…</w:t>
      </w:r>
    </w:p>
    <w:p w:rsidR="00F72FD4" w:rsidRPr="00DC38C2" w:rsidRDefault="00F72FD4" w:rsidP="00F72FD4">
      <w:pPr>
        <w:tabs>
          <w:tab w:val="left" w:pos="9072"/>
        </w:tabs>
        <w:ind w:left="851" w:right="851"/>
        <w:jc w:val="both"/>
        <w:rPr>
          <w:rFonts w:ascii="Palatino Linotype" w:eastAsia="Palatino Linotype" w:hAnsi="Palatino Linotype" w:cs="Palatino Linotype"/>
          <w:i/>
        </w:rPr>
      </w:pPr>
      <w:r w:rsidRPr="00DC38C2">
        <w:rPr>
          <w:rFonts w:ascii="Palatino Linotype" w:eastAsia="Palatino Linotype" w:hAnsi="Palatino Linotype" w:cs="Palatino Linotype"/>
          <w:i/>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rsidR="00F72FD4" w:rsidRPr="00DC38C2" w:rsidRDefault="00F72FD4" w:rsidP="00F72FD4">
      <w:pPr>
        <w:tabs>
          <w:tab w:val="left" w:pos="9072"/>
        </w:tabs>
        <w:ind w:left="851" w:right="851"/>
        <w:jc w:val="both"/>
        <w:rPr>
          <w:rFonts w:ascii="Palatino Linotype" w:eastAsia="Palatino Linotype" w:hAnsi="Palatino Linotype" w:cs="Palatino Linotype"/>
          <w:i/>
        </w:rPr>
      </w:pPr>
      <w:r w:rsidRPr="00DC38C2">
        <w:rPr>
          <w:rFonts w:ascii="Palatino Linotype" w:eastAsia="Palatino Linotype" w:hAnsi="Palatino Linotype" w:cs="Palatino Linotype"/>
          <w:i/>
        </w:rPr>
        <w:lastRenderedPageBreak/>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(Sic)</w:t>
      </w:r>
    </w:p>
    <w:p w:rsidR="00F72FD4" w:rsidRPr="00DC38C2" w:rsidRDefault="00F72FD4" w:rsidP="00F72FD4">
      <w:pPr>
        <w:spacing w:line="360" w:lineRule="auto"/>
        <w:ind w:left="851" w:right="901"/>
        <w:jc w:val="both"/>
        <w:rPr>
          <w:rFonts w:ascii="Palatino Linotype" w:eastAsia="Palatino Linotype" w:hAnsi="Palatino Linotype" w:cs="Palatino Linotype"/>
        </w:rPr>
      </w:pPr>
    </w:p>
    <w:p w:rsidR="00F72FD4" w:rsidRPr="00DC38C2" w:rsidRDefault="00F72FD4" w:rsidP="00F72FD4">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Luego entonces, tenemos que toda institución o dependencia pública del Estado de México debe conservar las constancias documentales del pago de salario cuando sea por depósito o mediante información electrónica, debiendo conservar dicha documentación durante el último año y un año después de que se extinga la relación laboral a través de los sistemas de digitalización o de información magnética o electrónica.</w:t>
      </w:r>
    </w:p>
    <w:p w:rsidR="00F72FD4" w:rsidRPr="00DC38C2" w:rsidRDefault="00F72FD4" w:rsidP="00D649F1">
      <w:pPr>
        <w:spacing w:line="360" w:lineRule="auto"/>
        <w:contextualSpacing/>
        <w:jc w:val="both"/>
        <w:rPr>
          <w:rFonts w:ascii="Palatino Linotype" w:hAnsi="Palatino Linotype"/>
        </w:rPr>
      </w:pPr>
    </w:p>
    <w:p w:rsidR="00201185" w:rsidRPr="00DC38C2" w:rsidRDefault="00201185" w:rsidP="00201185">
      <w:pPr>
        <w:numPr>
          <w:ilvl w:val="0"/>
          <w:numId w:val="6"/>
        </w:numPr>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Por lo anterior se reconoce que el </w:t>
      </w:r>
      <w:r w:rsidRPr="00DC38C2">
        <w:rPr>
          <w:rFonts w:ascii="Palatino Linotype" w:eastAsia="Palatino Linotype" w:hAnsi="Palatino Linotype" w:cs="Palatino Linotype"/>
          <w:b/>
          <w:color w:val="000000"/>
        </w:rPr>
        <w:t>SUJETO OBLIGADO,</w:t>
      </w:r>
      <w:r w:rsidRPr="00DC38C2">
        <w:rPr>
          <w:rFonts w:ascii="Palatino Linotype" w:eastAsia="Palatino Linotype" w:hAnsi="Palatino Linotype" w:cs="Palatino Linotype"/>
          <w:color w:val="000000"/>
        </w:rPr>
        <w:t xml:space="preserve"> cuenta con la obligación de generar los documentos en donde conste la información requerida por el particular, siendo el documento idóneo, l</w:t>
      </w:r>
      <w:r w:rsidR="00D649F1" w:rsidRPr="00DC38C2">
        <w:rPr>
          <w:rFonts w:ascii="Palatino Linotype" w:eastAsia="Palatino Linotype" w:hAnsi="Palatino Linotype" w:cs="Palatino Linotype"/>
          <w:color w:val="000000"/>
        </w:rPr>
        <w:t>os</w:t>
      </w:r>
      <w:r w:rsidRPr="00DC38C2">
        <w:rPr>
          <w:rFonts w:ascii="Palatino Linotype" w:eastAsia="Palatino Linotype" w:hAnsi="Palatino Linotype" w:cs="Palatino Linotype"/>
          <w:color w:val="000000"/>
        </w:rPr>
        <w:t xml:space="preserve"> </w:t>
      </w:r>
      <w:r w:rsidR="00D649F1" w:rsidRPr="00DC38C2">
        <w:rPr>
          <w:rFonts w:ascii="Palatino Linotype" w:eastAsia="Palatino Linotype" w:hAnsi="Palatino Linotype" w:cs="Palatino Linotype"/>
          <w:b/>
          <w:color w:val="000000"/>
        </w:rPr>
        <w:t>Recibos de Nómina correspondientes a la segunda quincena de marzo de 2026</w:t>
      </w:r>
      <w:r w:rsidRPr="00DC38C2">
        <w:rPr>
          <w:rFonts w:ascii="Palatino Linotype" w:eastAsia="Palatino Linotype" w:hAnsi="Palatino Linotype" w:cs="Palatino Linotype"/>
          <w:color w:val="000000"/>
        </w:rPr>
        <w:t xml:space="preserve">. </w:t>
      </w:r>
    </w:p>
    <w:p w:rsidR="00201185" w:rsidRPr="00DC38C2" w:rsidRDefault="00201185" w:rsidP="00201185">
      <w:pPr>
        <w:pStyle w:val="Prrafodelista"/>
        <w:rPr>
          <w:rFonts w:ascii="Palatino Linotype" w:eastAsia="Palatino Linotype" w:hAnsi="Palatino Linotype" w:cs="Palatino Linotype"/>
          <w:color w:val="000000"/>
        </w:rPr>
      </w:pPr>
    </w:p>
    <w:p w:rsidR="00783FB8" w:rsidRPr="00DC38C2" w:rsidRDefault="00886775" w:rsidP="00D649F1">
      <w:pPr>
        <w:numPr>
          <w:ilvl w:val="0"/>
          <w:numId w:val="6"/>
        </w:numPr>
        <w:spacing w:line="360" w:lineRule="auto"/>
        <w:contextualSpacing/>
        <w:jc w:val="both"/>
        <w:rPr>
          <w:rFonts w:ascii="Palatino Linotype" w:hAnsi="Palatino Linotype"/>
          <w:color w:val="000000"/>
        </w:rPr>
      </w:pPr>
      <w:r w:rsidRPr="00DC38C2">
        <w:rPr>
          <w:rFonts w:ascii="Palatino Linotype" w:hAnsi="Palatino Linotype"/>
          <w:color w:val="000000"/>
        </w:rPr>
        <w:t>Precisado lo anterior, resulta viable establecer que a pesar de que el SUJETO OBLIGADO, cuenta con la información solicitada, este no garantizó el derecho de acceso a la información del</w:t>
      </w:r>
      <w:r w:rsidR="00D649F1" w:rsidRPr="00DC38C2">
        <w:rPr>
          <w:rFonts w:ascii="Palatino Linotype" w:hAnsi="Palatino Linotype"/>
          <w:color w:val="000000"/>
        </w:rPr>
        <w:t xml:space="preserve"> particular, argumentando que la entrega de la información conlleva a un procesamiento</w:t>
      </w:r>
      <w:r w:rsidRPr="00DC38C2">
        <w:rPr>
          <w:rFonts w:ascii="Palatino Linotype" w:hAnsi="Palatino Linotype"/>
          <w:color w:val="000000"/>
        </w:rPr>
        <w:t xml:space="preserve">, sin embargo al considerar que solo se requirió la segunda quincena del mes de </w:t>
      </w:r>
      <w:r w:rsidR="00D649F1" w:rsidRPr="00DC38C2">
        <w:rPr>
          <w:rFonts w:ascii="Palatino Linotype" w:hAnsi="Palatino Linotype"/>
          <w:color w:val="000000"/>
        </w:rPr>
        <w:t>marzo de dos mil veintiséis</w:t>
      </w:r>
      <w:r w:rsidRPr="00DC38C2">
        <w:rPr>
          <w:rFonts w:ascii="Palatino Linotype" w:hAnsi="Palatino Linotype"/>
          <w:color w:val="000000"/>
        </w:rPr>
        <w:t xml:space="preserve">, </w:t>
      </w:r>
      <w:r w:rsidR="00EF1BB6" w:rsidRPr="00DC38C2">
        <w:rPr>
          <w:rFonts w:ascii="Palatino Linotype" w:hAnsi="Palatino Linotype"/>
          <w:color w:val="000000"/>
        </w:rPr>
        <w:t xml:space="preserve">es evidente que el documento requerido </w:t>
      </w:r>
      <w:r w:rsidR="00D649F1" w:rsidRPr="00DC38C2">
        <w:rPr>
          <w:rFonts w:ascii="Palatino Linotype" w:hAnsi="Palatino Linotype"/>
          <w:color w:val="000000"/>
        </w:rPr>
        <w:t xml:space="preserve">un procesamiento extraordinario, ni mucho mensos </w:t>
      </w:r>
      <w:r w:rsidR="00EF1BB6" w:rsidRPr="00DC38C2">
        <w:rPr>
          <w:rFonts w:ascii="Palatino Linotype" w:hAnsi="Palatino Linotype"/>
          <w:color w:val="000000"/>
        </w:rPr>
        <w:t xml:space="preserve">rebasa la capacidad de 8,000 hojas permitido por </w:t>
      </w:r>
      <w:r w:rsidR="00D649F1" w:rsidRPr="00DC38C2">
        <w:rPr>
          <w:rFonts w:ascii="Palatino Linotype" w:hAnsi="Palatino Linotype"/>
          <w:color w:val="000000"/>
        </w:rPr>
        <w:t xml:space="preserve">el sistema SAIMEX, </w:t>
      </w:r>
      <w:r w:rsidR="00513B78" w:rsidRPr="00DC38C2">
        <w:rPr>
          <w:rFonts w:ascii="Palatino Linotype" w:eastAsia="Palatino Linotype" w:hAnsi="Palatino Linotype" w:cs="Palatino Linotype"/>
          <w:color w:val="000000"/>
        </w:rPr>
        <w:t xml:space="preserve">por tanto </w:t>
      </w:r>
      <w:r w:rsidR="005F2828" w:rsidRPr="00DC38C2">
        <w:rPr>
          <w:rFonts w:ascii="Palatino Linotype" w:eastAsia="Palatino Linotype" w:hAnsi="Palatino Linotype" w:cs="Palatino Linotype"/>
          <w:color w:val="000000"/>
        </w:rPr>
        <w:t xml:space="preserve">no proporciona la certeza jurídica para este Órgano Resolutor </w:t>
      </w:r>
      <w:r w:rsidR="00513B78" w:rsidRPr="00DC38C2">
        <w:rPr>
          <w:rFonts w:ascii="Palatino Linotype" w:eastAsia="Palatino Linotype" w:hAnsi="Palatino Linotype" w:cs="Palatino Linotype"/>
          <w:color w:val="000000"/>
        </w:rPr>
        <w:t xml:space="preserve">pueda </w:t>
      </w:r>
      <w:r w:rsidR="005F2828" w:rsidRPr="00DC38C2">
        <w:rPr>
          <w:rFonts w:ascii="Palatino Linotype" w:eastAsia="Palatino Linotype" w:hAnsi="Palatino Linotype" w:cs="Palatino Linotype"/>
          <w:color w:val="000000"/>
        </w:rPr>
        <w:t xml:space="preserve">confirmar el cambio de modalidad que se pretende hacer valer, </w:t>
      </w:r>
      <w:r w:rsidR="00D649F1" w:rsidRPr="00DC38C2">
        <w:rPr>
          <w:rFonts w:ascii="Palatino Linotype" w:eastAsia="Palatino Linotype" w:hAnsi="Palatino Linotype" w:cs="Palatino Linotype"/>
          <w:color w:val="000000"/>
        </w:rPr>
        <w:t xml:space="preserve">al respecto conviene señalar que </w:t>
      </w:r>
      <w:r w:rsidR="005F2828" w:rsidRPr="00DC38C2">
        <w:rPr>
          <w:rFonts w:ascii="Palatino Linotype" w:eastAsia="Palatino Linotype" w:hAnsi="Palatino Linotype" w:cs="Palatino Linotype"/>
          <w:color w:val="000000"/>
        </w:rPr>
        <w:t xml:space="preserve">la resolución sugerida </w:t>
      </w:r>
      <w:r w:rsidR="00D649F1" w:rsidRPr="00DC38C2">
        <w:rPr>
          <w:rFonts w:ascii="Palatino Linotype" w:eastAsia="Palatino Linotype" w:hAnsi="Palatino Linotype" w:cs="Palatino Linotype"/>
          <w:color w:val="000000"/>
        </w:rPr>
        <w:t xml:space="preserve">para la entrega de la información es </w:t>
      </w:r>
      <w:r w:rsidR="005F2828" w:rsidRPr="00DC38C2">
        <w:rPr>
          <w:rFonts w:ascii="Palatino Linotype" w:eastAsia="Palatino Linotype" w:hAnsi="Palatino Linotype" w:cs="Palatino Linotype"/>
          <w:color w:val="000000"/>
        </w:rPr>
        <w:t xml:space="preserve">de 150Dpi´s en escala de grises </w:t>
      </w:r>
      <w:r w:rsidR="005F2828" w:rsidRPr="00DC38C2">
        <w:rPr>
          <w:rFonts w:ascii="Palatino Linotype" w:eastAsia="Palatino Linotype" w:hAnsi="Palatino Linotype" w:cs="Palatino Linotype"/>
          <w:color w:val="000000"/>
        </w:rPr>
        <w:lastRenderedPageBreak/>
        <w:t>y form</w:t>
      </w:r>
      <w:r w:rsidR="00D649F1" w:rsidRPr="00DC38C2">
        <w:rPr>
          <w:rFonts w:ascii="Palatino Linotype" w:eastAsia="Palatino Linotype" w:hAnsi="Palatino Linotype" w:cs="Palatino Linotype"/>
          <w:color w:val="000000"/>
        </w:rPr>
        <w:t>ato PDF, extraído del escáner, a fin</w:t>
      </w:r>
      <w:r w:rsidR="005F2828" w:rsidRPr="00DC38C2">
        <w:rPr>
          <w:rFonts w:ascii="Palatino Linotype" w:eastAsia="Palatino Linotype" w:hAnsi="Palatino Linotype" w:cs="Palatino Linotype"/>
          <w:color w:val="000000"/>
        </w:rPr>
        <w:t xml:space="preserve"> </w:t>
      </w:r>
      <w:r w:rsidR="00D649F1" w:rsidRPr="00DC38C2">
        <w:rPr>
          <w:rFonts w:ascii="Palatino Linotype" w:eastAsia="Palatino Linotype" w:hAnsi="Palatino Linotype" w:cs="Palatino Linotype"/>
          <w:color w:val="000000"/>
        </w:rPr>
        <w:t>de</w:t>
      </w:r>
      <w:r w:rsidR="005F2828" w:rsidRPr="00DC38C2">
        <w:rPr>
          <w:rFonts w:ascii="Palatino Linotype" w:eastAsia="Palatino Linotype" w:hAnsi="Palatino Linotype" w:cs="Palatino Linotype"/>
          <w:color w:val="000000"/>
        </w:rPr>
        <w:t xml:space="preserve"> poder hacer entrega de la información vía SAIMEX.</w:t>
      </w:r>
    </w:p>
    <w:p w:rsidR="00783FB8" w:rsidRPr="00DC38C2" w:rsidRDefault="00783FB8">
      <w:pPr>
        <w:pBdr>
          <w:top w:val="nil"/>
          <w:left w:val="nil"/>
          <w:bottom w:val="nil"/>
          <w:right w:val="nil"/>
          <w:between w:val="nil"/>
        </w:pBdr>
        <w:spacing w:line="360" w:lineRule="auto"/>
        <w:ind w:right="48"/>
        <w:jc w:val="both"/>
        <w:rPr>
          <w:rFonts w:ascii="Palatino Linotype" w:eastAsia="Palatino Linotype" w:hAnsi="Palatino Linotype" w:cs="Palatino Linotype"/>
          <w:b/>
          <w:color w:val="000000"/>
        </w:rPr>
      </w:pPr>
    </w:p>
    <w:p w:rsidR="00783FB8" w:rsidRPr="00DC38C2" w:rsidRDefault="005F2828">
      <w:pPr>
        <w:numPr>
          <w:ilvl w:val="0"/>
          <w:numId w:val="6"/>
        </w:num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En atención a lo anterior, resulta necesario precisar que, el peso máximo de archivos que soporta el SAIMEX para adjuntar como respuesta a las solicitudes de información tiene el soporte tecnológico para que se puedan adjuntar archivos con un peso aprox. de hasta 500 Mb o un equivalente de hasta 8,000 hojas, garantizando que el Ciudadano no tenga problemas en la descarga de la información usando conexiones a internet convencionales bajo parámetros de escaneo en resolución máxima de 150Dpi's, escala de grises y formato "PDF" extraído directamente del escáner.</w:t>
      </w:r>
    </w:p>
    <w:p w:rsidR="00783FB8" w:rsidRPr="00DC38C2" w:rsidRDefault="00783FB8">
      <w:pPr>
        <w:pBdr>
          <w:top w:val="nil"/>
          <w:left w:val="nil"/>
          <w:bottom w:val="nil"/>
          <w:right w:val="nil"/>
          <w:between w:val="nil"/>
        </w:pBdr>
        <w:ind w:left="720"/>
        <w:rPr>
          <w:rFonts w:ascii="Palatino Linotype" w:eastAsia="Palatino Linotype" w:hAnsi="Palatino Linotype" w:cs="Palatino Linotype"/>
          <w:color w:val="000000"/>
        </w:rPr>
      </w:pP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Derivado de todo lo anteriormente señalado, al no fundar y motivar el cambio de entrega de la información resulta dable ordenar la entrega de la información vía SAIMEX, de ser el caso de que la información que se </w:t>
      </w:r>
      <w:r w:rsidRPr="00DC38C2">
        <w:rPr>
          <w:rFonts w:ascii="Palatino Linotype" w:eastAsia="Palatino Linotype" w:hAnsi="Palatino Linotype" w:cs="Palatino Linotype"/>
          <w:b/>
          <w:color w:val="000000"/>
        </w:rPr>
        <w:t xml:space="preserve">ORDENA </w:t>
      </w:r>
      <w:r w:rsidRPr="00DC38C2">
        <w:rPr>
          <w:rFonts w:ascii="Palatino Linotype" w:eastAsia="Palatino Linotype" w:hAnsi="Palatino Linotype" w:cs="Palatino Linotype"/>
          <w:color w:val="000000"/>
        </w:rPr>
        <w:t xml:space="preserve">entregar contenga datos personales susceptibles de clasificarse como confidenciales, el </w:t>
      </w:r>
      <w:r w:rsidRPr="00DC38C2">
        <w:rPr>
          <w:rFonts w:ascii="Palatino Linotype" w:eastAsia="Palatino Linotype" w:hAnsi="Palatino Linotype" w:cs="Palatino Linotype"/>
          <w:b/>
          <w:color w:val="000000"/>
        </w:rPr>
        <w:t>SUJETO OBLIGADO</w:t>
      </w:r>
      <w:r w:rsidRPr="00DC38C2">
        <w:rPr>
          <w:rFonts w:ascii="Palatino Linotype" w:eastAsia="Palatino Linotype" w:hAnsi="Palatino Linotype" w:cs="Palatino Linotype"/>
          <w:color w:val="000000"/>
        </w:rPr>
        <w:t xml:space="preserve"> estará a lo dispuesto en el Considerando que más adelante se enuncia.</w:t>
      </w:r>
    </w:p>
    <w:p w:rsidR="00783FB8" w:rsidRPr="00DC38C2" w:rsidRDefault="00783FB8">
      <w:pPr>
        <w:tabs>
          <w:tab w:val="left" w:pos="284"/>
        </w:tabs>
        <w:spacing w:line="360" w:lineRule="auto"/>
        <w:ind w:right="49"/>
        <w:jc w:val="both"/>
        <w:rPr>
          <w:rFonts w:ascii="Palatino Linotype" w:eastAsia="Palatino Linotype" w:hAnsi="Palatino Linotype" w:cs="Palatino Linotype"/>
        </w:rPr>
      </w:pP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Con la determinación a la que se arriba se concluye que quedará por colmado el Derecho de Acceso a la Información Pública del ahora </w:t>
      </w:r>
      <w:r w:rsidRPr="00DC38C2">
        <w:rPr>
          <w:rFonts w:ascii="Palatino Linotype" w:eastAsia="Palatino Linotype" w:hAnsi="Palatino Linotype" w:cs="Palatino Linotype"/>
          <w:b/>
          <w:color w:val="000000"/>
        </w:rPr>
        <w:t>RECURRENTE</w:t>
      </w:r>
      <w:r w:rsidRPr="00DC38C2">
        <w:rPr>
          <w:rFonts w:ascii="Palatino Linotype" w:eastAsia="Palatino Linotype" w:hAnsi="Palatino Linotype" w:cs="Palatino Linotype"/>
          <w:color w:val="000000"/>
        </w:rPr>
        <w:t xml:space="preserve"> el cual se define como: </w:t>
      </w:r>
      <w:r w:rsidRPr="00DC38C2">
        <w:rPr>
          <w:rFonts w:ascii="Palatino Linotype" w:eastAsia="Palatino Linotype" w:hAnsi="Palatino Linotype" w:cs="Palatino Linotype"/>
          <w:i/>
          <w:color w:val="000000"/>
        </w:rPr>
        <w:t>La igualdad de oportunidades para recibir, buscar e impartir información</w:t>
      </w:r>
      <w:r w:rsidRPr="00DC38C2">
        <w:rPr>
          <w:i/>
          <w:color w:val="000000"/>
          <w:vertAlign w:val="superscript"/>
        </w:rPr>
        <w:footnoteReference w:id="1"/>
      </w:r>
      <w:r w:rsidRPr="00DC38C2">
        <w:rPr>
          <w:rFonts w:ascii="Palatino Linotype" w:eastAsia="Palatino Linotype" w:hAnsi="Palatino Linotype" w:cs="Palatino Linotype"/>
          <w:i/>
          <w:color w:val="000000"/>
        </w:rPr>
        <w:t xml:space="preserve">en posesión de cualquier autoridad, entidad, órgano y organismo de los poderes Ejecutivo, Legislativo y Judicial, órganos autónomos, partidos políticos, fideicomisos y fondos públicos, así como de cualquier persona </w:t>
      </w:r>
      <w:r w:rsidRPr="00DC38C2">
        <w:rPr>
          <w:rFonts w:ascii="Palatino Linotype" w:eastAsia="Palatino Linotype" w:hAnsi="Palatino Linotype" w:cs="Palatino Linotype"/>
          <w:color w:val="000000"/>
        </w:rPr>
        <w:t>física</w:t>
      </w:r>
      <w:r w:rsidRPr="00DC38C2">
        <w:rPr>
          <w:rFonts w:ascii="Palatino Linotype" w:eastAsia="Palatino Linotype" w:hAnsi="Palatino Linotype" w:cs="Palatino Linotype"/>
          <w:i/>
          <w:color w:val="000000"/>
        </w:rPr>
        <w:t xml:space="preserve">, moral o sindicato que reciba y ejerza recursos públicos o realice actos de autoridad en el ámbito federal, </w:t>
      </w:r>
      <w:r w:rsidRPr="00DC38C2">
        <w:rPr>
          <w:rFonts w:ascii="Palatino Linotype" w:eastAsia="Palatino Linotype" w:hAnsi="Palatino Linotype" w:cs="Palatino Linotype"/>
          <w:i/>
          <w:color w:val="000000"/>
        </w:rPr>
        <w:lastRenderedPageBreak/>
        <w:t>estatal y municipal,</w:t>
      </w:r>
      <w:r w:rsidRPr="00DC38C2">
        <w:rPr>
          <w:i/>
          <w:color w:val="000000"/>
          <w:vertAlign w:val="superscript"/>
        </w:rPr>
        <w:footnoteReference w:id="2"/>
      </w:r>
      <w:r w:rsidRPr="00DC38C2">
        <w:rPr>
          <w:rFonts w:ascii="Palatino Linotype" w:eastAsia="Palatino Linotype" w:hAnsi="Palatino Linotype" w:cs="Palatino Linotype"/>
          <w:color w:val="000000"/>
        </w:rPr>
        <w:t>que se constituye como una herramienta fundamental para ejercer</w:t>
      </w:r>
      <w:r w:rsidRPr="00DC38C2">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DC38C2">
        <w:rPr>
          <w:i/>
          <w:color w:val="000000"/>
          <w:vertAlign w:val="superscript"/>
        </w:rPr>
        <w:footnoteReference w:id="3"/>
      </w:r>
      <w:r w:rsidRPr="00DC38C2">
        <w:rPr>
          <w:rFonts w:ascii="Palatino Linotype" w:eastAsia="Palatino Linotype" w:hAnsi="Palatino Linotype" w:cs="Palatino Linotype"/>
          <w:color w:val="000000"/>
        </w:rPr>
        <w:t>fomentando</w:t>
      </w:r>
      <w:r w:rsidRPr="00DC38C2">
        <w:rPr>
          <w:rFonts w:ascii="Palatino Linotype" w:eastAsia="Palatino Linotype" w:hAnsi="Palatino Linotype" w:cs="Palatino Linotype"/>
          <w:i/>
          <w:color w:val="000000"/>
        </w:rPr>
        <w:t xml:space="preserve"> la transparencia de las actividades estatales y </w:t>
      </w:r>
      <w:r w:rsidRPr="00DC38C2">
        <w:rPr>
          <w:rFonts w:ascii="Palatino Linotype" w:eastAsia="Palatino Linotype" w:hAnsi="Palatino Linotype" w:cs="Palatino Linotype"/>
          <w:color w:val="000000"/>
        </w:rPr>
        <w:t>promoviendo</w:t>
      </w:r>
      <w:r w:rsidRPr="00DC38C2">
        <w:rPr>
          <w:rFonts w:ascii="Palatino Linotype" w:eastAsia="Palatino Linotype" w:hAnsi="Palatino Linotype" w:cs="Palatino Linotype"/>
          <w:i/>
          <w:color w:val="000000"/>
        </w:rPr>
        <w:t xml:space="preserve"> la responsabilidad de los funcionarios sobre su gestión pública,</w:t>
      </w:r>
      <w:r w:rsidRPr="00DC38C2">
        <w:rPr>
          <w:i/>
          <w:color w:val="000000"/>
          <w:vertAlign w:val="superscript"/>
        </w:rPr>
        <w:footnoteReference w:id="4"/>
      </w:r>
      <w:r w:rsidRPr="00DC38C2">
        <w:rPr>
          <w:rFonts w:ascii="Palatino Linotype" w:eastAsia="Palatino Linotype" w:hAnsi="Palatino Linotype" w:cs="Palatino Linotype"/>
          <w:color w:val="000000"/>
        </w:rPr>
        <w:t>que permite</w:t>
      </w:r>
      <w:r w:rsidRPr="00DC38C2">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rsidR="00783FB8" w:rsidRPr="00DC38C2" w:rsidRDefault="00783FB8">
      <w:pPr>
        <w:tabs>
          <w:tab w:val="left" w:pos="284"/>
        </w:tabs>
        <w:spacing w:line="360" w:lineRule="auto"/>
        <w:rPr>
          <w:rFonts w:ascii="Palatino Linotype" w:eastAsia="Palatino Linotype" w:hAnsi="Palatino Linotype" w:cs="Palatino Linotype"/>
        </w:rPr>
      </w:pP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i/>
          <w:color w:val="000000"/>
        </w:rPr>
      </w:pPr>
      <w:r w:rsidRPr="00DC38C2">
        <w:rPr>
          <w:rFonts w:ascii="Palatino Linotype" w:eastAsia="Palatino Linotype" w:hAnsi="Palatino Linotype" w:cs="Palatino Linotype"/>
          <w:color w:val="000000"/>
        </w:rPr>
        <w:t>Se deduce que el derecho de acceso a la información pública es un derecho humano constitucionalmente reconocido, en consecuencia, todas las autoridades en el ámbito de sus competencias, funciones y atribuciones tienen la obligación de respetarlo, protegerlo y garantizarlo.</w:t>
      </w:r>
    </w:p>
    <w:p w:rsidR="00783FB8" w:rsidRPr="00DC38C2" w:rsidRDefault="005F2828">
      <w:pPr>
        <w:tabs>
          <w:tab w:val="left" w:pos="284"/>
        </w:tabs>
        <w:spacing w:line="360" w:lineRule="auto"/>
        <w:jc w:val="both"/>
        <w:rPr>
          <w:rFonts w:ascii="Palatino Linotype" w:eastAsia="Palatino Linotype" w:hAnsi="Palatino Linotype" w:cs="Palatino Linotype"/>
          <w:i/>
        </w:rPr>
      </w:pPr>
      <w:r w:rsidRPr="00DC38C2">
        <w:rPr>
          <w:rFonts w:ascii="Palatino Linotype" w:eastAsia="Palatino Linotype" w:hAnsi="Palatino Linotype" w:cs="Palatino Linotype"/>
          <w:i/>
        </w:rPr>
        <w:t xml:space="preserve"> </w:t>
      </w: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En tal sentido, el derecho de acceso a la información constituye una garantía primaria, tal y como lo señala el artículo 150 de la Ley de Transparencia y Acceso a la Información del Estado de México y Municipios, que además, establece que se regirá </w:t>
      </w:r>
      <w:r w:rsidRPr="00DC38C2">
        <w:rPr>
          <w:rFonts w:ascii="Palatino Linotype" w:eastAsia="Palatino Linotype" w:hAnsi="Palatino Linotype" w:cs="Palatino Linotype"/>
          <w:i/>
          <w:color w:val="000000"/>
        </w:rPr>
        <w:t>por los principios de simplicidad, rapidez gratuidad del procedimiento, auxilio y orientación a los particulares</w:t>
      </w:r>
      <w:r w:rsidRPr="00DC38C2">
        <w:rPr>
          <w:rFonts w:ascii="Palatino Linotype" w:eastAsia="Palatino Linotype" w:hAnsi="Palatino Linotype" w:cs="Palatino Linotype"/>
          <w:color w:val="000000"/>
        </w:rPr>
        <w:t xml:space="preserve">, contemplando el derecho de las personas con discapacidad y hablantes de lengua indígena. </w:t>
      </w:r>
    </w:p>
    <w:p w:rsidR="00783FB8" w:rsidRPr="00DC38C2" w:rsidRDefault="00783FB8">
      <w:pPr>
        <w:tabs>
          <w:tab w:val="left" w:pos="284"/>
        </w:tabs>
        <w:spacing w:line="360" w:lineRule="auto"/>
        <w:jc w:val="both"/>
        <w:rPr>
          <w:rFonts w:ascii="Palatino Linotype" w:eastAsia="Palatino Linotype" w:hAnsi="Palatino Linotype" w:cs="Palatino Linotype"/>
        </w:rPr>
      </w:pP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Es así que la </w:t>
      </w:r>
      <w:r w:rsidRPr="00DC38C2">
        <w:rPr>
          <w:rFonts w:ascii="Palatino Linotype" w:eastAsia="Palatino Linotype" w:hAnsi="Palatino Linotype" w:cs="Palatino Linotype"/>
          <w:b/>
          <w:color w:val="000000"/>
        </w:rPr>
        <w:t xml:space="preserve">Ley de Transparencia y Acceso a la Información Pública del Estado de México y Municipios, </w:t>
      </w:r>
      <w:r w:rsidRPr="00DC38C2">
        <w:rPr>
          <w:rFonts w:ascii="Palatino Linotype" w:eastAsia="Palatino Linotype" w:hAnsi="Palatino Linotype" w:cs="Palatino Linotype"/>
          <w:color w:val="000000"/>
        </w:rPr>
        <w:t xml:space="preserve">cuyo objeto es establecer principios, bases generales y procedimientos para tutelar y garantizar la transparencia y el derecho humano de acceso a la información </w:t>
      </w:r>
      <w:r w:rsidRPr="00DC38C2">
        <w:rPr>
          <w:rFonts w:ascii="Palatino Linotype" w:eastAsia="Palatino Linotype" w:hAnsi="Palatino Linotype" w:cs="Palatino Linotype"/>
          <w:color w:val="000000"/>
        </w:rPr>
        <w:lastRenderedPageBreak/>
        <w:t>pública en posesión de los sujetos obligados; en su artículo 176</w:t>
      </w:r>
      <w:r w:rsidRPr="00DC38C2">
        <w:rPr>
          <w:rFonts w:ascii="Palatino Linotype" w:eastAsia="Palatino Linotype" w:hAnsi="Palatino Linotype" w:cs="Palatino Linotype"/>
          <w:b/>
          <w:color w:val="000000"/>
        </w:rPr>
        <w:t xml:space="preserve"> </w:t>
      </w:r>
      <w:r w:rsidRPr="00DC38C2">
        <w:rPr>
          <w:rFonts w:ascii="Palatino Linotype" w:eastAsia="Palatino Linotype" w:hAnsi="Palatino Linotype" w:cs="Palatino Linotype"/>
          <w:color w:val="000000"/>
        </w:rPr>
        <w:t xml:space="preserve">establece que </w:t>
      </w:r>
      <w:r w:rsidRPr="00DC38C2">
        <w:rPr>
          <w:rFonts w:ascii="Palatino Linotype" w:eastAsia="Palatino Linotype" w:hAnsi="Palatino Linotype" w:cs="Palatino Linotype"/>
          <w:b/>
          <w:i/>
          <w:color w:val="000000"/>
          <w:u w:val="single"/>
        </w:rPr>
        <w:t>el recurso de revisión es la garantía secundaria</w:t>
      </w:r>
      <w:r w:rsidRPr="00DC38C2">
        <w:rPr>
          <w:rFonts w:ascii="Palatino Linotype" w:eastAsia="Palatino Linotype" w:hAnsi="Palatino Linotype" w:cs="Palatino Linotype"/>
          <w:b/>
          <w:i/>
          <w:color w:val="000000"/>
        </w:rPr>
        <w:t xml:space="preserve"> mediante la cual se pretende reparar cualquier posible afectación al derecho de acceso a la información pública</w:t>
      </w:r>
      <w:r w:rsidRPr="00DC38C2">
        <w:rPr>
          <w:rFonts w:ascii="Palatino Linotype" w:eastAsia="Palatino Linotype" w:hAnsi="Palatino Linotype" w:cs="Palatino Linotype"/>
          <w:b/>
          <w:color w:val="000000"/>
        </w:rPr>
        <w:t>, s</w:t>
      </w:r>
      <w:r w:rsidRPr="00DC38C2">
        <w:rPr>
          <w:rFonts w:ascii="Palatino Linotype" w:eastAsia="Palatino Linotype" w:hAnsi="Palatino Linotype" w:cs="Palatino Linotype"/>
          <w:color w:val="000000"/>
        </w:rPr>
        <w:t xml:space="preserve">iendo éste el medio a través del cual, este Órgano Garante después de realizar el análisis al procedimiento de acceso a la información, podrá determinar la posible afectación y de ser el caso ordenar la reparación a la violación del derecho en cuestión.  </w:t>
      </w:r>
    </w:p>
    <w:p w:rsidR="00783FB8" w:rsidRPr="00DC38C2" w:rsidRDefault="00783FB8">
      <w:pPr>
        <w:pBdr>
          <w:top w:val="nil"/>
          <w:left w:val="nil"/>
          <w:bottom w:val="nil"/>
          <w:right w:val="nil"/>
          <w:between w:val="nil"/>
        </w:pBdr>
        <w:spacing w:line="360" w:lineRule="auto"/>
        <w:ind w:left="708"/>
        <w:rPr>
          <w:rFonts w:ascii="Palatino Linotype" w:eastAsia="Palatino Linotype" w:hAnsi="Palatino Linotype" w:cs="Palatino Linotype"/>
          <w:b/>
          <w:color w:val="000000"/>
        </w:rPr>
      </w:pP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Ahora bien, 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783FB8" w:rsidRPr="00DC38C2" w:rsidRDefault="005F2828">
      <w:pPr>
        <w:spacing w:line="360" w:lineRule="auto"/>
        <w:ind w:left="567" w:right="567"/>
        <w:jc w:val="both"/>
        <w:rPr>
          <w:rFonts w:ascii="Palatino Linotype" w:eastAsia="Palatino Linotype" w:hAnsi="Palatino Linotype" w:cs="Palatino Linotype"/>
          <w:b/>
          <w:i/>
        </w:rPr>
      </w:pPr>
      <w:r w:rsidRPr="00DC38C2">
        <w:rPr>
          <w:rFonts w:ascii="Palatino Linotype" w:eastAsia="Palatino Linotype" w:hAnsi="Palatino Linotype" w:cs="Palatino Linotype"/>
          <w:b/>
          <w:i/>
        </w:rPr>
        <w:t>“CRITERIO 0002-11</w:t>
      </w:r>
    </w:p>
    <w:p w:rsidR="00783FB8" w:rsidRPr="00DC38C2" w:rsidRDefault="005F2828">
      <w:pPr>
        <w:spacing w:line="360" w:lineRule="auto"/>
        <w:ind w:left="567" w:right="567"/>
        <w:jc w:val="both"/>
        <w:rPr>
          <w:rFonts w:ascii="Palatino Linotype" w:eastAsia="Palatino Linotype" w:hAnsi="Palatino Linotype" w:cs="Palatino Linotype"/>
          <w:i/>
        </w:rPr>
      </w:pPr>
      <w:r w:rsidRPr="00DC38C2">
        <w:rPr>
          <w:rFonts w:ascii="Palatino Linotype" w:eastAsia="Palatino Linotype" w:hAnsi="Palatino Linotype" w:cs="Palatino Linotype"/>
          <w:b/>
          <w:i/>
        </w:rPr>
        <w:t>INFORMACIÓN PÚBLICA, CONCEPTO DE, EN MATERIA DE TRANSPARENCIA. INTERPRETACIÓN TEMÁTICA DE LOS ARTÍCULOS 2, FRACCIÓN V, XV, Y XVI, 3, 4,11 Y 41.</w:t>
      </w:r>
      <w:r w:rsidRPr="00DC38C2">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783FB8" w:rsidRPr="00DC38C2" w:rsidRDefault="005F2828">
      <w:pPr>
        <w:spacing w:line="360" w:lineRule="auto"/>
        <w:ind w:left="567" w:right="567"/>
        <w:jc w:val="both"/>
        <w:rPr>
          <w:rFonts w:ascii="Palatino Linotype" w:eastAsia="Palatino Linotype" w:hAnsi="Palatino Linotype" w:cs="Palatino Linotype"/>
          <w:i/>
        </w:rPr>
      </w:pPr>
      <w:r w:rsidRPr="00DC38C2">
        <w:rPr>
          <w:rFonts w:ascii="Palatino Linotype" w:eastAsia="Palatino Linotype" w:hAnsi="Palatino Linotype" w:cs="Palatino Linotype"/>
          <w:i/>
        </w:rPr>
        <w:t>En consecuencia el acceso a la información se refiere a que se cumplan cualquiera de los siguientes tres supuestos:</w:t>
      </w:r>
    </w:p>
    <w:p w:rsidR="00783FB8" w:rsidRPr="00DC38C2" w:rsidRDefault="005F2828">
      <w:pPr>
        <w:spacing w:line="360" w:lineRule="auto"/>
        <w:ind w:left="567" w:right="567"/>
        <w:jc w:val="both"/>
        <w:rPr>
          <w:rFonts w:ascii="Palatino Linotype" w:eastAsia="Palatino Linotype" w:hAnsi="Palatino Linotype" w:cs="Palatino Linotype"/>
          <w:i/>
        </w:rPr>
      </w:pPr>
      <w:r w:rsidRPr="00DC38C2">
        <w:rPr>
          <w:rFonts w:ascii="Palatino Linotype" w:eastAsia="Palatino Linotype" w:hAnsi="Palatino Linotype" w:cs="Palatino Linotype"/>
          <w:i/>
        </w:rPr>
        <w:lastRenderedPageBreak/>
        <w:t>Que se trate de información registrada en cualquier soporte documental, que en ejercicio de las atribuciones conferidas, sea generada por los Sujetos Obligados;</w:t>
      </w:r>
    </w:p>
    <w:p w:rsidR="00783FB8" w:rsidRPr="00DC38C2" w:rsidRDefault="005F2828">
      <w:pPr>
        <w:spacing w:line="360" w:lineRule="auto"/>
        <w:ind w:left="567" w:right="567"/>
        <w:jc w:val="both"/>
        <w:rPr>
          <w:rFonts w:ascii="Palatino Linotype" w:eastAsia="Palatino Linotype" w:hAnsi="Palatino Linotype" w:cs="Palatino Linotype"/>
          <w:i/>
        </w:rPr>
      </w:pPr>
      <w:r w:rsidRPr="00DC38C2">
        <w:rPr>
          <w:rFonts w:ascii="Palatino Linotype" w:eastAsia="Palatino Linotype" w:hAnsi="Palatino Linotype" w:cs="Palatino Linotype"/>
          <w:i/>
        </w:rPr>
        <w:t>Que se trate de información registrada en cualquier soporte documental, que en ejercicio de las atribuciones conferidas, sea administrada por los Sujetos Obligados, y</w:t>
      </w:r>
    </w:p>
    <w:p w:rsidR="00783FB8" w:rsidRPr="00DC38C2" w:rsidRDefault="005F2828">
      <w:pPr>
        <w:spacing w:line="360" w:lineRule="auto"/>
        <w:ind w:left="567" w:right="567"/>
        <w:jc w:val="both"/>
        <w:rPr>
          <w:rFonts w:ascii="Palatino Linotype" w:eastAsia="Palatino Linotype" w:hAnsi="Palatino Linotype" w:cs="Palatino Linotype"/>
          <w:i/>
          <w:color w:val="000000"/>
        </w:rPr>
      </w:pPr>
      <w:r w:rsidRPr="00DC38C2">
        <w:rPr>
          <w:rFonts w:ascii="Palatino Linotype" w:eastAsia="Palatino Linotype" w:hAnsi="Palatino Linotype" w:cs="Palatino Linotype"/>
          <w:i/>
        </w:rPr>
        <w:t>Que se trate de información registrada en cualquier soporte documental, que en ejercicio de las atribuciones conferidas, se encuentre en posesión de los Sujetos Obligados.”</w:t>
      </w:r>
    </w:p>
    <w:p w:rsidR="00783FB8" w:rsidRPr="00DC38C2" w:rsidRDefault="00783FB8">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783FB8" w:rsidRPr="00DC38C2" w:rsidRDefault="005F2828">
      <w:pPr>
        <w:spacing w:line="360" w:lineRule="auto"/>
        <w:ind w:left="567" w:right="567"/>
        <w:jc w:val="both"/>
        <w:rPr>
          <w:rFonts w:ascii="Palatino Linotype" w:eastAsia="Palatino Linotype" w:hAnsi="Palatino Linotype" w:cs="Palatino Linotype"/>
          <w:i/>
        </w:rPr>
      </w:pPr>
      <w:r w:rsidRPr="00DC38C2">
        <w:rPr>
          <w:rFonts w:ascii="Palatino Linotype" w:eastAsia="Palatino Linotype" w:hAnsi="Palatino Linotype" w:cs="Palatino Linotype"/>
          <w:b/>
          <w:i/>
        </w:rPr>
        <w:t xml:space="preserve">XI. Documento: </w:t>
      </w:r>
      <w:r w:rsidRPr="00DC38C2">
        <w:rPr>
          <w:rFonts w:ascii="Palatino Linotype" w:eastAsia="Palatino Linotype" w:hAnsi="Palatino Linotype" w:cs="Palatino Linotype"/>
          <w:i/>
        </w:rPr>
        <w:t>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783FB8" w:rsidRPr="00DC38C2" w:rsidRDefault="00783FB8">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783FB8" w:rsidRPr="00DC38C2" w:rsidRDefault="00783FB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lastRenderedPageBreak/>
        <w:t xml:space="preserve">Resulta necesario referir que, el 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sidRPr="00DC38C2">
        <w:rPr>
          <w:rFonts w:ascii="Palatino Linotype" w:eastAsia="Palatino Linotype" w:hAnsi="Palatino Linotype" w:cs="Palatino Linotype"/>
          <w:b/>
          <w:color w:val="000000"/>
        </w:rPr>
        <w:t>los Sujetos Obligados deberán documentar todo acto que se derive del ejercicio de sus facultades, competencias o funciones,</w:t>
      </w:r>
      <w:r w:rsidRPr="00DC38C2">
        <w:rPr>
          <w:rFonts w:ascii="Palatino Linotype" w:eastAsia="Palatino Linotype" w:hAnsi="Palatino Linotype" w:cs="Palatino Linotype"/>
          <w:color w:val="000000"/>
        </w:rPr>
        <w:t xml:space="preserve"> considerando desde su origen la eventual publicidad y reutilización de la información que generen, posean o administren.</w:t>
      </w:r>
    </w:p>
    <w:p w:rsidR="00783FB8" w:rsidRPr="00DC38C2" w:rsidRDefault="00783FB8">
      <w:pPr>
        <w:pBdr>
          <w:top w:val="nil"/>
          <w:left w:val="nil"/>
          <w:bottom w:val="nil"/>
          <w:right w:val="nil"/>
          <w:between w:val="nil"/>
        </w:pBdr>
        <w:ind w:left="708"/>
        <w:rPr>
          <w:rFonts w:ascii="Palatino Linotype" w:eastAsia="Palatino Linotype" w:hAnsi="Palatino Linotype" w:cs="Palatino Linotype"/>
          <w:color w:val="000000"/>
        </w:rPr>
      </w:pP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Además, debemos tomar en cuenta los artículos 4 y 12 (antes transcrito), de la Ley de Transparencia y Acceso a la Información Pública del Estado de México y Municipios, los cuales establecen lo siguiente:</w:t>
      </w:r>
    </w:p>
    <w:p w:rsidR="00783FB8" w:rsidRPr="00DC38C2" w:rsidRDefault="005F2828">
      <w:pPr>
        <w:spacing w:line="360" w:lineRule="auto"/>
        <w:ind w:left="567" w:right="567"/>
        <w:jc w:val="both"/>
        <w:rPr>
          <w:rFonts w:ascii="Palatino Linotype" w:eastAsia="Palatino Linotype" w:hAnsi="Palatino Linotype" w:cs="Palatino Linotype"/>
          <w:i/>
        </w:rPr>
      </w:pPr>
      <w:r w:rsidRPr="00DC38C2">
        <w:rPr>
          <w:rFonts w:ascii="Palatino Linotype" w:eastAsia="Palatino Linotype" w:hAnsi="Palatino Linotype" w:cs="Palatino Linotype"/>
          <w:b/>
          <w:i/>
        </w:rPr>
        <w:t xml:space="preserve">Artículo 4. </w:t>
      </w:r>
      <w:r w:rsidRPr="00DC38C2">
        <w:rPr>
          <w:rFonts w:ascii="Palatino Linotype" w:eastAsia="Palatino Linotype" w:hAnsi="Palatino Linotype" w:cs="Palatino Linotype"/>
          <w:i/>
        </w:rPr>
        <w:t>El derecho humano de acceso a la información pública es la prerrogativa de las personas para buscar, difundir, investigar, recabar, recibir y solicitar información pública, sin necesidad de acreditar personalidad ni interés jurídico.</w:t>
      </w:r>
    </w:p>
    <w:p w:rsidR="00783FB8" w:rsidRPr="00DC38C2" w:rsidRDefault="00783FB8">
      <w:pPr>
        <w:spacing w:line="360" w:lineRule="auto"/>
        <w:ind w:left="567" w:right="567"/>
        <w:jc w:val="both"/>
        <w:rPr>
          <w:rFonts w:ascii="Palatino Linotype" w:eastAsia="Palatino Linotype" w:hAnsi="Palatino Linotype" w:cs="Palatino Linotype"/>
          <w:i/>
        </w:rPr>
      </w:pPr>
    </w:p>
    <w:p w:rsidR="00783FB8" w:rsidRPr="00DC38C2" w:rsidRDefault="005F2828">
      <w:pPr>
        <w:spacing w:line="360" w:lineRule="auto"/>
        <w:ind w:left="567" w:right="567"/>
        <w:jc w:val="both"/>
        <w:rPr>
          <w:rFonts w:ascii="Palatino Linotype" w:eastAsia="Palatino Linotype" w:hAnsi="Palatino Linotype" w:cs="Palatino Linotype"/>
          <w:i/>
        </w:rPr>
      </w:pPr>
      <w:r w:rsidRPr="00DC38C2">
        <w:rPr>
          <w:rFonts w:ascii="Palatino Linotype" w:eastAsia="Palatino Linotype" w:hAnsi="Palatino Linotype" w:cs="Palatino Linotyp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783FB8" w:rsidRPr="00DC38C2" w:rsidRDefault="00783FB8">
      <w:pPr>
        <w:spacing w:line="360" w:lineRule="auto"/>
        <w:ind w:left="567" w:right="567"/>
        <w:jc w:val="both"/>
        <w:rPr>
          <w:rFonts w:ascii="Palatino Linotype" w:eastAsia="Palatino Linotype" w:hAnsi="Palatino Linotype" w:cs="Palatino Linotype"/>
          <w:i/>
        </w:rPr>
      </w:pPr>
    </w:p>
    <w:p w:rsidR="00783FB8" w:rsidRPr="00DC38C2" w:rsidRDefault="005F2828">
      <w:pPr>
        <w:spacing w:line="360" w:lineRule="auto"/>
        <w:ind w:left="567" w:right="567"/>
        <w:jc w:val="both"/>
        <w:rPr>
          <w:rFonts w:ascii="Palatino Linotype" w:eastAsia="Palatino Linotype" w:hAnsi="Palatino Linotype" w:cs="Palatino Linotype"/>
          <w:i/>
        </w:rPr>
      </w:pPr>
      <w:r w:rsidRPr="00DC38C2">
        <w:rPr>
          <w:rFonts w:ascii="Palatino Linotype" w:eastAsia="Palatino Linotype" w:hAnsi="Palatino Linotype" w:cs="Palatino Linotype"/>
          <w:i/>
        </w:rPr>
        <w:lastRenderedPageBreak/>
        <w:t>Los sujetos obligados deben poner en práctica, políticas y programas de acceso a la información que se apeguen a criterios de publicidad, veracidad, oportunidad, precisión y suficiencia en beneficio de los solicitantes.</w:t>
      </w:r>
    </w:p>
    <w:p w:rsidR="00783FB8" w:rsidRPr="00DC38C2" w:rsidRDefault="00783FB8">
      <w:pPr>
        <w:spacing w:line="360" w:lineRule="auto"/>
        <w:ind w:left="567" w:right="567"/>
        <w:jc w:val="both"/>
        <w:rPr>
          <w:rFonts w:ascii="Palatino Linotype" w:eastAsia="Palatino Linotype" w:hAnsi="Palatino Linotype" w:cs="Palatino Linotype"/>
          <w:i/>
          <w:color w:val="000000"/>
        </w:rPr>
      </w:pP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b/>
          <w:color w:val="000000"/>
        </w:rPr>
        <w:t xml:space="preserve"> </w:t>
      </w:r>
      <w:r w:rsidRPr="00DC38C2">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DC38C2">
        <w:rPr>
          <w:color w:val="000000"/>
          <w:vertAlign w:val="superscript"/>
        </w:rPr>
        <w:footnoteReference w:id="5"/>
      </w:r>
      <w:r w:rsidRPr="00DC38C2">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783FB8" w:rsidRPr="00DC38C2" w:rsidRDefault="00783FB8">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Ahora bien, cabe la posibilidad de que dentro de la información solicitada, se encuentren documentos que contengan información que actualicen alguna de las causales de reserva o confidencialidad establecidas en los artículos 140 y 143 de la Ley de la materia, como por ejemplo oficios relacionados con procedimientos administrativos en trámite, es decir, que el principio de definitividad no se haya actualizado, por aún existir instancias para su revisión o impugnación o en su caso que no haya causado estado, dicha información reviste el carácter de información reservada y, en este caso, se deberá emitir un acuerdo que clasifique como reservado el procedimiento sobre responsabilidad administrativa. </w:t>
      </w:r>
    </w:p>
    <w:p w:rsidR="00783FB8" w:rsidRPr="00DC38C2" w:rsidRDefault="00783FB8">
      <w:pPr>
        <w:pBdr>
          <w:top w:val="nil"/>
          <w:left w:val="nil"/>
          <w:bottom w:val="nil"/>
          <w:right w:val="nil"/>
          <w:between w:val="nil"/>
        </w:pBdr>
        <w:ind w:left="720"/>
        <w:rPr>
          <w:rFonts w:ascii="Palatino Linotype" w:eastAsia="Palatino Linotype" w:hAnsi="Palatino Linotype" w:cs="Palatino Linotype"/>
          <w:color w:val="000000"/>
        </w:rPr>
      </w:pP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lastRenderedPageBreak/>
        <w:t xml:space="preserve">Por lo anterior, es necesario citar el artículo 140 de la Ley de Transparencia y Acceso a la Información Pública del Estado de México y Municipios, el cual precisa que, la información pública será de acceso restringido cuando por razones de interés público, esta sea clasificada como reservada, conforme a los criterios siguientes: </w:t>
      </w:r>
    </w:p>
    <w:p w:rsidR="00783FB8" w:rsidRPr="00DC38C2" w:rsidRDefault="005F2828">
      <w:pPr>
        <w:pBdr>
          <w:top w:val="nil"/>
          <w:left w:val="nil"/>
          <w:bottom w:val="nil"/>
          <w:right w:val="nil"/>
          <w:between w:val="nil"/>
        </w:pBdr>
        <w:spacing w:line="360" w:lineRule="auto"/>
        <w:ind w:left="567" w:right="567"/>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 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 </w:t>
      </w:r>
    </w:p>
    <w:p w:rsidR="00783FB8" w:rsidRPr="00DC38C2" w:rsidRDefault="005F2828">
      <w:pPr>
        <w:pBdr>
          <w:top w:val="nil"/>
          <w:left w:val="nil"/>
          <w:bottom w:val="nil"/>
          <w:right w:val="nil"/>
          <w:between w:val="nil"/>
        </w:pBdr>
        <w:spacing w:line="360" w:lineRule="auto"/>
        <w:ind w:left="567" w:right="567"/>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 Vulnere la conducción de los expedientes judiciales o de los procedimientos administrativos seguidos en forma de juicio, en tanto no hayan quedado firmes. </w:t>
      </w:r>
    </w:p>
    <w:p w:rsidR="00783FB8" w:rsidRPr="00DC38C2" w:rsidRDefault="005F2828">
      <w:pPr>
        <w:pBdr>
          <w:top w:val="nil"/>
          <w:left w:val="nil"/>
          <w:bottom w:val="nil"/>
          <w:right w:val="nil"/>
          <w:between w:val="nil"/>
        </w:pBdr>
        <w:spacing w:line="360" w:lineRule="auto"/>
        <w:ind w:left="567" w:right="567"/>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rsidR="00783FB8" w:rsidRPr="00DC38C2" w:rsidRDefault="00783FB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En ese sentido, cabe la posibilidad de que dentro de la información que se ordena, se encuentren documentos que contengan información que sí actualicen alguna de las causales de reserva o confidencialidad establecidas en los artículos 140 y 143 de la Ley de la materia, dicha información reviste el carácter de información reservada y en este caso, se deberá emitir un acuerdo que clasifique como reservado.</w:t>
      </w:r>
    </w:p>
    <w:p w:rsidR="00783FB8" w:rsidRPr="00DC38C2" w:rsidRDefault="005F2828">
      <w:pPr>
        <w:keepNext/>
        <w:keepLines/>
        <w:spacing w:line="360" w:lineRule="auto"/>
        <w:rPr>
          <w:rFonts w:ascii="Palatino Linotype" w:eastAsia="Palatino Linotype" w:hAnsi="Palatino Linotype" w:cs="Palatino Linotype"/>
          <w:b/>
          <w:color w:val="000000"/>
        </w:rPr>
      </w:pPr>
      <w:bookmarkStart w:id="10" w:name="_heading=h.17dp8vu" w:colFirst="0" w:colLast="0"/>
      <w:bookmarkEnd w:id="10"/>
      <w:r w:rsidRPr="00DC38C2">
        <w:rPr>
          <w:rFonts w:ascii="Palatino Linotype" w:eastAsia="Palatino Linotype" w:hAnsi="Palatino Linotype" w:cs="Palatino Linotype"/>
          <w:b/>
          <w:color w:val="000000"/>
        </w:rPr>
        <w:lastRenderedPageBreak/>
        <w:t>QUINTO. De la versión pública.</w:t>
      </w:r>
    </w:p>
    <w:p w:rsidR="00783FB8" w:rsidRPr="00DC38C2" w:rsidRDefault="005F2828">
      <w:pPr>
        <w:keepNext/>
        <w:keepLines/>
        <w:numPr>
          <w:ilvl w:val="0"/>
          <w:numId w:val="3"/>
        </w:numPr>
        <w:tabs>
          <w:tab w:val="left" w:pos="284"/>
        </w:tabs>
        <w:spacing w:line="360" w:lineRule="auto"/>
        <w:rPr>
          <w:rFonts w:ascii="Palatino Linotype" w:eastAsia="Palatino Linotype" w:hAnsi="Palatino Linotype" w:cs="Palatino Linotype"/>
          <w:b/>
          <w:color w:val="000000"/>
        </w:rPr>
      </w:pPr>
      <w:bookmarkStart w:id="11" w:name="_heading=h.3rdcrjn" w:colFirst="0" w:colLast="0"/>
      <w:bookmarkEnd w:id="11"/>
      <w:r w:rsidRPr="00DC38C2">
        <w:rPr>
          <w:rFonts w:ascii="Palatino Linotype" w:eastAsia="Palatino Linotype" w:hAnsi="Palatino Linotype" w:cs="Palatino Linotype"/>
          <w:b/>
          <w:color w:val="000000"/>
        </w:rPr>
        <w:t xml:space="preserve">Nociones generales. </w:t>
      </w: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Debe destacarse que, debido a la naturaleza de la información solicitada</w:t>
      </w:r>
      <w:r w:rsidRPr="00DC38C2">
        <w:rPr>
          <w:rFonts w:ascii="Palatino Linotype" w:eastAsia="Palatino Linotype" w:hAnsi="Palatino Linotype" w:cs="Palatino Linotype"/>
          <w:b/>
          <w:color w:val="000000"/>
        </w:rPr>
        <w:t xml:space="preserve">, </w:t>
      </w:r>
      <w:r w:rsidRPr="00DC38C2">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DC38C2">
        <w:rPr>
          <w:rFonts w:ascii="Palatino Linotype" w:eastAsia="Palatino Linotype" w:hAnsi="Palatino Linotype" w:cs="Palatino Linotype"/>
          <w:b/>
          <w:color w:val="000000"/>
        </w:rPr>
        <w:t xml:space="preserve">SUJETO OBLIGADO </w:t>
      </w:r>
      <w:r w:rsidRPr="00DC38C2">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783FB8" w:rsidRPr="00DC38C2" w:rsidRDefault="00783FB8">
      <w:pPr>
        <w:tabs>
          <w:tab w:val="left" w:pos="0"/>
          <w:tab w:val="left" w:pos="284"/>
        </w:tabs>
        <w:spacing w:line="360" w:lineRule="auto"/>
        <w:ind w:right="49"/>
        <w:jc w:val="both"/>
        <w:rPr>
          <w:rFonts w:ascii="Palatino Linotype" w:eastAsia="Palatino Linotype" w:hAnsi="Palatino Linotype" w:cs="Palatino Linotype"/>
          <w:b/>
        </w:rPr>
      </w:pP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No pasa desapercibido para este Órgano Garante que los sujetos obligados</w:t>
      </w:r>
      <w:r w:rsidRPr="00DC38C2">
        <w:rPr>
          <w:rFonts w:ascii="Palatino Linotype" w:eastAsia="Palatino Linotype" w:hAnsi="Palatino Linotype" w:cs="Palatino Linotype"/>
          <w:b/>
          <w:color w:val="000000"/>
        </w:rPr>
        <w:t xml:space="preserve"> </w:t>
      </w:r>
      <w:r w:rsidRPr="00DC38C2">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783FB8" w:rsidRPr="00DC38C2" w:rsidRDefault="00783FB8">
      <w:pPr>
        <w:tabs>
          <w:tab w:val="left" w:pos="284"/>
        </w:tabs>
        <w:spacing w:line="360" w:lineRule="auto"/>
        <w:ind w:right="49"/>
        <w:jc w:val="both"/>
        <w:rPr>
          <w:rFonts w:ascii="Palatino Linotype" w:eastAsia="Palatino Linotype" w:hAnsi="Palatino Linotype" w:cs="Palatino Linotype"/>
          <w:color w:val="000000"/>
        </w:rPr>
      </w:pPr>
    </w:p>
    <w:tbl>
      <w:tblPr>
        <w:tblStyle w:val="a1"/>
        <w:tblW w:w="9896" w:type="dxa"/>
        <w:tblInd w:w="-1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207"/>
      </w:tblGrid>
      <w:tr w:rsidR="00783FB8" w:rsidRPr="00DC38C2" w:rsidTr="00DC38C2">
        <w:tc>
          <w:tcPr>
            <w:tcW w:w="2689" w:type="dxa"/>
          </w:tcPr>
          <w:p w:rsidR="00783FB8" w:rsidRPr="00DC38C2" w:rsidRDefault="005F2828" w:rsidP="00DC38C2">
            <w:pPr>
              <w:spacing w:line="360" w:lineRule="auto"/>
              <w:rPr>
                <w:rFonts w:ascii="Palatino Linotype" w:eastAsia="Palatino Linotype" w:hAnsi="Palatino Linotype" w:cs="Palatino Linotype"/>
              </w:rPr>
            </w:pPr>
            <w:r w:rsidRPr="00DC38C2">
              <w:rPr>
                <w:rFonts w:ascii="Palatino Linotype" w:eastAsia="Palatino Linotype" w:hAnsi="Palatino Linotype" w:cs="Palatino Linotype"/>
              </w:rPr>
              <w:t>a) Requisitos previos.</w:t>
            </w:r>
          </w:p>
        </w:tc>
        <w:tc>
          <w:tcPr>
            <w:tcW w:w="7207" w:type="dxa"/>
          </w:tcPr>
          <w:p w:rsidR="00783FB8" w:rsidRPr="00DC38C2" w:rsidRDefault="005F2828" w:rsidP="00DC38C2">
            <w:pPr>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783FB8" w:rsidRPr="00DC38C2" w:rsidRDefault="005F2828" w:rsidP="00DC38C2">
            <w:pPr>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783FB8" w:rsidRPr="00DC38C2" w:rsidRDefault="005F2828" w:rsidP="00DC38C2">
            <w:pPr>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lastRenderedPageBreak/>
              <w:t>Además, se debe señalar el procedimiento, de los tres que establecen los artículos 132 y 106 de la Ley Estatal y General, respectivamente.</w:t>
            </w:r>
          </w:p>
          <w:p w:rsidR="00783FB8" w:rsidRPr="00DC38C2" w:rsidRDefault="005F2828" w:rsidP="00DC38C2">
            <w:pPr>
              <w:spacing w:line="360" w:lineRule="auto"/>
              <w:jc w:val="both"/>
              <w:rPr>
                <w:rFonts w:ascii="Palatino Linotype" w:eastAsia="Palatino Linotype" w:hAnsi="Palatino Linotype" w:cs="Palatino Linotype"/>
              </w:rPr>
            </w:pPr>
            <w:r w:rsidRPr="00DC38C2">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DC38C2">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DC38C2">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783FB8" w:rsidRPr="00DC38C2" w:rsidTr="00DC38C2">
        <w:tc>
          <w:tcPr>
            <w:tcW w:w="2689" w:type="dxa"/>
          </w:tcPr>
          <w:p w:rsidR="00783FB8" w:rsidRPr="00DC38C2" w:rsidRDefault="005F2828" w:rsidP="00DC38C2">
            <w:pPr>
              <w:spacing w:line="360" w:lineRule="auto"/>
              <w:rPr>
                <w:rFonts w:ascii="Palatino Linotype" w:eastAsia="Palatino Linotype" w:hAnsi="Palatino Linotype" w:cs="Palatino Linotype"/>
              </w:rPr>
            </w:pPr>
            <w:r w:rsidRPr="00DC38C2">
              <w:rPr>
                <w:rFonts w:ascii="Palatino Linotype" w:eastAsia="Palatino Linotype" w:hAnsi="Palatino Linotype" w:cs="Palatino Linotype"/>
              </w:rPr>
              <w:lastRenderedPageBreak/>
              <w:t>b) Supuestos de clasificación.</w:t>
            </w:r>
          </w:p>
        </w:tc>
        <w:tc>
          <w:tcPr>
            <w:tcW w:w="7207" w:type="dxa"/>
          </w:tcPr>
          <w:p w:rsidR="00783FB8" w:rsidRPr="00DC38C2" w:rsidRDefault="005F2828" w:rsidP="00DC38C2">
            <w:pPr>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783FB8" w:rsidRPr="00DC38C2" w:rsidRDefault="005F2828" w:rsidP="00DC38C2">
            <w:pPr>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783FB8" w:rsidRPr="00DC38C2" w:rsidRDefault="005F2828" w:rsidP="00DC38C2">
            <w:pPr>
              <w:spacing w:line="360" w:lineRule="auto"/>
              <w:jc w:val="both"/>
              <w:rPr>
                <w:rFonts w:ascii="Palatino Linotype" w:eastAsia="Palatino Linotype" w:hAnsi="Palatino Linotype" w:cs="Palatino Linotype"/>
              </w:rPr>
            </w:pPr>
            <w:r w:rsidRPr="00DC38C2">
              <w:rPr>
                <w:rFonts w:ascii="Palatino Linotype" w:eastAsia="Palatino Linotype" w:hAnsi="Palatino Linotype" w:cs="Palatino Linotype"/>
                <w:color w:val="000000"/>
              </w:rPr>
              <w:t xml:space="preserve">El </w:t>
            </w:r>
            <w:r w:rsidRPr="00DC38C2">
              <w:rPr>
                <w:rFonts w:ascii="Palatino Linotype" w:eastAsia="Palatino Linotype" w:hAnsi="Palatino Linotype" w:cs="Palatino Linotype"/>
                <w:b/>
                <w:color w:val="000000"/>
              </w:rPr>
              <w:t>Sujeto Obligado</w:t>
            </w:r>
            <w:r w:rsidRPr="00DC38C2">
              <w:rPr>
                <w:rFonts w:ascii="Palatino Linotype" w:eastAsia="Palatino Linotype" w:hAnsi="Palatino Linotype" w:cs="Palatino Linotype"/>
                <w:color w:val="000000"/>
              </w:rPr>
              <w:t xml:space="preserve"> debe identificar claramente el tipo de información y hacer un juicio de subsunción o encaje para </w:t>
            </w:r>
            <w:r w:rsidRPr="00DC38C2">
              <w:rPr>
                <w:rFonts w:ascii="Palatino Linotype" w:eastAsia="Palatino Linotype" w:hAnsi="Palatino Linotype" w:cs="Palatino Linotype"/>
                <w:color w:val="000000"/>
              </w:rPr>
              <w:lastRenderedPageBreak/>
              <w:t>acreditar que el supuesto de hecho corresponde estrictamente con la hipótesis jurídica. Esto también lo debe de realizar el servidor público habilitado y el titular del área que administra la información.</w:t>
            </w:r>
          </w:p>
        </w:tc>
      </w:tr>
      <w:tr w:rsidR="00783FB8" w:rsidRPr="00DC38C2" w:rsidTr="00DC38C2">
        <w:tc>
          <w:tcPr>
            <w:tcW w:w="2689" w:type="dxa"/>
          </w:tcPr>
          <w:p w:rsidR="00783FB8" w:rsidRPr="00DC38C2" w:rsidRDefault="005F2828" w:rsidP="00DC38C2">
            <w:pPr>
              <w:spacing w:line="360" w:lineRule="auto"/>
              <w:rPr>
                <w:rFonts w:ascii="Palatino Linotype" w:eastAsia="Palatino Linotype" w:hAnsi="Palatino Linotype" w:cs="Palatino Linotype"/>
              </w:rPr>
            </w:pPr>
            <w:r w:rsidRPr="00DC38C2">
              <w:rPr>
                <w:rFonts w:ascii="Palatino Linotype" w:eastAsia="Palatino Linotype" w:hAnsi="Palatino Linotype" w:cs="Palatino Linotype"/>
              </w:rPr>
              <w:lastRenderedPageBreak/>
              <w:t>c) Formalidades para emitir el acuerdo de clasificación.</w:t>
            </w:r>
          </w:p>
        </w:tc>
        <w:tc>
          <w:tcPr>
            <w:tcW w:w="7207" w:type="dxa"/>
          </w:tcPr>
          <w:p w:rsidR="00783FB8" w:rsidRPr="00DC38C2" w:rsidRDefault="005F2828" w:rsidP="00DC38C2">
            <w:pPr>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783FB8" w:rsidRPr="00DC38C2" w:rsidRDefault="005F2828" w:rsidP="00DC38C2">
            <w:pPr>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Es necesario que </w:t>
            </w:r>
            <w:r w:rsidRPr="00DC38C2">
              <w:rPr>
                <w:rFonts w:ascii="Palatino Linotype" w:eastAsia="Palatino Linotype" w:hAnsi="Palatino Linotype" w:cs="Palatino Linotype"/>
                <w:b/>
                <w:color w:val="000000"/>
                <w:u w:val="single"/>
              </w:rPr>
              <w:t>el acto reúna con los requisitos elementales</w:t>
            </w:r>
            <w:r w:rsidRPr="00DC38C2">
              <w:rPr>
                <w:rFonts w:ascii="Palatino Linotype" w:eastAsia="Palatino Linotype" w:hAnsi="Palatino Linotype" w:cs="Palatino Linotype"/>
                <w:color w:val="000000"/>
              </w:rPr>
              <w:t>, entre ellos, que la autoridad que va a emitir el acto de autoridad sea la legalmente facultada para ello.</w:t>
            </w:r>
          </w:p>
          <w:p w:rsidR="00783FB8" w:rsidRPr="00DC38C2" w:rsidRDefault="005F2828" w:rsidP="00DC38C2">
            <w:pPr>
              <w:spacing w:line="360" w:lineRule="auto"/>
              <w:jc w:val="both"/>
              <w:rPr>
                <w:rFonts w:ascii="Palatino Linotype" w:eastAsia="Palatino Linotype" w:hAnsi="Palatino Linotype" w:cs="Palatino Linotype"/>
              </w:rPr>
            </w:pPr>
            <w:r w:rsidRPr="00DC38C2">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783FB8" w:rsidRPr="00DC38C2" w:rsidTr="00DC38C2">
        <w:tc>
          <w:tcPr>
            <w:tcW w:w="2689" w:type="dxa"/>
          </w:tcPr>
          <w:p w:rsidR="00783FB8" w:rsidRPr="00DC38C2" w:rsidRDefault="00783FB8" w:rsidP="00DC38C2">
            <w:pPr>
              <w:spacing w:line="360" w:lineRule="auto"/>
              <w:rPr>
                <w:rFonts w:ascii="Palatino Linotype" w:eastAsia="Palatino Linotype" w:hAnsi="Palatino Linotype" w:cs="Palatino Linotype"/>
              </w:rPr>
            </w:pPr>
          </w:p>
          <w:p w:rsidR="00783FB8" w:rsidRPr="00DC38C2" w:rsidRDefault="005F2828" w:rsidP="00DC38C2">
            <w:pPr>
              <w:spacing w:line="360" w:lineRule="auto"/>
              <w:jc w:val="both"/>
              <w:rPr>
                <w:rFonts w:ascii="Palatino Linotype" w:eastAsia="Palatino Linotype" w:hAnsi="Palatino Linotype" w:cs="Palatino Linotype"/>
              </w:rPr>
            </w:pPr>
            <w:r w:rsidRPr="00DC38C2">
              <w:rPr>
                <w:rFonts w:ascii="Palatino Linotype" w:eastAsia="Palatino Linotype" w:hAnsi="Palatino Linotype" w:cs="Palatino Linotype"/>
                <w:color w:val="000000"/>
              </w:rPr>
              <w:t xml:space="preserve">d) Requisitos de fondo del acuerdo de clasificación. </w:t>
            </w:r>
          </w:p>
        </w:tc>
        <w:tc>
          <w:tcPr>
            <w:tcW w:w="7207" w:type="dxa"/>
          </w:tcPr>
          <w:p w:rsidR="00783FB8" w:rsidRPr="00DC38C2" w:rsidRDefault="005F2828" w:rsidP="00DC38C2">
            <w:pPr>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DC38C2">
              <w:rPr>
                <w:rFonts w:ascii="Palatino Linotype" w:eastAsia="Palatino Linotype" w:hAnsi="Palatino Linotype" w:cs="Palatino Linotype"/>
                <w:b/>
                <w:color w:val="000000"/>
              </w:rPr>
              <w:t xml:space="preserve">Sujetos </w:t>
            </w:r>
            <w:r w:rsidRPr="00DC38C2">
              <w:rPr>
                <w:rFonts w:ascii="Palatino Linotype" w:eastAsia="Palatino Linotype" w:hAnsi="Palatino Linotype" w:cs="Palatino Linotype"/>
                <w:b/>
                <w:color w:val="000000"/>
              </w:rPr>
              <w:lastRenderedPageBreak/>
              <w:t>Obligados</w:t>
            </w:r>
            <w:r w:rsidRPr="00DC38C2">
              <w:rPr>
                <w:rFonts w:ascii="Palatino Linotype" w:eastAsia="Palatino Linotype" w:hAnsi="Palatino Linotype" w:cs="Palatino Linotype"/>
                <w:color w:val="000000"/>
              </w:rPr>
              <w:t xml:space="preserve">, por lo que deberán fundar y motivar debidamente la clasificación. </w:t>
            </w:r>
          </w:p>
          <w:p w:rsidR="00783FB8" w:rsidRPr="00DC38C2" w:rsidRDefault="005F2828" w:rsidP="00DC38C2">
            <w:pPr>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De lo anterior, se desprende que para una correcta </w:t>
            </w:r>
            <w:r w:rsidRPr="00DC38C2">
              <w:rPr>
                <w:rFonts w:ascii="Palatino Linotype" w:eastAsia="Palatino Linotype" w:hAnsi="Palatino Linotype" w:cs="Palatino Linotype"/>
                <w:b/>
                <w:color w:val="000000"/>
              </w:rPr>
              <w:t>clasificación total o parcial</w:t>
            </w:r>
            <w:r w:rsidRPr="00DC38C2">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783FB8" w:rsidRPr="00DC38C2" w:rsidRDefault="005F2828" w:rsidP="00DC38C2">
            <w:pPr>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783FB8" w:rsidRPr="00DC38C2" w:rsidRDefault="005F2828" w:rsidP="00DC38C2">
            <w:pPr>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783FB8" w:rsidRPr="00DC38C2" w:rsidRDefault="005F2828" w:rsidP="00DC38C2">
            <w:pPr>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Ahora bien, </w:t>
            </w:r>
            <w:r w:rsidRPr="00DC38C2">
              <w:rPr>
                <w:rFonts w:ascii="Palatino Linotype" w:eastAsia="Palatino Linotype" w:hAnsi="Palatino Linotype" w:cs="Palatino Linotype"/>
                <w:b/>
                <w:color w:val="000000"/>
                <w:u w:val="single"/>
              </w:rPr>
              <w:t>para cada caso además de fundar y motivar</w:t>
            </w:r>
            <w:r w:rsidRPr="00DC38C2">
              <w:rPr>
                <w:rFonts w:ascii="Palatino Linotype" w:eastAsia="Palatino Linotype" w:hAnsi="Palatino Linotype" w:cs="Palatino Linotype"/>
                <w:color w:val="000000"/>
              </w:rPr>
              <w:t xml:space="preserve">, se debe identificar con claridad que datos contenidos en las documentales que son susceptibles de suprimirse, por ejemplo; Clave Única de Registro de Población (CURP), Registro Federal de Contribuyentes </w:t>
            </w:r>
            <w:r w:rsidRPr="00DC38C2">
              <w:rPr>
                <w:rFonts w:ascii="Palatino Linotype" w:eastAsia="Palatino Linotype" w:hAnsi="Palatino Linotype" w:cs="Palatino Linotype"/>
                <w:color w:val="000000"/>
              </w:rPr>
              <w:lastRenderedPageBreak/>
              <w:t>(R.F.C.), claves de seguros, préstamos o descuentos personales, secretos bancario, fiduciario, industrial, comercial, fiscal, bursátil y postal, cuya titularidad corresponda a particulares, entre otros.</w:t>
            </w:r>
          </w:p>
        </w:tc>
      </w:tr>
      <w:tr w:rsidR="00783FB8" w:rsidRPr="00DC38C2" w:rsidTr="00DC38C2">
        <w:tc>
          <w:tcPr>
            <w:tcW w:w="2689" w:type="dxa"/>
          </w:tcPr>
          <w:p w:rsidR="00783FB8" w:rsidRPr="00DC38C2" w:rsidRDefault="005F2828" w:rsidP="00DC38C2">
            <w:pPr>
              <w:spacing w:line="360" w:lineRule="auto"/>
              <w:jc w:val="both"/>
              <w:rPr>
                <w:rFonts w:ascii="Palatino Linotype" w:eastAsia="Palatino Linotype" w:hAnsi="Palatino Linotype" w:cs="Palatino Linotype"/>
              </w:rPr>
            </w:pPr>
            <w:r w:rsidRPr="00DC38C2">
              <w:rPr>
                <w:rFonts w:ascii="Palatino Linotype" w:eastAsia="Palatino Linotype" w:hAnsi="Palatino Linotype" w:cs="Palatino Linotype"/>
              </w:rPr>
              <w:lastRenderedPageBreak/>
              <w:t xml:space="preserve">e) Condiciones especiales de la clasificación de la información como confidencial. </w:t>
            </w:r>
          </w:p>
        </w:tc>
        <w:tc>
          <w:tcPr>
            <w:tcW w:w="7207" w:type="dxa"/>
          </w:tcPr>
          <w:p w:rsidR="00783FB8" w:rsidRPr="00DC38C2" w:rsidRDefault="005F2828" w:rsidP="00DC38C2">
            <w:pPr>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783FB8" w:rsidRPr="00DC38C2" w:rsidRDefault="005F2828" w:rsidP="00DC38C2">
            <w:pPr>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783FB8" w:rsidRPr="00DC38C2" w:rsidRDefault="005F2828" w:rsidP="00DC38C2">
            <w:pPr>
              <w:spacing w:line="360" w:lineRule="auto"/>
              <w:rPr>
                <w:rFonts w:ascii="Palatino Linotype" w:eastAsia="Palatino Linotype" w:hAnsi="Palatino Linotype" w:cs="Palatino Linotype"/>
              </w:rPr>
            </w:pPr>
            <w:r w:rsidRPr="00DC38C2">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783FB8" w:rsidRPr="00DC38C2" w:rsidRDefault="00783FB8">
      <w:pPr>
        <w:tabs>
          <w:tab w:val="left" w:pos="284"/>
        </w:tabs>
        <w:spacing w:line="360" w:lineRule="auto"/>
        <w:rPr>
          <w:rFonts w:ascii="Palatino Linotype" w:eastAsia="Palatino Linotype" w:hAnsi="Palatino Linotype" w:cs="Palatino Linotype"/>
          <w:color w:val="000000"/>
        </w:rPr>
      </w:pPr>
    </w:p>
    <w:p w:rsidR="00513B78" w:rsidRPr="00DC38C2" w:rsidRDefault="00513B78" w:rsidP="00513B78">
      <w:pPr>
        <w:pStyle w:val="Prrafodelista"/>
        <w:pBdr>
          <w:top w:val="nil"/>
          <w:left w:val="nil"/>
          <w:bottom w:val="nil"/>
          <w:right w:val="nil"/>
          <w:between w:val="nil"/>
        </w:pBdr>
        <w:tabs>
          <w:tab w:val="left" w:pos="284"/>
        </w:tabs>
        <w:spacing w:line="360" w:lineRule="auto"/>
        <w:ind w:left="0"/>
        <w:jc w:val="both"/>
        <w:rPr>
          <w:rFonts w:ascii="Palatino Linotype" w:eastAsia="Palatino Linotype" w:hAnsi="Palatino Linotype" w:cs="Palatino Linotype"/>
          <w:color w:val="000000"/>
        </w:rPr>
      </w:pPr>
    </w:p>
    <w:p w:rsidR="00513B78" w:rsidRPr="00DC38C2" w:rsidRDefault="00513B78" w:rsidP="000C2601">
      <w:pPr>
        <w:pStyle w:val="Prrafodelista"/>
        <w:numPr>
          <w:ilvl w:val="0"/>
          <w:numId w:val="6"/>
        </w:numPr>
        <w:pBdr>
          <w:top w:val="nil"/>
          <w:left w:val="nil"/>
          <w:bottom w:val="nil"/>
          <w:right w:val="nil"/>
          <w:between w:val="nil"/>
        </w:pBdr>
        <w:tabs>
          <w:tab w:val="left" w:pos="284"/>
        </w:tabs>
        <w:spacing w:line="360" w:lineRule="auto"/>
        <w:jc w:val="both"/>
        <w:rPr>
          <w:rFonts w:ascii="Palatino Linotype" w:eastAsia="Palatino Linotype" w:hAnsi="Palatino Linotype" w:cs="Palatino Linotype"/>
          <w:color w:val="000000"/>
        </w:rPr>
      </w:pPr>
      <w:r w:rsidRPr="00DC38C2">
        <w:rPr>
          <w:rFonts w:ascii="Palatino Linotype" w:hAnsi="Palatino Linotype"/>
          <w:color w:val="222222"/>
        </w:rPr>
        <w:t>Por otro lado, de manera enunciativa mas no limitativas, dentro de los elementos que integran los recibos de nómina se pueden encontrar los siguientes:</w:t>
      </w:r>
    </w:p>
    <w:p w:rsidR="00513B78" w:rsidRPr="00DC38C2" w:rsidRDefault="00513B78" w:rsidP="00513B78">
      <w:pPr>
        <w:pStyle w:val="Prrafodelista"/>
        <w:numPr>
          <w:ilvl w:val="0"/>
          <w:numId w:val="1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Clave Única de Registro de Población (CURP);</w:t>
      </w:r>
    </w:p>
    <w:p w:rsidR="00513B78" w:rsidRPr="00DC38C2" w:rsidRDefault="00513B78" w:rsidP="00513B78">
      <w:pPr>
        <w:pStyle w:val="Prrafodelista"/>
        <w:numPr>
          <w:ilvl w:val="0"/>
          <w:numId w:val="1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Número de ISSEMyM;</w:t>
      </w:r>
    </w:p>
    <w:p w:rsidR="00513B78" w:rsidRPr="00DC38C2" w:rsidRDefault="00513B78" w:rsidP="00513B78">
      <w:pPr>
        <w:pStyle w:val="Prrafodelista"/>
        <w:numPr>
          <w:ilvl w:val="0"/>
          <w:numId w:val="1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Número de empleado;</w:t>
      </w:r>
    </w:p>
    <w:p w:rsidR="00513B78" w:rsidRPr="00DC38C2" w:rsidRDefault="00513B78" w:rsidP="00513B78">
      <w:pPr>
        <w:pStyle w:val="Prrafodelista"/>
        <w:numPr>
          <w:ilvl w:val="0"/>
          <w:numId w:val="1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lastRenderedPageBreak/>
        <w:t>Registro Federal de Contribuyentes (RFC);</w:t>
      </w:r>
    </w:p>
    <w:p w:rsidR="00513B78" w:rsidRPr="00DC38C2" w:rsidRDefault="00513B78" w:rsidP="00513B78">
      <w:pPr>
        <w:pStyle w:val="Prrafodelista"/>
        <w:numPr>
          <w:ilvl w:val="0"/>
          <w:numId w:val="1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Número de Serie del CSD del SAT;</w:t>
      </w:r>
    </w:p>
    <w:p w:rsidR="00513B78" w:rsidRPr="00DC38C2" w:rsidRDefault="00513B78" w:rsidP="00513B78">
      <w:pPr>
        <w:pStyle w:val="Prrafodelista"/>
        <w:numPr>
          <w:ilvl w:val="0"/>
          <w:numId w:val="1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Número de Serie del CDS del emisor;</w:t>
      </w:r>
    </w:p>
    <w:p w:rsidR="00513B78" w:rsidRPr="00DC38C2" w:rsidRDefault="00513B78" w:rsidP="00513B78">
      <w:pPr>
        <w:pStyle w:val="Prrafodelista"/>
        <w:numPr>
          <w:ilvl w:val="0"/>
          <w:numId w:val="1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Serie y folio;</w:t>
      </w:r>
    </w:p>
    <w:p w:rsidR="00513B78" w:rsidRPr="00DC38C2" w:rsidRDefault="00513B78" w:rsidP="00513B78">
      <w:pPr>
        <w:pStyle w:val="Prrafodelista"/>
        <w:numPr>
          <w:ilvl w:val="0"/>
          <w:numId w:val="1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Firma;</w:t>
      </w:r>
    </w:p>
    <w:p w:rsidR="00513B78" w:rsidRPr="00DC38C2" w:rsidRDefault="00513B78" w:rsidP="00513B78">
      <w:pPr>
        <w:pStyle w:val="Prrafodelista"/>
        <w:numPr>
          <w:ilvl w:val="0"/>
          <w:numId w:val="1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Código QR;</w:t>
      </w:r>
    </w:p>
    <w:p w:rsidR="00513B78" w:rsidRPr="00DC38C2" w:rsidRDefault="00513B78" w:rsidP="00513B78">
      <w:pPr>
        <w:pStyle w:val="Prrafodelista"/>
        <w:numPr>
          <w:ilvl w:val="0"/>
          <w:numId w:val="1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Sello Digital del Contribuyente; y</w:t>
      </w:r>
    </w:p>
    <w:p w:rsidR="00513B78" w:rsidRPr="00DC38C2" w:rsidRDefault="00513B78" w:rsidP="00513B78">
      <w:pPr>
        <w:pStyle w:val="Prrafodelista"/>
        <w:numPr>
          <w:ilvl w:val="0"/>
          <w:numId w:val="13"/>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Sello Digital del SAT.</w:t>
      </w:r>
    </w:p>
    <w:p w:rsidR="00513B78" w:rsidRPr="00DC38C2" w:rsidRDefault="00513B78" w:rsidP="00513B78">
      <w:pPr>
        <w:pStyle w:val="Prrafodelista"/>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p>
    <w:p w:rsidR="00513B78" w:rsidRPr="00DC38C2" w:rsidRDefault="00513B78" w:rsidP="00513B78">
      <w:pPr>
        <w:pStyle w:val="Ttulo3"/>
        <w:numPr>
          <w:ilvl w:val="0"/>
          <w:numId w:val="13"/>
        </w:numPr>
        <w:rPr>
          <w:rFonts w:ascii="Palatino Linotype" w:eastAsia="Palatino Linotype" w:hAnsi="Palatino Linotype" w:cs="Palatino Linotype"/>
          <w:b/>
          <w:color w:val="000000"/>
        </w:rPr>
      </w:pPr>
      <w:r w:rsidRPr="00DC38C2">
        <w:rPr>
          <w:rFonts w:ascii="Palatino Linotype" w:eastAsia="Palatino Linotype" w:hAnsi="Palatino Linotype" w:cs="Palatino Linotype"/>
          <w:b/>
          <w:color w:val="000000"/>
        </w:rPr>
        <w:t>Clave Única de Registro de Población (CURP).</w:t>
      </w:r>
    </w:p>
    <w:p w:rsidR="00513B78" w:rsidRPr="00DC38C2" w:rsidRDefault="00513B78" w:rsidP="000C2601">
      <w:pPr>
        <w:pStyle w:val="Prrafodelista"/>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 xml:space="preserve">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se integra por dieciocho (18) caracteres, los cuales son: </w:t>
      </w:r>
    </w:p>
    <w:p w:rsidR="00513B78" w:rsidRPr="00DC38C2" w:rsidRDefault="00513B78" w:rsidP="00513B78">
      <w:pPr>
        <w:shd w:val="clear" w:color="auto" w:fill="FFFFFF"/>
        <w:spacing w:before="240" w:after="240" w:line="360" w:lineRule="auto"/>
        <w:jc w:val="both"/>
        <w:rPr>
          <w:rFonts w:ascii="Palatino Linotype" w:hAnsi="Palatino Linotype"/>
          <w:color w:val="222222"/>
        </w:rPr>
      </w:pPr>
      <w:r w:rsidRPr="00DC38C2">
        <w:rPr>
          <w:noProof/>
          <w:lang w:val="es-MX"/>
        </w:rPr>
        <w:lastRenderedPageBreak/>
        <w:drawing>
          <wp:inline distT="0" distB="0" distL="0" distR="0" wp14:anchorId="3777AAB5" wp14:editId="04DCB30E">
            <wp:extent cx="5305425" cy="4676775"/>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25748" t="8269" r="41254" b="18081"/>
                    <a:stretch>
                      <a:fillRect/>
                    </a:stretch>
                  </pic:blipFill>
                  <pic:spPr>
                    <a:xfrm>
                      <a:off x="0" y="0"/>
                      <a:ext cx="5305425" cy="4676775"/>
                    </a:xfrm>
                    <a:prstGeom prst="rect">
                      <a:avLst/>
                    </a:prstGeom>
                    <a:ln/>
                  </pic:spPr>
                </pic:pic>
              </a:graphicData>
            </a:graphic>
          </wp:inline>
        </w:drawing>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 xml:space="preserve">Es entonces que a partir de los datos básicos de la persona (nombre, apellido, sexo, fecha y lugar de nacimiento) encontrados en los documentos probatorios de identidad es que se genera la CURP, la cual tiene la particularidad de asegurar una correspondencia entre claves y personas. </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 xml:space="preserve">Entre las características de la CURP, se encuentra: </w:t>
      </w:r>
    </w:p>
    <w:p w:rsidR="00513B78" w:rsidRPr="00DC38C2" w:rsidRDefault="00513B78" w:rsidP="00513B78">
      <w:pPr>
        <w:pStyle w:val="Prrafodelista"/>
        <w:tabs>
          <w:tab w:val="left" w:pos="426"/>
          <w:tab w:val="left" w:pos="567"/>
        </w:tabs>
        <w:spacing w:line="360" w:lineRule="auto"/>
        <w:ind w:left="851"/>
        <w:jc w:val="both"/>
        <w:rPr>
          <w:rFonts w:ascii="Palatino Linotype" w:eastAsia="Palatino Linotype" w:hAnsi="Palatino Linotype" w:cs="Palatino Linotype"/>
        </w:rPr>
      </w:pPr>
      <w:r w:rsidRPr="00DC38C2">
        <w:rPr>
          <w:rFonts w:ascii="Palatino Linotype" w:eastAsia="Palatino Linotype" w:hAnsi="Palatino Linotype" w:cs="Palatino Linotype"/>
          <w:b/>
        </w:rPr>
        <w:t xml:space="preserve">Composición. </w:t>
      </w:r>
      <w:r w:rsidRPr="00DC38C2">
        <w:rPr>
          <w:rFonts w:ascii="Palatino Linotype" w:eastAsia="Palatino Linotype" w:hAnsi="Palatino Linotype" w:cs="Palatino Linotype"/>
        </w:rPr>
        <w:t>Alfanumérica.</w:t>
      </w:r>
    </w:p>
    <w:p w:rsidR="00513B78" w:rsidRPr="00DC38C2" w:rsidRDefault="00513B78" w:rsidP="00513B78">
      <w:pPr>
        <w:pStyle w:val="Prrafodelista"/>
        <w:tabs>
          <w:tab w:val="left" w:pos="426"/>
          <w:tab w:val="left" w:pos="567"/>
        </w:tabs>
        <w:spacing w:line="360" w:lineRule="auto"/>
        <w:ind w:left="851"/>
        <w:jc w:val="both"/>
        <w:rPr>
          <w:rFonts w:ascii="Palatino Linotype" w:eastAsia="Palatino Linotype" w:hAnsi="Palatino Linotype" w:cs="Palatino Linotype"/>
        </w:rPr>
      </w:pPr>
      <w:r w:rsidRPr="00DC38C2">
        <w:rPr>
          <w:rFonts w:ascii="Palatino Linotype" w:eastAsia="Palatino Linotype" w:hAnsi="Palatino Linotype" w:cs="Palatino Linotype"/>
          <w:b/>
        </w:rPr>
        <w:t xml:space="preserve">Longitud. </w:t>
      </w:r>
      <w:r w:rsidRPr="00DC38C2">
        <w:rPr>
          <w:rFonts w:ascii="Palatino Linotype" w:eastAsia="Palatino Linotype" w:hAnsi="Palatino Linotype" w:cs="Palatino Linotype"/>
        </w:rPr>
        <w:t xml:space="preserve"> 18 caracteres.</w:t>
      </w:r>
    </w:p>
    <w:p w:rsidR="00513B78" w:rsidRPr="00DC38C2" w:rsidRDefault="00513B78" w:rsidP="00513B78">
      <w:pPr>
        <w:pStyle w:val="Prrafodelista"/>
        <w:tabs>
          <w:tab w:val="left" w:pos="426"/>
          <w:tab w:val="left" w:pos="567"/>
        </w:tabs>
        <w:spacing w:line="360" w:lineRule="auto"/>
        <w:ind w:left="851"/>
        <w:jc w:val="both"/>
        <w:rPr>
          <w:rFonts w:ascii="Palatino Linotype" w:eastAsia="Palatino Linotype" w:hAnsi="Palatino Linotype" w:cs="Palatino Linotype"/>
        </w:rPr>
      </w:pPr>
      <w:r w:rsidRPr="00DC38C2">
        <w:rPr>
          <w:rFonts w:ascii="Palatino Linotype" w:eastAsia="Palatino Linotype" w:hAnsi="Palatino Linotype" w:cs="Palatino Linotype"/>
          <w:b/>
        </w:rPr>
        <w:lastRenderedPageBreak/>
        <w:t xml:space="preserve">Naturaleza. </w:t>
      </w:r>
      <w:r w:rsidRPr="00DC38C2">
        <w:rPr>
          <w:rFonts w:ascii="Palatino Linotype" w:eastAsia="Palatino Linotype" w:hAnsi="Palatino Linotype" w:cs="Palatino Linotype"/>
        </w:rPr>
        <w:t>Biunívoca.</w:t>
      </w:r>
    </w:p>
    <w:p w:rsidR="00513B78" w:rsidRPr="00DC38C2" w:rsidRDefault="00513B78" w:rsidP="00513B78">
      <w:pPr>
        <w:pStyle w:val="Prrafodelista"/>
        <w:tabs>
          <w:tab w:val="left" w:pos="426"/>
          <w:tab w:val="left" w:pos="567"/>
        </w:tabs>
        <w:spacing w:line="360" w:lineRule="auto"/>
        <w:ind w:left="851"/>
        <w:jc w:val="both"/>
        <w:rPr>
          <w:rFonts w:ascii="Palatino Linotype" w:eastAsia="Palatino Linotype" w:hAnsi="Palatino Linotype" w:cs="Palatino Linotype"/>
        </w:rPr>
      </w:pPr>
      <w:r w:rsidRPr="00DC38C2">
        <w:rPr>
          <w:rFonts w:ascii="Palatino Linotype" w:eastAsia="Palatino Linotype" w:hAnsi="Palatino Linotype" w:cs="Palatino Linotype"/>
          <w:b/>
        </w:rPr>
        <w:t xml:space="preserve">Universalidad. </w:t>
      </w:r>
      <w:r w:rsidRPr="00DC38C2">
        <w:rPr>
          <w:rFonts w:ascii="Palatino Linotype" w:eastAsia="Palatino Linotype" w:hAnsi="Palatino Linotype" w:cs="Palatino Linotype"/>
        </w:rPr>
        <w:t>Se asigna a todas las personas que conforman la población.</w:t>
      </w:r>
    </w:p>
    <w:p w:rsidR="00513B78" w:rsidRPr="00DC38C2" w:rsidRDefault="00513B78" w:rsidP="00513B78">
      <w:pPr>
        <w:pStyle w:val="Prrafodelista"/>
        <w:tabs>
          <w:tab w:val="left" w:pos="426"/>
          <w:tab w:val="left" w:pos="567"/>
        </w:tabs>
        <w:spacing w:line="360" w:lineRule="auto"/>
        <w:ind w:left="851"/>
        <w:jc w:val="both"/>
        <w:rPr>
          <w:rFonts w:ascii="Palatino Linotype" w:eastAsia="Palatino Linotype" w:hAnsi="Palatino Linotype" w:cs="Palatino Linotype"/>
          <w:b/>
        </w:rPr>
      </w:pPr>
      <w:r w:rsidRPr="00DC38C2">
        <w:rPr>
          <w:rFonts w:ascii="Palatino Linotype" w:eastAsia="Palatino Linotype" w:hAnsi="Palatino Linotype" w:cs="Palatino Linotype"/>
          <w:b/>
        </w:rPr>
        <w:t xml:space="preserve">Verificabilidad. En su estructura existen elementos que permiten comprobar si fue conformada correctamente o no, así como fecha de nacimiento, sexo, identificad federativa de nacimiento y las primeras composiciones de la clave, conformadas por la letra inicial y primera vocal interna del primer apellido, la letra inicial del segundo apellido y la primera letra del nombre.  </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Es entonces que, de lo anterior, se desprende que la Clave Única de Registro de Población es un dato personal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 xml:space="preserve">Ante ello, resulta aplicable el Criterio 18/17 emitido por el Instituto Nacional de Transparencia, Acceso a la Información y Protección de Datos Personales, que a la literalidad señala: </w:t>
      </w:r>
    </w:p>
    <w:p w:rsidR="00513B78" w:rsidRPr="00DC38C2" w:rsidRDefault="00513B78" w:rsidP="00513B78">
      <w:pPr>
        <w:pStyle w:val="Prrafodelista"/>
        <w:pBdr>
          <w:top w:val="nil"/>
          <w:left w:val="nil"/>
          <w:bottom w:val="nil"/>
          <w:right w:val="nil"/>
          <w:between w:val="nil"/>
        </w:pBdr>
        <w:tabs>
          <w:tab w:val="left" w:pos="567"/>
        </w:tabs>
        <w:spacing w:line="360" w:lineRule="auto"/>
        <w:ind w:left="360"/>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i/>
          <w:color w:val="000000"/>
        </w:rPr>
        <w:t>“</w:t>
      </w:r>
      <w:r w:rsidRPr="00DC38C2">
        <w:rPr>
          <w:rFonts w:ascii="Palatino Linotype" w:eastAsia="Palatino Linotype" w:hAnsi="Palatino Linotype" w:cs="Palatino Linotype"/>
          <w:b/>
          <w:i/>
          <w:color w:val="000000"/>
        </w:rPr>
        <w:t xml:space="preserve">Clave Única de Registro de Población (CURP). </w:t>
      </w:r>
      <w:r w:rsidRPr="00DC38C2">
        <w:rPr>
          <w:rFonts w:ascii="Palatino Linotype" w:eastAsia="Palatino Linotype" w:hAnsi="Palatino Linotype" w:cs="Palatino Linotype"/>
          <w:i/>
          <w:color w:val="000000"/>
        </w:rPr>
        <w:t xml:space="preserve">La Clave Única de Registro de Población se integra por datos personales que sólo conciernen al particular titular de la misma, como lo son su </w:t>
      </w:r>
      <w:r w:rsidRPr="00DC38C2">
        <w:rPr>
          <w:rFonts w:ascii="Palatino Linotype" w:eastAsia="Palatino Linotype" w:hAnsi="Palatino Linotype" w:cs="Palatino Linotype"/>
          <w:i/>
          <w:color w:val="000000"/>
        </w:rPr>
        <w:lastRenderedPageBreak/>
        <w:t>nombre, apellidos, fecha de nacimiento, lugar de nacimiento y sexo. Dichos datos, constituyen información que distingue plenamente a una persona física del resto de los habitantes del</w:t>
      </w:r>
    </w:p>
    <w:p w:rsidR="00513B78" w:rsidRPr="00DC38C2" w:rsidRDefault="00513B78" w:rsidP="00513B78">
      <w:pPr>
        <w:pStyle w:val="Prrafodelista"/>
        <w:pBdr>
          <w:top w:val="nil"/>
          <w:left w:val="nil"/>
          <w:bottom w:val="nil"/>
          <w:right w:val="nil"/>
          <w:between w:val="nil"/>
        </w:pBdr>
        <w:tabs>
          <w:tab w:val="left" w:pos="567"/>
        </w:tabs>
        <w:spacing w:line="360" w:lineRule="auto"/>
        <w:ind w:left="0"/>
        <w:jc w:val="both"/>
        <w:rPr>
          <w:rFonts w:ascii="Palatino Linotype" w:eastAsia="Palatino Linotype" w:hAnsi="Palatino Linotype" w:cs="Palatino Linotype"/>
          <w:color w:val="000000"/>
        </w:rPr>
      </w:pPr>
    </w:p>
    <w:p w:rsidR="00513B78" w:rsidRPr="00DC38C2" w:rsidRDefault="00513B78" w:rsidP="00513B78">
      <w:pPr>
        <w:pStyle w:val="Ttulo3"/>
        <w:numPr>
          <w:ilvl w:val="0"/>
          <w:numId w:val="15"/>
        </w:numPr>
        <w:rPr>
          <w:rFonts w:ascii="Palatino Linotype" w:eastAsia="Palatino Linotype" w:hAnsi="Palatino Linotype" w:cs="Palatino Linotype"/>
          <w:b/>
          <w:color w:val="000000"/>
        </w:rPr>
      </w:pPr>
      <w:r w:rsidRPr="00DC38C2">
        <w:rPr>
          <w:rFonts w:ascii="Palatino Linotype" w:eastAsia="Palatino Linotype" w:hAnsi="Palatino Linotype" w:cs="Palatino Linotype"/>
          <w:b/>
          <w:color w:val="000000"/>
        </w:rPr>
        <w:t>Clave ISSEMyM</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 xml:space="preserve">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w:t>
      </w:r>
      <w:r w:rsidRPr="00DC38C2">
        <w:rPr>
          <w:rFonts w:ascii="Palatino Linotype" w:eastAsia="Palatino Linotype" w:hAnsi="Palatino Linotype" w:cs="Palatino Linotype"/>
          <w:color w:val="000000"/>
        </w:rPr>
        <w:lastRenderedPageBreak/>
        <w:t>cambia, aunque el trabajador se dé de baja y alta en diversas ocasiones, con motivo de haber trabajado en diferentes instituciones gubernamentales de la Entidad.</w:t>
      </w:r>
    </w:p>
    <w:p w:rsidR="00513B78" w:rsidRPr="00DC38C2" w:rsidRDefault="00513B78" w:rsidP="00513B78">
      <w:pPr>
        <w:pStyle w:val="Ttulo3"/>
        <w:numPr>
          <w:ilvl w:val="0"/>
          <w:numId w:val="15"/>
        </w:numPr>
        <w:rPr>
          <w:rFonts w:ascii="Palatino Linotype" w:eastAsia="Palatino Linotype" w:hAnsi="Palatino Linotype" w:cs="Palatino Linotype"/>
          <w:b/>
          <w:color w:val="000000"/>
        </w:rPr>
      </w:pPr>
      <w:r w:rsidRPr="00DC38C2">
        <w:rPr>
          <w:rFonts w:ascii="Palatino Linotype" w:eastAsia="Palatino Linotype" w:hAnsi="Palatino Linotype" w:cs="Palatino Linotype"/>
          <w:b/>
          <w:color w:val="000000"/>
        </w:rPr>
        <w:t>Número de empleado.</w:t>
      </w:r>
    </w:p>
    <w:p w:rsidR="00513B78" w:rsidRPr="00DC38C2" w:rsidRDefault="00513B78" w:rsidP="000C2601">
      <w:pPr>
        <w:numPr>
          <w:ilvl w:val="0"/>
          <w:numId w:val="6"/>
        </w:numPr>
        <w:shd w:val="clear" w:color="auto" w:fill="FFFFFF"/>
        <w:spacing w:before="240" w:after="240" w:line="360" w:lineRule="auto"/>
        <w:ind w:hanging="142"/>
        <w:jc w:val="both"/>
        <w:rPr>
          <w:rFonts w:ascii="Palatino Linotype" w:hAnsi="Palatino Linotype"/>
          <w:color w:val="222222"/>
        </w:rPr>
      </w:pPr>
      <w:r w:rsidRPr="00DC38C2">
        <w:rPr>
          <w:rFonts w:ascii="Palatino Linotype" w:eastAsia="Palatino Linotype" w:hAnsi="Palatino Linotype" w:cs="Palatino Linotype"/>
          <w:color w:val="000000"/>
        </w:rPr>
        <w:t>El número de empleado de los servidores públicos del Ayuntamiento son asignados por el Departamento de Recursos Humanos o equivalente y se trata de un código identificador para uso exclusivo del empleado que, de vincularse y relacionarse al RFC lo hace identificable plenamente y, con los mismos se puede tener acceso a diversa información, inclusive con sus datos personales.</w:t>
      </w:r>
    </w:p>
    <w:p w:rsidR="00513B78" w:rsidRPr="00DC38C2" w:rsidRDefault="00513B78" w:rsidP="000C2601">
      <w:pPr>
        <w:numPr>
          <w:ilvl w:val="0"/>
          <w:numId w:val="6"/>
        </w:numPr>
        <w:shd w:val="clear" w:color="auto" w:fill="FFFFFF"/>
        <w:spacing w:before="240" w:after="240" w:line="360" w:lineRule="auto"/>
        <w:ind w:hanging="142"/>
        <w:jc w:val="both"/>
        <w:rPr>
          <w:rFonts w:ascii="Palatino Linotype" w:hAnsi="Palatino Linotype"/>
          <w:color w:val="222222"/>
        </w:rPr>
      </w:pPr>
      <w:r w:rsidRPr="00DC38C2">
        <w:rPr>
          <w:rFonts w:ascii="Palatino Linotype" w:eastAsia="Palatino Linotype" w:hAnsi="Palatino Linotype" w:cs="Palatino Linotype"/>
          <w:color w:val="000000"/>
        </w:rPr>
        <w:t>Se trata de un número de identificación personal utilizado como usuario para acceder a diferentes aplicaciones internas del Ayuntamiento y que en las cuales existe información confidencial que atañe a su titular sirve de apoyo el criterio 06/19 emitido por el instituto Nacional de Transparencia, Acceso a la Información y Protección de Datos Personales (INAI):</w:t>
      </w:r>
    </w:p>
    <w:p w:rsidR="00513B78" w:rsidRPr="00DC38C2" w:rsidRDefault="00513B78" w:rsidP="00513B78">
      <w:pPr>
        <w:pStyle w:val="Prrafodelista"/>
        <w:pBdr>
          <w:top w:val="nil"/>
          <w:left w:val="nil"/>
          <w:bottom w:val="nil"/>
          <w:right w:val="nil"/>
          <w:between w:val="nil"/>
        </w:pBdr>
        <w:spacing w:line="360" w:lineRule="auto"/>
        <w:ind w:left="851"/>
        <w:jc w:val="both"/>
        <w:rPr>
          <w:rFonts w:ascii="Palatino Linotype" w:eastAsia="Palatino Linotype" w:hAnsi="Palatino Linotype" w:cs="Palatino Linotype"/>
          <w:i/>
          <w:color w:val="000000"/>
        </w:rPr>
      </w:pPr>
      <w:r w:rsidRPr="00DC38C2">
        <w:rPr>
          <w:rFonts w:ascii="Palatino Linotype" w:eastAsia="Palatino Linotype" w:hAnsi="Palatino Linotype" w:cs="Palatino Linotype"/>
          <w:b/>
          <w:i/>
          <w:color w:val="000000"/>
        </w:rPr>
        <w:t>Número de empleado.</w:t>
      </w:r>
      <w:r w:rsidRPr="00DC38C2">
        <w:rPr>
          <w:rFonts w:ascii="Palatino Linotype" w:eastAsia="Palatino Linotype" w:hAnsi="Palatino Linotype" w:cs="Palatino Linotype"/>
          <w:i/>
          <w:color w:val="000000"/>
        </w:rPr>
        <w:t xml:space="preserve"> Cuando el número de empleado o su equivalente, se integra con datos personales de los trabajadores o funciona como una clave de acceso que no requiere adicionalmente de una contraseña para ingresar a sistemas de base de datos personales, procede su clasificación como confidencial.</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En otros escenarios, el número de empleado corresponde sólo a un número consecutivo que no contiene datos personales ni se relaciona con los mismos, por lo que, el Sujeto Obligado deberá de clasificar dicho dato únicamente si se integra con datos personales, tal y como lo señala el criterio orientador.</w:t>
      </w:r>
    </w:p>
    <w:p w:rsidR="00DC38C2" w:rsidRPr="00DC38C2" w:rsidRDefault="00DC38C2" w:rsidP="00DC38C2">
      <w:pPr>
        <w:shd w:val="clear" w:color="auto" w:fill="FFFFFF"/>
        <w:spacing w:before="240" w:after="240" w:line="360" w:lineRule="auto"/>
        <w:jc w:val="both"/>
        <w:rPr>
          <w:rFonts w:ascii="Palatino Linotype" w:hAnsi="Palatino Linotype"/>
          <w:color w:val="222222"/>
        </w:rPr>
      </w:pPr>
    </w:p>
    <w:p w:rsidR="00513B78" w:rsidRPr="00DC38C2" w:rsidRDefault="00513B78" w:rsidP="00513B78">
      <w:pPr>
        <w:pStyle w:val="Ttulo3"/>
        <w:numPr>
          <w:ilvl w:val="0"/>
          <w:numId w:val="15"/>
        </w:numPr>
        <w:rPr>
          <w:rFonts w:ascii="Palatino Linotype" w:eastAsia="Palatino Linotype" w:hAnsi="Palatino Linotype" w:cs="Palatino Linotype"/>
          <w:b/>
          <w:color w:val="000000"/>
        </w:rPr>
      </w:pPr>
      <w:r w:rsidRPr="00DC38C2">
        <w:rPr>
          <w:rFonts w:ascii="Palatino Linotype" w:eastAsia="Palatino Linotype" w:hAnsi="Palatino Linotype" w:cs="Palatino Linotype"/>
          <w:b/>
          <w:color w:val="000000"/>
        </w:rPr>
        <w:lastRenderedPageBreak/>
        <w:t>Registro Federal de Contribuyentes (RFC)</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Conforme a lo expuesto, el Registro Federal de Contribuyentes, es un dato personal,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lastRenderedPageBreak/>
        <w:t>Lo anterior, resulta congruente con el Criterio 19/17 emitido por el Instituto Nacional de Transparencia, Acceso a la Información y Protección de Datos Personales, en el cual se señala lo siguiente:</w:t>
      </w:r>
    </w:p>
    <w:p w:rsidR="00513B78" w:rsidRPr="00DC38C2" w:rsidRDefault="00513B78" w:rsidP="00513B78">
      <w:pPr>
        <w:pStyle w:val="Prrafodelista"/>
        <w:spacing w:line="360" w:lineRule="auto"/>
        <w:ind w:left="851"/>
        <w:jc w:val="both"/>
        <w:rPr>
          <w:rFonts w:ascii="Palatino Linotype" w:eastAsia="Palatino Linotype" w:hAnsi="Palatino Linotype" w:cs="Palatino Linotype"/>
          <w:b/>
          <w:i/>
        </w:rPr>
      </w:pPr>
      <w:r w:rsidRPr="00DC38C2">
        <w:rPr>
          <w:rFonts w:ascii="Palatino Linotype" w:eastAsia="Palatino Linotype" w:hAnsi="Palatino Linotype" w:cs="Palatino Linotype"/>
          <w:b/>
          <w:i/>
        </w:rPr>
        <w:t xml:space="preserve">Registro Federal de Contribuyentes (RFC) de personas físicas. </w:t>
      </w:r>
    </w:p>
    <w:p w:rsidR="00513B78" w:rsidRPr="00DC38C2" w:rsidRDefault="00513B78" w:rsidP="00513B78">
      <w:pPr>
        <w:pStyle w:val="Prrafodelista"/>
        <w:pBdr>
          <w:top w:val="nil"/>
          <w:left w:val="nil"/>
          <w:bottom w:val="nil"/>
          <w:right w:val="nil"/>
          <w:between w:val="nil"/>
        </w:pBdr>
        <w:spacing w:line="360" w:lineRule="auto"/>
        <w:ind w:left="851"/>
        <w:jc w:val="both"/>
        <w:rPr>
          <w:rFonts w:ascii="Palatino Linotype" w:eastAsia="Palatino Linotype" w:hAnsi="Palatino Linotype" w:cs="Palatino Linotype"/>
          <w:i/>
          <w:color w:val="000000"/>
        </w:rPr>
      </w:pPr>
      <w:r w:rsidRPr="00DC38C2">
        <w:rPr>
          <w:rFonts w:ascii="Palatino Linotype" w:eastAsia="Palatino Linotype" w:hAnsi="Palatino Linotype" w:cs="Palatino Linotype"/>
          <w:i/>
          <w:color w:val="000000"/>
        </w:rPr>
        <w:t>El RFC es una clave de carácter fiscal, única e irrepetible, que permite identificar al titular, su edad y fecha de nacimiento, por lo que es un dato personal de carácter confidencial.</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b/>
          <w:color w:val="000000"/>
        </w:rPr>
        <w:t>De tal suerte, el Registro Federal de Contribuyentes de las personas físicas no guarda relación con la transparencia de los recursos públicos</w:t>
      </w:r>
      <w:r w:rsidRPr="00DC38C2">
        <w:rPr>
          <w:rFonts w:ascii="Palatino Linotype" w:eastAsia="Palatino Linotype" w:hAnsi="Palatino Linotype" w:cs="Palatino Linotype"/>
          <w:color w:val="000000"/>
        </w:rPr>
        <w:t>, así como tampoco con el desempeño laboral que pueda tener una persona.</w:t>
      </w:r>
    </w:p>
    <w:p w:rsidR="00513B78" w:rsidRPr="00DC38C2" w:rsidRDefault="00513B78" w:rsidP="00513B78">
      <w:pPr>
        <w:pStyle w:val="Ttulo3"/>
        <w:numPr>
          <w:ilvl w:val="0"/>
          <w:numId w:val="15"/>
        </w:numPr>
        <w:rPr>
          <w:rFonts w:ascii="Palatino Linotype" w:eastAsia="Palatino Linotype" w:hAnsi="Palatino Linotype" w:cs="Palatino Linotype"/>
          <w:b/>
          <w:color w:val="000000"/>
        </w:rPr>
      </w:pPr>
      <w:r w:rsidRPr="00DC38C2">
        <w:rPr>
          <w:rFonts w:ascii="Palatino Linotype" w:eastAsia="Palatino Linotype" w:hAnsi="Palatino Linotype" w:cs="Palatino Linotype"/>
          <w:b/>
          <w:color w:val="000000"/>
        </w:rPr>
        <w:t>Deducciones personales</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 xml:space="preserve">Es necesario precisar que existen deducciones que se generan con motivo de una decisión libre y voluntaria de los servidores públicos, como son: créditos personales, </w:t>
      </w:r>
      <w:r w:rsidRPr="00DC38C2">
        <w:rPr>
          <w:rFonts w:ascii="Palatino Linotype" w:eastAsia="Palatino Linotype" w:hAnsi="Palatino Linotype" w:cs="Palatino Linotype"/>
          <w:b/>
          <w:color w:val="000000"/>
          <w:u w:val="single"/>
        </w:rPr>
        <w:t>cuotas sindicales y fondo de resistencia del Sindicato Único de Trabajadores de los Poderes, Municipios e Institución Descentralizadas del Estado de México</w:t>
      </w:r>
      <w:r w:rsidRPr="00DC38C2">
        <w:rPr>
          <w:rFonts w:ascii="Palatino Linotype" w:eastAsia="Palatino Linotype" w:hAnsi="Palatino Linotype" w:cs="Palatino Linotype"/>
          <w:color w:val="000000"/>
        </w:rPr>
        <w:t>, seguro de vida, accidentes y enfermedades.</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 xml:space="preserve">Asimismo, hay otras que se generan con motivo de una sentencia judicial, como es la pensión alimenticia que periódicamente se retira de la cuenta de un empleado, a efecto de que sea entregado a un tercero.  </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 xml:space="preserve">En consecuencia, este tipo de deducciones son fruto de decisiones que impactan en el patrimonio de un servidor público con la finalidad de obtener un beneficio conforme a la decisión de un trabajador, mismas que no implican la entrega de recursos con cargo al erario, y tampoco reflejan el ejercicio de una prestación; por el contrario, en dichos casos se trata del </w:t>
      </w:r>
      <w:r w:rsidRPr="00DC38C2">
        <w:rPr>
          <w:rFonts w:ascii="Palatino Linotype" w:eastAsia="Palatino Linotype" w:hAnsi="Palatino Linotype" w:cs="Palatino Linotype"/>
          <w:color w:val="000000"/>
        </w:rPr>
        <w:lastRenderedPageBreak/>
        <w:t xml:space="preserve">libre ejercicio del servidor público para disponer de un ingreso que forma parte de su patrimonio. </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Así, dichas deducciones reflejan el destino que un servidor público da a su patrimonio, lo que se aleja de la transparencia y rendición de cuentas.</w:t>
      </w:r>
      <w:bookmarkStart w:id="12" w:name="_heading=h.1ksv4uv" w:colFirst="0" w:colLast="0"/>
      <w:bookmarkEnd w:id="12"/>
    </w:p>
    <w:p w:rsidR="00513B78" w:rsidRPr="00DC38C2" w:rsidRDefault="00513B78" w:rsidP="00513B78">
      <w:pPr>
        <w:pStyle w:val="Ttulo3"/>
        <w:numPr>
          <w:ilvl w:val="0"/>
          <w:numId w:val="15"/>
        </w:numPr>
        <w:rPr>
          <w:rFonts w:ascii="Palatino Linotype" w:eastAsia="Palatino Linotype" w:hAnsi="Palatino Linotype" w:cs="Palatino Linotype"/>
          <w:b/>
          <w:color w:val="000000"/>
        </w:rPr>
      </w:pPr>
      <w:r w:rsidRPr="00DC38C2">
        <w:rPr>
          <w:rFonts w:ascii="Palatino Linotype" w:eastAsia="Palatino Linotype" w:hAnsi="Palatino Linotype" w:cs="Palatino Linotype"/>
          <w:b/>
          <w:color w:val="000000"/>
        </w:rPr>
        <w:t>CÓDIGO QR</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 xml:space="preserve">En principio, resulta necesario señalar que los comprobantes fiscales digitales por Internet, deben de incluir un código bidimensional conforme al formato </w:t>
      </w:r>
      <w:r w:rsidRPr="00DC38C2">
        <w:rPr>
          <w:rFonts w:ascii="Palatino Linotype" w:eastAsia="Palatino Linotype" w:hAnsi="Palatino Linotype" w:cs="Palatino Linotype"/>
          <w:i/>
          <w:color w:val="000000"/>
        </w:rPr>
        <w:t>QR Code (Quick Response Code)</w:t>
      </w:r>
      <w:r w:rsidRPr="00DC38C2">
        <w:rPr>
          <w:rFonts w:ascii="Palatino Linotype" w:eastAsia="Palatino Linotype" w:hAnsi="Palatino Linotype" w:cs="Palatino Linotype"/>
          <w:color w:val="000000"/>
        </w:rPr>
        <w:t xml:space="preserve">, el cual contiene el Registro Federal de Contribuyentes del receptor, del emisor, o de ambos; lo anterior, conforme al Anexo 20 de la Segunda Resolución de modificación a la Resolución Miscelánea Fiscal para el 2017, localizada en la página electrónica  </w:t>
      </w:r>
      <w:hyperlink r:id="rId9">
        <w:r w:rsidRPr="00DC38C2">
          <w:rPr>
            <w:rFonts w:ascii="Palatino Linotype" w:eastAsia="Palatino Linotype" w:hAnsi="Palatino Linotype" w:cs="Palatino Linotype"/>
            <w:color w:val="0563C1"/>
            <w:u w:val="single"/>
          </w:rPr>
          <w:t>http://dof.gob.mx/nota_detalle.php?codigo=5492254&amp;fecha=28/07/2017</w:t>
        </w:r>
      </w:hyperlink>
      <w:r w:rsidRPr="00DC38C2">
        <w:rPr>
          <w:rFonts w:ascii="Palatino Linotype" w:eastAsia="Palatino Linotype" w:hAnsi="Palatino Linotype" w:cs="Palatino Linotype"/>
          <w:color w:val="000000"/>
        </w:rPr>
        <w:t>. Incluso con la captura de dicho código, a través de la aplicación móvil del Servicio de Administración Tributaria, permite el acceso al Registro Federal de Contribuyentes, como del Sujeto Obligado, como de los servidores públicos.</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De tales circunstancias, se considera que dicho dato actualiza la causal de clasificación prevista en el artículo 143, fracción I de la Ley de la materia, toda vez que da acceso al Registro Federal de Contribuyentes de los servidores públicos del Sujeto Obligado, datos que tal como se señaló previamente, son clasificados.</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Hasta este punto, se considera que la información relacionada con los siguientes puntos actualiza una causal de confidencialidad, toda vez que identifica o hace identificable a su titular.</w:t>
      </w:r>
    </w:p>
    <w:p w:rsidR="00513B78" w:rsidRPr="00DC38C2" w:rsidRDefault="00513B78" w:rsidP="00513B78">
      <w:pPr>
        <w:pStyle w:val="Prrafodelista"/>
        <w:numPr>
          <w:ilvl w:val="0"/>
          <w:numId w:val="14"/>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Clave Única de Registro de Población (CURP)</w:t>
      </w:r>
    </w:p>
    <w:p w:rsidR="00513B78" w:rsidRPr="00DC38C2" w:rsidRDefault="00513B78" w:rsidP="00513B78">
      <w:pPr>
        <w:pStyle w:val="Prrafodelista"/>
        <w:numPr>
          <w:ilvl w:val="0"/>
          <w:numId w:val="14"/>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lastRenderedPageBreak/>
        <w:t>Clave ISSEMyM</w:t>
      </w:r>
    </w:p>
    <w:p w:rsidR="00513B78" w:rsidRPr="00DC38C2" w:rsidRDefault="00513B78" w:rsidP="00513B78">
      <w:pPr>
        <w:pStyle w:val="Prrafodelista"/>
        <w:numPr>
          <w:ilvl w:val="0"/>
          <w:numId w:val="14"/>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 xml:space="preserve">Número de empleado </w:t>
      </w:r>
      <w:r w:rsidRPr="00DC38C2">
        <w:rPr>
          <w:rFonts w:ascii="Palatino Linotype" w:eastAsia="Palatino Linotype" w:hAnsi="Palatino Linotype" w:cs="Palatino Linotype"/>
          <w:b/>
          <w:color w:val="000000"/>
        </w:rPr>
        <w:t>(sólo en el caso de que contenga datos personales o se relacione con los mismos, de lo contrario es información pública)</w:t>
      </w:r>
    </w:p>
    <w:p w:rsidR="00513B78" w:rsidRPr="00DC38C2" w:rsidRDefault="00513B78" w:rsidP="00513B78">
      <w:pPr>
        <w:pStyle w:val="Prrafodelista"/>
        <w:numPr>
          <w:ilvl w:val="0"/>
          <w:numId w:val="14"/>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Registro Federal de Contribuyentes (RFC)</w:t>
      </w:r>
    </w:p>
    <w:p w:rsidR="00513B78" w:rsidRPr="00DC38C2" w:rsidRDefault="00513B78" w:rsidP="00513B78">
      <w:pPr>
        <w:pStyle w:val="Prrafodelista"/>
        <w:numPr>
          <w:ilvl w:val="0"/>
          <w:numId w:val="14"/>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Deducciones personales</w:t>
      </w:r>
    </w:p>
    <w:p w:rsidR="00513B78" w:rsidRPr="00DC38C2" w:rsidRDefault="00513B78" w:rsidP="00513B78">
      <w:pPr>
        <w:pStyle w:val="Prrafodelista"/>
        <w:numPr>
          <w:ilvl w:val="0"/>
          <w:numId w:val="14"/>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DC38C2">
        <w:rPr>
          <w:rFonts w:ascii="Palatino Linotype" w:eastAsia="Palatino Linotype" w:hAnsi="Palatino Linotype" w:cs="Palatino Linotype"/>
          <w:b/>
          <w:color w:val="000000"/>
        </w:rPr>
        <w:t>Código QR</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Es decir, los datos personales enlistados constituyen datos personales confidenciales al actualizar el supuesto normativo del artículo 143, fracción I de la Ley de Transparencia y Acceso a la Información Pública del Estado de México y Municipios.</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En consecuencia, si deben ser clasificados como confidenciales y es procedente que se proporcionen a través de una versión pública que los proteja. No obstante, es necesario continuar con el análisis de la información que a dicho del Sujeto Obligado debe ser clasificada como confidencial.</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Ahora bien, siguiendo con el análisis de los datos que contienen los recibos remitidos, siguen los siguientes:</w:t>
      </w:r>
      <w:bookmarkStart w:id="13" w:name="_heading=h.44sinio" w:colFirst="0" w:colLast="0"/>
      <w:bookmarkEnd w:id="13"/>
    </w:p>
    <w:p w:rsidR="00513B78" w:rsidRPr="00DC38C2" w:rsidRDefault="00513B78" w:rsidP="00513B78">
      <w:pPr>
        <w:pStyle w:val="Ttulo3"/>
        <w:numPr>
          <w:ilvl w:val="0"/>
          <w:numId w:val="16"/>
        </w:numPr>
        <w:spacing w:line="360" w:lineRule="auto"/>
        <w:jc w:val="both"/>
        <w:rPr>
          <w:rFonts w:ascii="Palatino Linotype" w:eastAsia="Palatino Linotype" w:hAnsi="Palatino Linotype" w:cs="Palatino Linotype"/>
          <w:b/>
          <w:color w:val="000000"/>
        </w:rPr>
      </w:pPr>
      <w:r w:rsidRPr="00DC38C2">
        <w:rPr>
          <w:rFonts w:ascii="Palatino Linotype" w:eastAsia="Palatino Linotype" w:hAnsi="Palatino Linotype" w:cs="Palatino Linotype"/>
          <w:b/>
          <w:color w:val="000000"/>
        </w:rPr>
        <w:t>Sellos digitales del emisor y del Servicio de Administración Tributaria y cadena original del complemento de certificación digital del órgano previamente señalado; así como folio fiscal. (PUBLICOS)</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 xml:space="preserve">Cuando, de la secuencia de números y letras, no se advierta un Registro Federal de Contribuyentes o una Clave Única de Registro de Población, que pueda hacer identificable al titular del dato personal, no puede tenerse como dato personal y por ende información confidencial. Por el contrario, debe considerarse que esta información incluida en los </w:t>
      </w:r>
      <w:r w:rsidRPr="00DC38C2">
        <w:rPr>
          <w:rFonts w:ascii="Palatino Linotype" w:eastAsia="Palatino Linotype" w:hAnsi="Palatino Linotype" w:cs="Palatino Linotype"/>
          <w:color w:val="000000"/>
        </w:rPr>
        <w:lastRenderedPageBreak/>
        <w:t>documentos fiscales, constituyen un elemento adicional que permite a cualquier persona verificar la legitimidad del documento entregado en una solicitud de acceso a la información y, por sí solos no contienen datos personales susceptibles de clasificación, ya que no hacen identificado o identificable a su titular, pues dichos datos sólo son de utilidad de manera directa a la Secretaría de Hacienda y Crédito Público y si bien, dichas cadenas sí derivan de la información personal de los contribuyentes, esta se encuentra encriptada como se verá a continuación.</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Las cadenas originales y sellos que se agregan a las facturas</w:t>
      </w:r>
      <w:r w:rsidRPr="00DC38C2">
        <w:rPr>
          <w:rFonts w:ascii="Palatino Linotype" w:eastAsia="Palatino Linotype" w:hAnsi="Palatino Linotype" w:cs="Palatino Linotype"/>
          <w:b/>
          <w:color w:val="000000"/>
        </w:rPr>
        <w:t>,</w:t>
      </w:r>
      <w:r w:rsidRPr="00DC38C2">
        <w:rPr>
          <w:rFonts w:ascii="Palatino Linotype" w:eastAsia="Palatino Linotype" w:hAnsi="Palatino Linotype" w:cs="Palatino Linotype"/>
          <w:color w:val="000000"/>
        </w:rPr>
        <w:t xml:space="preserve">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rsidR="00513B78" w:rsidRPr="00DC38C2" w:rsidRDefault="00513B78" w:rsidP="00513B78">
      <w:pPr>
        <w:pStyle w:val="Prrafodelista"/>
        <w:spacing w:line="360" w:lineRule="auto"/>
        <w:ind w:left="851" w:right="539"/>
        <w:jc w:val="both"/>
        <w:rPr>
          <w:rFonts w:ascii="Palatino Linotype" w:eastAsia="Palatino Linotype" w:hAnsi="Palatino Linotype" w:cs="Palatino Linotype"/>
          <w:i/>
        </w:rPr>
      </w:pPr>
      <w:r w:rsidRPr="00DC38C2">
        <w:rPr>
          <w:rFonts w:ascii="Palatino Linotype" w:eastAsia="Palatino Linotype" w:hAnsi="Palatino Linotype" w:cs="Palatino Linotype"/>
          <w:i/>
        </w:rPr>
        <w:t>“Elementos utilizados en la generación de Sellos Digitales:</w:t>
      </w:r>
    </w:p>
    <w:p w:rsidR="00513B78" w:rsidRPr="00DC38C2" w:rsidRDefault="00513B78" w:rsidP="00513B78">
      <w:pPr>
        <w:pStyle w:val="Prrafodelista"/>
        <w:spacing w:line="360" w:lineRule="auto"/>
        <w:ind w:left="851" w:right="539"/>
        <w:jc w:val="both"/>
        <w:rPr>
          <w:rFonts w:ascii="Palatino Linotype" w:eastAsia="Palatino Linotype" w:hAnsi="Palatino Linotype" w:cs="Palatino Linotype"/>
          <w:i/>
        </w:rPr>
      </w:pPr>
      <w:r w:rsidRPr="00DC38C2">
        <w:rPr>
          <w:rFonts w:ascii="Palatino Linotype" w:eastAsia="Palatino Linotype" w:hAnsi="Palatino Linotype" w:cs="Palatino Linotype"/>
          <w:i/>
        </w:rPr>
        <w:t>•Cadena Original, el elemento a sellar, en este caso de un comprobante fiscal digital a través de Internet.</w:t>
      </w:r>
    </w:p>
    <w:p w:rsidR="00513B78" w:rsidRPr="00DC38C2" w:rsidRDefault="00513B78" w:rsidP="00513B78">
      <w:pPr>
        <w:pStyle w:val="Prrafodelista"/>
        <w:spacing w:line="360" w:lineRule="auto"/>
        <w:ind w:left="851" w:right="539"/>
        <w:jc w:val="both"/>
        <w:rPr>
          <w:rFonts w:ascii="Palatino Linotype" w:eastAsia="Palatino Linotype" w:hAnsi="Palatino Linotype" w:cs="Palatino Linotype"/>
          <w:i/>
        </w:rPr>
      </w:pPr>
      <w:r w:rsidRPr="00DC38C2">
        <w:rPr>
          <w:rFonts w:ascii="Palatino Linotype" w:eastAsia="Palatino Linotype" w:hAnsi="Palatino Linotype" w:cs="Palatino Linotype"/>
          <w:i/>
        </w:rPr>
        <w:t>•Certificado de Sello Digital y su correspondiente clave privada.</w:t>
      </w:r>
    </w:p>
    <w:p w:rsidR="00513B78" w:rsidRPr="00DC38C2" w:rsidRDefault="00513B78" w:rsidP="00513B78">
      <w:pPr>
        <w:pStyle w:val="Prrafodelista"/>
        <w:spacing w:line="360" w:lineRule="auto"/>
        <w:ind w:left="851" w:right="539"/>
        <w:jc w:val="both"/>
        <w:rPr>
          <w:rFonts w:ascii="Palatino Linotype" w:eastAsia="Palatino Linotype" w:hAnsi="Palatino Linotype" w:cs="Palatino Linotype"/>
          <w:i/>
        </w:rPr>
      </w:pPr>
      <w:r w:rsidRPr="00DC38C2">
        <w:rPr>
          <w:rFonts w:ascii="Palatino Linotype" w:eastAsia="Palatino Linotype" w:hAnsi="Palatino Linotype" w:cs="Palatino Linotype"/>
          <w:i/>
        </w:rPr>
        <w:t>•Algoritmos de criptografía de clave pública para firma electrónica avanzada.</w:t>
      </w:r>
    </w:p>
    <w:p w:rsidR="00513B78" w:rsidRPr="00DC38C2" w:rsidRDefault="00513B78" w:rsidP="00513B78">
      <w:pPr>
        <w:pStyle w:val="Prrafodelista"/>
        <w:spacing w:line="360" w:lineRule="auto"/>
        <w:ind w:left="851" w:right="539"/>
        <w:jc w:val="both"/>
        <w:rPr>
          <w:rFonts w:ascii="Palatino Linotype" w:eastAsia="Palatino Linotype" w:hAnsi="Palatino Linotype" w:cs="Palatino Linotype"/>
          <w:i/>
        </w:rPr>
      </w:pPr>
      <w:r w:rsidRPr="00DC38C2">
        <w:rPr>
          <w:rFonts w:ascii="Palatino Linotype" w:eastAsia="Palatino Linotype" w:hAnsi="Palatino Linotype" w:cs="Palatino Linotype"/>
          <w:i/>
        </w:rPr>
        <w:t>•Especificaciones de conversión de la firma electrónica avanzada a Base 64.</w:t>
      </w:r>
    </w:p>
    <w:p w:rsidR="00513B78" w:rsidRPr="00DC38C2" w:rsidRDefault="00513B78" w:rsidP="00513B78">
      <w:pPr>
        <w:spacing w:line="360" w:lineRule="auto"/>
        <w:ind w:left="851" w:right="539"/>
        <w:jc w:val="both"/>
        <w:rPr>
          <w:rFonts w:ascii="Palatino Linotype" w:eastAsia="Palatino Linotype" w:hAnsi="Palatino Linotype" w:cs="Palatino Linotype"/>
          <w:i/>
        </w:rPr>
      </w:pPr>
      <w:r w:rsidRPr="00DC38C2">
        <w:rPr>
          <w:rFonts w:ascii="Palatino Linotype" w:eastAsia="Palatino Linotype" w:hAnsi="Palatino Linotype" w:cs="Palatino Linotype"/>
          <w:i/>
        </w:rPr>
        <w:t>Para la generación de sellos digitales se utiliza criptografía de clave pública aplicada a una cadena original.</w:t>
      </w:r>
    </w:p>
    <w:p w:rsidR="00513B78" w:rsidRPr="00DC38C2" w:rsidRDefault="00513B78" w:rsidP="00513B78">
      <w:pPr>
        <w:pStyle w:val="Prrafodelista"/>
        <w:spacing w:line="360" w:lineRule="auto"/>
        <w:ind w:left="851" w:right="539"/>
        <w:jc w:val="both"/>
        <w:rPr>
          <w:rFonts w:ascii="Palatino Linotype" w:eastAsia="Palatino Linotype" w:hAnsi="Palatino Linotype" w:cs="Palatino Linotype"/>
          <w:i/>
        </w:rPr>
      </w:pPr>
      <w:r w:rsidRPr="00DC38C2">
        <w:rPr>
          <w:rFonts w:ascii="Palatino Linotype" w:eastAsia="Palatino Linotype" w:hAnsi="Palatino Linotype" w:cs="Palatino Linotype"/>
          <w:i/>
        </w:rPr>
        <w:t>Criptografía de la Clave Pública</w:t>
      </w:r>
    </w:p>
    <w:p w:rsidR="00513B78" w:rsidRPr="00DC38C2" w:rsidRDefault="00513B78" w:rsidP="00513B78">
      <w:pPr>
        <w:pStyle w:val="Prrafodelista"/>
        <w:spacing w:line="360" w:lineRule="auto"/>
        <w:ind w:left="851" w:right="539"/>
        <w:jc w:val="both"/>
        <w:rPr>
          <w:rFonts w:ascii="Palatino Linotype" w:eastAsia="Palatino Linotype" w:hAnsi="Palatino Linotype" w:cs="Palatino Linotype"/>
          <w:i/>
        </w:rPr>
      </w:pPr>
      <w:r w:rsidRPr="00DC38C2">
        <w:rPr>
          <w:rFonts w:ascii="Palatino Linotype" w:eastAsia="Palatino Linotype" w:hAnsi="Palatino Linotype" w:cs="Palatino Linotype"/>
          <w:i/>
        </w:rPr>
        <w:lastRenderedPageBreak/>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Es decir, por sí solos las cadenas originales y los sellos originales no contienen datos personales confidenciales, por lo que se considera que no actualizan en supuesto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Por otra parte, por lo que hace Folio Fiscal, cabe precisar que conforme al ANEXO 20 de la Segunda Resolución de modificaciones a la Resolución Miscelánea Fiscal para dos mil diecisiete, el folio fiscal se conforma de treinta seis caracteres alfanuméricos; además, que conforme al documento denominado “Cómo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 tal como se muestra a continuación:</w:t>
      </w:r>
    </w:p>
    <w:p w:rsidR="00513B78" w:rsidRPr="00DC38C2" w:rsidRDefault="00513B78" w:rsidP="00513B78">
      <w:p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noProof/>
          <w:lang w:val="es-MX"/>
        </w:rPr>
        <w:drawing>
          <wp:inline distT="0" distB="0" distL="0" distR="0" wp14:anchorId="21CDD6A3" wp14:editId="70AFE7AE">
            <wp:extent cx="5612130" cy="424735"/>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t="40505" r="32588" b="47482"/>
                    <a:stretch>
                      <a:fillRect/>
                    </a:stretch>
                  </pic:blipFill>
                  <pic:spPr>
                    <a:xfrm>
                      <a:off x="0" y="0"/>
                      <a:ext cx="5612130" cy="424735"/>
                    </a:xfrm>
                    <a:prstGeom prst="rect">
                      <a:avLst/>
                    </a:prstGeom>
                    <a:ln/>
                  </pic:spPr>
                </pic:pic>
              </a:graphicData>
            </a:graphic>
          </wp:inline>
        </w:drawing>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lastRenderedPageBreak/>
        <w:t>En ese contexto, de la misma manera que en los casos previamente analizados,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necesidad algún dato personal, por lo que, tampoco actualiza la clasificación, en términos del artículo 143, fracción I de la Ley de la materia.</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eastAsia="Palatino Linotype" w:hAnsi="Palatino Linotype" w:cs="Palatino Linotype"/>
          <w:color w:val="000000"/>
        </w:rPr>
        <w:t>De lo anteriormente transcrito, se aprecia que la versión pública que remitió el Sujeto Obligado resulta excesiva, pues se pretende clasificar información que es de carácter pública, tal como las deducciones, total de deducciones, otros pagos, así como sellos y cadenas digitales. Además, de que la información que se proporcione en la atención de las solicitudes debe ser la más actualizada, es decir, la solicitud de acceso a la información corresponde al veintinueve (29) de mayo de dos mil veintitrés, por lo que, en un correcto actuar, el Sujeto Obligado debió proporcionar la información relativa a la primera quince del mes de mayo, situación que no ocurrió, en consecuencia, se ORDENA entregar esta última en una correcta versión pública.</w:t>
      </w:r>
    </w:p>
    <w:p w:rsidR="00513B78" w:rsidRPr="00DC38C2" w:rsidRDefault="00513B78" w:rsidP="00513B78">
      <w:pPr>
        <w:pStyle w:val="Prrafodelista"/>
        <w:spacing w:line="360" w:lineRule="auto"/>
        <w:ind w:left="0"/>
        <w:jc w:val="both"/>
        <w:rPr>
          <w:rFonts w:ascii="Palatino Linotype" w:hAnsi="Palatino Linotype" w:cs="Arial"/>
          <w:b/>
        </w:rPr>
      </w:pPr>
      <w:r w:rsidRPr="00DC38C2">
        <w:rPr>
          <w:rFonts w:ascii="Palatino Linotype" w:hAnsi="Palatino Linotype" w:cs="Arial"/>
          <w:b/>
        </w:rPr>
        <w:t>Deducciones que no son personales.</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hAnsi="Palatino Linotype" w:cs="Arial"/>
        </w:rPr>
        <w:t>La Ley del Trabajo de los Servidores Públicos del Estado y Municipios</w:t>
      </w:r>
      <w:r w:rsidRPr="00DC38C2">
        <w:rPr>
          <w:rStyle w:val="Refdenotaalpie"/>
          <w:rFonts w:ascii="Palatino Linotype" w:hAnsi="Palatino Linotype" w:cs="Arial"/>
        </w:rPr>
        <w:footnoteReference w:id="6"/>
      </w:r>
      <w:r w:rsidRPr="00DC38C2">
        <w:rPr>
          <w:rFonts w:ascii="Palatino Linotype" w:hAnsi="Palatino Linotype" w:cs="Arial"/>
        </w:rPr>
        <w:t xml:space="preserve"> en el artículo 84 establece lo siguiente:</w:t>
      </w:r>
    </w:p>
    <w:p w:rsidR="00513B78" w:rsidRPr="00DC38C2" w:rsidRDefault="00513B78" w:rsidP="00513B78">
      <w:pPr>
        <w:pStyle w:val="Prrafodelista"/>
        <w:spacing w:line="360" w:lineRule="auto"/>
        <w:ind w:left="851" w:right="539"/>
        <w:jc w:val="both"/>
        <w:rPr>
          <w:rFonts w:ascii="Palatino Linotype" w:hAnsi="Palatino Linotype"/>
          <w:i/>
        </w:rPr>
      </w:pPr>
      <w:r w:rsidRPr="00DC38C2">
        <w:rPr>
          <w:rFonts w:ascii="Palatino Linotype" w:hAnsi="Palatino Linotype"/>
          <w:i/>
        </w:rPr>
        <w:lastRenderedPageBreak/>
        <w:t xml:space="preserve">ARTÍCULO 84. Sólo podrán hacerse retenciones, descuentos o deducciones al sueldo de los servidores públicos por concepto de: </w:t>
      </w:r>
    </w:p>
    <w:p w:rsidR="00513B78" w:rsidRPr="00DC38C2" w:rsidRDefault="00513B78" w:rsidP="00513B78">
      <w:pPr>
        <w:pStyle w:val="Prrafodelista"/>
        <w:spacing w:line="360" w:lineRule="auto"/>
        <w:ind w:left="851" w:right="539"/>
        <w:jc w:val="both"/>
        <w:rPr>
          <w:rFonts w:ascii="Palatino Linotype" w:hAnsi="Palatino Linotype"/>
          <w:b/>
          <w:i/>
        </w:rPr>
      </w:pPr>
      <w:r w:rsidRPr="00DC38C2">
        <w:rPr>
          <w:rFonts w:ascii="Palatino Linotype" w:hAnsi="Palatino Linotype"/>
          <w:b/>
          <w:i/>
        </w:rPr>
        <w:t>I. Gravámenes fiscales relacionados con el sueldo;</w:t>
      </w:r>
    </w:p>
    <w:p w:rsidR="00513B78" w:rsidRPr="00DC38C2" w:rsidRDefault="00513B78" w:rsidP="00513B78">
      <w:pPr>
        <w:pStyle w:val="Prrafodelista"/>
        <w:spacing w:line="360" w:lineRule="auto"/>
        <w:ind w:left="851" w:right="539"/>
        <w:jc w:val="both"/>
        <w:rPr>
          <w:rFonts w:ascii="Palatino Linotype" w:hAnsi="Palatino Linotype"/>
          <w:i/>
        </w:rPr>
      </w:pPr>
      <w:r w:rsidRPr="00DC38C2">
        <w:rPr>
          <w:rFonts w:ascii="Palatino Linotype" w:hAnsi="Palatino Linotype"/>
          <w:i/>
        </w:rPr>
        <w:t xml:space="preserve">II. Deudas contraídas con las instituciones públicas o dependencias por concepto de anticipos de sueldo, pagos hechos con exceso, errores o pérdidas debidamente comprobados; </w:t>
      </w:r>
    </w:p>
    <w:p w:rsidR="00513B78" w:rsidRPr="00DC38C2" w:rsidRDefault="00513B78" w:rsidP="00513B78">
      <w:pPr>
        <w:pStyle w:val="Prrafodelista"/>
        <w:spacing w:line="360" w:lineRule="auto"/>
        <w:ind w:left="851" w:right="539"/>
        <w:jc w:val="both"/>
        <w:rPr>
          <w:rFonts w:ascii="Palatino Linotype" w:hAnsi="Palatino Linotype"/>
          <w:i/>
        </w:rPr>
      </w:pPr>
      <w:r w:rsidRPr="00DC38C2">
        <w:rPr>
          <w:rFonts w:ascii="Palatino Linotype" w:hAnsi="Palatino Linotype"/>
          <w:i/>
        </w:rPr>
        <w:t xml:space="preserve">III. Cuotas sindicales; </w:t>
      </w:r>
    </w:p>
    <w:p w:rsidR="00513B78" w:rsidRPr="00DC38C2" w:rsidRDefault="00513B78" w:rsidP="00513B78">
      <w:pPr>
        <w:pStyle w:val="Prrafodelista"/>
        <w:spacing w:line="360" w:lineRule="auto"/>
        <w:ind w:left="851" w:right="539"/>
        <w:jc w:val="both"/>
        <w:rPr>
          <w:rFonts w:ascii="Palatino Linotype" w:hAnsi="Palatino Linotype"/>
          <w:b/>
          <w:i/>
        </w:rPr>
      </w:pPr>
      <w:r w:rsidRPr="00DC38C2">
        <w:rPr>
          <w:rFonts w:ascii="Palatino Linotype" w:hAnsi="Palatino Linotype"/>
          <w:b/>
          <w:i/>
        </w:rPr>
        <w:t xml:space="preserve">IV. Cuotas de aportación a fondos para la constitución de cooperativas y de cajas de ahorro, siempre que el servidor público hubiese manifestado previamente, de manera expresa, su conformidad; </w:t>
      </w:r>
    </w:p>
    <w:p w:rsidR="00513B78" w:rsidRPr="00DC38C2" w:rsidRDefault="00513B78" w:rsidP="00513B78">
      <w:pPr>
        <w:pStyle w:val="Prrafodelista"/>
        <w:spacing w:line="360" w:lineRule="auto"/>
        <w:ind w:left="851" w:right="539"/>
        <w:jc w:val="both"/>
        <w:rPr>
          <w:rFonts w:ascii="Palatino Linotype" w:hAnsi="Palatino Linotype"/>
          <w:b/>
          <w:i/>
        </w:rPr>
      </w:pPr>
      <w:r w:rsidRPr="00DC38C2">
        <w:rPr>
          <w:rFonts w:ascii="Palatino Linotype" w:hAnsi="Palatino Linotype"/>
          <w:b/>
          <w:i/>
        </w:rPr>
        <w:t xml:space="preserve">V. Descuentos ordenados por el Instituto de Seguridad Social del Estado de México y Municipios, con motivo de cuotas y obligaciones contraídas con éste por los servidores públicos; </w:t>
      </w:r>
    </w:p>
    <w:p w:rsidR="00513B78" w:rsidRPr="00DC38C2" w:rsidRDefault="00513B78" w:rsidP="00513B78">
      <w:pPr>
        <w:pStyle w:val="Prrafodelista"/>
        <w:spacing w:line="360" w:lineRule="auto"/>
        <w:ind w:left="851" w:right="539"/>
        <w:jc w:val="both"/>
        <w:rPr>
          <w:rFonts w:ascii="Palatino Linotype" w:hAnsi="Palatino Linotype"/>
          <w:i/>
        </w:rPr>
      </w:pPr>
      <w:r w:rsidRPr="00DC38C2">
        <w:rPr>
          <w:rFonts w:ascii="Palatino Linotype" w:hAnsi="Palatino Linotype"/>
          <w:i/>
        </w:rPr>
        <w:t xml:space="preserve">VI. Obligaciones a cargo del servidor público con las que haya consentido, derivadas de la adquisición o del uso de habitaciones consideradas como de interés social; </w:t>
      </w:r>
    </w:p>
    <w:p w:rsidR="00513B78" w:rsidRPr="00DC38C2" w:rsidRDefault="00513B78" w:rsidP="00513B78">
      <w:pPr>
        <w:pStyle w:val="Prrafodelista"/>
        <w:spacing w:line="360" w:lineRule="auto"/>
        <w:ind w:left="851" w:right="539"/>
        <w:jc w:val="both"/>
        <w:rPr>
          <w:rFonts w:ascii="Palatino Linotype" w:hAnsi="Palatino Linotype"/>
          <w:i/>
        </w:rPr>
      </w:pPr>
      <w:r w:rsidRPr="00DC38C2">
        <w:rPr>
          <w:rFonts w:ascii="Palatino Linotype" w:hAnsi="Palatino Linotype"/>
          <w:i/>
        </w:rPr>
        <w:t xml:space="preserve">VII. Faltas de puntualidad o de asistencia injustificadas; </w:t>
      </w:r>
    </w:p>
    <w:p w:rsidR="00513B78" w:rsidRPr="00DC38C2" w:rsidRDefault="00513B78" w:rsidP="00513B78">
      <w:pPr>
        <w:pStyle w:val="Prrafodelista"/>
        <w:spacing w:line="360" w:lineRule="auto"/>
        <w:ind w:left="851" w:right="539"/>
        <w:jc w:val="both"/>
        <w:rPr>
          <w:rFonts w:ascii="Palatino Linotype" w:hAnsi="Palatino Linotype"/>
          <w:i/>
        </w:rPr>
      </w:pPr>
      <w:r w:rsidRPr="00DC38C2">
        <w:rPr>
          <w:rFonts w:ascii="Palatino Linotype" w:hAnsi="Palatino Linotype"/>
          <w:i/>
        </w:rPr>
        <w:t xml:space="preserve">VIII. Pensiones alimenticias ordenadas por la autoridad judicial; o </w:t>
      </w:r>
    </w:p>
    <w:p w:rsidR="00513B78" w:rsidRPr="00DC38C2" w:rsidRDefault="00513B78" w:rsidP="00513B78">
      <w:pPr>
        <w:pStyle w:val="Prrafodelista"/>
        <w:spacing w:line="360" w:lineRule="auto"/>
        <w:ind w:left="851" w:right="539"/>
        <w:jc w:val="both"/>
        <w:rPr>
          <w:rFonts w:ascii="Palatino Linotype" w:hAnsi="Palatino Linotype"/>
          <w:i/>
        </w:rPr>
      </w:pPr>
      <w:r w:rsidRPr="00DC38C2">
        <w:rPr>
          <w:rFonts w:ascii="Palatino Linotype" w:hAnsi="Palatino Linotype"/>
          <w:i/>
        </w:rPr>
        <w:t>IX. Cualquier otro convenido con instituciones de servicios y aceptado por el servidor público.</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hAnsi="Palatino Linotype" w:cs="Arial"/>
        </w:rPr>
        <w:t xml:space="preserve">Dentro de las retenciones, descuentos o deducciones de sueldo se contemplan los gravámenes fiscales, Cuotas de aportación a fondos para la constitución de cooperativas y de cajas de ahorro, así como descuentos ordenados por el ISSEMyM por motivo de cuotas y obligaciones contraídas por los servidores públicos. Estos mencionados son de carácter público, toda vez que se consideran descuentos que por ley se deben realizar a los servidores </w:t>
      </w:r>
      <w:r w:rsidRPr="00DC38C2">
        <w:rPr>
          <w:rFonts w:ascii="Palatino Linotype" w:hAnsi="Palatino Linotype" w:cs="Arial"/>
        </w:rPr>
        <w:lastRenderedPageBreak/>
        <w:t>públicos contrario a las deducciones personales que son por voluntad de cada servidor público.</w:t>
      </w:r>
    </w:p>
    <w:p w:rsidR="00513B78" w:rsidRPr="00DC38C2" w:rsidRDefault="00513B78" w:rsidP="00513B78">
      <w:pPr>
        <w:pStyle w:val="Prrafodelista"/>
        <w:numPr>
          <w:ilvl w:val="0"/>
          <w:numId w:val="16"/>
        </w:numPr>
        <w:spacing w:line="360" w:lineRule="auto"/>
        <w:jc w:val="both"/>
        <w:rPr>
          <w:rFonts w:ascii="Palatino Linotype" w:hAnsi="Palatino Linotype" w:cs="Arial"/>
        </w:rPr>
      </w:pPr>
      <w:r w:rsidRPr="00DC38C2">
        <w:rPr>
          <w:rFonts w:ascii="Palatino Linotype" w:hAnsi="Palatino Linotype" w:cs="Arial"/>
          <w:b/>
        </w:rPr>
        <w:t>Seguro de Capitalización Individualizado.</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hAnsi="Palatino Linotype" w:cs="Arial"/>
        </w:rPr>
        <w:t>El Sistema de Capitalización Individualizado es el mecanismo mediante el cual, un servidor público y la Institución en la que labora, acumulan recursos, adicionales a su pensión; mismo que se integra hasta por tres rubros, los cuales son los siguientes:</w:t>
      </w:r>
    </w:p>
    <w:p w:rsidR="00513B78" w:rsidRPr="00DC38C2" w:rsidRDefault="00513B78" w:rsidP="00513B78">
      <w:pPr>
        <w:pStyle w:val="Prrafodelista"/>
        <w:spacing w:line="360" w:lineRule="auto"/>
        <w:jc w:val="both"/>
        <w:rPr>
          <w:rFonts w:ascii="Palatino Linotype" w:hAnsi="Palatino Linotype" w:cs="Arial"/>
        </w:rPr>
      </w:pPr>
      <w:r w:rsidRPr="00DC38C2">
        <w:rPr>
          <w:rFonts w:ascii="Palatino Linotype" w:hAnsi="Palatino Linotype" w:cs="Arial"/>
        </w:rPr>
        <w:t>•</w:t>
      </w:r>
      <w:r w:rsidRPr="00DC38C2">
        <w:rPr>
          <w:rFonts w:ascii="Palatino Linotype" w:hAnsi="Palatino Linotype" w:cs="Arial"/>
        </w:rPr>
        <w:tab/>
        <w:t>Subcuenta de cuota obligatoria; que corresponde a un porcentaje del sueldo sujeto a cotización, que se descuenta al servir público de manera automática.</w:t>
      </w:r>
    </w:p>
    <w:p w:rsidR="00513B78" w:rsidRPr="00DC38C2" w:rsidRDefault="00513B78" w:rsidP="00513B78">
      <w:pPr>
        <w:pStyle w:val="Prrafodelista"/>
        <w:spacing w:line="360" w:lineRule="auto"/>
        <w:jc w:val="both"/>
        <w:rPr>
          <w:rFonts w:ascii="Palatino Linotype" w:hAnsi="Palatino Linotype" w:cs="Arial"/>
        </w:rPr>
      </w:pPr>
      <w:r w:rsidRPr="00DC38C2">
        <w:rPr>
          <w:rFonts w:ascii="Palatino Linotype" w:hAnsi="Palatino Linotype" w:cs="Arial"/>
        </w:rPr>
        <w:t>•</w:t>
      </w:r>
      <w:r w:rsidRPr="00DC38C2">
        <w:rPr>
          <w:rFonts w:ascii="Palatino Linotype" w:hAnsi="Palatino Linotype" w:cs="Arial"/>
        </w:rPr>
        <w:tab/>
        <w:t>Subcuenta de aportación obligatoria: que es la aportación que realiza la Institución a favor del servidor público, el cual equivale a un porcentaje del sueldo sujeto a cotización.</w:t>
      </w:r>
    </w:p>
    <w:p w:rsidR="00513B78" w:rsidRPr="00DC38C2" w:rsidRDefault="00513B78" w:rsidP="00513B78">
      <w:pPr>
        <w:pStyle w:val="Prrafodelista"/>
        <w:spacing w:line="360" w:lineRule="auto"/>
        <w:jc w:val="both"/>
        <w:rPr>
          <w:rFonts w:ascii="Palatino Linotype" w:hAnsi="Palatino Linotype" w:cs="Arial"/>
        </w:rPr>
      </w:pPr>
      <w:r w:rsidRPr="00DC38C2">
        <w:rPr>
          <w:rFonts w:ascii="Palatino Linotype" w:hAnsi="Palatino Linotype" w:cs="Arial"/>
        </w:rPr>
        <w:t>•</w:t>
      </w:r>
      <w:r w:rsidRPr="00DC38C2">
        <w:rPr>
          <w:rFonts w:ascii="Palatino Linotype" w:hAnsi="Palatino Linotype" w:cs="Arial"/>
        </w:rPr>
        <w:tab/>
        <w:t xml:space="preserve">Subcuenta voluntaria: que es la cantidad que cada servidor público decide ahorrar de acuerdo con sus aportaciones, permitiendo acumular mayores ingresos para su retiro. </w:t>
      </w:r>
    </w:p>
    <w:p w:rsidR="00513B78" w:rsidRPr="00DC38C2" w:rsidRDefault="00513B78" w:rsidP="000C260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hAnsi="Palatino Linotype" w:cs="Arial"/>
        </w:rPr>
        <w:t xml:space="preserve">En razón de lo anterior, debe considerarse que la subcuenta de cuota obligatoria y subcuenta de aportación obligatoria, deben ser considerados datos de naturaleza pública, ya que su publicidad es necesaria, considerando que se trata del ejercicio de recursos públicos que se les ha asignado a las dependencias y entidades y, la publicidad de dicha información permite conocer con certeza si el monto de las aportaciones que la Institución en la que labora el servidor público, es equivalente al porcentaje del sueldo bruto mensual de los servidores públicos. Situación que se robustece, con el Criterio 05/10 emitido por el entonces Pleno del </w:t>
      </w:r>
      <w:r w:rsidRPr="00DC38C2">
        <w:rPr>
          <w:rFonts w:ascii="Palatino Linotype" w:hAnsi="Palatino Linotype" w:cs="Arial"/>
        </w:rPr>
        <w:lastRenderedPageBreak/>
        <w:t xml:space="preserve">Instituto Federal de Acceso a la Información y Protección de Datos, mismo que se trae por analogía, cuyo texto y rubro es el siguiente: </w:t>
      </w:r>
    </w:p>
    <w:p w:rsidR="00513B78" w:rsidRPr="00DC38C2" w:rsidRDefault="00513B78" w:rsidP="00513B78">
      <w:pPr>
        <w:pStyle w:val="Prrafodelista"/>
        <w:spacing w:line="360" w:lineRule="auto"/>
        <w:ind w:left="567" w:right="539"/>
        <w:jc w:val="both"/>
        <w:rPr>
          <w:rFonts w:ascii="Palatino Linotype" w:hAnsi="Palatino Linotype" w:cs="Arial"/>
          <w:i/>
        </w:rPr>
      </w:pPr>
      <w:r w:rsidRPr="00DC38C2">
        <w:rPr>
          <w:rFonts w:ascii="Palatino Linotype" w:hAnsi="Palatino Linotype" w:cs="Arial"/>
          <w:i/>
        </w:rPr>
        <w:t xml:space="preserve">“Naturaleza de la información relativa a los montos aportados al Seguro de Separación Individualizado. De conformidad con la normatividad aplicable, las aportaciones relativas al Seguro de Separación Individualizado pueden ser divididas en tres grupos: las realizadas por las dependencias y entidades de la Administración Pública Federal; las que realizan los servidores públicos a través de las retenciones que efectúa la dependencia o entidad vía nómina; y las aportaciones adicionales extraordinarias que realizan los servidores públicos. En términos de lo que establecen los artículos 7, fracción IV y 12 de la Ley Federal de Transparencia y Acceso a la Información Pública Gubernamental, en relación con el artículo 14 de su Reglamento, se considera que la información del primer y segundo grupo es de carácter público. Respecto del primer monto, se debe señalar que se trata de la entrega de recursos públicos adicionales a aquellos que corresponden al sueldo bruto mensual integrado, es decir, se trata de una prestación que se obtiene a partir de una partida presupuestal distinta a la que corresponde al sueldo de dichos trabajadores. Respecto del segundo monto, esto es, la parte que aportan los servidores públicos, es de señalarse que, aún cuando se refiere a una decisión personal sobre su patrimonio, su publicidad es necesaria para determinar si las dependencias y entidades correspondientes han manejado los recursos públicos federales que les son asignados de conformidad con las disposiciones legales aplicables; esto es, la publicidad de dicha información permite conocer con certeza si el monto de las aportaciones que el gobierno federal destina al pago de la prima del Seguro de Separación Individualizado es equivalente al porcentaje del sueldo bruto mensual integrado que los servidores públicos aportan al referido seguro. En relación con el tercer grupo, cabe destacar que se trata de aportaciones adicionales extraordinarias, respecto de </w:t>
      </w:r>
      <w:r w:rsidRPr="00DC38C2">
        <w:rPr>
          <w:rFonts w:ascii="Palatino Linotype" w:hAnsi="Palatino Linotype" w:cs="Arial"/>
          <w:i/>
        </w:rPr>
        <w:lastRenderedPageBreak/>
        <w:t>las cuales las dependencias y entidades no aportan pago alguno; por lo tanto, se trata de decisiones personales sobre el uso y destino que los servidores públicos desean dar a su patrimonio, información que de conformidad con los artículos 3, fracción II y 18, fracción II de la Ley Federal de Transparencia y Acceso a la Información Pública Gubernamental, debe clasificarse como confidencial.”</w:t>
      </w:r>
      <w:r w:rsidRPr="00DC38C2">
        <w:rPr>
          <w:rFonts w:ascii="Palatino Linotype" w:hAnsi="Palatino Linotype" w:cs="Arial"/>
        </w:rPr>
        <w:t xml:space="preserve"> </w:t>
      </w:r>
    </w:p>
    <w:p w:rsidR="00D649F1" w:rsidRPr="00DC38C2" w:rsidRDefault="00513B78" w:rsidP="00D649F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hAnsi="Palatino Linotype" w:cs="Arial"/>
        </w:rPr>
        <w:t xml:space="preserve">En suma, debe considerarse que la naturaleza de la subcuenta de cuota obligatoria y de la subcuenta de aportación obligatoria, son datos de naturaleza pública y por ende no procede su clasificación en términos del artículo 143, fracción I de la Ley de Transparencia y Acceso a la Información Pública del Estado de México y Municipios. </w:t>
      </w:r>
    </w:p>
    <w:p w:rsidR="00D649F1" w:rsidRPr="00DC38C2" w:rsidRDefault="00D649F1" w:rsidP="00D649F1">
      <w:pPr>
        <w:numPr>
          <w:ilvl w:val="0"/>
          <w:numId w:val="6"/>
        </w:numPr>
        <w:shd w:val="clear" w:color="auto" w:fill="FFFFFF"/>
        <w:spacing w:before="240" w:after="240" w:line="360" w:lineRule="auto"/>
        <w:jc w:val="both"/>
        <w:rPr>
          <w:rFonts w:ascii="Palatino Linotype" w:hAnsi="Palatino Linotype"/>
          <w:color w:val="222222"/>
        </w:rPr>
      </w:pPr>
      <w:r w:rsidRPr="00DC38C2">
        <w:rPr>
          <w:rFonts w:ascii="Palatino Linotype" w:hAnsi="Palatino Linotype"/>
          <w:color w:val="242424"/>
          <w:bdr w:val="none" w:sz="0" w:space="0" w:color="auto" w:frame="1"/>
        </w:rPr>
        <w:t>En atención a que se observa que la información de la que se requiere acceso contiene información de los elementos de seguridad pública, es necesario señalar que las condiciones en las cuales se deberá entregar la información solicitada adquieren una especial naturaleza.</w:t>
      </w:r>
    </w:p>
    <w:p w:rsidR="00D649F1" w:rsidRPr="00DC38C2" w:rsidRDefault="00D649F1" w:rsidP="00755856">
      <w:pPr>
        <w:pStyle w:val="xmsonormal"/>
        <w:numPr>
          <w:ilvl w:val="0"/>
          <w:numId w:val="6"/>
        </w:numPr>
        <w:shd w:val="clear" w:color="auto" w:fill="FFFFFF"/>
        <w:spacing w:before="0" w:beforeAutospacing="0" w:after="0" w:afterAutospacing="0" w:line="360" w:lineRule="auto"/>
        <w:ind w:right="1"/>
        <w:jc w:val="both"/>
        <w:rPr>
          <w:color w:val="242424"/>
        </w:rPr>
      </w:pPr>
      <w:r w:rsidRPr="00DC38C2">
        <w:rPr>
          <w:rFonts w:ascii="Palatino Linotype" w:hAnsi="Palatino Linotype"/>
          <w:color w:val="242424"/>
          <w:bdr w:val="none" w:sz="0" w:space="0" w:color="auto" w:frame="1"/>
        </w:rPr>
        <w:t>En efecto, este instituto advierte que otorgar acceso al nombre de policías operativos podría comprometer la integridad de los mismos, de conformidad con lo que establece el artículo 140 de la Ley de Transparencia y Acceso a la Información Pública del Estado de México y Municipios:</w:t>
      </w:r>
    </w:p>
    <w:p w:rsidR="00D649F1" w:rsidRPr="00DC38C2" w:rsidRDefault="00D649F1" w:rsidP="00D649F1">
      <w:pPr>
        <w:pStyle w:val="xmsonormal"/>
        <w:shd w:val="clear" w:color="auto" w:fill="FFFFFF"/>
        <w:spacing w:before="0" w:beforeAutospacing="0" w:after="0" w:afterAutospacing="0"/>
        <w:ind w:right="1"/>
        <w:jc w:val="both"/>
        <w:rPr>
          <w:color w:val="242424"/>
        </w:rPr>
      </w:pPr>
      <w:r w:rsidRPr="00DC38C2">
        <w:rPr>
          <w:rFonts w:ascii="Palatino Linotype" w:hAnsi="Palatino Linotype"/>
          <w:color w:val="242424"/>
          <w:bdr w:val="none" w:sz="0" w:space="0" w:color="auto" w:frame="1"/>
        </w:rPr>
        <w:t> </w:t>
      </w:r>
    </w:p>
    <w:p w:rsidR="00D649F1" w:rsidRPr="00DC38C2" w:rsidRDefault="00D649F1" w:rsidP="00D649F1">
      <w:pPr>
        <w:pStyle w:val="xgmail-msonormal"/>
        <w:shd w:val="clear" w:color="auto" w:fill="FFFFFF"/>
        <w:spacing w:before="0" w:beforeAutospacing="0" w:after="0" w:afterAutospacing="0"/>
        <w:ind w:left="567" w:right="616"/>
        <w:jc w:val="both"/>
        <w:rPr>
          <w:rFonts w:ascii="Segoe UI" w:hAnsi="Segoe UI" w:cs="Segoe UI"/>
          <w:color w:val="242424"/>
        </w:rPr>
      </w:pPr>
      <w:r w:rsidRPr="00DC38C2">
        <w:rPr>
          <w:rFonts w:ascii="Palatino Linotype" w:hAnsi="Palatino Linotype" w:cs="Segoe UI"/>
          <w:b/>
          <w:bCs/>
          <w:i/>
          <w:iCs/>
          <w:color w:val="242424"/>
          <w:bdr w:val="none" w:sz="0" w:space="0" w:color="auto" w:frame="1"/>
        </w:rPr>
        <w:t>“Artículo 140.</w:t>
      </w:r>
      <w:r w:rsidRPr="00DC38C2">
        <w:rPr>
          <w:rFonts w:ascii="Palatino Linotype" w:hAnsi="Palatino Linotype" w:cs="Segoe UI"/>
          <w:i/>
          <w:iCs/>
          <w:color w:val="242424"/>
          <w:bdr w:val="none" w:sz="0" w:space="0" w:color="auto" w:frame="1"/>
        </w:rPr>
        <w:t> El acceso a la información pública será restringido excepcionalmente, cuando por razones de interés público, ésta sea clasificada como reservada, conforme a los criterios siguientes:</w:t>
      </w:r>
    </w:p>
    <w:p w:rsidR="00D649F1" w:rsidRPr="00DC38C2" w:rsidRDefault="00D649F1" w:rsidP="00D649F1">
      <w:pPr>
        <w:pStyle w:val="xgmail-msonormal"/>
        <w:shd w:val="clear" w:color="auto" w:fill="FFFFFF"/>
        <w:spacing w:before="0" w:beforeAutospacing="0" w:after="0" w:afterAutospacing="0"/>
        <w:ind w:left="567" w:right="616"/>
        <w:jc w:val="both"/>
        <w:rPr>
          <w:rFonts w:ascii="Segoe UI" w:hAnsi="Segoe UI" w:cs="Segoe UI"/>
          <w:color w:val="242424"/>
        </w:rPr>
      </w:pPr>
      <w:r w:rsidRPr="00DC38C2">
        <w:rPr>
          <w:rFonts w:ascii="Palatino Linotype" w:hAnsi="Palatino Linotype" w:cs="Segoe UI"/>
          <w:i/>
          <w:iCs/>
          <w:color w:val="242424"/>
          <w:bdr w:val="none" w:sz="0" w:space="0" w:color="auto" w:frame="1"/>
        </w:rPr>
        <w:t>I. Comprometa la seguridad pública y cuente con un propósito genuino y un efecto demostrable;</w:t>
      </w:r>
    </w:p>
    <w:p w:rsidR="00D649F1" w:rsidRPr="00DC38C2" w:rsidRDefault="00D649F1" w:rsidP="00D649F1">
      <w:pPr>
        <w:pStyle w:val="xgmail-msonormal"/>
        <w:shd w:val="clear" w:color="auto" w:fill="FFFFFF"/>
        <w:spacing w:before="0" w:beforeAutospacing="0" w:after="0" w:afterAutospacing="0"/>
        <w:ind w:left="567" w:right="616"/>
        <w:jc w:val="both"/>
        <w:rPr>
          <w:rFonts w:ascii="Segoe UI" w:hAnsi="Segoe UI" w:cs="Segoe UI"/>
          <w:color w:val="242424"/>
        </w:rPr>
      </w:pPr>
      <w:r w:rsidRPr="00DC38C2">
        <w:rPr>
          <w:rFonts w:ascii="Palatino Linotype" w:hAnsi="Palatino Linotype" w:cs="Segoe UI"/>
          <w:i/>
          <w:iCs/>
          <w:color w:val="242424"/>
          <w:bdr w:val="none" w:sz="0" w:space="0" w:color="auto" w:frame="1"/>
        </w:rPr>
        <w:t>II. Pueda menoscabar la conducción de las negociaciones y relaciones internacionales;</w:t>
      </w:r>
    </w:p>
    <w:p w:rsidR="00D649F1" w:rsidRPr="00DC38C2" w:rsidRDefault="00D649F1" w:rsidP="00D649F1">
      <w:pPr>
        <w:pStyle w:val="xgmail-msonormal"/>
        <w:shd w:val="clear" w:color="auto" w:fill="FFFFFF"/>
        <w:spacing w:before="0" w:beforeAutospacing="0" w:after="0" w:afterAutospacing="0"/>
        <w:ind w:left="567" w:right="616"/>
        <w:jc w:val="both"/>
        <w:rPr>
          <w:rFonts w:ascii="Segoe UI" w:hAnsi="Segoe UI" w:cs="Segoe UI"/>
          <w:color w:val="242424"/>
        </w:rPr>
      </w:pPr>
      <w:r w:rsidRPr="00DC38C2">
        <w:rPr>
          <w:rFonts w:ascii="Palatino Linotype" w:hAnsi="Palatino Linotype" w:cs="Segoe UI"/>
          <w:i/>
          <w:iCs/>
          <w:color w:val="242424"/>
          <w:bdr w:val="none" w:sz="0" w:space="0" w:color="auto" w:frame="1"/>
        </w:rPr>
        <w:t xml:space="preserve">III. Se entregue a la Entidad expresamente con ese carácter o el de confidencialidad por otro u otros sujetos de derecho internacional, excepto cuando se trate de violaciones graves </w:t>
      </w:r>
      <w:r w:rsidRPr="00DC38C2">
        <w:rPr>
          <w:rFonts w:ascii="Palatino Linotype" w:hAnsi="Palatino Linotype" w:cs="Segoe UI"/>
          <w:i/>
          <w:iCs/>
          <w:color w:val="242424"/>
          <w:bdr w:val="none" w:sz="0" w:space="0" w:color="auto" w:frame="1"/>
        </w:rPr>
        <w:lastRenderedPageBreak/>
        <w:t>de derechos humanos o delitos de lesa humanidad de conformidad con el derecho internacional;</w:t>
      </w:r>
    </w:p>
    <w:p w:rsidR="00D649F1" w:rsidRPr="00DC38C2" w:rsidRDefault="00D649F1" w:rsidP="00D649F1">
      <w:pPr>
        <w:pStyle w:val="xgmail-msonormal"/>
        <w:shd w:val="clear" w:color="auto" w:fill="FFFFFF"/>
        <w:spacing w:before="0" w:beforeAutospacing="0" w:after="0" w:afterAutospacing="0"/>
        <w:ind w:left="567" w:right="616"/>
        <w:jc w:val="both"/>
        <w:rPr>
          <w:rFonts w:ascii="Segoe UI" w:hAnsi="Segoe UI" w:cs="Segoe UI"/>
          <w:color w:val="242424"/>
        </w:rPr>
      </w:pPr>
      <w:r w:rsidRPr="00DC38C2">
        <w:rPr>
          <w:rFonts w:ascii="Palatino Linotype" w:hAnsi="Palatino Linotype" w:cs="Segoe UI"/>
          <w:b/>
          <w:bCs/>
          <w:i/>
          <w:iCs/>
          <w:color w:val="242424"/>
          <w:bdr w:val="none" w:sz="0" w:space="0" w:color="auto" w:frame="1"/>
        </w:rPr>
        <w:t>IV. Ponga en riesgo la vida, la seguridad o la salud de una persona física;</w:t>
      </w:r>
    </w:p>
    <w:p w:rsidR="00D649F1" w:rsidRPr="00DC38C2" w:rsidRDefault="00D649F1" w:rsidP="00D649F1">
      <w:pPr>
        <w:pStyle w:val="xgmail-msonormal"/>
        <w:shd w:val="clear" w:color="auto" w:fill="FFFFFF"/>
        <w:spacing w:before="0" w:beforeAutospacing="0" w:after="0" w:afterAutospacing="0"/>
        <w:ind w:left="567" w:right="616"/>
        <w:jc w:val="both"/>
        <w:rPr>
          <w:rFonts w:ascii="Segoe UI" w:hAnsi="Segoe UI" w:cs="Segoe UI"/>
          <w:color w:val="242424"/>
        </w:rPr>
      </w:pPr>
      <w:r w:rsidRPr="00DC38C2">
        <w:rPr>
          <w:rFonts w:ascii="Palatino Linotype" w:hAnsi="Palatino Linotype" w:cs="Segoe UI"/>
          <w:i/>
          <w:iCs/>
          <w:color w:val="242424"/>
          <w:bdr w:val="none" w:sz="0" w:space="0" w:color="auto" w:frame="1"/>
        </w:rPr>
        <w:t> (…)”</w:t>
      </w:r>
    </w:p>
    <w:p w:rsidR="00D649F1" w:rsidRPr="00DC38C2" w:rsidRDefault="00D649F1" w:rsidP="00D649F1">
      <w:pPr>
        <w:pStyle w:val="xmsonormal"/>
        <w:shd w:val="clear" w:color="auto" w:fill="FFFFFF"/>
        <w:spacing w:before="0" w:beforeAutospacing="0" w:after="0" w:afterAutospacing="0"/>
        <w:ind w:right="1"/>
        <w:jc w:val="both"/>
        <w:rPr>
          <w:color w:val="242424"/>
        </w:rPr>
      </w:pPr>
      <w:r w:rsidRPr="00DC38C2">
        <w:rPr>
          <w:rFonts w:ascii="Palatino Linotype" w:hAnsi="Palatino Linotype"/>
          <w:b/>
          <w:bCs/>
          <w:color w:val="242424"/>
          <w:bdr w:val="none" w:sz="0" w:space="0" w:color="auto" w:frame="1"/>
        </w:rPr>
        <w:t> </w:t>
      </w:r>
    </w:p>
    <w:p w:rsidR="00D649F1" w:rsidRPr="00DC38C2" w:rsidRDefault="00D649F1" w:rsidP="00755856">
      <w:pPr>
        <w:pStyle w:val="xmsonormal"/>
        <w:numPr>
          <w:ilvl w:val="0"/>
          <w:numId w:val="6"/>
        </w:numPr>
        <w:shd w:val="clear" w:color="auto" w:fill="FFFFFF"/>
        <w:spacing w:before="0" w:beforeAutospacing="0" w:after="0" w:afterAutospacing="0" w:line="360" w:lineRule="auto"/>
        <w:ind w:right="1"/>
        <w:jc w:val="both"/>
        <w:rPr>
          <w:color w:val="242424"/>
        </w:rPr>
      </w:pPr>
      <w:r w:rsidRPr="00DC38C2">
        <w:rPr>
          <w:rFonts w:ascii="Palatino Linotype" w:hAnsi="Palatino Linotype"/>
          <w:color w:val="242424"/>
          <w:bdr w:val="none" w:sz="0" w:space="0" w:color="auto" w:frame="1"/>
        </w:rPr>
        <w:t xml:space="preserve"> En este contexto, este Pleno considera que dar a conocer los nombres de servidores públicos que realizan funciones en materia de seguridad, tal como es el caso de los policías, los vuelve identificables y posiblemente reconocibles para grupos delictivos; así, dicha información puede ser utilizada para </w:t>
      </w:r>
      <w:r w:rsidRPr="00DC38C2">
        <w:rPr>
          <w:rFonts w:ascii="Palatino Linotype" w:hAnsi="Palatino Linotype"/>
          <w:b/>
          <w:bCs/>
          <w:color w:val="242424"/>
          <w:bdr w:val="none" w:sz="0" w:space="0" w:color="auto" w:frame="1"/>
        </w:rPr>
        <w:t>vulnerar la vida, seguridad o salud de dichos elementos, incluso la de sus familias o entorno social, </w:t>
      </w:r>
      <w:r w:rsidRPr="00DC38C2">
        <w:rPr>
          <w:rFonts w:ascii="Palatino Linotype" w:hAnsi="Palatino Linotype"/>
          <w:color w:val="242424"/>
          <w:bdr w:val="none" w:sz="0" w:space="0" w:color="auto" w:frame="1"/>
        </w:rPr>
        <w:t>demás, de que aumenta el riesgo de que personas ajenas a los intereses institucionales e intenten realizar actos tendientes a inhibir o entrometerse en las funciones de los policías municipales, lo cual causaría una vulneración a la seguridad municipal.</w:t>
      </w:r>
    </w:p>
    <w:p w:rsidR="00D649F1" w:rsidRPr="00DC38C2" w:rsidRDefault="00D649F1" w:rsidP="00D649F1">
      <w:pPr>
        <w:pStyle w:val="xmsonormal"/>
        <w:shd w:val="clear" w:color="auto" w:fill="FFFFFF"/>
        <w:spacing w:before="0" w:beforeAutospacing="0" w:after="0" w:afterAutospacing="0" w:line="360" w:lineRule="atLeast"/>
        <w:ind w:right="1"/>
        <w:jc w:val="both"/>
        <w:rPr>
          <w:color w:val="242424"/>
        </w:rPr>
      </w:pPr>
      <w:r w:rsidRPr="00DC38C2">
        <w:rPr>
          <w:rFonts w:ascii="Palatino Linotype" w:hAnsi="Palatino Linotype"/>
          <w:b/>
          <w:bCs/>
          <w:color w:val="242424"/>
          <w:bdr w:val="none" w:sz="0" w:space="0" w:color="auto" w:frame="1"/>
        </w:rPr>
        <w:t> </w:t>
      </w:r>
    </w:p>
    <w:p w:rsidR="00D649F1" w:rsidRPr="00DC38C2" w:rsidRDefault="00D649F1" w:rsidP="00755856">
      <w:pPr>
        <w:pStyle w:val="xmsonormal"/>
        <w:numPr>
          <w:ilvl w:val="0"/>
          <w:numId w:val="6"/>
        </w:numPr>
        <w:shd w:val="clear" w:color="auto" w:fill="FFFFFF"/>
        <w:spacing w:before="0" w:beforeAutospacing="0" w:after="0" w:afterAutospacing="0" w:line="360" w:lineRule="auto"/>
        <w:ind w:right="1"/>
        <w:jc w:val="both"/>
        <w:rPr>
          <w:color w:val="242424"/>
        </w:rPr>
      </w:pPr>
      <w:r w:rsidRPr="00DC38C2">
        <w:rPr>
          <w:rFonts w:ascii="Palatino Linotype" w:hAnsi="Palatino Linotype"/>
          <w:color w:val="242424"/>
          <w:bdr w:val="none" w:sz="0" w:space="0" w:color="auto" w:frame="1"/>
        </w:rPr>
        <w:t xml:space="preserve"> En ese sentido, el proporcionar el nombre de los elementos policiales operativos en la nómina general de la Dirección de Seguridad Pública y Vialidad Municipal, pone en riesgo de manera directa la vida y la seguridad de dicho servidor, siendo obligación de la Institución protegerla en todo momento para salvaguarda de sus integrantes.</w:t>
      </w:r>
    </w:p>
    <w:p w:rsidR="00D649F1" w:rsidRPr="00DC38C2" w:rsidRDefault="00D649F1" w:rsidP="00755856">
      <w:pPr>
        <w:pStyle w:val="xmsonormal"/>
        <w:shd w:val="clear" w:color="auto" w:fill="FFFFFF"/>
        <w:spacing w:before="0" w:beforeAutospacing="0" w:after="0" w:afterAutospacing="0" w:line="360" w:lineRule="auto"/>
        <w:ind w:right="1"/>
        <w:jc w:val="both"/>
        <w:rPr>
          <w:color w:val="242424"/>
        </w:rPr>
      </w:pPr>
      <w:r w:rsidRPr="00DC38C2">
        <w:rPr>
          <w:rFonts w:ascii="Palatino Linotype" w:hAnsi="Palatino Linotype"/>
          <w:b/>
          <w:bCs/>
          <w:color w:val="242424"/>
          <w:bdr w:val="none" w:sz="0" w:space="0" w:color="auto" w:frame="1"/>
        </w:rPr>
        <w:t> </w:t>
      </w:r>
    </w:p>
    <w:p w:rsidR="00D649F1" w:rsidRPr="00DC38C2" w:rsidRDefault="00D649F1" w:rsidP="00755856">
      <w:pPr>
        <w:pStyle w:val="xmsonormal"/>
        <w:numPr>
          <w:ilvl w:val="0"/>
          <w:numId w:val="6"/>
        </w:numPr>
        <w:shd w:val="clear" w:color="auto" w:fill="FFFFFF"/>
        <w:spacing w:before="0" w:beforeAutospacing="0" w:after="0" w:afterAutospacing="0" w:line="360" w:lineRule="auto"/>
        <w:ind w:right="1"/>
        <w:jc w:val="both"/>
        <w:rPr>
          <w:color w:val="242424"/>
        </w:rPr>
      </w:pPr>
      <w:r w:rsidRPr="00DC38C2">
        <w:rPr>
          <w:color w:val="242424"/>
          <w:bdr w:val="none" w:sz="0" w:space="0" w:color="auto" w:frame="1"/>
        </w:rPr>
        <w:t> </w:t>
      </w:r>
      <w:r w:rsidRPr="00DC38C2">
        <w:rPr>
          <w:rFonts w:ascii="Palatino Linotype" w:hAnsi="Palatino Linotype"/>
          <w:color w:val="242424"/>
          <w:bdr w:val="none" w:sz="0" w:space="0" w:color="auto" w:frame="1"/>
        </w:rPr>
        <w:t>Lo anterior adquiere razón toda vez que la información solicitada hace identificable a los integrantes de seguridad pública, ya que permite que su identidad pueda determinarse de manera directa, pudiéndose ocasionar riesgos por la posible utilización y difusión de la información por grupos delictivos.</w:t>
      </w:r>
    </w:p>
    <w:p w:rsidR="00D649F1" w:rsidRPr="00DC38C2" w:rsidRDefault="00D649F1" w:rsidP="00755856">
      <w:pPr>
        <w:pStyle w:val="xmsonormal"/>
        <w:shd w:val="clear" w:color="auto" w:fill="FFFFFF"/>
        <w:spacing w:before="0" w:beforeAutospacing="0" w:after="0" w:afterAutospacing="0" w:line="360" w:lineRule="auto"/>
        <w:ind w:right="1"/>
        <w:jc w:val="both"/>
        <w:rPr>
          <w:color w:val="242424"/>
        </w:rPr>
      </w:pPr>
      <w:r w:rsidRPr="00DC38C2">
        <w:rPr>
          <w:rFonts w:ascii="Palatino Linotype" w:hAnsi="Palatino Linotype"/>
          <w:b/>
          <w:bCs/>
          <w:color w:val="242424"/>
          <w:bdr w:val="none" w:sz="0" w:space="0" w:color="auto" w:frame="1"/>
        </w:rPr>
        <w:t> </w:t>
      </w:r>
    </w:p>
    <w:p w:rsidR="00D649F1" w:rsidRPr="00DC38C2" w:rsidRDefault="00D649F1" w:rsidP="00755856">
      <w:pPr>
        <w:pStyle w:val="xmsonormal"/>
        <w:numPr>
          <w:ilvl w:val="0"/>
          <w:numId w:val="6"/>
        </w:numPr>
        <w:shd w:val="clear" w:color="auto" w:fill="FFFFFF"/>
        <w:spacing w:before="0" w:beforeAutospacing="0" w:after="0" w:afterAutospacing="0" w:line="360" w:lineRule="auto"/>
        <w:ind w:right="1"/>
        <w:jc w:val="both"/>
        <w:rPr>
          <w:color w:val="242424"/>
        </w:rPr>
      </w:pPr>
      <w:r w:rsidRPr="00DC38C2">
        <w:rPr>
          <w:rFonts w:ascii="Palatino Linotype" w:hAnsi="Palatino Linotype"/>
          <w:color w:val="242424"/>
          <w:bdr w:val="none" w:sz="0" w:space="0" w:color="auto" w:frame="1"/>
        </w:rPr>
        <w:t xml:space="preserve">Asimismo, existe la posibilidad de que personas ajenas a la Institución la utilicen para sorprender a la ciudadanía y realicen extorsiones telefónicas al amparo de usurpar la </w:t>
      </w:r>
      <w:r w:rsidRPr="00DC38C2">
        <w:rPr>
          <w:rFonts w:ascii="Palatino Linotype" w:hAnsi="Palatino Linotype"/>
          <w:color w:val="242424"/>
          <w:bdr w:val="none" w:sz="0" w:space="0" w:color="auto" w:frame="1"/>
        </w:rPr>
        <w:lastRenderedPageBreak/>
        <w:t>identidad de algún servidor público encargado de la seguridad pública; o que integrantes de organizaciones criminales los contacten para presionar en entregar información, como por ejemplo, la relacionada con investigaciones, nombres de integrantes que participan en los operativos e incluso documentación emitida por el</w:t>
      </w:r>
      <w:r w:rsidRPr="00DC38C2">
        <w:rPr>
          <w:rFonts w:ascii="Palatino Linotype" w:hAnsi="Palatino Linotype"/>
          <w:b/>
          <w:bCs/>
          <w:color w:val="242424"/>
          <w:bdr w:val="none" w:sz="0" w:space="0" w:color="auto" w:frame="1"/>
        </w:rPr>
        <w:t> SUJETO OBLIGADO</w:t>
      </w:r>
      <w:r w:rsidRPr="00DC38C2">
        <w:rPr>
          <w:rFonts w:ascii="Palatino Linotype" w:hAnsi="Palatino Linotype"/>
          <w:color w:val="242424"/>
          <w:bdr w:val="none" w:sz="0" w:space="0" w:color="auto" w:frame="1"/>
        </w:rPr>
        <w:t>, colocando en inminente riesgo la vida de todos los integrantes, menoscabando así las actividades de prevención del delito y combate a la delincuencia.</w:t>
      </w:r>
    </w:p>
    <w:p w:rsidR="00D649F1" w:rsidRPr="00DC38C2" w:rsidRDefault="00D649F1" w:rsidP="00755856">
      <w:pPr>
        <w:pStyle w:val="Prrafodelista"/>
        <w:spacing w:line="360" w:lineRule="auto"/>
        <w:rPr>
          <w:rFonts w:ascii="Palatino Linotype" w:hAnsi="Palatino Linotype"/>
          <w:color w:val="242424"/>
          <w:bdr w:val="none" w:sz="0" w:space="0" w:color="auto" w:frame="1"/>
        </w:rPr>
      </w:pPr>
    </w:p>
    <w:p w:rsidR="00D649F1" w:rsidRPr="00DC38C2" w:rsidRDefault="00D649F1" w:rsidP="00755856">
      <w:pPr>
        <w:pStyle w:val="xmsonormal"/>
        <w:numPr>
          <w:ilvl w:val="0"/>
          <w:numId w:val="6"/>
        </w:numPr>
        <w:shd w:val="clear" w:color="auto" w:fill="FFFFFF"/>
        <w:spacing w:before="0" w:beforeAutospacing="0" w:after="0" w:afterAutospacing="0" w:line="360" w:lineRule="auto"/>
        <w:ind w:right="1"/>
        <w:jc w:val="both"/>
        <w:rPr>
          <w:color w:val="242424"/>
        </w:rPr>
      </w:pPr>
      <w:r w:rsidRPr="00DC38C2">
        <w:rPr>
          <w:rFonts w:ascii="Palatino Linotype" w:hAnsi="Palatino Linotype"/>
          <w:color w:val="242424"/>
          <w:bdr w:val="none" w:sz="0" w:space="0" w:color="auto" w:frame="1"/>
        </w:rPr>
        <w:t>Así como el artículo 6º Constitucional por un lado garantiza el derecho de acceso a la información, por otro lado, el derecho a la vida y la seguridad de las personas se encuentran protegidos por la Declaración Universal de los Derechos Humanos en su artículo 30. Bajo este contexto es necesario confrontar ambos derechos fundamentales, cuyo ejercicio en este caso particular es por lo que es necesaria la ponderación de ambos para que uno de ellos sea ejercido en la mayor medida posible.</w:t>
      </w:r>
    </w:p>
    <w:p w:rsidR="00D649F1" w:rsidRPr="00DC38C2" w:rsidRDefault="00D649F1" w:rsidP="00755856">
      <w:pPr>
        <w:pStyle w:val="Prrafodelista"/>
        <w:spacing w:line="360" w:lineRule="auto"/>
        <w:rPr>
          <w:rFonts w:ascii="Palatino Linotype" w:hAnsi="Palatino Linotype"/>
          <w:color w:val="242424"/>
          <w:bdr w:val="none" w:sz="0" w:space="0" w:color="auto" w:frame="1"/>
        </w:rPr>
      </w:pPr>
    </w:p>
    <w:p w:rsidR="00D649F1" w:rsidRPr="00DC38C2" w:rsidRDefault="00D649F1" w:rsidP="00755856">
      <w:pPr>
        <w:pStyle w:val="xmsonormal"/>
        <w:numPr>
          <w:ilvl w:val="0"/>
          <w:numId w:val="6"/>
        </w:numPr>
        <w:shd w:val="clear" w:color="auto" w:fill="FFFFFF"/>
        <w:spacing w:before="0" w:beforeAutospacing="0" w:after="0" w:afterAutospacing="0" w:line="360" w:lineRule="auto"/>
        <w:ind w:right="1"/>
        <w:jc w:val="both"/>
        <w:rPr>
          <w:color w:val="242424"/>
        </w:rPr>
      </w:pPr>
      <w:r w:rsidRPr="00DC38C2">
        <w:rPr>
          <w:rFonts w:ascii="Palatino Linotype" w:hAnsi="Palatino Linotype"/>
          <w:color w:val="242424"/>
          <w:bdr w:val="none" w:sz="0" w:space="0" w:color="auto" w:frame="1"/>
        </w:rPr>
        <w:t xml:space="preserve"> El dar el nombre de los servidores públicos operativos de la Dirección de Seguridad Pública y Vialidad Municipal pone en riesgo sus vidas y seguridad, ya que pueden ser identificarles, provocando que se utilice la información para amenazar, intimidar o extorsionar al integrante.</w:t>
      </w:r>
    </w:p>
    <w:p w:rsidR="00D649F1" w:rsidRPr="00DC38C2" w:rsidRDefault="00D649F1" w:rsidP="00755856">
      <w:pPr>
        <w:pStyle w:val="Prrafodelista"/>
        <w:spacing w:line="360" w:lineRule="auto"/>
        <w:rPr>
          <w:rFonts w:ascii="Palatino Linotype" w:hAnsi="Palatino Linotype"/>
          <w:color w:val="242424"/>
          <w:bdr w:val="none" w:sz="0" w:space="0" w:color="auto" w:frame="1"/>
        </w:rPr>
      </w:pPr>
    </w:p>
    <w:p w:rsidR="00D649F1" w:rsidRPr="00DC38C2" w:rsidRDefault="00D649F1" w:rsidP="00755856">
      <w:pPr>
        <w:pStyle w:val="xmsonormal"/>
        <w:numPr>
          <w:ilvl w:val="0"/>
          <w:numId w:val="6"/>
        </w:numPr>
        <w:shd w:val="clear" w:color="auto" w:fill="FFFFFF"/>
        <w:spacing w:before="0" w:beforeAutospacing="0" w:after="0" w:afterAutospacing="0" w:line="360" w:lineRule="auto"/>
        <w:ind w:right="1"/>
        <w:jc w:val="both"/>
        <w:rPr>
          <w:color w:val="242424"/>
        </w:rPr>
      </w:pPr>
      <w:r w:rsidRPr="00DC38C2">
        <w:rPr>
          <w:rFonts w:ascii="Palatino Linotype" w:hAnsi="Palatino Linotype"/>
          <w:color w:val="242424"/>
          <w:bdr w:val="none" w:sz="0" w:space="0" w:color="auto" w:frame="1"/>
        </w:rPr>
        <w:t xml:space="preserve">El riesgo de perder la vida, la seguridad o la integridad se encuentra presente y es de mayor gravedad que la negativa de acceso a la información solicitada, la divulgación de la información, puede generar un daño desproporcionado o innecesario, lo cual debe evitarse en la medida de lo posible, frente a aquella que se solicita. Es de interés público y socialmente relevante la protección a la vida y seguridad de todas y cada una de las personas sobre </w:t>
      </w:r>
      <w:r w:rsidRPr="00DC38C2">
        <w:rPr>
          <w:rFonts w:ascii="Palatino Linotype" w:hAnsi="Palatino Linotype"/>
          <w:color w:val="242424"/>
          <w:bdr w:val="none" w:sz="0" w:space="0" w:color="auto" w:frame="1"/>
        </w:rPr>
        <w:lastRenderedPageBreak/>
        <w:t>cualquier otro derecho fundamental, por lo que se debe proteger a quienes trabajan y ayudan al logro de la seguridad pública.</w:t>
      </w:r>
    </w:p>
    <w:p w:rsidR="00D649F1" w:rsidRPr="00DC38C2" w:rsidRDefault="00D649F1" w:rsidP="00755856">
      <w:pPr>
        <w:pStyle w:val="Prrafodelista"/>
        <w:spacing w:line="360" w:lineRule="auto"/>
        <w:rPr>
          <w:rFonts w:ascii="Palatino Linotype" w:hAnsi="Palatino Linotype"/>
          <w:b/>
          <w:bCs/>
          <w:color w:val="242424"/>
          <w:bdr w:val="none" w:sz="0" w:space="0" w:color="auto" w:frame="1"/>
        </w:rPr>
      </w:pPr>
    </w:p>
    <w:p w:rsidR="00D649F1" w:rsidRPr="00DC38C2" w:rsidRDefault="00D649F1" w:rsidP="00755856">
      <w:pPr>
        <w:pStyle w:val="xmsonormal"/>
        <w:numPr>
          <w:ilvl w:val="0"/>
          <w:numId w:val="6"/>
        </w:numPr>
        <w:shd w:val="clear" w:color="auto" w:fill="FFFFFF"/>
        <w:spacing w:before="0" w:beforeAutospacing="0" w:after="0" w:afterAutospacing="0" w:line="360" w:lineRule="auto"/>
        <w:ind w:right="1"/>
        <w:jc w:val="both"/>
        <w:rPr>
          <w:color w:val="242424"/>
        </w:rPr>
      </w:pPr>
      <w:r w:rsidRPr="00DC38C2">
        <w:rPr>
          <w:rFonts w:ascii="Palatino Linotype" w:hAnsi="Palatino Linotype"/>
          <w:b/>
          <w:bCs/>
          <w:color w:val="242424"/>
          <w:bdr w:val="none" w:sz="0" w:space="0" w:color="auto" w:frame="1"/>
        </w:rPr>
        <w:t>.</w:t>
      </w:r>
      <w:r w:rsidRPr="00DC38C2">
        <w:rPr>
          <w:rFonts w:ascii="Palatino Linotype" w:hAnsi="Palatino Linotype"/>
          <w:color w:val="242424"/>
          <w:bdr w:val="none" w:sz="0" w:space="0" w:color="auto" w:frame="1"/>
        </w:rPr>
        <w:t xml:space="preserve"> En ese mismo contexto, resulta pertinente establecer que la Constitución Política de los Estados unidos mexicanos y los Tratados Internacionales suscritos por el Estado mexicano en materia de Derechos Humanos, establecen que el derecho a la vida y la seguridad personal son los bienes supremos tutelados por los gobiernos, esto quiere decir, que no existe derecho alguno por encima de la vida y la seguridad personal. El derecho al acceso a la información, tutelado en el artículo sexto de nuestra Carta Magna, no es absoluto per se, toda vez que su objetivo es facultar a las personas a tener acceso a la información que les permita conocer cómo funcionan los órganos de gobierno, como parte fundamental de todo Estado democrático; dicho derecho permite a las personas tener una participación activa en la toma de decisiones de los gobernantes y a su vez, funciona como un ejercicio de fiscalización para supervisar las actividades que realiza eh Estado.</w:t>
      </w:r>
    </w:p>
    <w:p w:rsidR="00D649F1" w:rsidRPr="00DC38C2" w:rsidRDefault="00D649F1" w:rsidP="00755856">
      <w:pPr>
        <w:pStyle w:val="Prrafodelista"/>
        <w:spacing w:line="360" w:lineRule="auto"/>
        <w:rPr>
          <w:rFonts w:ascii="Palatino Linotype" w:hAnsi="Palatino Linotype"/>
          <w:b/>
          <w:bCs/>
          <w:color w:val="242424"/>
          <w:bdr w:val="none" w:sz="0" w:space="0" w:color="auto" w:frame="1"/>
        </w:rPr>
      </w:pPr>
    </w:p>
    <w:p w:rsidR="00D649F1" w:rsidRPr="00DC38C2" w:rsidRDefault="00D649F1" w:rsidP="00755856">
      <w:pPr>
        <w:pStyle w:val="xmsonormal"/>
        <w:numPr>
          <w:ilvl w:val="0"/>
          <w:numId w:val="6"/>
        </w:numPr>
        <w:shd w:val="clear" w:color="auto" w:fill="FFFFFF"/>
        <w:spacing w:before="0" w:beforeAutospacing="0" w:after="0" w:afterAutospacing="0" w:line="360" w:lineRule="auto"/>
        <w:ind w:right="1"/>
        <w:jc w:val="both"/>
        <w:rPr>
          <w:color w:val="242424"/>
        </w:rPr>
      </w:pPr>
      <w:r w:rsidRPr="00DC38C2">
        <w:rPr>
          <w:rFonts w:ascii="Palatino Linotype" w:hAnsi="Palatino Linotype"/>
          <w:color w:val="242424"/>
          <w:bdr w:val="none" w:sz="0" w:space="0" w:color="auto" w:frame="1"/>
        </w:rPr>
        <w:t>Por lo que, el derecho a la vida y seguridad nacional tiene una-primacía que el derecho al acceso a la información, por lo que el bien jurídico a salvaguardarse primordialmente, es la vida y la seguridad de los servidores públicos encargados de la seguridad pública.</w:t>
      </w:r>
    </w:p>
    <w:p w:rsidR="00D649F1" w:rsidRPr="00DC38C2" w:rsidRDefault="00D649F1" w:rsidP="00755856">
      <w:pPr>
        <w:pStyle w:val="Prrafodelista"/>
        <w:spacing w:line="360" w:lineRule="auto"/>
        <w:rPr>
          <w:rFonts w:ascii="Palatino Linotype" w:hAnsi="Palatino Linotype"/>
          <w:color w:val="242424"/>
          <w:bdr w:val="none" w:sz="0" w:space="0" w:color="auto" w:frame="1"/>
        </w:rPr>
      </w:pPr>
    </w:p>
    <w:p w:rsidR="00D649F1" w:rsidRPr="00DC38C2" w:rsidRDefault="00D649F1" w:rsidP="00755856">
      <w:pPr>
        <w:pStyle w:val="xmsonormal"/>
        <w:numPr>
          <w:ilvl w:val="0"/>
          <w:numId w:val="6"/>
        </w:numPr>
        <w:shd w:val="clear" w:color="auto" w:fill="FFFFFF"/>
        <w:spacing w:before="0" w:beforeAutospacing="0" w:after="0" w:afterAutospacing="0" w:line="360" w:lineRule="auto"/>
        <w:ind w:right="1"/>
        <w:jc w:val="both"/>
        <w:rPr>
          <w:color w:val="242424"/>
        </w:rPr>
      </w:pPr>
      <w:r w:rsidRPr="00DC38C2">
        <w:rPr>
          <w:rFonts w:ascii="Palatino Linotype" w:hAnsi="Palatino Linotype"/>
          <w:color w:val="242424"/>
          <w:bdr w:val="none" w:sz="0" w:space="0" w:color="auto" w:frame="1"/>
          <w:lang w:val="es-ES_tradnl"/>
        </w:rPr>
        <w:t>Al respecto, cabe hacer mención que el artículo 81 fracción III de la Ley de Seguridad del Estado de México, establece lo siguiente:</w:t>
      </w:r>
    </w:p>
    <w:p w:rsidR="00D649F1" w:rsidRPr="00DC38C2" w:rsidRDefault="00D649F1" w:rsidP="00DC38C2">
      <w:pPr>
        <w:pStyle w:val="xmsonormal"/>
        <w:shd w:val="clear" w:color="auto" w:fill="FFFFFF"/>
        <w:spacing w:before="0" w:beforeAutospacing="0" w:after="0" w:afterAutospacing="0"/>
        <w:ind w:left="567" w:right="1" w:firstLine="153"/>
        <w:jc w:val="both"/>
        <w:rPr>
          <w:rFonts w:ascii="Segoe UI" w:hAnsi="Segoe UI" w:cs="Segoe UI"/>
          <w:color w:val="242424"/>
        </w:rPr>
      </w:pPr>
      <w:r w:rsidRPr="00DC38C2">
        <w:rPr>
          <w:rFonts w:ascii="Palatino Linotype" w:hAnsi="Palatino Linotype" w:cs="Segoe UI"/>
          <w:i/>
          <w:iCs/>
          <w:color w:val="242424"/>
          <w:bdr w:val="none" w:sz="0" w:space="0" w:color="auto" w:frame="1"/>
          <w:lang w:val="es-ES_tradnl"/>
        </w:rPr>
        <w:t>“</w:t>
      </w:r>
      <w:r w:rsidRPr="00DC38C2">
        <w:rPr>
          <w:rFonts w:ascii="Palatino Linotype" w:hAnsi="Palatino Linotype" w:cs="Segoe UI"/>
          <w:b/>
          <w:bCs/>
          <w:i/>
          <w:iCs/>
          <w:color w:val="242424"/>
          <w:bdr w:val="none" w:sz="0" w:space="0" w:color="auto" w:frame="1"/>
          <w:lang w:val="es-ES_tradnl"/>
        </w:rPr>
        <w:t>Artículo 81.-</w:t>
      </w:r>
      <w:r w:rsidRPr="00DC38C2">
        <w:rPr>
          <w:rFonts w:ascii="Palatino Linotype" w:hAnsi="Palatino Linotype" w:cs="Segoe UI"/>
          <w:i/>
          <w:iCs/>
          <w:color w:val="242424"/>
          <w:bdr w:val="none" w:sz="0" w:space="0" w:color="auto" w:frame="1"/>
          <w:lang w:val="es-ES_tradnl"/>
        </w:rPr>
        <w:t> </w:t>
      </w:r>
      <w:r w:rsidRPr="00DC38C2">
        <w:rPr>
          <w:rFonts w:ascii="Palatino Linotype" w:hAnsi="Palatino Linotype" w:cs="Segoe UI"/>
          <w:b/>
          <w:bCs/>
          <w:i/>
          <w:iCs/>
          <w:color w:val="242424"/>
          <w:bdr w:val="none" w:sz="0" w:space="0" w:color="auto" w:frame="1"/>
          <w:lang w:val="es-ES_tradnl"/>
        </w:rPr>
        <w:t>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w:t>
      </w:r>
      <w:r w:rsidRPr="00DC38C2">
        <w:rPr>
          <w:rFonts w:ascii="Palatino Linotype" w:hAnsi="Palatino Linotype" w:cs="Segoe UI"/>
          <w:i/>
          <w:iCs/>
          <w:color w:val="242424"/>
          <w:bdr w:val="none" w:sz="0" w:space="0" w:color="auto" w:frame="1"/>
          <w:lang w:val="es-ES_tradnl"/>
        </w:rPr>
        <w:t> en los casos siguientes:</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i/>
          <w:iCs/>
          <w:color w:val="242424"/>
          <w:bdr w:val="none" w:sz="0" w:space="0" w:color="auto" w:frame="1"/>
          <w:lang w:val="es-ES_tradnl"/>
        </w:rPr>
        <w:t>…</w:t>
      </w:r>
    </w:p>
    <w:p w:rsidR="00D649F1" w:rsidRDefault="00D649F1" w:rsidP="00DC38C2">
      <w:pPr>
        <w:pStyle w:val="xgmail-msonormal"/>
        <w:shd w:val="clear" w:color="auto" w:fill="FFFFFF"/>
        <w:spacing w:before="0" w:beforeAutospacing="0" w:after="0" w:afterAutospacing="0"/>
        <w:ind w:left="360" w:right="567"/>
        <w:jc w:val="both"/>
        <w:rPr>
          <w:rFonts w:ascii="Palatino Linotype" w:hAnsi="Palatino Linotype" w:cs="Segoe UI"/>
          <w:i/>
          <w:iCs/>
          <w:color w:val="242424"/>
          <w:bdr w:val="none" w:sz="0" w:space="0" w:color="auto" w:frame="1"/>
          <w:lang w:val="es-ES_tradnl"/>
        </w:rPr>
      </w:pPr>
      <w:r w:rsidRPr="00DC38C2">
        <w:rPr>
          <w:rFonts w:ascii="Palatino Linotype" w:hAnsi="Palatino Linotype" w:cs="Segoe UI"/>
          <w:b/>
          <w:bCs/>
          <w:i/>
          <w:iCs/>
          <w:color w:val="242424"/>
          <w:bdr w:val="none" w:sz="0" w:space="0" w:color="auto" w:frame="1"/>
          <w:lang w:val="es-ES_tradnl"/>
        </w:rPr>
        <w:lastRenderedPageBreak/>
        <w:t>La relativa a servidores públicos miembros de las instituciones de seguridad pública, cuya revelación pueda poner en riesgo su vida e integridad física con motivo de sus funciones;</w:t>
      </w:r>
      <w:r w:rsidRPr="00DC38C2">
        <w:rPr>
          <w:rFonts w:ascii="Palatino Linotype" w:hAnsi="Palatino Linotype" w:cs="Segoe UI"/>
          <w:i/>
          <w:iCs/>
          <w:color w:val="242424"/>
          <w:bdr w:val="none" w:sz="0" w:space="0" w:color="auto" w:frame="1"/>
          <w:lang w:val="es-ES_tradnl"/>
        </w:rPr>
        <w:t>”</w:t>
      </w:r>
    </w:p>
    <w:p w:rsidR="00DC38C2" w:rsidRPr="00DC38C2" w:rsidRDefault="00DC38C2" w:rsidP="00DC38C2">
      <w:pPr>
        <w:pStyle w:val="xgmail-msonormal"/>
        <w:shd w:val="clear" w:color="auto" w:fill="FFFFFF"/>
        <w:spacing w:before="0" w:beforeAutospacing="0" w:after="0" w:afterAutospacing="0"/>
        <w:ind w:left="1080" w:right="567"/>
        <w:jc w:val="both"/>
        <w:rPr>
          <w:rFonts w:ascii="Segoe UI" w:hAnsi="Segoe UI" w:cs="Segoe UI"/>
          <w:color w:val="242424"/>
        </w:rPr>
      </w:pPr>
    </w:p>
    <w:p w:rsidR="00D649F1" w:rsidRPr="00DC38C2" w:rsidRDefault="00D649F1" w:rsidP="00755856">
      <w:pPr>
        <w:pStyle w:val="xmsonormal"/>
        <w:numPr>
          <w:ilvl w:val="0"/>
          <w:numId w:val="6"/>
        </w:numPr>
        <w:shd w:val="clear" w:color="auto" w:fill="FFFFFF"/>
        <w:spacing w:before="0" w:beforeAutospacing="0" w:after="0" w:afterAutospacing="0" w:line="360" w:lineRule="auto"/>
        <w:ind w:right="1"/>
        <w:jc w:val="both"/>
        <w:rPr>
          <w:color w:val="242424"/>
        </w:rPr>
      </w:pPr>
      <w:r w:rsidRPr="00DC38C2">
        <w:rPr>
          <w:rFonts w:ascii="Palatino Linotype" w:hAnsi="Palatino Linotype"/>
          <w:color w:val="242424"/>
          <w:bdr w:val="none" w:sz="0" w:space="0" w:color="auto" w:frame="1"/>
        </w:rPr>
        <w:t>Argumento que se fortalece con lo estipulado en el criterio número 6-09, del Instituto Nacional de Transparencia, Acceso a la Información y Protección de Datos Personales, antes (INAI)</w:t>
      </w:r>
      <w:r w:rsidRPr="00DC38C2">
        <w:rPr>
          <w:rFonts w:ascii="Palatino Linotype" w:hAnsi="Palatino Linotype"/>
          <w:b/>
          <w:bCs/>
          <w:color w:val="242424"/>
          <w:bdr w:val="none" w:sz="0" w:space="0" w:color="auto" w:frame="1"/>
        </w:rPr>
        <w:t>, </w:t>
      </w:r>
      <w:r w:rsidRPr="00DC38C2">
        <w:rPr>
          <w:rFonts w:ascii="Palatino Linotype" w:hAnsi="Palatino Linotype"/>
          <w:color w:val="242424"/>
          <w:bdr w:val="none" w:sz="0" w:space="0" w:color="auto" w:frame="1"/>
        </w:rPr>
        <w:t>el cual refiere:</w:t>
      </w:r>
    </w:p>
    <w:p w:rsidR="00D649F1" w:rsidRPr="00DC38C2" w:rsidRDefault="00D649F1" w:rsidP="00DC38C2">
      <w:pPr>
        <w:pStyle w:val="xmsonormal"/>
        <w:shd w:val="clear" w:color="auto" w:fill="FFFFFF"/>
        <w:spacing w:before="0" w:beforeAutospacing="0" w:after="0" w:afterAutospacing="0"/>
        <w:ind w:left="567" w:right="567"/>
        <w:jc w:val="center"/>
        <w:rPr>
          <w:rFonts w:ascii="Segoe UI" w:hAnsi="Segoe UI" w:cs="Segoe UI"/>
          <w:color w:val="242424"/>
        </w:rPr>
      </w:pPr>
      <w:r w:rsidRPr="00DC38C2">
        <w:rPr>
          <w:rFonts w:ascii="Palatino Linotype" w:hAnsi="Palatino Linotype" w:cs="Segoe UI"/>
          <w:b/>
          <w:bCs/>
          <w:i/>
          <w:iCs/>
          <w:color w:val="242424"/>
          <w:bdr w:val="none" w:sz="0" w:space="0" w:color="auto" w:frame="1"/>
        </w:rPr>
        <w:t>“Criterio 6-09</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b/>
          <w:bCs/>
          <w:i/>
          <w:iCs/>
          <w:color w:val="242424"/>
          <w:bdr w:val="none" w:sz="0" w:space="0" w:color="auto" w:frame="1"/>
        </w:rPr>
        <w:t>Nombres de servidores públicos dedicados a actividades en materia de seguridad, por excepción pueden considerarse información reservada. </w:t>
      </w:r>
      <w:r w:rsidRPr="00DC38C2">
        <w:rPr>
          <w:rFonts w:ascii="Palatino Linotype" w:hAnsi="Palatino Linotype" w:cs="Segoe UI"/>
          <w:i/>
          <w:iCs/>
          <w:color w:val="242424"/>
          <w:bdr w:val="none" w:sz="0" w:space="0" w:color="auto" w:frame="1"/>
        </w:rPr>
        <w:t>De conformidad con el artículo 7, fracciones I y III de la Ley Federal de Transparencia y Acceso a la Información Pública Gubernamental </w:t>
      </w:r>
      <w:r w:rsidRPr="00DC38C2">
        <w:rPr>
          <w:rFonts w:ascii="Palatino Linotype" w:hAnsi="Palatino Linotype" w:cs="Segoe UI"/>
          <w:b/>
          <w:bCs/>
          <w:i/>
          <w:iCs/>
          <w:color w:val="242424"/>
          <w:bdr w:val="none" w:sz="0" w:space="0" w:color="auto" w:frame="1"/>
        </w:rPr>
        <w:t>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w:t>
      </w:r>
      <w:r w:rsidRPr="00DC38C2">
        <w:rPr>
          <w:rFonts w:ascii="Palatino Linotype" w:hAnsi="Palatino Linotype" w:cs="Segoe UI"/>
          <w:i/>
          <w:iCs/>
          <w:color w:val="242424"/>
          <w:bdr w:val="none" w:sz="0" w:space="0" w:color="auto" w:frame="1"/>
        </w:rPr>
        <w:t>.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w:t>
      </w:r>
      <w:r w:rsidRPr="00DC38C2">
        <w:rPr>
          <w:rFonts w:ascii="Palatino Linotype" w:hAnsi="Palatino Linotype" w:cs="Segoe UI"/>
          <w:b/>
          <w:bCs/>
          <w:i/>
          <w:iCs/>
          <w:color w:val="242424"/>
          <w:bdr w:val="none" w:sz="0" w:space="0" w:color="auto" w:frame="1"/>
        </w:rPr>
        <w:t>el artículo 13, fracción I de la ley de referencia se establece que podrá clasificarse aquella información cuya difusión pueda comprometer la seguridad nacional y pública</w:t>
      </w:r>
      <w:r w:rsidRPr="00DC38C2">
        <w:rPr>
          <w:rFonts w:ascii="Palatino Linotype" w:hAnsi="Palatino Linotype" w:cs="Segoe UI"/>
          <w:i/>
          <w:iCs/>
          <w:color w:val="242424"/>
          <w:bdr w:val="none" w:sz="0" w:space="0" w:color="auto" w:frame="1"/>
        </w:rPr>
        <w:t>.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w:t>
      </w:r>
      <w:r w:rsidRPr="00DC38C2">
        <w:rPr>
          <w:rFonts w:ascii="Palatino Linotype" w:hAnsi="Palatino Linotype" w:cs="Segoe UI"/>
          <w:b/>
          <w:bCs/>
          <w:i/>
          <w:iCs/>
          <w:color w:val="242424"/>
          <w:bdr w:val="none" w:sz="0" w:space="0" w:color="auto" w:frame="1"/>
        </w:rPr>
        <w:t>por lo que la reserva de la relación de los nombres y las funciones que desempeñan los servidores públicos que prestan sus servicios en áreas de seguridad nacional o pública</w:t>
      </w:r>
      <w:r w:rsidRPr="00DC38C2">
        <w:rPr>
          <w:rFonts w:ascii="Palatino Linotype" w:hAnsi="Palatino Linotype" w:cs="Segoe UI"/>
          <w:i/>
          <w:iCs/>
          <w:color w:val="242424"/>
          <w:bdr w:val="none" w:sz="0" w:space="0" w:color="auto" w:frame="1"/>
        </w:rPr>
        <w:t>, puede llegar a constituirse en un componente fundamental en el esfuerzo que realiza el Estado Mexicano para garantizar la seguridad del país en sus diferentes vertientes”</w:t>
      </w:r>
    </w:p>
    <w:p w:rsidR="00D649F1" w:rsidRPr="00DC38C2" w:rsidRDefault="00D649F1" w:rsidP="00D649F1">
      <w:pPr>
        <w:pStyle w:val="xmsonormal"/>
        <w:shd w:val="clear" w:color="auto" w:fill="FFFFFF"/>
        <w:spacing w:before="0" w:beforeAutospacing="0" w:after="0" w:afterAutospacing="0"/>
        <w:ind w:right="1"/>
        <w:jc w:val="both"/>
        <w:rPr>
          <w:color w:val="242424"/>
        </w:rPr>
      </w:pPr>
      <w:r w:rsidRPr="00DC38C2">
        <w:rPr>
          <w:rFonts w:ascii="Palatino Linotype" w:hAnsi="Palatino Linotype"/>
          <w:b/>
          <w:bCs/>
          <w:color w:val="242424"/>
          <w:bdr w:val="none" w:sz="0" w:space="0" w:color="auto" w:frame="1"/>
        </w:rPr>
        <w:t> </w:t>
      </w:r>
    </w:p>
    <w:p w:rsidR="00D649F1" w:rsidRPr="00DC38C2" w:rsidRDefault="00D649F1" w:rsidP="00755856">
      <w:pPr>
        <w:pStyle w:val="xmsonormal"/>
        <w:numPr>
          <w:ilvl w:val="0"/>
          <w:numId w:val="6"/>
        </w:numPr>
        <w:shd w:val="clear" w:color="auto" w:fill="FFFFFF"/>
        <w:spacing w:before="0" w:beforeAutospacing="0" w:after="0" w:afterAutospacing="0" w:line="360" w:lineRule="auto"/>
        <w:ind w:right="1"/>
        <w:jc w:val="both"/>
        <w:rPr>
          <w:color w:val="242424"/>
        </w:rPr>
      </w:pPr>
      <w:r w:rsidRPr="00DC38C2">
        <w:rPr>
          <w:rFonts w:ascii="Palatino Linotype" w:hAnsi="Palatino Linotype"/>
          <w:b/>
          <w:bCs/>
          <w:color w:val="242424"/>
          <w:bdr w:val="none" w:sz="0" w:space="0" w:color="auto" w:frame="1"/>
        </w:rPr>
        <w:t xml:space="preserve"> </w:t>
      </w:r>
      <w:r w:rsidRPr="00DC38C2">
        <w:rPr>
          <w:rFonts w:ascii="Palatino Linotype" w:hAnsi="Palatino Linotype"/>
          <w:color w:val="242424"/>
          <w:bdr w:val="none" w:sz="0" w:space="0" w:color="auto" w:frame="1"/>
        </w:rPr>
        <w:t>Precisado lo anterior, se advierte que pretendió clasificar información solicitada, no obstante, la Ley de Transparencia y Acceso a la Información Pública del Estado de México y Municipios señala que para la clasificación formal de la información solicitada, el </w:t>
      </w:r>
      <w:r w:rsidRPr="00DC38C2">
        <w:rPr>
          <w:rFonts w:ascii="Palatino Linotype" w:hAnsi="Palatino Linotype"/>
          <w:b/>
          <w:bCs/>
          <w:color w:val="242424"/>
          <w:bdr w:val="none" w:sz="0" w:space="0" w:color="auto" w:frame="1"/>
        </w:rPr>
        <w:t xml:space="preserve">SUJETO </w:t>
      </w:r>
      <w:r w:rsidRPr="00DC38C2">
        <w:rPr>
          <w:rFonts w:ascii="Palatino Linotype" w:hAnsi="Palatino Linotype"/>
          <w:b/>
          <w:bCs/>
          <w:color w:val="242424"/>
          <w:bdr w:val="none" w:sz="0" w:space="0" w:color="auto" w:frame="1"/>
        </w:rPr>
        <w:lastRenderedPageBreak/>
        <w:t>OBLIGADO</w:t>
      </w:r>
      <w:r w:rsidRPr="00DC38C2">
        <w:rPr>
          <w:rFonts w:ascii="Palatino Linotype" w:hAnsi="Palatino Linotype"/>
          <w:color w:val="242424"/>
          <w:bdr w:val="none" w:sz="0" w:space="0" w:color="auto" w:frame="1"/>
        </w:rPr>
        <w:t> deberá remitir el debido Acuerdo de clasificación fundado y motivado donde determine la clasificación de la información como reservada, de conformidad con lo dispuesto en los numerales 49, fracción VIII y 132 fracciones I, II y III de la Ley de Transparencia y Acceso a la Información Pública del Estado de México y Municipios, así como los numerales del Cuarto al Décimo Primero de los Lineamientos Generales en materia de Clasificación y Desclasificación de la Información, así como para la elaboración de Versiones Públicas, que literalmente expresan:</w:t>
      </w:r>
    </w:p>
    <w:p w:rsidR="00D649F1" w:rsidRPr="00DC38C2" w:rsidRDefault="00D649F1" w:rsidP="00DC38C2">
      <w:pPr>
        <w:pStyle w:val="xmsonormal"/>
        <w:shd w:val="clear" w:color="auto" w:fill="FFFFFF"/>
        <w:spacing w:before="0" w:beforeAutospacing="0" w:after="0" w:afterAutospacing="0"/>
        <w:ind w:right="1"/>
        <w:jc w:val="both"/>
        <w:rPr>
          <w:rFonts w:ascii="Segoe UI" w:hAnsi="Segoe UI" w:cs="Segoe UI"/>
          <w:color w:val="242424"/>
        </w:rPr>
      </w:pPr>
      <w:r w:rsidRPr="00DC38C2">
        <w:rPr>
          <w:rFonts w:ascii="Palatino Linotype" w:hAnsi="Palatino Linotype"/>
          <w:b/>
          <w:bCs/>
          <w:color w:val="242424"/>
          <w:bdr w:val="none" w:sz="0" w:space="0" w:color="auto" w:frame="1"/>
        </w:rPr>
        <w:t> </w:t>
      </w:r>
      <w:r w:rsidRPr="00DC38C2">
        <w:rPr>
          <w:rFonts w:ascii="Palatino Linotype" w:hAnsi="Palatino Linotype" w:cs="Segoe UI"/>
          <w:b/>
          <w:bCs/>
          <w:i/>
          <w:iCs/>
          <w:color w:val="242424"/>
          <w:bdr w:val="none" w:sz="0" w:space="0" w:color="auto" w:frame="1"/>
        </w:rPr>
        <w:t>“Artículo 49</w:t>
      </w:r>
      <w:r w:rsidRPr="00DC38C2">
        <w:rPr>
          <w:rFonts w:ascii="Palatino Linotype" w:hAnsi="Palatino Linotype" w:cs="Segoe UI"/>
          <w:i/>
          <w:iCs/>
          <w:color w:val="242424"/>
          <w:bdr w:val="none" w:sz="0" w:space="0" w:color="auto" w:frame="1"/>
        </w:rPr>
        <w:t>. Los Comités de Transparencia tendrán las siguientes atribuciones:</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i/>
          <w:iCs/>
          <w:color w:val="242424"/>
          <w:bdr w:val="none" w:sz="0" w:space="0" w:color="auto" w:frame="1"/>
        </w:rPr>
        <w:t>VIII. Aprobar, modificar o revocar la clasificación de la información;</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i/>
          <w:iCs/>
          <w:color w:val="242424"/>
          <w:bdr w:val="none" w:sz="0" w:space="0" w:color="auto" w:frame="1"/>
        </w:rPr>
        <w:t> </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b/>
          <w:bCs/>
          <w:i/>
          <w:iCs/>
          <w:color w:val="242424"/>
          <w:bdr w:val="none" w:sz="0" w:space="0" w:color="auto" w:frame="1"/>
        </w:rPr>
        <w:t>Artículo 132</w:t>
      </w:r>
      <w:r w:rsidRPr="00DC38C2">
        <w:rPr>
          <w:rFonts w:ascii="Palatino Linotype" w:hAnsi="Palatino Linotype" w:cs="Segoe UI"/>
          <w:i/>
          <w:iCs/>
          <w:color w:val="242424"/>
          <w:bdr w:val="none" w:sz="0" w:space="0" w:color="auto" w:frame="1"/>
        </w:rPr>
        <w:t>. La clasificación de la información se llevará a cabo en el momento en que:</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i/>
          <w:iCs/>
          <w:color w:val="242424"/>
          <w:bdr w:val="none" w:sz="0" w:space="0" w:color="auto" w:frame="1"/>
        </w:rPr>
        <w:t>I. Se reciba una solicitud de acceso a la información;</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i/>
          <w:iCs/>
          <w:color w:val="242424"/>
          <w:bdr w:val="none" w:sz="0" w:space="0" w:color="auto" w:frame="1"/>
        </w:rPr>
        <w:t>II. Se determine mediante resolución de autoridad competente; o</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i/>
          <w:iCs/>
          <w:color w:val="242424"/>
          <w:bdr w:val="none" w:sz="0" w:space="0" w:color="auto" w:frame="1"/>
        </w:rPr>
        <w:t>III. Se generen versiones públicas para dar cumplimiento a las obligaciones de transparencia previstas en esta Ley.”</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i/>
          <w:iCs/>
          <w:color w:val="242424"/>
          <w:bdr w:val="none" w:sz="0" w:space="0" w:color="auto" w:frame="1"/>
        </w:rPr>
        <w:t> </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b/>
          <w:bCs/>
          <w:i/>
          <w:iCs/>
          <w:color w:val="242424"/>
          <w:bdr w:val="none" w:sz="0" w:space="0" w:color="auto" w:frame="1"/>
        </w:rPr>
        <w:t>Cuarto.</w:t>
      </w:r>
      <w:r w:rsidRPr="00DC38C2">
        <w:rPr>
          <w:rFonts w:ascii="Palatino Linotype" w:hAnsi="Palatino Linotype" w:cs="Segoe UI"/>
          <w:i/>
          <w:iCs/>
          <w:color w:val="242424"/>
          <w:bdr w:val="none" w:sz="0" w:space="0" w:color="auto" w:frame="1"/>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 Los Sujetos Obligados deberán aplicar, de manera estricta, las excepciones al derecho de acceso a la información y sólo podrán invocarlas cuando acrediten su procedencia.</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b/>
          <w:bCs/>
          <w:i/>
          <w:iCs/>
          <w:color w:val="242424"/>
          <w:bdr w:val="none" w:sz="0" w:space="0" w:color="auto" w:frame="1"/>
        </w:rPr>
        <w:t>Quinto.</w:t>
      </w:r>
      <w:r w:rsidRPr="00DC38C2">
        <w:rPr>
          <w:rFonts w:ascii="Palatino Linotype" w:hAnsi="Palatino Linotype" w:cs="Segoe UI"/>
          <w:i/>
          <w:iCs/>
          <w:color w:val="242424"/>
          <w:bdr w:val="none" w:sz="0" w:space="0" w:color="auto" w:frame="1"/>
        </w:rPr>
        <w:t>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i/>
          <w:iCs/>
          <w:color w:val="242424"/>
          <w:bdr w:val="none" w:sz="0" w:space="0" w:color="auto" w:frame="1"/>
        </w:rPr>
        <w:t> </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b/>
          <w:bCs/>
          <w:i/>
          <w:iCs/>
          <w:color w:val="242424"/>
          <w:bdr w:val="none" w:sz="0" w:space="0" w:color="auto" w:frame="1"/>
        </w:rPr>
        <w:lastRenderedPageBreak/>
        <w:t>Sexto.</w:t>
      </w:r>
      <w:r w:rsidRPr="00DC38C2">
        <w:rPr>
          <w:rFonts w:ascii="Palatino Linotype" w:hAnsi="Palatino Linotype" w:cs="Segoe UI"/>
          <w:i/>
          <w:iCs/>
          <w:color w:val="242424"/>
          <w:bdr w:val="none" w:sz="0" w:space="0" w:color="auto" w:frame="1"/>
        </w:rPr>
        <w:t> Los Sujetos Obligados no podrán emitir acuerdos de carácter general ni particular que clasifiquen documentos o expedientes como reservados, ni clasificar documentos antes de que se genere la información o cuando éstos no obren en sus archivos.</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i/>
          <w:iCs/>
          <w:color w:val="242424"/>
          <w:bdr w:val="none" w:sz="0" w:space="0" w:color="auto" w:frame="1"/>
        </w:rPr>
        <w:t> </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i/>
          <w:iCs/>
          <w:color w:val="242424"/>
          <w:bdr w:val="none" w:sz="0" w:space="0" w:color="auto" w:frame="1"/>
        </w:rPr>
        <w:t>La clasificación de información se realizará conforme a un análisis caso por caso, mediante la aplicación de la prueba de daño y de interés público.</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i/>
          <w:iCs/>
          <w:color w:val="242424"/>
          <w:bdr w:val="none" w:sz="0" w:space="0" w:color="auto" w:frame="1"/>
        </w:rPr>
        <w:t> </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b/>
          <w:bCs/>
          <w:i/>
          <w:iCs/>
          <w:color w:val="242424"/>
          <w:bdr w:val="none" w:sz="0" w:space="0" w:color="auto" w:frame="1"/>
        </w:rPr>
        <w:t>Séptimo.</w:t>
      </w:r>
      <w:r w:rsidRPr="00DC38C2">
        <w:rPr>
          <w:rFonts w:ascii="Palatino Linotype" w:hAnsi="Palatino Linotype" w:cs="Segoe UI"/>
          <w:i/>
          <w:iCs/>
          <w:color w:val="242424"/>
          <w:bdr w:val="none" w:sz="0" w:space="0" w:color="auto" w:frame="1"/>
        </w:rPr>
        <w:t> La clasificación de la información se llevará a cabo en el momento en que: I. Se reciba una solicitud de acceso a la información;</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i/>
          <w:iCs/>
          <w:color w:val="242424"/>
          <w:bdr w:val="none" w:sz="0" w:space="0" w:color="auto" w:frame="1"/>
        </w:rPr>
        <w:t> </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i/>
          <w:iCs/>
          <w:color w:val="242424"/>
          <w:bdr w:val="none" w:sz="0" w:space="0" w:color="auto" w:frame="1"/>
        </w:rPr>
        <w:t>II. Se determine mediante resolución de autoridad competente, o</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i/>
          <w:iCs/>
          <w:color w:val="242424"/>
          <w:bdr w:val="none" w:sz="0" w:space="0" w:color="auto" w:frame="1"/>
        </w:rPr>
        <w:t>III. Se generen versiones públicas para dar cumplimiento a las obligaciones de transparencia previstas en la Ley General, la Ley Federal y las correspondientes de las entidades federativas.</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i/>
          <w:iCs/>
          <w:color w:val="242424"/>
          <w:bdr w:val="none" w:sz="0" w:space="0" w:color="auto" w:frame="1"/>
        </w:rPr>
        <w:t> </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i/>
          <w:iCs/>
          <w:color w:val="242424"/>
          <w:bdr w:val="none" w:sz="0" w:space="0" w:color="auto" w:frame="1"/>
        </w:rPr>
        <w:t>Los titulares de las áreas deberán revisar la clasificación al momento de la recepción de una solicitud de acceso a la información, para verificar si encuadra en una causal de reserva o de confidencialidad.</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i/>
          <w:iCs/>
          <w:color w:val="242424"/>
          <w:bdr w:val="none" w:sz="0" w:space="0" w:color="auto" w:frame="1"/>
        </w:rPr>
        <w:t> </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b/>
          <w:bCs/>
          <w:i/>
          <w:iCs/>
          <w:color w:val="242424"/>
          <w:bdr w:val="none" w:sz="0" w:space="0" w:color="auto" w:frame="1"/>
        </w:rPr>
        <w:t>Octavo.</w:t>
      </w:r>
      <w:r w:rsidRPr="00DC38C2">
        <w:rPr>
          <w:rFonts w:ascii="Palatino Linotype" w:hAnsi="Palatino Linotype" w:cs="Segoe UI"/>
          <w:i/>
          <w:iCs/>
          <w:color w:val="242424"/>
          <w:bdr w:val="none" w:sz="0" w:space="0" w:color="auto" w:frame="1"/>
        </w:rPr>
        <w:t> Para fundar la clasificación de la información se debe señalar el artículo, fracción, inciso, párrafo o numeral de la ley o tratado internacional suscrito por el Estado mexicano que expresamente le otorga el carácter de reservada o confidencial.</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i/>
          <w:iCs/>
          <w:color w:val="242424"/>
          <w:bdr w:val="none" w:sz="0" w:space="0" w:color="auto" w:frame="1"/>
        </w:rPr>
        <w:t>Para motivar la clasificación se deberán señalar las razones o circunstancias especiales que lo llevaron a concluir que el caso particular se ajusta al supuesto previsto por la norma legal invocada como fundamento.</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i/>
          <w:iCs/>
          <w:color w:val="242424"/>
          <w:bdr w:val="none" w:sz="0" w:space="0" w:color="auto" w:frame="1"/>
        </w:rPr>
        <w:t> </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i/>
          <w:iCs/>
          <w:color w:val="242424"/>
          <w:bdr w:val="none" w:sz="0" w:space="0" w:color="auto" w:frame="1"/>
        </w:rPr>
        <w:t>En caso de referirse a información reservada, la motivación de la clasificación también deberá comprender las circunstancias que justifican el establecimiento de determinado plazo de reserva.</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i/>
          <w:iCs/>
          <w:color w:val="242424"/>
          <w:bdr w:val="none" w:sz="0" w:space="0" w:color="auto" w:frame="1"/>
        </w:rPr>
        <w:t> </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i/>
          <w:iCs/>
          <w:color w:val="242424"/>
          <w:bdr w:val="none" w:sz="0" w:space="0" w:color="auto" w:frame="1"/>
        </w:rPr>
        <w:t>Tratándose de información clasificada como confidencial respecto de la cual se haya determinado su conservación permanente por tener valor histórico, ésta conservará tal carácter de conformidad con la normativa aplicable en materia de archivos.</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i/>
          <w:iCs/>
          <w:color w:val="242424"/>
          <w:bdr w:val="none" w:sz="0" w:space="0" w:color="auto" w:frame="1"/>
        </w:rPr>
        <w:t> </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i/>
          <w:iCs/>
          <w:color w:val="242424"/>
          <w:bdr w:val="none" w:sz="0" w:space="0" w:color="auto" w:frame="1"/>
        </w:rPr>
        <w:t xml:space="preserve">Los documentos contenidos en los archivos históricos y los identificados como históricos confidenciales no serán susceptibles de clasificación como reservados. Noveno. En los casos </w:t>
      </w:r>
      <w:r w:rsidRPr="00DC38C2">
        <w:rPr>
          <w:rFonts w:ascii="Palatino Linotype" w:hAnsi="Palatino Linotype" w:cs="Segoe UI"/>
          <w:i/>
          <w:iCs/>
          <w:color w:val="242424"/>
          <w:bdr w:val="none" w:sz="0" w:space="0" w:color="auto" w:frame="1"/>
        </w:rPr>
        <w:lastRenderedPageBreak/>
        <w:t>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i/>
          <w:iCs/>
          <w:color w:val="242424"/>
          <w:bdr w:val="none" w:sz="0" w:space="0" w:color="auto" w:frame="1"/>
        </w:rPr>
        <w:t> </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b/>
          <w:bCs/>
          <w:i/>
          <w:iCs/>
          <w:color w:val="242424"/>
          <w:bdr w:val="none" w:sz="0" w:space="0" w:color="auto" w:frame="1"/>
        </w:rPr>
        <w:t>Décimo</w:t>
      </w:r>
      <w:r w:rsidRPr="00DC38C2">
        <w:rPr>
          <w:rFonts w:ascii="Palatino Linotype" w:hAnsi="Palatino Linotype" w:cs="Segoe UI"/>
          <w:i/>
          <w:iCs/>
          <w:color w:val="242424"/>
          <w:bdr w:val="none" w:sz="0" w:space="0" w:color="auto" w:frame="1"/>
        </w:rPr>
        <w:t>.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i/>
          <w:iCs/>
          <w:color w:val="242424"/>
          <w:bdr w:val="none" w:sz="0" w:space="0" w:color="auto" w:frame="1"/>
        </w:rPr>
        <w:t> </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i/>
          <w:iCs/>
          <w:color w:val="242424"/>
          <w:bdr w:val="none" w:sz="0" w:space="0" w:color="auto" w:frame="1"/>
        </w:rPr>
        <w:t>En ausencia de los titulares de las áreas, la información será clasificada o desclasificada por la persona que lo supla, en términos de la normativa que rija la actuación del sujeto obligado.</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i/>
          <w:iCs/>
          <w:color w:val="242424"/>
          <w:bdr w:val="none" w:sz="0" w:space="0" w:color="auto" w:frame="1"/>
        </w:rPr>
        <w:t> </w:t>
      </w:r>
    </w:p>
    <w:p w:rsidR="00D649F1" w:rsidRPr="00DC38C2" w:rsidRDefault="00D649F1" w:rsidP="00D649F1">
      <w:pPr>
        <w:pStyle w:val="xgmail-msonormal"/>
        <w:shd w:val="clear" w:color="auto" w:fill="FFFFFF"/>
        <w:spacing w:before="0" w:beforeAutospacing="0" w:after="0" w:afterAutospacing="0"/>
        <w:ind w:left="567" w:right="567"/>
        <w:jc w:val="both"/>
        <w:rPr>
          <w:rFonts w:ascii="Segoe UI" w:hAnsi="Segoe UI" w:cs="Segoe UI"/>
          <w:color w:val="242424"/>
        </w:rPr>
      </w:pPr>
      <w:r w:rsidRPr="00DC38C2">
        <w:rPr>
          <w:rFonts w:ascii="Palatino Linotype" w:hAnsi="Palatino Linotype" w:cs="Segoe UI"/>
          <w:b/>
          <w:bCs/>
          <w:i/>
          <w:iCs/>
          <w:color w:val="242424"/>
          <w:bdr w:val="none" w:sz="0" w:space="0" w:color="auto" w:frame="1"/>
        </w:rPr>
        <w:t>Décimo primero</w:t>
      </w:r>
      <w:r w:rsidRPr="00DC38C2">
        <w:rPr>
          <w:rFonts w:ascii="Palatino Linotype" w:hAnsi="Palatino Linotype" w:cs="Segoe UI"/>
          <w:i/>
          <w:iCs/>
          <w:color w:val="242424"/>
          <w:bdr w:val="none" w:sz="0" w:space="0" w:color="auto" w:frame="1"/>
        </w:rPr>
        <w:t>.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rsidR="00D649F1" w:rsidRPr="00DC38C2" w:rsidRDefault="00D649F1" w:rsidP="00D649F1">
      <w:pPr>
        <w:pStyle w:val="xmsonormal"/>
        <w:shd w:val="clear" w:color="auto" w:fill="FFFFFF"/>
        <w:spacing w:before="0" w:beforeAutospacing="0" w:after="0" w:afterAutospacing="0" w:line="360" w:lineRule="atLeast"/>
        <w:ind w:right="1"/>
        <w:jc w:val="both"/>
        <w:rPr>
          <w:color w:val="242424"/>
        </w:rPr>
      </w:pPr>
      <w:r w:rsidRPr="00DC38C2">
        <w:rPr>
          <w:rFonts w:ascii="Palatino Linotype" w:hAnsi="Palatino Linotype"/>
          <w:b/>
          <w:bCs/>
          <w:color w:val="242424"/>
          <w:bdr w:val="none" w:sz="0" w:space="0" w:color="auto" w:frame="1"/>
        </w:rPr>
        <w:t> </w:t>
      </w:r>
    </w:p>
    <w:p w:rsidR="00D649F1" w:rsidRPr="00DC38C2" w:rsidRDefault="00D649F1" w:rsidP="00755856">
      <w:pPr>
        <w:pStyle w:val="xmsonormal"/>
        <w:numPr>
          <w:ilvl w:val="0"/>
          <w:numId w:val="6"/>
        </w:numPr>
        <w:shd w:val="clear" w:color="auto" w:fill="FFFFFF"/>
        <w:spacing w:before="0" w:beforeAutospacing="0" w:after="0" w:afterAutospacing="0" w:line="360" w:lineRule="auto"/>
        <w:ind w:right="1"/>
        <w:jc w:val="both"/>
        <w:rPr>
          <w:color w:val="242424"/>
        </w:rPr>
      </w:pPr>
      <w:r w:rsidRPr="00DC38C2">
        <w:rPr>
          <w:rFonts w:ascii="Palatino Linotype" w:hAnsi="Palatino Linotype"/>
          <w:color w:val="242424"/>
          <w:bdr w:val="none" w:sz="0" w:space="0" w:color="auto" w:frame="1"/>
        </w:rPr>
        <w:t>En tal contexto se deberá proceder a la clasificación de los nombres de los elementos de policía que realicen actividades operativas en campo</w:t>
      </w:r>
      <w:bookmarkStart w:id="14" w:name="x__msoanchor_1"/>
      <w:r w:rsidRPr="00DC38C2">
        <w:rPr>
          <w:rStyle w:val="xgmail-msocommentreference"/>
          <w:rFonts w:ascii="inherit" w:eastAsia="Palatino Linotype" w:hAnsi="inherit"/>
          <w:color w:val="242424"/>
          <w:bdr w:val="none" w:sz="0" w:space="0" w:color="auto" w:frame="1"/>
        </w:rPr>
        <w:fldChar w:fldCharType="begin"/>
      </w:r>
      <w:r w:rsidRPr="00DC38C2">
        <w:rPr>
          <w:rStyle w:val="xgmail-msocommentreference"/>
          <w:rFonts w:ascii="inherit" w:eastAsia="Palatino Linotype" w:hAnsi="inherit"/>
          <w:color w:val="242424"/>
          <w:bdr w:val="none" w:sz="0" w:space="0" w:color="auto" w:frame="1"/>
        </w:rPr>
        <w:instrText xml:space="preserve"> HYPERLINK "https://outlook.live.com/mail/0/inbox/id/AQQkADAwATYwMAItZjBkNS0xOTdjLTAwAi0wMAoAEAALyVQ29UQeQZjJTDf3UK3d" \l "x__msocom_1" \o "#x__msocom_1" </w:instrText>
      </w:r>
      <w:r w:rsidRPr="00DC38C2">
        <w:rPr>
          <w:rStyle w:val="xgmail-msocommentreference"/>
          <w:rFonts w:ascii="inherit" w:eastAsia="Palatino Linotype" w:hAnsi="inherit"/>
          <w:color w:val="242424"/>
          <w:bdr w:val="none" w:sz="0" w:space="0" w:color="auto" w:frame="1"/>
        </w:rPr>
        <w:fldChar w:fldCharType="separate"/>
      </w:r>
      <w:r w:rsidRPr="00DC38C2">
        <w:rPr>
          <w:rStyle w:val="Hipervnculo"/>
          <w:rFonts w:ascii="inherit" w:hAnsi="inherit"/>
          <w:bdr w:val="none" w:sz="0" w:space="0" w:color="auto" w:frame="1"/>
        </w:rPr>
        <w:t>[I1]</w:t>
      </w:r>
      <w:r w:rsidRPr="00DC38C2">
        <w:rPr>
          <w:rStyle w:val="xgmail-msocommentreference"/>
          <w:rFonts w:ascii="inherit" w:eastAsia="Palatino Linotype" w:hAnsi="inherit"/>
          <w:color w:val="242424"/>
          <w:bdr w:val="none" w:sz="0" w:space="0" w:color="auto" w:frame="1"/>
        </w:rPr>
        <w:fldChar w:fldCharType="end"/>
      </w:r>
      <w:bookmarkEnd w:id="14"/>
      <w:r w:rsidRPr="00DC38C2">
        <w:rPr>
          <w:rStyle w:val="xgmail-msocommentreference"/>
          <w:rFonts w:ascii="inherit" w:eastAsia="Palatino Linotype" w:hAnsi="inherit"/>
          <w:color w:val="242424"/>
          <w:bdr w:val="none" w:sz="0" w:space="0" w:color="auto" w:frame="1"/>
        </w:rPr>
        <w:t> </w:t>
      </w:r>
      <w:r w:rsidRPr="00DC38C2">
        <w:rPr>
          <w:rFonts w:ascii="Palatino Linotype" w:hAnsi="Palatino Linotype"/>
          <w:color w:val="242424"/>
          <w:bdr w:val="none" w:sz="0" w:space="0" w:color="auto" w:frame="1"/>
        </w:rPr>
        <w:t>.</w:t>
      </w:r>
    </w:p>
    <w:p w:rsidR="00D649F1" w:rsidRPr="00DC38C2" w:rsidRDefault="00D649F1" w:rsidP="00D649F1">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783FB8" w:rsidRPr="00DC38C2" w:rsidRDefault="00783FB8">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rsidR="00783FB8" w:rsidRPr="00DC38C2" w:rsidRDefault="005F2828">
      <w:pPr>
        <w:numPr>
          <w:ilvl w:val="0"/>
          <w:numId w:val="6"/>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C38C2">
        <w:rPr>
          <w:rFonts w:ascii="Palatino Linotype" w:eastAsia="Palatino Linotype" w:hAnsi="Palatino Linotype" w:cs="Palatino Linotype"/>
          <w:color w:val="000000"/>
        </w:rPr>
        <w:t>Por lo anteriormente expuesto, este Órgano Garante considera fundadas las razones o motivos de inconformidad que plantea el</w:t>
      </w:r>
      <w:r w:rsidRPr="00DC38C2">
        <w:rPr>
          <w:rFonts w:ascii="Palatino Linotype" w:eastAsia="Palatino Linotype" w:hAnsi="Palatino Linotype" w:cs="Palatino Linotype"/>
          <w:b/>
          <w:color w:val="000000"/>
        </w:rPr>
        <w:t xml:space="preserve"> RECURRENTE</w:t>
      </w:r>
      <w:r w:rsidRPr="00DC38C2">
        <w:rPr>
          <w:rFonts w:ascii="Palatino Linotype" w:eastAsia="Palatino Linotype" w:hAnsi="Palatino Linotype" w:cs="Palatino Linotype"/>
          <w:color w:val="000000"/>
        </w:rPr>
        <w:t xml:space="preserve">, determinando </w:t>
      </w:r>
      <w:r w:rsidRPr="00DC38C2">
        <w:rPr>
          <w:rFonts w:ascii="Palatino Linotype" w:eastAsia="Palatino Linotype" w:hAnsi="Palatino Linotype" w:cs="Palatino Linotype"/>
          <w:b/>
          <w:color w:val="000000"/>
        </w:rPr>
        <w:t xml:space="preserve">REVOCAR </w:t>
      </w:r>
      <w:r w:rsidRPr="00DC38C2">
        <w:rPr>
          <w:rFonts w:ascii="Palatino Linotype" w:eastAsia="Palatino Linotype" w:hAnsi="Palatino Linotype" w:cs="Palatino Linotype"/>
          <w:color w:val="000000"/>
        </w:rPr>
        <w:t xml:space="preserve">la </w:t>
      </w:r>
      <w:r w:rsidRPr="00DC38C2">
        <w:rPr>
          <w:rFonts w:ascii="Palatino Linotype" w:eastAsia="Palatino Linotype" w:hAnsi="Palatino Linotype" w:cs="Palatino Linotype"/>
          <w:color w:val="000000"/>
        </w:rPr>
        <w:lastRenderedPageBreak/>
        <w:t xml:space="preserve">respuesta del </w:t>
      </w:r>
      <w:r w:rsidRPr="00DC38C2">
        <w:rPr>
          <w:rFonts w:ascii="Palatino Linotype" w:eastAsia="Palatino Linotype" w:hAnsi="Palatino Linotype" w:cs="Palatino Linotype"/>
          <w:b/>
          <w:color w:val="000000"/>
        </w:rPr>
        <w:t>SUJETO OBLIGADO</w:t>
      </w:r>
      <w:r w:rsidRPr="00DC38C2">
        <w:rPr>
          <w:rFonts w:ascii="Palatino Linotype" w:eastAsia="Palatino Linotype" w:hAnsi="Palatino Linotype" w:cs="Palatino Linotype"/>
          <w:color w:val="000000"/>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este </w:t>
      </w:r>
      <w:r w:rsidRPr="00DC38C2">
        <w:rPr>
          <w:rFonts w:ascii="Palatino Linotype" w:eastAsia="Palatino Linotype" w:hAnsi="Palatino Linotype" w:cs="Palatino Linotype"/>
          <w:b/>
          <w:color w:val="000000"/>
        </w:rPr>
        <w:t>ÓRGANO GARANTE</w:t>
      </w:r>
      <w:r w:rsidRPr="00DC38C2">
        <w:rPr>
          <w:rFonts w:ascii="Palatino Linotype" w:eastAsia="Palatino Linotype" w:hAnsi="Palatino Linotype" w:cs="Palatino Linotype"/>
          <w:color w:val="000000"/>
        </w:rPr>
        <w:t xml:space="preserve"> emite los siguientes.</w:t>
      </w:r>
    </w:p>
    <w:p w:rsidR="00783FB8" w:rsidRPr="00DC38C2" w:rsidRDefault="00783FB8">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783FB8" w:rsidRPr="00DC38C2" w:rsidRDefault="005F2828">
      <w:pPr>
        <w:pStyle w:val="Ttulo1"/>
        <w:spacing w:before="0" w:line="360" w:lineRule="auto"/>
        <w:jc w:val="center"/>
        <w:rPr>
          <w:b w:val="0"/>
          <w:color w:val="000000"/>
          <w:szCs w:val="24"/>
        </w:rPr>
      </w:pPr>
      <w:r w:rsidRPr="00DC38C2">
        <w:rPr>
          <w:color w:val="000000"/>
          <w:szCs w:val="24"/>
        </w:rPr>
        <w:t>R E S O L U T I V O S</w:t>
      </w:r>
    </w:p>
    <w:p w:rsidR="00783FB8" w:rsidRPr="00DC38C2" w:rsidRDefault="00783FB8">
      <w:pPr>
        <w:spacing w:line="360" w:lineRule="auto"/>
        <w:rPr>
          <w:rFonts w:ascii="Palatino Linotype" w:eastAsia="Palatino Linotype" w:hAnsi="Palatino Linotype" w:cs="Palatino Linotype"/>
        </w:rPr>
      </w:pPr>
    </w:p>
    <w:p w:rsidR="00783FB8" w:rsidRPr="00DC38C2" w:rsidRDefault="005F2828">
      <w:pPr>
        <w:spacing w:line="360" w:lineRule="auto"/>
        <w:jc w:val="both"/>
        <w:rPr>
          <w:rFonts w:ascii="Palatino Linotype" w:eastAsia="Palatino Linotype" w:hAnsi="Palatino Linotype" w:cs="Palatino Linotype"/>
        </w:rPr>
      </w:pPr>
      <w:r w:rsidRPr="00DC38C2">
        <w:rPr>
          <w:rFonts w:ascii="Palatino Linotype" w:eastAsia="Palatino Linotype" w:hAnsi="Palatino Linotype" w:cs="Palatino Linotype"/>
          <w:b/>
        </w:rPr>
        <w:t>PRIMERO</w:t>
      </w:r>
      <w:r w:rsidRPr="00DC38C2">
        <w:rPr>
          <w:rFonts w:ascii="Palatino Linotype" w:eastAsia="Palatino Linotype" w:hAnsi="Palatino Linotype" w:cs="Palatino Linotype"/>
        </w:rPr>
        <w:t xml:space="preserve">. Resultan fundadas las razones o motivos de inconformidad hechos valer en el Recursos de Revisión </w:t>
      </w:r>
      <w:r w:rsidR="00755856" w:rsidRPr="00DC38C2">
        <w:rPr>
          <w:rFonts w:ascii="Palatino Linotype" w:eastAsia="Palatino Linotype" w:hAnsi="Palatino Linotype" w:cs="Palatino Linotype"/>
          <w:b/>
        </w:rPr>
        <w:t>04433</w:t>
      </w:r>
      <w:r w:rsidRPr="00DC38C2">
        <w:rPr>
          <w:rFonts w:ascii="Palatino Linotype" w:eastAsia="Palatino Linotype" w:hAnsi="Palatino Linotype" w:cs="Palatino Linotype"/>
          <w:b/>
        </w:rPr>
        <w:t>/INFOEM/IP/RR/202</w:t>
      </w:r>
      <w:r w:rsidR="00755856" w:rsidRPr="00DC38C2">
        <w:rPr>
          <w:rFonts w:ascii="Palatino Linotype" w:eastAsia="Palatino Linotype" w:hAnsi="Palatino Linotype" w:cs="Palatino Linotype"/>
          <w:b/>
        </w:rPr>
        <w:t>6</w:t>
      </w:r>
      <w:r w:rsidRPr="00DC38C2">
        <w:rPr>
          <w:rFonts w:ascii="Palatino Linotype" w:eastAsia="Palatino Linotype" w:hAnsi="Palatino Linotype" w:cs="Palatino Linotype"/>
          <w:b/>
        </w:rPr>
        <w:t xml:space="preserve"> </w:t>
      </w:r>
      <w:r w:rsidRPr="00DC38C2">
        <w:rPr>
          <w:rFonts w:ascii="Palatino Linotype" w:eastAsia="Palatino Linotype" w:hAnsi="Palatino Linotype" w:cs="Palatino Linotype"/>
        </w:rPr>
        <w:t xml:space="preserve">en términos del Considerando </w:t>
      </w:r>
      <w:r w:rsidRPr="00DC38C2">
        <w:rPr>
          <w:rFonts w:ascii="Palatino Linotype" w:eastAsia="Palatino Linotype" w:hAnsi="Palatino Linotype" w:cs="Palatino Linotype"/>
          <w:b/>
        </w:rPr>
        <w:t xml:space="preserve">Cuarto y Quinto </w:t>
      </w:r>
      <w:r w:rsidRPr="00DC38C2">
        <w:rPr>
          <w:rFonts w:ascii="Palatino Linotype" w:eastAsia="Palatino Linotype" w:hAnsi="Palatino Linotype" w:cs="Palatino Linotype"/>
        </w:rPr>
        <w:t xml:space="preserve">de la presente resolución. </w:t>
      </w:r>
    </w:p>
    <w:p w:rsidR="00783FB8" w:rsidRPr="00DC38C2" w:rsidRDefault="00783FB8">
      <w:pPr>
        <w:spacing w:line="360" w:lineRule="auto"/>
        <w:jc w:val="both"/>
        <w:rPr>
          <w:rFonts w:ascii="Palatino Linotype" w:eastAsia="Palatino Linotype" w:hAnsi="Palatino Linotype" w:cs="Palatino Linotype"/>
        </w:rPr>
      </w:pPr>
    </w:p>
    <w:p w:rsidR="00783FB8" w:rsidRPr="00DC38C2" w:rsidRDefault="005F2828">
      <w:pPr>
        <w:spacing w:line="360" w:lineRule="auto"/>
        <w:jc w:val="both"/>
        <w:rPr>
          <w:rFonts w:ascii="Palatino Linotype" w:eastAsia="Palatino Linotype" w:hAnsi="Palatino Linotype" w:cs="Palatino Linotype"/>
          <w:color w:val="000000"/>
        </w:rPr>
      </w:pPr>
      <w:bookmarkStart w:id="15" w:name="_heading=h.26in1rg" w:colFirst="0" w:colLast="0"/>
      <w:bookmarkEnd w:id="15"/>
      <w:r w:rsidRPr="00DC38C2">
        <w:rPr>
          <w:rFonts w:ascii="Palatino Linotype" w:eastAsia="Palatino Linotype" w:hAnsi="Palatino Linotype" w:cs="Palatino Linotype"/>
          <w:b/>
        </w:rPr>
        <w:t xml:space="preserve">SEGUNDO. </w:t>
      </w:r>
      <w:r w:rsidRPr="00DC38C2">
        <w:rPr>
          <w:rFonts w:ascii="Palatino Linotype" w:eastAsia="Palatino Linotype" w:hAnsi="Palatino Linotype" w:cs="Palatino Linotype"/>
          <w:color w:val="000000"/>
        </w:rPr>
        <w:t xml:space="preserve">Se </w:t>
      </w:r>
      <w:r w:rsidRPr="00DC38C2">
        <w:rPr>
          <w:rFonts w:ascii="Palatino Linotype" w:eastAsia="Palatino Linotype" w:hAnsi="Palatino Linotype" w:cs="Palatino Linotype"/>
          <w:b/>
          <w:color w:val="000000"/>
        </w:rPr>
        <w:t xml:space="preserve">REVOCA </w:t>
      </w:r>
      <w:r w:rsidRPr="00DC38C2">
        <w:rPr>
          <w:rFonts w:ascii="Palatino Linotype" w:eastAsia="Palatino Linotype" w:hAnsi="Palatino Linotype" w:cs="Palatino Linotype"/>
          <w:color w:val="000000"/>
        </w:rPr>
        <w:t xml:space="preserve">la respuesta emitida por el </w:t>
      </w:r>
      <w:r w:rsidR="00537A0A" w:rsidRPr="00DC38C2">
        <w:rPr>
          <w:rFonts w:ascii="Palatino Linotype" w:eastAsia="Palatino Linotype" w:hAnsi="Palatino Linotype" w:cs="Palatino Linotype"/>
          <w:b/>
          <w:color w:val="000000"/>
        </w:rPr>
        <w:t xml:space="preserve">Ayuntamiento de </w:t>
      </w:r>
      <w:r w:rsidR="00755856" w:rsidRPr="00DC38C2">
        <w:rPr>
          <w:rFonts w:ascii="Palatino Linotype" w:eastAsia="Palatino Linotype" w:hAnsi="Palatino Linotype" w:cs="Palatino Linotype"/>
          <w:b/>
          <w:color w:val="000000"/>
        </w:rPr>
        <w:t>Capulhuac</w:t>
      </w:r>
      <w:r w:rsidRPr="00DC38C2">
        <w:rPr>
          <w:rFonts w:ascii="Palatino Linotype" w:eastAsia="Palatino Linotype" w:hAnsi="Palatino Linotype" w:cs="Palatino Linotype"/>
          <w:b/>
          <w:color w:val="000000"/>
        </w:rPr>
        <w:t>,</w:t>
      </w:r>
      <w:r w:rsidRPr="00DC38C2">
        <w:rPr>
          <w:rFonts w:ascii="Palatino Linotype" w:eastAsia="Palatino Linotype" w:hAnsi="Palatino Linotype" w:cs="Palatino Linotype"/>
          <w:color w:val="000000"/>
        </w:rPr>
        <w:t xml:space="preserve"> a la </w:t>
      </w:r>
      <w:r w:rsidRPr="00DC38C2">
        <w:rPr>
          <w:rFonts w:ascii="Palatino Linotype" w:eastAsia="Palatino Linotype" w:hAnsi="Palatino Linotype" w:cs="Palatino Linotype"/>
        </w:rPr>
        <w:t>solicitud de información pública registrada con el número</w:t>
      </w:r>
      <w:r w:rsidR="00755856" w:rsidRPr="00DC38C2">
        <w:rPr>
          <w:rFonts w:ascii="Palatino Linotype" w:eastAsia="Palatino Linotype" w:hAnsi="Palatino Linotype" w:cs="Palatino Linotype"/>
          <w:b/>
        </w:rPr>
        <w:t xml:space="preserve"> 00060</w:t>
      </w:r>
      <w:r w:rsidRPr="00DC38C2">
        <w:rPr>
          <w:rFonts w:ascii="Palatino Linotype" w:eastAsia="Palatino Linotype" w:hAnsi="Palatino Linotype" w:cs="Palatino Linotype"/>
          <w:b/>
        </w:rPr>
        <w:t>/</w:t>
      </w:r>
      <w:r w:rsidR="00755856" w:rsidRPr="00DC38C2">
        <w:rPr>
          <w:rFonts w:ascii="Palatino Linotype" w:eastAsia="Palatino Linotype" w:hAnsi="Palatino Linotype" w:cs="Palatino Linotype"/>
          <w:b/>
        </w:rPr>
        <w:t>CAPULHUAC</w:t>
      </w:r>
      <w:r w:rsidRPr="00DC38C2">
        <w:rPr>
          <w:rFonts w:ascii="Palatino Linotype" w:eastAsia="Palatino Linotype" w:hAnsi="Palatino Linotype" w:cs="Palatino Linotype"/>
          <w:b/>
        </w:rPr>
        <w:t>/IP/202</w:t>
      </w:r>
      <w:r w:rsidR="00755856" w:rsidRPr="00DC38C2">
        <w:rPr>
          <w:rFonts w:ascii="Palatino Linotype" w:eastAsia="Palatino Linotype" w:hAnsi="Palatino Linotype" w:cs="Palatino Linotype"/>
          <w:b/>
        </w:rPr>
        <w:t>6</w:t>
      </w:r>
      <w:r w:rsidRPr="00DC38C2">
        <w:rPr>
          <w:rFonts w:ascii="Palatino Linotype" w:eastAsia="Palatino Linotype" w:hAnsi="Palatino Linotype" w:cs="Palatino Linotype"/>
          <w:color w:val="000000"/>
        </w:rPr>
        <w:t xml:space="preserve"> y se </w:t>
      </w:r>
      <w:r w:rsidRPr="00DC38C2">
        <w:rPr>
          <w:rFonts w:ascii="Palatino Linotype" w:eastAsia="Palatino Linotype" w:hAnsi="Palatino Linotype" w:cs="Palatino Linotype"/>
          <w:b/>
          <w:color w:val="000000"/>
        </w:rPr>
        <w:t>ORDENA</w:t>
      </w:r>
      <w:r w:rsidRPr="00DC38C2">
        <w:rPr>
          <w:rFonts w:ascii="Palatino Linotype" w:eastAsia="Palatino Linotype" w:hAnsi="Palatino Linotype" w:cs="Palatino Linotype"/>
          <w:color w:val="000000"/>
        </w:rPr>
        <w:t xml:space="preserve"> entregar vía Sistema de Acceso a la Información Mexiquense </w:t>
      </w:r>
      <w:r w:rsidRPr="00DC38C2">
        <w:rPr>
          <w:rFonts w:ascii="Palatino Linotype" w:eastAsia="Palatino Linotype" w:hAnsi="Palatino Linotype" w:cs="Palatino Linotype"/>
          <w:b/>
          <w:color w:val="000000"/>
        </w:rPr>
        <w:t>(SAIMEX)</w:t>
      </w:r>
      <w:r w:rsidRPr="00DC38C2">
        <w:rPr>
          <w:rFonts w:ascii="Palatino Linotype" w:eastAsia="Palatino Linotype" w:hAnsi="Palatino Linotype" w:cs="Palatino Linotype"/>
          <w:color w:val="000000"/>
        </w:rPr>
        <w:t>, en versión pública, la siguiente información:</w:t>
      </w:r>
    </w:p>
    <w:p w:rsidR="00783FB8" w:rsidRPr="00DC38C2" w:rsidRDefault="00783FB8">
      <w:pPr>
        <w:spacing w:line="360" w:lineRule="auto"/>
        <w:jc w:val="both"/>
        <w:rPr>
          <w:rFonts w:ascii="Palatino Linotype" w:eastAsia="Palatino Linotype" w:hAnsi="Palatino Linotype" w:cs="Palatino Linotype"/>
        </w:rPr>
      </w:pPr>
    </w:p>
    <w:p w:rsidR="001033C8" w:rsidRDefault="00755856" w:rsidP="00755856">
      <w:pPr>
        <w:pStyle w:val="Prrafodelista"/>
        <w:numPr>
          <w:ilvl w:val="0"/>
          <w:numId w:val="24"/>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DC38C2">
        <w:rPr>
          <w:rFonts w:ascii="Palatino Linotype" w:eastAsia="Palatino Linotype" w:hAnsi="Palatino Linotype" w:cs="Palatino Linotype"/>
          <w:b/>
          <w:color w:val="000000"/>
        </w:rPr>
        <w:t>Recibos de Nómina de la segunda quincena del mes de marzo de 2026</w:t>
      </w:r>
    </w:p>
    <w:p w:rsidR="00DC38C2" w:rsidRPr="00DC38C2" w:rsidRDefault="00DC38C2" w:rsidP="00DC38C2">
      <w:pPr>
        <w:pStyle w:val="Prrafodelista"/>
        <w:pBdr>
          <w:top w:val="nil"/>
          <w:left w:val="nil"/>
          <w:bottom w:val="nil"/>
          <w:right w:val="nil"/>
          <w:between w:val="nil"/>
        </w:pBdr>
        <w:spacing w:line="360" w:lineRule="auto"/>
        <w:ind w:left="1440"/>
        <w:jc w:val="both"/>
        <w:rPr>
          <w:rFonts w:ascii="Palatino Linotype" w:eastAsia="Palatino Linotype" w:hAnsi="Palatino Linotype" w:cs="Palatino Linotype"/>
          <w:b/>
          <w:color w:val="000000"/>
        </w:rPr>
      </w:pPr>
    </w:p>
    <w:p w:rsidR="00783FB8" w:rsidRPr="00DC38C2" w:rsidRDefault="005F2828">
      <w:pPr>
        <w:spacing w:line="360" w:lineRule="auto"/>
        <w:jc w:val="both"/>
        <w:rPr>
          <w:rFonts w:ascii="Palatino Linotype" w:eastAsia="Palatino Linotype" w:hAnsi="Palatino Linotype" w:cs="Palatino Linotype"/>
          <w:b/>
        </w:rPr>
      </w:pPr>
      <w:r w:rsidRPr="00DC38C2">
        <w:rPr>
          <w:rFonts w:ascii="Palatino Linotype" w:eastAsia="Palatino Linotype" w:hAnsi="Palatino Linotype" w:cs="Palatino Linotype"/>
        </w:rPr>
        <w:t xml:space="preserve">Para efecto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w:t>
      </w:r>
      <w:r w:rsidRPr="00DC38C2">
        <w:rPr>
          <w:rFonts w:ascii="Palatino Linotype" w:eastAsia="Palatino Linotype" w:hAnsi="Palatino Linotype" w:cs="Palatino Linotype"/>
        </w:rPr>
        <w:lastRenderedPageBreak/>
        <w:t xml:space="preserve">respectivo objeto de las versiones públicas que se formulen, y se pongan a disposición del </w:t>
      </w:r>
      <w:r w:rsidRPr="00DC38C2">
        <w:rPr>
          <w:rFonts w:ascii="Palatino Linotype" w:eastAsia="Palatino Linotype" w:hAnsi="Palatino Linotype" w:cs="Palatino Linotype"/>
          <w:b/>
        </w:rPr>
        <w:t>RECURRENTE.</w:t>
      </w:r>
    </w:p>
    <w:p w:rsidR="00783FB8" w:rsidRPr="00DC38C2" w:rsidRDefault="00783FB8">
      <w:pPr>
        <w:pBdr>
          <w:top w:val="nil"/>
          <w:left w:val="nil"/>
          <w:bottom w:val="nil"/>
          <w:right w:val="nil"/>
          <w:between w:val="nil"/>
        </w:pBdr>
        <w:spacing w:line="360" w:lineRule="auto"/>
        <w:jc w:val="both"/>
        <w:rPr>
          <w:rFonts w:ascii="Palatino Linotype" w:eastAsia="Palatino Linotype" w:hAnsi="Palatino Linotype" w:cs="Palatino Linotype"/>
          <w:b/>
          <w:color w:val="000000"/>
        </w:rPr>
      </w:pPr>
      <w:bookmarkStart w:id="16" w:name="_heading=h.4d34og8" w:colFirst="0" w:colLast="0"/>
      <w:bookmarkEnd w:id="16"/>
    </w:p>
    <w:p w:rsidR="00783FB8" w:rsidRPr="00DC38C2" w:rsidRDefault="005F2828">
      <w:pPr>
        <w:tabs>
          <w:tab w:val="left" w:pos="8080"/>
        </w:tabs>
        <w:spacing w:line="360" w:lineRule="auto"/>
        <w:ind w:right="49"/>
        <w:jc w:val="both"/>
        <w:rPr>
          <w:rFonts w:ascii="Palatino Linotype" w:eastAsia="Palatino Linotype" w:hAnsi="Palatino Linotype" w:cs="Palatino Linotype"/>
          <w:b/>
        </w:rPr>
      </w:pPr>
      <w:bookmarkStart w:id="17" w:name="_heading=h.lnxbz9" w:colFirst="0" w:colLast="0"/>
      <w:bookmarkEnd w:id="17"/>
      <w:r w:rsidRPr="00DC38C2">
        <w:rPr>
          <w:rFonts w:ascii="Palatino Linotype" w:eastAsia="Palatino Linotype" w:hAnsi="Palatino Linotype" w:cs="Palatino Linotype"/>
          <w:b/>
        </w:rPr>
        <w:t xml:space="preserve">TERCERO. NOTIFÍQUESE </w:t>
      </w:r>
      <w:r w:rsidRPr="00DC38C2">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DC38C2">
        <w:rPr>
          <w:rFonts w:ascii="Palatino Linotype" w:eastAsia="Palatino Linotype" w:hAnsi="Palatino Linotype" w:cs="Palatino Linotype"/>
          <w:b/>
        </w:rPr>
        <w:t>dé cumplimiento a lo ordenado dentro del plazo de diez días hábiles,</w:t>
      </w:r>
      <w:r w:rsidRPr="00DC38C2">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83FB8" w:rsidRPr="00DC38C2" w:rsidRDefault="00783FB8">
      <w:pPr>
        <w:tabs>
          <w:tab w:val="left" w:pos="8080"/>
        </w:tabs>
        <w:spacing w:line="360" w:lineRule="auto"/>
        <w:ind w:right="49"/>
        <w:jc w:val="both"/>
        <w:rPr>
          <w:rFonts w:ascii="Palatino Linotype" w:eastAsia="Palatino Linotype" w:hAnsi="Palatino Linotype" w:cs="Palatino Linotype"/>
        </w:rPr>
      </w:pPr>
    </w:p>
    <w:p w:rsidR="00783FB8" w:rsidRPr="00DC38C2" w:rsidRDefault="005F2828">
      <w:pPr>
        <w:spacing w:line="360" w:lineRule="auto"/>
        <w:jc w:val="both"/>
        <w:rPr>
          <w:rFonts w:ascii="Palatino Linotype" w:eastAsia="Palatino Linotype" w:hAnsi="Palatino Linotype" w:cs="Palatino Linotype"/>
        </w:rPr>
      </w:pPr>
      <w:r w:rsidRPr="00DC38C2">
        <w:rPr>
          <w:rFonts w:ascii="Palatino Linotype" w:eastAsia="Palatino Linotype" w:hAnsi="Palatino Linotype" w:cs="Palatino Linotype"/>
          <w:b/>
        </w:rPr>
        <w:t xml:space="preserve">CUARTO. </w:t>
      </w:r>
      <w:r w:rsidRPr="00DC38C2">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DC38C2">
        <w:rPr>
          <w:rFonts w:ascii="Palatino Linotype" w:eastAsia="Palatino Linotype" w:hAnsi="Palatino Linotype" w:cs="Palatino Linotype"/>
          <w:b/>
        </w:rPr>
        <w:t>SUJETO OBLIGADO</w:t>
      </w:r>
      <w:r w:rsidRPr="00DC38C2">
        <w:rPr>
          <w:rFonts w:ascii="Palatino Linotype" w:eastAsia="Palatino Linotype" w:hAnsi="Palatino Linotype" w:cs="Palatino Linotype"/>
        </w:rPr>
        <w:t xml:space="preserve"> de manera fundada y motivada, podrá solicitar una ampliación de plazo para el cumplimiento de la presente resolución.</w:t>
      </w:r>
    </w:p>
    <w:p w:rsidR="00783FB8" w:rsidRPr="00DC38C2" w:rsidRDefault="00783FB8">
      <w:pPr>
        <w:spacing w:line="360" w:lineRule="auto"/>
        <w:jc w:val="both"/>
        <w:rPr>
          <w:rFonts w:ascii="Palatino Linotype" w:eastAsia="Palatino Linotype" w:hAnsi="Palatino Linotype" w:cs="Palatino Linotype"/>
        </w:rPr>
      </w:pPr>
    </w:p>
    <w:p w:rsidR="00783FB8" w:rsidRPr="00DC38C2" w:rsidRDefault="005F2828">
      <w:pPr>
        <w:tabs>
          <w:tab w:val="left" w:pos="8080"/>
        </w:tabs>
        <w:spacing w:line="360" w:lineRule="auto"/>
        <w:ind w:right="49"/>
        <w:jc w:val="both"/>
        <w:rPr>
          <w:rFonts w:ascii="Palatino Linotype" w:eastAsia="Palatino Linotype" w:hAnsi="Palatino Linotype" w:cs="Palatino Linotype"/>
        </w:rPr>
      </w:pPr>
      <w:bookmarkStart w:id="18" w:name="_heading=h.35nkun2" w:colFirst="0" w:colLast="0"/>
      <w:bookmarkEnd w:id="18"/>
      <w:r w:rsidRPr="00DC38C2">
        <w:rPr>
          <w:rFonts w:ascii="Palatino Linotype" w:eastAsia="Palatino Linotype" w:hAnsi="Palatino Linotype" w:cs="Palatino Linotype"/>
          <w:b/>
        </w:rPr>
        <w:t xml:space="preserve">QUINTO. </w:t>
      </w:r>
      <w:r w:rsidRPr="00DC38C2">
        <w:rPr>
          <w:rFonts w:ascii="Palatino Linotype" w:eastAsia="Palatino Linotype" w:hAnsi="Palatino Linotype" w:cs="Palatino Linotype"/>
        </w:rPr>
        <w:t xml:space="preserve">Notifíquese a </w:t>
      </w:r>
      <w:r w:rsidRPr="00DC38C2">
        <w:rPr>
          <w:rFonts w:ascii="Palatino Linotype" w:eastAsia="Palatino Linotype" w:hAnsi="Palatino Linotype" w:cs="Palatino Linotype"/>
          <w:b/>
        </w:rPr>
        <w:t>EL RECURRENTE</w:t>
      </w:r>
      <w:r w:rsidRPr="00DC38C2">
        <w:rPr>
          <w:rFonts w:ascii="Palatino Linotype" w:eastAsia="Palatino Linotype" w:hAnsi="Palatino Linotype" w:cs="Palatino Linotype"/>
        </w:rPr>
        <w:t xml:space="preserve"> la presente resolución, vía SAIMEX.</w:t>
      </w:r>
    </w:p>
    <w:p w:rsidR="00783FB8" w:rsidRPr="00DC38C2" w:rsidRDefault="00783FB8">
      <w:pPr>
        <w:tabs>
          <w:tab w:val="left" w:pos="8080"/>
        </w:tabs>
        <w:spacing w:line="360" w:lineRule="auto"/>
        <w:ind w:right="49"/>
        <w:jc w:val="both"/>
        <w:rPr>
          <w:rFonts w:ascii="Palatino Linotype" w:eastAsia="Palatino Linotype" w:hAnsi="Palatino Linotype" w:cs="Palatino Linotype"/>
        </w:rPr>
      </w:pPr>
    </w:p>
    <w:p w:rsidR="00783FB8" w:rsidRPr="00DC38C2" w:rsidRDefault="005F2828">
      <w:pPr>
        <w:shd w:val="clear" w:color="auto" w:fill="FFFFFF"/>
        <w:spacing w:line="360" w:lineRule="auto"/>
        <w:jc w:val="both"/>
        <w:rPr>
          <w:rFonts w:ascii="Palatino Linotype" w:eastAsia="Palatino Linotype" w:hAnsi="Palatino Linotype" w:cs="Palatino Linotype"/>
        </w:rPr>
      </w:pPr>
      <w:r w:rsidRPr="00DC38C2">
        <w:rPr>
          <w:rFonts w:ascii="Palatino Linotype" w:eastAsia="Palatino Linotype" w:hAnsi="Palatino Linotype" w:cs="Palatino Linotype"/>
          <w:b/>
        </w:rPr>
        <w:t>SEXTO.</w:t>
      </w:r>
      <w:r w:rsidRPr="00DC38C2">
        <w:rPr>
          <w:rFonts w:ascii="Palatino Linotype" w:eastAsia="Palatino Linotype" w:hAnsi="Palatino Linotype" w:cs="Palatino Linotype"/>
        </w:rPr>
        <w:t xml:space="preserve"> Se hace del conocimiento de </w:t>
      </w:r>
      <w:r w:rsidRPr="00DC38C2">
        <w:rPr>
          <w:rFonts w:ascii="Palatino Linotype" w:eastAsia="Palatino Linotype" w:hAnsi="Palatino Linotype" w:cs="Palatino Linotype"/>
          <w:b/>
        </w:rPr>
        <w:t>EL RECURRENTE</w:t>
      </w:r>
      <w:r w:rsidRPr="00DC38C2">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A84254" w:rsidRPr="00DC38C2" w:rsidRDefault="00A84254" w:rsidP="00A84254">
      <w:pPr>
        <w:spacing w:before="240" w:after="240" w:line="360" w:lineRule="auto"/>
        <w:ind w:firstLine="1"/>
        <w:jc w:val="both"/>
        <w:rPr>
          <w:rFonts w:ascii="Palatino Linotype" w:hAnsi="Palatino Linotype"/>
        </w:rPr>
      </w:pPr>
      <w:bookmarkStart w:id="19" w:name="_Hlk99014733"/>
      <w:r w:rsidRPr="00DC38C2">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w:t>
      </w:r>
      <w:r w:rsidR="00546FC5" w:rsidRPr="00DC38C2">
        <w:rPr>
          <w:rFonts w:ascii="Palatino Linotype" w:hAnsi="Palatino Linotype" w:cs="Palatino Linotype"/>
        </w:rPr>
        <w:t xml:space="preserve">EMITIENDO VOTO PARTICULAR </w:t>
      </w:r>
      <w:r w:rsidRPr="00DC38C2">
        <w:rPr>
          <w:rFonts w:ascii="Palatino Linotype" w:hAnsi="Palatino Linotype" w:cs="Palatino Linotype"/>
        </w:rPr>
        <w:t>Y GUADALUPE RAMÍREZ PEÑA</w:t>
      </w:r>
      <w:r w:rsidR="00546FC5" w:rsidRPr="00DC38C2">
        <w:rPr>
          <w:rFonts w:ascii="Palatino Linotype" w:hAnsi="Palatino Linotype" w:cs="Palatino Linotype"/>
        </w:rPr>
        <w:t xml:space="preserve"> EMITIENDO VOTO PARTICULAR</w:t>
      </w:r>
      <w:r w:rsidRPr="00DC38C2">
        <w:rPr>
          <w:rFonts w:ascii="Palatino Linotype" w:hAnsi="Palatino Linotype" w:cs="Palatino Linotype"/>
        </w:rPr>
        <w:t xml:space="preserve">; EN LA VIGÉSIMA SEGUNDA SESIÓN ORDINARIA, CELEBRADA EL DIECISIETE (17) DE JUNIO DE DOS MIL VEINTISÉIS, ANTE EL SECRETARIO TÉCNICO DEL PLENO </w:t>
      </w:r>
      <w:r w:rsidRPr="00DC38C2">
        <w:rPr>
          <w:rFonts w:ascii="Palatino Linotype" w:hAnsi="Palatino Linotype" w:cs="Palatino Linotype"/>
          <w:color w:val="000000" w:themeColor="text1"/>
        </w:rPr>
        <w:t>ALEXIS TAPIA RAMÍREZ.</w:t>
      </w:r>
    </w:p>
    <w:bookmarkEnd w:id="19"/>
    <w:p w:rsidR="00783FB8" w:rsidRPr="00DC38C2" w:rsidRDefault="00783FB8">
      <w:pPr>
        <w:spacing w:before="240" w:after="240" w:line="360" w:lineRule="auto"/>
        <w:ind w:firstLine="1"/>
        <w:jc w:val="both"/>
        <w:rPr>
          <w:rFonts w:ascii="Palatino Linotype" w:eastAsia="Palatino Linotype" w:hAnsi="Palatino Linotype" w:cs="Palatino Linotype"/>
        </w:rPr>
      </w:pPr>
    </w:p>
    <w:p w:rsidR="00783FB8" w:rsidRPr="00DC38C2" w:rsidRDefault="00783FB8">
      <w:pPr>
        <w:spacing w:before="240" w:after="240" w:line="360" w:lineRule="auto"/>
        <w:ind w:firstLine="1"/>
        <w:jc w:val="both"/>
        <w:rPr>
          <w:rFonts w:ascii="Palatino Linotype" w:eastAsia="Palatino Linotype" w:hAnsi="Palatino Linotype" w:cs="Palatino Linotype"/>
        </w:rPr>
      </w:pPr>
    </w:p>
    <w:p w:rsidR="00783FB8" w:rsidRPr="00DC38C2" w:rsidRDefault="00783FB8">
      <w:pPr>
        <w:spacing w:before="240" w:after="240" w:line="360" w:lineRule="auto"/>
        <w:ind w:firstLine="1"/>
        <w:jc w:val="both"/>
        <w:rPr>
          <w:rFonts w:ascii="Palatino Linotype" w:eastAsia="Palatino Linotype" w:hAnsi="Palatino Linotype" w:cs="Palatino Linotype"/>
        </w:rPr>
      </w:pPr>
    </w:p>
    <w:p w:rsidR="00783FB8" w:rsidRPr="00DC38C2" w:rsidRDefault="00783FB8">
      <w:pPr>
        <w:spacing w:before="240" w:after="240" w:line="360" w:lineRule="auto"/>
        <w:ind w:firstLine="1"/>
        <w:jc w:val="both"/>
        <w:rPr>
          <w:rFonts w:ascii="Palatino Linotype" w:eastAsia="Palatino Linotype" w:hAnsi="Palatino Linotype" w:cs="Palatino Linotype"/>
        </w:rPr>
      </w:pPr>
    </w:p>
    <w:p w:rsidR="00783FB8" w:rsidRPr="00DC38C2" w:rsidRDefault="00783FB8">
      <w:pPr>
        <w:spacing w:before="240" w:after="240" w:line="360" w:lineRule="auto"/>
        <w:ind w:firstLine="1"/>
        <w:jc w:val="both"/>
        <w:rPr>
          <w:rFonts w:ascii="Palatino Linotype" w:eastAsia="Palatino Linotype" w:hAnsi="Palatino Linotype" w:cs="Palatino Linotype"/>
        </w:rPr>
      </w:pPr>
    </w:p>
    <w:p w:rsidR="00783FB8" w:rsidRPr="00DC38C2" w:rsidRDefault="00783FB8">
      <w:pPr>
        <w:spacing w:before="240" w:after="240" w:line="360" w:lineRule="auto"/>
        <w:ind w:firstLine="1"/>
        <w:jc w:val="both"/>
        <w:rPr>
          <w:rFonts w:ascii="Palatino Linotype" w:eastAsia="Palatino Linotype" w:hAnsi="Palatino Linotype" w:cs="Palatino Linotype"/>
        </w:rPr>
      </w:pPr>
    </w:p>
    <w:p w:rsidR="00783FB8" w:rsidRPr="00DC38C2" w:rsidRDefault="00783FB8">
      <w:pPr>
        <w:spacing w:before="240" w:after="240" w:line="360" w:lineRule="auto"/>
        <w:ind w:firstLine="1"/>
        <w:jc w:val="both"/>
        <w:rPr>
          <w:rFonts w:ascii="Palatino Linotype" w:eastAsia="Palatino Linotype" w:hAnsi="Palatino Linotype" w:cs="Palatino Linotype"/>
        </w:rPr>
      </w:pPr>
    </w:p>
    <w:p w:rsidR="00783FB8" w:rsidRPr="00DC38C2" w:rsidRDefault="00783FB8">
      <w:pPr>
        <w:spacing w:line="360" w:lineRule="auto"/>
        <w:jc w:val="both"/>
        <w:rPr>
          <w:rFonts w:ascii="Palatino Linotype" w:eastAsia="Palatino Linotype" w:hAnsi="Palatino Linotype" w:cs="Palatino Linotype"/>
        </w:rPr>
      </w:pPr>
    </w:p>
    <w:p w:rsidR="00783FB8" w:rsidRPr="00DC38C2" w:rsidRDefault="00783FB8">
      <w:pPr>
        <w:pStyle w:val="Ttulo2"/>
        <w:spacing w:before="0" w:line="360" w:lineRule="auto"/>
        <w:rPr>
          <w:szCs w:val="24"/>
        </w:rPr>
      </w:pPr>
    </w:p>
    <w:p w:rsidR="00093ADC" w:rsidRPr="00DC38C2" w:rsidRDefault="00093ADC" w:rsidP="00093ADC">
      <w:pPr>
        <w:rPr>
          <w:lang w:val="es-MX" w:eastAsia="en-US"/>
        </w:rPr>
      </w:pPr>
    </w:p>
    <w:p w:rsidR="00093ADC" w:rsidRPr="00DC38C2" w:rsidRDefault="00093ADC" w:rsidP="00093ADC">
      <w:pPr>
        <w:rPr>
          <w:lang w:val="es-MX" w:eastAsia="en-US"/>
        </w:rPr>
      </w:pPr>
    </w:p>
    <w:p w:rsidR="00093ADC" w:rsidRPr="00DC38C2" w:rsidRDefault="00093ADC" w:rsidP="00093ADC">
      <w:pPr>
        <w:rPr>
          <w:lang w:val="es-MX" w:eastAsia="en-US"/>
        </w:rPr>
      </w:pPr>
    </w:p>
    <w:p w:rsidR="00093ADC" w:rsidRPr="00DC38C2" w:rsidRDefault="00093ADC" w:rsidP="00093ADC">
      <w:pPr>
        <w:rPr>
          <w:lang w:val="es-MX" w:eastAsia="en-US"/>
        </w:rPr>
      </w:pPr>
    </w:p>
    <w:p w:rsidR="00093ADC" w:rsidRPr="00DC38C2" w:rsidRDefault="00093ADC" w:rsidP="00093ADC">
      <w:pPr>
        <w:rPr>
          <w:lang w:val="es-MX" w:eastAsia="en-US"/>
        </w:rPr>
      </w:pPr>
    </w:p>
    <w:p w:rsidR="00093ADC" w:rsidRPr="00DC38C2" w:rsidRDefault="00093ADC" w:rsidP="00093ADC">
      <w:pPr>
        <w:rPr>
          <w:lang w:val="es-MX" w:eastAsia="en-US"/>
        </w:rPr>
      </w:pPr>
    </w:p>
    <w:p w:rsidR="00093ADC" w:rsidRPr="00DC38C2" w:rsidRDefault="00093ADC" w:rsidP="00093ADC">
      <w:pPr>
        <w:rPr>
          <w:lang w:val="es-MX" w:eastAsia="en-US"/>
        </w:rPr>
      </w:pPr>
    </w:p>
    <w:p w:rsidR="00093ADC" w:rsidRPr="00DC38C2" w:rsidRDefault="00093ADC" w:rsidP="00093ADC">
      <w:pPr>
        <w:rPr>
          <w:lang w:val="es-MX" w:eastAsia="en-US"/>
        </w:rPr>
      </w:pPr>
    </w:p>
    <w:p w:rsidR="00093ADC" w:rsidRPr="00DC38C2" w:rsidRDefault="00093ADC" w:rsidP="00093ADC">
      <w:pPr>
        <w:rPr>
          <w:lang w:val="es-MX" w:eastAsia="en-US"/>
        </w:rPr>
      </w:pPr>
    </w:p>
    <w:p w:rsidR="00093ADC" w:rsidRPr="00DC38C2" w:rsidRDefault="00093ADC" w:rsidP="00093ADC">
      <w:pPr>
        <w:rPr>
          <w:lang w:val="es-MX" w:eastAsia="en-US"/>
        </w:rPr>
      </w:pPr>
    </w:p>
    <w:p w:rsidR="00093ADC" w:rsidRPr="00DC38C2" w:rsidRDefault="00093ADC" w:rsidP="00093ADC">
      <w:pPr>
        <w:rPr>
          <w:lang w:val="es-MX" w:eastAsia="en-US"/>
        </w:rPr>
      </w:pPr>
    </w:p>
    <w:p w:rsidR="00093ADC" w:rsidRPr="00DC38C2" w:rsidRDefault="00093ADC" w:rsidP="00093ADC">
      <w:pPr>
        <w:rPr>
          <w:lang w:val="es-MX" w:eastAsia="en-US"/>
        </w:rPr>
      </w:pPr>
    </w:p>
    <w:p w:rsidR="00093ADC" w:rsidRPr="00DC38C2" w:rsidRDefault="00093ADC" w:rsidP="00093ADC">
      <w:pPr>
        <w:rPr>
          <w:lang w:val="es-MX" w:eastAsia="en-US"/>
        </w:rPr>
      </w:pPr>
    </w:p>
    <w:p w:rsidR="00093ADC" w:rsidRPr="00DC38C2" w:rsidRDefault="00093ADC" w:rsidP="00093ADC">
      <w:pPr>
        <w:rPr>
          <w:lang w:val="es-MX" w:eastAsia="en-US"/>
        </w:rPr>
      </w:pPr>
    </w:p>
    <w:p w:rsidR="00093ADC" w:rsidRPr="00DC38C2" w:rsidRDefault="00093ADC" w:rsidP="00093ADC">
      <w:pPr>
        <w:rPr>
          <w:lang w:val="es-MX" w:eastAsia="en-US"/>
        </w:rPr>
      </w:pPr>
    </w:p>
    <w:p w:rsidR="00093ADC" w:rsidRPr="00DC38C2" w:rsidRDefault="00093ADC" w:rsidP="00093ADC">
      <w:pPr>
        <w:rPr>
          <w:lang w:val="es-MX" w:eastAsia="en-US"/>
        </w:rPr>
      </w:pPr>
    </w:p>
    <w:sectPr w:rsidR="00093ADC" w:rsidRPr="00DC38C2" w:rsidSect="00DC38C2">
      <w:headerReference w:type="default" r:id="rId11"/>
      <w:footerReference w:type="default" r:id="rId12"/>
      <w:headerReference w:type="first" r:id="rId13"/>
      <w:footerReference w:type="first" r:id="rId14"/>
      <w:pgSz w:w="12240" w:h="15840"/>
      <w:pgMar w:top="1691" w:right="758" w:bottom="1701"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7E47" w:rsidRDefault="004E7E47">
      <w:r>
        <w:separator/>
      </w:r>
    </w:p>
  </w:endnote>
  <w:endnote w:type="continuationSeparator" w:id="0">
    <w:p w:rsidR="004E7E47" w:rsidRDefault="004E7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4C8" w:rsidRDefault="003F64C8">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separate"/>
    </w:r>
    <w:r w:rsidR="00C83013">
      <w:rPr>
        <w:rFonts w:ascii="Palatino Linotype" w:eastAsia="Palatino Linotype" w:hAnsi="Palatino Linotype" w:cs="Palatino Linotype"/>
        <w:b/>
        <w:noProof/>
        <w:color w:val="000000"/>
        <w:sz w:val="22"/>
        <w:szCs w:val="22"/>
      </w:rPr>
      <w:t>21</w: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sidR="00C83013">
      <w:rPr>
        <w:rFonts w:ascii="Palatino Linotype" w:eastAsia="Palatino Linotype" w:hAnsi="Palatino Linotype" w:cs="Palatino Linotype"/>
        <w:b/>
        <w:noProof/>
        <w:color w:val="000000"/>
        <w:sz w:val="22"/>
        <w:szCs w:val="22"/>
      </w:rPr>
      <w:t>51</w:t>
    </w:r>
    <w:r>
      <w:rPr>
        <w:rFonts w:ascii="Palatino Linotype" w:eastAsia="Palatino Linotype" w:hAnsi="Palatino Linotype" w:cs="Palatino Linotype"/>
        <w:b/>
        <w:color w:val="000000"/>
        <w:sz w:val="22"/>
        <w:szCs w:val="22"/>
      </w:rPr>
      <w:fldChar w:fldCharType="end"/>
    </w:r>
  </w:p>
  <w:p w:rsidR="003F64C8" w:rsidRDefault="003F64C8">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8"/>
        <w:szCs w:val="28"/>
      </w:rPr>
    </w:pPr>
  </w:p>
  <w:p w:rsidR="003F64C8" w:rsidRDefault="003F64C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4C8" w:rsidRDefault="003F64C8">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C83013">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C83013">
      <w:rPr>
        <w:rFonts w:ascii="Palatino Linotype" w:eastAsia="Palatino Linotype" w:hAnsi="Palatino Linotype" w:cs="Palatino Linotype"/>
        <w:noProof/>
        <w:color w:val="000000"/>
        <w:sz w:val="22"/>
        <w:szCs w:val="22"/>
      </w:rPr>
      <w:t>51</w:t>
    </w:r>
    <w:r>
      <w:rPr>
        <w:rFonts w:ascii="Palatino Linotype" w:eastAsia="Palatino Linotype" w:hAnsi="Palatino Linotype" w:cs="Palatino Linotype"/>
        <w:color w:val="000000"/>
        <w:sz w:val="22"/>
        <w:szCs w:val="22"/>
      </w:rPr>
      <w:fldChar w:fldCharType="end"/>
    </w:r>
  </w:p>
  <w:p w:rsidR="003F64C8" w:rsidRDefault="003F64C8">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p w:rsidR="003F64C8" w:rsidRDefault="003F64C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7E47" w:rsidRDefault="004E7E47">
      <w:r>
        <w:separator/>
      </w:r>
    </w:p>
  </w:footnote>
  <w:footnote w:type="continuationSeparator" w:id="0">
    <w:p w:rsidR="004E7E47" w:rsidRDefault="004E7E47">
      <w:r>
        <w:continuationSeparator/>
      </w:r>
    </w:p>
  </w:footnote>
  <w:footnote w:id="1">
    <w:p w:rsidR="003F64C8" w:rsidRDefault="003F64C8">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3F64C8" w:rsidRDefault="003F64C8">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3F64C8" w:rsidRDefault="003F64C8">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3F64C8" w:rsidRDefault="003F64C8">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rsidR="003F64C8" w:rsidRDefault="003F64C8">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Ley de Transparencia y Acceso a la Información Pública del Estado de México y Municipios. Artículo 9. …</w:t>
      </w:r>
    </w:p>
    <w:p w:rsidR="003F64C8" w:rsidRDefault="003F64C8">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II. Eficacia: Obligación del Instituto para tutelar, de manera efectiva, el derecho de acceso a la información;</w:t>
      </w:r>
    </w:p>
    <w:p w:rsidR="003F64C8" w:rsidRDefault="003F64C8">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footnote>
  <w:footnote w:id="6">
    <w:p w:rsidR="003F64C8" w:rsidRDefault="003F64C8" w:rsidP="00513B78">
      <w:pPr>
        <w:pStyle w:val="Textonotapie"/>
      </w:pPr>
      <w:r>
        <w:rPr>
          <w:rStyle w:val="Refdenotaalpie"/>
        </w:rPr>
        <w:footnoteRef/>
      </w:r>
      <w:r>
        <w:t xml:space="preserve"> </w:t>
      </w:r>
      <w:hyperlink r:id="rId1" w:history="1">
        <w:r w:rsidRPr="008A46CF">
          <w:rPr>
            <w:rStyle w:val="Hipervnculo"/>
          </w:rPr>
          <w:t>https://legislacion.edomex.gob.mx/sites/legislacion.edomex.gob.mx/files/files/pdf/ley/vig/leyvig083.pdf</w:t>
        </w:r>
      </w:hyperlink>
    </w:p>
    <w:p w:rsidR="003F64C8" w:rsidRDefault="003F64C8" w:rsidP="00513B78">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6791" w:type="dxa"/>
      <w:tblInd w:w="3544" w:type="dxa"/>
      <w:tblBorders>
        <w:top w:val="nil"/>
        <w:left w:val="nil"/>
        <w:bottom w:val="nil"/>
        <w:right w:val="nil"/>
        <w:insideH w:val="nil"/>
        <w:insideV w:val="nil"/>
      </w:tblBorders>
      <w:tblLayout w:type="fixed"/>
      <w:tblLook w:val="0400" w:firstRow="0" w:lastRow="0" w:firstColumn="0" w:lastColumn="0" w:noHBand="0" w:noVBand="1"/>
    </w:tblPr>
    <w:tblGrid>
      <w:gridCol w:w="2876"/>
      <w:gridCol w:w="3915"/>
    </w:tblGrid>
    <w:tr w:rsidR="003F64C8" w:rsidTr="00DC38C2">
      <w:trPr>
        <w:trHeight w:val="138"/>
      </w:trPr>
      <w:tc>
        <w:tcPr>
          <w:tcW w:w="2876" w:type="dxa"/>
          <w:vAlign w:val="center"/>
        </w:tcPr>
        <w:p w:rsidR="003F64C8" w:rsidRPr="00DC38C2" w:rsidRDefault="003F64C8">
          <w:pPr>
            <w:rPr>
              <w:rFonts w:ascii="Palatino Linotype" w:eastAsia="Palatino Linotype" w:hAnsi="Palatino Linotype" w:cs="Palatino Linotype"/>
              <w:b/>
              <w:sz w:val="24"/>
            </w:rPr>
          </w:pPr>
          <w:r w:rsidRPr="00DC38C2">
            <w:rPr>
              <w:rFonts w:ascii="Palatino Linotype" w:eastAsia="Palatino Linotype" w:hAnsi="Palatino Linotype" w:cs="Palatino Linotype"/>
              <w:b/>
              <w:sz w:val="24"/>
            </w:rPr>
            <w:t>Recurso de Revisión:</w:t>
          </w:r>
        </w:p>
      </w:tc>
      <w:tc>
        <w:tcPr>
          <w:tcW w:w="3915" w:type="dxa"/>
          <w:vAlign w:val="center"/>
        </w:tcPr>
        <w:p w:rsidR="003F64C8" w:rsidRPr="00DC38C2" w:rsidRDefault="003F64C8" w:rsidP="007559A4">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4"/>
              <w:highlight w:val="yellow"/>
            </w:rPr>
          </w:pPr>
          <w:r w:rsidRPr="00DC38C2">
            <w:rPr>
              <w:rFonts w:ascii="Palatino Linotype" w:eastAsia="Palatino Linotype" w:hAnsi="Palatino Linotype" w:cs="Palatino Linotype"/>
              <w:color w:val="000000"/>
              <w:sz w:val="24"/>
            </w:rPr>
            <w:t>04433/INFOEM/IP/RR/2026</w:t>
          </w:r>
        </w:p>
      </w:tc>
    </w:tr>
    <w:tr w:rsidR="003F64C8" w:rsidTr="00DC38C2">
      <w:trPr>
        <w:trHeight w:val="321"/>
      </w:trPr>
      <w:tc>
        <w:tcPr>
          <w:tcW w:w="2876" w:type="dxa"/>
          <w:vAlign w:val="center"/>
        </w:tcPr>
        <w:p w:rsidR="003F64C8" w:rsidRPr="00DC38C2" w:rsidRDefault="003F64C8">
          <w:pPr>
            <w:rPr>
              <w:rFonts w:ascii="Palatino Linotype" w:eastAsia="Palatino Linotype" w:hAnsi="Palatino Linotype" w:cs="Palatino Linotype"/>
              <w:b/>
              <w:sz w:val="24"/>
            </w:rPr>
          </w:pPr>
          <w:r w:rsidRPr="00DC38C2">
            <w:rPr>
              <w:rFonts w:ascii="Palatino Linotype" w:eastAsia="Palatino Linotype" w:hAnsi="Palatino Linotype" w:cs="Palatino Linotype"/>
              <w:b/>
              <w:sz w:val="24"/>
            </w:rPr>
            <w:t>Sujeto Obligado:</w:t>
          </w:r>
        </w:p>
      </w:tc>
      <w:tc>
        <w:tcPr>
          <w:tcW w:w="3915" w:type="dxa"/>
          <w:vAlign w:val="center"/>
        </w:tcPr>
        <w:p w:rsidR="003F64C8" w:rsidRPr="00DC38C2" w:rsidRDefault="003F64C8" w:rsidP="007559A4">
          <w:pPr>
            <w:rPr>
              <w:rFonts w:ascii="Palatino Linotype" w:eastAsia="Palatino Linotype" w:hAnsi="Palatino Linotype" w:cs="Palatino Linotype"/>
              <w:sz w:val="24"/>
            </w:rPr>
          </w:pPr>
          <w:r w:rsidRPr="00DC38C2">
            <w:rPr>
              <w:rFonts w:ascii="Palatino Linotype" w:eastAsia="Palatino Linotype" w:hAnsi="Palatino Linotype" w:cs="Palatino Linotype"/>
              <w:sz w:val="24"/>
            </w:rPr>
            <w:t>Ayuntamiento de Capulhuac</w:t>
          </w:r>
        </w:p>
      </w:tc>
    </w:tr>
    <w:tr w:rsidR="003F64C8" w:rsidTr="00DC38C2">
      <w:trPr>
        <w:trHeight w:val="321"/>
      </w:trPr>
      <w:tc>
        <w:tcPr>
          <w:tcW w:w="2876" w:type="dxa"/>
          <w:vAlign w:val="center"/>
        </w:tcPr>
        <w:p w:rsidR="003F64C8" w:rsidRPr="00DC38C2" w:rsidRDefault="003F64C8">
          <w:pPr>
            <w:rPr>
              <w:rFonts w:ascii="Palatino Linotype" w:eastAsia="Palatino Linotype" w:hAnsi="Palatino Linotype" w:cs="Palatino Linotype"/>
              <w:b/>
              <w:sz w:val="24"/>
            </w:rPr>
          </w:pPr>
          <w:r w:rsidRPr="00DC38C2">
            <w:rPr>
              <w:rFonts w:ascii="Palatino Linotype" w:eastAsia="Palatino Linotype" w:hAnsi="Palatino Linotype" w:cs="Palatino Linotype"/>
              <w:b/>
              <w:sz w:val="24"/>
            </w:rPr>
            <w:t>Comisionada Ponente:</w:t>
          </w:r>
        </w:p>
      </w:tc>
      <w:tc>
        <w:tcPr>
          <w:tcW w:w="3915" w:type="dxa"/>
          <w:vAlign w:val="center"/>
        </w:tcPr>
        <w:p w:rsidR="003F64C8" w:rsidRPr="00DC38C2" w:rsidRDefault="003F64C8">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4"/>
            </w:rPr>
          </w:pPr>
          <w:r w:rsidRPr="00DC38C2">
            <w:rPr>
              <w:rFonts w:ascii="Palatino Linotype" w:eastAsia="Palatino Linotype" w:hAnsi="Palatino Linotype" w:cs="Palatino Linotype"/>
              <w:color w:val="000000"/>
              <w:sz w:val="24"/>
            </w:rPr>
            <w:t>María del Rosario Mejía Ayala</w:t>
          </w:r>
        </w:p>
      </w:tc>
    </w:tr>
  </w:tbl>
  <w:p w:rsidR="003F64C8" w:rsidRDefault="00DC38C2">
    <w:pPr>
      <w:pBdr>
        <w:top w:val="nil"/>
        <w:left w:val="nil"/>
        <w:bottom w:val="nil"/>
        <w:right w:val="nil"/>
        <w:between w:val="nil"/>
      </w:pBdr>
      <w:tabs>
        <w:tab w:val="center" w:pos="4252"/>
        <w:tab w:val="right" w:pos="8504"/>
      </w:tabs>
      <w:rPr>
        <w:color w:val="000000"/>
      </w:rPr>
    </w:pPr>
    <w:r>
      <w:rPr>
        <w:noProof/>
        <w:lang w:val="es-MX"/>
      </w:rPr>
      <w:drawing>
        <wp:anchor distT="0" distB="0" distL="0" distR="0" simplePos="0" relativeHeight="251658240" behindDoc="1" locked="0" layoutInCell="1" hidden="0" allowOverlap="1">
          <wp:simplePos x="0" y="0"/>
          <wp:positionH relativeFrom="column">
            <wp:posOffset>-821450</wp:posOffset>
          </wp:positionH>
          <wp:positionV relativeFrom="paragraph">
            <wp:posOffset>-1039280</wp:posOffset>
          </wp:positionV>
          <wp:extent cx="7809876" cy="10165823"/>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rsidR="003F64C8" w:rsidRDefault="003F64C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7171" w:type="dxa"/>
      <w:tblInd w:w="325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866"/>
      <w:gridCol w:w="255"/>
      <w:gridCol w:w="4050"/>
    </w:tblGrid>
    <w:tr w:rsidR="003F64C8" w:rsidTr="00DC38C2">
      <w:trPr>
        <w:trHeight w:val="138"/>
      </w:trPr>
      <w:tc>
        <w:tcPr>
          <w:tcW w:w="2866" w:type="dxa"/>
          <w:vAlign w:val="center"/>
        </w:tcPr>
        <w:p w:rsidR="003F64C8" w:rsidRPr="00DC38C2" w:rsidRDefault="003F64C8">
          <w:pPr>
            <w:rPr>
              <w:rFonts w:ascii="Palatino Linotype" w:eastAsia="Palatino Linotype" w:hAnsi="Palatino Linotype" w:cs="Palatino Linotype"/>
              <w:b/>
              <w:sz w:val="24"/>
            </w:rPr>
          </w:pPr>
          <w:r w:rsidRPr="00DC38C2">
            <w:rPr>
              <w:rFonts w:ascii="Palatino Linotype" w:eastAsia="Palatino Linotype" w:hAnsi="Palatino Linotype" w:cs="Palatino Linotype"/>
              <w:b/>
              <w:sz w:val="24"/>
            </w:rPr>
            <w:t>Recurso de Revisión:</w:t>
          </w:r>
        </w:p>
      </w:tc>
      <w:tc>
        <w:tcPr>
          <w:tcW w:w="255" w:type="dxa"/>
          <w:vAlign w:val="center"/>
        </w:tcPr>
        <w:p w:rsidR="003F64C8" w:rsidRPr="00DC38C2" w:rsidRDefault="003F64C8">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050" w:type="dxa"/>
          <w:vAlign w:val="center"/>
        </w:tcPr>
        <w:p w:rsidR="003F64C8" w:rsidRPr="00DC38C2" w:rsidRDefault="003F64C8" w:rsidP="007559A4">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sidRPr="00DC38C2">
            <w:rPr>
              <w:rFonts w:ascii="Palatino Linotype" w:eastAsia="Palatino Linotype" w:hAnsi="Palatino Linotype" w:cs="Palatino Linotype"/>
              <w:color w:val="000000"/>
              <w:sz w:val="24"/>
            </w:rPr>
            <w:t>04433/INFOEM/IP/RR/2026</w:t>
          </w:r>
        </w:p>
      </w:tc>
    </w:tr>
    <w:tr w:rsidR="003F64C8" w:rsidTr="00DC38C2">
      <w:trPr>
        <w:trHeight w:val="227"/>
      </w:trPr>
      <w:tc>
        <w:tcPr>
          <w:tcW w:w="2866" w:type="dxa"/>
          <w:vAlign w:val="center"/>
        </w:tcPr>
        <w:p w:rsidR="003F64C8" w:rsidRPr="00DC38C2" w:rsidRDefault="003F64C8">
          <w:pPr>
            <w:rPr>
              <w:rFonts w:ascii="Palatino Linotype" w:eastAsia="Palatino Linotype" w:hAnsi="Palatino Linotype" w:cs="Palatino Linotype"/>
              <w:b/>
              <w:sz w:val="24"/>
            </w:rPr>
          </w:pPr>
          <w:r w:rsidRPr="00DC38C2">
            <w:rPr>
              <w:rFonts w:ascii="Palatino Linotype" w:eastAsia="Palatino Linotype" w:hAnsi="Palatino Linotype" w:cs="Palatino Linotype"/>
              <w:b/>
              <w:sz w:val="24"/>
            </w:rPr>
            <w:t>Recurrente:</w:t>
          </w:r>
        </w:p>
      </w:tc>
      <w:tc>
        <w:tcPr>
          <w:tcW w:w="255" w:type="dxa"/>
          <w:vAlign w:val="center"/>
        </w:tcPr>
        <w:p w:rsidR="003F64C8" w:rsidRPr="00DC38C2" w:rsidRDefault="003F64C8">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050" w:type="dxa"/>
          <w:vAlign w:val="center"/>
        </w:tcPr>
        <w:p w:rsidR="003F64C8" w:rsidRPr="00DC38C2" w:rsidRDefault="00C83013">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Pr>
              <w:rFonts w:ascii="Palatino Linotype" w:eastAsia="Palatino Linotype" w:hAnsi="Palatino Linotype" w:cs="Palatino Linotype"/>
              <w:color w:val="000000"/>
              <w:sz w:val="24"/>
            </w:rPr>
            <w:t>XXXX</w:t>
          </w:r>
        </w:p>
      </w:tc>
    </w:tr>
    <w:tr w:rsidR="003F64C8" w:rsidTr="00DC38C2">
      <w:trPr>
        <w:trHeight w:val="232"/>
      </w:trPr>
      <w:tc>
        <w:tcPr>
          <w:tcW w:w="2866" w:type="dxa"/>
          <w:vAlign w:val="center"/>
        </w:tcPr>
        <w:p w:rsidR="003F64C8" w:rsidRPr="00DC38C2" w:rsidRDefault="003F64C8">
          <w:pPr>
            <w:rPr>
              <w:rFonts w:ascii="Palatino Linotype" w:eastAsia="Palatino Linotype" w:hAnsi="Palatino Linotype" w:cs="Palatino Linotype"/>
              <w:b/>
              <w:sz w:val="24"/>
            </w:rPr>
          </w:pPr>
          <w:r w:rsidRPr="00DC38C2">
            <w:rPr>
              <w:rFonts w:ascii="Palatino Linotype" w:eastAsia="Palatino Linotype" w:hAnsi="Palatino Linotype" w:cs="Palatino Linotype"/>
              <w:b/>
              <w:sz w:val="24"/>
            </w:rPr>
            <w:t>Sujeto Obligado:</w:t>
          </w:r>
        </w:p>
      </w:tc>
      <w:tc>
        <w:tcPr>
          <w:tcW w:w="255" w:type="dxa"/>
          <w:vAlign w:val="center"/>
        </w:tcPr>
        <w:p w:rsidR="003F64C8" w:rsidRPr="00DC38C2" w:rsidRDefault="003F64C8">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050" w:type="dxa"/>
          <w:vAlign w:val="center"/>
        </w:tcPr>
        <w:p w:rsidR="003F64C8" w:rsidRPr="00DC38C2" w:rsidRDefault="003F64C8" w:rsidP="007559A4">
          <w:pPr>
            <w:ind w:right="-73"/>
            <w:rPr>
              <w:sz w:val="24"/>
            </w:rPr>
          </w:pPr>
          <w:r w:rsidRPr="00DC38C2">
            <w:rPr>
              <w:rFonts w:ascii="Palatino Linotype" w:eastAsia="Palatino Linotype" w:hAnsi="Palatino Linotype" w:cs="Palatino Linotype"/>
              <w:sz w:val="24"/>
            </w:rPr>
            <w:t>Ayuntamiento de Capulhuac</w:t>
          </w:r>
        </w:p>
      </w:tc>
    </w:tr>
    <w:tr w:rsidR="003F64C8" w:rsidTr="00DC38C2">
      <w:trPr>
        <w:trHeight w:val="320"/>
      </w:trPr>
      <w:tc>
        <w:tcPr>
          <w:tcW w:w="2866" w:type="dxa"/>
          <w:vAlign w:val="center"/>
        </w:tcPr>
        <w:p w:rsidR="003F64C8" w:rsidRPr="00DC38C2" w:rsidRDefault="003F64C8">
          <w:pPr>
            <w:rPr>
              <w:rFonts w:ascii="Palatino Linotype" w:eastAsia="Palatino Linotype" w:hAnsi="Palatino Linotype" w:cs="Palatino Linotype"/>
              <w:b/>
              <w:sz w:val="24"/>
            </w:rPr>
          </w:pPr>
          <w:r w:rsidRPr="00DC38C2">
            <w:rPr>
              <w:rFonts w:ascii="Palatino Linotype" w:eastAsia="Palatino Linotype" w:hAnsi="Palatino Linotype" w:cs="Palatino Linotype"/>
              <w:b/>
              <w:sz w:val="24"/>
            </w:rPr>
            <w:t>Comisionada Ponente:</w:t>
          </w:r>
        </w:p>
      </w:tc>
      <w:tc>
        <w:tcPr>
          <w:tcW w:w="255" w:type="dxa"/>
          <w:vAlign w:val="center"/>
        </w:tcPr>
        <w:p w:rsidR="003F64C8" w:rsidRPr="00DC38C2" w:rsidRDefault="003F64C8">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050" w:type="dxa"/>
          <w:vAlign w:val="center"/>
        </w:tcPr>
        <w:p w:rsidR="003F64C8" w:rsidRPr="00DC38C2" w:rsidRDefault="003F64C8">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sidRPr="00DC38C2">
            <w:rPr>
              <w:rFonts w:ascii="Palatino Linotype" w:eastAsia="Palatino Linotype" w:hAnsi="Palatino Linotype" w:cs="Palatino Linotype"/>
              <w:color w:val="000000"/>
              <w:sz w:val="24"/>
            </w:rPr>
            <w:t>María del Rosario Mejía Ayala</w:t>
          </w:r>
        </w:p>
      </w:tc>
    </w:tr>
  </w:tbl>
  <w:p w:rsidR="003F64C8" w:rsidRDefault="00DC38C2">
    <w:pPr>
      <w:pBdr>
        <w:top w:val="nil"/>
        <w:left w:val="nil"/>
        <w:bottom w:val="nil"/>
        <w:right w:val="nil"/>
        <w:between w:val="nil"/>
      </w:pBdr>
      <w:tabs>
        <w:tab w:val="center" w:pos="4252"/>
        <w:tab w:val="right" w:pos="8504"/>
      </w:tabs>
      <w:rPr>
        <w:color w:val="000000"/>
      </w:rPr>
    </w:pPr>
    <w:r>
      <w:rPr>
        <w:noProof/>
        <w:lang w:val="es-MX"/>
      </w:rPr>
      <w:drawing>
        <wp:anchor distT="0" distB="0" distL="0" distR="0" simplePos="0" relativeHeight="251659264" behindDoc="1" locked="0" layoutInCell="1" hidden="0" allowOverlap="1">
          <wp:simplePos x="0" y="0"/>
          <wp:positionH relativeFrom="column">
            <wp:posOffset>-1042586</wp:posOffset>
          </wp:positionH>
          <wp:positionV relativeFrom="paragraph">
            <wp:posOffset>-1246672</wp:posOffset>
          </wp:positionV>
          <wp:extent cx="7809876" cy="10165823"/>
          <wp:effectExtent l="0" t="0" r="0" b="0"/>
          <wp:wrapNone/>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rsidR="003F64C8" w:rsidRDefault="003F64C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2CF6"/>
    <w:multiLevelType w:val="multilevel"/>
    <w:tmpl w:val="3D0451A2"/>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EB31B4"/>
    <w:multiLevelType w:val="multilevel"/>
    <w:tmpl w:val="1088A814"/>
    <w:lvl w:ilvl="0">
      <w:start w:val="1"/>
      <w:numFmt w:val="decimal"/>
      <w:lvlText w:val="%1."/>
      <w:lvlJc w:val="left"/>
      <w:pPr>
        <w:ind w:left="2629" w:hanging="360"/>
      </w:pPr>
      <w:rPr>
        <w:rFonts w:ascii="Arial" w:eastAsia="Arial" w:hAnsi="Arial" w:cs="Arial"/>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09272F"/>
    <w:multiLevelType w:val="hybridMultilevel"/>
    <w:tmpl w:val="8DA8DA28"/>
    <w:lvl w:ilvl="0" w:tplc="FBBE313E">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 w15:restartNumberingAfterBreak="0">
    <w:nsid w:val="132103D0"/>
    <w:multiLevelType w:val="hybridMultilevel"/>
    <w:tmpl w:val="08CCED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37B5BD7"/>
    <w:multiLevelType w:val="multilevel"/>
    <w:tmpl w:val="FF2852F4"/>
    <w:lvl w:ilvl="0">
      <w:start w:val="1"/>
      <w:numFmt w:val="bullet"/>
      <w:lvlText w:val="●"/>
      <w:lvlJc w:val="left"/>
      <w:pPr>
        <w:ind w:left="720" w:hanging="360"/>
      </w:pPr>
      <w:rPr>
        <w:rFonts w:ascii="Noto Sans Symbols" w:eastAsia="Noto Sans Symbols" w:hAnsi="Noto Sans Symbols" w:cs="Noto Sans Symbols"/>
        <w:b/>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76F7797"/>
    <w:multiLevelType w:val="hybridMultilevel"/>
    <w:tmpl w:val="7F4A9C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2B74507"/>
    <w:multiLevelType w:val="hybridMultilevel"/>
    <w:tmpl w:val="8F6CB2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42B09E7"/>
    <w:multiLevelType w:val="hybridMultilevel"/>
    <w:tmpl w:val="53F09B54"/>
    <w:lvl w:ilvl="0" w:tplc="57F009CC">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8" w15:restartNumberingAfterBreak="0">
    <w:nsid w:val="3A1E57B9"/>
    <w:multiLevelType w:val="hybridMultilevel"/>
    <w:tmpl w:val="37E0E5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C5F4735"/>
    <w:multiLevelType w:val="multilevel"/>
    <w:tmpl w:val="F5B0F1AE"/>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D872BD4"/>
    <w:multiLevelType w:val="hybridMultilevel"/>
    <w:tmpl w:val="053A0344"/>
    <w:lvl w:ilvl="0" w:tplc="192C2522">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1" w15:restartNumberingAfterBreak="0">
    <w:nsid w:val="49C6074A"/>
    <w:multiLevelType w:val="hybridMultilevel"/>
    <w:tmpl w:val="A18E4246"/>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4A4039EE"/>
    <w:multiLevelType w:val="multilevel"/>
    <w:tmpl w:val="18C81A3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D4512DF"/>
    <w:multiLevelType w:val="hybridMultilevel"/>
    <w:tmpl w:val="5D10BE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04D689C"/>
    <w:multiLevelType w:val="hybridMultilevel"/>
    <w:tmpl w:val="E2DCB4BA"/>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15" w15:restartNumberingAfterBreak="0">
    <w:nsid w:val="57092FFA"/>
    <w:multiLevelType w:val="multilevel"/>
    <w:tmpl w:val="8B269C4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B9074D5"/>
    <w:multiLevelType w:val="hybridMultilevel"/>
    <w:tmpl w:val="8ED2B4B6"/>
    <w:lvl w:ilvl="0" w:tplc="1386724E">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7" w15:restartNumberingAfterBreak="0">
    <w:nsid w:val="602B190D"/>
    <w:multiLevelType w:val="hybridMultilevel"/>
    <w:tmpl w:val="27BA8216"/>
    <w:lvl w:ilvl="0" w:tplc="3EF48730">
      <w:start w:val="1"/>
      <w:numFmt w:val="decimal"/>
      <w:lvlText w:val="%1."/>
      <w:lvlJc w:val="left"/>
      <w:pPr>
        <w:ind w:left="360" w:hanging="360"/>
      </w:pPr>
      <w:rPr>
        <w:rFonts w:ascii="Palatino Linotype" w:hAnsi="Palatino Linotype" w:hint="default"/>
        <w:b/>
        <w:i w:val="0"/>
        <w:color w:val="auto"/>
        <w:sz w:val="24"/>
      </w:rPr>
    </w:lvl>
    <w:lvl w:ilvl="1" w:tplc="E6865752">
      <w:start w:val="1"/>
      <w:numFmt w:val="lowerLetter"/>
      <w:lvlText w:val="%2."/>
      <w:lvlJc w:val="left"/>
      <w:pPr>
        <w:ind w:left="1440" w:hanging="360"/>
      </w:pPr>
      <w:rPr>
        <w:sz w:val="22"/>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15:restartNumberingAfterBreak="0">
    <w:nsid w:val="66214A09"/>
    <w:multiLevelType w:val="hybridMultilevel"/>
    <w:tmpl w:val="8BA00DC6"/>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9" w15:restartNumberingAfterBreak="0">
    <w:nsid w:val="7009631E"/>
    <w:multiLevelType w:val="multilevel"/>
    <w:tmpl w:val="9092AB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0A955D3"/>
    <w:multiLevelType w:val="multilevel"/>
    <w:tmpl w:val="83EC6722"/>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78F76A35"/>
    <w:multiLevelType w:val="multilevel"/>
    <w:tmpl w:val="762A9880"/>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ABB1D73"/>
    <w:multiLevelType w:val="multilevel"/>
    <w:tmpl w:val="F084B1EA"/>
    <w:lvl w:ilvl="0">
      <w:start w:val="1"/>
      <w:numFmt w:val="decimal"/>
      <w:lvlText w:val="%1."/>
      <w:lvlJc w:val="left"/>
      <w:pPr>
        <w:ind w:left="360" w:hanging="360"/>
      </w:pPr>
      <w:rPr>
        <w:rFonts w:ascii="Arial" w:eastAsia="Arial" w:hAnsi="Arial" w:cs="Arial"/>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DFB4DD7"/>
    <w:multiLevelType w:val="multilevel"/>
    <w:tmpl w:val="DA1036E0"/>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num w:numId="1">
    <w:abstractNumId w:val="20"/>
  </w:num>
  <w:num w:numId="2">
    <w:abstractNumId w:val="19"/>
  </w:num>
  <w:num w:numId="3">
    <w:abstractNumId w:val="12"/>
  </w:num>
  <w:num w:numId="4">
    <w:abstractNumId w:val="9"/>
  </w:num>
  <w:num w:numId="5">
    <w:abstractNumId w:val="4"/>
  </w:num>
  <w:num w:numId="6">
    <w:abstractNumId w:val="21"/>
  </w:num>
  <w:num w:numId="7">
    <w:abstractNumId w:val="23"/>
  </w:num>
  <w:num w:numId="8">
    <w:abstractNumId w:val="17"/>
  </w:num>
  <w:num w:numId="9">
    <w:abstractNumId w:val="0"/>
  </w:num>
  <w:num w:numId="10">
    <w:abstractNumId w:val="16"/>
  </w:num>
  <w:num w:numId="11">
    <w:abstractNumId w:val="10"/>
  </w:num>
  <w:num w:numId="12">
    <w:abstractNumId w:val="18"/>
  </w:num>
  <w:num w:numId="13">
    <w:abstractNumId w:val="8"/>
  </w:num>
  <w:num w:numId="14">
    <w:abstractNumId w:val="13"/>
  </w:num>
  <w:num w:numId="15">
    <w:abstractNumId w:val="5"/>
  </w:num>
  <w:num w:numId="16">
    <w:abstractNumId w:val="6"/>
  </w:num>
  <w:num w:numId="17">
    <w:abstractNumId w:val="2"/>
  </w:num>
  <w:num w:numId="18">
    <w:abstractNumId w:val="7"/>
  </w:num>
  <w:num w:numId="19">
    <w:abstractNumId w:val="14"/>
  </w:num>
  <w:num w:numId="20">
    <w:abstractNumId w:val="22"/>
  </w:num>
  <w:num w:numId="21">
    <w:abstractNumId w:val="3"/>
  </w:num>
  <w:num w:numId="22">
    <w:abstractNumId w:val="1"/>
  </w:num>
  <w:num w:numId="23">
    <w:abstractNumId w:val="15"/>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FB8"/>
    <w:rsid w:val="00023373"/>
    <w:rsid w:val="00026373"/>
    <w:rsid w:val="00093ADC"/>
    <w:rsid w:val="000C2601"/>
    <w:rsid w:val="001033C8"/>
    <w:rsid w:val="00201185"/>
    <w:rsid w:val="002474B8"/>
    <w:rsid w:val="003141B8"/>
    <w:rsid w:val="003B2C3A"/>
    <w:rsid w:val="003F64C8"/>
    <w:rsid w:val="004146D2"/>
    <w:rsid w:val="0047468D"/>
    <w:rsid w:val="004747EA"/>
    <w:rsid w:val="004C7034"/>
    <w:rsid w:val="004E7E47"/>
    <w:rsid w:val="00513B78"/>
    <w:rsid w:val="00537A0A"/>
    <w:rsid w:val="00546FC5"/>
    <w:rsid w:val="005B4775"/>
    <w:rsid w:val="005C118F"/>
    <w:rsid w:val="005D63C9"/>
    <w:rsid w:val="005E380D"/>
    <w:rsid w:val="005F2828"/>
    <w:rsid w:val="006459B0"/>
    <w:rsid w:val="00672181"/>
    <w:rsid w:val="00675C3D"/>
    <w:rsid w:val="006E054C"/>
    <w:rsid w:val="007104B5"/>
    <w:rsid w:val="00755856"/>
    <w:rsid w:val="007559A4"/>
    <w:rsid w:val="00783FB8"/>
    <w:rsid w:val="007E6362"/>
    <w:rsid w:val="00886775"/>
    <w:rsid w:val="008D245F"/>
    <w:rsid w:val="00906428"/>
    <w:rsid w:val="00987188"/>
    <w:rsid w:val="0099693D"/>
    <w:rsid w:val="00A84254"/>
    <w:rsid w:val="00AC389E"/>
    <w:rsid w:val="00C36B54"/>
    <w:rsid w:val="00C83013"/>
    <w:rsid w:val="00CB570D"/>
    <w:rsid w:val="00CF6E66"/>
    <w:rsid w:val="00D649F1"/>
    <w:rsid w:val="00DC38C2"/>
    <w:rsid w:val="00E16705"/>
    <w:rsid w:val="00E53669"/>
    <w:rsid w:val="00EA62BC"/>
    <w:rsid w:val="00EF1BB6"/>
    <w:rsid w:val="00F23510"/>
    <w:rsid w:val="00F72FD4"/>
    <w:rsid w:val="00F75B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8AF3E0-2DFE-4134-A647-5F0ADE464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214E5"/>
    <w:pPr>
      <w:keepNext/>
      <w:keepLines/>
      <w:spacing w:before="240" w:line="259" w:lineRule="auto"/>
      <w:outlineLvl w:val="0"/>
    </w:pPr>
    <w:rPr>
      <w:rFonts w:ascii="Palatino Linotype" w:eastAsiaTheme="majorEastAsia" w:hAnsi="Palatino Linotype" w:cstheme="majorBidi"/>
      <w:b/>
      <w:color w:val="000000" w:themeColor="text1"/>
      <w:szCs w:val="32"/>
      <w:lang w:val="es-MX" w:eastAsia="en-US"/>
    </w:rPr>
  </w:style>
  <w:style w:type="paragraph" w:styleId="Ttulo2">
    <w:name w:val="heading 2"/>
    <w:basedOn w:val="Normal"/>
    <w:next w:val="Normal"/>
    <w:link w:val="Ttulo2Car"/>
    <w:uiPriority w:val="9"/>
    <w:unhideWhenUsed/>
    <w:qFormat/>
    <w:rsid w:val="008E2E89"/>
    <w:pPr>
      <w:keepNext/>
      <w:keepLines/>
      <w:spacing w:before="40" w:line="259" w:lineRule="auto"/>
      <w:outlineLvl w:val="1"/>
    </w:pPr>
    <w:rPr>
      <w:rFonts w:ascii="Palatino Linotype" w:eastAsiaTheme="majorEastAsia" w:hAnsi="Palatino Linotype" w:cstheme="majorBidi"/>
      <w:b/>
      <w:color w:val="000000" w:themeColor="text1"/>
      <w:szCs w:val="26"/>
      <w:lang w:val="es-MX" w:eastAsia="en-US"/>
    </w:rPr>
  </w:style>
  <w:style w:type="paragraph" w:styleId="Ttulo3">
    <w:name w:val="heading 3"/>
    <w:basedOn w:val="Normal"/>
    <w:next w:val="Normal"/>
    <w:link w:val="Ttulo3Car"/>
    <w:uiPriority w:val="9"/>
    <w:unhideWhenUsed/>
    <w:qFormat/>
    <w:rsid w:val="004D215D"/>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unhideWhenUsed/>
    <w:qFormat/>
    <w:rsid w:val="00D55B7A"/>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87366"/>
    <w:pPr>
      <w:tabs>
        <w:tab w:val="center" w:pos="4252"/>
        <w:tab w:val="right" w:pos="8504"/>
      </w:tabs>
    </w:pPr>
  </w:style>
  <w:style w:type="character" w:customStyle="1" w:styleId="EncabezadoCar">
    <w:name w:val="Encabezado Car"/>
    <w:basedOn w:val="Fuentedeprrafopredeter"/>
    <w:link w:val="Encabezado"/>
    <w:uiPriority w:val="99"/>
    <w:rsid w:val="00587366"/>
  </w:style>
  <w:style w:type="paragraph" w:styleId="Piedepgina">
    <w:name w:val="footer"/>
    <w:basedOn w:val="Normal"/>
    <w:link w:val="PiedepginaCar"/>
    <w:uiPriority w:val="99"/>
    <w:unhideWhenUsed/>
    <w:rsid w:val="00587366"/>
    <w:pPr>
      <w:tabs>
        <w:tab w:val="center" w:pos="4252"/>
        <w:tab w:val="right" w:pos="8504"/>
      </w:tabs>
    </w:pPr>
  </w:style>
  <w:style w:type="character" w:customStyle="1" w:styleId="PiedepginaCar">
    <w:name w:val="Pie de página Car"/>
    <w:basedOn w:val="Fuentedeprrafopredeter"/>
    <w:link w:val="Piedepgina"/>
    <w:uiPriority w:val="99"/>
    <w:rsid w:val="00587366"/>
  </w:style>
  <w:style w:type="table" w:styleId="Tablaconcuadrcula">
    <w:name w:val="Table Grid"/>
    <w:basedOn w:val="Tablanormal"/>
    <w:uiPriority w:val="39"/>
    <w:rsid w:val="00587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8736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87366"/>
    <w:rPr>
      <w:rFonts w:ascii="Lucida Grande" w:hAnsi="Lucida Grande" w:cs="Lucida Grande"/>
      <w:sz w:val="18"/>
      <w:szCs w:val="1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2C69"/>
    <w:pPr>
      <w:ind w:left="720"/>
      <w:contextualSpacing/>
    </w:pPr>
  </w:style>
  <w:style w:type="paragraph" w:styleId="Sinespaciado">
    <w:name w:val="No Spacing"/>
    <w:aliases w:val="Francesa"/>
    <w:link w:val="SinespaciadoCar"/>
    <w:uiPriority w:val="1"/>
    <w:qFormat/>
    <w:rsid w:val="00166794"/>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A3513"/>
  </w:style>
  <w:style w:type="character" w:styleId="Hipervnculo">
    <w:name w:val="Hyperlink"/>
    <w:aliases w:val="Hipervínculo1,Hipervínculo11,Hipervínculo12,Hipervínculo13,Hipervínculo14,Hipervínculo15"/>
    <w:basedOn w:val="Fuentedeprrafopredeter"/>
    <w:uiPriority w:val="99"/>
    <w:unhideWhenUsed/>
    <w:rsid w:val="008167F5"/>
    <w:rPr>
      <w:color w:val="0000FF" w:themeColor="hyperlink"/>
      <w:u w:val="single"/>
    </w:rPr>
  </w:style>
  <w:style w:type="paragraph" w:styleId="TDC1">
    <w:name w:val="toc 1"/>
    <w:basedOn w:val="Normal"/>
    <w:next w:val="Normal"/>
    <w:autoRedefine/>
    <w:uiPriority w:val="39"/>
    <w:unhideWhenUsed/>
    <w:rsid w:val="008826F4"/>
    <w:pPr>
      <w:tabs>
        <w:tab w:val="right" w:leader="dot" w:pos="8779"/>
      </w:tabs>
      <w:spacing w:after="100" w:line="360" w:lineRule="auto"/>
      <w:ind w:left="284"/>
    </w:pPr>
  </w:style>
  <w:style w:type="paragraph" w:styleId="TDC2">
    <w:name w:val="toc 2"/>
    <w:basedOn w:val="Normal"/>
    <w:next w:val="Normal"/>
    <w:autoRedefine/>
    <w:uiPriority w:val="39"/>
    <w:unhideWhenUsed/>
    <w:rsid w:val="00B37AEC"/>
    <w:pPr>
      <w:tabs>
        <w:tab w:val="left" w:pos="709"/>
        <w:tab w:val="right" w:leader="dot" w:pos="8779"/>
      </w:tabs>
      <w:spacing w:after="100" w:line="480" w:lineRule="auto"/>
      <w:ind w:left="284"/>
    </w:pPr>
  </w:style>
  <w:style w:type="character" w:styleId="Refdecomentario">
    <w:name w:val="annotation reference"/>
    <w:basedOn w:val="Fuentedeprrafopredeter"/>
    <w:uiPriority w:val="99"/>
    <w:semiHidden/>
    <w:unhideWhenUsed/>
    <w:rsid w:val="00750A80"/>
    <w:rPr>
      <w:sz w:val="16"/>
      <w:szCs w:val="16"/>
    </w:rPr>
  </w:style>
  <w:style w:type="paragraph" w:styleId="Textocomentario">
    <w:name w:val="annotation text"/>
    <w:basedOn w:val="Normal"/>
    <w:link w:val="TextocomentarioCar"/>
    <w:uiPriority w:val="99"/>
    <w:semiHidden/>
    <w:unhideWhenUsed/>
    <w:rsid w:val="00750A80"/>
    <w:rPr>
      <w:sz w:val="20"/>
      <w:szCs w:val="20"/>
    </w:rPr>
  </w:style>
  <w:style w:type="character" w:customStyle="1" w:styleId="TextocomentarioCar">
    <w:name w:val="Texto comentario Car"/>
    <w:basedOn w:val="Fuentedeprrafopredeter"/>
    <w:link w:val="Textocomentario"/>
    <w:uiPriority w:val="99"/>
    <w:semiHidden/>
    <w:rsid w:val="00750A80"/>
    <w:rPr>
      <w:sz w:val="20"/>
      <w:szCs w:val="20"/>
    </w:rPr>
  </w:style>
  <w:style w:type="paragraph" w:styleId="Asuntodelcomentario">
    <w:name w:val="annotation subject"/>
    <w:basedOn w:val="Textocomentario"/>
    <w:next w:val="Textocomentario"/>
    <w:link w:val="AsuntodelcomentarioCar"/>
    <w:uiPriority w:val="99"/>
    <w:semiHidden/>
    <w:unhideWhenUsed/>
    <w:rsid w:val="00750A80"/>
    <w:rPr>
      <w:b/>
      <w:bCs/>
    </w:rPr>
  </w:style>
  <w:style w:type="character" w:customStyle="1" w:styleId="AsuntodelcomentarioCar">
    <w:name w:val="Asunto del comentario Car"/>
    <w:basedOn w:val="TextocomentarioCar"/>
    <w:link w:val="Asuntodelcomentario"/>
    <w:uiPriority w:val="99"/>
    <w:semiHidden/>
    <w:rsid w:val="00750A80"/>
    <w:rPr>
      <w:b/>
      <w:bCs/>
      <w:sz w:val="20"/>
      <w:szCs w:val="20"/>
    </w:rPr>
  </w:style>
  <w:style w:type="character" w:customStyle="1" w:styleId="Ttulo1Car">
    <w:name w:val="Título 1 Car"/>
    <w:basedOn w:val="Fuentedeprrafopredeter"/>
    <w:link w:val="Ttulo1"/>
    <w:uiPriority w:val="9"/>
    <w:rsid w:val="00F214E5"/>
    <w:rPr>
      <w:rFonts w:ascii="Palatino Linotype" w:eastAsiaTheme="majorEastAsia" w:hAnsi="Palatino Linotype" w:cstheme="majorBidi"/>
      <w:b/>
      <w:color w:val="000000" w:themeColor="text1"/>
      <w:szCs w:val="32"/>
      <w:lang w:val="es-MX" w:eastAsia="en-US"/>
    </w:rPr>
  </w:style>
  <w:style w:type="character" w:customStyle="1" w:styleId="Ttulo2Car">
    <w:name w:val="Título 2 Car"/>
    <w:basedOn w:val="Fuentedeprrafopredeter"/>
    <w:link w:val="Ttulo2"/>
    <w:uiPriority w:val="9"/>
    <w:rsid w:val="008E2E89"/>
    <w:rPr>
      <w:rFonts w:ascii="Palatino Linotype" w:eastAsiaTheme="majorEastAsia" w:hAnsi="Palatino Linotype" w:cstheme="majorBidi"/>
      <w:b/>
      <w:color w:val="000000" w:themeColor="text1"/>
      <w:szCs w:val="26"/>
      <w:lang w:val="es-MX" w:eastAsia="en-US"/>
    </w:rPr>
  </w:style>
  <w:style w:type="character" w:customStyle="1" w:styleId="apple-converted-space">
    <w:name w:val="apple-converted-space"/>
    <w:basedOn w:val="Fuentedeprrafopredeter"/>
    <w:rsid w:val="00E43ABE"/>
  </w:style>
  <w:style w:type="paragraph" w:styleId="Textoindependiente">
    <w:name w:val="Body Text"/>
    <w:basedOn w:val="Normal"/>
    <w:link w:val="TextoindependienteCar"/>
    <w:rsid w:val="00A8769A"/>
    <w:pPr>
      <w:jc w:val="both"/>
    </w:pPr>
    <w:rPr>
      <w:rFonts w:ascii="Arial" w:eastAsia="Times New Roman" w:hAnsi="Arial" w:cs="Times New Roman"/>
      <w:szCs w:val="20"/>
    </w:rPr>
  </w:style>
  <w:style w:type="character" w:customStyle="1" w:styleId="TextoindependienteCar">
    <w:name w:val="Texto independiente Car"/>
    <w:basedOn w:val="Fuentedeprrafopredeter"/>
    <w:link w:val="Textoindependiente"/>
    <w:rsid w:val="00A8769A"/>
    <w:rPr>
      <w:rFonts w:ascii="Arial" w:eastAsia="Times New Roman" w:hAnsi="Arial" w:cs="Times New Roman"/>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C563A"/>
    <w:rPr>
      <w:rFonts w:eastAsiaTheme="minorHAns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C563A"/>
    <w:rPr>
      <w:rFonts w:eastAsiaTheme="minorHAnsi"/>
      <w:sz w:val="20"/>
      <w:szCs w:val="20"/>
      <w:lang w:val="es-MX"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6C563A"/>
    <w:rPr>
      <w:vertAlign w:val="superscript"/>
    </w:rPr>
  </w:style>
  <w:style w:type="paragraph" w:customStyle="1" w:styleId="p">
    <w:name w:val="p"/>
    <w:basedOn w:val="Normal"/>
    <w:rsid w:val="006C563A"/>
    <w:pPr>
      <w:spacing w:before="100" w:beforeAutospacing="1" w:after="100" w:afterAutospacing="1"/>
    </w:pPr>
    <w:rPr>
      <w:rFonts w:ascii="Times New Roman" w:eastAsia="Times New Roman" w:hAnsi="Times New Roman" w:cs="Times New Roman"/>
      <w:lang w:val="es-MX"/>
    </w:rPr>
  </w:style>
  <w:style w:type="character" w:customStyle="1" w:styleId="f">
    <w:name w:val="f"/>
    <w:basedOn w:val="Fuentedeprrafopredeter"/>
    <w:rsid w:val="006C563A"/>
  </w:style>
  <w:style w:type="character" w:customStyle="1" w:styleId="a">
    <w:name w:val="a"/>
    <w:basedOn w:val="Fuentedeprrafopredeter"/>
    <w:rsid w:val="006C563A"/>
  </w:style>
  <w:style w:type="character" w:customStyle="1" w:styleId="d">
    <w:name w:val="d"/>
    <w:basedOn w:val="Fuentedeprrafopredeter"/>
    <w:rsid w:val="006C563A"/>
  </w:style>
  <w:style w:type="character" w:customStyle="1" w:styleId="b">
    <w:name w:val="b"/>
    <w:basedOn w:val="Fuentedeprrafopredeter"/>
    <w:rsid w:val="006C563A"/>
  </w:style>
  <w:style w:type="character" w:customStyle="1" w:styleId="g">
    <w:name w:val="g"/>
    <w:basedOn w:val="Fuentedeprrafopredeter"/>
    <w:rsid w:val="006C563A"/>
  </w:style>
  <w:style w:type="table" w:customStyle="1" w:styleId="Tablaconcuadrcula1">
    <w:name w:val="Tabla con cuadrícula1"/>
    <w:basedOn w:val="Tablanormal"/>
    <w:next w:val="Tablaconcuadrcula"/>
    <w:uiPriority w:val="59"/>
    <w:rsid w:val="00E0324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deTDC">
    <w:name w:val="TOC Heading"/>
    <w:basedOn w:val="Ttulo1"/>
    <w:next w:val="Normal"/>
    <w:uiPriority w:val="39"/>
    <w:unhideWhenUsed/>
    <w:qFormat/>
    <w:rsid w:val="00CD7893"/>
    <w:pPr>
      <w:outlineLvl w:val="9"/>
    </w:pPr>
    <w:rPr>
      <w:lang w:eastAsia="es-MX"/>
    </w:rPr>
  </w:style>
  <w:style w:type="character" w:styleId="Hipervnculovisitado">
    <w:name w:val="FollowedHyperlink"/>
    <w:basedOn w:val="Fuentedeprrafopredeter"/>
    <w:uiPriority w:val="99"/>
    <w:semiHidden/>
    <w:unhideWhenUsed/>
    <w:rsid w:val="00A575AA"/>
    <w:rPr>
      <w:color w:val="800080" w:themeColor="followedHyperlink"/>
      <w:u w:val="single"/>
    </w:rPr>
  </w:style>
  <w:style w:type="paragraph" w:customStyle="1" w:styleId="Default">
    <w:name w:val="Default"/>
    <w:qFormat/>
    <w:rsid w:val="00946F09"/>
    <w:pPr>
      <w:autoSpaceDE w:val="0"/>
      <w:autoSpaceDN w:val="0"/>
      <w:adjustRightInd w:val="0"/>
    </w:pPr>
    <w:rPr>
      <w:rFonts w:ascii="Palatino Linotype" w:eastAsiaTheme="minorHAnsi" w:hAnsi="Palatino Linotype" w:cs="Palatino Linotype"/>
      <w:color w:val="000000"/>
      <w:lang w:val="es-MX" w:eastAsia="en-US"/>
    </w:rPr>
  </w:style>
  <w:style w:type="paragraph" w:styleId="NormalWeb">
    <w:name w:val="Normal (Web)"/>
    <w:basedOn w:val="Normal"/>
    <w:uiPriority w:val="99"/>
    <w:unhideWhenUsed/>
    <w:rsid w:val="0033477F"/>
    <w:pPr>
      <w:spacing w:before="100" w:beforeAutospacing="1" w:after="100" w:afterAutospacing="1"/>
    </w:pPr>
    <w:rPr>
      <w:rFonts w:ascii="Times New Roman" w:eastAsia="Times New Roman" w:hAnsi="Times New Roman" w:cs="Times New Roman"/>
      <w:lang w:val="es-ES"/>
    </w:rPr>
  </w:style>
  <w:style w:type="character" w:customStyle="1" w:styleId="nacep">
    <w:name w:val="n_acep"/>
    <w:basedOn w:val="Fuentedeprrafopredeter"/>
    <w:rsid w:val="0033477F"/>
  </w:style>
  <w:style w:type="character" w:customStyle="1" w:styleId="apple-style-span">
    <w:name w:val="apple-style-span"/>
    <w:rsid w:val="00E53334"/>
  </w:style>
  <w:style w:type="paragraph" w:customStyle="1" w:styleId="FootnoteTextCharCharChar1">
    <w:name w:val="Footnote Text Char Char Char1"/>
    <w:basedOn w:val="Normal"/>
    <w:next w:val="Textonotapie"/>
    <w:unhideWhenUsed/>
    <w:rsid w:val="00A4327F"/>
    <w:rPr>
      <w:sz w:val="20"/>
      <w:szCs w:val="20"/>
      <w:lang w:val="es-MX" w:eastAsia="en-US"/>
    </w:rPr>
  </w:style>
  <w:style w:type="character" w:customStyle="1" w:styleId="il">
    <w:name w:val="il"/>
    <w:basedOn w:val="Fuentedeprrafopredeter"/>
    <w:rsid w:val="0052151F"/>
  </w:style>
  <w:style w:type="character" w:customStyle="1" w:styleId="Ttulo3Car">
    <w:name w:val="Título 3 Car"/>
    <w:basedOn w:val="Fuentedeprrafopredeter"/>
    <w:link w:val="Ttulo3"/>
    <w:uiPriority w:val="9"/>
    <w:rsid w:val="004D215D"/>
    <w:rPr>
      <w:rFonts w:asciiTheme="majorHAnsi" w:eastAsiaTheme="majorEastAsia" w:hAnsiTheme="majorHAnsi" w:cstheme="majorBidi"/>
      <w:color w:val="243F60" w:themeColor="accent1" w:themeShade="7F"/>
    </w:rPr>
  </w:style>
  <w:style w:type="paragraph" w:styleId="TDC3">
    <w:name w:val="toc 3"/>
    <w:basedOn w:val="Normal"/>
    <w:next w:val="Normal"/>
    <w:autoRedefine/>
    <w:uiPriority w:val="39"/>
    <w:unhideWhenUsed/>
    <w:rsid w:val="00756F43"/>
    <w:pPr>
      <w:spacing w:after="100"/>
      <w:ind w:left="480"/>
    </w:pPr>
  </w:style>
  <w:style w:type="paragraph" w:styleId="Textoindependiente2">
    <w:name w:val="Body Text 2"/>
    <w:basedOn w:val="Normal"/>
    <w:link w:val="Textoindependiente2Car"/>
    <w:uiPriority w:val="99"/>
    <w:semiHidden/>
    <w:unhideWhenUsed/>
    <w:rsid w:val="00967CE6"/>
    <w:pPr>
      <w:spacing w:after="120" w:line="480" w:lineRule="auto"/>
    </w:pPr>
  </w:style>
  <w:style w:type="character" w:customStyle="1" w:styleId="Textoindependiente2Car">
    <w:name w:val="Texto independiente 2 Car"/>
    <w:basedOn w:val="Fuentedeprrafopredeter"/>
    <w:link w:val="Textoindependiente2"/>
    <w:uiPriority w:val="99"/>
    <w:semiHidden/>
    <w:rsid w:val="00967CE6"/>
  </w:style>
  <w:style w:type="character" w:styleId="Textoennegrita">
    <w:name w:val="Strong"/>
    <w:uiPriority w:val="22"/>
    <w:qFormat/>
    <w:rsid w:val="009C113B"/>
    <w:rPr>
      <w:b/>
      <w:bCs/>
    </w:rPr>
  </w:style>
  <w:style w:type="character" w:customStyle="1" w:styleId="SinespaciadoCar">
    <w:name w:val="Sin espaciado Car"/>
    <w:aliases w:val="Francesa Car"/>
    <w:link w:val="Sinespaciado"/>
    <w:uiPriority w:val="1"/>
    <w:locked/>
    <w:rsid w:val="009C113B"/>
  </w:style>
  <w:style w:type="paragraph" w:customStyle="1" w:styleId="q">
    <w:name w:val="q"/>
    <w:basedOn w:val="Normal"/>
    <w:rsid w:val="00732EA5"/>
    <w:pPr>
      <w:spacing w:before="100" w:beforeAutospacing="1" w:after="100" w:afterAutospacing="1"/>
    </w:pPr>
    <w:rPr>
      <w:rFonts w:ascii="Times New Roman" w:eastAsia="Times New Roman" w:hAnsi="Times New Roman" w:cs="Times New Roman"/>
      <w:lang w:val="es-MX"/>
    </w:rPr>
  </w:style>
  <w:style w:type="character" w:customStyle="1" w:styleId="k">
    <w:name w:val="k"/>
    <w:basedOn w:val="Fuentedeprrafopredeter"/>
    <w:rsid w:val="00732EA5"/>
  </w:style>
  <w:style w:type="character" w:customStyle="1" w:styleId="h">
    <w:name w:val="h"/>
    <w:basedOn w:val="Fuentedeprrafopredeter"/>
    <w:rsid w:val="00732EA5"/>
  </w:style>
  <w:style w:type="character" w:customStyle="1" w:styleId="titulorubrolgt">
    <w:name w:val="titulorubrolgt"/>
    <w:basedOn w:val="Fuentedeprrafopredeter"/>
    <w:rsid w:val="00CA063C"/>
  </w:style>
  <w:style w:type="character" w:customStyle="1" w:styleId="ctr">
    <w:name w:val="ctr"/>
    <w:basedOn w:val="Fuentedeprrafopredeter"/>
    <w:rsid w:val="00CA063C"/>
  </w:style>
  <w:style w:type="paragraph" w:customStyle="1" w:styleId="Textonotapie1">
    <w:name w:val="Texto nota pie1"/>
    <w:basedOn w:val="Normal"/>
    <w:next w:val="Textonotapie"/>
    <w:uiPriority w:val="99"/>
    <w:unhideWhenUsed/>
    <w:rsid w:val="00EC6B99"/>
    <w:rPr>
      <w:sz w:val="20"/>
      <w:szCs w:val="20"/>
      <w:lang w:val="es-MX" w:eastAsia="en-US"/>
    </w:rPr>
  </w:style>
  <w:style w:type="paragraph" w:customStyle="1" w:styleId="n2">
    <w:name w:val="n2"/>
    <w:basedOn w:val="Normal"/>
    <w:rsid w:val="009E1584"/>
    <w:pPr>
      <w:spacing w:before="100" w:beforeAutospacing="1" w:after="100" w:afterAutospacing="1"/>
    </w:pPr>
    <w:rPr>
      <w:rFonts w:ascii="Times New Roman" w:eastAsia="Times New Roman" w:hAnsi="Times New Roman" w:cs="Times New Roman"/>
      <w:lang w:val="es-MX"/>
    </w:rPr>
  </w:style>
  <w:style w:type="character" w:styleId="nfasis">
    <w:name w:val="Emphasis"/>
    <w:basedOn w:val="Fuentedeprrafopredeter"/>
    <w:uiPriority w:val="20"/>
    <w:qFormat/>
    <w:rsid w:val="009E1584"/>
    <w:rPr>
      <w:i/>
      <w:iCs/>
    </w:rPr>
  </w:style>
  <w:style w:type="paragraph" w:customStyle="1" w:styleId="j">
    <w:name w:val="j"/>
    <w:basedOn w:val="Normal"/>
    <w:rsid w:val="009E1584"/>
    <w:pPr>
      <w:spacing w:before="100" w:beforeAutospacing="1" w:after="100" w:afterAutospacing="1"/>
    </w:pPr>
    <w:rPr>
      <w:rFonts w:ascii="Times New Roman" w:eastAsia="Times New Roman" w:hAnsi="Times New Roman" w:cs="Times New Roman"/>
      <w:lang w:val="es-MX"/>
    </w:rPr>
  </w:style>
  <w:style w:type="paragraph" w:customStyle="1" w:styleId="j1">
    <w:name w:val="j1"/>
    <w:basedOn w:val="Normal"/>
    <w:rsid w:val="009E1584"/>
    <w:pPr>
      <w:spacing w:before="100" w:beforeAutospacing="1" w:after="100" w:afterAutospacing="1"/>
    </w:pPr>
    <w:rPr>
      <w:rFonts w:ascii="Times New Roman" w:eastAsia="Times New Roman" w:hAnsi="Times New Roman" w:cs="Times New Roman"/>
      <w:lang w:val="es-MX"/>
    </w:rPr>
  </w:style>
  <w:style w:type="table" w:customStyle="1" w:styleId="Cuadrculadetablaclara1">
    <w:name w:val="Cuadrícula de tabla clara1"/>
    <w:basedOn w:val="Tablanormal"/>
    <w:uiPriority w:val="40"/>
    <w:rsid w:val="00226E61"/>
    <w:rPr>
      <w:rFonts w:eastAsiaTheme="minorHAnsi"/>
      <w:sz w:val="22"/>
      <w:szCs w:val="22"/>
      <w:lang w:val="es-MX"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xto">
    <w:name w:val="Texto"/>
    <w:basedOn w:val="Normal"/>
    <w:link w:val="TextoCar"/>
    <w:rsid w:val="00041C72"/>
    <w:pPr>
      <w:spacing w:after="101" w:line="216" w:lineRule="exact"/>
      <w:ind w:firstLine="288"/>
      <w:jc w:val="both"/>
    </w:pPr>
    <w:rPr>
      <w:rFonts w:ascii="Arial" w:eastAsia="Times New Roman" w:hAnsi="Arial" w:cs="Arial"/>
      <w:sz w:val="18"/>
      <w:szCs w:val="20"/>
      <w:lang w:val="es-ES"/>
    </w:rPr>
  </w:style>
  <w:style w:type="character" w:customStyle="1" w:styleId="TextoCar">
    <w:name w:val="Texto Car"/>
    <w:link w:val="Texto"/>
    <w:locked/>
    <w:rsid w:val="00041C72"/>
    <w:rPr>
      <w:rFonts w:ascii="Arial" w:eastAsia="Times New Roman" w:hAnsi="Arial" w:cs="Arial"/>
      <w:sz w:val="18"/>
      <w:szCs w:val="20"/>
      <w:lang w:val="es-ES"/>
    </w:rPr>
  </w:style>
  <w:style w:type="paragraph" w:styleId="Textosinformato">
    <w:name w:val="Plain Text"/>
    <w:basedOn w:val="Normal"/>
    <w:link w:val="TextosinformatoCar"/>
    <w:rsid w:val="00D4338A"/>
    <w:rPr>
      <w:rFonts w:ascii="Courier New" w:eastAsia="Times New Roman" w:hAnsi="Courier New" w:cs="Times New Roman"/>
      <w:sz w:val="20"/>
      <w:szCs w:val="20"/>
      <w:lang w:val="es-ES"/>
    </w:rPr>
  </w:style>
  <w:style w:type="character" w:customStyle="1" w:styleId="TextosinformatoCar">
    <w:name w:val="Texto sin formato Car"/>
    <w:basedOn w:val="Fuentedeprrafopredeter"/>
    <w:link w:val="Textosinformato"/>
    <w:rsid w:val="00D4338A"/>
    <w:rPr>
      <w:rFonts w:ascii="Courier New" w:eastAsia="Times New Roman" w:hAnsi="Courier New" w:cs="Times New Roman"/>
      <w:sz w:val="20"/>
      <w:szCs w:val="20"/>
      <w:lang w:val="es-ES"/>
    </w:rPr>
  </w:style>
  <w:style w:type="table" w:customStyle="1" w:styleId="Tablanormal11">
    <w:name w:val="Tabla normal 11"/>
    <w:basedOn w:val="Tablanormal"/>
    <w:uiPriority w:val="41"/>
    <w:rsid w:val="00962626"/>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3468294172500300143gmail-msolistparagraph">
    <w:name w:val="m_3468294172500300143gmail-msolistparagraph"/>
    <w:basedOn w:val="Normal"/>
    <w:rsid w:val="00480BA2"/>
    <w:pPr>
      <w:spacing w:before="100" w:beforeAutospacing="1" w:after="100" w:afterAutospacing="1"/>
    </w:pPr>
    <w:rPr>
      <w:rFonts w:ascii="Times New Roman" w:eastAsia="Times New Roman" w:hAnsi="Times New Roman" w:cs="Times New Roman"/>
      <w:lang w:val="es-MX"/>
    </w:rPr>
  </w:style>
  <w:style w:type="paragraph" w:customStyle="1" w:styleId="m7640689326625126977gmail-msolistparagraph">
    <w:name w:val="m_7640689326625126977gmail-msolistparagraph"/>
    <w:basedOn w:val="Normal"/>
    <w:rsid w:val="00631337"/>
    <w:pPr>
      <w:spacing w:before="100" w:beforeAutospacing="1" w:after="100" w:afterAutospacing="1"/>
    </w:pPr>
    <w:rPr>
      <w:rFonts w:ascii="Times New Roman" w:eastAsia="Times New Roman" w:hAnsi="Times New Roman" w:cs="Times New Roman"/>
      <w:lang w:val="es-MX"/>
    </w:rPr>
  </w:style>
  <w:style w:type="character" w:customStyle="1" w:styleId="stytxtare">
    <w:name w:val="stytxtare"/>
    <w:rsid w:val="005B0EC2"/>
  </w:style>
  <w:style w:type="character" w:customStyle="1" w:styleId="Ttulo4Car">
    <w:name w:val="Título 4 Car"/>
    <w:basedOn w:val="Fuentedeprrafopredeter"/>
    <w:link w:val="Ttulo4"/>
    <w:uiPriority w:val="9"/>
    <w:rsid w:val="00D55B7A"/>
    <w:rPr>
      <w:rFonts w:asciiTheme="majorHAnsi" w:eastAsiaTheme="majorEastAsia" w:hAnsiTheme="majorHAnsi" w:cstheme="majorBidi"/>
      <w:i/>
      <w:iCs/>
      <w:color w:val="365F91" w:themeColor="accent1" w:themeShade="BF"/>
    </w:rPr>
  </w:style>
  <w:style w:type="paragraph" w:customStyle="1" w:styleId="paragraph">
    <w:name w:val="paragraph"/>
    <w:basedOn w:val="Normal"/>
    <w:uiPriority w:val="99"/>
    <w:rsid w:val="00BC13F7"/>
    <w:pPr>
      <w:spacing w:before="100" w:beforeAutospacing="1" w:after="100" w:afterAutospacing="1"/>
    </w:pPr>
    <w:rPr>
      <w:rFonts w:ascii="Times New Roman" w:eastAsia="Times New Roman" w:hAnsi="Times New Roman" w:cs="Times New Roman"/>
      <w:lang w:val="es-MX"/>
    </w:rPr>
  </w:style>
  <w:style w:type="paragraph" w:customStyle="1" w:styleId="yiv6449924580ydp7ca81294msonormal">
    <w:name w:val="yiv6449924580ydp7ca81294msonormal"/>
    <w:basedOn w:val="Normal"/>
    <w:rsid w:val="003B7B09"/>
    <w:pPr>
      <w:spacing w:before="100" w:beforeAutospacing="1" w:after="100" w:afterAutospacing="1"/>
    </w:pPr>
    <w:rPr>
      <w:rFonts w:ascii="Times New Roman" w:eastAsia="Times New Roman" w:hAnsi="Times New Roman" w:cs="Times New Roman"/>
      <w:lang w:val="es-MX"/>
    </w:rPr>
  </w:style>
  <w:style w:type="paragraph" w:customStyle="1" w:styleId="gmail-msolistparagraph">
    <w:name w:val="gmail-msolistparagraph"/>
    <w:basedOn w:val="Normal"/>
    <w:rsid w:val="00CA1CD0"/>
    <w:pPr>
      <w:spacing w:before="100" w:beforeAutospacing="1" w:after="100" w:afterAutospacing="1"/>
    </w:pPr>
    <w:rPr>
      <w:rFonts w:ascii="Times New Roman" w:eastAsia="Times New Roman" w:hAnsi="Times New Roman" w:cs="Times New Roman"/>
      <w:lang w:val="es-MX"/>
    </w:rPr>
  </w:style>
  <w:style w:type="character" w:customStyle="1" w:styleId="vidspn">
    <w:name w:val="vid_spn"/>
    <w:basedOn w:val="Fuentedeprrafopredeter"/>
    <w:rsid w:val="006B78BA"/>
  </w:style>
  <w:style w:type="table" w:styleId="Tablanormal1">
    <w:name w:val="Plain Table 1"/>
    <w:basedOn w:val="Tablanormal"/>
    <w:uiPriority w:val="41"/>
    <w:rsid w:val="00BE721C"/>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itas">
    <w:name w:val="Citas"/>
    <w:basedOn w:val="Normal"/>
    <w:qFormat/>
    <w:rsid w:val="000E0EF6"/>
    <w:pPr>
      <w:spacing w:before="240" w:after="160" w:line="360" w:lineRule="auto"/>
      <w:ind w:left="851" w:right="851"/>
      <w:jc w:val="both"/>
    </w:pPr>
    <w:rPr>
      <w:rFonts w:ascii="Palatino Linotype" w:eastAsia="Times New Roman" w:hAnsi="Palatino Linotype" w:cs="Arial"/>
      <w:i/>
      <w:sz w:val="22"/>
      <w:szCs w:val="22"/>
      <w:lang w:val="es-MX" w:eastAsia="en-US"/>
    </w:rPr>
  </w:style>
  <w:style w:type="table" w:customStyle="1" w:styleId="Tablanormal12">
    <w:name w:val="Tabla normal 12"/>
    <w:basedOn w:val="Tablanormal"/>
    <w:next w:val="Tablanormal1"/>
    <w:uiPriority w:val="41"/>
    <w:rsid w:val="00F82B3B"/>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object">
    <w:name w:val="object"/>
    <w:basedOn w:val="Fuentedeprrafopredeter"/>
    <w:rsid w:val="00977AFF"/>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0"/>
    <w:tblPr>
      <w:tblStyleRowBandSize w:val="1"/>
      <w:tblStyleColBandSize w:val="1"/>
      <w:tblCellMar>
        <w:left w:w="115" w:type="dxa"/>
        <w:right w:w="115" w:type="dxa"/>
      </w:tblCellMar>
    </w:tblPr>
  </w:style>
  <w:style w:type="table" w:customStyle="1" w:styleId="2">
    <w:name w:val="2"/>
    <w:basedOn w:val="TableNormal0"/>
    <w:rPr>
      <w:sz w:val="22"/>
      <w:szCs w:val="22"/>
    </w:rPr>
    <w:tblPr>
      <w:tblStyleRowBandSize w:val="1"/>
      <w:tblStyleColBandSize w:val="1"/>
      <w:tblCellMar>
        <w:left w:w="108" w:type="dxa"/>
        <w:right w:w="108" w:type="dxa"/>
      </w:tblCellMar>
    </w:tblPr>
  </w:style>
  <w:style w:type="table" w:customStyle="1" w:styleId="1">
    <w:name w:val="1"/>
    <w:basedOn w:val="TableNormal0"/>
    <w:rPr>
      <w:sz w:val="22"/>
      <w:szCs w:val="22"/>
    </w:rPr>
    <w:tblPr>
      <w:tblStyleRowBandSize w:val="1"/>
      <w:tblStyleColBandSize w:val="1"/>
      <w:tblCellMar>
        <w:left w:w="108" w:type="dxa"/>
        <w:right w:w="108"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rPr>
      <w:sz w:val="22"/>
      <w:szCs w:val="22"/>
    </w:rPr>
    <w:tblPr>
      <w:tblStyleRowBandSize w:val="1"/>
      <w:tblStyleColBandSize w:val="1"/>
      <w:tblCellMar>
        <w:left w:w="108" w:type="dxa"/>
        <w:right w:w="108" w:type="dxa"/>
      </w:tblCellMar>
    </w:tblPr>
  </w:style>
  <w:style w:type="table" w:customStyle="1" w:styleId="a3">
    <w:basedOn w:val="TableNormal0"/>
    <w:rPr>
      <w:sz w:val="22"/>
      <w:szCs w:val="22"/>
    </w:rPr>
    <w:tblPr>
      <w:tblStyleRowBandSize w:val="1"/>
      <w:tblStyleColBandSize w:val="1"/>
      <w:tblCellMar>
        <w:left w:w="108" w:type="dxa"/>
        <w:right w:w="108" w:type="dxa"/>
      </w:tblCellMar>
    </w:tblPr>
  </w:style>
  <w:style w:type="paragraph" w:customStyle="1" w:styleId="xmsonormal">
    <w:name w:val="x_msonormal"/>
    <w:basedOn w:val="Normal"/>
    <w:rsid w:val="00D649F1"/>
    <w:pPr>
      <w:spacing w:before="100" w:beforeAutospacing="1" w:after="100" w:afterAutospacing="1"/>
    </w:pPr>
    <w:rPr>
      <w:rFonts w:ascii="Times New Roman" w:eastAsia="Times New Roman" w:hAnsi="Times New Roman" w:cs="Times New Roman"/>
      <w:lang w:val="es-MX"/>
    </w:rPr>
  </w:style>
  <w:style w:type="paragraph" w:customStyle="1" w:styleId="xgmail-msonormal">
    <w:name w:val="x_gmail-msonormal"/>
    <w:basedOn w:val="Normal"/>
    <w:rsid w:val="00D649F1"/>
    <w:pPr>
      <w:spacing w:before="100" w:beforeAutospacing="1" w:after="100" w:afterAutospacing="1"/>
    </w:pPr>
    <w:rPr>
      <w:rFonts w:ascii="Times New Roman" w:eastAsia="Times New Roman" w:hAnsi="Times New Roman" w:cs="Times New Roman"/>
      <w:lang w:val="es-MX"/>
    </w:rPr>
  </w:style>
  <w:style w:type="character" w:customStyle="1" w:styleId="xgmail-msocommentreference">
    <w:name w:val="x_gmail-msocommentreference"/>
    <w:basedOn w:val="Fuentedeprrafopredeter"/>
    <w:rsid w:val="00D64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dof.gob.mx/nota_detalle.php?codigo=5492254&amp;fecha=28/07/2017"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legislacion.edomex.gob.mx/sites/legislacion.edomex.gob.mx/files/files/pdf/ley/vig/leyvig08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pN01Mh1tQ2mUIHfIchdUVctPsg==">CgMxLjAyDmguc3JlOWgwNXE0djBiMghoLmdqZGd4czIJaC4zMGowemxsMgloLjFmb2I5dGUyCWguM3pueXNoNzIJaC4yZXQ5MnAwMghoLnR5amN3dDIJaC4zZHk2dmttMgloLjF0M2g1c2YyCWguMnM4ZXlvMTIJaC4xN2RwOHZ1MgloLjNyZGNyam4yCWguMjZpbjFyZzIJaC40ZDM0b2c4MghoLmxueGJ6OTIJaC4zNW5rdW4yOAByITFXTnFUVmF5LWVxZ1hudGw5Z28wMlBnRnFwcUIxcTBl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51</Pages>
  <Words>12174</Words>
  <Characters>66962</Characters>
  <Application>Microsoft Office Word</Application>
  <DocSecurity>0</DocSecurity>
  <Lines>558</Lines>
  <Paragraphs>157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78979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iMac</dc:creator>
  <cp:lastModifiedBy>Cuenta Microsoft</cp:lastModifiedBy>
  <cp:revision>14</cp:revision>
  <cp:lastPrinted>2026-06-18T18:47:00Z</cp:lastPrinted>
  <dcterms:created xsi:type="dcterms:W3CDTF">2025-05-08T17:35:00Z</dcterms:created>
  <dcterms:modified xsi:type="dcterms:W3CDTF">2026-06-24T17:36:00Z</dcterms:modified>
</cp:coreProperties>
</file>