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AD256" w14:textId="77777777" w:rsidR="00CC2C62" w:rsidRDefault="00CC2C62">
      <w:pPr>
        <w:widowControl w:val="0"/>
        <w:pBdr>
          <w:top w:val="nil"/>
          <w:left w:val="nil"/>
          <w:bottom w:val="nil"/>
          <w:right w:val="nil"/>
          <w:between w:val="nil"/>
        </w:pBdr>
        <w:spacing w:line="276" w:lineRule="auto"/>
      </w:pPr>
    </w:p>
    <w:p w14:paraId="5D440488" w14:textId="77777777" w:rsidR="00CC2C62" w:rsidRDefault="00CC2C62">
      <w:pPr>
        <w:keepNext/>
        <w:keepLines/>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p>
    <w:p w14:paraId="156EC6B3" w14:textId="77777777" w:rsidR="00CC2C62" w:rsidRPr="006832F0" w:rsidRDefault="00000000">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 xml:space="preserve">RESOLUCIÓN DEL RECURSO DE REVISIÓN 12121/INFOEM/ICR-77/IP/RR/2025. </w:t>
      </w:r>
    </w:p>
    <w:p w14:paraId="55C98D14" w14:textId="77777777" w:rsidR="00CC2C62" w:rsidRPr="006832F0" w:rsidRDefault="00CC2C62">
      <w:pPr>
        <w:spacing w:line="360" w:lineRule="auto"/>
        <w:rPr>
          <w:rFonts w:ascii="Palatino Linotype" w:eastAsia="Palatino Linotype" w:hAnsi="Palatino Linotype" w:cs="Palatino Linotype"/>
          <w:sz w:val="22"/>
          <w:szCs w:val="22"/>
        </w:rPr>
      </w:pPr>
    </w:p>
    <w:sdt>
      <w:sdtPr>
        <w:id w:val="659188765"/>
        <w:docPartObj>
          <w:docPartGallery w:val="Table of Contents"/>
          <w:docPartUnique/>
        </w:docPartObj>
      </w:sdtPr>
      <w:sdtContent>
        <w:p w14:paraId="3036201E" w14:textId="77777777" w:rsidR="00CC2C62" w:rsidRPr="006832F0" w:rsidRDefault="00000000">
          <w:pPr>
            <w:pBdr>
              <w:top w:val="nil"/>
              <w:left w:val="nil"/>
              <w:bottom w:val="nil"/>
              <w:right w:val="nil"/>
              <w:between w:val="nil"/>
            </w:pBdr>
            <w:tabs>
              <w:tab w:val="right" w:pos="9034"/>
            </w:tabs>
            <w:spacing w:line="360" w:lineRule="auto"/>
            <w:jc w:val="both"/>
            <w:rPr>
              <w:rFonts w:ascii="Palatino Linotype" w:eastAsia="Palatino Linotype" w:hAnsi="Palatino Linotype" w:cs="Palatino Linotype"/>
              <w:color w:val="000000"/>
              <w:sz w:val="22"/>
              <w:szCs w:val="22"/>
            </w:rPr>
          </w:pPr>
          <w:r w:rsidRPr="006832F0">
            <w:fldChar w:fldCharType="begin"/>
          </w:r>
          <w:r w:rsidRPr="006832F0">
            <w:instrText xml:space="preserve"> TOC \h \u \z \t "Heading 1,1,Heading 2,2,Heading 3,3,"</w:instrText>
          </w:r>
          <w:r w:rsidRPr="006832F0">
            <w:fldChar w:fldCharType="separate"/>
          </w:r>
          <w:hyperlink w:anchor="_heading=h.dr1uxsrj2b29">
            <w:r w:rsidR="00CC2C62" w:rsidRPr="006832F0">
              <w:rPr>
                <w:rFonts w:ascii="Palatino Linotype" w:eastAsia="Palatino Linotype" w:hAnsi="Palatino Linotype" w:cs="Palatino Linotype"/>
                <w:color w:val="000000"/>
                <w:sz w:val="22"/>
                <w:szCs w:val="22"/>
              </w:rPr>
              <w:t>A N T E C E D E N T E S</w:t>
            </w:r>
            <w:r w:rsidR="00CC2C62" w:rsidRPr="006832F0">
              <w:rPr>
                <w:rFonts w:ascii="Palatino Linotype" w:eastAsia="Palatino Linotype" w:hAnsi="Palatino Linotype" w:cs="Palatino Linotype"/>
                <w:color w:val="000000"/>
                <w:sz w:val="22"/>
                <w:szCs w:val="22"/>
              </w:rPr>
              <w:tab/>
              <w:t>2</w:t>
            </w:r>
          </w:hyperlink>
        </w:p>
        <w:p w14:paraId="277AEF4C" w14:textId="77777777" w:rsidR="00CC2C62" w:rsidRPr="006832F0" w:rsidRDefault="00CC2C62">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72q2bdc0n8ts">
            <w:r w:rsidRPr="006832F0">
              <w:rPr>
                <w:rFonts w:ascii="Palatino Linotype" w:eastAsia="Palatino Linotype" w:hAnsi="Palatino Linotype" w:cs="Palatino Linotype"/>
                <w:color w:val="000000"/>
                <w:sz w:val="22"/>
                <w:szCs w:val="22"/>
              </w:rPr>
              <w:t>I. Presentación de la solicitud de información</w:t>
            </w:r>
            <w:r w:rsidRPr="006832F0">
              <w:rPr>
                <w:rFonts w:ascii="Palatino Linotype" w:eastAsia="Palatino Linotype" w:hAnsi="Palatino Linotype" w:cs="Palatino Linotype"/>
                <w:color w:val="000000"/>
                <w:sz w:val="22"/>
                <w:szCs w:val="22"/>
              </w:rPr>
              <w:tab/>
              <w:t>2</w:t>
            </w:r>
          </w:hyperlink>
        </w:p>
        <w:p w14:paraId="323B0CA1" w14:textId="77777777" w:rsidR="00CC2C62" w:rsidRPr="006832F0" w:rsidRDefault="00CC2C62">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vauta4c9ds2n">
            <w:r w:rsidRPr="006832F0">
              <w:rPr>
                <w:rFonts w:ascii="Palatino Linotype" w:eastAsia="Palatino Linotype" w:hAnsi="Palatino Linotype" w:cs="Palatino Linotype"/>
                <w:color w:val="000000"/>
                <w:sz w:val="22"/>
                <w:szCs w:val="22"/>
              </w:rPr>
              <w:t>II. Respuesta del Sujeto Obligado</w:t>
            </w:r>
            <w:r w:rsidRPr="006832F0">
              <w:rPr>
                <w:rFonts w:ascii="Palatino Linotype" w:eastAsia="Palatino Linotype" w:hAnsi="Palatino Linotype" w:cs="Palatino Linotype"/>
                <w:color w:val="000000"/>
                <w:sz w:val="22"/>
                <w:szCs w:val="22"/>
              </w:rPr>
              <w:tab/>
              <w:t>3</w:t>
            </w:r>
          </w:hyperlink>
        </w:p>
        <w:p w14:paraId="1E60440C" w14:textId="77777777" w:rsidR="00CC2C62" w:rsidRPr="006832F0" w:rsidRDefault="00CC2C62">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kr0dn42y5qer">
            <w:r w:rsidRPr="006832F0">
              <w:rPr>
                <w:rFonts w:ascii="Palatino Linotype" w:eastAsia="Palatino Linotype" w:hAnsi="Palatino Linotype" w:cs="Palatino Linotype"/>
                <w:color w:val="000000"/>
                <w:sz w:val="22"/>
                <w:szCs w:val="22"/>
              </w:rPr>
              <w:t>III. Interposición del Recurso de Revisión</w:t>
            </w:r>
            <w:r w:rsidRPr="006832F0">
              <w:rPr>
                <w:rFonts w:ascii="Palatino Linotype" w:eastAsia="Palatino Linotype" w:hAnsi="Palatino Linotype" w:cs="Palatino Linotype"/>
                <w:color w:val="000000"/>
                <w:sz w:val="22"/>
                <w:szCs w:val="22"/>
              </w:rPr>
              <w:tab/>
              <w:t>3</w:t>
            </w:r>
          </w:hyperlink>
        </w:p>
        <w:p w14:paraId="6E1F45BE" w14:textId="77777777" w:rsidR="00CC2C62" w:rsidRPr="006832F0" w:rsidRDefault="00CC2C62">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ovvanuo6jffj">
            <w:r w:rsidRPr="006832F0">
              <w:rPr>
                <w:rFonts w:ascii="Palatino Linotype" w:eastAsia="Palatino Linotype" w:hAnsi="Palatino Linotype" w:cs="Palatino Linotype"/>
                <w:color w:val="000000"/>
                <w:sz w:val="22"/>
                <w:szCs w:val="22"/>
              </w:rPr>
              <w:t>IV. Trámite del Recurso de Revisión ante el Instituto</w:t>
            </w:r>
            <w:r w:rsidRPr="006832F0">
              <w:rPr>
                <w:rFonts w:ascii="Palatino Linotype" w:eastAsia="Palatino Linotype" w:hAnsi="Palatino Linotype" w:cs="Palatino Linotype"/>
                <w:color w:val="000000"/>
                <w:sz w:val="22"/>
                <w:szCs w:val="22"/>
              </w:rPr>
              <w:tab/>
              <w:t>4</w:t>
            </w:r>
          </w:hyperlink>
        </w:p>
        <w:p w14:paraId="40C36B81" w14:textId="77777777" w:rsidR="00CC2C62" w:rsidRPr="006832F0" w:rsidRDefault="00CC2C62">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pbre594nh6cq">
            <w:r w:rsidRPr="006832F0">
              <w:rPr>
                <w:rFonts w:ascii="Palatino Linotype" w:eastAsia="Palatino Linotype" w:hAnsi="Palatino Linotype" w:cs="Palatino Linotype"/>
                <w:color w:val="000000"/>
                <w:sz w:val="22"/>
                <w:szCs w:val="22"/>
              </w:rPr>
              <w:t>V. Entrega de la información en cumplimiento a la Resolución del Recurso de Revisión 12946/INFOEM/IP/RR/2025.</w:t>
            </w:r>
            <w:r w:rsidRPr="006832F0">
              <w:rPr>
                <w:rFonts w:ascii="Palatino Linotype" w:eastAsia="Palatino Linotype" w:hAnsi="Palatino Linotype" w:cs="Palatino Linotype"/>
                <w:color w:val="000000"/>
                <w:sz w:val="22"/>
                <w:szCs w:val="22"/>
              </w:rPr>
              <w:tab/>
              <w:t>6</w:t>
            </w:r>
          </w:hyperlink>
        </w:p>
        <w:p w14:paraId="240019D8" w14:textId="77777777" w:rsidR="00CC2C62" w:rsidRPr="006832F0" w:rsidRDefault="00CC2C62">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nth74yrn2e5w">
            <w:r w:rsidRPr="006832F0">
              <w:rPr>
                <w:rFonts w:ascii="Palatino Linotype" w:eastAsia="Palatino Linotype" w:hAnsi="Palatino Linotype" w:cs="Palatino Linotype"/>
                <w:color w:val="000000"/>
                <w:sz w:val="22"/>
                <w:szCs w:val="22"/>
              </w:rPr>
              <w:t>VI. Interposición del Recurso de Revisión 01206/INFOEM/ICR-150/IP/RR/2025</w:t>
            </w:r>
            <w:r w:rsidRPr="006832F0">
              <w:rPr>
                <w:rFonts w:ascii="Palatino Linotype" w:eastAsia="Palatino Linotype" w:hAnsi="Palatino Linotype" w:cs="Palatino Linotype"/>
                <w:color w:val="000000"/>
                <w:sz w:val="22"/>
                <w:szCs w:val="22"/>
              </w:rPr>
              <w:tab/>
              <w:t>6</w:t>
            </w:r>
          </w:hyperlink>
        </w:p>
        <w:p w14:paraId="32EC2F1D" w14:textId="77777777" w:rsidR="00CC2C62" w:rsidRPr="006832F0" w:rsidRDefault="00CC2C62">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n60cnynzipuh">
            <w:r w:rsidRPr="006832F0">
              <w:rPr>
                <w:rFonts w:ascii="Palatino Linotype" w:eastAsia="Palatino Linotype" w:hAnsi="Palatino Linotype" w:cs="Palatino Linotype"/>
                <w:color w:val="000000"/>
                <w:sz w:val="22"/>
                <w:szCs w:val="22"/>
              </w:rPr>
              <w:t>VIII. Trámite del Recurso de Revisión número 12946/INFOEM/ICR-26/IP/RR/2025</w:t>
            </w:r>
            <w:r w:rsidRPr="006832F0">
              <w:rPr>
                <w:rFonts w:ascii="Palatino Linotype" w:eastAsia="Palatino Linotype" w:hAnsi="Palatino Linotype" w:cs="Palatino Linotype"/>
                <w:color w:val="000000"/>
                <w:sz w:val="22"/>
                <w:szCs w:val="22"/>
              </w:rPr>
              <w:tab/>
              <w:t>7</w:t>
            </w:r>
          </w:hyperlink>
        </w:p>
        <w:p w14:paraId="29D8357E" w14:textId="77777777" w:rsidR="00CC2C62" w:rsidRPr="006832F0" w:rsidRDefault="00CC2C62">
          <w:pPr>
            <w:pBdr>
              <w:top w:val="nil"/>
              <w:left w:val="nil"/>
              <w:bottom w:val="nil"/>
              <w:right w:val="nil"/>
              <w:between w:val="nil"/>
            </w:pBdr>
            <w:tabs>
              <w:tab w:val="right" w:pos="9034"/>
            </w:tabs>
            <w:spacing w:line="360" w:lineRule="auto"/>
            <w:jc w:val="both"/>
            <w:rPr>
              <w:rFonts w:ascii="Palatino Linotype" w:eastAsia="Palatino Linotype" w:hAnsi="Palatino Linotype" w:cs="Palatino Linotype"/>
              <w:color w:val="000000"/>
              <w:sz w:val="22"/>
              <w:szCs w:val="22"/>
            </w:rPr>
          </w:pPr>
          <w:hyperlink w:anchor="_heading=h.67joebd9pkhj">
            <w:r w:rsidRPr="006832F0">
              <w:rPr>
                <w:rFonts w:ascii="Palatino Linotype" w:eastAsia="Palatino Linotype" w:hAnsi="Palatino Linotype" w:cs="Palatino Linotype"/>
                <w:color w:val="000000"/>
                <w:sz w:val="22"/>
                <w:szCs w:val="22"/>
              </w:rPr>
              <w:t>C O N S I D E R A N D O S</w:t>
            </w:r>
            <w:r w:rsidRPr="006832F0">
              <w:rPr>
                <w:rFonts w:ascii="Palatino Linotype" w:eastAsia="Palatino Linotype" w:hAnsi="Palatino Linotype" w:cs="Palatino Linotype"/>
                <w:color w:val="000000"/>
                <w:sz w:val="22"/>
                <w:szCs w:val="22"/>
              </w:rPr>
              <w:tab/>
              <w:t>8</w:t>
            </w:r>
          </w:hyperlink>
        </w:p>
        <w:p w14:paraId="6688E0F6" w14:textId="77777777" w:rsidR="00CC2C62" w:rsidRPr="006832F0" w:rsidRDefault="00CC2C62">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wztgx0gpcdb">
            <w:r w:rsidRPr="006832F0">
              <w:rPr>
                <w:rFonts w:ascii="Palatino Linotype" w:eastAsia="Palatino Linotype" w:hAnsi="Palatino Linotype" w:cs="Palatino Linotype"/>
                <w:color w:val="000000"/>
                <w:sz w:val="22"/>
                <w:szCs w:val="22"/>
              </w:rPr>
              <w:t>PRIMERO. Competencia</w:t>
            </w:r>
            <w:r w:rsidRPr="006832F0">
              <w:rPr>
                <w:rFonts w:ascii="Palatino Linotype" w:eastAsia="Palatino Linotype" w:hAnsi="Palatino Linotype" w:cs="Palatino Linotype"/>
                <w:color w:val="000000"/>
                <w:sz w:val="22"/>
                <w:szCs w:val="22"/>
              </w:rPr>
              <w:tab/>
              <w:t>8</w:t>
            </w:r>
          </w:hyperlink>
        </w:p>
        <w:p w14:paraId="2C2B346E" w14:textId="77777777" w:rsidR="00CC2C62" w:rsidRPr="006832F0" w:rsidRDefault="00CC2C62">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a9f6ywyn0dxr">
            <w:r w:rsidRPr="006832F0">
              <w:rPr>
                <w:rFonts w:ascii="Palatino Linotype" w:eastAsia="Palatino Linotype" w:hAnsi="Palatino Linotype" w:cs="Palatino Linotype"/>
                <w:color w:val="000000"/>
                <w:sz w:val="22"/>
                <w:szCs w:val="22"/>
              </w:rPr>
              <w:t>SEGUNDO. Causales de improcedencia y Sobreseimiento</w:t>
            </w:r>
            <w:r w:rsidRPr="006832F0">
              <w:rPr>
                <w:rFonts w:ascii="Palatino Linotype" w:eastAsia="Palatino Linotype" w:hAnsi="Palatino Linotype" w:cs="Palatino Linotype"/>
                <w:color w:val="000000"/>
                <w:sz w:val="22"/>
                <w:szCs w:val="22"/>
              </w:rPr>
              <w:tab/>
              <w:t>9</w:t>
            </w:r>
          </w:hyperlink>
        </w:p>
        <w:p w14:paraId="10872B7E" w14:textId="77777777" w:rsidR="00CC2C62" w:rsidRPr="006832F0" w:rsidRDefault="00CC2C62">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ndnrl0th4h76">
            <w:r w:rsidRPr="006832F0">
              <w:rPr>
                <w:rFonts w:ascii="Palatino Linotype" w:eastAsia="Palatino Linotype" w:hAnsi="Palatino Linotype" w:cs="Palatino Linotype"/>
                <w:color w:val="000000"/>
                <w:sz w:val="22"/>
                <w:szCs w:val="22"/>
              </w:rPr>
              <w:t>TERCERO. Determinación de la Controversia</w:t>
            </w:r>
            <w:r w:rsidRPr="006832F0">
              <w:rPr>
                <w:rFonts w:ascii="Palatino Linotype" w:eastAsia="Palatino Linotype" w:hAnsi="Palatino Linotype" w:cs="Palatino Linotype"/>
                <w:color w:val="000000"/>
                <w:sz w:val="22"/>
                <w:szCs w:val="22"/>
              </w:rPr>
              <w:tab/>
              <w:t>12</w:t>
            </w:r>
          </w:hyperlink>
        </w:p>
        <w:p w14:paraId="2C9C37D9" w14:textId="77777777" w:rsidR="00CC2C62" w:rsidRPr="006832F0" w:rsidRDefault="00CC2C62">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1xgm6fgbp8hj">
            <w:r w:rsidRPr="006832F0">
              <w:rPr>
                <w:rFonts w:ascii="Palatino Linotype" w:eastAsia="Palatino Linotype" w:hAnsi="Palatino Linotype" w:cs="Palatino Linotype"/>
                <w:color w:val="000000"/>
                <w:sz w:val="22"/>
                <w:szCs w:val="22"/>
              </w:rPr>
              <w:t>CUARTO. Marco normativo aplicable en materia de transparencia y acceso a la información pública</w:t>
            </w:r>
            <w:r w:rsidRPr="006832F0">
              <w:rPr>
                <w:rFonts w:ascii="Palatino Linotype" w:eastAsia="Palatino Linotype" w:hAnsi="Palatino Linotype" w:cs="Palatino Linotype"/>
                <w:color w:val="000000"/>
                <w:sz w:val="22"/>
                <w:szCs w:val="22"/>
              </w:rPr>
              <w:tab/>
              <w:t>15</w:t>
            </w:r>
          </w:hyperlink>
        </w:p>
        <w:p w14:paraId="001746B8" w14:textId="77777777" w:rsidR="00CC2C62" w:rsidRPr="006832F0" w:rsidRDefault="00CC2C62">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ql2tcink4gmx">
            <w:r w:rsidRPr="006832F0">
              <w:rPr>
                <w:rFonts w:ascii="Palatino Linotype" w:eastAsia="Palatino Linotype" w:hAnsi="Palatino Linotype" w:cs="Palatino Linotype"/>
                <w:color w:val="000000"/>
                <w:sz w:val="22"/>
                <w:szCs w:val="22"/>
              </w:rPr>
              <w:t>QUINTO. Estudio de Fondo</w:t>
            </w:r>
            <w:r w:rsidRPr="006832F0">
              <w:rPr>
                <w:rFonts w:ascii="Palatino Linotype" w:eastAsia="Palatino Linotype" w:hAnsi="Palatino Linotype" w:cs="Palatino Linotype"/>
                <w:color w:val="000000"/>
                <w:sz w:val="22"/>
                <w:szCs w:val="22"/>
              </w:rPr>
              <w:tab/>
              <w:t>16</w:t>
            </w:r>
          </w:hyperlink>
        </w:p>
        <w:p w14:paraId="1800ADE1" w14:textId="77777777" w:rsidR="00CC2C62" w:rsidRPr="006832F0" w:rsidRDefault="00CC2C62">
          <w:pPr>
            <w:pBdr>
              <w:top w:val="nil"/>
              <w:left w:val="nil"/>
              <w:bottom w:val="nil"/>
              <w:right w:val="nil"/>
              <w:between w:val="nil"/>
            </w:pBdr>
            <w:tabs>
              <w:tab w:val="right" w:pos="9034"/>
            </w:tabs>
            <w:spacing w:line="360" w:lineRule="auto"/>
            <w:ind w:left="200"/>
            <w:rPr>
              <w:rFonts w:ascii="Palatino Linotype" w:eastAsia="Palatino Linotype" w:hAnsi="Palatino Linotype" w:cs="Palatino Linotype"/>
              <w:color w:val="000000"/>
              <w:sz w:val="22"/>
              <w:szCs w:val="22"/>
            </w:rPr>
          </w:pPr>
          <w:hyperlink w:anchor="_heading=h.ab5ztrv16pdk">
            <w:r w:rsidRPr="006832F0">
              <w:rPr>
                <w:rFonts w:ascii="Palatino Linotype" w:eastAsia="Palatino Linotype" w:hAnsi="Palatino Linotype" w:cs="Palatino Linotype"/>
                <w:color w:val="000000"/>
                <w:sz w:val="22"/>
                <w:szCs w:val="22"/>
              </w:rPr>
              <w:t>SEXTO. Decisión</w:t>
            </w:r>
            <w:r w:rsidRPr="006832F0">
              <w:rPr>
                <w:rFonts w:ascii="Palatino Linotype" w:eastAsia="Palatino Linotype" w:hAnsi="Palatino Linotype" w:cs="Palatino Linotype"/>
                <w:color w:val="000000"/>
                <w:sz w:val="22"/>
                <w:szCs w:val="22"/>
              </w:rPr>
              <w:tab/>
              <w:t>22</w:t>
            </w:r>
          </w:hyperlink>
        </w:p>
        <w:p w14:paraId="6D1B4A95" w14:textId="77777777" w:rsidR="00CC2C62" w:rsidRPr="006832F0" w:rsidRDefault="00CC2C62">
          <w:pPr>
            <w:pBdr>
              <w:top w:val="nil"/>
              <w:left w:val="nil"/>
              <w:bottom w:val="nil"/>
              <w:right w:val="nil"/>
              <w:between w:val="nil"/>
            </w:pBdr>
            <w:tabs>
              <w:tab w:val="right" w:pos="9034"/>
            </w:tabs>
            <w:spacing w:line="360" w:lineRule="auto"/>
            <w:jc w:val="both"/>
            <w:rPr>
              <w:rFonts w:ascii="Palatino Linotype" w:eastAsia="Palatino Linotype" w:hAnsi="Palatino Linotype" w:cs="Palatino Linotype"/>
              <w:color w:val="000000"/>
              <w:sz w:val="22"/>
              <w:szCs w:val="22"/>
            </w:rPr>
          </w:pPr>
          <w:hyperlink w:anchor="_heading=h.7xbrnj395m38">
            <w:r w:rsidRPr="006832F0">
              <w:rPr>
                <w:rFonts w:ascii="Palatino Linotype" w:eastAsia="Palatino Linotype" w:hAnsi="Palatino Linotype" w:cs="Palatino Linotype"/>
                <w:color w:val="000000"/>
                <w:sz w:val="22"/>
                <w:szCs w:val="22"/>
              </w:rPr>
              <w:t>R E S U E L V E</w:t>
            </w:r>
            <w:r w:rsidRPr="006832F0">
              <w:rPr>
                <w:rFonts w:ascii="Palatino Linotype" w:eastAsia="Palatino Linotype" w:hAnsi="Palatino Linotype" w:cs="Palatino Linotype"/>
                <w:color w:val="000000"/>
                <w:sz w:val="22"/>
                <w:szCs w:val="22"/>
              </w:rPr>
              <w:tab/>
              <w:t>22</w:t>
            </w:r>
          </w:hyperlink>
        </w:p>
        <w:p w14:paraId="4B092651" w14:textId="77777777" w:rsidR="00CC2C62" w:rsidRPr="006832F0" w:rsidRDefault="00000000">
          <w:pPr>
            <w:spacing w:line="360" w:lineRule="auto"/>
            <w:jc w:val="both"/>
          </w:pPr>
          <w:r w:rsidRPr="006832F0">
            <w:fldChar w:fldCharType="end"/>
          </w:r>
        </w:p>
      </w:sdtContent>
    </w:sdt>
    <w:p w14:paraId="390FC053"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2C521442"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63DFF53A"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21CF9654"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33C6C957"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6C26EA9D"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lastRenderedPageBreak/>
        <w:t xml:space="preserve">Resolución del Pleno del Instituto de Transparencia, Acceso a la Información Pública y </w:t>
      </w:r>
      <w:r w:rsidRPr="006832F0">
        <w:rPr>
          <w:rFonts w:ascii="Palatino Linotype" w:eastAsia="Palatino Linotype" w:hAnsi="Palatino Linotype" w:cs="Palatino Linotype"/>
          <w:sz w:val="22"/>
          <w:szCs w:val="22"/>
        </w:rPr>
        <w:t xml:space="preserve">Protección de Datos Personales del Estado de México y Municipios, con domicilio en Metepec, Estado de México, de fecha veinticinco de febrero de dos mil veintiséis. </w:t>
      </w:r>
    </w:p>
    <w:p w14:paraId="2C038B56"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1F05374A"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b/>
          <w:bCs/>
          <w:color w:val="000000"/>
          <w:sz w:val="22"/>
          <w:szCs w:val="22"/>
        </w:rPr>
        <w:t xml:space="preserve">VISTO </w:t>
      </w:r>
      <w:r w:rsidRPr="006832F0">
        <w:rPr>
          <w:rFonts w:ascii="Palatino Linotype" w:eastAsia="Palatino Linotype" w:hAnsi="Palatino Linotype" w:cs="Palatino Linotype"/>
          <w:color w:val="000000"/>
          <w:sz w:val="22"/>
          <w:szCs w:val="22"/>
        </w:rPr>
        <w:t xml:space="preserve">el expediente conformado con motivo del Recurso de Revisión </w:t>
      </w:r>
      <w:r w:rsidRPr="00E17C34">
        <w:rPr>
          <w:rFonts w:ascii="Palatino Linotype" w:eastAsia="Palatino Linotype" w:hAnsi="Palatino Linotype" w:cs="Palatino Linotype"/>
          <w:b/>
          <w:bCs/>
          <w:color w:val="000000"/>
          <w:sz w:val="22"/>
          <w:szCs w:val="22"/>
        </w:rPr>
        <w:t>12121/INFOEM/ICR-77/IP/RR/2025</w:t>
      </w:r>
      <w:r w:rsidRPr="006832F0">
        <w:rPr>
          <w:rFonts w:ascii="Palatino Linotype" w:eastAsia="Palatino Linotype" w:hAnsi="Palatino Linotype" w:cs="Palatino Linotype"/>
          <w:color w:val="000000"/>
          <w:sz w:val="22"/>
          <w:szCs w:val="22"/>
        </w:rPr>
        <w:t xml:space="preserve">, interpuesto por la persona </w:t>
      </w:r>
      <w:r w:rsidRPr="006832F0">
        <w:rPr>
          <w:rFonts w:ascii="Palatino Linotype" w:eastAsia="Palatino Linotype" w:hAnsi="Palatino Linotype" w:cs="Palatino Linotype"/>
          <w:color w:val="0D0D0D"/>
          <w:sz w:val="22"/>
          <w:szCs w:val="22"/>
        </w:rPr>
        <w:t>Recurrente o Particular</w:t>
      </w:r>
      <w:r w:rsidRPr="006832F0">
        <w:rPr>
          <w:rFonts w:ascii="Palatino Linotype" w:eastAsia="Palatino Linotype" w:hAnsi="Palatino Linotype" w:cs="Palatino Linotype"/>
          <w:color w:val="000000"/>
          <w:sz w:val="22"/>
          <w:szCs w:val="22"/>
        </w:rPr>
        <w:t xml:space="preserve">, en contra de la respuesta del Sujeto Obligado, </w:t>
      </w:r>
      <w:r w:rsidRPr="00E17C34">
        <w:rPr>
          <w:rFonts w:ascii="Palatino Linotype" w:eastAsia="Palatino Linotype" w:hAnsi="Palatino Linotype" w:cs="Palatino Linotype"/>
          <w:b/>
          <w:bCs/>
          <w:color w:val="000000"/>
          <w:sz w:val="22"/>
          <w:szCs w:val="22"/>
        </w:rPr>
        <w:t>Ayuntamiento de Almoloya de Juárez</w:t>
      </w:r>
      <w:r w:rsidRPr="006832F0">
        <w:rPr>
          <w:rFonts w:ascii="Palatino Linotype" w:eastAsia="Palatino Linotype" w:hAnsi="Palatino Linotype" w:cs="Palatino Linotype"/>
          <w:color w:val="000000"/>
          <w:sz w:val="22"/>
          <w:szCs w:val="22"/>
        </w:rPr>
        <w:t>, a la solicitud de acceso a la información pública 00415/ALMOJU/IP/2025, entregada en cumplimiento a la determinación del diverso con número 12121/INFOEM/IP/RR/2025, se emite la presente Resolución, con base en los Antecedentes y Considerandos que a continuación se exponen:</w:t>
      </w:r>
    </w:p>
    <w:p w14:paraId="2626CB94" w14:textId="77777777" w:rsidR="00CC2C62" w:rsidRPr="006832F0" w:rsidRDefault="00CC2C62">
      <w:pPr>
        <w:pStyle w:val="Subttulo"/>
        <w:spacing w:after="0" w:line="360" w:lineRule="auto"/>
      </w:pPr>
    </w:p>
    <w:p w14:paraId="395CC15C" w14:textId="77777777" w:rsidR="00CC2C62" w:rsidRPr="006832F0" w:rsidRDefault="00000000">
      <w:pPr>
        <w:pStyle w:val="Ttulo1"/>
      </w:pPr>
      <w:bookmarkStart w:id="0" w:name="_heading=h.dr1uxsrj2b29" w:colFirst="0" w:colLast="0"/>
      <w:bookmarkEnd w:id="0"/>
      <w:r w:rsidRPr="006832F0">
        <w:t>A N T E C E D E N T E S</w:t>
      </w:r>
    </w:p>
    <w:p w14:paraId="3672C309" w14:textId="77777777" w:rsidR="00CC2C62" w:rsidRPr="006832F0" w:rsidRDefault="00CC2C62">
      <w:pPr>
        <w:pBdr>
          <w:top w:val="nil"/>
          <w:left w:val="nil"/>
          <w:bottom w:val="nil"/>
          <w:right w:val="nil"/>
          <w:between w:val="nil"/>
        </w:pBdr>
        <w:spacing w:line="360" w:lineRule="auto"/>
        <w:rPr>
          <w:rFonts w:ascii="Palatino Linotype" w:eastAsia="Palatino Linotype" w:hAnsi="Palatino Linotype" w:cs="Palatino Linotype"/>
          <w:b/>
          <w:bCs/>
          <w:color w:val="000000"/>
          <w:sz w:val="22"/>
          <w:szCs w:val="22"/>
        </w:rPr>
      </w:pPr>
    </w:p>
    <w:p w14:paraId="6BB0F739" w14:textId="77777777" w:rsidR="00CC2C62" w:rsidRPr="006832F0" w:rsidRDefault="00000000">
      <w:pPr>
        <w:pStyle w:val="Ttulo2"/>
      </w:pPr>
      <w:bookmarkStart w:id="1" w:name="_heading=h.mg8auwb930cw" w:colFirst="0" w:colLast="0"/>
      <w:bookmarkEnd w:id="1"/>
      <w:r w:rsidRPr="006832F0">
        <w:t>I. Presentación de la solicitud de información</w:t>
      </w:r>
    </w:p>
    <w:p w14:paraId="7F09466E" w14:textId="77777777" w:rsidR="00CC2C62" w:rsidRPr="006832F0" w:rsidRDefault="00CC2C62">
      <w:pPr>
        <w:tabs>
          <w:tab w:val="left" w:pos="567"/>
        </w:tabs>
        <w:spacing w:line="360" w:lineRule="auto"/>
        <w:jc w:val="both"/>
        <w:rPr>
          <w:rFonts w:ascii="Palatino Linotype" w:eastAsia="Palatino Linotype" w:hAnsi="Palatino Linotype" w:cs="Palatino Linotype"/>
          <w:sz w:val="22"/>
          <w:szCs w:val="22"/>
        </w:rPr>
      </w:pPr>
    </w:p>
    <w:p w14:paraId="21DFEC90"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El veintitrés de septiembre de dos mil veinticinco</w:t>
      </w:r>
      <w:r w:rsidRPr="006832F0">
        <w:rPr>
          <w:rFonts w:ascii="Palatino Linotype" w:eastAsia="Palatino Linotype" w:hAnsi="Palatino Linotype" w:cs="Palatino Linotype"/>
          <w:sz w:val="22"/>
          <w:szCs w:val="22"/>
        </w:rPr>
        <w:t>, el Particular presentó una solicitud de acceso a la información pública, a través del Sistema de Acceso a la Información Mexiquense (SAIMEX), ante el Ayuntamiento de Almoloya de Juárez, en los siguientes términos:</w:t>
      </w:r>
    </w:p>
    <w:p w14:paraId="26831ADE"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0EAA863A" w14:textId="77777777" w:rsidR="00CC2C62" w:rsidRPr="006832F0" w:rsidRDefault="00000000">
      <w:pPr>
        <w:tabs>
          <w:tab w:val="left" w:pos="4667"/>
        </w:tabs>
        <w:spacing w:line="360" w:lineRule="auto"/>
        <w:ind w:left="567" w:right="567"/>
        <w:jc w:val="both"/>
        <w:rPr>
          <w:rFonts w:ascii="Palatino Linotype" w:eastAsia="Palatino Linotype" w:hAnsi="Palatino Linotype" w:cs="Palatino Linotype"/>
          <w:b/>
          <w:bCs/>
          <w:i/>
          <w:iCs/>
        </w:rPr>
      </w:pPr>
      <w:r w:rsidRPr="006832F0">
        <w:rPr>
          <w:rFonts w:ascii="Palatino Linotype" w:eastAsia="Palatino Linotype" w:hAnsi="Palatino Linotype" w:cs="Palatino Linotype"/>
          <w:b/>
          <w:bCs/>
          <w:i/>
          <w:iCs/>
        </w:rPr>
        <w:t>“DESCRIPCIÓN CLARA Y PRECISA DE LA INFORMACIÓN SOLICITADA</w:t>
      </w:r>
    </w:p>
    <w:p w14:paraId="3EEC0ECD" w14:textId="77777777" w:rsidR="00CC2C62" w:rsidRPr="006832F0" w:rsidRDefault="00000000">
      <w:pPr>
        <w:tabs>
          <w:tab w:val="left" w:pos="4667"/>
        </w:tabs>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i/>
          <w:iCs/>
        </w:rPr>
        <w:t xml:space="preserve">La nómina o las remuneraciones del personal que integra la administración municipal en los términos del artículo 92 Fracción VIII A DE LA LEY DE TRANSPARENCIA Y ACCESO A LA INFORMACIÓN PÚBLICA DEL Estado de MÉXICO. Tal y como debe aparecer en el portal </w:t>
      </w:r>
      <w:proofErr w:type="spellStart"/>
      <w:r w:rsidRPr="006832F0">
        <w:rPr>
          <w:rFonts w:ascii="Palatino Linotype" w:eastAsia="Palatino Linotype" w:hAnsi="Palatino Linotype" w:cs="Palatino Linotype"/>
          <w:i/>
          <w:iCs/>
        </w:rPr>
        <w:t>ipomex</w:t>
      </w:r>
      <w:proofErr w:type="spellEnd"/>
      <w:r w:rsidRPr="006832F0">
        <w:rPr>
          <w:rFonts w:ascii="Palatino Linotype" w:eastAsia="Palatino Linotype" w:hAnsi="Palatino Linotype" w:cs="Palatino Linotype"/>
          <w:i/>
          <w:iCs/>
        </w:rPr>
        <w:t>” (Sic.)</w:t>
      </w:r>
    </w:p>
    <w:p w14:paraId="01009D00" w14:textId="77777777" w:rsidR="00CC2C62" w:rsidRPr="006832F0" w:rsidRDefault="00000000">
      <w:pPr>
        <w:spacing w:line="360" w:lineRule="auto"/>
        <w:ind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i/>
          <w:iCs/>
        </w:rPr>
        <w:t xml:space="preserve">  </w:t>
      </w:r>
    </w:p>
    <w:p w14:paraId="0F93CA44" w14:textId="77777777" w:rsidR="00CC2C62" w:rsidRPr="006832F0" w:rsidRDefault="00000000">
      <w:pPr>
        <w:spacing w:line="360" w:lineRule="auto"/>
        <w:ind w:left="567" w:right="567"/>
        <w:jc w:val="both"/>
        <w:rPr>
          <w:rFonts w:ascii="Palatino Linotype" w:eastAsia="Palatino Linotype" w:hAnsi="Palatino Linotype" w:cs="Palatino Linotype"/>
          <w:b/>
          <w:bCs/>
          <w:i/>
          <w:iCs/>
        </w:rPr>
      </w:pPr>
      <w:r w:rsidRPr="006832F0">
        <w:rPr>
          <w:rFonts w:ascii="Palatino Linotype" w:eastAsia="Palatino Linotype" w:hAnsi="Palatino Linotype" w:cs="Palatino Linotype"/>
          <w:b/>
          <w:bCs/>
          <w:i/>
          <w:iCs/>
        </w:rPr>
        <w:t>“MODALIDAD DE ENTREGA</w:t>
      </w:r>
    </w:p>
    <w:p w14:paraId="33C34E33"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i/>
          <w:iCs/>
        </w:rPr>
        <w:lastRenderedPageBreak/>
        <w:t>A través del SAIMEX”</w:t>
      </w:r>
    </w:p>
    <w:p w14:paraId="669BC20B" w14:textId="77777777" w:rsidR="00CC2C62" w:rsidRPr="006832F0" w:rsidRDefault="00CC2C62">
      <w:pPr>
        <w:spacing w:line="360" w:lineRule="auto"/>
        <w:jc w:val="both"/>
        <w:rPr>
          <w:rFonts w:ascii="Palatino Linotype" w:eastAsia="Palatino Linotype" w:hAnsi="Palatino Linotype" w:cs="Palatino Linotype"/>
          <w:b/>
          <w:bCs/>
          <w:color w:val="FF0000"/>
          <w:sz w:val="22"/>
          <w:szCs w:val="22"/>
        </w:rPr>
      </w:pPr>
    </w:p>
    <w:p w14:paraId="00701B72" w14:textId="77777777" w:rsidR="00CC2C62" w:rsidRPr="006832F0" w:rsidRDefault="00000000">
      <w:pPr>
        <w:keepNext/>
        <w:keepLines/>
        <w:spacing w:line="360" w:lineRule="auto"/>
        <w:jc w:val="both"/>
        <w:rPr>
          <w:rFonts w:ascii="Palatino Linotype" w:eastAsia="Palatino Linotype" w:hAnsi="Palatino Linotype" w:cs="Palatino Linotype"/>
          <w:b/>
          <w:bCs/>
          <w:sz w:val="22"/>
          <w:szCs w:val="22"/>
        </w:rPr>
      </w:pPr>
      <w:bookmarkStart w:id="2" w:name="_heading=h.keeq2l43avu4" w:colFirst="0" w:colLast="0"/>
      <w:bookmarkEnd w:id="2"/>
      <w:r w:rsidRPr="006832F0">
        <w:rPr>
          <w:rFonts w:ascii="Palatino Linotype" w:eastAsia="Palatino Linotype" w:hAnsi="Palatino Linotype" w:cs="Palatino Linotype"/>
          <w:b/>
          <w:bCs/>
          <w:sz w:val="22"/>
          <w:szCs w:val="22"/>
        </w:rPr>
        <w:t>II. Respuesta del Sujeto Obligado</w:t>
      </w:r>
    </w:p>
    <w:p w14:paraId="67D98E5F" w14:textId="77777777" w:rsidR="00CC2C62" w:rsidRPr="006832F0" w:rsidRDefault="00CC2C62">
      <w:pPr>
        <w:spacing w:line="360" w:lineRule="auto"/>
        <w:jc w:val="both"/>
        <w:rPr>
          <w:rFonts w:ascii="Palatino Linotype" w:eastAsia="Palatino Linotype" w:hAnsi="Palatino Linotype" w:cs="Palatino Linotype"/>
          <w:b/>
          <w:bCs/>
          <w:sz w:val="22"/>
          <w:szCs w:val="22"/>
        </w:rPr>
      </w:pPr>
    </w:p>
    <w:p w14:paraId="2037C7EE"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De conformidad con el artículo 163, párrafo primero de la Ley de Transparencia y Acceso a</w:t>
      </w:r>
    </w:p>
    <w:p w14:paraId="16FDA63E" w14:textId="77777777" w:rsidR="00CC2C62" w:rsidRPr="006832F0" w:rsidRDefault="00000000">
      <w:pPr>
        <w:tabs>
          <w:tab w:val="left" w:pos="4667"/>
        </w:tabs>
        <w:spacing w:line="360" w:lineRule="auto"/>
        <w:jc w:val="both"/>
        <w:rPr>
          <w:rFonts w:ascii="Palatino Linotype" w:eastAsia="Palatino Linotype" w:hAnsi="Palatino Linotype" w:cs="Palatino Linotype"/>
          <w:b/>
          <w:bCs/>
          <w:sz w:val="22"/>
          <w:szCs w:val="22"/>
        </w:rPr>
      </w:pPr>
      <w:r w:rsidRPr="006832F0">
        <w:rPr>
          <w:rFonts w:ascii="Palatino Linotype" w:eastAsia="Palatino Linotype" w:hAnsi="Palatino Linotype" w:cs="Palatino Linotype"/>
          <w:color w:val="000000"/>
          <w:sz w:val="22"/>
          <w:szCs w:val="22"/>
        </w:rPr>
        <w:t>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sidRPr="006832F0">
        <w:rPr>
          <w:rFonts w:ascii="Palatino Linotype" w:eastAsia="Palatino Linotype" w:hAnsi="Palatino Linotype" w:cs="Palatino Linotype"/>
          <w:b/>
          <w:bCs/>
          <w:sz w:val="22"/>
          <w:szCs w:val="22"/>
        </w:rPr>
        <w:t xml:space="preserve"> Ayuntamiento de Almoloya de Juárez</w:t>
      </w:r>
      <w:r w:rsidRPr="006832F0">
        <w:rPr>
          <w:rFonts w:ascii="Palatino Linotype" w:eastAsia="Palatino Linotype" w:hAnsi="Palatino Linotype" w:cs="Palatino Linotype"/>
          <w:color w:val="000000"/>
          <w:sz w:val="22"/>
          <w:szCs w:val="22"/>
        </w:rPr>
        <w:t xml:space="preserve">, omitió dar respuesta a la solicitud de información, por lo que se </w:t>
      </w:r>
      <w:r w:rsidRPr="006832F0">
        <w:rPr>
          <w:rFonts w:ascii="Palatino Linotype" w:eastAsia="Palatino Linotype" w:hAnsi="Palatino Linotype" w:cs="Palatino Linotype"/>
          <w:b/>
          <w:bCs/>
          <w:color w:val="000000"/>
          <w:sz w:val="22"/>
          <w:szCs w:val="22"/>
        </w:rPr>
        <w:t>configura la negativa ficta</w:t>
      </w:r>
      <w:r w:rsidRPr="006832F0">
        <w:rPr>
          <w:rFonts w:ascii="Palatino Linotype" w:eastAsia="Palatino Linotype" w:hAnsi="Palatino Linotype" w:cs="Palatino Linotype"/>
          <w:color w:val="000000"/>
          <w:sz w:val="22"/>
          <w:szCs w:val="22"/>
        </w:rPr>
        <w:t xml:space="preserve"> a entregar información, prevista, en los artículos 166, párrafo cuarto y 178, párrafo segundo de la Ley de Transparencia y Acceso a la Información Pública del Estado de México y Municipios</w:t>
      </w:r>
      <w:r w:rsidRPr="006832F0">
        <w:rPr>
          <w:rFonts w:ascii="Palatino Linotype" w:eastAsia="Palatino Linotype" w:hAnsi="Palatino Linotype" w:cs="Palatino Linotype"/>
          <w:sz w:val="22"/>
          <w:szCs w:val="22"/>
        </w:rPr>
        <w:t>.</w:t>
      </w:r>
    </w:p>
    <w:p w14:paraId="1BDF5585" w14:textId="77777777" w:rsidR="00CC2C62" w:rsidRPr="006832F0" w:rsidRDefault="00CC2C62">
      <w:pPr>
        <w:spacing w:line="360" w:lineRule="auto"/>
        <w:jc w:val="both"/>
        <w:rPr>
          <w:rFonts w:ascii="Palatino Linotype" w:eastAsia="Palatino Linotype" w:hAnsi="Palatino Linotype" w:cs="Palatino Linotype"/>
          <w:b/>
          <w:bCs/>
          <w:sz w:val="22"/>
          <w:szCs w:val="22"/>
        </w:rPr>
      </w:pPr>
    </w:p>
    <w:p w14:paraId="61E07D3F" w14:textId="77777777" w:rsidR="00CC2C62" w:rsidRPr="006832F0" w:rsidRDefault="00000000">
      <w:pPr>
        <w:keepNext/>
        <w:keepLines/>
        <w:spacing w:line="360" w:lineRule="auto"/>
        <w:jc w:val="both"/>
        <w:rPr>
          <w:rFonts w:ascii="Palatino Linotype" w:eastAsia="Palatino Linotype" w:hAnsi="Palatino Linotype" w:cs="Palatino Linotype"/>
          <w:b/>
          <w:bCs/>
          <w:sz w:val="22"/>
          <w:szCs w:val="22"/>
        </w:rPr>
      </w:pPr>
      <w:bookmarkStart w:id="3" w:name="_heading=h.r2wxse1l1s5h" w:colFirst="0" w:colLast="0"/>
      <w:bookmarkEnd w:id="3"/>
      <w:r w:rsidRPr="006832F0">
        <w:rPr>
          <w:rFonts w:ascii="Palatino Linotype" w:eastAsia="Palatino Linotype" w:hAnsi="Palatino Linotype" w:cs="Palatino Linotype"/>
          <w:b/>
          <w:bCs/>
          <w:sz w:val="22"/>
          <w:szCs w:val="22"/>
        </w:rPr>
        <w:t xml:space="preserve">III. Interposición del Recurso de Revisión </w:t>
      </w:r>
    </w:p>
    <w:p w14:paraId="7C31C0FC" w14:textId="77777777" w:rsidR="00CC2C62" w:rsidRPr="006832F0" w:rsidRDefault="00CC2C62">
      <w:pPr>
        <w:spacing w:line="360" w:lineRule="auto"/>
        <w:jc w:val="both"/>
        <w:rPr>
          <w:rFonts w:ascii="Palatino Linotype" w:eastAsia="Palatino Linotype" w:hAnsi="Palatino Linotype" w:cs="Palatino Linotype"/>
          <w:color w:val="FF0000"/>
          <w:sz w:val="22"/>
          <w:szCs w:val="22"/>
        </w:rPr>
      </w:pPr>
    </w:p>
    <w:p w14:paraId="1BC5815B"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color w:val="000000"/>
          <w:sz w:val="22"/>
          <w:szCs w:val="22"/>
        </w:rPr>
        <w:t>El veintidós de octubre de dos mil veinticinco, el Particular interpuso un Recurso de Revisión ante este Instituto, a través del Sistema de Acceso a la Información Mexiquense (SAIMEX), en contra de la falta de respuesta por el</w:t>
      </w:r>
      <w:r w:rsidRPr="006832F0">
        <w:rPr>
          <w:rFonts w:ascii="Palatino Linotype" w:eastAsia="Palatino Linotype" w:hAnsi="Palatino Linotype" w:cs="Palatino Linotype"/>
          <w:sz w:val="22"/>
          <w:szCs w:val="22"/>
        </w:rPr>
        <w:t xml:space="preserve"> Sujeto Obligado</w:t>
      </w:r>
      <w:r w:rsidRPr="006832F0">
        <w:rPr>
          <w:rFonts w:ascii="Palatino Linotype" w:eastAsia="Palatino Linotype" w:hAnsi="Palatino Linotype" w:cs="Palatino Linotype"/>
          <w:color w:val="000000"/>
          <w:sz w:val="22"/>
          <w:szCs w:val="22"/>
        </w:rPr>
        <w:t xml:space="preserve">, a la solicitud de información, en los siguientes términos: </w:t>
      </w:r>
    </w:p>
    <w:p w14:paraId="030032A4"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39A361FE" w14:textId="77777777" w:rsidR="00CC2C62" w:rsidRPr="006832F0" w:rsidRDefault="00000000">
      <w:pPr>
        <w:spacing w:line="360" w:lineRule="auto"/>
        <w:ind w:left="567" w:right="567"/>
        <w:jc w:val="both"/>
        <w:rPr>
          <w:rFonts w:ascii="Palatino Linotype" w:eastAsia="Palatino Linotype" w:hAnsi="Palatino Linotype" w:cs="Palatino Linotype"/>
          <w:i/>
          <w:iCs/>
          <w:color w:val="000000"/>
        </w:rPr>
      </w:pPr>
      <w:r w:rsidRPr="006832F0">
        <w:rPr>
          <w:rFonts w:ascii="Palatino Linotype" w:eastAsia="Palatino Linotype" w:hAnsi="Palatino Linotype" w:cs="Palatino Linotype"/>
          <w:b/>
          <w:bCs/>
          <w:i/>
          <w:iCs/>
          <w:color w:val="000000"/>
        </w:rPr>
        <w:t>“ACTO IMPUGNADO</w:t>
      </w:r>
    </w:p>
    <w:p w14:paraId="4BF331C1" w14:textId="77777777" w:rsidR="00CC2C62" w:rsidRPr="006832F0" w:rsidRDefault="00000000">
      <w:pPr>
        <w:spacing w:line="360" w:lineRule="auto"/>
        <w:ind w:left="567" w:right="567"/>
        <w:jc w:val="both"/>
        <w:rPr>
          <w:rFonts w:ascii="Palatino Linotype" w:eastAsia="Palatino Linotype" w:hAnsi="Palatino Linotype" w:cs="Palatino Linotype"/>
          <w:i/>
          <w:iCs/>
          <w:color w:val="000000"/>
        </w:rPr>
      </w:pPr>
      <w:r w:rsidRPr="006832F0">
        <w:rPr>
          <w:rFonts w:ascii="Palatino Linotype" w:eastAsia="Palatino Linotype" w:hAnsi="Palatino Linotype" w:cs="Palatino Linotype"/>
          <w:i/>
          <w:iCs/>
          <w:color w:val="000000"/>
        </w:rPr>
        <w:t>La falta de respuesta a la solicitud presentada” (Sic.)</w:t>
      </w:r>
    </w:p>
    <w:p w14:paraId="4BC899D8" w14:textId="77777777" w:rsidR="00CC2C62" w:rsidRPr="006832F0" w:rsidRDefault="00CC2C62">
      <w:pPr>
        <w:spacing w:line="360" w:lineRule="auto"/>
        <w:ind w:left="567" w:right="567"/>
        <w:jc w:val="both"/>
        <w:rPr>
          <w:rFonts w:ascii="Palatino Linotype" w:eastAsia="Palatino Linotype" w:hAnsi="Palatino Linotype" w:cs="Palatino Linotype"/>
          <w:i/>
          <w:iCs/>
          <w:color w:val="000000"/>
        </w:rPr>
      </w:pPr>
    </w:p>
    <w:p w14:paraId="69C2E06A" w14:textId="77777777" w:rsidR="00CC2C62" w:rsidRPr="006832F0" w:rsidRDefault="00000000">
      <w:pPr>
        <w:spacing w:line="360" w:lineRule="auto"/>
        <w:ind w:left="567" w:right="567"/>
        <w:rPr>
          <w:rFonts w:ascii="Palatino Linotype" w:eastAsia="Palatino Linotype" w:hAnsi="Palatino Linotype" w:cs="Palatino Linotype"/>
          <w:b/>
          <w:bCs/>
          <w:i/>
          <w:iCs/>
        </w:rPr>
      </w:pPr>
      <w:r w:rsidRPr="006832F0">
        <w:rPr>
          <w:rFonts w:ascii="Palatino Linotype" w:eastAsia="Palatino Linotype" w:hAnsi="Palatino Linotype" w:cs="Palatino Linotype"/>
          <w:b/>
          <w:bCs/>
          <w:i/>
          <w:iCs/>
        </w:rPr>
        <w:t>“RAZONES O MOTIVOS DE LA INCONFORMIDAD</w:t>
      </w:r>
    </w:p>
    <w:p w14:paraId="74282064" w14:textId="77777777" w:rsidR="00CC2C62" w:rsidRPr="006832F0" w:rsidRDefault="00000000">
      <w:pPr>
        <w:spacing w:line="360" w:lineRule="auto"/>
        <w:ind w:left="567" w:right="567"/>
        <w:jc w:val="both"/>
        <w:rPr>
          <w:rFonts w:ascii="Palatino Linotype" w:eastAsia="Palatino Linotype" w:hAnsi="Palatino Linotype" w:cs="Palatino Linotype"/>
          <w:i/>
          <w:iCs/>
          <w:color w:val="000000"/>
        </w:rPr>
      </w:pPr>
      <w:r w:rsidRPr="006832F0">
        <w:rPr>
          <w:rFonts w:ascii="Palatino Linotype" w:eastAsia="Palatino Linotype" w:hAnsi="Palatino Linotype" w:cs="Palatino Linotype"/>
          <w:i/>
          <w:iCs/>
          <w:color w:val="000000"/>
        </w:rPr>
        <w:t>No se dio respuesta a la solicitud” (Sic.)</w:t>
      </w:r>
    </w:p>
    <w:p w14:paraId="426F8D05" w14:textId="77777777" w:rsidR="00CC2C62" w:rsidRPr="006832F0" w:rsidRDefault="00CC2C62">
      <w:pPr>
        <w:spacing w:line="360" w:lineRule="auto"/>
        <w:jc w:val="both"/>
        <w:rPr>
          <w:rFonts w:ascii="Palatino Linotype" w:eastAsia="Palatino Linotype" w:hAnsi="Palatino Linotype" w:cs="Palatino Linotype"/>
          <w:color w:val="FF0000"/>
          <w:sz w:val="22"/>
          <w:szCs w:val="22"/>
        </w:rPr>
      </w:pPr>
    </w:p>
    <w:p w14:paraId="4C81D9D9" w14:textId="77777777" w:rsidR="00CC2C62" w:rsidRPr="006832F0" w:rsidRDefault="00000000">
      <w:pPr>
        <w:keepNext/>
        <w:keepLines/>
        <w:spacing w:line="360" w:lineRule="auto"/>
        <w:jc w:val="both"/>
        <w:rPr>
          <w:rFonts w:ascii="Palatino Linotype" w:eastAsia="Palatino Linotype" w:hAnsi="Palatino Linotype" w:cs="Palatino Linotype"/>
          <w:b/>
          <w:bCs/>
          <w:sz w:val="22"/>
          <w:szCs w:val="22"/>
        </w:rPr>
      </w:pPr>
      <w:bookmarkStart w:id="4" w:name="_heading=h.i9lm8oqzbt78" w:colFirst="0" w:colLast="0"/>
      <w:bookmarkEnd w:id="4"/>
      <w:r w:rsidRPr="006832F0">
        <w:rPr>
          <w:rFonts w:ascii="Palatino Linotype" w:eastAsia="Palatino Linotype" w:hAnsi="Palatino Linotype" w:cs="Palatino Linotype"/>
          <w:b/>
          <w:bCs/>
          <w:sz w:val="22"/>
          <w:szCs w:val="22"/>
        </w:rPr>
        <w:lastRenderedPageBreak/>
        <w:t>IV. Trámite de los Recursos de Revisión ante este Instituto</w:t>
      </w:r>
    </w:p>
    <w:p w14:paraId="2C8F3C4A" w14:textId="77777777" w:rsidR="00CC2C62" w:rsidRPr="006832F0" w:rsidRDefault="00CC2C62">
      <w:pPr>
        <w:spacing w:line="360" w:lineRule="auto"/>
        <w:jc w:val="both"/>
        <w:rPr>
          <w:rFonts w:ascii="Palatino Linotype" w:eastAsia="Palatino Linotype" w:hAnsi="Palatino Linotype" w:cs="Palatino Linotype"/>
          <w:b/>
          <w:bCs/>
          <w:color w:val="FF0000"/>
          <w:sz w:val="22"/>
          <w:szCs w:val="22"/>
        </w:rPr>
      </w:pPr>
    </w:p>
    <w:p w14:paraId="0E08B04A"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b/>
          <w:bCs/>
          <w:color w:val="000000"/>
          <w:sz w:val="22"/>
          <w:szCs w:val="22"/>
        </w:rPr>
        <w:t xml:space="preserve">a) Turno del Recurso de Revisión. </w:t>
      </w:r>
      <w:r w:rsidRPr="006832F0">
        <w:rPr>
          <w:rFonts w:ascii="Palatino Linotype" w:eastAsia="Palatino Linotype" w:hAnsi="Palatino Linotype" w:cs="Palatino Linotype"/>
          <w:color w:val="000000"/>
          <w:sz w:val="22"/>
          <w:szCs w:val="22"/>
        </w:rPr>
        <w:t xml:space="preserve">El veintidós de octubre de dos mil veinticinco, el Sistema de Acceso a la Información Mexiquense (SAIMEX), asignó el número de expediente </w:t>
      </w:r>
      <w:r w:rsidRPr="006832F0">
        <w:rPr>
          <w:rFonts w:ascii="Palatino Linotype" w:eastAsia="Palatino Linotype" w:hAnsi="Palatino Linotype" w:cs="Palatino Linotype"/>
          <w:b/>
          <w:bCs/>
          <w:color w:val="000000"/>
          <w:sz w:val="22"/>
          <w:szCs w:val="22"/>
        </w:rPr>
        <w:t>12121/INFOEM/IP/RR/2025</w:t>
      </w:r>
      <w:r w:rsidRPr="006832F0">
        <w:rPr>
          <w:rFonts w:ascii="Palatino Linotype" w:eastAsia="Palatino Linotype" w:hAnsi="Palatino Linotype" w:cs="Palatino Linotype"/>
          <w:color w:val="000000"/>
          <w:sz w:val="22"/>
          <w:szCs w:val="22"/>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7E5FAC58" w14:textId="77777777" w:rsidR="00CC2C62" w:rsidRPr="006832F0" w:rsidRDefault="00CC2C62">
      <w:pPr>
        <w:spacing w:line="360" w:lineRule="auto"/>
        <w:jc w:val="both"/>
        <w:rPr>
          <w:rFonts w:ascii="Palatino Linotype" w:eastAsia="Palatino Linotype" w:hAnsi="Palatino Linotype" w:cs="Palatino Linotype"/>
          <w:color w:val="FF0000"/>
          <w:sz w:val="22"/>
          <w:szCs w:val="22"/>
        </w:rPr>
      </w:pPr>
    </w:p>
    <w:p w14:paraId="3763A547"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b/>
          <w:bCs/>
          <w:color w:val="000000"/>
          <w:sz w:val="22"/>
          <w:szCs w:val="22"/>
        </w:rPr>
        <w:t xml:space="preserve">b) Admisión del Recurso de Revisión. </w:t>
      </w:r>
      <w:r w:rsidRPr="006832F0">
        <w:rPr>
          <w:rFonts w:ascii="Palatino Linotype" w:eastAsia="Palatino Linotype" w:hAnsi="Palatino Linotype" w:cs="Palatino Linotype"/>
          <w:color w:val="000000"/>
          <w:sz w:val="22"/>
          <w:szCs w:val="22"/>
        </w:rPr>
        <w:t>El veintisiete de octubre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04C871A2" w14:textId="77777777" w:rsidR="00CC2C62" w:rsidRPr="006832F0" w:rsidRDefault="00CC2C62">
      <w:pPr>
        <w:spacing w:line="360" w:lineRule="auto"/>
        <w:jc w:val="both"/>
        <w:rPr>
          <w:rFonts w:ascii="Palatino Linotype" w:eastAsia="Palatino Linotype" w:hAnsi="Palatino Linotype" w:cs="Palatino Linotype"/>
          <w:b/>
          <w:bCs/>
          <w:sz w:val="22"/>
          <w:szCs w:val="22"/>
        </w:rPr>
      </w:pPr>
    </w:p>
    <w:p w14:paraId="18BC095A"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b/>
          <w:bCs/>
          <w:sz w:val="22"/>
          <w:szCs w:val="22"/>
        </w:rPr>
        <w:t xml:space="preserve">c) Informe Justificado o manifestaciones. </w:t>
      </w:r>
      <w:r w:rsidRPr="006832F0">
        <w:rPr>
          <w:rFonts w:ascii="Palatino Linotype" w:eastAsia="Palatino Linotype" w:hAnsi="Palatino Linotype" w:cs="Palatino Linotype"/>
          <w:sz w:val="22"/>
          <w:szCs w:val="22"/>
        </w:rPr>
        <w:t>Las partes fueron omisas en emitir manifestaciones o alegatos.</w:t>
      </w:r>
    </w:p>
    <w:p w14:paraId="00BF8FB3" w14:textId="77777777" w:rsidR="00CC2C62" w:rsidRPr="006832F0" w:rsidRDefault="00CC2C62">
      <w:pPr>
        <w:spacing w:line="360" w:lineRule="auto"/>
        <w:jc w:val="both"/>
        <w:rPr>
          <w:rFonts w:ascii="Palatino Linotype" w:eastAsia="Palatino Linotype" w:hAnsi="Palatino Linotype" w:cs="Palatino Linotype"/>
          <w:b/>
          <w:bCs/>
          <w:color w:val="FF0000"/>
          <w:sz w:val="22"/>
          <w:szCs w:val="22"/>
        </w:rPr>
      </w:pPr>
    </w:p>
    <w:p w14:paraId="4FF87CE0" w14:textId="77777777" w:rsidR="00CC2C62" w:rsidRPr="006832F0" w:rsidRDefault="00000000">
      <w:pPr>
        <w:spacing w:line="360" w:lineRule="auto"/>
        <w:jc w:val="both"/>
        <w:rPr>
          <w:rFonts w:ascii="Palatino Linotype" w:eastAsia="Palatino Linotype" w:hAnsi="Palatino Linotype" w:cs="Palatino Linotype"/>
          <w:b/>
          <w:bCs/>
          <w:sz w:val="22"/>
          <w:szCs w:val="22"/>
        </w:rPr>
      </w:pPr>
      <w:r w:rsidRPr="006832F0">
        <w:rPr>
          <w:rFonts w:ascii="Palatino Linotype" w:eastAsia="Palatino Linotype" w:hAnsi="Palatino Linotype" w:cs="Palatino Linotype"/>
          <w:b/>
          <w:bCs/>
          <w:sz w:val="22"/>
          <w:szCs w:val="22"/>
        </w:rPr>
        <w:t xml:space="preserve">d) Cierre de instrucción. </w:t>
      </w:r>
      <w:r w:rsidRPr="006832F0">
        <w:rPr>
          <w:rFonts w:ascii="Palatino Linotype" w:eastAsia="Palatino Linotype" w:hAnsi="Palatino Linotype" w:cs="Palatino Linotype"/>
          <w:sz w:val="22"/>
          <w:szCs w:val="22"/>
        </w:rPr>
        <w:t xml:space="preserve">El seis de noviembre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0ADB75B8"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203FD8B5" w14:textId="77777777" w:rsidR="00CC2C62" w:rsidRPr="006832F0" w:rsidRDefault="00000000">
      <w:pPr>
        <w:spacing w:line="360" w:lineRule="auto"/>
        <w:jc w:val="both"/>
        <w:rPr>
          <w:rFonts w:ascii="Palatino Linotype" w:eastAsia="Palatino Linotype" w:hAnsi="Palatino Linotype" w:cs="Palatino Linotype"/>
          <w:b/>
          <w:bCs/>
          <w:sz w:val="22"/>
          <w:szCs w:val="22"/>
        </w:rPr>
      </w:pPr>
      <w:r w:rsidRPr="006832F0">
        <w:rPr>
          <w:rFonts w:ascii="Palatino Linotype" w:eastAsia="Palatino Linotype" w:hAnsi="Palatino Linotype" w:cs="Palatino Linotype"/>
          <w:b/>
          <w:bCs/>
          <w:sz w:val="22"/>
          <w:szCs w:val="22"/>
        </w:rPr>
        <w:t xml:space="preserve">e) Resolución del Recurso de Revisión 12946/INFOEM/IP/RR/2025. </w:t>
      </w:r>
      <w:r w:rsidRPr="006832F0">
        <w:rPr>
          <w:rFonts w:ascii="Palatino Linotype" w:eastAsia="Palatino Linotype" w:hAnsi="Palatino Linotype" w:cs="Palatino Linotype"/>
          <w:sz w:val="22"/>
          <w:szCs w:val="22"/>
        </w:rPr>
        <w:t>El doce de noviembre de dos mil veinticinco, el Pleno del Instituto de Transparencia, Accesos la Información Pública y Protección de Datos Personales del Estado de México y Municipios, durante la Cuadragésima Sesión Ordinaria, aprobó por Unanimidad de votos, la Resolución del Recurso de Revisión, en la cual se determinó lo siguiente:</w:t>
      </w:r>
    </w:p>
    <w:p w14:paraId="4C694875" w14:textId="77777777" w:rsidR="00CC2C62" w:rsidRPr="006832F0" w:rsidRDefault="00CC2C62">
      <w:pPr>
        <w:spacing w:line="360" w:lineRule="auto"/>
        <w:jc w:val="both"/>
        <w:rPr>
          <w:rFonts w:ascii="Palatino Linotype" w:eastAsia="Palatino Linotype" w:hAnsi="Palatino Linotype" w:cs="Palatino Linotype"/>
          <w:b/>
          <w:bCs/>
          <w:sz w:val="22"/>
          <w:szCs w:val="22"/>
        </w:rPr>
      </w:pPr>
    </w:p>
    <w:p w14:paraId="7E0D8CE3"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i/>
          <w:iCs/>
        </w:rPr>
        <w:t>“…</w:t>
      </w:r>
    </w:p>
    <w:p w14:paraId="68E2DF3E" w14:textId="77777777" w:rsidR="00CC2C62" w:rsidRPr="006832F0" w:rsidRDefault="00000000">
      <w:pPr>
        <w:spacing w:line="360" w:lineRule="auto"/>
        <w:ind w:left="567" w:right="567"/>
        <w:jc w:val="both"/>
        <w:rPr>
          <w:rFonts w:ascii="Palatino Linotype" w:eastAsia="Palatino Linotype" w:hAnsi="Palatino Linotype" w:cs="Palatino Linotype"/>
          <w:b/>
          <w:bCs/>
          <w:i/>
          <w:iCs/>
        </w:rPr>
      </w:pPr>
      <w:r w:rsidRPr="006832F0">
        <w:rPr>
          <w:rFonts w:ascii="Palatino Linotype" w:eastAsia="Palatino Linotype" w:hAnsi="Palatino Linotype" w:cs="Palatino Linotype"/>
          <w:b/>
          <w:bCs/>
          <w:i/>
          <w:iCs/>
        </w:rPr>
        <w:t xml:space="preserve">PRIMERO. </w:t>
      </w:r>
      <w:r w:rsidRPr="006832F0">
        <w:rPr>
          <w:rFonts w:ascii="Palatino Linotype" w:eastAsia="Palatino Linotype" w:hAnsi="Palatino Linotype" w:cs="Palatino Linotype"/>
          <w:i/>
          <w:iCs/>
        </w:rPr>
        <w:t xml:space="preserve">Resultan </w:t>
      </w:r>
      <w:r w:rsidRPr="006832F0">
        <w:rPr>
          <w:rFonts w:ascii="Palatino Linotype" w:eastAsia="Palatino Linotype" w:hAnsi="Palatino Linotype" w:cs="Palatino Linotype"/>
          <w:b/>
          <w:bCs/>
          <w:i/>
          <w:iCs/>
        </w:rPr>
        <w:t>FUNDADAS</w:t>
      </w:r>
      <w:r w:rsidRPr="006832F0">
        <w:rPr>
          <w:rFonts w:ascii="Palatino Linotype" w:eastAsia="Palatino Linotype" w:hAnsi="Palatino Linotype" w:cs="Palatino Linotype"/>
          <w:i/>
          <w:iCs/>
        </w:rPr>
        <w:t xml:space="preserve"> las razones o motivos de inconformidad hechos valer por el Particular en el Recurso de Revisión </w:t>
      </w:r>
      <w:r w:rsidRPr="006832F0">
        <w:rPr>
          <w:rFonts w:ascii="Palatino Linotype" w:eastAsia="Palatino Linotype" w:hAnsi="Palatino Linotype" w:cs="Palatino Linotype"/>
          <w:b/>
          <w:bCs/>
          <w:i/>
          <w:iCs/>
        </w:rPr>
        <w:t>12121/INFOEM/IP/RR/2025</w:t>
      </w:r>
      <w:r w:rsidRPr="006832F0">
        <w:rPr>
          <w:rFonts w:ascii="Palatino Linotype" w:eastAsia="Palatino Linotype" w:hAnsi="Palatino Linotype" w:cs="Palatino Linotype"/>
          <w:i/>
          <w:iCs/>
        </w:rPr>
        <w:t>, en términos de los considerandos QUINTO y SEXTO de la presente Resolución.</w:t>
      </w:r>
      <w:r w:rsidRPr="006832F0">
        <w:rPr>
          <w:rFonts w:ascii="Palatino Linotype" w:eastAsia="Palatino Linotype" w:hAnsi="Palatino Linotype" w:cs="Palatino Linotype"/>
          <w:b/>
          <w:bCs/>
          <w:i/>
          <w:iCs/>
        </w:rPr>
        <w:t xml:space="preserve"> </w:t>
      </w:r>
    </w:p>
    <w:p w14:paraId="629B3440" w14:textId="77777777" w:rsidR="00CC2C62" w:rsidRPr="006832F0" w:rsidRDefault="00CC2C62">
      <w:pPr>
        <w:spacing w:line="360" w:lineRule="auto"/>
        <w:ind w:left="567" w:right="567"/>
        <w:jc w:val="both"/>
        <w:rPr>
          <w:rFonts w:ascii="Palatino Linotype" w:eastAsia="Palatino Linotype" w:hAnsi="Palatino Linotype" w:cs="Palatino Linotype"/>
          <w:b/>
          <w:bCs/>
          <w:i/>
          <w:iCs/>
        </w:rPr>
      </w:pPr>
    </w:p>
    <w:p w14:paraId="77305636"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b/>
          <w:bCs/>
          <w:i/>
          <w:iCs/>
        </w:rPr>
        <w:t xml:space="preserve">SEGUNDO. </w:t>
      </w:r>
      <w:r w:rsidRPr="006832F0">
        <w:rPr>
          <w:rFonts w:ascii="Palatino Linotype" w:eastAsia="Palatino Linotype" w:hAnsi="Palatino Linotype" w:cs="Palatino Linotype"/>
          <w:i/>
          <w:iCs/>
        </w:rPr>
        <w:t xml:space="preserve">Se </w:t>
      </w:r>
      <w:r w:rsidRPr="006832F0">
        <w:rPr>
          <w:rFonts w:ascii="Palatino Linotype" w:eastAsia="Palatino Linotype" w:hAnsi="Palatino Linotype" w:cs="Palatino Linotype"/>
          <w:b/>
          <w:bCs/>
          <w:i/>
          <w:iCs/>
        </w:rPr>
        <w:t>ORDENA</w:t>
      </w:r>
      <w:r w:rsidRPr="006832F0">
        <w:rPr>
          <w:rFonts w:ascii="Palatino Linotype" w:eastAsia="Palatino Linotype" w:hAnsi="Palatino Linotype" w:cs="Palatino Linotype"/>
          <w:i/>
          <w:iCs/>
        </w:rPr>
        <w:t xml:space="preserve"> al Sujeto Obligado, a efecto de que dé atención a la solicitud de acceso a la información </w:t>
      </w:r>
      <w:r w:rsidRPr="006832F0">
        <w:rPr>
          <w:rFonts w:ascii="Palatino Linotype" w:eastAsia="Palatino Linotype" w:hAnsi="Palatino Linotype" w:cs="Palatino Linotype"/>
          <w:b/>
          <w:bCs/>
          <w:i/>
          <w:iCs/>
        </w:rPr>
        <w:t xml:space="preserve">00415/ALMOJU/IP/2025 </w:t>
      </w:r>
      <w:r w:rsidRPr="006832F0">
        <w:rPr>
          <w:rFonts w:ascii="Palatino Linotype" w:eastAsia="Palatino Linotype" w:hAnsi="Palatino Linotype" w:cs="Palatino Linotype"/>
          <w:i/>
          <w:iCs/>
        </w:rPr>
        <w:t xml:space="preserve">y, a través del Sistema de Acceso a la Información Mexiquense (SAIMEX), dé la respuesta que conforme a derecho corresponda  </w:t>
      </w:r>
    </w:p>
    <w:p w14:paraId="14684317"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i/>
          <w:iCs/>
        </w:rPr>
        <w:t>…”</w:t>
      </w:r>
    </w:p>
    <w:p w14:paraId="7EE28B5D" w14:textId="77777777" w:rsidR="00CC2C62" w:rsidRPr="006832F0" w:rsidRDefault="00CC2C62">
      <w:pPr>
        <w:spacing w:line="360" w:lineRule="auto"/>
        <w:ind w:left="567" w:right="567"/>
        <w:jc w:val="both"/>
        <w:rPr>
          <w:rFonts w:ascii="Palatino Linotype" w:eastAsia="Palatino Linotype" w:hAnsi="Palatino Linotype" w:cs="Palatino Linotype"/>
          <w:i/>
          <w:iCs/>
        </w:rPr>
      </w:pPr>
    </w:p>
    <w:p w14:paraId="54096FF6"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b/>
          <w:bCs/>
          <w:sz w:val="22"/>
          <w:szCs w:val="22"/>
        </w:rPr>
        <w:t xml:space="preserve">f) Notificación de la Resolución del Recurso de Revisión 12121/INFOEM/IP/RR/2025. </w:t>
      </w:r>
      <w:r w:rsidRPr="006832F0">
        <w:rPr>
          <w:rFonts w:ascii="Palatino Linotype" w:eastAsia="Palatino Linotype" w:hAnsi="Palatino Linotype" w:cs="Palatino Linotype"/>
          <w:sz w:val="22"/>
          <w:szCs w:val="22"/>
        </w:rPr>
        <w:t>El dieciocho de noviembre de dos mil veinticinco, se notificó por medio del SAIMEX, a las partes, la resolución del Medio de Impugnación previamente referido.</w:t>
      </w:r>
    </w:p>
    <w:p w14:paraId="09190FE8"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2183DB19"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b/>
          <w:bCs/>
          <w:sz w:val="22"/>
          <w:szCs w:val="22"/>
        </w:rPr>
        <w:t>g) Ampliación de plazo para resolver.</w:t>
      </w:r>
      <w:r w:rsidRPr="006832F0">
        <w:rPr>
          <w:rFonts w:ascii="Palatino Linotype" w:eastAsia="Palatino Linotype" w:hAnsi="Palatino Linotype" w:cs="Palatino Linotype"/>
          <w:sz w:val="22"/>
          <w:szCs w:val="22"/>
        </w:rPr>
        <w:t xml:space="preserve"> En veintiuno de noviembre de dos mil veinticinco, a través de SAIMEX, el Sujeto Obligado solicitó la ampliación de plazo para dar cumplimiento a la resolución del Recurso de Revisión que nos ocupa.</w:t>
      </w:r>
    </w:p>
    <w:p w14:paraId="5A79212D"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73FAA60B"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lastRenderedPageBreak/>
        <w:t xml:space="preserve">En fecha veinticinco de noviembre de dos mil veinticinco, durante la Cuadragésima Sesión Ordinaria del Pleno de este Organismo Garante, se determinó improcedente la ampliación de plazo solicitada, por tratarse de una omisión de respuesta por parte del Sujeto Obligado. </w:t>
      </w:r>
    </w:p>
    <w:p w14:paraId="71C0E702"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106B310A" w14:textId="77777777" w:rsidR="00CC2C62" w:rsidRPr="006832F0" w:rsidRDefault="00000000">
      <w:pPr>
        <w:pStyle w:val="Ttulo2"/>
        <w:jc w:val="both"/>
      </w:pPr>
      <w:bookmarkStart w:id="5" w:name="_heading=h.pbre594nh6cq" w:colFirst="0" w:colLast="0"/>
      <w:bookmarkEnd w:id="5"/>
      <w:r w:rsidRPr="006832F0">
        <w:t>V. Entrega de la información en cumplimiento a la Resolución del Recurso de Revisión 12121/INFOEM/IP/RR/2025.</w:t>
      </w:r>
    </w:p>
    <w:p w14:paraId="7B45031A"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2194FEAC"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El tres de febrero de dos mil veintiséis, el Sujeto Obligado notificó a través del Sistema de Acceso a la Información Mexiquense (SAIMEX), la respuesta a la solicitud de información, para dar cumplimiento a la determinación del Recurso de Revisión 12121/INFOEM/IP/RR/2025, a través del oficio número STGA/UT/055/2026, de la misma fecha de recepción, suscrito por el Titular de la Unidad de Transparencia, por medio del cual precisó lo siguiente:</w:t>
      </w:r>
    </w:p>
    <w:p w14:paraId="6BFADAA2"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11A26401"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i/>
          <w:iCs/>
        </w:rPr>
        <w:t>“…</w:t>
      </w:r>
    </w:p>
    <w:p w14:paraId="1DE32440"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b/>
          <w:bCs/>
          <w:i/>
          <w:iCs/>
        </w:rPr>
        <w:t>PRIMERO.</w:t>
      </w:r>
      <w:r w:rsidRPr="006832F0">
        <w:rPr>
          <w:rFonts w:ascii="Palatino Linotype" w:eastAsia="Palatino Linotype" w:hAnsi="Palatino Linotype" w:cs="Palatino Linotype"/>
          <w:i/>
          <w:iCs/>
        </w:rPr>
        <w:t xml:space="preserve"> Que con fecha 23/09/2025, se recibió en la Unidad de Transparencia del H. Ayuntamiento de Almoloya de Juárez la solicitud de acceso a la información descrita en el apartado de Vistos.</w:t>
      </w:r>
    </w:p>
    <w:p w14:paraId="2DF27355" w14:textId="77777777" w:rsidR="00CC2C62" w:rsidRPr="006832F0" w:rsidRDefault="00CC2C62">
      <w:pPr>
        <w:spacing w:line="360" w:lineRule="auto"/>
        <w:ind w:left="567" w:right="567"/>
        <w:jc w:val="both"/>
        <w:rPr>
          <w:rFonts w:ascii="Palatino Linotype" w:eastAsia="Palatino Linotype" w:hAnsi="Palatino Linotype" w:cs="Palatino Linotype"/>
          <w:i/>
          <w:iCs/>
        </w:rPr>
      </w:pPr>
    </w:p>
    <w:p w14:paraId="493F53AD"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b/>
          <w:bCs/>
          <w:i/>
          <w:iCs/>
        </w:rPr>
        <w:t>SEGUNDO.</w:t>
      </w:r>
      <w:r w:rsidRPr="006832F0">
        <w:rPr>
          <w:rFonts w:ascii="Palatino Linotype" w:eastAsia="Palatino Linotype" w:hAnsi="Palatino Linotype" w:cs="Palatino Linotype"/>
          <w:i/>
          <w:iCs/>
        </w:rPr>
        <w:t xml:space="preserve"> Que la información solicitada se encuentra prevista expresamente como obligación de</w:t>
      </w:r>
    </w:p>
    <w:p w14:paraId="1D79FED9"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i/>
          <w:iCs/>
        </w:rPr>
        <w:t>transparencia común, de conformidad con lo dispuesto en el artículo 92 fracción VIII inciso A de la</w:t>
      </w:r>
    </w:p>
    <w:p w14:paraId="6C328CFE"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i/>
          <w:iCs/>
        </w:rPr>
        <w:t>Ley de Transparencia y Acceso a la Información Pública del Estado de México y Municipios.</w:t>
      </w:r>
    </w:p>
    <w:p w14:paraId="6A57D505" w14:textId="77777777" w:rsidR="00CC2C62" w:rsidRPr="006832F0" w:rsidRDefault="00CC2C62">
      <w:pPr>
        <w:spacing w:line="360" w:lineRule="auto"/>
        <w:ind w:left="567" w:right="567"/>
        <w:jc w:val="both"/>
        <w:rPr>
          <w:rFonts w:ascii="Palatino Linotype" w:eastAsia="Palatino Linotype" w:hAnsi="Palatino Linotype" w:cs="Palatino Linotype"/>
          <w:i/>
          <w:iCs/>
        </w:rPr>
      </w:pPr>
    </w:p>
    <w:p w14:paraId="46941E9F"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b/>
          <w:bCs/>
          <w:i/>
          <w:iCs/>
        </w:rPr>
        <w:t>TERCERO.</w:t>
      </w:r>
      <w:r w:rsidRPr="006832F0">
        <w:rPr>
          <w:rFonts w:ascii="Palatino Linotype" w:eastAsia="Palatino Linotype" w:hAnsi="Palatino Linotype" w:cs="Palatino Linotype"/>
          <w:i/>
          <w:iCs/>
        </w:rPr>
        <w:t xml:space="preserve"> Que </w:t>
      </w:r>
      <w:r w:rsidRPr="006832F0">
        <w:rPr>
          <w:rFonts w:ascii="Palatino Linotype" w:eastAsia="Palatino Linotype" w:hAnsi="Palatino Linotype" w:cs="Palatino Linotype"/>
          <w:i/>
          <w:iCs/>
          <w:u w:val="single"/>
        </w:rPr>
        <w:t>dicha información se encuentra publicada, actualizada y disponible al público en el Sistema de Información Pública de Oficio Mexiquense (IPOMEX), en el apartado correspondiente al H. Ayuntamiento de Almoloya de Juárez,</w:t>
      </w:r>
      <w:r w:rsidRPr="006832F0">
        <w:rPr>
          <w:rFonts w:ascii="Palatino Linotype" w:eastAsia="Palatino Linotype" w:hAnsi="Palatino Linotype" w:cs="Palatino Linotype"/>
          <w:i/>
          <w:iCs/>
        </w:rPr>
        <w:t xml:space="preserve"> cumpliendo con los criterios de accesibilidad, integralidad y actualización exigidos por la normatividad aplicable.</w:t>
      </w:r>
    </w:p>
    <w:p w14:paraId="3B6792A1" w14:textId="77777777" w:rsidR="00CC2C62" w:rsidRPr="006832F0" w:rsidRDefault="00CC2C62">
      <w:pPr>
        <w:spacing w:line="360" w:lineRule="auto"/>
        <w:ind w:left="567" w:right="567"/>
        <w:jc w:val="both"/>
        <w:rPr>
          <w:rFonts w:ascii="Palatino Linotype" w:eastAsia="Palatino Linotype" w:hAnsi="Palatino Linotype" w:cs="Palatino Linotype"/>
          <w:i/>
          <w:iCs/>
        </w:rPr>
      </w:pPr>
    </w:p>
    <w:p w14:paraId="0F70EE4D" w14:textId="77777777" w:rsidR="00CC2C62" w:rsidRPr="006832F0" w:rsidRDefault="00000000">
      <w:pPr>
        <w:spacing w:line="360" w:lineRule="auto"/>
        <w:ind w:left="567" w:right="567"/>
        <w:jc w:val="both"/>
        <w:rPr>
          <w:rFonts w:ascii="Palatino Linotype" w:eastAsia="Palatino Linotype" w:hAnsi="Palatino Linotype" w:cs="Palatino Linotype"/>
          <w:b/>
          <w:bCs/>
          <w:i/>
          <w:iCs/>
        </w:rPr>
      </w:pPr>
      <w:r w:rsidRPr="006832F0">
        <w:rPr>
          <w:rFonts w:ascii="Palatino Linotype" w:eastAsia="Palatino Linotype" w:hAnsi="Palatino Linotype" w:cs="Palatino Linotype"/>
          <w:b/>
          <w:bCs/>
          <w:i/>
          <w:iCs/>
        </w:rPr>
        <w:t>CONSIDERANDOS</w:t>
      </w:r>
    </w:p>
    <w:p w14:paraId="7A72C235" w14:textId="77777777" w:rsidR="00CC2C62" w:rsidRPr="006832F0" w:rsidRDefault="00CC2C62">
      <w:pPr>
        <w:spacing w:line="360" w:lineRule="auto"/>
        <w:ind w:left="567" w:right="567"/>
        <w:jc w:val="both"/>
        <w:rPr>
          <w:rFonts w:ascii="Palatino Linotype" w:eastAsia="Palatino Linotype" w:hAnsi="Palatino Linotype" w:cs="Palatino Linotype"/>
          <w:i/>
          <w:iCs/>
        </w:rPr>
      </w:pPr>
    </w:p>
    <w:p w14:paraId="1F915AF9"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b/>
          <w:bCs/>
          <w:i/>
          <w:iCs/>
        </w:rPr>
        <w:t>PRIMERO.</w:t>
      </w:r>
      <w:r w:rsidRPr="006832F0">
        <w:rPr>
          <w:rFonts w:ascii="Palatino Linotype" w:eastAsia="Palatino Linotype" w:hAnsi="Palatino Linotype" w:cs="Palatino Linotype"/>
          <w:i/>
          <w:iCs/>
        </w:rPr>
        <w:t xml:space="preserve"> Que de conformidad con lo establecido en el artículo 23 de la Ley de Transparencia y</w:t>
      </w:r>
    </w:p>
    <w:p w14:paraId="265BD5B4"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i/>
          <w:iCs/>
        </w:rPr>
        <w:t>Acceso a la Información Pública del Estado de México y Municipios, los sujetos obligados deben</w:t>
      </w:r>
    </w:p>
    <w:p w14:paraId="2C222CAA"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i/>
          <w:iCs/>
        </w:rPr>
        <w:t>poner a disposición del público y mantener actualizada la información relativa a sus obligaciones de</w:t>
      </w:r>
    </w:p>
    <w:p w14:paraId="36183A2B"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i/>
          <w:iCs/>
        </w:rPr>
        <w:t>transparencia, sin que sea necesario que medie solicitud alguna.</w:t>
      </w:r>
    </w:p>
    <w:p w14:paraId="5A7C573D" w14:textId="77777777" w:rsidR="00CC2C62" w:rsidRPr="006832F0" w:rsidRDefault="00CC2C62">
      <w:pPr>
        <w:spacing w:line="360" w:lineRule="auto"/>
        <w:ind w:left="567" w:right="567"/>
        <w:jc w:val="both"/>
        <w:rPr>
          <w:rFonts w:ascii="Palatino Linotype" w:eastAsia="Palatino Linotype" w:hAnsi="Palatino Linotype" w:cs="Palatino Linotype"/>
          <w:i/>
          <w:iCs/>
        </w:rPr>
      </w:pPr>
    </w:p>
    <w:p w14:paraId="6F2BB445" w14:textId="77777777" w:rsidR="00CC2C62" w:rsidRPr="006832F0" w:rsidRDefault="00000000">
      <w:pPr>
        <w:spacing w:line="360" w:lineRule="auto"/>
        <w:ind w:left="567" w:right="567"/>
        <w:jc w:val="both"/>
        <w:rPr>
          <w:rFonts w:ascii="Palatino Linotype" w:eastAsia="Palatino Linotype" w:hAnsi="Palatino Linotype" w:cs="Palatino Linotype"/>
          <w:i/>
          <w:iCs/>
          <w:u w:val="single"/>
        </w:rPr>
      </w:pPr>
      <w:r w:rsidRPr="006832F0">
        <w:rPr>
          <w:rFonts w:ascii="Palatino Linotype" w:eastAsia="Palatino Linotype" w:hAnsi="Palatino Linotype" w:cs="Palatino Linotype"/>
          <w:b/>
          <w:bCs/>
          <w:i/>
          <w:iCs/>
        </w:rPr>
        <w:t>SEGUNDO.</w:t>
      </w:r>
      <w:r w:rsidRPr="006832F0">
        <w:rPr>
          <w:rFonts w:ascii="Palatino Linotype" w:eastAsia="Palatino Linotype" w:hAnsi="Palatino Linotype" w:cs="Palatino Linotype"/>
          <w:i/>
          <w:iCs/>
        </w:rPr>
        <w:t xml:space="preserve"> </w:t>
      </w:r>
      <w:r w:rsidRPr="006832F0">
        <w:rPr>
          <w:rFonts w:ascii="Palatino Linotype" w:eastAsia="Palatino Linotype" w:hAnsi="Palatino Linotype" w:cs="Palatino Linotype"/>
          <w:i/>
          <w:iCs/>
          <w:u w:val="single"/>
        </w:rPr>
        <w:t>Que el artículo 92 fracción VIII inciso A del mismo ordenamiento legal, establece como</w:t>
      </w:r>
    </w:p>
    <w:p w14:paraId="7AAFB798" w14:textId="77777777" w:rsidR="00CC2C62" w:rsidRPr="006832F0" w:rsidRDefault="00000000">
      <w:pPr>
        <w:spacing w:line="360" w:lineRule="auto"/>
        <w:ind w:left="567" w:right="567"/>
        <w:jc w:val="both"/>
        <w:rPr>
          <w:rFonts w:ascii="Palatino Linotype" w:eastAsia="Palatino Linotype" w:hAnsi="Palatino Linotype" w:cs="Palatino Linotype"/>
          <w:i/>
          <w:iCs/>
          <w:u w:val="single"/>
        </w:rPr>
      </w:pPr>
      <w:r w:rsidRPr="006832F0">
        <w:rPr>
          <w:rFonts w:ascii="Palatino Linotype" w:eastAsia="Palatino Linotype" w:hAnsi="Palatino Linotype" w:cs="Palatino Linotype"/>
          <w:i/>
          <w:iCs/>
          <w:u w:val="single"/>
        </w:rPr>
        <w:t>obligación de transparencia la publicación de la remuneración bruta y neta de todos los servidores</w:t>
      </w:r>
    </w:p>
    <w:p w14:paraId="42233E3A" w14:textId="77777777" w:rsidR="00CC2C62" w:rsidRPr="006832F0" w:rsidRDefault="00000000">
      <w:pPr>
        <w:spacing w:line="360" w:lineRule="auto"/>
        <w:ind w:left="567" w:right="567"/>
        <w:jc w:val="both"/>
        <w:rPr>
          <w:rFonts w:ascii="Palatino Linotype" w:eastAsia="Palatino Linotype" w:hAnsi="Palatino Linotype" w:cs="Palatino Linotype"/>
          <w:i/>
          <w:iCs/>
          <w:u w:val="single"/>
        </w:rPr>
      </w:pPr>
      <w:r w:rsidRPr="006832F0">
        <w:rPr>
          <w:rFonts w:ascii="Palatino Linotype" w:eastAsia="Palatino Linotype" w:hAnsi="Palatino Linotype" w:cs="Palatino Linotype"/>
          <w:i/>
          <w:iCs/>
          <w:u w:val="single"/>
        </w:rPr>
        <w:t>públicos, incluyendo percepciones ordinarias y extraordinarias.</w:t>
      </w:r>
    </w:p>
    <w:p w14:paraId="5D170239" w14:textId="77777777" w:rsidR="00CC2C62" w:rsidRPr="006832F0" w:rsidRDefault="00CC2C62">
      <w:pPr>
        <w:spacing w:line="360" w:lineRule="auto"/>
        <w:ind w:left="567" w:right="567"/>
        <w:jc w:val="both"/>
        <w:rPr>
          <w:rFonts w:ascii="Palatino Linotype" w:eastAsia="Palatino Linotype" w:hAnsi="Palatino Linotype" w:cs="Palatino Linotype"/>
          <w:i/>
          <w:iCs/>
        </w:rPr>
      </w:pPr>
    </w:p>
    <w:p w14:paraId="56BD25AA" w14:textId="77777777" w:rsidR="00CC2C62" w:rsidRPr="006832F0" w:rsidRDefault="00000000">
      <w:pPr>
        <w:spacing w:line="360" w:lineRule="auto"/>
        <w:ind w:left="567" w:right="567"/>
        <w:jc w:val="both"/>
        <w:rPr>
          <w:rFonts w:ascii="Palatino Linotype" w:eastAsia="Palatino Linotype" w:hAnsi="Palatino Linotype" w:cs="Palatino Linotype"/>
          <w:i/>
          <w:iCs/>
          <w:u w:val="single"/>
        </w:rPr>
      </w:pPr>
      <w:r w:rsidRPr="006832F0">
        <w:rPr>
          <w:rFonts w:ascii="Palatino Linotype" w:eastAsia="Palatino Linotype" w:hAnsi="Palatino Linotype" w:cs="Palatino Linotype"/>
          <w:b/>
          <w:bCs/>
          <w:i/>
          <w:iCs/>
        </w:rPr>
        <w:t>TERCERO.</w:t>
      </w:r>
      <w:r w:rsidRPr="006832F0">
        <w:rPr>
          <w:rFonts w:ascii="Palatino Linotype" w:eastAsia="Palatino Linotype" w:hAnsi="Palatino Linotype" w:cs="Palatino Linotype"/>
          <w:i/>
          <w:iCs/>
        </w:rPr>
        <w:t xml:space="preserve"> </w:t>
      </w:r>
      <w:r w:rsidRPr="006832F0">
        <w:rPr>
          <w:rFonts w:ascii="Palatino Linotype" w:eastAsia="Palatino Linotype" w:hAnsi="Palatino Linotype" w:cs="Palatino Linotype"/>
          <w:i/>
          <w:iCs/>
          <w:u w:val="single"/>
        </w:rPr>
        <w:t>Que el artículo 148 fracción III de la Ley en cita, faculta a los sujetos obligados para</w:t>
      </w:r>
    </w:p>
    <w:p w14:paraId="315AC63F" w14:textId="77777777" w:rsidR="00CC2C62" w:rsidRPr="006832F0" w:rsidRDefault="00000000">
      <w:pPr>
        <w:spacing w:line="360" w:lineRule="auto"/>
        <w:ind w:left="567" w:right="567"/>
        <w:jc w:val="both"/>
        <w:rPr>
          <w:rFonts w:ascii="Palatino Linotype" w:eastAsia="Palatino Linotype" w:hAnsi="Palatino Linotype" w:cs="Palatino Linotype"/>
          <w:i/>
          <w:iCs/>
          <w:u w:val="single"/>
        </w:rPr>
      </w:pPr>
      <w:r w:rsidRPr="006832F0">
        <w:rPr>
          <w:rFonts w:ascii="Palatino Linotype" w:eastAsia="Palatino Linotype" w:hAnsi="Palatino Linotype" w:cs="Palatino Linotype"/>
          <w:i/>
          <w:iCs/>
          <w:u w:val="single"/>
        </w:rPr>
        <w:t>desechar las solicitudes de acceso a la información, cuando la información solicitada se encuentre</w:t>
      </w:r>
    </w:p>
    <w:p w14:paraId="0274306A" w14:textId="77777777" w:rsidR="00CC2C62" w:rsidRPr="006832F0" w:rsidRDefault="00000000">
      <w:pPr>
        <w:spacing w:line="360" w:lineRule="auto"/>
        <w:ind w:left="567" w:right="567"/>
        <w:jc w:val="both"/>
        <w:rPr>
          <w:rFonts w:ascii="Palatino Linotype" w:eastAsia="Palatino Linotype" w:hAnsi="Palatino Linotype" w:cs="Palatino Linotype"/>
          <w:i/>
          <w:iCs/>
          <w:u w:val="single"/>
        </w:rPr>
      </w:pPr>
      <w:r w:rsidRPr="006832F0">
        <w:rPr>
          <w:rFonts w:ascii="Palatino Linotype" w:eastAsia="Palatino Linotype" w:hAnsi="Palatino Linotype" w:cs="Palatino Linotype"/>
          <w:i/>
          <w:iCs/>
          <w:u w:val="single"/>
        </w:rPr>
        <w:t>disponible públicamente, debidamente publicada en los medios oficiales establecidos para tal efecto.</w:t>
      </w:r>
    </w:p>
    <w:p w14:paraId="3E71F799" w14:textId="77777777" w:rsidR="00CC2C62" w:rsidRPr="006832F0" w:rsidRDefault="00CC2C62">
      <w:pPr>
        <w:spacing w:line="360" w:lineRule="auto"/>
        <w:ind w:left="567" w:right="567"/>
        <w:jc w:val="both"/>
        <w:rPr>
          <w:rFonts w:ascii="Palatino Linotype" w:eastAsia="Palatino Linotype" w:hAnsi="Palatino Linotype" w:cs="Palatino Linotype"/>
          <w:i/>
          <w:iCs/>
        </w:rPr>
      </w:pPr>
    </w:p>
    <w:p w14:paraId="35347F0D" w14:textId="77777777" w:rsidR="00CC2C62" w:rsidRPr="006832F0" w:rsidRDefault="00000000">
      <w:pPr>
        <w:spacing w:line="360" w:lineRule="auto"/>
        <w:ind w:left="567" w:right="567"/>
        <w:jc w:val="both"/>
        <w:rPr>
          <w:rFonts w:ascii="Palatino Linotype" w:eastAsia="Palatino Linotype" w:hAnsi="Palatino Linotype" w:cs="Palatino Linotype"/>
          <w:i/>
          <w:iCs/>
          <w:u w:val="single"/>
        </w:rPr>
      </w:pPr>
      <w:r w:rsidRPr="006832F0">
        <w:rPr>
          <w:rFonts w:ascii="Palatino Linotype" w:eastAsia="Palatino Linotype" w:hAnsi="Palatino Linotype" w:cs="Palatino Linotype"/>
          <w:b/>
          <w:bCs/>
          <w:i/>
          <w:iCs/>
        </w:rPr>
        <w:t>CUARTO.</w:t>
      </w:r>
      <w:r w:rsidRPr="006832F0">
        <w:rPr>
          <w:rFonts w:ascii="Palatino Linotype" w:eastAsia="Palatino Linotype" w:hAnsi="Palatino Linotype" w:cs="Palatino Linotype"/>
          <w:i/>
          <w:iCs/>
        </w:rPr>
        <w:t xml:space="preserve"> Que </w:t>
      </w:r>
      <w:r w:rsidRPr="006832F0">
        <w:rPr>
          <w:rFonts w:ascii="Palatino Linotype" w:eastAsia="Palatino Linotype" w:hAnsi="Palatino Linotype" w:cs="Palatino Linotype"/>
          <w:i/>
          <w:iCs/>
          <w:u w:val="single"/>
        </w:rPr>
        <w:t xml:space="preserve">el INFOEM, a través de criterios y resoluciones reiteradas, ha sostenido que no existe obligación de generar, reproducir o entregar nuevamente información, cuando ésta se encuentra accesible de forma pública en el portal IPOMEX, </w:t>
      </w:r>
      <w:r w:rsidRPr="006832F0">
        <w:rPr>
          <w:rFonts w:ascii="Palatino Linotype" w:eastAsia="Palatino Linotype" w:hAnsi="Palatino Linotype" w:cs="Palatino Linotype"/>
          <w:b/>
          <w:bCs/>
          <w:i/>
          <w:iCs/>
          <w:u w:val="single"/>
        </w:rPr>
        <w:t>siendo suficiente orientar al solicitante</w:t>
      </w:r>
      <w:r w:rsidRPr="006832F0">
        <w:rPr>
          <w:rFonts w:ascii="Palatino Linotype" w:eastAsia="Palatino Linotype" w:hAnsi="Palatino Linotype" w:cs="Palatino Linotype"/>
          <w:i/>
          <w:iCs/>
          <w:u w:val="single"/>
        </w:rPr>
        <w:t xml:space="preserve"> para su consulta directa.</w:t>
      </w:r>
    </w:p>
    <w:p w14:paraId="39FAF7BB" w14:textId="77777777" w:rsidR="00CC2C62" w:rsidRPr="006832F0" w:rsidRDefault="00CC2C62">
      <w:pPr>
        <w:spacing w:line="360" w:lineRule="auto"/>
        <w:ind w:left="567" w:right="567"/>
        <w:jc w:val="both"/>
        <w:rPr>
          <w:rFonts w:ascii="Palatino Linotype" w:eastAsia="Palatino Linotype" w:hAnsi="Palatino Linotype" w:cs="Palatino Linotype"/>
          <w:i/>
          <w:iCs/>
        </w:rPr>
      </w:pPr>
    </w:p>
    <w:p w14:paraId="6BFE8AE3"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b/>
          <w:bCs/>
          <w:i/>
          <w:iCs/>
        </w:rPr>
        <w:t>QUINTO.</w:t>
      </w:r>
      <w:r w:rsidRPr="006832F0">
        <w:rPr>
          <w:rFonts w:ascii="Palatino Linotype" w:eastAsia="Palatino Linotype" w:hAnsi="Palatino Linotype" w:cs="Palatino Linotype"/>
          <w:i/>
          <w:iCs/>
        </w:rPr>
        <w:t xml:space="preserve"> Que, en el caso concreto, la solicitud presentada no versa sobre información adicional,</w:t>
      </w:r>
    </w:p>
    <w:p w14:paraId="1F230B05"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i/>
          <w:iCs/>
        </w:rPr>
        <w:t>diversa o distinta a la ya publicada, ni solicita un tratamiento específico que implique un análisis,</w:t>
      </w:r>
    </w:p>
    <w:p w14:paraId="1E6A8FAB"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i/>
          <w:iCs/>
        </w:rPr>
        <w:t>procesamiento o generación de información nueva, por lo que resulta improcedente su tramitación.</w:t>
      </w:r>
    </w:p>
    <w:p w14:paraId="79164638" w14:textId="77777777" w:rsidR="00CC2C62" w:rsidRPr="006832F0" w:rsidRDefault="00CC2C62">
      <w:pPr>
        <w:spacing w:line="360" w:lineRule="auto"/>
        <w:ind w:left="567" w:right="567"/>
        <w:jc w:val="both"/>
        <w:rPr>
          <w:rFonts w:ascii="Palatino Linotype" w:eastAsia="Palatino Linotype" w:hAnsi="Palatino Linotype" w:cs="Palatino Linotype"/>
          <w:i/>
          <w:iCs/>
        </w:rPr>
      </w:pPr>
    </w:p>
    <w:p w14:paraId="6690CDE6" w14:textId="77777777" w:rsidR="00CC2C62" w:rsidRPr="006832F0" w:rsidRDefault="00000000">
      <w:pPr>
        <w:spacing w:line="360" w:lineRule="auto"/>
        <w:ind w:left="567" w:right="567"/>
        <w:jc w:val="both"/>
        <w:rPr>
          <w:rFonts w:ascii="Palatino Linotype" w:eastAsia="Palatino Linotype" w:hAnsi="Palatino Linotype" w:cs="Palatino Linotype"/>
          <w:b/>
          <w:bCs/>
          <w:i/>
          <w:iCs/>
        </w:rPr>
      </w:pPr>
      <w:r w:rsidRPr="006832F0">
        <w:rPr>
          <w:rFonts w:ascii="Palatino Linotype" w:eastAsia="Palatino Linotype" w:hAnsi="Palatino Linotype" w:cs="Palatino Linotype"/>
          <w:b/>
          <w:bCs/>
          <w:i/>
          <w:iCs/>
        </w:rPr>
        <w:t>ACUERDO</w:t>
      </w:r>
    </w:p>
    <w:p w14:paraId="5C37DE9F" w14:textId="77777777" w:rsidR="00CC2C62" w:rsidRPr="006832F0" w:rsidRDefault="00CC2C62">
      <w:pPr>
        <w:spacing w:line="360" w:lineRule="auto"/>
        <w:ind w:left="567" w:right="567"/>
        <w:jc w:val="both"/>
        <w:rPr>
          <w:rFonts w:ascii="Palatino Linotype" w:eastAsia="Palatino Linotype" w:hAnsi="Palatino Linotype" w:cs="Palatino Linotype"/>
          <w:i/>
          <w:iCs/>
        </w:rPr>
      </w:pPr>
    </w:p>
    <w:p w14:paraId="66647371" w14:textId="77777777" w:rsidR="00CC2C62" w:rsidRPr="006832F0" w:rsidRDefault="00000000">
      <w:pPr>
        <w:spacing w:line="360" w:lineRule="auto"/>
        <w:ind w:left="567" w:right="567"/>
        <w:jc w:val="both"/>
        <w:rPr>
          <w:rFonts w:ascii="Palatino Linotype" w:eastAsia="Palatino Linotype" w:hAnsi="Palatino Linotype" w:cs="Palatino Linotype"/>
          <w:i/>
          <w:iCs/>
          <w:u w:val="single"/>
        </w:rPr>
      </w:pPr>
      <w:r w:rsidRPr="006832F0">
        <w:rPr>
          <w:rFonts w:ascii="Palatino Linotype" w:eastAsia="Palatino Linotype" w:hAnsi="Palatino Linotype" w:cs="Palatino Linotype"/>
          <w:b/>
          <w:bCs/>
          <w:i/>
          <w:iCs/>
        </w:rPr>
        <w:lastRenderedPageBreak/>
        <w:t>PRIMERO.</w:t>
      </w:r>
      <w:r w:rsidRPr="006832F0">
        <w:rPr>
          <w:rFonts w:ascii="Palatino Linotype" w:eastAsia="Palatino Linotype" w:hAnsi="Palatino Linotype" w:cs="Palatino Linotype"/>
          <w:i/>
          <w:iCs/>
        </w:rPr>
        <w:t xml:space="preserve"> </w:t>
      </w:r>
      <w:r w:rsidRPr="006832F0">
        <w:rPr>
          <w:rFonts w:ascii="Palatino Linotype" w:eastAsia="Palatino Linotype" w:hAnsi="Palatino Linotype" w:cs="Palatino Linotype"/>
          <w:i/>
          <w:iCs/>
          <w:u w:val="single"/>
        </w:rPr>
        <w:t xml:space="preserve">Se </w:t>
      </w:r>
      <w:r w:rsidRPr="006832F0">
        <w:rPr>
          <w:rFonts w:ascii="Palatino Linotype" w:eastAsia="Palatino Linotype" w:hAnsi="Palatino Linotype" w:cs="Palatino Linotype"/>
          <w:b/>
          <w:bCs/>
          <w:i/>
          <w:iCs/>
          <w:u w:val="single"/>
        </w:rPr>
        <w:t>desecha la solicitud de acceso a la información pública relativa a la nómina o remuneraciones del personal que integra la administración municipal del H. Ayuntamiento de Almoloya de Juárez, al encontrarse debidamente publicada y actualizada en el portal IPOMEX</w:t>
      </w:r>
      <w:r w:rsidRPr="006832F0">
        <w:rPr>
          <w:rFonts w:ascii="Palatino Linotype" w:eastAsia="Palatino Linotype" w:hAnsi="Palatino Linotype" w:cs="Palatino Linotype"/>
          <w:i/>
          <w:iCs/>
          <w:u w:val="single"/>
        </w:rPr>
        <w:t>, en cumplimiento a lo dispuesto por el artículo 92 fracción VIII inciso A de la Ley de Transparencia y Acceso a la Información Pública del Estado de México y Municipios.</w:t>
      </w:r>
    </w:p>
    <w:p w14:paraId="36ADB5A8" w14:textId="77777777" w:rsidR="00CC2C62" w:rsidRPr="006832F0" w:rsidRDefault="00CC2C62">
      <w:pPr>
        <w:spacing w:line="360" w:lineRule="auto"/>
        <w:ind w:left="567" w:right="567"/>
        <w:jc w:val="both"/>
        <w:rPr>
          <w:rFonts w:ascii="Palatino Linotype" w:eastAsia="Palatino Linotype" w:hAnsi="Palatino Linotype" w:cs="Palatino Linotype"/>
          <w:i/>
          <w:iCs/>
        </w:rPr>
      </w:pPr>
    </w:p>
    <w:p w14:paraId="411EAE52"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b/>
          <w:bCs/>
          <w:i/>
          <w:iCs/>
        </w:rPr>
        <w:t>SEGUNDO.</w:t>
      </w:r>
      <w:r w:rsidRPr="006832F0">
        <w:rPr>
          <w:rFonts w:ascii="Palatino Linotype" w:eastAsia="Palatino Linotype" w:hAnsi="Palatino Linotype" w:cs="Palatino Linotype"/>
          <w:i/>
          <w:iCs/>
        </w:rPr>
        <w:t xml:space="preserve"> Se orienta al solicitante para que consulte la información requerida directamente en el Sistema de Información Pública de Oficio Mexiquense (IPOMEX), a través del portal oficial del</w:t>
      </w:r>
    </w:p>
    <w:p w14:paraId="511253C8"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i/>
          <w:iCs/>
        </w:rPr>
        <w:t>Instituto de Transparencia, Acceso a la Información Pública y Protección de Datos Personales del</w:t>
      </w:r>
    </w:p>
    <w:p w14:paraId="4725113F"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i/>
          <w:iCs/>
        </w:rPr>
        <w:t>Estado de México y Municipios.</w:t>
      </w:r>
    </w:p>
    <w:p w14:paraId="741385CF" w14:textId="77777777" w:rsidR="00CC2C62" w:rsidRPr="006832F0" w:rsidRDefault="00CC2C62">
      <w:pPr>
        <w:spacing w:line="360" w:lineRule="auto"/>
        <w:ind w:left="567" w:right="567"/>
        <w:jc w:val="both"/>
        <w:rPr>
          <w:rFonts w:ascii="Palatino Linotype" w:eastAsia="Palatino Linotype" w:hAnsi="Palatino Linotype" w:cs="Palatino Linotype"/>
          <w:i/>
          <w:iCs/>
        </w:rPr>
      </w:pPr>
    </w:p>
    <w:p w14:paraId="2C0153EE"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b/>
          <w:bCs/>
          <w:i/>
          <w:iCs/>
        </w:rPr>
        <w:t>TERCERO.</w:t>
      </w:r>
      <w:r w:rsidRPr="006832F0">
        <w:rPr>
          <w:rFonts w:ascii="Palatino Linotype" w:eastAsia="Palatino Linotype" w:hAnsi="Palatino Linotype" w:cs="Palatino Linotype"/>
          <w:i/>
          <w:iCs/>
        </w:rPr>
        <w:t xml:space="preserve"> Notifíquese el presente acuerdo al solicitante, haciéndole saber que cuenta con los</w:t>
      </w:r>
    </w:p>
    <w:p w14:paraId="49FDA382"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i/>
          <w:iCs/>
        </w:rPr>
        <w:t>medios de impugnación previstos en la Ley de la materia, en caso de inconformidad.</w:t>
      </w:r>
    </w:p>
    <w:p w14:paraId="22768819"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i/>
          <w:iCs/>
        </w:rPr>
        <w:t>…”</w:t>
      </w:r>
    </w:p>
    <w:p w14:paraId="384FE0B4" w14:textId="77777777" w:rsidR="00CC2C62" w:rsidRPr="006832F0" w:rsidRDefault="00CC2C62">
      <w:pPr>
        <w:spacing w:line="360" w:lineRule="auto"/>
        <w:jc w:val="both"/>
        <w:rPr>
          <w:rFonts w:ascii="Palatino Linotype" w:eastAsia="Palatino Linotype" w:hAnsi="Palatino Linotype" w:cs="Palatino Linotype"/>
          <w:b/>
          <w:bCs/>
          <w:color w:val="000000"/>
          <w:sz w:val="22"/>
          <w:szCs w:val="22"/>
        </w:rPr>
      </w:pPr>
    </w:p>
    <w:p w14:paraId="6B6C2704" w14:textId="77777777" w:rsidR="00CC2C62" w:rsidRPr="006832F0" w:rsidRDefault="00000000">
      <w:pPr>
        <w:pStyle w:val="Ttulo2"/>
      </w:pPr>
      <w:bookmarkStart w:id="6" w:name="_heading=h.nth74yrn2e5w" w:colFirst="0" w:colLast="0"/>
      <w:bookmarkEnd w:id="6"/>
      <w:r w:rsidRPr="006832F0">
        <w:t>VI. Interposición del Recurso de Revisión 12121/INFOEM/ICR-77/IP/RR/2025</w:t>
      </w:r>
    </w:p>
    <w:p w14:paraId="2F21A530" w14:textId="77777777" w:rsidR="00CC2C62" w:rsidRPr="006832F0" w:rsidRDefault="00CC2C62">
      <w:pPr>
        <w:widowControl w:val="0"/>
        <w:spacing w:line="360" w:lineRule="auto"/>
        <w:jc w:val="both"/>
        <w:rPr>
          <w:rFonts w:ascii="Palatino Linotype" w:eastAsia="Palatino Linotype" w:hAnsi="Palatino Linotype" w:cs="Palatino Linotype"/>
          <w:sz w:val="22"/>
          <w:szCs w:val="22"/>
        </w:rPr>
      </w:pPr>
    </w:p>
    <w:p w14:paraId="38CAE918" w14:textId="77777777" w:rsidR="00CC2C62" w:rsidRPr="006832F0" w:rsidRDefault="00000000">
      <w:pPr>
        <w:widowControl w:val="0"/>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El seis de febrero de dos mil veintiséis, se recibió en este Instituto, a través del Sistema de Acceso a la Información Mexiquense (SAIMEX), el Recurso de Revisión interpuesto por la parte Recurrente, en contra de la respuesta del Sujeto Obligado, en cumplimiento a la Resolución referida en el Antecedente V, en los siguientes términos:</w:t>
      </w:r>
    </w:p>
    <w:p w14:paraId="5B5D2292" w14:textId="77777777" w:rsidR="00CC2C62" w:rsidRPr="006832F0" w:rsidRDefault="00CC2C62">
      <w:pPr>
        <w:widowControl w:val="0"/>
        <w:spacing w:line="360" w:lineRule="auto"/>
        <w:jc w:val="both"/>
        <w:rPr>
          <w:rFonts w:ascii="Palatino Linotype" w:eastAsia="Palatino Linotype" w:hAnsi="Palatino Linotype" w:cs="Palatino Linotype"/>
          <w:color w:val="FF0000"/>
          <w:sz w:val="22"/>
          <w:szCs w:val="22"/>
        </w:rPr>
      </w:pPr>
    </w:p>
    <w:p w14:paraId="1F04279D" w14:textId="77777777" w:rsidR="00CC2C62" w:rsidRPr="006832F0" w:rsidRDefault="00000000">
      <w:pPr>
        <w:tabs>
          <w:tab w:val="left" w:pos="4667"/>
        </w:tabs>
        <w:spacing w:line="360" w:lineRule="auto"/>
        <w:ind w:left="567" w:right="567"/>
        <w:jc w:val="both"/>
        <w:rPr>
          <w:rFonts w:ascii="Palatino Linotype" w:eastAsia="Palatino Linotype" w:hAnsi="Palatino Linotype" w:cs="Palatino Linotype"/>
          <w:b/>
          <w:bCs/>
          <w:i/>
          <w:iCs/>
        </w:rPr>
      </w:pPr>
      <w:r w:rsidRPr="006832F0">
        <w:rPr>
          <w:rFonts w:ascii="Palatino Linotype" w:eastAsia="Palatino Linotype" w:hAnsi="Palatino Linotype" w:cs="Palatino Linotype"/>
          <w:b/>
          <w:bCs/>
          <w:i/>
          <w:iCs/>
        </w:rPr>
        <w:t>“ACTO IMPUGNADO</w:t>
      </w:r>
    </w:p>
    <w:p w14:paraId="7D706D13"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i/>
          <w:iCs/>
        </w:rPr>
        <w:t>La respuesta con la que se pretende dar cumplimiento a la resolución. “(Sic)</w:t>
      </w:r>
    </w:p>
    <w:p w14:paraId="5D157733" w14:textId="77777777" w:rsidR="00CC2C62" w:rsidRPr="006832F0" w:rsidRDefault="00CC2C62">
      <w:pPr>
        <w:spacing w:line="360" w:lineRule="auto"/>
        <w:ind w:left="567" w:right="567"/>
        <w:jc w:val="both"/>
        <w:rPr>
          <w:rFonts w:ascii="Palatino Linotype" w:eastAsia="Palatino Linotype" w:hAnsi="Palatino Linotype" w:cs="Palatino Linotype"/>
          <w:i/>
          <w:iCs/>
        </w:rPr>
      </w:pPr>
    </w:p>
    <w:p w14:paraId="1B8ABEC4" w14:textId="77777777" w:rsidR="00CC2C62" w:rsidRPr="006832F0" w:rsidRDefault="00000000">
      <w:pPr>
        <w:spacing w:line="360" w:lineRule="auto"/>
        <w:ind w:left="567" w:right="567"/>
        <w:jc w:val="both"/>
        <w:rPr>
          <w:rFonts w:ascii="Palatino Linotype" w:eastAsia="Palatino Linotype" w:hAnsi="Palatino Linotype" w:cs="Palatino Linotype"/>
          <w:b/>
          <w:bCs/>
          <w:i/>
          <w:iCs/>
        </w:rPr>
      </w:pPr>
      <w:r w:rsidRPr="006832F0">
        <w:rPr>
          <w:rFonts w:ascii="Palatino Linotype" w:eastAsia="Palatino Linotype" w:hAnsi="Palatino Linotype" w:cs="Palatino Linotype"/>
          <w:b/>
          <w:bCs/>
          <w:i/>
          <w:iCs/>
        </w:rPr>
        <w:t>“RAZONES O MOTIVOS DE LA INCONFORMIDAD</w:t>
      </w:r>
    </w:p>
    <w:p w14:paraId="34C51383" w14:textId="77777777" w:rsidR="00CC2C62" w:rsidRPr="006832F0" w:rsidRDefault="00000000">
      <w:pPr>
        <w:spacing w:line="360" w:lineRule="auto"/>
        <w:ind w:left="567" w:right="567"/>
        <w:jc w:val="both"/>
        <w:rPr>
          <w:rFonts w:ascii="Palatino Linotype" w:eastAsia="Palatino Linotype" w:hAnsi="Palatino Linotype" w:cs="Palatino Linotype"/>
          <w:i/>
          <w:iCs/>
        </w:rPr>
      </w:pPr>
      <w:r w:rsidRPr="006832F0">
        <w:rPr>
          <w:rFonts w:ascii="Palatino Linotype" w:eastAsia="Palatino Linotype" w:hAnsi="Palatino Linotype" w:cs="Palatino Linotype"/>
          <w:i/>
          <w:iCs/>
        </w:rPr>
        <w:lastRenderedPageBreak/>
        <w:t xml:space="preserve">La unidad de transparencia pretende dar cumplimiento con un documento cuyo contenido resulta primero contradictorio con sus actuaciones anteriores, y </w:t>
      </w:r>
      <w:proofErr w:type="spellStart"/>
      <w:r w:rsidRPr="006832F0">
        <w:rPr>
          <w:rFonts w:ascii="Palatino Linotype" w:eastAsia="Palatino Linotype" w:hAnsi="Palatino Linotype" w:cs="Palatino Linotype"/>
          <w:i/>
          <w:iCs/>
        </w:rPr>
        <w:t>evidencía</w:t>
      </w:r>
      <w:proofErr w:type="spellEnd"/>
      <w:r w:rsidRPr="006832F0">
        <w:rPr>
          <w:rFonts w:ascii="Palatino Linotype" w:eastAsia="Palatino Linotype" w:hAnsi="Palatino Linotype" w:cs="Palatino Linotype"/>
          <w:i/>
          <w:iCs/>
        </w:rPr>
        <w:t xml:space="preserve"> y reitera la intención de no permitir el acceso a la información solicitada. No acata lo ordenado por la autoridad en la resolución. </w:t>
      </w:r>
      <w:r w:rsidRPr="006832F0">
        <w:rPr>
          <w:rFonts w:ascii="Palatino Linotype" w:eastAsia="Palatino Linotype" w:hAnsi="Palatino Linotype" w:cs="Palatino Linotype"/>
          <w:i/>
          <w:iCs/>
          <w:u w:val="single"/>
        </w:rPr>
        <w:t>No hace entrega de la información y por el contrario reitera la negativa a entregarla</w:t>
      </w:r>
      <w:r w:rsidRPr="006832F0">
        <w:rPr>
          <w:rFonts w:ascii="Palatino Linotype" w:eastAsia="Palatino Linotype" w:hAnsi="Palatino Linotype" w:cs="Palatino Linotype"/>
          <w:i/>
          <w:iCs/>
        </w:rPr>
        <w:t xml:space="preserve">. Hace mención de que ya está publicada; circunstancia que es totalmente falsa, tanto que no proporciona una dirección electrónica en donde se pueda obtener o donde debería estar. Suponiendo que quiera la unidad de transparencia quiera hacer referencia al portal de </w:t>
      </w:r>
      <w:proofErr w:type="spellStart"/>
      <w:r w:rsidRPr="006832F0">
        <w:rPr>
          <w:rFonts w:ascii="Palatino Linotype" w:eastAsia="Palatino Linotype" w:hAnsi="Palatino Linotype" w:cs="Palatino Linotype"/>
          <w:i/>
          <w:iCs/>
        </w:rPr>
        <w:t>ipomex</w:t>
      </w:r>
      <w:proofErr w:type="spellEnd"/>
      <w:r w:rsidRPr="006832F0">
        <w:rPr>
          <w:rFonts w:ascii="Palatino Linotype" w:eastAsia="Palatino Linotype" w:hAnsi="Palatino Linotype" w:cs="Palatino Linotype"/>
          <w:i/>
          <w:iCs/>
        </w:rPr>
        <w:t>; resulta necesario advertir que la información ahí contenida no es la actual y lejos de la realidad, tanto que el propio titular de la unidad de transparencia no se encuentra o aparece en el listado; con esto se confirma primero: que no cumple con su obligación de mantener actualizada la información. Segundo: evade su obligación de proporcionar la información. Tercero pretende engañar a esa autoridad con su respuesta y evadir una posible sanción por su conducta. cuarto: incumple la resolución de esa autoridad “(Sic)</w:t>
      </w:r>
    </w:p>
    <w:p w14:paraId="078A45CF"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5EA4D909" w14:textId="77777777" w:rsidR="00CC2C62" w:rsidRPr="006832F0" w:rsidRDefault="00000000">
      <w:pPr>
        <w:pStyle w:val="Ttulo2"/>
        <w:jc w:val="both"/>
      </w:pPr>
      <w:bookmarkStart w:id="7" w:name="_heading=h.n60cnynzipuh" w:colFirst="0" w:colLast="0"/>
      <w:bookmarkEnd w:id="7"/>
      <w:r w:rsidRPr="006832F0">
        <w:t>VII. Trámite del Recurso de Revisión número 12121/INFOEM/ICR-77/IP/RR/2025</w:t>
      </w:r>
    </w:p>
    <w:p w14:paraId="75270901" w14:textId="77777777" w:rsidR="00CC2C62" w:rsidRPr="006832F0" w:rsidRDefault="00CC2C62">
      <w:pPr>
        <w:spacing w:line="360" w:lineRule="auto"/>
        <w:jc w:val="both"/>
        <w:rPr>
          <w:rFonts w:ascii="Palatino Linotype" w:eastAsia="Palatino Linotype" w:hAnsi="Palatino Linotype" w:cs="Palatino Linotype"/>
          <w:b/>
          <w:bCs/>
          <w:color w:val="FF0000"/>
          <w:sz w:val="22"/>
          <w:szCs w:val="22"/>
        </w:rPr>
      </w:pPr>
    </w:p>
    <w:p w14:paraId="75916A4A" w14:textId="77777777" w:rsidR="00CC2C62" w:rsidRPr="006832F0" w:rsidRDefault="00000000">
      <w:pPr>
        <w:tabs>
          <w:tab w:val="center" w:pos="4560"/>
          <w:tab w:val="left" w:pos="8207"/>
        </w:tabs>
        <w:spacing w:line="360" w:lineRule="auto"/>
        <w:jc w:val="both"/>
        <w:rPr>
          <w:rFonts w:ascii="Palatino Linotype" w:eastAsia="Palatino Linotype" w:hAnsi="Palatino Linotype" w:cs="Palatino Linotype"/>
          <w:sz w:val="22"/>
          <w:szCs w:val="22"/>
        </w:rPr>
      </w:pPr>
      <w:bookmarkStart w:id="8" w:name="_heading=h.iojnw3uzdvum" w:colFirst="0" w:colLast="0"/>
      <w:bookmarkEnd w:id="8"/>
      <w:r w:rsidRPr="006832F0">
        <w:rPr>
          <w:rFonts w:ascii="Palatino Linotype" w:eastAsia="Palatino Linotype" w:hAnsi="Palatino Linotype" w:cs="Palatino Linotype"/>
          <w:b/>
          <w:bCs/>
          <w:sz w:val="22"/>
          <w:szCs w:val="22"/>
        </w:rPr>
        <w:t>a) Turno de los Recursos de Revisión.</w:t>
      </w:r>
      <w:r w:rsidRPr="006832F0">
        <w:rPr>
          <w:rFonts w:ascii="Palatino Linotype" w:eastAsia="Palatino Linotype" w:hAnsi="Palatino Linotype" w:cs="Palatino Linotype"/>
          <w:sz w:val="22"/>
          <w:szCs w:val="22"/>
        </w:rPr>
        <w:t xml:space="preserve"> El seis de febrero de dos mil veintiséis, el Sistema de Acceso a la Información Mexiquense (SAIMEX), asignó el número de expediente </w:t>
      </w:r>
      <w:r w:rsidRPr="006832F0">
        <w:rPr>
          <w:rFonts w:ascii="Palatino Linotype" w:eastAsia="Palatino Linotype" w:hAnsi="Palatino Linotype" w:cs="Palatino Linotype"/>
          <w:b/>
          <w:bCs/>
          <w:sz w:val="22"/>
          <w:szCs w:val="22"/>
        </w:rPr>
        <w:t>12121/INFOEM/ICR-77/IP/RR/2025</w:t>
      </w:r>
      <w:r w:rsidRPr="006832F0">
        <w:rPr>
          <w:rFonts w:ascii="Palatino Linotype" w:eastAsia="Palatino Linotype" w:hAnsi="Palatino Linotype" w:cs="Palatino Linotype"/>
          <w:sz w:val="22"/>
          <w:szCs w:val="22"/>
        </w:rPr>
        <w:t xml:space="preserve">, al Medio de Impugnación que nos ocupa, con base en el sistema aprobado por el Pleno de este Organismo Garante y los turnó al </w:t>
      </w:r>
      <w:r w:rsidRPr="006832F0">
        <w:rPr>
          <w:rFonts w:ascii="Palatino Linotype" w:eastAsia="Palatino Linotype" w:hAnsi="Palatino Linotype" w:cs="Palatino Linotype"/>
          <w:b/>
          <w:bCs/>
          <w:sz w:val="22"/>
          <w:szCs w:val="22"/>
        </w:rPr>
        <w:t>Comisionado Ponente Luis Gustavo Parra Noriega</w:t>
      </w:r>
      <w:r w:rsidRPr="006832F0">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14:paraId="66A78DB2" w14:textId="77777777" w:rsidR="00CC2C62" w:rsidRPr="006832F0" w:rsidRDefault="00CC2C62">
      <w:pPr>
        <w:spacing w:line="360" w:lineRule="auto"/>
        <w:jc w:val="both"/>
        <w:rPr>
          <w:rFonts w:ascii="Palatino Linotype" w:eastAsia="Palatino Linotype" w:hAnsi="Palatino Linotype" w:cs="Palatino Linotype"/>
          <w:color w:val="FF0000"/>
          <w:sz w:val="22"/>
          <w:szCs w:val="22"/>
        </w:rPr>
      </w:pPr>
    </w:p>
    <w:p w14:paraId="44F3C666"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b/>
          <w:bCs/>
          <w:sz w:val="22"/>
          <w:szCs w:val="22"/>
        </w:rPr>
        <w:t xml:space="preserve">b) Admisión del Recurso de Revisión. </w:t>
      </w:r>
      <w:r w:rsidRPr="006832F0">
        <w:rPr>
          <w:rFonts w:ascii="Palatino Linotype" w:eastAsia="Palatino Linotype" w:hAnsi="Palatino Linotype" w:cs="Palatino Linotype"/>
          <w:sz w:val="22"/>
          <w:szCs w:val="22"/>
        </w:rPr>
        <w:t xml:space="preserve">El once de febrero de dos mil veintiséis, se acordó la admisión del Recurso de Revisión número </w:t>
      </w:r>
      <w:r w:rsidRPr="006832F0">
        <w:rPr>
          <w:rFonts w:ascii="Palatino Linotype" w:eastAsia="Palatino Linotype" w:hAnsi="Palatino Linotype" w:cs="Palatino Linotype"/>
          <w:b/>
          <w:bCs/>
          <w:sz w:val="22"/>
          <w:szCs w:val="22"/>
        </w:rPr>
        <w:t>12121/INFOEM/ICR-77/IP/RR/2025</w:t>
      </w:r>
      <w:r w:rsidRPr="006832F0">
        <w:rPr>
          <w:rFonts w:ascii="Palatino Linotype" w:eastAsia="Palatino Linotype" w:hAnsi="Palatino Linotype" w:cs="Palatino Linotype"/>
          <w:sz w:val="22"/>
          <w:szCs w:val="22"/>
        </w:rPr>
        <w:t xml:space="preserve">, interpuesto por el Particular en contra del Sujeto Obligado, en términos del artículo 185, fracciones I, II y IV de la Ley de Transparencia y Acceso a la Información Pública del Estado de México y Municipios, el  cual fue notificado a las partes el mismo día, a través del Sistema de Acceso a </w:t>
      </w:r>
      <w:r w:rsidRPr="006832F0">
        <w:rPr>
          <w:rFonts w:ascii="Palatino Linotype" w:eastAsia="Palatino Linotype" w:hAnsi="Palatino Linotype" w:cs="Palatino Linotype"/>
          <w:sz w:val="22"/>
          <w:szCs w:val="22"/>
        </w:rPr>
        <w:lastRenderedPageBreak/>
        <w:t>la Información Mexiquense (SAIMEX), en el que se les otorgó un plazo de siete días hábiles posteriores a la misma, para que manifestaran lo que a su derecho conviniera y formularan alegatos.</w:t>
      </w:r>
      <w:r w:rsidRPr="006832F0">
        <w:rPr>
          <w:rFonts w:ascii="Palatino Linotype" w:eastAsia="Palatino Linotype" w:hAnsi="Palatino Linotype" w:cs="Palatino Linotype"/>
          <w:b/>
          <w:bCs/>
          <w:sz w:val="22"/>
          <w:szCs w:val="22"/>
        </w:rPr>
        <w:t xml:space="preserve"> </w:t>
      </w:r>
    </w:p>
    <w:p w14:paraId="570EFDA3" w14:textId="77777777" w:rsidR="00CC2C62" w:rsidRPr="006832F0" w:rsidRDefault="00CC2C62">
      <w:pPr>
        <w:spacing w:line="360" w:lineRule="auto"/>
        <w:jc w:val="both"/>
        <w:rPr>
          <w:rFonts w:ascii="Palatino Linotype" w:eastAsia="Palatino Linotype" w:hAnsi="Palatino Linotype" w:cs="Palatino Linotype"/>
          <w:color w:val="FF0000"/>
          <w:sz w:val="22"/>
          <w:szCs w:val="22"/>
        </w:rPr>
      </w:pPr>
    </w:p>
    <w:p w14:paraId="75253419"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b/>
          <w:bCs/>
          <w:sz w:val="22"/>
          <w:szCs w:val="22"/>
        </w:rPr>
        <w:t xml:space="preserve">c) Informe Justificado o manifestaciones. </w:t>
      </w:r>
      <w:r w:rsidRPr="006832F0">
        <w:rPr>
          <w:rFonts w:ascii="Palatino Linotype" w:eastAsia="Palatino Linotype" w:hAnsi="Palatino Linotype" w:cs="Palatino Linotype"/>
          <w:sz w:val="22"/>
          <w:szCs w:val="22"/>
        </w:rPr>
        <w:t>Las partes fueron omisas en emitir manifestaciones o alegatos.</w:t>
      </w:r>
    </w:p>
    <w:p w14:paraId="2F4C93C7" w14:textId="77777777" w:rsidR="00CC2C62" w:rsidRPr="006832F0" w:rsidRDefault="00CC2C62">
      <w:pPr>
        <w:spacing w:line="360" w:lineRule="auto"/>
        <w:jc w:val="both"/>
        <w:rPr>
          <w:rFonts w:ascii="Palatino Linotype" w:eastAsia="Palatino Linotype" w:hAnsi="Palatino Linotype" w:cs="Palatino Linotype"/>
          <w:b/>
          <w:bCs/>
          <w:color w:val="FF0000"/>
          <w:sz w:val="22"/>
          <w:szCs w:val="22"/>
        </w:rPr>
      </w:pPr>
    </w:p>
    <w:p w14:paraId="27CDF3F7"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b/>
          <w:bCs/>
          <w:sz w:val="22"/>
          <w:szCs w:val="22"/>
        </w:rPr>
        <w:t>d) Cierre de instrucción.</w:t>
      </w:r>
      <w:r w:rsidRPr="006832F0">
        <w:rPr>
          <w:rFonts w:ascii="Palatino Linotype" w:eastAsia="Palatino Linotype" w:hAnsi="Palatino Linotype" w:cs="Palatino Linotype"/>
          <w:sz w:val="22"/>
          <w:szCs w:val="22"/>
        </w:rPr>
        <w:t xml:space="preserve"> El veinticuatro de febrero de dos mil veintiséis,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(SAIMEX).</w:t>
      </w:r>
    </w:p>
    <w:p w14:paraId="231506D3" w14:textId="77777777" w:rsidR="00CC2C62" w:rsidRPr="006832F0" w:rsidRDefault="00CC2C62">
      <w:pPr>
        <w:spacing w:line="360" w:lineRule="auto"/>
        <w:jc w:val="both"/>
        <w:rPr>
          <w:rFonts w:ascii="Palatino Linotype" w:eastAsia="Palatino Linotype" w:hAnsi="Palatino Linotype" w:cs="Palatino Linotype"/>
          <w:b/>
          <w:bCs/>
          <w:sz w:val="18"/>
          <w:szCs w:val="18"/>
        </w:rPr>
      </w:pPr>
    </w:p>
    <w:p w14:paraId="78B39A0D"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1D29D6EA" w14:textId="77777777" w:rsidR="00CC2C62" w:rsidRPr="006832F0" w:rsidRDefault="00CC2C62">
      <w:pPr>
        <w:tabs>
          <w:tab w:val="left" w:pos="3218"/>
        </w:tabs>
        <w:spacing w:line="360" w:lineRule="auto"/>
        <w:jc w:val="both"/>
        <w:rPr>
          <w:rFonts w:ascii="Palatino Linotype" w:eastAsia="Palatino Linotype" w:hAnsi="Palatino Linotype" w:cs="Palatino Linotype"/>
          <w:color w:val="000000"/>
          <w:sz w:val="22"/>
          <w:szCs w:val="22"/>
        </w:rPr>
      </w:pPr>
    </w:p>
    <w:p w14:paraId="6926A1F4" w14:textId="77777777" w:rsidR="00CC2C62" w:rsidRPr="006832F0" w:rsidRDefault="00000000">
      <w:pPr>
        <w:pStyle w:val="Ttulo1"/>
      </w:pPr>
      <w:bookmarkStart w:id="9" w:name="_heading=h.67joebd9pkhj" w:colFirst="0" w:colLast="0"/>
      <w:bookmarkEnd w:id="9"/>
      <w:r w:rsidRPr="006832F0">
        <w:t>C O N S I D E R A N D O S</w:t>
      </w:r>
    </w:p>
    <w:p w14:paraId="0A1FEA68" w14:textId="77777777" w:rsidR="00CC2C62" w:rsidRPr="006832F0" w:rsidRDefault="00CC2C62">
      <w:pPr>
        <w:spacing w:line="360" w:lineRule="auto"/>
        <w:jc w:val="both"/>
        <w:rPr>
          <w:rFonts w:ascii="Palatino Linotype" w:eastAsia="Palatino Linotype" w:hAnsi="Palatino Linotype" w:cs="Palatino Linotype"/>
          <w:b/>
          <w:bCs/>
          <w:sz w:val="22"/>
          <w:szCs w:val="22"/>
        </w:rPr>
      </w:pPr>
    </w:p>
    <w:p w14:paraId="05704651" w14:textId="77777777" w:rsidR="00CC2C62" w:rsidRPr="006832F0" w:rsidRDefault="00000000">
      <w:pPr>
        <w:pStyle w:val="Ttulo2"/>
      </w:pPr>
      <w:bookmarkStart w:id="10" w:name="_heading=h.wztgx0gpcdb" w:colFirst="0" w:colLast="0"/>
      <w:bookmarkEnd w:id="10"/>
      <w:r w:rsidRPr="006832F0">
        <w:t>PRIMERO. Competencia</w:t>
      </w:r>
    </w:p>
    <w:p w14:paraId="3F463D2F" w14:textId="77777777" w:rsidR="00CC2C62" w:rsidRPr="006832F0" w:rsidRDefault="00CC2C62">
      <w:pPr>
        <w:spacing w:line="360" w:lineRule="auto"/>
        <w:jc w:val="both"/>
        <w:rPr>
          <w:rFonts w:ascii="Palatino Linotype" w:eastAsia="Palatino Linotype" w:hAnsi="Palatino Linotype" w:cs="Palatino Linotype"/>
          <w:b/>
          <w:bCs/>
          <w:sz w:val="22"/>
          <w:szCs w:val="22"/>
        </w:rPr>
      </w:pPr>
    </w:p>
    <w:p w14:paraId="04A610EA"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w:t>
      </w:r>
      <w:r w:rsidRPr="006832F0">
        <w:rPr>
          <w:rFonts w:ascii="Palatino Linotype" w:eastAsia="Palatino Linotype" w:hAnsi="Palatino Linotype" w:cs="Palatino Linotype"/>
          <w:sz w:val="22"/>
          <w:szCs w:val="22"/>
        </w:rPr>
        <w:lastRenderedPageBreak/>
        <w:t>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1E39681"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4311C73A" w14:textId="77777777" w:rsidR="00CC2C62" w:rsidRPr="006832F0" w:rsidRDefault="00000000">
      <w:pPr>
        <w:pStyle w:val="Ttulo2"/>
      </w:pPr>
      <w:bookmarkStart w:id="11" w:name="_heading=h.a9f6ywyn0dxr" w:colFirst="0" w:colLast="0"/>
      <w:bookmarkEnd w:id="11"/>
      <w:r w:rsidRPr="006832F0">
        <w:t>SEGUNDO. Causales de improcedencia y Sobreseimiento</w:t>
      </w:r>
    </w:p>
    <w:p w14:paraId="1C14D95C"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66E3575E"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r w:rsidRPr="006832F0">
        <w:rPr>
          <w:rFonts w:ascii="Palatino Linotype" w:eastAsia="Palatino Linotype" w:hAnsi="Palatino Linotype" w:cs="Palatino Linotype"/>
          <w:i/>
          <w:iCs/>
          <w:sz w:val="22"/>
          <w:szCs w:val="22"/>
        </w:rPr>
        <w:t>litis</w:t>
      </w:r>
      <w:r w:rsidRPr="006832F0">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3A9B8CC9"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7C74DA7A" w14:textId="77777777" w:rsidR="00CC2C62" w:rsidRPr="006832F0" w:rsidRDefault="00000000">
      <w:pPr>
        <w:spacing w:line="360" w:lineRule="auto"/>
        <w:jc w:val="both"/>
        <w:rPr>
          <w:rFonts w:ascii="Palatino Linotype" w:eastAsia="Palatino Linotype" w:hAnsi="Palatino Linotype" w:cs="Palatino Linotype"/>
          <w:b/>
          <w:bCs/>
          <w:sz w:val="22"/>
          <w:szCs w:val="22"/>
        </w:rPr>
      </w:pPr>
      <w:r w:rsidRPr="006832F0">
        <w:rPr>
          <w:rFonts w:ascii="Palatino Linotype" w:eastAsia="Palatino Linotype" w:hAnsi="Palatino Linotype" w:cs="Palatino Linotype"/>
          <w:b/>
          <w:bCs/>
          <w:sz w:val="22"/>
          <w:szCs w:val="22"/>
        </w:rPr>
        <w:t>Causales de improcedencia</w:t>
      </w:r>
    </w:p>
    <w:p w14:paraId="29EE63E5"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397B1F7C"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373A2FA"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46401CDF"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lastRenderedPageBreak/>
        <w:t>En el presente caso, </w:t>
      </w:r>
      <w:r w:rsidRPr="006832F0">
        <w:rPr>
          <w:rFonts w:ascii="Palatino Linotype" w:eastAsia="Palatino Linotype" w:hAnsi="Palatino Linotype" w:cs="Palatino Linotype"/>
          <w:b/>
          <w:bCs/>
          <w:sz w:val="22"/>
          <w:szCs w:val="22"/>
        </w:rPr>
        <w:t>no se actualiza ninguna de las causales de improcedencia</w:t>
      </w:r>
      <w:r w:rsidRPr="006832F0">
        <w:rPr>
          <w:rFonts w:ascii="Palatino Linotype" w:eastAsia="Palatino Linotype" w:hAnsi="Palatino Linotype" w:cs="Palatino Linotype"/>
          <w:sz w:val="22"/>
          <w:szCs w:val="22"/>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24A07EDD"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3C2FB4AF"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Ahora bien, el último párrafo, de dicho artículo, establece que procede un Medio de Impugnación, en contra de las respuestas otorgadas por los sujetos obligados, en cumplimiento a una resolución de otro diverso, en el cual, la controversia recaiga, en la falta de respuesta a una solicitud de información.</w:t>
      </w:r>
    </w:p>
    <w:p w14:paraId="0D337398"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09E655C7"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 xml:space="preserve">En ese orden de ideas, cabe referir que en el expediente con número de folio 12121/INFOEM/IP/RR/2025, se dictó Resolución, en la cual se determinó como causal de procedencia, la fracción VII, del artículo 179 de la Ley de Transparencia y Acceso a la Información Pública del Estado de México y Municipios, es decir, de la falta de respuesta; además, se concluyó </w:t>
      </w:r>
      <w:r w:rsidRPr="006832F0">
        <w:rPr>
          <w:rFonts w:ascii="Palatino Linotype" w:eastAsia="Palatino Linotype" w:hAnsi="Palatino Linotype" w:cs="Palatino Linotype"/>
          <w:b/>
          <w:bCs/>
          <w:sz w:val="22"/>
          <w:szCs w:val="22"/>
        </w:rPr>
        <w:t>ORDENAR</w:t>
      </w:r>
      <w:r w:rsidRPr="006832F0">
        <w:rPr>
          <w:rFonts w:ascii="Palatino Linotype" w:eastAsia="Palatino Linotype" w:hAnsi="Palatino Linotype" w:cs="Palatino Linotype"/>
          <w:sz w:val="22"/>
          <w:szCs w:val="22"/>
        </w:rPr>
        <w:t xml:space="preserve"> al Ayuntamiento de Almoloya de Juárez, a emitir respuesta a la solicitud de información con número 00415/ALMOJU/IP/2025, materia del presente Recurso de Revisión.</w:t>
      </w:r>
    </w:p>
    <w:p w14:paraId="647578AD"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09A36655"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 xml:space="preserve">Ahora bien, mediante el Sistema de Acceso a la Información Mexiquense (SAIMEX), el Sujeto Obligado emitió respuesta al requerimiento de información previamente referido, en cumplimiento a la Resolución del Recurso de Revisión con número 12121/INFOEM/IP/RR/2025, en donde únicamente precisó que la información se encuentra publicada en el sistema de Información Pública de Oficio Mexiquense (IPOMEX) del Sujeto </w:t>
      </w:r>
      <w:r w:rsidRPr="006832F0">
        <w:rPr>
          <w:rFonts w:ascii="Palatino Linotype" w:eastAsia="Palatino Linotype" w:hAnsi="Palatino Linotype" w:cs="Palatino Linotype"/>
          <w:sz w:val="22"/>
          <w:szCs w:val="22"/>
        </w:rPr>
        <w:lastRenderedPageBreak/>
        <w:t xml:space="preserve">Obligado, motivo por el cual determinó desechar la solicitud de acceso a la información pues ya se encuentra debidamente publicada y actualizada en el portal IPOMEX. </w:t>
      </w:r>
    </w:p>
    <w:p w14:paraId="5C998A6B"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096005EA"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Así, el ahora Recurrente se inconformó de dicha respuesta, al agraviarse de la entrega de información que no corresponde con lo solicitado, por lo cual, se concluye que actualiza el último párrafo del artículo 179 de la Ley de Transparencia y Acceso a la Información Pública del Estado de México y Municipios, toda vez que la controversia en el Recurso de Revisión 12121/INFOEM/IP/RR/2025, se fijó en la falta de respuesta al requerimiento informativo. Así, ante la contestación que recayó, derivada de dicha determinación, procede el presente Medio de Impugnación.</w:t>
      </w:r>
    </w:p>
    <w:p w14:paraId="43CF89B8"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0BE33C07"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Además, en el caso concreto, resulta aplicable el supuesto previsto en la fracción VI de dicho artículo, dado que el Particular, se inconformó de la entrega de información que no corresponde con lo solicitado; por lo que resulta procedente el presente Medio de Impugnación.</w:t>
      </w:r>
    </w:p>
    <w:p w14:paraId="27828667"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556AD730" w14:textId="77777777" w:rsidR="00CC2C62" w:rsidRPr="006832F0" w:rsidRDefault="00000000">
      <w:pPr>
        <w:spacing w:line="360" w:lineRule="auto"/>
        <w:jc w:val="both"/>
        <w:rPr>
          <w:rFonts w:ascii="Palatino Linotype" w:eastAsia="Palatino Linotype" w:hAnsi="Palatino Linotype" w:cs="Palatino Linotype"/>
          <w:b/>
          <w:bCs/>
          <w:color w:val="0D0D0D"/>
          <w:sz w:val="22"/>
          <w:szCs w:val="22"/>
        </w:rPr>
      </w:pPr>
      <w:r w:rsidRPr="006832F0">
        <w:rPr>
          <w:rFonts w:ascii="Palatino Linotype" w:eastAsia="Palatino Linotype" w:hAnsi="Palatino Linotype" w:cs="Palatino Linotype"/>
          <w:b/>
          <w:bCs/>
          <w:color w:val="0D0D0D"/>
          <w:sz w:val="22"/>
          <w:szCs w:val="22"/>
        </w:rPr>
        <w:t>Causales de sobreseimiento</w:t>
      </w:r>
    </w:p>
    <w:p w14:paraId="7ECE27FF" w14:textId="77777777" w:rsidR="00CC2C62" w:rsidRPr="006832F0" w:rsidRDefault="00CC2C62">
      <w:pPr>
        <w:spacing w:line="360" w:lineRule="auto"/>
        <w:jc w:val="both"/>
        <w:rPr>
          <w:rFonts w:ascii="Palatino Linotype" w:eastAsia="Palatino Linotype" w:hAnsi="Palatino Linotype" w:cs="Palatino Linotype"/>
          <w:color w:val="0D0D0D"/>
          <w:sz w:val="22"/>
          <w:szCs w:val="22"/>
        </w:rPr>
      </w:pPr>
    </w:p>
    <w:p w14:paraId="45E1607E" w14:textId="77777777" w:rsidR="00CC2C62" w:rsidRPr="006832F0" w:rsidRDefault="00000000">
      <w:pPr>
        <w:spacing w:line="360" w:lineRule="auto"/>
        <w:jc w:val="both"/>
        <w:rPr>
          <w:rFonts w:ascii="Palatino Linotype" w:eastAsia="Palatino Linotype" w:hAnsi="Palatino Linotype" w:cs="Palatino Linotype"/>
          <w:color w:val="0D0D0D"/>
          <w:sz w:val="22"/>
          <w:szCs w:val="22"/>
        </w:rPr>
      </w:pPr>
      <w:r w:rsidRPr="006832F0">
        <w:rPr>
          <w:rFonts w:ascii="Palatino Linotype" w:eastAsia="Palatino Linotype" w:hAnsi="Palatino Linotype" w:cs="Palatino Linotype"/>
          <w:color w:val="0D0D0D"/>
          <w:sz w:val="22"/>
          <w:szCs w:val="22"/>
        </w:rPr>
        <w:t>Por ser de previo y especial pronunciamiento, este Instituto analiza si se actualiza alguna causal de sobreseimiento.</w:t>
      </w:r>
    </w:p>
    <w:p w14:paraId="723F892D" w14:textId="77777777" w:rsidR="00CC2C62" w:rsidRPr="006832F0" w:rsidRDefault="00CC2C62">
      <w:pPr>
        <w:spacing w:line="360" w:lineRule="auto"/>
        <w:jc w:val="both"/>
        <w:rPr>
          <w:rFonts w:ascii="Palatino Linotype" w:eastAsia="Palatino Linotype" w:hAnsi="Palatino Linotype" w:cs="Palatino Linotype"/>
          <w:color w:val="0D0D0D"/>
          <w:sz w:val="22"/>
          <w:szCs w:val="22"/>
        </w:rPr>
      </w:pPr>
    </w:p>
    <w:p w14:paraId="0A7E8786"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w:t>
      </w:r>
      <w:r w:rsidRPr="006832F0">
        <w:rPr>
          <w:rFonts w:ascii="Palatino Linotype" w:eastAsia="Palatino Linotype" w:hAnsi="Palatino Linotype" w:cs="Palatino Linotype"/>
          <w:sz w:val="22"/>
          <w:szCs w:val="22"/>
        </w:rPr>
        <w:lastRenderedPageBreak/>
        <w:t>haya fallecido, sobreviniera alguna causal de improcedencia, que el Sujeto Obligado hubiese modificado o revocado el acto impugnado o bien, haya quedado sin materia.</w:t>
      </w:r>
    </w:p>
    <w:p w14:paraId="3321E30B"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360FDBC9" w14:textId="77777777" w:rsidR="00CC2C62" w:rsidRPr="006832F0" w:rsidRDefault="00000000">
      <w:pPr>
        <w:spacing w:line="360" w:lineRule="auto"/>
        <w:jc w:val="both"/>
        <w:rPr>
          <w:rFonts w:ascii="Palatino Linotype" w:eastAsia="Palatino Linotype" w:hAnsi="Palatino Linotype" w:cs="Palatino Linotype"/>
          <w:color w:val="0D0D0D"/>
          <w:sz w:val="22"/>
          <w:szCs w:val="22"/>
        </w:rPr>
      </w:pPr>
      <w:r w:rsidRPr="006832F0">
        <w:rPr>
          <w:rFonts w:ascii="Palatino Linotype" w:eastAsia="Palatino Linotype" w:hAnsi="Palatino Linotype" w:cs="Palatino Linotype"/>
          <w:color w:val="0D0D0D"/>
          <w:sz w:val="22"/>
          <w:szCs w:val="22"/>
        </w:rPr>
        <w:t xml:space="preserve">Por tales motivos, se considera procedente entrar al fondo del presente asunto. </w:t>
      </w:r>
    </w:p>
    <w:p w14:paraId="196F901A" w14:textId="77777777" w:rsidR="00CC2C62" w:rsidRPr="006832F0" w:rsidRDefault="00CC2C62">
      <w:pPr>
        <w:spacing w:line="360" w:lineRule="auto"/>
        <w:jc w:val="both"/>
        <w:rPr>
          <w:rFonts w:ascii="Palatino Linotype" w:eastAsia="Palatino Linotype" w:hAnsi="Palatino Linotype" w:cs="Palatino Linotype"/>
          <w:color w:val="0D0D0D"/>
          <w:sz w:val="22"/>
          <w:szCs w:val="22"/>
        </w:rPr>
      </w:pPr>
    </w:p>
    <w:p w14:paraId="67F8065E" w14:textId="77777777" w:rsidR="00CC2C62" w:rsidRPr="006832F0" w:rsidRDefault="00000000">
      <w:pPr>
        <w:pStyle w:val="Ttulo2"/>
      </w:pPr>
      <w:bookmarkStart w:id="12" w:name="_heading=h.ndnrl0th4h76" w:colFirst="0" w:colLast="0"/>
      <w:bookmarkEnd w:id="12"/>
      <w:r w:rsidRPr="006832F0">
        <w:t>TERCERO. Determinación de la Controversia</w:t>
      </w:r>
    </w:p>
    <w:p w14:paraId="31192495"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2C9D3934" w14:textId="77777777" w:rsidR="00CC2C62" w:rsidRPr="006832F0" w:rsidRDefault="00000000">
      <w:pPr>
        <w:tabs>
          <w:tab w:val="left" w:pos="4962"/>
        </w:tabs>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Con el objeto de ilustrar la controversia planteada, resulta conveniente precisar, que una vez realizado el estudio de las constancias que integran el expediente en que se actúa, se desprende que el Particular requirió la nómina o remuneraciones del personal adscrito al Ayuntamiento, al veintitrés de septiembre de dos mil veinticinco.</w:t>
      </w:r>
    </w:p>
    <w:p w14:paraId="26A847E6" w14:textId="77777777" w:rsidR="00CC2C62" w:rsidRPr="006832F0" w:rsidRDefault="00000000">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 Así las cosas, una vez admitido y notificado el Recurso de Revisión a las partes, estas fueron omisas en realizar manifestaciones o alegatos.</w:t>
      </w:r>
    </w:p>
    <w:p w14:paraId="20DB0B63" w14:textId="77777777" w:rsidR="00CC2C62" w:rsidRPr="006832F0" w:rsidRDefault="00CC2C62">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0E509DB9" w14:textId="77777777" w:rsidR="00CC2C62" w:rsidRPr="006832F0" w:rsidRDefault="00000000">
      <w:pPr>
        <w:tabs>
          <w:tab w:val="left" w:pos="4962"/>
        </w:tabs>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 xml:space="preserve">Mediante la Resolución del Recurso de Revisión 12121/INFOEM/IP/RR/2025, el Pleno de este Instituto, determinó como </w:t>
      </w:r>
      <w:r w:rsidRPr="006832F0">
        <w:rPr>
          <w:rFonts w:ascii="Palatino Linotype" w:eastAsia="Palatino Linotype" w:hAnsi="Palatino Linotype" w:cs="Palatino Linotype"/>
          <w:b/>
          <w:bCs/>
          <w:color w:val="000000"/>
          <w:sz w:val="22"/>
          <w:szCs w:val="22"/>
        </w:rPr>
        <w:t>FUNDADO</w:t>
      </w:r>
      <w:r w:rsidRPr="006832F0">
        <w:rPr>
          <w:rFonts w:ascii="Palatino Linotype" w:eastAsia="Palatino Linotype" w:hAnsi="Palatino Linotype" w:cs="Palatino Linotype"/>
          <w:color w:val="000000"/>
          <w:sz w:val="22"/>
          <w:szCs w:val="22"/>
        </w:rPr>
        <w:t xml:space="preserve"> el agravio del Particular y se estableció procedente </w:t>
      </w:r>
      <w:r w:rsidRPr="006832F0">
        <w:rPr>
          <w:rFonts w:ascii="Palatino Linotype" w:eastAsia="Palatino Linotype" w:hAnsi="Palatino Linotype" w:cs="Palatino Linotype"/>
          <w:b/>
          <w:bCs/>
          <w:color w:val="000000"/>
          <w:sz w:val="22"/>
          <w:szCs w:val="22"/>
        </w:rPr>
        <w:t>ORDENAR</w:t>
      </w:r>
      <w:r w:rsidRPr="006832F0">
        <w:rPr>
          <w:rFonts w:ascii="Palatino Linotype" w:eastAsia="Palatino Linotype" w:hAnsi="Palatino Linotype" w:cs="Palatino Linotype"/>
          <w:color w:val="000000"/>
          <w:sz w:val="22"/>
          <w:szCs w:val="22"/>
        </w:rPr>
        <w:t xml:space="preserve"> al Ayuntamiento de Almoloya de Juárez, a efecto de que proporcionara la documentación requerida.</w:t>
      </w:r>
    </w:p>
    <w:p w14:paraId="45BF83FE" w14:textId="77777777" w:rsidR="00CC2C62" w:rsidRPr="006832F0" w:rsidRDefault="00CC2C62">
      <w:pPr>
        <w:tabs>
          <w:tab w:val="left" w:pos="4962"/>
        </w:tabs>
        <w:spacing w:line="360" w:lineRule="auto"/>
        <w:jc w:val="both"/>
        <w:rPr>
          <w:rFonts w:ascii="Palatino Linotype" w:eastAsia="Palatino Linotype" w:hAnsi="Palatino Linotype" w:cs="Palatino Linotype"/>
          <w:color w:val="000000"/>
          <w:sz w:val="22"/>
          <w:szCs w:val="22"/>
        </w:rPr>
      </w:pPr>
    </w:p>
    <w:p w14:paraId="5F37938B" w14:textId="77777777" w:rsidR="00CC2C62" w:rsidRPr="006832F0" w:rsidRDefault="00000000">
      <w:pPr>
        <w:tabs>
          <w:tab w:val="left" w:pos="4962"/>
        </w:tabs>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 xml:space="preserve">En cumplimiento a la determinación previamente señalada, el Sujeto Obligado precisó que la información solicitada se encuentra publicada y actualizada en su portal de Información Pública de Oficio Mexiquense (IPOMEX), motivo por el cual determinó el desechamiento de la solicitud de acceso a la información; ante dicha circunstancia el particular se inconformó de </w:t>
      </w:r>
      <w:r w:rsidRPr="006832F0">
        <w:rPr>
          <w:rFonts w:ascii="Palatino Linotype" w:eastAsia="Palatino Linotype" w:hAnsi="Palatino Linotype" w:cs="Palatino Linotype"/>
          <w:color w:val="000000"/>
          <w:sz w:val="22"/>
          <w:szCs w:val="22"/>
        </w:rPr>
        <w:lastRenderedPageBreak/>
        <w:t xml:space="preserve">la entrega de información que no corresponde con lo solicitado, lo cual se actualiza el supuesto previsto en el artículo 179, fracción VI, de la Ley de Transparencia y Acceso a la Información Pública del Estado de México y Municipios. Así las cosas, una vez admitido y notificado el Recurso de Revisión a las partes, </w:t>
      </w:r>
      <w:r w:rsidRPr="006832F0">
        <w:rPr>
          <w:rFonts w:ascii="Palatino Linotype" w:eastAsia="Palatino Linotype" w:hAnsi="Palatino Linotype" w:cs="Palatino Linotype"/>
          <w:sz w:val="22"/>
          <w:szCs w:val="22"/>
        </w:rPr>
        <w:t>estas fueron omisas en realizar manifestaciones o alegatos.</w:t>
      </w:r>
    </w:p>
    <w:p w14:paraId="72242764" w14:textId="77777777" w:rsidR="00CC2C62" w:rsidRPr="006832F0" w:rsidRDefault="00CC2C62">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700816BE" w14:textId="77777777" w:rsidR="00CC2C62" w:rsidRPr="006832F0" w:rsidRDefault="00000000">
      <w:pPr>
        <w:tabs>
          <w:tab w:val="left" w:pos="4962"/>
        </w:tabs>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Lo anterior, se desprende de las documentales que obran en el expediente de referencia, materia de la presente resolución, consistente en: la solicitud de acceso a la información; el escrito recursal; la resolución emitida; la respuesta entregada en cumplimiento y el Segundo Recurso de Revisión; instrumentales que se toman en cuenta a efecto de resolver el presente medio de impugnación, conforme a lo dispuesto por el artículo 185, fracción IV, de la Ley de Transparencia y Acceso a la Información Pública del Estado de México y Municipios.</w:t>
      </w:r>
    </w:p>
    <w:p w14:paraId="015D7B20" w14:textId="77777777" w:rsidR="00CC2C62" w:rsidRPr="006832F0" w:rsidRDefault="00CC2C62">
      <w:pPr>
        <w:tabs>
          <w:tab w:val="left" w:pos="4962"/>
        </w:tabs>
        <w:spacing w:line="360" w:lineRule="auto"/>
        <w:jc w:val="both"/>
        <w:rPr>
          <w:rFonts w:ascii="Palatino Linotype" w:eastAsia="Palatino Linotype" w:hAnsi="Palatino Linotype" w:cs="Palatino Linotype"/>
          <w:sz w:val="22"/>
          <w:szCs w:val="22"/>
        </w:rPr>
      </w:pPr>
    </w:p>
    <w:p w14:paraId="7A493717" w14:textId="77777777" w:rsidR="00CC2C62" w:rsidRPr="006832F0" w:rsidRDefault="00000000">
      <w:pPr>
        <w:pStyle w:val="Ttulo2"/>
        <w:jc w:val="both"/>
      </w:pPr>
      <w:bookmarkStart w:id="13" w:name="_heading=h.1xgm6fgbp8hj" w:colFirst="0" w:colLast="0"/>
      <w:bookmarkEnd w:id="13"/>
      <w:r w:rsidRPr="006832F0">
        <w:t>CUARTO. Marco normativo aplicable en materia de transparencia y acceso a la información pública</w:t>
      </w:r>
    </w:p>
    <w:p w14:paraId="65D35D99"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78BA9FB4"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A8DB686"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19A00F85"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C8016D1"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48F81DED"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lastRenderedPageBreak/>
        <w:t>En ese sentido, la Ley de Transparencia y Acceso a la Información Pública del Estado de México y Municipios (Reglamentaria del artículo 5° de la Constitución Local), establece lo siguiente:</w:t>
      </w:r>
    </w:p>
    <w:p w14:paraId="71A0EA4E"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4549B10A"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14:paraId="3719AC78"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6EFA3748"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1027AE22"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5D501442"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42613DF"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23D5416F" w14:textId="77777777" w:rsidR="00CC2C62" w:rsidRPr="006832F0" w:rsidRDefault="00000000">
      <w:pPr>
        <w:pStyle w:val="Ttulo2"/>
      </w:pPr>
      <w:bookmarkStart w:id="14" w:name="_heading=h.ql2tcink4gmx" w:colFirst="0" w:colLast="0"/>
      <w:bookmarkEnd w:id="14"/>
      <w:r w:rsidRPr="006832F0">
        <w:t>QUINTO. Estudio de Fondo</w:t>
      </w:r>
    </w:p>
    <w:p w14:paraId="473BF69F"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62710D8C"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Expuestas las posturas de las partes, se procede al análisis de los agravios hechos valer por la persona recurrente, concerniente a la entrega de información que no corresponde con lo solicitado, por lo que, en principio es necesario contextualizar la solicitud de información.</w:t>
      </w:r>
    </w:p>
    <w:p w14:paraId="2621A142"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73341BF1"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 xml:space="preserve">Al respecto, el primer párrafo, del 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w:t>
      </w:r>
      <w:r w:rsidRPr="006832F0">
        <w:rPr>
          <w:rFonts w:ascii="Palatino Linotype" w:eastAsia="Palatino Linotype" w:hAnsi="Palatino Linotype" w:cs="Palatino Linotype"/>
          <w:sz w:val="22"/>
          <w:szCs w:val="22"/>
        </w:rPr>
        <w:lastRenderedPageBreak/>
        <w:t>Administración Pública. De la misma manera, el artículo 130 de la Constitución Política del Estado Libre y Soberano de México, precisa que son servidores públicos a todas las personas que desempeñen un empleo, cargo o comisión en los Municipios.</w:t>
      </w:r>
    </w:p>
    <w:p w14:paraId="3120EAE2"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56DF9D2B"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Además, el artículo 4°, fracción VI, de la Ley del Trabajo de los servidores públicos del Estado y Municipios, precisa que son</w:t>
      </w:r>
      <w:r w:rsidRPr="006832F0">
        <w:rPr>
          <w:rFonts w:ascii="Palatino Linotype" w:eastAsia="Palatino Linotype" w:hAnsi="Palatino Linotype" w:cs="Palatino Linotype"/>
          <w:b/>
          <w:bCs/>
          <w:sz w:val="22"/>
          <w:szCs w:val="22"/>
        </w:rPr>
        <w:t>,</w:t>
      </w:r>
      <w:r w:rsidRPr="006832F0">
        <w:rPr>
          <w:rFonts w:ascii="Palatino Linotype" w:eastAsia="Palatino Linotype" w:hAnsi="Palatino Linotype" w:cs="Palatino Linotype"/>
          <w:sz w:val="22"/>
          <w:szCs w:val="22"/>
        </w:rPr>
        <w:t xml:space="preserve"> todas las personas físicas que presten a una institución pública un trabajo personal subordinado, mediante el pago de un sueldo.</w:t>
      </w:r>
    </w:p>
    <w:p w14:paraId="5B9D55E2"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3DF4A215"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6CFAD771"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6E2805C1"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Da la misma manera, el Anexo IV.5 Glosario de Términos, del Manual para la Planeación, Programación y Presupuesto de Egresos Municipal para el ejercicio fiscal dos mil veinticinco, establece que la remuneración es la percepción de un trabajador o retribución monetaria que se da en pago por su servicio o actividad desarrollada.</w:t>
      </w:r>
    </w:p>
    <w:p w14:paraId="1071B91F"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75D7A569"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6CF1B476"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0FA514DF"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lastRenderedPageBreak/>
        <w:t>Además,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que la fracción tiene como fin la publicación de la información de todos(as) los(as) servidores(as) públicos(as) de base, de confianza, integrantes, miembros del sujeto obligado y/o toda persona que desempeñe un empleo, cargo o comisión y/o ejerza actos de autoridad, relativa a: la remuneración mensual bruta y neta de conformidad con el tabulador de sueldos y salarios aplicable a cada sujeto obligado, así como todos los conceptos que sean adicionales y distintos a las remuneraciones y que, de conformidad con la normatividad aplicable a cada sujeto obligado, se entreguen, entre otros: percepciones en efectivo o en especie, prestaciones, gratificaciones, primas, comisiones, dietas, bonos, estímulos, apoyos económicos, sistemas de compensación e ingresos, especificando la periodicidad con que se otorga cada uno de éstos (quincenal, mensual, semestral, anual, por única ocasión, etcétera), lo anterior, mediante el formato 8a LGT_Art_70_Fr_VIII, tal como se muestra en el siguiente extracto:</w:t>
      </w:r>
    </w:p>
    <w:p w14:paraId="4B1E682F"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688F9D40" w14:textId="77777777" w:rsidR="00CC2C62" w:rsidRPr="006832F0" w:rsidRDefault="00000000">
      <w:pPr>
        <w:spacing w:line="360" w:lineRule="auto"/>
        <w:jc w:val="center"/>
        <w:rPr>
          <w:rFonts w:ascii="Palatino Linotype" w:eastAsia="Palatino Linotype" w:hAnsi="Palatino Linotype" w:cs="Palatino Linotype"/>
          <w:sz w:val="22"/>
          <w:szCs w:val="22"/>
        </w:rPr>
      </w:pPr>
      <w:r w:rsidRPr="006832F0">
        <w:rPr>
          <w:rFonts w:ascii="Palatino Linotype" w:eastAsia="Palatino Linotype" w:hAnsi="Palatino Linotype" w:cs="Palatino Linotype"/>
          <w:noProof/>
          <w:sz w:val="22"/>
          <w:szCs w:val="22"/>
        </w:rPr>
        <w:drawing>
          <wp:inline distT="0" distB="0" distL="0" distR="0" wp14:anchorId="28AE2866" wp14:editId="3C5098E9">
            <wp:extent cx="5181033" cy="773947"/>
            <wp:effectExtent l="0" t="0" r="0" b="0"/>
            <wp:docPr id="20466799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181033" cy="773947"/>
                    </a:xfrm>
                    <a:prstGeom prst="rect">
                      <a:avLst/>
                    </a:prstGeom>
                    <a:ln/>
                  </pic:spPr>
                </pic:pic>
              </a:graphicData>
            </a:graphic>
          </wp:inline>
        </w:drawing>
      </w:r>
    </w:p>
    <w:p w14:paraId="689099B5" w14:textId="77777777" w:rsidR="00CC2C62" w:rsidRPr="006832F0" w:rsidRDefault="00000000">
      <w:pPr>
        <w:spacing w:line="360" w:lineRule="auto"/>
        <w:jc w:val="center"/>
        <w:rPr>
          <w:rFonts w:ascii="Palatino Linotype" w:eastAsia="Palatino Linotype" w:hAnsi="Palatino Linotype" w:cs="Palatino Linotype"/>
          <w:sz w:val="22"/>
          <w:szCs w:val="22"/>
        </w:rPr>
      </w:pPr>
      <w:r w:rsidRPr="006832F0">
        <w:rPr>
          <w:rFonts w:ascii="Palatino Linotype" w:eastAsia="Palatino Linotype" w:hAnsi="Palatino Linotype" w:cs="Palatino Linotype"/>
          <w:noProof/>
          <w:sz w:val="22"/>
          <w:szCs w:val="22"/>
        </w:rPr>
        <w:lastRenderedPageBreak/>
        <w:drawing>
          <wp:inline distT="0" distB="0" distL="0" distR="0" wp14:anchorId="7B0703E6" wp14:editId="572D85EA">
            <wp:extent cx="5162847" cy="2220070"/>
            <wp:effectExtent l="0" t="0" r="0" b="0"/>
            <wp:docPr id="20466799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162847" cy="2220070"/>
                    </a:xfrm>
                    <a:prstGeom prst="rect">
                      <a:avLst/>
                    </a:prstGeom>
                    <a:ln/>
                  </pic:spPr>
                </pic:pic>
              </a:graphicData>
            </a:graphic>
          </wp:inline>
        </w:drawing>
      </w:r>
    </w:p>
    <w:p w14:paraId="0E659F75"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6BA2F1CA"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Además, precisa que el periodo de actualización de la fracción VIII es de manera trimestral y que la información deberá actualizarse dentro de los treinta días naturales siguientes al cierre del periodo de actualización.</w:t>
      </w:r>
    </w:p>
    <w:p w14:paraId="6522CB9D"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02EA4258"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En ese orden de ideas, es necesario señalar que la persona Particular presentó la solicitud de información el veintitrés de septiembre de dos mil veinticinco, y que requirió la información tal y como debía aparecer en el Portal de Información Pública de Oficio Mexiquense.</w:t>
      </w:r>
    </w:p>
    <w:p w14:paraId="6FFFEA8E"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47D63975"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En ese contexto es necesario señalar que, a la fecha de la solicitud, no se había concluido el tercer trimestre, ni se había iniciado el periodo de actualización del mismo, por lo que, lo que tenía que tener publicado el Sujeto Obligado era el segundo trimestre del dos mil veinticinco.</w:t>
      </w:r>
    </w:p>
    <w:p w14:paraId="00670F41"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0CC0EA9C"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 xml:space="preserve">Ahora bien, cabe precisar que la persona Recurrente no es </w:t>
      </w:r>
      <w:proofErr w:type="gramStart"/>
      <w:r w:rsidRPr="006832F0">
        <w:rPr>
          <w:rFonts w:ascii="Palatino Linotype" w:eastAsia="Palatino Linotype" w:hAnsi="Palatino Linotype" w:cs="Palatino Linotype"/>
          <w:sz w:val="22"/>
          <w:szCs w:val="22"/>
        </w:rPr>
        <w:t>perito</w:t>
      </w:r>
      <w:proofErr w:type="gramEnd"/>
      <w:r w:rsidRPr="006832F0">
        <w:rPr>
          <w:rFonts w:ascii="Palatino Linotype" w:eastAsia="Palatino Linotype" w:hAnsi="Palatino Linotype" w:cs="Palatino Linotype"/>
          <w:sz w:val="22"/>
          <w:szCs w:val="22"/>
        </w:rPr>
        <w:t xml:space="preserve"> en la materia, por lo que el documento que pudiera dar cuenta de lo solicitado es la Conciliación de Nómina, pues conforme a los Lineamientos para la Integración y Presentación de los Informes Trimestrales </w:t>
      </w:r>
      <w:r w:rsidRPr="006832F0">
        <w:rPr>
          <w:rFonts w:ascii="Palatino Linotype" w:eastAsia="Palatino Linotype" w:hAnsi="Palatino Linotype" w:cs="Palatino Linotype"/>
          <w:sz w:val="22"/>
          <w:szCs w:val="22"/>
        </w:rPr>
        <w:lastRenderedPageBreak/>
        <w:t>Municipales del Ejercicio Fiscal 2025 establecen que el Sujeto Obligado deberá entregar al Órgano Superior de Fiscalización la Conciliación de Nómina de manera quincenal.</w:t>
      </w:r>
    </w:p>
    <w:p w14:paraId="5FF52CC7"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5BC3A8CC"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Conforme a lo anterior, los artículos 93 y 95 de la Ley Orgánica Municipal del Estado de México, en relación con los diversos 31, inciso d, del Bando Municipal, dos mil veintidós, de Almoloya de Juárez precisan que precisan que la Tesorería Municipal es la encargada de los ingresos municipales y la responsable de realizar las erogaciones que haga el Ayuntamiento, tales como el pago de la nómina de los servidores públicos adscritos al Ayuntamiento.</w:t>
      </w:r>
    </w:p>
    <w:p w14:paraId="7C2F74D8"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43A28166"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Por lo anterior, se logra vislumbrar que la pretensión de la persona Recurrente es obtener el documento que tuviera las remuneraciones brutas y netas vigentes durante el segundo trimestre de dos mil veinticinco, de todos los servidores públicos, que incluya todas las percepciones (sueldos, prestaciones, gratificaciones, primas, comisiones, dietas, bonos, estímulos, ingresos y sistemas de compensación).</w:t>
      </w:r>
    </w:p>
    <w:p w14:paraId="4C4AF481"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7292D985"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Establecida dicha circunstancia, de las constancias que obran en el expediente electrónico, se advierte que el Sujeto Obligado no turno la solicitud de información al pronunciarse la Unidad de Transparencia;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06AFA94C"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1BFE8454"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lastRenderedPageBreak/>
        <w:t>De tal circunstancia, se logra colegir que el Sujeto Obligado incumplió con el procedimiento de búsqueda establecido en el artículo 162 de la Ley de Transparencia y Acceso a la Información Pública del Estado de México y Municipios, toda vez, que omitió gestionó el requerimiento de información al área competente de conocer de la información solicitada.</w:t>
      </w:r>
    </w:p>
    <w:p w14:paraId="0E275B71"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16EBB81F"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 xml:space="preserve">Ahora bien, en respuesta en cumplimiento a la Resolución del Recurso de Revisión 12121/INFOEM/IP/RR/2025, la Unidad de Transparencia precisó que la información solicitada se encontraba publicada , actualizada y disponible al público en el Portal de Información Pública de Oficio Mexiquense, como parte de las obligaciones de transparencia establecidas en el artículo 92, fracción VIII inciso A de la Ley de Transparencia previamente referida, motivo por el cual determinó desechar la solicitud de información. </w:t>
      </w:r>
    </w:p>
    <w:p w14:paraId="6C034E55"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55E1013F" w14:textId="77777777" w:rsidR="00CC2C62" w:rsidRPr="006832F0" w:rsidRDefault="00000000">
      <w:pPr>
        <w:tabs>
          <w:tab w:val="left" w:pos="4962"/>
        </w:tabs>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 xml:space="preserve">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w:t>
      </w:r>
      <w:r w:rsidRPr="006832F0">
        <w:rPr>
          <w:rFonts w:ascii="Palatino Linotype" w:eastAsia="Palatino Linotype" w:hAnsi="Palatino Linotype" w:cs="Palatino Linotype"/>
          <w:b/>
          <w:bCs/>
          <w:color w:val="000000"/>
          <w:sz w:val="22"/>
          <w:szCs w:val="22"/>
        </w:rPr>
        <w:t>la fuente, el lugar y la forma</w:t>
      </w:r>
      <w:r w:rsidRPr="006832F0">
        <w:rPr>
          <w:rFonts w:ascii="Palatino Linotype" w:eastAsia="Palatino Linotype" w:hAnsi="Palatino Linotype" w:cs="Palatino Linotype"/>
          <w:color w:val="000000"/>
          <w:sz w:val="22"/>
          <w:szCs w:val="22"/>
        </w:rPr>
        <w:t xml:space="preserve"> en que se puede obtener la información.</w:t>
      </w:r>
    </w:p>
    <w:p w14:paraId="33F9BD28"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 xml:space="preserve"> </w:t>
      </w:r>
    </w:p>
    <w:p w14:paraId="0EDA7742" w14:textId="77777777" w:rsidR="00CC2C62" w:rsidRPr="006832F0" w:rsidRDefault="00000000">
      <w:pPr>
        <w:widowControl w:val="0"/>
        <w:tabs>
          <w:tab w:val="center" w:pos="4522"/>
        </w:tabs>
        <w:spacing w:line="360" w:lineRule="auto"/>
        <w:jc w:val="both"/>
        <w:rPr>
          <w:rFonts w:ascii="Palatino Linotype" w:eastAsia="Palatino Linotype" w:hAnsi="Palatino Linotype" w:cs="Palatino Linotype"/>
          <w:b/>
          <w:bCs/>
          <w:color w:val="000000"/>
          <w:sz w:val="22"/>
          <w:szCs w:val="22"/>
        </w:rPr>
      </w:pPr>
      <w:r w:rsidRPr="006832F0">
        <w:rPr>
          <w:rFonts w:ascii="Palatino Linotype" w:eastAsia="Palatino Linotype" w:hAnsi="Palatino Linotype" w:cs="Palatino Linotype"/>
          <w:sz w:val="22"/>
          <w:szCs w:val="22"/>
        </w:rPr>
        <w:t xml:space="preserve">Como se logra observar, el Sujeto Obligado incumplió con lo </w:t>
      </w:r>
      <w:r w:rsidRPr="006832F0">
        <w:rPr>
          <w:rFonts w:ascii="Palatino Linotype" w:eastAsia="Palatino Linotype" w:hAnsi="Palatino Linotype" w:cs="Palatino Linotype"/>
          <w:color w:val="000000"/>
          <w:sz w:val="22"/>
          <w:szCs w:val="22"/>
        </w:rPr>
        <w:t xml:space="preserve">establecido en el artículo 161 de la Ley de Transparencia y Acceso a la Información Pública del Estado de México y Municipios, pues si bien precisó que la información se localizaba en el portal de Información Pública de Oficio Mexiquense (IPOMEX), omitió proporcionar la fuente y el procedimiento de búsqueda que la persona Recurrente debía seguir para consultar la información solicitada, lo cual da como resultado que el agravio sea </w:t>
      </w:r>
      <w:r w:rsidRPr="006832F0">
        <w:rPr>
          <w:rFonts w:ascii="Palatino Linotype" w:eastAsia="Palatino Linotype" w:hAnsi="Palatino Linotype" w:cs="Palatino Linotype"/>
          <w:b/>
          <w:bCs/>
          <w:color w:val="000000"/>
          <w:sz w:val="22"/>
          <w:szCs w:val="22"/>
        </w:rPr>
        <w:t>FUNDADO.</w:t>
      </w:r>
    </w:p>
    <w:p w14:paraId="6E1DDCA4"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0AA66C3A"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lastRenderedPageBreak/>
        <w:t>Situación que guarda relevancia, pues inclusive accediendo al apartado VIII A Remuneraciones, la persona Particular tendría que realizar una serie de pasos, que no fueron proporcionados por el Sujeto Obligado para acceder al trimestre solicitado y que da cuenta de lo peticionado, con lo cual se robustece que la orientación realizada no satisface el requerimiento de información.</w:t>
      </w:r>
    </w:p>
    <w:p w14:paraId="2D92AF3C"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6F59532E" w14:textId="77777777" w:rsidR="00CC2C62" w:rsidRPr="006832F0" w:rsidRDefault="00000000">
      <w:pPr>
        <w:spacing w:line="360" w:lineRule="auto"/>
        <w:jc w:val="both"/>
        <w:rPr>
          <w:rFonts w:ascii="Palatino Linotype" w:eastAsia="Palatino Linotype" w:hAnsi="Palatino Linotype" w:cs="Palatino Linotype"/>
          <w:sz w:val="22"/>
          <w:szCs w:val="22"/>
        </w:rPr>
      </w:pPr>
      <w:bookmarkStart w:id="15" w:name="_heading=h.ab5ztrv16pdk" w:colFirst="0" w:colLast="0"/>
      <w:bookmarkEnd w:id="15"/>
      <w:r w:rsidRPr="006832F0">
        <w:rPr>
          <w:rFonts w:ascii="Palatino Linotype" w:eastAsia="Palatino Linotype" w:hAnsi="Palatino Linotype" w:cs="Palatino Linotype"/>
          <w:color w:val="000000"/>
          <w:sz w:val="22"/>
          <w:szCs w:val="22"/>
        </w:rPr>
        <w:t xml:space="preserve">Así, este instituto considera que, para atender el requerimiento de información, el Sujeto Obligado deberá realizar una búsqueda exhaustiva y razonable en todas las áreas competentes, entre las cuales no podrá omitir a la Tesorería Municipal, a efecto de que proporcione los documentos donde consten </w:t>
      </w:r>
      <w:r w:rsidRPr="006832F0">
        <w:rPr>
          <w:rFonts w:ascii="Palatino Linotype" w:eastAsia="Palatino Linotype" w:hAnsi="Palatino Linotype" w:cs="Palatino Linotype"/>
          <w:sz w:val="22"/>
          <w:szCs w:val="22"/>
        </w:rPr>
        <w:t>las remuneraciones brutas y netas vigentes durante el segundo trimestre de dos mil veinticinco, de todos los servidores públicos, que incluya todas las percepciones (sueldos, prestaciones, gratificaciones, primas, comisiones, dietas, bonos, estímulos, ingresos y sistemas de compensación).</w:t>
      </w:r>
    </w:p>
    <w:p w14:paraId="50D9095D" w14:textId="77777777" w:rsidR="00CC2C62" w:rsidRPr="006832F0" w:rsidRDefault="00CC2C62">
      <w:pPr>
        <w:widowControl w:val="0"/>
        <w:spacing w:line="360" w:lineRule="auto"/>
        <w:jc w:val="both"/>
        <w:rPr>
          <w:rFonts w:ascii="Palatino Linotype" w:eastAsia="Palatino Linotype" w:hAnsi="Palatino Linotype" w:cs="Palatino Linotype"/>
          <w:color w:val="000000"/>
          <w:sz w:val="22"/>
          <w:szCs w:val="22"/>
        </w:rPr>
      </w:pPr>
    </w:p>
    <w:p w14:paraId="31492627" w14:textId="77777777" w:rsidR="00CC2C62" w:rsidRPr="006832F0" w:rsidRDefault="00000000">
      <w:pPr>
        <w:spacing w:line="360" w:lineRule="auto"/>
        <w:ind w:right="-28"/>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color w:val="000000"/>
          <w:sz w:val="22"/>
          <w:szCs w:val="22"/>
        </w:rPr>
        <w:t>D</w:t>
      </w:r>
      <w:r w:rsidRPr="006832F0">
        <w:rPr>
          <w:rFonts w:ascii="Palatino Linotype" w:eastAsia="Palatino Linotype" w:hAnsi="Palatino Linotype" w:cs="Palatino Linotype"/>
          <w:sz w:val="22"/>
          <w:szCs w:val="22"/>
        </w:rPr>
        <w:t>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5E497930" w14:textId="77777777" w:rsidR="00CC2C62" w:rsidRPr="006832F0" w:rsidRDefault="00CC2C62">
      <w:pPr>
        <w:spacing w:line="360" w:lineRule="auto"/>
        <w:jc w:val="both"/>
        <w:rPr>
          <w:rFonts w:ascii="Palatino Linotype" w:eastAsia="Palatino Linotype" w:hAnsi="Palatino Linotype" w:cs="Palatino Linotype"/>
          <w:color w:val="FF0000"/>
          <w:sz w:val="22"/>
          <w:szCs w:val="22"/>
        </w:rPr>
      </w:pPr>
    </w:p>
    <w:p w14:paraId="43BB0A2B"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 xml:space="preserve">De esta manera, el derecho de acceso a la información pública se satisface en aquellos casos en que se entregue el soporte documental en el que conste la información solicitada, sin necesidad de elaborar documentos </w:t>
      </w:r>
      <w:r w:rsidRPr="006832F0">
        <w:rPr>
          <w:rFonts w:ascii="Palatino Linotype" w:eastAsia="Palatino Linotype" w:hAnsi="Palatino Linotype" w:cs="Palatino Linotype"/>
          <w:i/>
          <w:iCs/>
          <w:sz w:val="22"/>
          <w:szCs w:val="22"/>
        </w:rPr>
        <w:t>ad hoc</w:t>
      </w:r>
      <w:r w:rsidRPr="006832F0">
        <w:rPr>
          <w:rFonts w:ascii="Palatino Linotype" w:eastAsia="Palatino Linotype" w:hAnsi="Palatino Linotype" w:cs="Palatino Linotype"/>
          <w:sz w:val="22"/>
          <w:szCs w:val="22"/>
        </w:rPr>
        <w:t>; lo cual, de conformidad con en el artículo 160 de la Ley de Transparencia y Acceso a la Información Pública del Estado de México y Municipios, el cual refiere que los sujetos obligados deberán entregar la información que obre en sus archivos.</w:t>
      </w:r>
    </w:p>
    <w:p w14:paraId="7981E464"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0723C931"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lastRenderedPageBreak/>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la información previamente referida. Finalmente, no pasa desapercibido para este Instituto, que la información que da cuenta de lo solicitado pudiera contener los siguientes datos: </w:t>
      </w:r>
    </w:p>
    <w:p w14:paraId="02EA0FD5"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686E063D" w14:textId="77777777" w:rsidR="00CC2C62" w:rsidRPr="006832F0" w:rsidRDefault="00000000">
      <w:pPr>
        <w:numPr>
          <w:ilvl w:val="0"/>
          <w:numId w:val="1"/>
        </w:numPr>
        <w:spacing w:line="360" w:lineRule="auto"/>
        <w:ind w:right="-28"/>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Clave Única de Registro de Población (CURP);</w:t>
      </w:r>
    </w:p>
    <w:p w14:paraId="5FF24447" w14:textId="77777777" w:rsidR="00CC2C62" w:rsidRPr="006832F0" w:rsidRDefault="00000000">
      <w:pPr>
        <w:numPr>
          <w:ilvl w:val="0"/>
          <w:numId w:val="1"/>
        </w:numPr>
        <w:spacing w:line="360" w:lineRule="auto"/>
        <w:ind w:right="-28"/>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Registro Federal de Contribuyentes del Servidor Público (RFC);</w:t>
      </w:r>
    </w:p>
    <w:p w14:paraId="6C323AC5" w14:textId="77777777" w:rsidR="00CC2C62" w:rsidRPr="006832F0" w:rsidRDefault="00000000">
      <w:pPr>
        <w:numPr>
          <w:ilvl w:val="0"/>
          <w:numId w:val="1"/>
        </w:numPr>
        <w:spacing w:line="360" w:lineRule="auto"/>
        <w:ind w:right="-28"/>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 xml:space="preserve">Número de Seguridad Social del Instituto de Seguridad Social del Estado de México y Municipios; y </w:t>
      </w:r>
    </w:p>
    <w:p w14:paraId="5E0595BE" w14:textId="77777777" w:rsidR="00CC2C62" w:rsidRPr="006832F0" w:rsidRDefault="00000000">
      <w:pPr>
        <w:numPr>
          <w:ilvl w:val="0"/>
          <w:numId w:val="1"/>
        </w:numPr>
        <w:spacing w:line="360" w:lineRule="auto"/>
        <w:ind w:right="-28"/>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Deducciones Personales.</w:t>
      </w:r>
    </w:p>
    <w:p w14:paraId="174E95BC" w14:textId="77777777" w:rsidR="00CC2C62" w:rsidRPr="006832F0" w:rsidRDefault="00CC2C62">
      <w:pPr>
        <w:spacing w:line="360" w:lineRule="auto"/>
        <w:ind w:right="-28"/>
        <w:jc w:val="both"/>
        <w:rPr>
          <w:rFonts w:ascii="Palatino Linotype" w:eastAsia="Palatino Linotype" w:hAnsi="Palatino Linotype" w:cs="Palatino Linotype"/>
          <w:sz w:val="22"/>
          <w:szCs w:val="22"/>
        </w:rPr>
      </w:pPr>
    </w:p>
    <w:p w14:paraId="3CD2FC81"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Por lo que, resulta procedente analizar si dichos datos son públicos o privados; en principio, cabe mencionar que el artículo 143, fracción I, de la Ley previamente citada, establece que la información privada y los datos personales, concernientes a una persona física o jurídica colectiva identificada o identificable son confidenciales.</w:t>
      </w:r>
    </w:p>
    <w:p w14:paraId="052DA4FA"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431EC291"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6832F0">
        <w:rPr>
          <w:rFonts w:ascii="Palatino Linotype" w:eastAsia="Palatino Linotype" w:hAnsi="Palatino Linotype" w:cs="Palatino Linotype"/>
          <w:color w:val="000000"/>
          <w:sz w:val="22"/>
          <w:szCs w:val="22"/>
        </w:rPr>
        <w:t>ii</w:t>
      </w:r>
      <w:proofErr w:type="spellEnd"/>
      <w:r w:rsidRPr="006832F0">
        <w:rPr>
          <w:rFonts w:ascii="Palatino Linotype" w:eastAsia="Palatino Linotype" w:hAnsi="Palatino Linotype" w:cs="Palatino Linotype"/>
          <w:color w:val="000000"/>
          <w:sz w:val="22"/>
          <w:szCs w:val="22"/>
        </w:rPr>
        <w:t xml:space="preserve">) por ley tenga el carácter de pública, </w:t>
      </w:r>
      <w:proofErr w:type="spellStart"/>
      <w:r w:rsidRPr="006832F0">
        <w:rPr>
          <w:rFonts w:ascii="Palatino Linotype" w:eastAsia="Palatino Linotype" w:hAnsi="Palatino Linotype" w:cs="Palatino Linotype"/>
          <w:color w:val="000000"/>
          <w:sz w:val="22"/>
          <w:szCs w:val="22"/>
        </w:rPr>
        <w:t>iii</w:t>
      </w:r>
      <w:proofErr w:type="spellEnd"/>
      <w:r w:rsidRPr="006832F0">
        <w:rPr>
          <w:rFonts w:ascii="Palatino Linotype" w:eastAsia="Palatino Linotype" w:hAnsi="Palatino Linotype" w:cs="Palatino Linotype"/>
          <w:color w:val="000000"/>
          <w:sz w:val="22"/>
          <w:szCs w:val="22"/>
        </w:rPr>
        <w:t xml:space="preserve">) exista una orden judicial, </w:t>
      </w:r>
      <w:proofErr w:type="spellStart"/>
      <w:r w:rsidRPr="006832F0">
        <w:rPr>
          <w:rFonts w:ascii="Palatino Linotype" w:eastAsia="Palatino Linotype" w:hAnsi="Palatino Linotype" w:cs="Palatino Linotype"/>
          <w:color w:val="000000"/>
          <w:sz w:val="22"/>
          <w:szCs w:val="22"/>
        </w:rPr>
        <w:t>iv</w:t>
      </w:r>
      <w:proofErr w:type="spellEnd"/>
      <w:r w:rsidRPr="006832F0">
        <w:rPr>
          <w:rFonts w:ascii="Palatino Linotype" w:eastAsia="Palatino Linotype" w:hAnsi="Palatino Linotype" w:cs="Palatino Linotype"/>
          <w:color w:val="000000"/>
          <w:sz w:val="22"/>
          <w:szCs w:val="22"/>
        </w:rPr>
        <w:t>) por razones de seguridad nacional y salubridad general o v) para proteger los derechos de terceros o cuando se transmita entre sujetos obligados en términos de los tratados y los acuerdos interinstitucionales.</w:t>
      </w:r>
    </w:p>
    <w:p w14:paraId="0E1B13EA"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3FD7A650"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En términos de lo expuesto, la documentación y aquellos datos que se consideren confidenciales, serán una limitante del derecho de acceso a la información, siempre y cuando:</w:t>
      </w:r>
    </w:p>
    <w:p w14:paraId="4F142EA4"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544E32C7" w14:textId="77777777" w:rsidR="00CC2C62" w:rsidRPr="006832F0" w:rsidRDefault="00000000">
      <w:pPr>
        <w:numPr>
          <w:ilvl w:val="0"/>
          <w:numId w:val="7"/>
        </w:num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 xml:space="preserve">Se trate de datos personales o información privada; esto es, información concerniente a una persona física o jurídico colectiva y que esta sea identificada o identificable. </w:t>
      </w:r>
    </w:p>
    <w:p w14:paraId="56FED708"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098C267A" w14:textId="77777777" w:rsidR="00CC2C62" w:rsidRPr="006832F0" w:rsidRDefault="00000000">
      <w:pPr>
        <w:numPr>
          <w:ilvl w:val="0"/>
          <w:numId w:val="7"/>
        </w:num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Para la difusión de los datos, se requiera el consentimiento del titular.</w:t>
      </w:r>
    </w:p>
    <w:p w14:paraId="60ACBE41" w14:textId="77777777" w:rsidR="00CC2C62" w:rsidRPr="006832F0" w:rsidRDefault="00CC2C62">
      <w:pPr>
        <w:spacing w:line="360" w:lineRule="auto"/>
        <w:ind w:left="720"/>
        <w:jc w:val="both"/>
        <w:rPr>
          <w:rFonts w:ascii="Palatino Linotype" w:eastAsia="Palatino Linotype" w:hAnsi="Palatino Linotype" w:cs="Palatino Linotype"/>
          <w:color w:val="000000"/>
          <w:sz w:val="22"/>
          <w:szCs w:val="22"/>
        </w:rPr>
      </w:pPr>
    </w:p>
    <w:p w14:paraId="5E0BBCB2"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0352E6E3"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1E704D5C"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Bajo ese contexto, se analizarán si los datos mencionados, deben ser considerados confidenciales, en términos del artículo 143, fracción I, de la Ley de Transparencia y Acceso a la Información Pública del Estado de México y Municipios, o públicos.</w:t>
      </w:r>
    </w:p>
    <w:p w14:paraId="5554936C" w14:textId="77777777" w:rsidR="00CC2C62" w:rsidRPr="006832F0" w:rsidRDefault="00CC2C62">
      <w:pPr>
        <w:spacing w:line="360" w:lineRule="auto"/>
        <w:ind w:right="-28"/>
        <w:jc w:val="both"/>
        <w:rPr>
          <w:rFonts w:ascii="Palatino Linotype" w:eastAsia="Palatino Linotype" w:hAnsi="Palatino Linotype" w:cs="Palatino Linotype"/>
          <w:sz w:val="22"/>
          <w:szCs w:val="22"/>
        </w:rPr>
      </w:pPr>
    </w:p>
    <w:p w14:paraId="28A86E47" w14:textId="77777777" w:rsidR="00CC2C62" w:rsidRPr="006832F0" w:rsidRDefault="00000000">
      <w:pPr>
        <w:numPr>
          <w:ilvl w:val="0"/>
          <w:numId w:val="4"/>
        </w:numPr>
        <w:spacing w:line="360" w:lineRule="auto"/>
        <w:jc w:val="both"/>
        <w:rPr>
          <w:rFonts w:ascii="Palatino Linotype" w:eastAsia="Palatino Linotype" w:hAnsi="Palatino Linotype" w:cs="Palatino Linotype"/>
          <w:b/>
          <w:bCs/>
          <w:color w:val="000000"/>
          <w:sz w:val="22"/>
          <w:szCs w:val="22"/>
        </w:rPr>
      </w:pPr>
      <w:r w:rsidRPr="006832F0">
        <w:rPr>
          <w:rFonts w:ascii="Palatino Linotype" w:eastAsia="Palatino Linotype" w:hAnsi="Palatino Linotype" w:cs="Palatino Linotype"/>
          <w:b/>
          <w:bCs/>
          <w:color w:val="000000"/>
          <w:sz w:val="22"/>
          <w:szCs w:val="22"/>
        </w:rPr>
        <w:t>Clave Única de Registro de Población (CURP)</w:t>
      </w:r>
    </w:p>
    <w:p w14:paraId="609B5DAD"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4365A56A"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 xml:space="preserve">El artículo 36 de la Constitución Política de los Estados Unidos Mexicanos, dispone la obligación de los ciudadanos de inscribirse en el Registro Nacional de Ciudadanos; además, </w:t>
      </w:r>
      <w:r w:rsidRPr="006832F0">
        <w:rPr>
          <w:rFonts w:ascii="Palatino Linotype" w:eastAsia="Palatino Linotype" w:hAnsi="Palatino Linotype" w:cs="Palatino Linotype"/>
          <w:color w:val="000000"/>
          <w:sz w:val="22"/>
          <w:szCs w:val="22"/>
        </w:rPr>
        <w:lastRenderedPageBreak/>
        <w:t>el diverso 85 de la Ley General de Población, prevé que corresponde a la Secretaría de Gobernación el registro y acreditación de la identidad de todas las personas residentes en el país y de los nacionales que residan en el extranjero.</w:t>
      </w:r>
    </w:p>
    <w:p w14:paraId="2D87BF1B"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4BBB425A"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9ED64D6"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53426665"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 xml:space="preserve">En ese orden de ideas, la Secretaría de Gobernación en las direcciones </w:t>
      </w:r>
      <w:hyperlink r:id="rId10">
        <w:r w:rsidR="00CC2C62" w:rsidRPr="006832F0">
          <w:rPr>
            <w:rFonts w:ascii="Palatino Linotype" w:eastAsia="Palatino Linotype" w:hAnsi="Palatino Linotype" w:cs="Palatino Linotype"/>
            <w:color w:val="0563C1"/>
            <w:sz w:val="22"/>
            <w:szCs w:val="22"/>
            <w:u w:val="single"/>
          </w:rPr>
          <w:t>https://consultas.curp.gob.mx/CurpSP/html/informacionecurpPS.html</w:t>
        </w:r>
      </w:hyperlink>
      <w:r w:rsidRPr="006832F0">
        <w:rPr>
          <w:rFonts w:ascii="Palatino Linotype" w:eastAsia="Palatino Linotype" w:hAnsi="Palatino Linotype" w:cs="Palatino Linotype"/>
          <w:color w:val="000000"/>
          <w:sz w:val="22"/>
          <w:szCs w:val="22"/>
        </w:rPr>
        <w:t xml:space="preserve"> y </w:t>
      </w:r>
      <w:hyperlink r:id="rId11">
        <w:r w:rsidR="00CC2C62" w:rsidRPr="006832F0">
          <w:rPr>
            <w:rFonts w:ascii="Palatino Linotype" w:eastAsia="Palatino Linotype" w:hAnsi="Palatino Linotype" w:cs="Palatino Linotype"/>
            <w:color w:val="0563C1"/>
            <w:sz w:val="22"/>
            <w:szCs w:val="22"/>
            <w:u w:val="single"/>
          </w:rPr>
          <w:t>https://www.gob.mx/segob/renapo/acciones-y-programas/clave-unica-de-registro-de-poblacion-curp-142226</w:t>
        </w:r>
      </w:hyperlink>
      <w:r w:rsidRPr="006832F0">
        <w:rPr>
          <w:rFonts w:ascii="Palatino Linotype" w:eastAsia="Palatino Linotype" w:hAnsi="Palatino Linotype" w:cs="Palatino Linotype"/>
          <w:color w:val="000000"/>
          <w:sz w:val="22"/>
          <w:szCs w:val="22"/>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6832F0">
        <w:rPr>
          <w:rFonts w:ascii="Palatino Linotype" w:eastAsia="Palatino Linotype" w:hAnsi="Palatino Linotype" w:cs="Palatino Linotype"/>
          <w:b/>
          <w:bCs/>
          <w:color w:val="000000"/>
          <w:sz w:val="22"/>
          <w:szCs w:val="22"/>
        </w:rPr>
        <w:t>se generan a partir de los datos contenidos en el documento probatorio de la identidad</w:t>
      </w:r>
      <w:r w:rsidRPr="006832F0">
        <w:rPr>
          <w:rFonts w:ascii="Palatino Linotype" w:eastAsia="Palatino Linotype" w:hAnsi="Palatino Linotype" w:cs="Palatino Linotype"/>
          <w:color w:val="000000"/>
          <w:sz w:val="22"/>
          <w:szCs w:val="22"/>
        </w:rPr>
        <w:t xml:space="preserve"> </w:t>
      </w:r>
      <w:r w:rsidRPr="006832F0">
        <w:rPr>
          <w:rFonts w:ascii="Palatino Linotype" w:eastAsia="Palatino Linotype" w:hAnsi="Palatino Linotype" w:cs="Palatino Linotype"/>
          <w:b/>
          <w:bCs/>
          <w:color w:val="000000"/>
          <w:sz w:val="22"/>
          <w:szCs w:val="22"/>
        </w:rPr>
        <w:t xml:space="preserve">del interesado </w:t>
      </w:r>
      <w:r w:rsidRPr="006832F0">
        <w:rPr>
          <w:rFonts w:ascii="Palatino Linotype" w:eastAsia="Palatino Linotype" w:hAnsi="Palatino Linotype" w:cs="Palatino Linotype"/>
          <w:color w:val="000000"/>
          <w:sz w:val="22"/>
          <w:szCs w:val="22"/>
        </w:rPr>
        <w:t>(acta de nacimiento, carta de naturalización o documento migratorio) de la siguiente forma:</w:t>
      </w:r>
    </w:p>
    <w:p w14:paraId="355F05D0"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196EBD3A" w14:textId="77777777" w:rsidR="00CC2C62" w:rsidRPr="006832F0" w:rsidRDefault="00000000">
      <w:pPr>
        <w:numPr>
          <w:ilvl w:val="0"/>
          <w:numId w:val="5"/>
        </w:num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El primero y segundo apellidos, así como al nombre de pila;</w:t>
      </w:r>
    </w:p>
    <w:p w14:paraId="485E2A8B" w14:textId="77777777" w:rsidR="00CC2C62" w:rsidRPr="006832F0" w:rsidRDefault="00000000">
      <w:pPr>
        <w:numPr>
          <w:ilvl w:val="0"/>
          <w:numId w:val="5"/>
        </w:num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La fecha de nacimiento;</w:t>
      </w:r>
    </w:p>
    <w:p w14:paraId="5F92F37B" w14:textId="77777777" w:rsidR="00CC2C62" w:rsidRPr="006832F0" w:rsidRDefault="00000000">
      <w:pPr>
        <w:numPr>
          <w:ilvl w:val="0"/>
          <w:numId w:val="5"/>
        </w:num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El sexo, y</w:t>
      </w:r>
    </w:p>
    <w:p w14:paraId="23939F7C" w14:textId="77777777" w:rsidR="00CC2C62" w:rsidRPr="006832F0" w:rsidRDefault="00000000">
      <w:pPr>
        <w:numPr>
          <w:ilvl w:val="0"/>
          <w:numId w:val="5"/>
        </w:num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La entidad federativa de nacimiento.</w:t>
      </w:r>
    </w:p>
    <w:p w14:paraId="715A1DCD"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293645CC"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lastRenderedPageBreak/>
        <w:t>Los dos últimos elementos de la Clave Única de Registro de Población evitan la duplicidad de la Clave y garantizan su correcta integración.</w:t>
      </w:r>
    </w:p>
    <w:p w14:paraId="2220748F"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5224566F"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714BAE9"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51536DA3"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Situación que se robustece, con el Criterio Orientador, de la Segunda Época, con número de registro SO/018/2017, emitido por el entonces Instituto Nacional de Transparencia, Acceso a la Información y Protección de Datos Personales, vigente a la fecha de presentación de la solicitud, que establece lo siguiente:</w:t>
      </w:r>
    </w:p>
    <w:p w14:paraId="08A1DCC3" w14:textId="77777777" w:rsidR="00CC2C62" w:rsidRPr="006832F0" w:rsidRDefault="00CC2C62">
      <w:pPr>
        <w:spacing w:line="360" w:lineRule="auto"/>
        <w:ind w:left="567" w:right="567"/>
        <w:jc w:val="both"/>
        <w:rPr>
          <w:rFonts w:ascii="Palatino Linotype" w:eastAsia="Palatino Linotype" w:hAnsi="Palatino Linotype" w:cs="Palatino Linotype"/>
          <w:color w:val="000000"/>
        </w:rPr>
      </w:pPr>
    </w:p>
    <w:p w14:paraId="449ED073" w14:textId="77777777" w:rsidR="00CC2C62" w:rsidRPr="006832F0" w:rsidRDefault="00000000">
      <w:pPr>
        <w:spacing w:line="360" w:lineRule="auto"/>
        <w:ind w:left="567" w:right="567"/>
        <w:jc w:val="both"/>
        <w:rPr>
          <w:rFonts w:ascii="Palatino Linotype" w:eastAsia="Palatino Linotype" w:hAnsi="Palatino Linotype" w:cs="Palatino Linotype"/>
          <w:i/>
          <w:iCs/>
          <w:color w:val="000000"/>
        </w:rPr>
      </w:pPr>
      <w:r w:rsidRPr="006832F0">
        <w:rPr>
          <w:rFonts w:ascii="Palatino Linotype" w:eastAsia="Palatino Linotype" w:hAnsi="Palatino Linotype" w:cs="Palatino Linotype"/>
          <w:b/>
          <w:bCs/>
          <w:i/>
          <w:iCs/>
          <w:color w:val="000000"/>
        </w:rPr>
        <w:t xml:space="preserve">“Clave Única de Registro de Población (CURP). </w:t>
      </w:r>
      <w:r w:rsidRPr="006832F0">
        <w:rPr>
          <w:rFonts w:ascii="Palatino Linotype" w:eastAsia="Palatino Linotype" w:hAnsi="Palatino Linotype" w:cs="Palatino Linotype"/>
          <w:i/>
          <w:iCs/>
          <w:color w:val="00000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BAF9AAE"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3ACDC2F4"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02BCD7E5"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21B32A16" w14:textId="77777777" w:rsidR="00CC2C62" w:rsidRPr="006832F0" w:rsidRDefault="00000000">
      <w:pPr>
        <w:numPr>
          <w:ilvl w:val="0"/>
          <w:numId w:val="4"/>
        </w:numPr>
        <w:spacing w:line="360" w:lineRule="auto"/>
        <w:jc w:val="both"/>
        <w:rPr>
          <w:rFonts w:ascii="Palatino Linotype" w:eastAsia="Palatino Linotype" w:hAnsi="Palatino Linotype" w:cs="Palatino Linotype"/>
          <w:b/>
          <w:bCs/>
          <w:color w:val="000000"/>
          <w:sz w:val="22"/>
          <w:szCs w:val="22"/>
        </w:rPr>
      </w:pPr>
      <w:r w:rsidRPr="006832F0">
        <w:rPr>
          <w:rFonts w:ascii="Palatino Linotype" w:eastAsia="Palatino Linotype" w:hAnsi="Palatino Linotype" w:cs="Palatino Linotype"/>
          <w:b/>
          <w:bCs/>
          <w:color w:val="000000"/>
          <w:sz w:val="22"/>
          <w:szCs w:val="22"/>
        </w:rPr>
        <w:lastRenderedPageBreak/>
        <w:t>Registro Federal de Contribuyentes (RFC)</w:t>
      </w:r>
    </w:p>
    <w:p w14:paraId="716242D1"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61AA3EF0"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B3D767F"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5FF7C2E5"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 xml:space="preserve">De acuerdo a lo establecido en el artículo en comento, esta clave se compone de trece caracteres alfanuméricos, con datos obtenidos de los apellidos, nombre(s), fecha de nacimiento del titular, más una </w:t>
      </w:r>
      <w:proofErr w:type="spellStart"/>
      <w:r w:rsidRPr="006832F0">
        <w:rPr>
          <w:rFonts w:ascii="Palatino Linotype" w:eastAsia="Palatino Linotype" w:hAnsi="Palatino Linotype" w:cs="Palatino Linotype"/>
          <w:color w:val="000000"/>
          <w:sz w:val="22"/>
          <w:szCs w:val="22"/>
        </w:rPr>
        <w:t>homoclave</w:t>
      </w:r>
      <w:proofErr w:type="spellEnd"/>
      <w:r w:rsidRPr="006832F0">
        <w:rPr>
          <w:rFonts w:ascii="Palatino Linotype" w:eastAsia="Palatino Linotype" w:hAnsi="Palatino Linotype" w:cs="Palatino Linotype"/>
          <w:color w:val="000000"/>
          <w:sz w:val="22"/>
          <w:szCs w:val="22"/>
        </w:rPr>
        <w:t xml:space="preserve"> que establece el sistema automático del Servicio de Administración Tributaria.</w:t>
      </w:r>
    </w:p>
    <w:p w14:paraId="3EFCC673"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0255FBE7"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7AD8364"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16966F32"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24348FCE"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0F7DA5FC"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Lo anterior, resulta congruente con el Criterio Orientador, de la Segunda Época, con número de registro SO/019/2017, emitido por el entonces Instituto Nacional de Transparencia, Acceso a la Información y Protección de Datos Personales, vigente a la fecha de presentación de la solicitud, en el cual se señala lo siguiente:</w:t>
      </w:r>
    </w:p>
    <w:p w14:paraId="62556759"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016AA105" w14:textId="77777777" w:rsidR="00CC2C62" w:rsidRPr="006832F0" w:rsidRDefault="00000000">
      <w:pPr>
        <w:spacing w:line="360" w:lineRule="auto"/>
        <w:ind w:left="567" w:right="567"/>
        <w:jc w:val="both"/>
        <w:rPr>
          <w:rFonts w:ascii="Palatino Linotype" w:eastAsia="Palatino Linotype" w:hAnsi="Palatino Linotype" w:cs="Palatino Linotype"/>
          <w:i/>
          <w:iCs/>
          <w:color w:val="000000"/>
        </w:rPr>
      </w:pPr>
      <w:r w:rsidRPr="006832F0">
        <w:rPr>
          <w:rFonts w:ascii="Palatino Linotype" w:eastAsia="Palatino Linotype" w:hAnsi="Palatino Linotype" w:cs="Palatino Linotype"/>
          <w:b/>
          <w:bCs/>
          <w:i/>
          <w:iCs/>
          <w:color w:val="000000"/>
        </w:rPr>
        <w:t>“Registro Federal de Contribuyentes (RFC) de personas físicas.</w:t>
      </w:r>
      <w:r w:rsidRPr="006832F0">
        <w:rPr>
          <w:rFonts w:ascii="Palatino Linotype" w:eastAsia="Palatino Linotype" w:hAnsi="Palatino Linotype" w:cs="Palatino Linotype"/>
          <w:i/>
          <w:iCs/>
          <w:color w:val="000000"/>
        </w:rPr>
        <w:t xml:space="preserve"> El RFC es una clave de carácter fiscal, única e irrepetible, que permite identificar al titular, su edad y fecha de nacimiento, por lo que es un dato personal de carácter confidencial.”</w:t>
      </w:r>
    </w:p>
    <w:p w14:paraId="72AFEE91"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626021E4"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D011EE4" w14:textId="77777777" w:rsidR="00CC2C62" w:rsidRPr="006832F0" w:rsidRDefault="00CC2C62">
      <w:pPr>
        <w:tabs>
          <w:tab w:val="center" w:pos="4522"/>
        </w:tabs>
        <w:spacing w:line="360" w:lineRule="auto"/>
        <w:jc w:val="both"/>
        <w:rPr>
          <w:rFonts w:ascii="Palatino Linotype" w:eastAsia="Palatino Linotype" w:hAnsi="Palatino Linotype" w:cs="Palatino Linotype"/>
          <w:color w:val="000000"/>
          <w:sz w:val="22"/>
          <w:szCs w:val="22"/>
        </w:rPr>
      </w:pPr>
    </w:p>
    <w:p w14:paraId="4F0ADC5B" w14:textId="77777777" w:rsidR="00CC2C62" w:rsidRPr="006832F0" w:rsidRDefault="00000000">
      <w:pPr>
        <w:numPr>
          <w:ilvl w:val="0"/>
          <w:numId w:val="4"/>
        </w:numPr>
        <w:spacing w:line="360" w:lineRule="auto"/>
        <w:jc w:val="both"/>
        <w:rPr>
          <w:rFonts w:ascii="Palatino Linotype" w:eastAsia="Palatino Linotype" w:hAnsi="Palatino Linotype" w:cs="Palatino Linotype"/>
          <w:b/>
          <w:bCs/>
          <w:color w:val="000000"/>
          <w:sz w:val="22"/>
          <w:szCs w:val="22"/>
        </w:rPr>
      </w:pPr>
      <w:r w:rsidRPr="006832F0">
        <w:rPr>
          <w:rFonts w:ascii="Palatino Linotype" w:eastAsia="Palatino Linotype" w:hAnsi="Palatino Linotype" w:cs="Palatino Linotype"/>
          <w:b/>
          <w:bCs/>
          <w:color w:val="000000"/>
          <w:sz w:val="22"/>
          <w:szCs w:val="22"/>
        </w:rPr>
        <w:t>Número de seguridad social del Instituto de Seguridad Social del Estado de México y Municipios</w:t>
      </w:r>
    </w:p>
    <w:p w14:paraId="6EB46C7E" w14:textId="77777777" w:rsidR="00CC2C62" w:rsidRPr="006832F0" w:rsidRDefault="00CC2C62">
      <w:pPr>
        <w:spacing w:line="360" w:lineRule="auto"/>
        <w:jc w:val="both"/>
        <w:rPr>
          <w:rFonts w:ascii="Palatino Linotype" w:eastAsia="Palatino Linotype" w:hAnsi="Palatino Linotype" w:cs="Palatino Linotype"/>
          <w:b/>
          <w:bCs/>
          <w:color w:val="000000"/>
          <w:sz w:val="22"/>
          <w:szCs w:val="22"/>
        </w:rPr>
      </w:pPr>
    </w:p>
    <w:p w14:paraId="1AB30B06"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61BA925C"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4D8DC191"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lastRenderedPageBreak/>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5247B1F7"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238325DA"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794FDCDB"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07D8B466"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1F8D63D4"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0E3B8D64" w14:textId="77777777" w:rsidR="00CC2C62" w:rsidRPr="006832F0" w:rsidRDefault="00000000">
      <w:pPr>
        <w:numPr>
          <w:ilvl w:val="0"/>
          <w:numId w:val="6"/>
        </w:numPr>
        <w:spacing w:line="360" w:lineRule="auto"/>
        <w:jc w:val="both"/>
        <w:rPr>
          <w:rFonts w:ascii="Palatino Linotype" w:eastAsia="Palatino Linotype" w:hAnsi="Palatino Linotype" w:cs="Palatino Linotype"/>
          <w:b/>
          <w:bCs/>
          <w:color w:val="000000"/>
          <w:sz w:val="22"/>
          <w:szCs w:val="22"/>
        </w:rPr>
      </w:pPr>
      <w:r w:rsidRPr="006832F0">
        <w:rPr>
          <w:rFonts w:ascii="Palatino Linotype" w:eastAsia="Palatino Linotype" w:hAnsi="Palatino Linotype" w:cs="Palatino Linotype"/>
          <w:b/>
          <w:bCs/>
          <w:color w:val="000000"/>
          <w:sz w:val="22"/>
          <w:szCs w:val="22"/>
        </w:rPr>
        <w:t>Descuentos personales</w:t>
      </w:r>
    </w:p>
    <w:p w14:paraId="1DABF2D9" w14:textId="77777777" w:rsidR="00CC2C62" w:rsidRPr="006832F0" w:rsidRDefault="00CC2C62">
      <w:pPr>
        <w:spacing w:line="360" w:lineRule="auto"/>
        <w:ind w:left="720"/>
        <w:jc w:val="both"/>
        <w:rPr>
          <w:rFonts w:ascii="Palatino Linotype" w:eastAsia="Palatino Linotype" w:hAnsi="Palatino Linotype" w:cs="Palatino Linotype"/>
          <w:b/>
          <w:bCs/>
          <w:color w:val="000000"/>
          <w:sz w:val="22"/>
          <w:szCs w:val="22"/>
        </w:rPr>
      </w:pPr>
    </w:p>
    <w:p w14:paraId="6890272D"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lastRenderedPageBreak/>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7D3BD9F6"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7C25B2CA"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 xml:space="preserve">Asimismo, hay otras que se generan con motivo de una sentencia judicial, como es la pensión alimenticia que periódicamente se retira de la cuenta de un empleado, a efecto de que sea entregado a un tercero.  </w:t>
      </w:r>
    </w:p>
    <w:p w14:paraId="4D48FC79"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040A8900"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23366CB7"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79F5664B"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w:t>
      </w:r>
    </w:p>
    <w:p w14:paraId="566245D4"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131DB627"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Ahora bien, se procede analizar de manera oficiosa, si procede la clasificación del nombre de los elementos operativos en materia de seguridad pública; por lo que, el artículo 140, fracción IV, de la Ley de Transparencia y Acceso a la Información Pública del Estado de México y Municipios, prevé lo siguiente:</w:t>
      </w:r>
    </w:p>
    <w:p w14:paraId="75E1AB5D"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6D780DA3" w14:textId="77777777" w:rsidR="00CC2C62" w:rsidRPr="006832F0" w:rsidRDefault="00000000">
      <w:pPr>
        <w:tabs>
          <w:tab w:val="left" w:pos="4962"/>
        </w:tabs>
        <w:spacing w:line="360" w:lineRule="auto"/>
        <w:ind w:left="567" w:right="567"/>
        <w:jc w:val="both"/>
        <w:rPr>
          <w:rFonts w:ascii="Palatino Linotype" w:eastAsia="Palatino Linotype" w:hAnsi="Palatino Linotype" w:cs="Palatino Linotype"/>
          <w:i/>
          <w:iCs/>
          <w:color w:val="000000"/>
        </w:rPr>
      </w:pPr>
      <w:r w:rsidRPr="006832F0">
        <w:rPr>
          <w:rFonts w:ascii="Palatino Linotype" w:eastAsia="Palatino Linotype" w:hAnsi="Palatino Linotype" w:cs="Palatino Linotype"/>
          <w:i/>
          <w:iCs/>
          <w:color w:val="000000"/>
        </w:rPr>
        <w:t>“</w:t>
      </w:r>
      <w:r w:rsidRPr="006832F0">
        <w:rPr>
          <w:rFonts w:ascii="Palatino Linotype" w:eastAsia="Palatino Linotype" w:hAnsi="Palatino Linotype" w:cs="Palatino Linotype"/>
          <w:b/>
          <w:bCs/>
          <w:i/>
          <w:iCs/>
          <w:color w:val="000000"/>
        </w:rPr>
        <w:t>Artículo 140.</w:t>
      </w:r>
      <w:r w:rsidRPr="006832F0">
        <w:rPr>
          <w:rFonts w:ascii="Palatino Linotype" w:eastAsia="Palatino Linotype" w:hAnsi="Palatino Linotype" w:cs="Palatino Linotype"/>
          <w:i/>
          <w:iCs/>
          <w:color w:val="000000"/>
        </w:rPr>
        <w:t xml:space="preserve"> El acceso a la información pública será restringido excepcionalmente, cuando por razones de interés público, ésta sea clasificada como reservada, conforme a los criterios siguientes: </w:t>
      </w:r>
    </w:p>
    <w:p w14:paraId="31B013FC" w14:textId="77777777" w:rsidR="00CC2C62" w:rsidRPr="006832F0" w:rsidRDefault="00000000">
      <w:pPr>
        <w:tabs>
          <w:tab w:val="left" w:pos="4962"/>
        </w:tabs>
        <w:spacing w:line="360" w:lineRule="auto"/>
        <w:ind w:left="567" w:right="567"/>
        <w:jc w:val="both"/>
        <w:rPr>
          <w:rFonts w:ascii="Palatino Linotype" w:eastAsia="Palatino Linotype" w:hAnsi="Palatino Linotype" w:cs="Palatino Linotype"/>
          <w:i/>
          <w:iCs/>
          <w:color w:val="000000"/>
        </w:rPr>
      </w:pPr>
      <w:r w:rsidRPr="006832F0">
        <w:rPr>
          <w:rFonts w:ascii="Palatino Linotype" w:eastAsia="Palatino Linotype" w:hAnsi="Palatino Linotype" w:cs="Palatino Linotype"/>
          <w:i/>
          <w:iCs/>
          <w:color w:val="000000"/>
        </w:rPr>
        <w:t>…</w:t>
      </w:r>
    </w:p>
    <w:p w14:paraId="4AFB886F" w14:textId="77777777" w:rsidR="00CC2C62" w:rsidRPr="006832F0" w:rsidRDefault="00000000">
      <w:pPr>
        <w:tabs>
          <w:tab w:val="left" w:pos="4962"/>
        </w:tabs>
        <w:spacing w:line="360" w:lineRule="auto"/>
        <w:ind w:left="567" w:right="567"/>
        <w:jc w:val="both"/>
        <w:rPr>
          <w:rFonts w:ascii="Palatino Linotype" w:eastAsia="Palatino Linotype" w:hAnsi="Palatino Linotype" w:cs="Palatino Linotype"/>
          <w:i/>
          <w:iCs/>
          <w:color w:val="000000"/>
        </w:rPr>
      </w:pPr>
      <w:r w:rsidRPr="006832F0">
        <w:rPr>
          <w:rFonts w:ascii="Palatino Linotype" w:eastAsia="Palatino Linotype" w:hAnsi="Palatino Linotype" w:cs="Palatino Linotype"/>
          <w:i/>
          <w:iCs/>
          <w:color w:val="000000"/>
        </w:rPr>
        <w:t>IV. Ponga en riesgo la vida, la seguridad o la salud de una persona física;</w:t>
      </w:r>
    </w:p>
    <w:p w14:paraId="2EADD4A8" w14:textId="77777777" w:rsidR="00CC2C62" w:rsidRPr="006832F0" w:rsidRDefault="00000000">
      <w:pPr>
        <w:tabs>
          <w:tab w:val="left" w:pos="4962"/>
        </w:tabs>
        <w:spacing w:line="360" w:lineRule="auto"/>
        <w:ind w:left="567" w:right="567"/>
        <w:jc w:val="both"/>
        <w:rPr>
          <w:rFonts w:ascii="Palatino Linotype" w:eastAsia="Palatino Linotype" w:hAnsi="Palatino Linotype" w:cs="Palatino Linotype"/>
          <w:i/>
          <w:iCs/>
          <w:color w:val="000000"/>
        </w:rPr>
      </w:pPr>
      <w:r w:rsidRPr="006832F0">
        <w:rPr>
          <w:rFonts w:ascii="Palatino Linotype" w:eastAsia="Palatino Linotype" w:hAnsi="Palatino Linotype" w:cs="Palatino Linotype"/>
          <w:i/>
          <w:iCs/>
          <w:color w:val="000000"/>
        </w:rPr>
        <w:t xml:space="preserve">…” </w:t>
      </w:r>
    </w:p>
    <w:p w14:paraId="5DC3EBB3"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4036147C"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Del precepto legal anteriormente citado se desprende que como información reservada podrá clasificarse aquella cuya publicación pueda poner en riesgo la vida, seguridad o salud de una persona física; para acreditar lo anterior, los Lineamientos Generales, establecen lo siguiente:</w:t>
      </w:r>
    </w:p>
    <w:p w14:paraId="75BCA672"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614A559A" w14:textId="77777777" w:rsidR="00CC2C62" w:rsidRPr="006832F0" w:rsidRDefault="00000000">
      <w:pPr>
        <w:spacing w:line="360" w:lineRule="auto"/>
        <w:ind w:left="567" w:right="567"/>
        <w:jc w:val="both"/>
        <w:rPr>
          <w:rFonts w:ascii="Palatino Linotype" w:eastAsia="Palatino Linotype" w:hAnsi="Palatino Linotype" w:cs="Palatino Linotype"/>
          <w:i/>
          <w:iCs/>
          <w:color w:val="000000"/>
        </w:rPr>
      </w:pPr>
      <w:r w:rsidRPr="006832F0">
        <w:rPr>
          <w:rFonts w:ascii="Palatino Linotype" w:eastAsia="Palatino Linotype" w:hAnsi="Palatino Linotype" w:cs="Palatino Linotype"/>
          <w:b/>
          <w:bCs/>
          <w:i/>
          <w:iCs/>
          <w:color w:val="000000"/>
        </w:rPr>
        <w:t xml:space="preserve">“Vigésimo tercero. </w:t>
      </w:r>
      <w:r w:rsidRPr="006832F0">
        <w:rPr>
          <w:rFonts w:ascii="Palatino Linotype" w:eastAsia="Palatino Linotype" w:hAnsi="Palatino Linotype" w:cs="Palatino Linotype"/>
          <w:i/>
          <w:iCs/>
          <w:color w:val="000000"/>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7BC2EE40" w14:textId="77777777" w:rsidR="00CC2C62" w:rsidRPr="006832F0" w:rsidRDefault="00CC2C62">
      <w:pPr>
        <w:spacing w:line="360" w:lineRule="auto"/>
        <w:ind w:left="567" w:right="567"/>
        <w:jc w:val="both"/>
        <w:rPr>
          <w:rFonts w:ascii="Palatino Linotype" w:eastAsia="Palatino Linotype" w:hAnsi="Palatino Linotype" w:cs="Palatino Linotype"/>
          <w:i/>
          <w:iCs/>
          <w:color w:val="000000"/>
          <w:sz w:val="22"/>
          <w:szCs w:val="22"/>
        </w:rPr>
      </w:pPr>
    </w:p>
    <w:p w14:paraId="003B1061"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 xml:space="preserve">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 </w:t>
      </w:r>
    </w:p>
    <w:p w14:paraId="74F007EA"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376CA26E"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5DA038F1"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66B54D5D"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lastRenderedPageBreak/>
        <w:t>En ese contexto, es de señalar que los datos de servidores públicos, entre los que se encuentran el nombre de los trabajadores, por regla general,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14:paraId="5465E47E"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63FB8B57"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También, resulta necesario traer a colación por analogía, el Criterio Orientador, con número de registro SO/006/2009, de la Segunda Época, emitido por el entonces Instituto Federal de Acceso a la Información y Protección de Datos ahora Instituto Nacional de Transparencia, Acceso a la Información y Protección de Datos Personales, que establece lo siguiente:</w:t>
      </w:r>
    </w:p>
    <w:p w14:paraId="441D7314" w14:textId="77777777" w:rsidR="00CC2C62" w:rsidRPr="006832F0" w:rsidRDefault="00CC2C62">
      <w:pPr>
        <w:spacing w:line="360" w:lineRule="auto"/>
        <w:jc w:val="both"/>
        <w:rPr>
          <w:rFonts w:ascii="Palatino Linotype" w:eastAsia="Palatino Linotype" w:hAnsi="Palatino Linotype" w:cs="Palatino Linotype"/>
          <w:i/>
          <w:iCs/>
          <w:color w:val="000000"/>
          <w:sz w:val="22"/>
          <w:szCs w:val="22"/>
        </w:rPr>
      </w:pPr>
    </w:p>
    <w:p w14:paraId="38D4A460" w14:textId="77777777" w:rsidR="00CC2C62" w:rsidRPr="006832F0" w:rsidRDefault="00000000">
      <w:pPr>
        <w:tabs>
          <w:tab w:val="left" w:pos="4962"/>
        </w:tabs>
        <w:spacing w:line="360" w:lineRule="auto"/>
        <w:ind w:left="567" w:right="567"/>
        <w:jc w:val="both"/>
        <w:rPr>
          <w:rFonts w:ascii="Palatino Linotype" w:eastAsia="Palatino Linotype" w:hAnsi="Palatino Linotype" w:cs="Palatino Linotype"/>
          <w:i/>
          <w:iCs/>
          <w:color w:val="000000"/>
        </w:rPr>
      </w:pPr>
      <w:r w:rsidRPr="006832F0">
        <w:rPr>
          <w:rFonts w:ascii="Palatino Linotype" w:eastAsia="Palatino Linotype" w:hAnsi="Palatino Linotype" w:cs="Palatino Linotype"/>
          <w:b/>
          <w:bCs/>
          <w:i/>
          <w:iCs/>
          <w:color w:val="000000"/>
        </w:rPr>
        <w:t>“Nombres de servidores públicos dedicados a actividades en materia de seguridad, por excepción pueden considerarse información reservada.</w:t>
      </w:r>
      <w:r w:rsidRPr="006832F0">
        <w:rPr>
          <w:rFonts w:ascii="Palatino Linotype" w:eastAsia="Palatino Linotype" w:hAnsi="Palatino Linotype" w:cs="Palatino Linotype"/>
          <w:i/>
          <w:iCs/>
          <w:color w:val="000000"/>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6832F0">
        <w:rPr>
          <w:rFonts w:ascii="Palatino Linotype" w:eastAsia="Palatino Linotype" w:hAnsi="Palatino Linotype" w:cs="Palatino Linotype"/>
          <w:i/>
          <w:iCs/>
          <w:color w:val="000000"/>
        </w:rPr>
        <w:t>obstante</w:t>
      </w:r>
      <w:proofErr w:type="gramEnd"/>
      <w:r w:rsidRPr="006832F0">
        <w:rPr>
          <w:rFonts w:ascii="Palatino Linotype" w:eastAsia="Palatino Linotype" w:hAnsi="Palatino Linotype" w:cs="Palatino Linotype"/>
          <w:i/>
          <w:iCs/>
          <w:color w:val="000000"/>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w:t>
      </w:r>
      <w:r w:rsidRPr="006832F0">
        <w:rPr>
          <w:rFonts w:ascii="Palatino Linotype" w:eastAsia="Palatino Linotype" w:hAnsi="Palatino Linotype" w:cs="Palatino Linotype"/>
          <w:i/>
          <w:iCs/>
          <w:color w:val="000000"/>
        </w:rPr>
        <w:lastRenderedPageBreak/>
        <w:t>áreas de seguridad nacional o pública, puede llegar a constituirse en un componente fundamental en el esfuerzo que realiza el Estado Mexicano para garantizar la seguridad del país en sus diferentes vertientes.”</w:t>
      </w:r>
    </w:p>
    <w:p w14:paraId="50B2D61C"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77CCC4D6"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05A84FB0"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2505D5DA"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14:paraId="6BE9C789"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0298CD95"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 xml:space="preserve">En ese orden de ideas, si bien por regla general los nombres de los trabajadores gubernamentales son información pública de oficio, existe una excepción relativa a </w:t>
      </w:r>
      <w:r w:rsidRPr="006832F0">
        <w:rPr>
          <w:rFonts w:ascii="Palatino Linotype" w:eastAsia="Palatino Linotype" w:hAnsi="Palatino Linotype" w:cs="Palatino Linotype"/>
          <w:b/>
          <w:bCs/>
          <w:color w:val="000000"/>
          <w:sz w:val="22"/>
          <w:szCs w:val="22"/>
        </w:rPr>
        <w:t>aquellos que realicen actividades operativas en materia de seguridad,</w:t>
      </w:r>
      <w:r w:rsidRPr="006832F0">
        <w:rPr>
          <w:rFonts w:ascii="Palatino Linotype" w:eastAsia="Palatino Linotype" w:hAnsi="Palatino Linotype" w:cs="Palatino Linotype"/>
          <w:color w:val="000000"/>
          <w:sz w:val="22"/>
          <w:szCs w:val="22"/>
        </w:rPr>
        <w:t xml:space="preserve"> como es el caso de los elementos operativos y la policía municipal.</w:t>
      </w:r>
    </w:p>
    <w:p w14:paraId="3B137584"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74901F1F"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 xml:space="preserve">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w:t>
      </w:r>
      <w:r w:rsidRPr="006832F0">
        <w:rPr>
          <w:rFonts w:ascii="Palatino Linotype" w:eastAsia="Palatino Linotype" w:hAnsi="Palatino Linotype" w:cs="Palatino Linotype"/>
          <w:color w:val="000000"/>
          <w:sz w:val="22"/>
          <w:szCs w:val="22"/>
        </w:rPr>
        <w:lastRenderedPageBreak/>
        <w:t>para adolescentes, de las instancias encargadas de aplicar las infracción administrativas, y de las demás autoridades de las instancias encargadas de aplicar las infracciones administrativas.</w:t>
      </w:r>
    </w:p>
    <w:p w14:paraId="5806D4C2"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191CF0EB"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En ese contexto, el artículo 6°, fracciones XI y XII de dicho ordenamiento jurídico, establece los siguientes conceptos:</w:t>
      </w:r>
    </w:p>
    <w:p w14:paraId="06532411"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3E9B5899" w14:textId="77777777" w:rsidR="00CC2C62" w:rsidRPr="006832F0" w:rsidRDefault="00000000">
      <w:pPr>
        <w:numPr>
          <w:ilvl w:val="0"/>
          <w:numId w:val="2"/>
        </w:numPr>
        <w:spacing w:line="360" w:lineRule="auto"/>
        <w:jc w:val="both"/>
        <w:rPr>
          <w:rFonts w:ascii="Palatino Linotype" w:eastAsia="Palatino Linotype" w:hAnsi="Palatino Linotype" w:cs="Palatino Linotype"/>
          <w:b/>
          <w:bCs/>
          <w:color w:val="000000"/>
          <w:sz w:val="22"/>
          <w:szCs w:val="22"/>
        </w:rPr>
      </w:pPr>
      <w:r w:rsidRPr="006832F0">
        <w:rPr>
          <w:rFonts w:ascii="Palatino Linotype" w:eastAsia="Palatino Linotype" w:hAnsi="Palatino Linotype" w:cs="Palatino Linotype"/>
          <w:b/>
          <w:bCs/>
          <w:color w:val="000000"/>
          <w:sz w:val="22"/>
          <w:szCs w:val="22"/>
        </w:rPr>
        <w:t xml:space="preserve">Instituciones Policiales: </w:t>
      </w:r>
      <w:r w:rsidRPr="006832F0">
        <w:rPr>
          <w:rFonts w:ascii="Palatino Linotype" w:eastAsia="Palatino Linotype" w:hAnsi="Palatino Linotype" w:cs="Palatino Linotype"/>
          <w:color w:val="000000"/>
          <w:sz w:val="22"/>
          <w:szCs w:val="22"/>
        </w:rPr>
        <w:t xml:space="preserve">Son los cuerpos de policía, de vigilancia y custodia de los establecimientos penitenciarios, detención preventiva, centros de arraigo y en general, </w:t>
      </w:r>
      <w:r w:rsidRPr="006832F0">
        <w:rPr>
          <w:rFonts w:ascii="Palatino Linotype" w:eastAsia="Palatino Linotype" w:hAnsi="Palatino Linotype" w:cs="Palatino Linotype"/>
          <w:b/>
          <w:bCs/>
          <w:color w:val="000000"/>
          <w:sz w:val="22"/>
          <w:szCs w:val="22"/>
        </w:rPr>
        <w:t>todas las dependencias encargadas de la seguridad pública a nivel</w:t>
      </w:r>
      <w:r w:rsidRPr="006832F0">
        <w:rPr>
          <w:rFonts w:ascii="Palatino Linotype" w:eastAsia="Palatino Linotype" w:hAnsi="Palatino Linotype" w:cs="Palatino Linotype"/>
          <w:color w:val="000000"/>
          <w:sz w:val="22"/>
          <w:szCs w:val="22"/>
        </w:rPr>
        <w:t xml:space="preserve"> estatal y </w:t>
      </w:r>
      <w:r w:rsidRPr="006832F0">
        <w:rPr>
          <w:rFonts w:ascii="Palatino Linotype" w:eastAsia="Palatino Linotype" w:hAnsi="Palatino Linotype" w:cs="Palatino Linotype"/>
          <w:b/>
          <w:bCs/>
          <w:color w:val="000000"/>
          <w:sz w:val="22"/>
          <w:szCs w:val="22"/>
        </w:rPr>
        <w:t>municipal.</w:t>
      </w:r>
    </w:p>
    <w:p w14:paraId="68A2B6CD" w14:textId="77777777" w:rsidR="00CC2C62" w:rsidRPr="006832F0" w:rsidRDefault="00CC2C62">
      <w:pPr>
        <w:spacing w:line="360" w:lineRule="auto"/>
        <w:ind w:left="720"/>
        <w:jc w:val="both"/>
        <w:rPr>
          <w:rFonts w:ascii="Palatino Linotype" w:eastAsia="Palatino Linotype" w:hAnsi="Palatino Linotype" w:cs="Palatino Linotype"/>
          <w:color w:val="000000"/>
          <w:sz w:val="22"/>
          <w:szCs w:val="22"/>
        </w:rPr>
      </w:pPr>
    </w:p>
    <w:p w14:paraId="454BD2C7" w14:textId="77777777" w:rsidR="00CC2C62" w:rsidRPr="006832F0" w:rsidRDefault="00000000">
      <w:pPr>
        <w:numPr>
          <w:ilvl w:val="0"/>
          <w:numId w:val="2"/>
        </w:numPr>
        <w:spacing w:line="360" w:lineRule="auto"/>
        <w:jc w:val="both"/>
        <w:rPr>
          <w:rFonts w:ascii="Palatino Linotype" w:eastAsia="Palatino Linotype" w:hAnsi="Palatino Linotype" w:cs="Palatino Linotype"/>
          <w:b/>
          <w:bCs/>
          <w:color w:val="000000"/>
          <w:sz w:val="22"/>
          <w:szCs w:val="22"/>
        </w:rPr>
      </w:pPr>
      <w:r w:rsidRPr="006832F0">
        <w:rPr>
          <w:rFonts w:ascii="Palatino Linotype" w:eastAsia="Palatino Linotype" w:hAnsi="Palatino Linotype" w:cs="Palatino Linotype"/>
          <w:b/>
          <w:bCs/>
          <w:color w:val="000000"/>
          <w:sz w:val="22"/>
          <w:szCs w:val="22"/>
        </w:rPr>
        <w:t xml:space="preserve">Instituciones de Seguridad Pública: </w:t>
      </w:r>
      <w:r w:rsidRPr="006832F0">
        <w:rPr>
          <w:rFonts w:ascii="Palatino Linotype" w:eastAsia="Palatino Linotype" w:hAnsi="Palatino Linotype" w:cs="Palatino Linotype"/>
          <w:color w:val="000000"/>
          <w:sz w:val="22"/>
          <w:szCs w:val="22"/>
        </w:rPr>
        <w:t xml:space="preserve">Instituciones Policiales, Procuración de Justicia, Sistema Penitenciario y </w:t>
      </w:r>
      <w:r w:rsidRPr="006832F0">
        <w:rPr>
          <w:rFonts w:ascii="Palatino Linotype" w:eastAsia="Palatino Linotype" w:hAnsi="Palatino Linotype" w:cs="Palatino Linotype"/>
          <w:b/>
          <w:bCs/>
          <w:color w:val="000000"/>
          <w:sz w:val="22"/>
          <w:szCs w:val="22"/>
        </w:rPr>
        <w:t xml:space="preserve">dependencias encargadas de la seguridad pública a nivel </w:t>
      </w:r>
      <w:r w:rsidRPr="006832F0">
        <w:rPr>
          <w:rFonts w:ascii="Palatino Linotype" w:eastAsia="Palatino Linotype" w:hAnsi="Palatino Linotype" w:cs="Palatino Linotype"/>
          <w:color w:val="000000"/>
          <w:sz w:val="22"/>
          <w:szCs w:val="22"/>
        </w:rPr>
        <w:t xml:space="preserve">estatal y </w:t>
      </w:r>
      <w:r w:rsidRPr="006832F0">
        <w:rPr>
          <w:rFonts w:ascii="Palatino Linotype" w:eastAsia="Palatino Linotype" w:hAnsi="Palatino Linotype" w:cs="Palatino Linotype"/>
          <w:b/>
          <w:bCs/>
          <w:color w:val="000000"/>
          <w:sz w:val="22"/>
          <w:szCs w:val="22"/>
        </w:rPr>
        <w:t>municipal.</w:t>
      </w:r>
    </w:p>
    <w:p w14:paraId="08E20340" w14:textId="77777777" w:rsidR="00CC2C62" w:rsidRPr="006832F0" w:rsidRDefault="00CC2C62">
      <w:pPr>
        <w:spacing w:line="360" w:lineRule="auto"/>
        <w:ind w:left="720"/>
        <w:jc w:val="both"/>
        <w:rPr>
          <w:rFonts w:ascii="Palatino Linotype" w:eastAsia="Palatino Linotype" w:hAnsi="Palatino Linotype" w:cs="Palatino Linotype"/>
          <w:b/>
          <w:bCs/>
          <w:color w:val="000000"/>
          <w:sz w:val="22"/>
          <w:szCs w:val="22"/>
        </w:rPr>
      </w:pPr>
    </w:p>
    <w:p w14:paraId="61A35164"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Conforme a lo anterior, se puede deducir que la Dirección de Seguridad Ciudadana Municipal, es una institución de seguridad pública, pues tiene como atribución principal, la prevención de delitos y proteger a las personas, sus propiedades, posesiones y derechos.</w:t>
      </w:r>
    </w:p>
    <w:p w14:paraId="51764A6F"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42126DC0" w14:textId="77777777" w:rsidR="00CC2C62" w:rsidRPr="006832F0" w:rsidRDefault="00000000">
      <w:pPr>
        <w:spacing w:line="360" w:lineRule="auto"/>
        <w:jc w:val="both"/>
        <w:rPr>
          <w:rFonts w:ascii="Palatino Linotype" w:eastAsia="Palatino Linotype" w:hAnsi="Palatino Linotype" w:cs="Palatino Linotype"/>
          <w:b/>
          <w:bCs/>
          <w:color w:val="000000"/>
          <w:sz w:val="22"/>
          <w:szCs w:val="22"/>
        </w:rPr>
      </w:pPr>
      <w:r w:rsidRPr="006832F0">
        <w:rPr>
          <w:rFonts w:ascii="Palatino Linotype" w:eastAsia="Palatino Linotype" w:hAnsi="Palatino Linotype" w:cs="Palatino Linotype"/>
          <w:color w:val="000000"/>
          <w:sz w:val="22"/>
          <w:szCs w:val="22"/>
        </w:rPr>
        <w:t xml:space="preserve">Además, el Instructivo de llenado del Formato “Personal de Seguridad Pública”, del Secretariado Ejecutivo del Sistema Nacional de Seguridad Pública, establece que los elementos operativos de seguridad pública, son aquellos que desempeñan funciones de campo (policiacas, especializadas o equivalentes y que no </w:t>
      </w:r>
      <w:r w:rsidRPr="006832F0">
        <w:rPr>
          <w:rFonts w:ascii="Palatino Linotype" w:eastAsia="Palatino Linotype" w:hAnsi="Palatino Linotype" w:cs="Palatino Linotype"/>
          <w:b/>
          <w:bCs/>
          <w:color w:val="000000"/>
          <w:sz w:val="22"/>
          <w:szCs w:val="22"/>
        </w:rPr>
        <w:t>desempeña funciones de mando</w:t>
      </w:r>
      <w:r w:rsidRPr="006832F0">
        <w:rPr>
          <w:rFonts w:ascii="Palatino Linotype" w:eastAsia="Palatino Linotype" w:hAnsi="Palatino Linotype" w:cs="Palatino Linotype"/>
          <w:color w:val="000000"/>
          <w:sz w:val="22"/>
          <w:szCs w:val="22"/>
        </w:rPr>
        <w:t xml:space="preserve">), entre los cuales, se encuentra la </w:t>
      </w:r>
      <w:r w:rsidRPr="006832F0">
        <w:rPr>
          <w:rFonts w:ascii="Palatino Linotype" w:eastAsia="Palatino Linotype" w:hAnsi="Palatino Linotype" w:cs="Palatino Linotype"/>
          <w:b/>
          <w:bCs/>
          <w:color w:val="000000"/>
          <w:sz w:val="22"/>
          <w:szCs w:val="22"/>
        </w:rPr>
        <w:t>Policía Municipal.</w:t>
      </w:r>
    </w:p>
    <w:p w14:paraId="58092807" w14:textId="77777777" w:rsidR="00CC2C62" w:rsidRPr="006832F0" w:rsidRDefault="00CC2C62">
      <w:pPr>
        <w:tabs>
          <w:tab w:val="left" w:pos="4962"/>
        </w:tabs>
        <w:spacing w:line="360" w:lineRule="auto"/>
        <w:ind w:right="-28"/>
        <w:jc w:val="both"/>
        <w:rPr>
          <w:rFonts w:ascii="Palatino Linotype" w:eastAsia="Palatino Linotype" w:hAnsi="Palatino Linotype" w:cs="Palatino Linotype"/>
          <w:color w:val="000000"/>
          <w:sz w:val="22"/>
          <w:szCs w:val="22"/>
        </w:rPr>
      </w:pPr>
    </w:p>
    <w:p w14:paraId="7251871B"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lastRenderedPageBreak/>
        <w:t xml:space="preserve">Asimismo, se advierte que las Instituciones Policiales, se conforman del personal </w:t>
      </w:r>
      <w:r w:rsidRPr="006832F0">
        <w:rPr>
          <w:rFonts w:ascii="Palatino Linotype" w:eastAsia="Palatino Linotype" w:hAnsi="Palatino Linotype" w:cs="Palatino Linotype"/>
          <w:b/>
          <w:bCs/>
          <w:color w:val="000000"/>
          <w:sz w:val="22"/>
          <w:szCs w:val="22"/>
        </w:rPr>
        <w:t>administrativo,</w:t>
      </w:r>
      <w:r w:rsidRPr="006832F0">
        <w:rPr>
          <w:rFonts w:ascii="Palatino Linotype" w:eastAsia="Palatino Linotype" w:hAnsi="Palatino Linotype" w:cs="Palatino Linotype"/>
          <w:color w:val="000000"/>
          <w:sz w:val="22"/>
          <w:szCs w:val="22"/>
        </w:rPr>
        <w:t xml:space="preserve"> que son los trabajadores de apoyo (chofer, personal de mantenimiento, servicios generales y área secretaria); </w:t>
      </w:r>
      <w:r w:rsidRPr="006832F0">
        <w:rPr>
          <w:rFonts w:ascii="Palatino Linotype" w:eastAsia="Palatino Linotype" w:hAnsi="Palatino Linotype" w:cs="Palatino Linotype"/>
          <w:b/>
          <w:bCs/>
          <w:color w:val="000000"/>
          <w:sz w:val="22"/>
          <w:szCs w:val="22"/>
        </w:rPr>
        <w:t>así como, el personal de mando</w:t>
      </w:r>
      <w:r w:rsidRPr="006832F0">
        <w:rPr>
          <w:rFonts w:ascii="Palatino Linotype" w:eastAsia="Palatino Linotype" w:hAnsi="Palatino Linotype" w:cs="Palatino Linotype"/>
          <w:color w:val="000000"/>
          <w:sz w:val="22"/>
          <w:szCs w:val="22"/>
        </w:rPr>
        <w:t xml:space="preserve"> (alto, medio y superior), que es aquel que realiza funciones de dirección, coordinación y supervisión, por lo cual, corresponde a aquel que tenga trabajadores a su cargo.</w:t>
      </w:r>
    </w:p>
    <w:p w14:paraId="3CB90C99" w14:textId="77777777" w:rsidR="00CC2C62" w:rsidRPr="006832F0" w:rsidRDefault="00CC2C62">
      <w:pPr>
        <w:tabs>
          <w:tab w:val="left" w:pos="4962"/>
        </w:tabs>
        <w:spacing w:line="360" w:lineRule="auto"/>
        <w:ind w:right="-28"/>
        <w:jc w:val="both"/>
        <w:rPr>
          <w:rFonts w:ascii="Palatino Linotype" w:eastAsia="Palatino Linotype" w:hAnsi="Palatino Linotype" w:cs="Palatino Linotype"/>
          <w:color w:val="000000"/>
          <w:sz w:val="22"/>
          <w:szCs w:val="22"/>
        </w:rPr>
      </w:pPr>
    </w:p>
    <w:p w14:paraId="222511BD"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De tales circunstancias, se puede observar que la Comisaría General de Seguridad Pública y Tránsito Municipal, tiene dos clases de servidores públicos, por una parte, los operativos (policía municipal) y por otra, los administrativos, de apoyo y personal de mando, los cuales no realizan funciones operativas.</w:t>
      </w:r>
    </w:p>
    <w:p w14:paraId="0326566E"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70CE7A79"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3C3D5CDC" w14:textId="77777777" w:rsidR="00CC2C62" w:rsidRPr="006832F0" w:rsidRDefault="00CC2C62">
      <w:pPr>
        <w:tabs>
          <w:tab w:val="left" w:pos="4962"/>
        </w:tabs>
        <w:spacing w:line="360" w:lineRule="auto"/>
        <w:ind w:right="-28"/>
        <w:jc w:val="both"/>
        <w:rPr>
          <w:rFonts w:ascii="Palatino Linotype" w:eastAsia="Palatino Linotype" w:hAnsi="Palatino Linotype" w:cs="Palatino Linotype"/>
          <w:color w:val="000000"/>
          <w:sz w:val="22"/>
          <w:szCs w:val="22"/>
        </w:rPr>
      </w:pPr>
    </w:p>
    <w:p w14:paraId="192039DE"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 xml:space="preserve">Sin embargo, por lo que hace al personal administrativo y los mandos medios y superiores, se advierte que estos no realizan funciones operativas, sino únicamente realizan actividades de apoyo y dirección respectivamente, por lo que, no procede la causal de reserva establecida en </w:t>
      </w:r>
      <w:r w:rsidRPr="006832F0">
        <w:rPr>
          <w:rFonts w:ascii="Palatino Linotype" w:eastAsia="Palatino Linotype" w:hAnsi="Palatino Linotype" w:cs="Palatino Linotype"/>
          <w:color w:val="000000"/>
          <w:sz w:val="22"/>
          <w:szCs w:val="22"/>
        </w:rPr>
        <w:lastRenderedPageBreak/>
        <w:t>el artículo 140, fracción IV, de la Ley de la materia, pues por el tipo de funciones que realizan, no se pone en peligro su vida, seguridad o salud de este tipo de trabajadores.</w:t>
      </w:r>
    </w:p>
    <w:p w14:paraId="0458BA3E"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De tal situación, se considera que dar a conocer el nombre de los elementos operativos,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5AED7FAA"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64477DDD"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14:paraId="25B470B6" w14:textId="77777777" w:rsidR="00CC2C62" w:rsidRPr="006832F0" w:rsidRDefault="00CC2C62">
      <w:pPr>
        <w:spacing w:line="360" w:lineRule="auto"/>
        <w:ind w:left="720"/>
        <w:jc w:val="both"/>
        <w:rPr>
          <w:rFonts w:ascii="Palatino Linotype" w:eastAsia="Palatino Linotype" w:hAnsi="Palatino Linotype" w:cs="Palatino Linotype"/>
          <w:color w:val="000000"/>
          <w:sz w:val="22"/>
          <w:szCs w:val="22"/>
        </w:rPr>
      </w:pPr>
    </w:p>
    <w:p w14:paraId="1654BF66"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 xml:space="preserve">Por tales consideraciones, resulta procedente la reserva del nombre de los elementos operativos de la </w:t>
      </w:r>
      <w:r w:rsidRPr="006832F0">
        <w:rPr>
          <w:rFonts w:ascii="Palatino Linotype" w:eastAsia="Palatino Linotype" w:hAnsi="Palatino Linotype" w:cs="Palatino Linotype"/>
          <w:sz w:val="22"/>
          <w:szCs w:val="22"/>
        </w:rPr>
        <w:t>Dirección de Seguridad Ciudadana Municipal</w:t>
      </w:r>
      <w:r w:rsidRPr="006832F0">
        <w:rPr>
          <w:rFonts w:ascii="Palatino Linotype" w:eastAsia="Palatino Linotype" w:hAnsi="Palatino Linotype" w:cs="Palatino Linotype"/>
          <w:color w:val="000000"/>
          <w:sz w:val="22"/>
          <w:szCs w:val="22"/>
        </w:rPr>
        <w:t>, lo cual incluye a los policías municipales, en términos del artículo 140, fracción IV, de la Ley de Transparencia y Acceso a la Información Pública del Estado de México y Municipios.</w:t>
      </w:r>
    </w:p>
    <w:p w14:paraId="4C3F7842"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39F54B67" w14:textId="77777777" w:rsidR="00CC2C62" w:rsidRPr="006832F0" w:rsidRDefault="00000000">
      <w:pPr>
        <w:tabs>
          <w:tab w:val="left" w:pos="4962"/>
        </w:tabs>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125A7694" w14:textId="77777777" w:rsidR="00CC2C62" w:rsidRPr="006832F0" w:rsidRDefault="00CC2C62">
      <w:pPr>
        <w:tabs>
          <w:tab w:val="left" w:pos="4962"/>
        </w:tabs>
        <w:spacing w:line="360" w:lineRule="auto"/>
        <w:jc w:val="both"/>
        <w:rPr>
          <w:rFonts w:ascii="Palatino Linotype" w:eastAsia="Palatino Linotype" w:hAnsi="Palatino Linotype" w:cs="Palatino Linotype"/>
          <w:color w:val="000000"/>
          <w:sz w:val="22"/>
          <w:szCs w:val="22"/>
        </w:rPr>
      </w:pPr>
    </w:p>
    <w:p w14:paraId="3383BC2C" w14:textId="77777777" w:rsidR="00CC2C62" w:rsidRPr="006832F0" w:rsidRDefault="00000000">
      <w:pPr>
        <w:numPr>
          <w:ilvl w:val="0"/>
          <w:numId w:val="3"/>
        </w:numPr>
        <w:tabs>
          <w:tab w:val="left" w:pos="4962"/>
        </w:tabs>
        <w:spacing w:line="360" w:lineRule="auto"/>
        <w:ind w:left="709" w:hanging="436"/>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lastRenderedPageBreak/>
        <w:t>La divulgación de la información representa un riesgo real, demostrable e identificable de perjuicio significativo al interés público o a la seguridad nacional.</w:t>
      </w:r>
    </w:p>
    <w:p w14:paraId="5FD6A47F" w14:textId="77777777" w:rsidR="00CC2C62" w:rsidRPr="006832F0" w:rsidRDefault="00CC2C62">
      <w:pPr>
        <w:tabs>
          <w:tab w:val="left" w:pos="4962"/>
        </w:tabs>
        <w:spacing w:line="360" w:lineRule="auto"/>
        <w:ind w:left="709" w:hanging="436"/>
        <w:jc w:val="both"/>
        <w:rPr>
          <w:rFonts w:ascii="Palatino Linotype" w:eastAsia="Palatino Linotype" w:hAnsi="Palatino Linotype" w:cs="Palatino Linotype"/>
          <w:color w:val="000000"/>
          <w:sz w:val="22"/>
          <w:szCs w:val="22"/>
        </w:rPr>
      </w:pPr>
    </w:p>
    <w:p w14:paraId="48718509" w14:textId="77777777" w:rsidR="00CC2C62" w:rsidRPr="006832F0" w:rsidRDefault="00000000">
      <w:pPr>
        <w:numPr>
          <w:ilvl w:val="0"/>
          <w:numId w:val="3"/>
        </w:numPr>
        <w:tabs>
          <w:tab w:val="left" w:pos="4962"/>
        </w:tabs>
        <w:spacing w:line="360" w:lineRule="auto"/>
        <w:ind w:left="709" w:hanging="436"/>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El riesgo de perjuicio supera el interés público general de que se difunda.</w:t>
      </w:r>
    </w:p>
    <w:p w14:paraId="46098F7F" w14:textId="77777777" w:rsidR="00CC2C62" w:rsidRPr="006832F0" w:rsidRDefault="00CC2C62">
      <w:pPr>
        <w:tabs>
          <w:tab w:val="left" w:pos="4962"/>
        </w:tabs>
        <w:spacing w:line="360" w:lineRule="auto"/>
        <w:ind w:left="709" w:hanging="436"/>
        <w:jc w:val="both"/>
        <w:rPr>
          <w:rFonts w:ascii="Palatino Linotype" w:eastAsia="Palatino Linotype" w:hAnsi="Palatino Linotype" w:cs="Palatino Linotype"/>
          <w:color w:val="000000"/>
          <w:sz w:val="22"/>
          <w:szCs w:val="22"/>
        </w:rPr>
      </w:pPr>
    </w:p>
    <w:p w14:paraId="77D2E42F" w14:textId="77777777" w:rsidR="00CC2C62" w:rsidRPr="006832F0" w:rsidRDefault="00000000">
      <w:pPr>
        <w:numPr>
          <w:ilvl w:val="0"/>
          <w:numId w:val="3"/>
        </w:numPr>
        <w:tabs>
          <w:tab w:val="left" w:pos="4962"/>
        </w:tabs>
        <w:spacing w:line="360" w:lineRule="auto"/>
        <w:ind w:left="709" w:hanging="436"/>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Que la limitación se adecua al principio de proporcionalidad y representa el medio menos restrictivo disponible para evitar el perjuicio.</w:t>
      </w:r>
    </w:p>
    <w:p w14:paraId="7088D23D" w14:textId="77777777" w:rsidR="00CC2C62" w:rsidRPr="006832F0" w:rsidRDefault="00CC2C62">
      <w:pPr>
        <w:spacing w:line="360" w:lineRule="auto"/>
        <w:rPr>
          <w:rFonts w:ascii="Palatino Linotype" w:eastAsia="Palatino Linotype" w:hAnsi="Palatino Linotype" w:cs="Palatino Linotype"/>
          <w:color w:val="000000"/>
          <w:sz w:val="22"/>
          <w:szCs w:val="22"/>
        </w:rPr>
      </w:pPr>
    </w:p>
    <w:p w14:paraId="4BF64F0B"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y cargo de los elementos operativos de la Comisaría General de Seguridad Pública y Tránsito Municipal, de manera fundada y motivada, mediante la respectiva prueba de daño.</w:t>
      </w:r>
    </w:p>
    <w:p w14:paraId="43432D97" w14:textId="77777777" w:rsidR="00CC2C62" w:rsidRPr="006832F0" w:rsidRDefault="00CC2C62">
      <w:pPr>
        <w:tabs>
          <w:tab w:val="center" w:pos="4522"/>
        </w:tabs>
        <w:spacing w:line="360" w:lineRule="auto"/>
        <w:jc w:val="both"/>
        <w:rPr>
          <w:rFonts w:ascii="Palatino Linotype" w:eastAsia="Palatino Linotype" w:hAnsi="Palatino Linotype" w:cs="Palatino Linotype"/>
          <w:color w:val="000000"/>
          <w:sz w:val="22"/>
          <w:szCs w:val="22"/>
        </w:rPr>
      </w:pPr>
    </w:p>
    <w:p w14:paraId="0338D679" w14:textId="77777777" w:rsidR="00CC2C62" w:rsidRPr="006832F0" w:rsidRDefault="00000000">
      <w:pPr>
        <w:spacing w:line="360" w:lineRule="auto"/>
        <w:ind w:right="-28"/>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 xml:space="preserve">Por lo que, para atender el requerimiento deberá proporcionar los documentos solicitados en versión pública; 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w:t>
      </w:r>
      <w:r w:rsidRPr="006832F0">
        <w:rPr>
          <w:rFonts w:ascii="Palatino Linotype" w:eastAsia="Palatino Linotype" w:hAnsi="Palatino Linotype" w:cs="Palatino Linotype"/>
          <w:color w:val="000000"/>
          <w:sz w:val="22"/>
          <w:szCs w:val="22"/>
        </w:rPr>
        <w:lastRenderedPageBreak/>
        <w:t>clasificación de manera enunciativa más no limitativa los datos previamente señalados, fundando y motivando la clasificación.</w:t>
      </w:r>
    </w:p>
    <w:p w14:paraId="3688808D" w14:textId="77777777" w:rsidR="00CC2C62" w:rsidRPr="006832F0" w:rsidRDefault="00CC2C62">
      <w:pPr>
        <w:spacing w:line="360" w:lineRule="auto"/>
        <w:jc w:val="both"/>
        <w:rPr>
          <w:rFonts w:ascii="Palatino Linotype" w:eastAsia="Palatino Linotype" w:hAnsi="Palatino Linotype" w:cs="Palatino Linotype"/>
          <w:color w:val="EE0000"/>
          <w:sz w:val="22"/>
          <w:szCs w:val="22"/>
        </w:rPr>
      </w:pPr>
    </w:p>
    <w:p w14:paraId="2DB87B97" w14:textId="77777777" w:rsidR="00CC2C62" w:rsidRPr="006832F0" w:rsidRDefault="00000000">
      <w:pPr>
        <w:pStyle w:val="Ttulo2"/>
      </w:pPr>
      <w:r w:rsidRPr="006832F0">
        <w:t>SEXTO. Decisión</w:t>
      </w:r>
    </w:p>
    <w:p w14:paraId="196A1C96"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16D759F9"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Con fundamento en el artículo 186, fracción III, de la Ley de Transparencia y Acceso a la Información Pública del Estado de México y Municipios, este Instituto considera procedente</w:t>
      </w:r>
    </w:p>
    <w:p w14:paraId="5EA350C4"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b/>
          <w:bCs/>
          <w:sz w:val="22"/>
          <w:szCs w:val="22"/>
        </w:rPr>
        <w:t>REVOCAR</w:t>
      </w:r>
      <w:r w:rsidRPr="006832F0">
        <w:rPr>
          <w:rFonts w:ascii="Palatino Linotype" w:eastAsia="Palatino Linotype" w:hAnsi="Palatino Linotype" w:cs="Palatino Linotype"/>
          <w:sz w:val="22"/>
          <w:szCs w:val="22"/>
        </w:rPr>
        <w:t xml:space="preserve"> la respuesta otorgada por el Sujeto Obligado a la solicitud de información a efecto de que, entregue la información solicitada.</w:t>
      </w:r>
    </w:p>
    <w:p w14:paraId="3A5E4898"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4E13BD71" w14:textId="77777777" w:rsidR="00CC2C62" w:rsidRPr="006832F0" w:rsidRDefault="00000000">
      <w:pPr>
        <w:spacing w:line="360" w:lineRule="auto"/>
        <w:jc w:val="both"/>
        <w:rPr>
          <w:rFonts w:ascii="Palatino Linotype" w:eastAsia="Palatino Linotype" w:hAnsi="Palatino Linotype" w:cs="Palatino Linotype"/>
          <w:b/>
          <w:bCs/>
          <w:sz w:val="22"/>
          <w:szCs w:val="22"/>
        </w:rPr>
      </w:pPr>
      <w:r w:rsidRPr="006832F0">
        <w:rPr>
          <w:rFonts w:ascii="Palatino Linotype" w:eastAsia="Palatino Linotype" w:hAnsi="Palatino Linotype" w:cs="Palatino Linotype"/>
          <w:b/>
          <w:bCs/>
          <w:sz w:val="22"/>
          <w:szCs w:val="22"/>
        </w:rPr>
        <w:t>Términos de la Resolución para conocimiento del Particular</w:t>
      </w:r>
    </w:p>
    <w:p w14:paraId="66578A2A" w14:textId="77777777" w:rsidR="00CC2C62" w:rsidRPr="006832F0" w:rsidRDefault="00CC2C62">
      <w:pPr>
        <w:spacing w:line="360" w:lineRule="auto"/>
        <w:jc w:val="both"/>
        <w:rPr>
          <w:rFonts w:ascii="Palatino Linotype" w:eastAsia="Palatino Linotype" w:hAnsi="Palatino Linotype" w:cs="Palatino Linotype"/>
          <w:b/>
          <w:bCs/>
          <w:sz w:val="22"/>
          <w:szCs w:val="22"/>
        </w:rPr>
      </w:pPr>
    </w:p>
    <w:p w14:paraId="475C5F99"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Se le hace del conocimiento al Particular, que, en el presente caso, se le da la razón, pues el Sujeto Obligado no entregó la Conciliación de Nómina solicitada, por lo que, deberá hacer entrega dichas documentales en versión pública.</w:t>
      </w:r>
    </w:p>
    <w:p w14:paraId="3DCC5177"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625E16BF"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Finalmente, se le hace del conocimiento al Particular que la labor del Instituto de Transparencia, Acceso a la Información Pública y Protección de Datos Personales del Estado de México y Municipios, es apoyar a la población a acceder a la información pública y garantizar la protección de los datos personales.</w:t>
      </w:r>
    </w:p>
    <w:p w14:paraId="4E9B9964" w14:textId="77777777" w:rsidR="00CC2C62" w:rsidRPr="006832F0" w:rsidRDefault="00CC2C62">
      <w:pPr>
        <w:spacing w:line="360" w:lineRule="auto"/>
        <w:jc w:val="both"/>
        <w:rPr>
          <w:rFonts w:ascii="Palatino Linotype" w:eastAsia="Palatino Linotype" w:hAnsi="Palatino Linotype" w:cs="Palatino Linotype"/>
          <w:color w:val="000000"/>
          <w:sz w:val="22"/>
          <w:szCs w:val="22"/>
        </w:rPr>
      </w:pPr>
    </w:p>
    <w:p w14:paraId="425882C5"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Por lo expuesto y fundado, este Pleno:</w:t>
      </w:r>
    </w:p>
    <w:p w14:paraId="589D998E"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3118BC32" w14:textId="77777777" w:rsidR="00CC2C62" w:rsidRPr="006832F0" w:rsidRDefault="00000000">
      <w:pPr>
        <w:pStyle w:val="Ttulo1"/>
      </w:pPr>
      <w:bookmarkStart w:id="16" w:name="_heading=h.7xbrnj395m38" w:colFirst="0" w:colLast="0"/>
      <w:bookmarkEnd w:id="16"/>
      <w:r w:rsidRPr="006832F0">
        <w:t>R E S U E L V E</w:t>
      </w:r>
    </w:p>
    <w:p w14:paraId="1CF89B50" w14:textId="77777777" w:rsidR="00CC2C62" w:rsidRPr="006832F0" w:rsidRDefault="00CC2C62">
      <w:pPr>
        <w:spacing w:line="360" w:lineRule="auto"/>
        <w:jc w:val="both"/>
        <w:rPr>
          <w:rFonts w:ascii="Palatino Linotype" w:eastAsia="Palatino Linotype" w:hAnsi="Palatino Linotype" w:cs="Palatino Linotype"/>
          <w:b/>
          <w:bCs/>
          <w:sz w:val="22"/>
          <w:szCs w:val="22"/>
        </w:rPr>
      </w:pPr>
    </w:p>
    <w:p w14:paraId="086B1B0A"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b/>
          <w:bCs/>
          <w:sz w:val="22"/>
          <w:szCs w:val="22"/>
        </w:rPr>
        <w:lastRenderedPageBreak/>
        <w:t xml:space="preserve">PRIMERO. </w:t>
      </w:r>
      <w:r w:rsidRPr="006832F0">
        <w:rPr>
          <w:rFonts w:ascii="Palatino Linotype" w:eastAsia="Palatino Linotype" w:hAnsi="Palatino Linotype" w:cs="Palatino Linotype"/>
          <w:color w:val="000000"/>
          <w:sz w:val="22"/>
          <w:szCs w:val="22"/>
        </w:rPr>
        <w:t xml:space="preserve">Se </w:t>
      </w:r>
      <w:r w:rsidRPr="006832F0">
        <w:rPr>
          <w:rFonts w:ascii="Palatino Linotype" w:eastAsia="Palatino Linotype" w:hAnsi="Palatino Linotype" w:cs="Palatino Linotype"/>
          <w:b/>
          <w:bCs/>
          <w:color w:val="000000"/>
          <w:sz w:val="22"/>
          <w:szCs w:val="22"/>
        </w:rPr>
        <w:t xml:space="preserve">REVOCA </w:t>
      </w:r>
      <w:r w:rsidRPr="006832F0">
        <w:rPr>
          <w:rFonts w:ascii="Palatino Linotype" w:eastAsia="Palatino Linotype" w:hAnsi="Palatino Linotype" w:cs="Palatino Linotype"/>
          <w:color w:val="000000"/>
          <w:sz w:val="22"/>
          <w:szCs w:val="22"/>
        </w:rPr>
        <w:t xml:space="preserve">la respuesta entregada por el Ayuntamiento de Almoloya de Juárez., en cumplimiento a la Resolución del Recurso de Revisión </w:t>
      </w:r>
      <w:r w:rsidRPr="006832F0">
        <w:rPr>
          <w:rFonts w:ascii="Palatino Linotype" w:eastAsia="Palatino Linotype" w:hAnsi="Palatino Linotype" w:cs="Palatino Linotype"/>
          <w:sz w:val="22"/>
          <w:szCs w:val="22"/>
        </w:rPr>
        <w:t>12121/INFOEM/IP/RR/2025</w:t>
      </w:r>
      <w:r w:rsidRPr="006832F0">
        <w:rPr>
          <w:rFonts w:ascii="Palatino Linotype" w:eastAsia="Palatino Linotype" w:hAnsi="Palatino Linotype" w:cs="Palatino Linotype"/>
          <w:color w:val="000000"/>
          <w:sz w:val="22"/>
          <w:szCs w:val="22"/>
        </w:rPr>
        <w:t xml:space="preserve">, por resultar </w:t>
      </w:r>
      <w:r w:rsidRPr="006832F0">
        <w:rPr>
          <w:rFonts w:ascii="Palatino Linotype" w:eastAsia="Palatino Linotype" w:hAnsi="Palatino Linotype" w:cs="Palatino Linotype"/>
          <w:b/>
          <w:bCs/>
          <w:color w:val="000000"/>
          <w:sz w:val="22"/>
          <w:szCs w:val="22"/>
        </w:rPr>
        <w:t xml:space="preserve">FUNDADAS </w:t>
      </w:r>
      <w:r w:rsidRPr="006832F0">
        <w:rPr>
          <w:rFonts w:ascii="Palatino Linotype" w:eastAsia="Palatino Linotype" w:hAnsi="Palatino Linotype" w:cs="Palatino Linotype"/>
          <w:color w:val="000000"/>
          <w:sz w:val="22"/>
          <w:szCs w:val="22"/>
        </w:rPr>
        <w:t>las razones o motivos de inconformidad hechos valer por el Recurrente, en términos de los considerandos QUINTO y SEXTO de la presente Resolución</w:t>
      </w:r>
    </w:p>
    <w:p w14:paraId="0FF91358"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6167E019"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b/>
          <w:bCs/>
          <w:sz w:val="22"/>
          <w:szCs w:val="22"/>
        </w:rPr>
        <w:t xml:space="preserve">SEGUNDO. </w:t>
      </w:r>
      <w:r w:rsidRPr="006832F0">
        <w:rPr>
          <w:rFonts w:ascii="Palatino Linotype" w:eastAsia="Palatino Linotype" w:hAnsi="Palatino Linotype" w:cs="Palatino Linotype"/>
          <w:sz w:val="22"/>
          <w:szCs w:val="22"/>
        </w:rPr>
        <w:t xml:space="preserve">Se </w:t>
      </w:r>
      <w:r w:rsidRPr="006832F0">
        <w:rPr>
          <w:rFonts w:ascii="Palatino Linotype" w:eastAsia="Palatino Linotype" w:hAnsi="Palatino Linotype" w:cs="Palatino Linotype"/>
          <w:b/>
          <w:bCs/>
          <w:sz w:val="22"/>
          <w:szCs w:val="22"/>
        </w:rPr>
        <w:t>ORDENA</w:t>
      </w:r>
      <w:r w:rsidRPr="006832F0">
        <w:rPr>
          <w:rFonts w:ascii="Palatino Linotype" w:eastAsia="Palatino Linotype" w:hAnsi="Palatino Linotype" w:cs="Palatino Linotype"/>
          <w:sz w:val="22"/>
          <w:szCs w:val="22"/>
        </w:rPr>
        <w:t xml:space="preserve"> al Sujeto Obligado, a efecto de que previa búsqueda exhaustiva y razonable en los archivos de las unidades administrativas competentes, entregue a través del Sistema de Acceso a la Información Mexiquense (SAIMEX), en versión pública, lo siguiente:</w:t>
      </w:r>
    </w:p>
    <w:p w14:paraId="690D03B5"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335434C9" w14:textId="77777777" w:rsidR="00CC2C62" w:rsidRPr="006832F0" w:rsidRDefault="00000000">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El documento donde consten las remuneraciones brutas y netas vigentes durante el segundo trimestre de dos mil veinticinco, de todos los servidores públicos, que incluya todas las percepciones (sueldos, prestaciones, gratificaciones, primas, comisiones, dietas, bonos, estímulos, ingresos y sistemas de compensación).</w:t>
      </w:r>
    </w:p>
    <w:p w14:paraId="4079CA6D" w14:textId="77777777" w:rsidR="00CC2C62" w:rsidRPr="006832F0" w:rsidRDefault="00CC2C62">
      <w:pPr>
        <w:spacing w:line="360" w:lineRule="auto"/>
        <w:jc w:val="both"/>
        <w:rPr>
          <w:rFonts w:ascii="Palatino Linotype" w:eastAsia="Palatino Linotype" w:hAnsi="Palatino Linotype" w:cs="Palatino Linotype"/>
          <w:sz w:val="22"/>
          <w:szCs w:val="22"/>
        </w:rPr>
      </w:pPr>
    </w:p>
    <w:p w14:paraId="1B579569" w14:textId="77777777" w:rsidR="00CC2C62" w:rsidRPr="006832F0" w:rsidRDefault="00000000">
      <w:pPr>
        <w:spacing w:line="360" w:lineRule="auto"/>
        <w:jc w:val="both"/>
        <w:rPr>
          <w:rFonts w:ascii="Palatino Linotype" w:eastAsia="Palatino Linotype" w:hAnsi="Palatino Linotype" w:cs="Palatino Linotype"/>
          <w:sz w:val="22"/>
          <w:szCs w:val="22"/>
        </w:rPr>
      </w:pPr>
      <w:r w:rsidRPr="006832F0">
        <w:rPr>
          <w:rFonts w:ascii="Palatino Linotype" w:eastAsia="Palatino Linotype" w:hAnsi="Palatino Linotype" w:cs="Palatino Linotype"/>
          <w:sz w:val="22"/>
          <w:szCs w:val="22"/>
        </w:rPr>
        <w:t>Además, deberá proporcionar el Acuerdo de Clasificación donde el Comité de Transparencia, confirme la eliminación de los datos o información, en la versión pública, tomando en Consideración lo establecido en el Considerando QUINTO, de conformidad con los artículos 49, fracciones II y VIII y 132, fracción II de la Ley de Transparencia y Acceso a la Información Pública del Estado de México y Municipios.</w:t>
      </w:r>
    </w:p>
    <w:p w14:paraId="0A0BA082" w14:textId="77777777" w:rsidR="00CC2C62" w:rsidRPr="006832F0" w:rsidRDefault="00CC2C62">
      <w:pPr>
        <w:spacing w:line="360" w:lineRule="auto"/>
        <w:ind w:left="360"/>
        <w:jc w:val="both"/>
        <w:rPr>
          <w:rFonts w:ascii="Palatino Linotype" w:eastAsia="Palatino Linotype" w:hAnsi="Palatino Linotype" w:cs="Palatino Linotype"/>
          <w:sz w:val="22"/>
          <w:szCs w:val="22"/>
        </w:rPr>
      </w:pPr>
    </w:p>
    <w:p w14:paraId="7B195A03" w14:textId="77777777" w:rsidR="00CC2C62" w:rsidRPr="006832F0" w:rsidRDefault="00000000">
      <w:pPr>
        <w:spacing w:line="360" w:lineRule="auto"/>
        <w:ind w:right="-28"/>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b/>
          <w:bCs/>
          <w:color w:val="000000"/>
          <w:sz w:val="22"/>
          <w:szCs w:val="22"/>
        </w:rPr>
        <w:t xml:space="preserve">TERCERO. NOTIFÍQUESE POR SAIMEX </w:t>
      </w:r>
      <w:r w:rsidRPr="006832F0">
        <w:rPr>
          <w:rFonts w:ascii="Palatino Linotype" w:eastAsia="Palatino Linotype" w:hAnsi="Palatino Linotype" w:cs="Palatino Linotype"/>
          <w:color w:val="000000"/>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w:t>
      </w:r>
      <w:r w:rsidRPr="006832F0">
        <w:rPr>
          <w:rFonts w:ascii="Palatino Linotype" w:eastAsia="Palatino Linotype" w:hAnsi="Palatino Linotype" w:cs="Palatino Linotype"/>
          <w:color w:val="000000"/>
          <w:sz w:val="22"/>
          <w:szCs w:val="22"/>
        </w:rPr>
        <w:lastRenderedPageBreak/>
        <w:t xml:space="preserve">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169F2D8A" w14:textId="77777777" w:rsidR="00CC2C62" w:rsidRPr="006832F0" w:rsidRDefault="00CC2C62">
      <w:pPr>
        <w:spacing w:line="360" w:lineRule="auto"/>
        <w:ind w:left="360" w:right="-28"/>
        <w:jc w:val="both"/>
        <w:rPr>
          <w:rFonts w:ascii="Palatino Linotype" w:eastAsia="Palatino Linotype" w:hAnsi="Palatino Linotype" w:cs="Palatino Linotype"/>
          <w:color w:val="000000"/>
          <w:sz w:val="22"/>
          <w:szCs w:val="22"/>
        </w:rPr>
      </w:pPr>
    </w:p>
    <w:p w14:paraId="73A2B1C4" w14:textId="77777777" w:rsidR="00CC2C62" w:rsidRPr="006832F0"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b/>
          <w:bCs/>
          <w:color w:val="000000"/>
          <w:sz w:val="22"/>
          <w:szCs w:val="22"/>
        </w:rPr>
        <w:t>CUARTO. NOTIFÍQUESE POR SAIMEX</w:t>
      </w:r>
      <w:r w:rsidRPr="006832F0">
        <w:rPr>
          <w:rFonts w:ascii="Palatino Linotype" w:eastAsia="Palatino Linotype" w:hAnsi="Palatino Linotype" w:cs="Palatino Linotype"/>
          <w:color w:val="000000"/>
          <w:sz w:val="22"/>
          <w:szCs w:val="22"/>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38A939B" w14:textId="77777777" w:rsidR="00CC2C62" w:rsidRPr="006832F0" w:rsidRDefault="00CC2C62">
      <w:pPr>
        <w:pBdr>
          <w:top w:val="nil"/>
          <w:left w:val="nil"/>
          <w:bottom w:val="nil"/>
          <w:right w:val="nil"/>
          <w:between w:val="nil"/>
        </w:pBdr>
        <w:spacing w:line="360" w:lineRule="auto"/>
        <w:ind w:left="1065"/>
        <w:jc w:val="both"/>
        <w:rPr>
          <w:rFonts w:ascii="Palatino Linotype" w:eastAsia="Palatino Linotype" w:hAnsi="Palatino Linotype" w:cs="Palatino Linotype"/>
          <w:b/>
          <w:bCs/>
          <w:color w:val="000000"/>
          <w:sz w:val="24"/>
          <w:szCs w:val="24"/>
        </w:rPr>
      </w:pPr>
    </w:p>
    <w:p w14:paraId="364D6E43" w14:textId="18759C2A" w:rsidR="00CC2C62" w:rsidRDefault="00000000">
      <w:pPr>
        <w:spacing w:line="360" w:lineRule="auto"/>
        <w:jc w:val="both"/>
        <w:rPr>
          <w:rFonts w:ascii="Palatino Linotype" w:eastAsia="Palatino Linotype" w:hAnsi="Palatino Linotype" w:cs="Palatino Linotype"/>
          <w:color w:val="000000"/>
          <w:sz w:val="22"/>
          <w:szCs w:val="22"/>
        </w:rPr>
      </w:pPr>
      <w:r w:rsidRPr="006832F0">
        <w:rPr>
          <w:rFonts w:ascii="Palatino Linotype" w:eastAsia="Palatino Linotype" w:hAnsi="Palatino Linotype" w:cs="Palatino Linotype"/>
          <w:color w:val="000000"/>
          <w:sz w:val="22"/>
          <w:szCs w:val="22"/>
        </w:rPr>
        <w:t>ASÍ LO RESUELVE, POR </w:t>
      </w:r>
      <w:r w:rsidRPr="006832F0">
        <w:rPr>
          <w:rFonts w:ascii="Palatino Linotype" w:eastAsia="Palatino Linotype" w:hAnsi="Palatino Linotype" w:cs="Palatino Linotype"/>
          <w:b/>
          <w:bCs/>
          <w:color w:val="000000"/>
          <w:sz w:val="22"/>
          <w:szCs w:val="22"/>
        </w:rPr>
        <w:t>UNANIMIDAD</w:t>
      </w:r>
      <w:r w:rsidRPr="006832F0">
        <w:rPr>
          <w:rFonts w:ascii="Palatino Linotype" w:eastAsia="Palatino Linotype" w:hAnsi="Palatino Linotype" w:cs="Palatino Linotype"/>
          <w:color w:val="000000"/>
          <w:sz w:val="22"/>
          <w:szCs w:val="22"/>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CON VOTO PARTICULAR Y GUADALUPE RAMÍREZ PEÑA CON VOTO PARTICULA</w:t>
      </w:r>
      <w:r w:rsidR="00E17C34">
        <w:rPr>
          <w:rFonts w:ascii="Palatino Linotype" w:eastAsia="Palatino Linotype" w:hAnsi="Palatino Linotype" w:cs="Palatino Linotype"/>
          <w:color w:val="000000"/>
          <w:sz w:val="22"/>
          <w:szCs w:val="22"/>
        </w:rPr>
        <w:t>R</w:t>
      </w:r>
      <w:r w:rsidRPr="006832F0">
        <w:rPr>
          <w:rFonts w:ascii="Palatino Linotype" w:eastAsia="Palatino Linotype" w:hAnsi="Palatino Linotype" w:cs="Palatino Linotype"/>
          <w:color w:val="000000"/>
          <w:sz w:val="22"/>
          <w:szCs w:val="22"/>
        </w:rPr>
        <w:t>, EN LA SÉ</w:t>
      </w:r>
      <w:r w:rsidR="00533D90" w:rsidRPr="006832F0">
        <w:rPr>
          <w:rFonts w:ascii="Palatino Linotype" w:eastAsia="Palatino Linotype" w:hAnsi="Palatino Linotype" w:cs="Palatino Linotype"/>
          <w:color w:val="000000"/>
          <w:sz w:val="22"/>
          <w:szCs w:val="22"/>
        </w:rPr>
        <w:t>P</w:t>
      </w:r>
      <w:r w:rsidRPr="006832F0">
        <w:rPr>
          <w:rFonts w:ascii="Palatino Linotype" w:eastAsia="Palatino Linotype" w:hAnsi="Palatino Linotype" w:cs="Palatino Linotype"/>
          <w:color w:val="000000"/>
          <w:sz w:val="22"/>
          <w:szCs w:val="22"/>
        </w:rPr>
        <w:t xml:space="preserve">TIMA SESIÓN ORDINARIA, CELEBRADA EL </w:t>
      </w:r>
      <w:r w:rsidRPr="006832F0">
        <w:rPr>
          <w:rFonts w:ascii="Palatino Linotype" w:eastAsia="Palatino Linotype" w:hAnsi="Palatino Linotype" w:cs="Palatino Linotype"/>
          <w:sz w:val="22"/>
          <w:szCs w:val="22"/>
        </w:rPr>
        <w:t>VEINTICINCO</w:t>
      </w:r>
      <w:r w:rsidRPr="006832F0">
        <w:rPr>
          <w:rFonts w:ascii="Palatino Linotype" w:eastAsia="Palatino Linotype" w:hAnsi="Palatino Linotype" w:cs="Palatino Linotype"/>
          <w:color w:val="000000"/>
          <w:sz w:val="22"/>
          <w:szCs w:val="22"/>
        </w:rPr>
        <w:t xml:space="preserve"> DE FEBRERO DE DOS MIL VEINTISÉIS, ANTE EL SECRETARIO TÉCNICO DEL PLENO, ALEXIS TAPIA RAMÍREZ.</w:t>
      </w:r>
      <w:r>
        <w:rPr>
          <w:rFonts w:ascii="Palatino Linotype" w:eastAsia="Palatino Linotype" w:hAnsi="Palatino Linotype" w:cs="Palatino Linotype"/>
          <w:color w:val="000000"/>
          <w:sz w:val="22"/>
          <w:szCs w:val="22"/>
        </w:rPr>
        <w:t xml:space="preserve"> </w:t>
      </w:r>
    </w:p>
    <w:p w14:paraId="538BC8B8" w14:textId="77777777" w:rsidR="00CC2C62" w:rsidRDefault="00CC2C62">
      <w:pPr>
        <w:spacing w:line="360" w:lineRule="auto"/>
        <w:jc w:val="both"/>
        <w:rPr>
          <w:rFonts w:ascii="Palatino Linotype" w:eastAsia="Palatino Linotype" w:hAnsi="Palatino Linotype" w:cs="Palatino Linotype"/>
          <w:sz w:val="22"/>
          <w:szCs w:val="22"/>
        </w:rPr>
      </w:pPr>
    </w:p>
    <w:p w14:paraId="34A02684" w14:textId="77777777" w:rsidR="00CC2C62" w:rsidRDefault="00CC2C62">
      <w:pPr>
        <w:spacing w:line="360" w:lineRule="auto"/>
        <w:jc w:val="both"/>
        <w:rPr>
          <w:rFonts w:ascii="Palatino Linotype" w:eastAsia="Palatino Linotype" w:hAnsi="Palatino Linotype" w:cs="Palatino Linotype"/>
          <w:sz w:val="22"/>
          <w:szCs w:val="22"/>
        </w:rPr>
      </w:pPr>
    </w:p>
    <w:p w14:paraId="7EF27077" w14:textId="77777777" w:rsidR="00CC2C62" w:rsidRDefault="00CC2C62">
      <w:pPr>
        <w:spacing w:line="360" w:lineRule="auto"/>
        <w:jc w:val="both"/>
        <w:rPr>
          <w:rFonts w:ascii="Palatino Linotype" w:eastAsia="Palatino Linotype" w:hAnsi="Palatino Linotype" w:cs="Palatino Linotype"/>
          <w:sz w:val="22"/>
          <w:szCs w:val="22"/>
        </w:rPr>
      </w:pPr>
    </w:p>
    <w:p w14:paraId="35D16F41" w14:textId="77777777" w:rsidR="00CC2C62" w:rsidRDefault="00CC2C62">
      <w:pPr>
        <w:spacing w:line="360" w:lineRule="auto"/>
        <w:jc w:val="both"/>
        <w:rPr>
          <w:rFonts w:ascii="Palatino Linotype" w:eastAsia="Palatino Linotype" w:hAnsi="Palatino Linotype" w:cs="Palatino Linotype"/>
          <w:sz w:val="22"/>
          <w:szCs w:val="22"/>
        </w:rPr>
      </w:pPr>
    </w:p>
    <w:p w14:paraId="3EA5EB5A" w14:textId="77777777" w:rsidR="00CC2C62" w:rsidRDefault="00CC2C62">
      <w:pPr>
        <w:spacing w:line="360" w:lineRule="auto"/>
        <w:jc w:val="both"/>
        <w:rPr>
          <w:rFonts w:ascii="Palatino Linotype" w:eastAsia="Palatino Linotype" w:hAnsi="Palatino Linotype" w:cs="Palatino Linotype"/>
          <w:sz w:val="22"/>
          <w:szCs w:val="22"/>
        </w:rPr>
      </w:pPr>
    </w:p>
    <w:p w14:paraId="7E42B442" w14:textId="77777777" w:rsidR="00CC2C62" w:rsidRDefault="00CC2C62">
      <w:pPr>
        <w:spacing w:line="360" w:lineRule="auto"/>
        <w:jc w:val="both"/>
        <w:rPr>
          <w:rFonts w:ascii="Palatino Linotype" w:eastAsia="Palatino Linotype" w:hAnsi="Palatino Linotype" w:cs="Palatino Linotype"/>
          <w:sz w:val="22"/>
          <w:szCs w:val="22"/>
        </w:rPr>
      </w:pPr>
    </w:p>
    <w:p w14:paraId="600A3CA3" w14:textId="77777777" w:rsidR="00CC2C62" w:rsidRDefault="00CC2C62">
      <w:pPr>
        <w:spacing w:line="360" w:lineRule="auto"/>
        <w:jc w:val="both"/>
        <w:rPr>
          <w:rFonts w:ascii="Palatino Linotype" w:eastAsia="Palatino Linotype" w:hAnsi="Palatino Linotype" w:cs="Palatino Linotype"/>
          <w:sz w:val="22"/>
          <w:szCs w:val="22"/>
        </w:rPr>
      </w:pPr>
    </w:p>
    <w:p w14:paraId="03C53261" w14:textId="77777777" w:rsidR="00CC2C62" w:rsidRDefault="00CC2C62">
      <w:pPr>
        <w:spacing w:line="360" w:lineRule="auto"/>
        <w:jc w:val="both"/>
        <w:rPr>
          <w:rFonts w:ascii="Palatino Linotype" w:eastAsia="Palatino Linotype" w:hAnsi="Palatino Linotype" w:cs="Palatino Linotype"/>
          <w:sz w:val="22"/>
          <w:szCs w:val="22"/>
        </w:rPr>
      </w:pPr>
    </w:p>
    <w:p w14:paraId="3F2A5BB3" w14:textId="77777777" w:rsidR="00CC2C62" w:rsidRDefault="00CC2C62">
      <w:pPr>
        <w:spacing w:line="360" w:lineRule="auto"/>
        <w:jc w:val="both"/>
        <w:rPr>
          <w:rFonts w:ascii="Palatino Linotype" w:eastAsia="Palatino Linotype" w:hAnsi="Palatino Linotype" w:cs="Palatino Linotype"/>
          <w:sz w:val="22"/>
          <w:szCs w:val="22"/>
        </w:rPr>
      </w:pPr>
    </w:p>
    <w:p w14:paraId="570CBF2A" w14:textId="77777777" w:rsidR="00CC2C62" w:rsidRDefault="00CC2C62">
      <w:pPr>
        <w:spacing w:line="360" w:lineRule="auto"/>
        <w:jc w:val="both"/>
        <w:rPr>
          <w:rFonts w:ascii="Palatino Linotype" w:eastAsia="Palatino Linotype" w:hAnsi="Palatino Linotype" w:cs="Palatino Linotype"/>
          <w:sz w:val="22"/>
          <w:szCs w:val="22"/>
        </w:rPr>
      </w:pPr>
    </w:p>
    <w:p w14:paraId="1F0E7FA2" w14:textId="77777777" w:rsidR="00CC2C62" w:rsidRDefault="00CC2C62">
      <w:pPr>
        <w:spacing w:line="360" w:lineRule="auto"/>
        <w:jc w:val="both"/>
        <w:rPr>
          <w:rFonts w:ascii="Palatino Linotype" w:eastAsia="Palatino Linotype" w:hAnsi="Palatino Linotype" w:cs="Palatino Linotype"/>
          <w:sz w:val="22"/>
          <w:szCs w:val="22"/>
        </w:rPr>
      </w:pPr>
    </w:p>
    <w:p w14:paraId="0A43275F" w14:textId="77777777" w:rsidR="00CC2C62" w:rsidRDefault="00CC2C62">
      <w:pPr>
        <w:spacing w:line="360" w:lineRule="auto"/>
        <w:jc w:val="both"/>
        <w:rPr>
          <w:rFonts w:ascii="Palatino Linotype" w:eastAsia="Palatino Linotype" w:hAnsi="Palatino Linotype" w:cs="Palatino Linotype"/>
          <w:sz w:val="22"/>
          <w:szCs w:val="22"/>
        </w:rPr>
      </w:pPr>
    </w:p>
    <w:p w14:paraId="4D4A1FDB" w14:textId="77777777" w:rsidR="00CC2C62" w:rsidRDefault="00CC2C62">
      <w:pPr>
        <w:spacing w:line="360" w:lineRule="auto"/>
        <w:jc w:val="both"/>
        <w:rPr>
          <w:rFonts w:ascii="Palatino Linotype" w:eastAsia="Palatino Linotype" w:hAnsi="Palatino Linotype" w:cs="Palatino Linotype"/>
          <w:sz w:val="22"/>
          <w:szCs w:val="22"/>
        </w:rPr>
      </w:pPr>
    </w:p>
    <w:p w14:paraId="2FB5052D" w14:textId="77777777" w:rsidR="00CC2C62" w:rsidRDefault="00CC2C62">
      <w:pPr>
        <w:spacing w:line="360" w:lineRule="auto"/>
        <w:jc w:val="both"/>
        <w:rPr>
          <w:rFonts w:ascii="Palatino Linotype" w:eastAsia="Palatino Linotype" w:hAnsi="Palatino Linotype" w:cs="Palatino Linotype"/>
          <w:sz w:val="22"/>
          <w:szCs w:val="22"/>
        </w:rPr>
      </w:pPr>
    </w:p>
    <w:p w14:paraId="4E946969" w14:textId="77777777" w:rsidR="00CC2C62" w:rsidRDefault="00CC2C62">
      <w:pPr>
        <w:spacing w:line="360" w:lineRule="auto"/>
        <w:jc w:val="both"/>
        <w:rPr>
          <w:rFonts w:ascii="Palatino Linotype" w:eastAsia="Palatino Linotype" w:hAnsi="Palatino Linotype" w:cs="Palatino Linotype"/>
          <w:sz w:val="22"/>
          <w:szCs w:val="22"/>
        </w:rPr>
      </w:pPr>
    </w:p>
    <w:p w14:paraId="2E9CC7B9" w14:textId="77777777" w:rsidR="00CC2C62" w:rsidRDefault="00CC2C62">
      <w:pPr>
        <w:spacing w:line="360" w:lineRule="auto"/>
        <w:jc w:val="both"/>
        <w:rPr>
          <w:rFonts w:ascii="Palatino Linotype" w:eastAsia="Palatino Linotype" w:hAnsi="Palatino Linotype" w:cs="Palatino Linotype"/>
          <w:sz w:val="22"/>
          <w:szCs w:val="22"/>
        </w:rPr>
      </w:pPr>
    </w:p>
    <w:p w14:paraId="4FA6D13C" w14:textId="77777777" w:rsidR="00CC2C62" w:rsidRDefault="00CC2C62">
      <w:pPr>
        <w:spacing w:line="360" w:lineRule="auto"/>
        <w:jc w:val="both"/>
        <w:rPr>
          <w:rFonts w:ascii="Palatino Linotype" w:eastAsia="Palatino Linotype" w:hAnsi="Palatino Linotype" w:cs="Palatino Linotype"/>
          <w:sz w:val="22"/>
          <w:szCs w:val="22"/>
        </w:rPr>
      </w:pPr>
    </w:p>
    <w:p w14:paraId="4DB5BA25" w14:textId="77777777" w:rsidR="00CC2C62" w:rsidRDefault="00CC2C62">
      <w:pPr>
        <w:spacing w:line="360" w:lineRule="auto"/>
        <w:jc w:val="both"/>
        <w:rPr>
          <w:rFonts w:ascii="Palatino Linotype" w:eastAsia="Palatino Linotype" w:hAnsi="Palatino Linotype" w:cs="Palatino Linotype"/>
          <w:sz w:val="22"/>
          <w:szCs w:val="22"/>
        </w:rPr>
      </w:pPr>
    </w:p>
    <w:p w14:paraId="4FB304FE" w14:textId="77777777" w:rsidR="00CC2C62" w:rsidRDefault="00CC2C62">
      <w:pPr>
        <w:spacing w:line="360" w:lineRule="auto"/>
        <w:jc w:val="both"/>
        <w:rPr>
          <w:rFonts w:ascii="Palatino Linotype" w:eastAsia="Palatino Linotype" w:hAnsi="Palatino Linotype" w:cs="Palatino Linotype"/>
          <w:sz w:val="22"/>
          <w:szCs w:val="22"/>
        </w:rPr>
      </w:pPr>
    </w:p>
    <w:p w14:paraId="21D35F2A" w14:textId="77777777" w:rsidR="00CC2C62" w:rsidRDefault="00CC2C62">
      <w:pPr>
        <w:spacing w:line="360" w:lineRule="auto"/>
        <w:jc w:val="both"/>
        <w:rPr>
          <w:rFonts w:ascii="Palatino Linotype" w:eastAsia="Palatino Linotype" w:hAnsi="Palatino Linotype" w:cs="Palatino Linotype"/>
          <w:sz w:val="22"/>
          <w:szCs w:val="22"/>
        </w:rPr>
      </w:pPr>
    </w:p>
    <w:p w14:paraId="44F68E65" w14:textId="77777777" w:rsidR="00CC2C62" w:rsidRDefault="00CC2C62">
      <w:pPr>
        <w:spacing w:line="360" w:lineRule="auto"/>
        <w:jc w:val="both"/>
        <w:rPr>
          <w:rFonts w:ascii="Palatino Linotype" w:eastAsia="Palatino Linotype" w:hAnsi="Palatino Linotype" w:cs="Palatino Linotype"/>
          <w:sz w:val="22"/>
          <w:szCs w:val="22"/>
        </w:rPr>
      </w:pPr>
    </w:p>
    <w:p w14:paraId="41C1A51D" w14:textId="77777777" w:rsidR="00CC2C62" w:rsidRDefault="00CC2C62">
      <w:pPr>
        <w:spacing w:line="360" w:lineRule="auto"/>
        <w:jc w:val="both"/>
        <w:rPr>
          <w:rFonts w:ascii="Palatino Linotype" w:eastAsia="Palatino Linotype" w:hAnsi="Palatino Linotype" w:cs="Palatino Linotype"/>
          <w:sz w:val="22"/>
          <w:szCs w:val="22"/>
        </w:rPr>
      </w:pPr>
    </w:p>
    <w:p w14:paraId="3CE81D01" w14:textId="77777777" w:rsidR="00CC2C62" w:rsidRDefault="00CC2C62">
      <w:pPr>
        <w:spacing w:line="360" w:lineRule="auto"/>
        <w:jc w:val="both"/>
        <w:rPr>
          <w:rFonts w:ascii="Palatino Linotype" w:eastAsia="Palatino Linotype" w:hAnsi="Palatino Linotype" w:cs="Palatino Linotype"/>
          <w:sz w:val="22"/>
          <w:szCs w:val="22"/>
        </w:rPr>
      </w:pPr>
    </w:p>
    <w:p w14:paraId="2FAD968A" w14:textId="77777777" w:rsidR="00CC2C62" w:rsidRDefault="00CC2C62">
      <w:pPr>
        <w:spacing w:line="360" w:lineRule="auto"/>
        <w:jc w:val="both"/>
        <w:rPr>
          <w:rFonts w:ascii="Palatino Linotype" w:eastAsia="Palatino Linotype" w:hAnsi="Palatino Linotype" w:cs="Palatino Linotype"/>
          <w:sz w:val="22"/>
          <w:szCs w:val="22"/>
        </w:rPr>
      </w:pPr>
    </w:p>
    <w:p w14:paraId="31750A8B" w14:textId="77777777" w:rsidR="00CC2C62" w:rsidRDefault="00CC2C62">
      <w:pPr>
        <w:spacing w:line="360" w:lineRule="auto"/>
        <w:jc w:val="both"/>
        <w:rPr>
          <w:rFonts w:ascii="Palatino Linotype" w:eastAsia="Palatino Linotype" w:hAnsi="Palatino Linotype" w:cs="Palatino Linotype"/>
          <w:sz w:val="22"/>
          <w:szCs w:val="22"/>
        </w:rPr>
      </w:pPr>
    </w:p>
    <w:p w14:paraId="72224B3D" w14:textId="77777777" w:rsidR="00CC2C62" w:rsidRDefault="00CC2C62">
      <w:pPr>
        <w:spacing w:line="360" w:lineRule="auto"/>
        <w:jc w:val="both"/>
        <w:rPr>
          <w:rFonts w:ascii="Palatino Linotype" w:eastAsia="Palatino Linotype" w:hAnsi="Palatino Linotype" w:cs="Palatino Linotype"/>
          <w:sz w:val="22"/>
          <w:szCs w:val="22"/>
        </w:rPr>
      </w:pPr>
    </w:p>
    <w:p w14:paraId="28AD4DB6" w14:textId="77777777" w:rsidR="00CC2C62" w:rsidRDefault="00CC2C62">
      <w:pPr>
        <w:spacing w:line="360" w:lineRule="auto"/>
        <w:jc w:val="both"/>
        <w:rPr>
          <w:rFonts w:ascii="Palatino Linotype" w:eastAsia="Palatino Linotype" w:hAnsi="Palatino Linotype" w:cs="Palatino Linotype"/>
          <w:b/>
          <w:bCs/>
          <w:sz w:val="22"/>
          <w:szCs w:val="22"/>
        </w:rPr>
      </w:pPr>
    </w:p>
    <w:p w14:paraId="1B8AFDFC" w14:textId="77777777" w:rsidR="00CC2C62" w:rsidRDefault="00CC2C62">
      <w:pPr>
        <w:spacing w:line="360" w:lineRule="auto"/>
        <w:jc w:val="both"/>
        <w:rPr>
          <w:rFonts w:ascii="Palatino Linotype" w:eastAsia="Palatino Linotype" w:hAnsi="Palatino Linotype" w:cs="Palatino Linotype"/>
          <w:sz w:val="22"/>
          <w:szCs w:val="22"/>
        </w:rPr>
      </w:pPr>
    </w:p>
    <w:p w14:paraId="3E3E6F3C" w14:textId="77777777" w:rsidR="00CC2C62" w:rsidRDefault="00CC2C62">
      <w:pPr>
        <w:spacing w:line="360" w:lineRule="auto"/>
        <w:jc w:val="both"/>
        <w:rPr>
          <w:rFonts w:ascii="Palatino Linotype" w:eastAsia="Palatino Linotype" w:hAnsi="Palatino Linotype" w:cs="Palatino Linotype"/>
          <w:sz w:val="22"/>
          <w:szCs w:val="22"/>
        </w:rPr>
      </w:pPr>
    </w:p>
    <w:p w14:paraId="7C3E1D98" w14:textId="77777777" w:rsidR="00CC2C62" w:rsidRDefault="00CC2C62">
      <w:pPr>
        <w:spacing w:line="360" w:lineRule="auto"/>
        <w:jc w:val="both"/>
        <w:rPr>
          <w:rFonts w:ascii="Palatino Linotype" w:eastAsia="Palatino Linotype" w:hAnsi="Palatino Linotype" w:cs="Palatino Linotype"/>
          <w:sz w:val="22"/>
          <w:szCs w:val="22"/>
        </w:rPr>
      </w:pPr>
    </w:p>
    <w:p w14:paraId="76025763" w14:textId="77777777" w:rsidR="00CC2C62" w:rsidRDefault="00CC2C62">
      <w:pPr>
        <w:spacing w:line="360" w:lineRule="auto"/>
        <w:ind w:right="-93"/>
        <w:jc w:val="both"/>
        <w:rPr>
          <w:rFonts w:ascii="Palatino Linotype" w:eastAsia="Palatino Linotype" w:hAnsi="Palatino Linotype" w:cs="Palatino Linotype"/>
          <w:sz w:val="22"/>
          <w:szCs w:val="22"/>
        </w:rPr>
      </w:pPr>
    </w:p>
    <w:p w14:paraId="52DF64E1" w14:textId="77777777" w:rsidR="00CC2C62" w:rsidRDefault="00CC2C62">
      <w:pPr>
        <w:spacing w:line="360" w:lineRule="auto"/>
        <w:jc w:val="both"/>
        <w:rPr>
          <w:rFonts w:ascii="Palatino Linotype" w:eastAsia="Palatino Linotype" w:hAnsi="Palatino Linotype" w:cs="Palatino Linotype"/>
          <w:sz w:val="22"/>
          <w:szCs w:val="22"/>
        </w:rPr>
      </w:pPr>
    </w:p>
    <w:p w14:paraId="366A5791" w14:textId="77777777" w:rsidR="00CC2C62" w:rsidRDefault="00CC2C62">
      <w:pPr>
        <w:spacing w:line="360" w:lineRule="auto"/>
        <w:jc w:val="both"/>
        <w:rPr>
          <w:rFonts w:ascii="Palatino Linotype" w:eastAsia="Palatino Linotype" w:hAnsi="Palatino Linotype" w:cs="Palatino Linotype"/>
          <w:color w:val="000000"/>
          <w:sz w:val="22"/>
          <w:szCs w:val="22"/>
        </w:rPr>
      </w:pPr>
    </w:p>
    <w:sectPr w:rsidR="00CC2C62">
      <w:headerReference w:type="default" r:id="rId12"/>
      <w:footerReference w:type="default" r:id="rId13"/>
      <w:headerReference w:type="first" r:id="rId14"/>
      <w:footerReference w:type="first" r:id="rId15"/>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52D17" w14:textId="77777777" w:rsidR="00080B4E" w:rsidRDefault="00080B4E">
      <w:r>
        <w:separator/>
      </w:r>
    </w:p>
  </w:endnote>
  <w:endnote w:type="continuationSeparator" w:id="0">
    <w:p w14:paraId="48431325" w14:textId="77777777" w:rsidR="00080B4E" w:rsidRDefault="00080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C11CAEFF-83DF-4394-AB63-DBB3DA4BB4D2}"/>
    <w:embedBold r:id="rId2" w:fontKey="{42DADF2E-E7E2-47A9-8067-8349C10D1095}"/>
    <w:embedItalic r:id="rId3" w:fontKey="{D725C5A0-4134-4B4C-A895-3222D56D9AD3}"/>
    <w:embedBoldItalic r:id="rId4" w:fontKey="{5FE1048E-F697-48D4-84B3-9995032C5373}"/>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D1E6003A-F838-4E85-B1B7-63189BC2981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C40ECAA-2407-47E8-A92E-59AE4B47AAC6}"/>
    <w:embedBold r:id="rId7" w:fontKey="{A3F78E86-9C73-46BD-8E1C-C1DCE8BE81E2}"/>
  </w:font>
  <w:font w:name="Century Gothic">
    <w:panose1 w:val="020B0502020202020204"/>
    <w:charset w:val="00"/>
    <w:family w:val="swiss"/>
    <w:pitch w:val="variable"/>
    <w:sig w:usb0="00000287" w:usb1="00000000" w:usb2="00000000" w:usb3="00000000" w:csb0="0000009F" w:csb1="00000000"/>
    <w:embedRegular r:id="rId8" w:fontKey="{01E517EA-4CD4-4FC9-B6B6-7C1793701578}"/>
  </w:font>
  <w:font w:name="Segoe UI">
    <w:panose1 w:val="020B0502040204020203"/>
    <w:charset w:val="00"/>
    <w:family w:val="swiss"/>
    <w:pitch w:val="variable"/>
    <w:sig w:usb0="E4002EFF" w:usb1="C000E47F" w:usb2="00000009" w:usb3="00000000" w:csb0="000001FF" w:csb1="00000000"/>
    <w:embedRegular r:id="rId9" w:fontKey="{B881C530-347E-4F34-BF7A-B9EE285E7943}"/>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10" w:fontKey="{15C40652-3E31-4388-96A5-A225E5D99B10}"/>
  </w:font>
  <w:font w:name="Tahoma">
    <w:panose1 w:val="020B0604030504040204"/>
    <w:charset w:val="00"/>
    <w:family w:val="swiss"/>
    <w:pitch w:val="variable"/>
    <w:sig w:usb0="E1002EFF" w:usb1="C000605B" w:usb2="00000029" w:usb3="00000000" w:csb0="000101FF" w:csb1="00000000"/>
    <w:embedBold r:id="rId11" w:fontKey="{629D8949-AEFB-4424-8D3D-8FA75B020171}"/>
  </w:font>
  <w:font w:name="Garamond">
    <w:panose1 w:val="02020404030301010803"/>
    <w:charset w:val="00"/>
    <w:family w:val="roman"/>
    <w:pitch w:val="variable"/>
    <w:sig w:usb0="00000287" w:usb1="00000000" w:usb2="00000000" w:usb3="00000000" w:csb0="0000009F" w:csb1="00000000"/>
    <w:embedRegular r:id="rId12" w:fontKey="{0DBA0195-08A1-4E4A-B9E9-D6E0401962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83D13" w14:textId="77777777" w:rsidR="00CC2C62" w:rsidRDefault="00CC2C62">
    <w:pPr>
      <w:pBdr>
        <w:top w:val="nil"/>
        <w:left w:val="nil"/>
        <w:bottom w:val="nil"/>
        <w:right w:val="nil"/>
        <w:between w:val="nil"/>
      </w:pBdr>
      <w:tabs>
        <w:tab w:val="center" w:pos="4419"/>
        <w:tab w:val="right" w:pos="8838"/>
      </w:tabs>
      <w:jc w:val="right"/>
      <w:rPr>
        <w:color w:val="000000"/>
        <w:sz w:val="26"/>
        <w:szCs w:val="26"/>
      </w:rPr>
    </w:pPr>
  </w:p>
  <w:p w14:paraId="46DBCD0E" w14:textId="77777777" w:rsidR="00CC2C62" w:rsidRDefault="00000000">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33D90">
      <w:rPr>
        <w:b/>
        <w:bCs/>
        <w:noProof/>
        <w:color w:val="000000"/>
        <w:sz w:val="24"/>
        <w:szCs w:val="24"/>
      </w:rPr>
      <w:t>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33D90">
      <w:rPr>
        <w:b/>
        <w:bCs/>
        <w:noProof/>
        <w:color w:val="000000"/>
        <w:sz w:val="24"/>
        <w:szCs w:val="24"/>
      </w:rPr>
      <w:t>3</w:t>
    </w:r>
    <w:r>
      <w:rPr>
        <w:b/>
        <w:bCs/>
        <w:color w:val="000000"/>
        <w:sz w:val="24"/>
        <w:szCs w:val="24"/>
      </w:rPr>
      <w:fldChar w:fldCharType="end"/>
    </w:r>
  </w:p>
  <w:p w14:paraId="7956730A" w14:textId="77777777" w:rsidR="00CC2C62" w:rsidRDefault="00CC2C6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DF18C" w14:textId="77777777" w:rsidR="00CC2C62" w:rsidRDefault="00CC2C62">
    <w:pPr>
      <w:pBdr>
        <w:top w:val="nil"/>
        <w:left w:val="nil"/>
        <w:bottom w:val="nil"/>
        <w:right w:val="nil"/>
        <w:between w:val="nil"/>
      </w:pBdr>
      <w:tabs>
        <w:tab w:val="center" w:pos="4419"/>
        <w:tab w:val="right" w:pos="8838"/>
      </w:tabs>
      <w:jc w:val="right"/>
      <w:rPr>
        <w:color w:val="000000"/>
      </w:rPr>
    </w:pPr>
  </w:p>
  <w:p w14:paraId="7F586D62" w14:textId="77777777" w:rsidR="00CC2C62" w:rsidRDefault="00000000">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33D90">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33D90">
      <w:rPr>
        <w:b/>
        <w:bCs/>
        <w:noProof/>
        <w:color w:val="000000"/>
        <w:sz w:val="24"/>
        <w:szCs w:val="24"/>
      </w:rPr>
      <w:t>2</w:t>
    </w:r>
    <w:r>
      <w:rPr>
        <w:b/>
        <w:bCs/>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EC1E8" w14:textId="77777777" w:rsidR="00080B4E" w:rsidRDefault="00080B4E">
      <w:r>
        <w:separator/>
      </w:r>
    </w:p>
  </w:footnote>
  <w:footnote w:type="continuationSeparator" w:id="0">
    <w:p w14:paraId="782B2EFC" w14:textId="77777777" w:rsidR="00080B4E" w:rsidRDefault="00080B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56406" w14:textId="77777777" w:rsidR="00CC2C62" w:rsidRDefault="00CC2C6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
      <w:tblW w:w="8222" w:type="dxa"/>
      <w:tblInd w:w="2552" w:type="dxa"/>
      <w:tblLayout w:type="fixed"/>
      <w:tblLook w:val="0400" w:firstRow="0" w:lastRow="0" w:firstColumn="0" w:lastColumn="0" w:noHBand="0" w:noVBand="1"/>
    </w:tblPr>
    <w:tblGrid>
      <w:gridCol w:w="8222"/>
    </w:tblGrid>
    <w:tr w:rsidR="00CC2C62" w14:paraId="45AC890D" w14:textId="77777777">
      <w:trPr>
        <w:trHeight w:val="1412"/>
      </w:trPr>
      <w:tc>
        <w:tcPr>
          <w:tcW w:w="8222" w:type="dxa"/>
        </w:tcPr>
        <w:p w14:paraId="172B2FAC" w14:textId="77777777" w:rsidR="00CC2C62" w:rsidRDefault="00CC2C6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0"/>
            <w:tblW w:w="6700" w:type="dxa"/>
            <w:tblInd w:w="34" w:type="dxa"/>
            <w:tblBorders>
              <w:top w:val="nil"/>
              <w:left w:val="nil"/>
              <w:bottom w:val="nil"/>
              <w:right w:val="nil"/>
              <w:insideH w:val="nil"/>
              <w:insideV w:val="nil"/>
            </w:tblBorders>
            <w:tblLayout w:type="fixed"/>
            <w:tblLook w:val="0400" w:firstRow="0" w:lastRow="0" w:firstColumn="0" w:lastColumn="0" w:noHBand="0" w:noVBand="1"/>
          </w:tblPr>
          <w:tblGrid>
            <w:gridCol w:w="2621"/>
            <w:gridCol w:w="4079"/>
          </w:tblGrid>
          <w:tr w:rsidR="00CC2C62" w14:paraId="6EC722AA" w14:textId="77777777">
            <w:trPr>
              <w:trHeight w:val="144"/>
            </w:trPr>
            <w:tc>
              <w:tcPr>
                <w:tcW w:w="2621" w:type="dxa"/>
              </w:tcPr>
              <w:p w14:paraId="6ED085C4" w14:textId="77777777" w:rsidR="00CC2C62" w:rsidRDefault="00000000">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079" w:type="dxa"/>
              </w:tcPr>
              <w:p w14:paraId="50A89774" w14:textId="77777777" w:rsidR="00CC2C62" w:rsidRDefault="00000000">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12121/INFOEM/ICR-77/IP/RR/2025</w:t>
                </w:r>
              </w:p>
            </w:tc>
          </w:tr>
          <w:tr w:rsidR="00CC2C62" w14:paraId="416C65E0" w14:textId="77777777">
            <w:trPr>
              <w:trHeight w:val="144"/>
            </w:trPr>
            <w:tc>
              <w:tcPr>
                <w:tcW w:w="2621" w:type="dxa"/>
              </w:tcPr>
              <w:p w14:paraId="6889D8AE" w14:textId="77777777" w:rsidR="00CC2C62" w:rsidRDefault="00000000">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079" w:type="dxa"/>
              </w:tcPr>
              <w:p w14:paraId="0B4A6E0B" w14:textId="77777777" w:rsidR="00CC2C62" w:rsidRDefault="00000000">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Almoloya de Juárez</w:t>
                </w:r>
              </w:p>
            </w:tc>
          </w:tr>
          <w:tr w:rsidR="00CC2C62" w14:paraId="423DFD97" w14:textId="77777777">
            <w:trPr>
              <w:trHeight w:val="138"/>
            </w:trPr>
            <w:tc>
              <w:tcPr>
                <w:tcW w:w="2621" w:type="dxa"/>
              </w:tcPr>
              <w:p w14:paraId="768D1FF5" w14:textId="77777777" w:rsidR="00CC2C62" w:rsidRDefault="00000000">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079" w:type="dxa"/>
              </w:tcPr>
              <w:p w14:paraId="1F0FF530" w14:textId="77777777" w:rsidR="00CC2C62" w:rsidRDefault="00000000">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5F366AD0" w14:textId="77777777" w:rsidR="00CC2C62" w:rsidRDefault="00CC2C62">
          <w:pPr>
            <w:tabs>
              <w:tab w:val="right" w:pos="8838"/>
            </w:tabs>
            <w:ind w:left="-28"/>
            <w:jc w:val="both"/>
            <w:rPr>
              <w:rFonts w:ascii="Arial" w:eastAsia="Arial" w:hAnsi="Arial" w:cs="Arial"/>
              <w:b/>
              <w:bCs/>
              <w:sz w:val="22"/>
              <w:szCs w:val="22"/>
            </w:rPr>
          </w:pPr>
        </w:p>
      </w:tc>
    </w:tr>
  </w:tbl>
  <w:p w14:paraId="07128940" w14:textId="77777777" w:rsidR="00CC2C62" w:rsidRDefault="00000000">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w14:anchorId="3A8E2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ARCA DE AGUA - HOJA RESOLUCIÓN" style="position:absolute;margin-left:-79.4pt;margin-top:-123.6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18EA4" w14:textId="77777777" w:rsidR="00CC2C62" w:rsidRDefault="00000000">
    <w:r>
      <w:rPr>
        <w:rFonts w:ascii="Palatino Linotype" w:eastAsia="Palatino Linotype" w:hAnsi="Palatino Linotype" w:cs="Palatino Linotype"/>
        <w:b/>
        <w:bCs/>
        <w:sz w:val="22"/>
        <w:szCs w:val="22"/>
      </w:rPr>
      <w:pict w14:anchorId="7A43EE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margin-left:-79.7pt;margin-top:-120.95pt;width:663.5pt;height:12in;z-index:-251659264;mso-position-horizontal:absolute;mso-position-horizontal-relative:margin;mso-position-vertical:absolute;mso-position-vertical-relative:margin">
          <v:imagedata r:id="rId1" o:title="image3"/>
          <w10:wrap anchorx="margin" anchory="margin"/>
        </v:shape>
      </w:pict>
    </w:r>
  </w:p>
  <w:tbl>
    <w:tblPr>
      <w:tblStyle w:val="a1"/>
      <w:tblpPr w:leftFromText="141" w:rightFromText="141" w:vertAnchor="page" w:horzAnchor="margin" w:tblpY="556"/>
      <w:tblW w:w="93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94"/>
      <w:gridCol w:w="2405"/>
      <w:gridCol w:w="4257"/>
    </w:tblGrid>
    <w:tr w:rsidR="00CC2C62" w14:paraId="5E695F6D" w14:textId="77777777">
      <w:trPr>
        <w:trHeight w:val="466"/>
      </w:trPr>
      <w:tc>
        <w:tcPr>
          <w:tcW w:w="2694" w:type="dxa"/>
          <w:vAlign w:val="bottom"/>
        </w:tcPr>
        <w:p w14:paraId="02DA225E" w14:textId="77777777" w:rsidR="00CC2C62" w:rsidRDefault="00CC2C62">
          <w:pPr>
            <w:tabs>
              <w:tab w:val="right" w:pos="8838"/>
            </w:tabs>
            <w:ind w:right="-105"/>
            <w:rPr>
              <w:rFonts w:ascii="Palatino Linotype" w:eastAsia="Palatino Linotype" w:hAnsi="Palatino Linotype" w:cs="Palatino Linotype"/>
              <w:b/>
              <w:bCs/>
              <w:sz w:val="22"/>
              <w:szCs w:val="22"/>
            </w:rPr>
          </w:pPr>
        </w:p>
      </w:tc>
      <w:tc>
        <w:tcPr>
          <w:tcW w:w="2405" w:type="dxa"/>
          <w:vAlign w:val="bottom"/>
        </w:tcPr>
        <w:p w14:paraId="05651C23" w14:textId="77777777" w:rsidR="00CC2C62" w:rsidRDefault="00000000">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257" w:type="dxa"/>
          <w:vAlign w:val="bottom"/>
        </w:tcPr>
        <w:p w14:paraId="12F50FBC" w14:textId="77777777" w:rsidR="00CC2C62" w:rsidRDefault="00000000">
          <w:pPr>
            <w:tabs>
              <w:tab w:val="left" w:pos="3435"/>
              <w:tab w:val="right" w:pos="8838"/>
            </w:tabs>
            <w:spacing w:line="276" w:lineRule="auto"/>
            <w:ind w:left="-28"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12121/INFOEM/ICR-77/IP/RR/2025</w:t>
          </w:r>
        </w:p>
      </w:tc>
    </w:tr>
    <w:tr w:rsidR="00CC2C62" w14:paraId="78FEF3DD" w14:textId="77777777">
      <w:trPr>
        <w:trHeight w:val="119"/>
      </w:trPr>
      <w:tc>
        <w:tcPr>
          <w:tcW w:w="2694" w:type="dxa"/>
        </w:tcPr>
        <w:p w14:paraId="0B7EB5C6" w14:textId="77777777" w:rsidR="00CC2C62" w:rsidRDefault="00CC2C62">
          <w:pPr>
            <w:tabs>
              <w:tab w:val="right" w:pos="8838"/>
            </w:tabs>
            <w:ind w:right="-105"/>
            <w:rPr>
              <w:rFonts w:ascii="Palatino Linotype" w:eastAsia="Palatino Linotype" w:hAnsi="Palatino Linotype" w:cs="Palatino Linotype"/>
              <w:b/>
              <w:bCs/>
              <w:sz w:val="22"/>
              <w:szCs w:val="22"/>
            </w:rPr>
          </w:pPr>
        </w:p>
      </w:tc>
      <w:tc>
        <w:tcPr>
          <w:tcW w:w="2405" w:type="dxa"/>
        </w:tcPr>
        <w:p w14:paraId="17102E92" w14:textId="77777777" w:rsidR="00CC2C62" w:rsidRDefault="00000000">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Recurrente:</w:t>
          </w:r>
        </w:p>
      </w:tc>
      <w:tc>
        <w:tcPr>
          <w:tcW w:w="4257" w:type="dxa"/>
        </w:tcPr>
        <w:p w14:paraId="62D74F02" w14:textId="626F54C6" w:rsidR="00CC2C62" w:rsidRDefault="00EB27AE">
          <w:pPr>
            <w:tabs>
              <w:tab w:val="left" w:pos="3225"/>
            </w:tabs>
            <w:spacing w:line="276" w:lineRule="auto"/>
            <w:ind w:right="-246"/>
            <w:jc w:val="both"/>
            <w:rPr>
              <w:rFonts w:ascii="Palatino Linotype" w:eastAsia="Palatino Linotype" w:hAnsi="Palatino Linotype" w:cs="Palatino Linotype"/>
              <w:sz w:val="22"/>
              <w:szCs w:val="22"/>
            </w:rPr>
          </w:pPr>
          <w:r w:rsidRPr="00EB27AE">
            <w:rPr>
              <w:rFonts w:ascii="Palatino Linotype" w:eastAsia="Palatino Linotype" w:hAnsi="Palatino Linotype" w:cs="Palatino Linotype"/>
              <w:sz w:val="22"/>
              <w:szCs w:val="22"/>
              <w:highlight w:val="black"/>
            </w:rPr>
            <w:t>XXXXXXXXXXXXXX</w:t>
          </w:r>
          <w:r w:rsidR="00000000">
            <w:rPr>
              <w:rFonts w:ascii="Palatino Linotype" w:eastAsia="Palatino Linotype" w:hAnsi="Palatino Linotype" w:cs="Palatino Linotype"/>
              <w:sz w:val="22"/>
              <w:szCs w:val="22"/>
            </w:rPr>
            <w:tab/>
          </w:r>
        </w:p>
      </w:tc>
    </w:tr>
    <w:tr w:rsidR="00CC2C62" w14:paraId="095AF97D" w14:textId="77777777">
      <w:trPr>
        <w:trHeight w:val="234"/>
      </w:trPr>
      <w:tc>
        <w:tcPr>
          <w:tcW w:w="2694" w:type="dxa"/>
        </w:tcPr>
        <w:p w14:paraId="67DE53F4" w14:textId="77777777" w:rsidR="00CC2C62" w:rsidRDefault="00CC2C62">
          <w:pPr>
            <w:tabs>
              <w:tab w:val="right" w:pos="8838"/>
            </w:tabs>
            <w:ind w:right="-105"/>
            <w:rPr>
              <w:rFonts w:ascii="Palatino Linotype" w:eastAsia="Palatino Linotype" w:hAnsi="Palatino Linotype" w:cs="Palatino Linotype"/>
              <w:b/>
              <w:bCs/>
              <w:sz w:val="22"/>
              <w:szCs w:val="22"/>
            </w:rPr>
          </w:pPr>
        </w:p>
      </w:tc>
      <w:tc>
        <w:tcPr>
          <w:tcW w:w="2405" w:type="dxa"/>
        </w:tcPr>
        <w:p w14:paraId="57479C6B" w14:textId="77777777" w:rsidR="00CC2C62" w:rsidRDefault="00000000">
          <w:pPr>
            <w:tabs>
              <w:tab w:val="right" w:pos="8838"/>
            </w:tabs>
            <w:spacing w:line="276" w:lineRule="auto"/>
            <w:ind w:right="17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257" w:type="dxa"/>
        </w:tcPr>
        <w:p w14:paraId="71489A79" w14:textId="77777777" w:rsidR="00CC2C62" w:rsidRDefault="00000000">
          <w:pPr>
            <w:tabs>
              <w:tab w:val="right" w:pos="8838"/>
            </w:tabs>
            <w:spacing w:line="276" w:lineRule="auto"/>
            <w:ind w:right="-108"/>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Almoloya de Juárez</w:t>
          </w:r>
        </w:p>
      </w:tc>
    </w:tr>
    <w:tr w:rsidR="00CC2C62" w14:paraId="260D2B04" w14:textId="77777777">
      <w:trPr>
        <w:trHeight w:val="234"/>
      </w:trPr>
      <w:tc>
        <w:tcPr>
          <w:tcW w:w="2694" w:type="dxa"/>
        </w:tcPr>
        <w:p w14:paraId="0221E8AF" w14:textId="77777777" w:rsidR="00CC2C62" w:rsidRDefault="00CC2C62">
          <w:pPr>
            <w:tabs>
              <w:tab w:val="right" w:pos="8838"/>
            </w:tabs>
            <w:ind w:right="-105"/>
            <w:rPr>
              <w:rFonts w:ascii="Palatino Linotype" w:eastAsia="Palatino Linotype" w:hAnsi="Palatino Linotype" w:cs="Palatino Linotype"/>
              <w:b/>
              <w:bCs/>
              <w:sz w:val="22"/>
              <w:szCs w:val="22"/>
            </w:rPr>
          </w:pPr>
        </w:p>
      </w:tc>
      <w:tc>
        <w:tcPr>
          <w:tcW w:w="2405" w:type="dxa"/>
        </w:tcPr>
        <w:p w14:paraId="69E844DC" w14:textId="77777777" w:rsidR="00CC2C62" w:rsidRDefault="00000000">
          <w:pPr>
            <w:tabs>
              <w:tab w:val="right" w:pos="8838"/>
            </w:tabs>
            <w:spacing w:line="276" w:lineRule="auto"/>
            <w:ind w:right="-10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257" w:type="dxa"/>
        </w:tcPr>
        <w:p w14:paraId="0EA68A1D" w14:textId="77777777" w:rsidR="00CC2C62" w:rsidRDefault="00000000">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6237FFEF" w14:textId="77777777" w:rsidR="00CC2C62" w:rsidRDefault="00CC2C6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D276B"/>
    <w:multiLevelType w:val="multilevel"/>
    <w:tmpl w:val="CB622D9A"/>
    <w:lvl w:ilvl="0">
      <w:start w:val="1"/>
      <w:numFmt w:val="bullet"/>
      <w:pStyle w:val="Listaconvietas2"/>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 w15:restartNumberingAfterBreak="0">
    <w:nsid w:val="1F6D589C"/>
    <w:multiLevelType w:val="multilevel"/>
    <w:tmpl w:val="58E0EF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7E7EE5"/>
    <w:multiLevelType w:val="multilevel"/>
    <w:tmpl w:val="DAF0D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9FE5FCA"/>
    <w:multiLevelType w:val="multilevel"/>
    <w:tmpl w:val="0984467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5BA5773"/>
    <w:multiLevelType w:val="multilevel"/>
    <w:tmpl w:val="2F3C89A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5D47A2"/>
    <w:multiLevelType w:val="multilevel"/>
    <w:tmpl w:val="B218E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491330A"/>
    <w:multiLevelType w:val="multilevel"/>
    <w:tmpl w:val="74C64EC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DFD2C0A"/>
    <w:multiLevelType w:val="multilevel"/>
    <w:tmpl w:val="672A2960"/>
    <w:lvl w:ilvl="0">
      <w:start w:val="1"/>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29893170">
    <w:abstractNumId w:val="0"/>
  </w:num>
  <w:num w:numId="2" w16cid:durableId="2019044353">
    <w:abstractNumId w:val="2"/>
  </w:num>
  <w:num w:numId="3" w16cid:durableId="65761307">
    <w:abstractNumId w:val="7"/>
  </w:num>
  <w:num w:numId="4" w16cid:durableId="219093917">
    <w:abstractNumId w:val="3"/>
  </w:num>
  <w:num w:numId="5" w16cid:durableId="426459753">
    <w:abstractNumId w:val="5"/>
  </w:num>
  <w:num w:numId="6" w16cid:durableId="1092967093">
    <w:abstractNumId w:val="6"/>
  </w:num>
  <w:num w:numId="7" w16cid:durableId="1183477705">
    <w:abstractNumId w:val="4"/>
  </w:num>
  <w:num w:numId="8" w16cid:durableId="2065367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C62"/>
    <w:rsid w:val="00080B4E"/>
    <w:rsid w:val="001561EE"/>
    <w:rsid w:val="00533D90"/>
    <w:rsid w:val="006832F0"/>
    <w:rsid w:val="00697F04"/>
    <w:rsid w:val="008A20B4"/>
    <w:rsid w:val="00CC2C62"/>
    <w:rsid w:val="00E17C34"/>
    <w:rsid w:val="00E23622"/>
    <w:rsid w:val="00E7518A"/>
    <w:rsid w:val="00EB27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D8560"/>
  <w15:docId w15:val="{272E1C7B-DC61-445D-9363-951B68AA0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line="360" w:lineRule="auto"/>
      <w:jc w:val="center"/>
      <w:outlineLvl w:val="0"/>
    </w:pPr>
    <w:rPr>
      <w:rFonts w:ascii="Palatino Linotype" w:eastAsia="Palatino Linotype" w:hAnsi="Palatino Linotype" w:cs="Palatino Linotype"/>
      <w:b/>
      <w:bCs/>
      <w:color w:val="000000"/>
      <w:sz w:val="22"/>
      <w:szCs w:val="22"/>
    </w:rPr>
  </w:style>
  <w:style w:type="paragraph" w:styleId="Ttulo2">
    <w:name w:val="heading 2"/>
    <w:basedOn w:val="Normal"/>
    <w:next w:val="Normal"/>
    <w:uiPriority w:val="9"/>
    <w:unhideWhenUsed/>
    <w:qFormat/>
    <w:pPr>
      <w:keepNext/>
      <w:keepLines/>
      <w:spacing w:line="360" w:lineRule="auto"/>
      <w:outlineLvl w:val="1"/>
    </w:pPr>
    <w:rPr>
      <w:rFonts w:ascii="Palatino Linotype" w:eastAsia="Palatino Linotype" w:hAnsi="Palatino Linotype" w:cs="Palatino Linotype"/>
      <w:b/>
      <w:bCs/>
      <w:color w:val="000000"/>
      <w:sz w:val="22"/>
      <w:szCs w:val="22"/>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rPr>
      <w:rFonts w:ascii="Calibri" w:eastAsia="Calibri" w:hAnsi="Calibri" w:cs="Calibri"/>
      <w:sz w:val="56"/>
      <w:szCs w:val="56"/>
    </w:r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Fuerte">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TtuloCar">
    <w:name w:val="Títul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character" w:customStyle="1" w:styleId="Mencinsinresolver2">
    <w:name w:val="Mención sin resolver2"/>
    <w:basedOn w:val="Fuentedeprrafopredeter"/>
    <w:uiPriority w:val="99"/>
    <w:semiHidden/>
    <w:unhideWhenUsed/>
    <w:rsid w:val="009D766C"/>
    <w:rPr>
      <w:color w:val="605E5C"/>
      <w:shd w:val="clear" w:color="auto" w:fill="E1DFDD"/>
    </w:rPr>
  </w:style>
  <w:style w:type="paragraph" w:styleId="Revisin">
    <w:name w:val="Revision"/>
    <w:hidden/>
    <w:uiPriority w:val="99"/>
    <w:semiHidden/>
    <w:rsid w:val="009C2998"/>
    <w:rPr>
      <w:lang w:eastAsia="es-ES"/>
    </w:rPr>
  </w:style>
  <w:style w:type="paragraph" w:styleId="Subttulo">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segob/renapo/acciones-y-programas/clave-unica-de-registro-de-poblacion-curp-142226"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vImuaRCcePe0zqf0rt/XTquyUg==">CgMxLjAyDmguZHIxdXhzcmoyYjI5Mg5oLm1nOGF1d2I5MzBjdzIOaC5rZWVxMmw0M2F2dTQyDmgucjJ3eHNlMWwxczVoMg5oLmk5bG04b3F6YnQ3ODIOaC5wYnJlNTk0bmg2Y3EyDmgubnRoNzR5cm4yZTV3Mg5oLm42MGNueW56aXB1aDIOaC5pb2pudzN1emR2dW0yDmguNjdqb2ViZDlwa2hqMg1oLnd6dGd4MGdwY2RiMg5oLmE5ZjZ5d3luMGR4cjIOaC5uZG5ybDB0aDRoNzYyDmguMXhnbTZmZ2JwOGhqMg5oLnFsMnRjaW5rNGdteDIOaC5hYjV6dHJ2MTZwZGsyDmguN3hicm5qMzk1bTM4OAByITEwYTA1bkt4S2tnN0FsNktNX3p4RFZJbUpwS3ExeEJD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10184</Words>
  <Characters>56016</Characters>
  <Application>Microsoft Office Word</Application>
  <DocSecurity>0</DocSecurity>
  <Lines>466</Lines>
  <Paragraphs>132</Paragraphs>
  <ScaleCrop>false</ScaleCrop>
  <Company/>
  <LinksUpToDate>false</LinksUpToDate>
  <CharactersWithSpaces>66068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Roxana Lechuga</cp:lastModifiedBy>
  <cp:revision>3</cp:revision>
  <dcterms:created xsi:type="dcterms:W3CDTF">2026-02-27T03:50:00Z</dcterms:created>
  <dcterms:modified xsi:type="dcterms:W3CDTF">2026-04-10T01:32:00Z</dcterms:modified>
</cp:coreProperties>
</file>