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2D1" w:rsidRDefault="00592C73">
      <w:pPr>
        <w:tabs>
          <w:tab w:val="left" w:pos="0"/>
        </w:tabs>
        <w:spacing w:line="360" w:lineRule="auto"/>
        <w:ind w:right="-989"/>
        <w:jc w:val="both"/>
        <w:rPr>
          <w:rFonts w:ascii="Palatino Linotype" w:eastAsia="Palatino Linotype" w:hAnsi="Palatino Linotype" w:cs="Palatino Linotype"/>
        </w:rPr>
      </w:pPr>
      <w:bookmarkStart w:id="0" w:name="_heading=h.sre9h05q4v0b" w:colFirst="0" w:colLast="0"/>
      <w:bookmarkEnd w:id="0"/>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Pr>
          <w:rFonts w:ascii="Palatino Linotype" w:eastAsia="Palatino Linotype" w:hAnsi="Palatino Linotype" w:cs="Palatino Linotype"/>
          <w:b/>
          <w:bCs/>
        </w:rPr>
        <w:t>diez (10) de junio de dos mil veintiséis</w:t>
      </w:r>
      <w:r>
        <w:rPr>
          <w:rFonts w:ascii="Palatino Linotype" w:eastAsia="Palatino Linotype" w:hAnsi="Palatino Linotype" w:cs="Palatino Linotype"/>
        </w:rPr>
        <w:t>.</w:t>
      </w:r>
    </w:p>
    <w:p w:rsidR="004D52D1" w:rsidRDefault="004D52D1">
      <w:pPr>
        <w:tabs>
          <w:tab w:val="left" w:pos="567"/>
        </w:tabs>
        <w:spacing w:line="360" w:lineRule="auto"/>
        <w:ind w:right="-989"/>
        <w:jc w:val="both"/>
        <w:rPr>
          <w:rFonts w:ascii="Palatino Linotype" w:eastAsia="Palatino Linotype" w:hAnsi="Palatino Linotype" w:cs="Palatino Linotype"/>
        </w:rPr>
      </w:pPr>
    </w:p>
    <w:p w:rsidR="004D52D1" w:rsidRDefault="00592C73">
      <w:pPr>
        <w:spacing w:line="360" w:lineRule="auto"/>
        <w:ind w:right="-989"/>
        <w:jc w:val="both"/>
        <w:rPr>
          <w:rFonts w:ascii="Palatino Linotype" w:eastAsia="Palatino Linotype" w:hAnsi="Palatino Linotype" w:cs="Palatino Linotype"/>
        </w:rPr>
      </w:pPr>
      <w:bookmarkStart w:id="1" w:name="_heading=h.gjdgxs" w:colFirst="0" w:colLast="0"/>
      <w:bookmarkEnd w:id="1"/>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 </w:t>
      </w:r>
      <w:r w:rsidR="00437A86">
        <w:rPr>
          <w:rFonts w:ascii="Palatino Linotype" w:eastAsia="Palatino Linotype" w:hAnsi="Palatino Linotype" w:cs="Palatino Linotype"/>
          <w:b/>
          <w:bCs/>
        </w:rPr>
        <w:t>14423/INFOEM/IP/RR/2025</w:t>
      </w:r>
      <w:r>
        <w:rPr>
          <w:rFonts w:ascii="Palatino Linotype" w:eastAsia="Palatino Linotype" w:hAnsi="Palatino Linotype" w:cs="Palatino Linotype"/>
        </w:rPr>
        <w:t>,</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promovido por </w:t>
      </w:r>
      <w:r w:rsidR="00A0482F">
        <w:rPr>
          <w:rFonts w:ascii="Palatino Linotype" w:eastAsia="Palatino Linotype" w:hAnsi="Palatino Linotype" w:cs="Palatino Linotype"/>
          <w:b/>
          <w:bCs/>
        </w:rPr>
        <w:t>XXXX,</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a quien en lo sucesivo se le denominará como </w:t>
      </w:r>
      <w:r>
        <w:rPr>
          <w:rFonts w:ascii="Palatino Linotype" w:eastAsia="Palatino Linotype" w:hAnsi="Palatino Linotype" w:cs="Palatino Linotype"/>
          <w:b/>
          <w:bCs/>
        </w:rPr>
        <w:t>“EL</w:t>
      </w:r>
      <w:r>
        <w:rPr>
          <w:rFonts w:ascii="Palatino Linotype" w:eastAsia="Palatino Linotype" w:hAnsi="Palatino Linotype" w:cs="Palatino Linotype"/>
        </w:rPr>
        <w:t xml:space="preserv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en contra de la </w:t>
      </w:r>
      <w:r w:rsidR="00437A86">
        <w:rPr>
          <w:rFonts w:ascii="Palatino Linotype" w:eastAsia="Palatino Linotype" w:hAnsi="Palatino Linotype" w:cs="Palatino Linotype"/>
        </w:rPr>
        <w:t xml:space="preserve">falta de </w:t>
      </w:r>
      <w:r>
        <w:rPr>
          <w:rFonts w:ascii="Palatino Linotype" w:eastAsia="Palatino Linotype" w:hAnsi="Palatino Linotype" w:cs="Palatino Linotype"/>
        </w:rPr>
        <w:t xml:space="preserve">respuesta del </w:t>
      </w:r>
      <w:r>
        <w:rPr>
          <w:rFonts w:ascii="Palatino Linotype" w:eastAsia="Palatino Linotype" w:hAnsi="Palatino Linotype" w:cs="Palatino Linotype"/>
          <w:b/>
          <w:bCs/>
        </w:rPr>
        <w:t xml:space="preserve">Ayuntamiento de Tepotzotlán </w:t>
      </w:r>
      <w:r>
        <w:rPr>
          <w:rFonts w:ascii="Palatino Linotype" w:eastAsia="Palatino Linotype" w:hAnsi="Palatino Linotype" w:cs="Palatino Linotype"/>
        </w:rPr>
        <w:t>en adelante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se procede a dictar la presente resolución, con base en los siguientes:</w:t>
      </w:r>
    </w:p>
    <w:p w:rsidR="004D52D1" w:rsidRDefault="004D52D1">
      <w:pPr>
        <w:spacing w:line="360" w:lineRule="auto"/>
        <w:ind w:right="-989"/>
        <w:jc w:val="both"/>
        <w:rPr>
          <w:rFonts w:ascii="Palatino Linotype" w:eastAsia="Palatino Linotype" w:hAnsi="Palatino Linotype" w:cs="Palatino Linotype"/>
        </w:rPr>
      </w:pPr>
    </w:p>
    <w:p w:rsidR="004D52D1" w:rsidRDefault="00592C73">
      <w:pPr>
        <w:pStyle w:val="Ttulo1"/>
        <w:tabs>
          <w:tab w:val="left" w:pos="567"/>
        </w:tabs>
        <w:spacing w:before="0" w:line="360" w:lineRule="auto"/>
        <w:ind w:right="-989"/>
        <w:jc w:val="center"/>
        <w:rPr>
          <w:b w:val="0"/>
          <w:bCs w:val="0"/>
        </w:rPr>
      </w:pPr>
      <w:bookmarkStart w:id="2" w:name="_heading=h.30j0zll" w:colFirst="0" w:colLast="0"/>
      <w:bookmarkEnd w:id="2"/>
      <w:r>
        <w:t>A N T E C E D E N T E S</w:t>
      </w:r>
    </w:p>
    <w:p w:rsidR="004D52D1" w:rsidRDefault="004D52D1">
      <w:pPr>
        <w:pStyle w:val="Ttulo1"/>
        <w:tabs>
          <w:tab w:val="left" w:pos="567"/>
        </w:tabs>
        <w:spacing w:before="0" w:line="360" w:lineRule="auto"/>
        <w:ind w:right="-989"/>
      </w:pPr>
    </w:p>
    <w:p w:rsidR="004D52D1" w:rsidRDefault="00592C73">
      <w:pPr>
        <w:numPr>
          <w:ilvl w:val="0"/>
          <w:numId w:val="1"/>
        </w:num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veintiuno de noviembre de dos mil veinticinco, </w:t>
      </w:r>
      <w:r>
        <w:rPr>
          <w:rFonts w:ascii="Palatino Linotype" w:eastAsia="Palatino Linotype" w:hAnsi="Palatino Linotype" w:cs="Palatino Linotype"/>
          <w:color w:val="000000"/>
        </w:rPr>
        <w:t xml:space="preserve">se presentó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vía SAIMEX, la solicitud de información pública registrada con el número</w:t>
      </w:r>
      <w:r>
        <w:rPr>
          <w:rFonts w:ascii="Palatino Linotype" w:eastAsia="Palatino Linotype" w:hAnsi="Palatino Linotype" w:cs="Palatino Linotype"/>
          <w:b/>
          <w:bCs/>
          <w:color w:val="000000"/>
        </w:rPr>
        <w:t xml:space="preserve"> 01300/TEPOTZOT/IP/2025; </w:t>
      </w:r>
      <w:r>
        <w:rPr>
          <w:rFonts w:ascii="Palatino Linotype" w:eastAsia="Palatino Linotype" w:hAnsi="Palatino Linotype" w:cs="Palatino Linotype"/>
        </w:rPr>
        <w:t xml:space="preserve">en la que </w:t>
      </w:r>
      <w:r>
        <w:rPr>
          <w:rFonts w:ascii="Palatino Linotype" w:eastAsia="Palatino Linotype" w:hAnsi="Palatino Linotype" w:cs="Palatino Linotype"/>
          <w:color w:val="000000"/>
        </w:rPr>
        <w:t>se solicitó la siguiente información:</w:t>
      </w:r>
    </w:p>
    <w:p w:rsidR="004D52D1" w:rsidRDefault="004D52D1">
      <w:pPr>
        <w:pBdr>
          <w:top w:val="nil"/>
          <w:left w:val="nil"/>
          <w:bottom w:val="nil"/>
          <w:right w:val="nil"/>
          <w:between w:val="nil"/>
        </w:pBdr>
        <w:spacing w:line="360" w:lineRule="auto"/>
        <w:ind w:right="-989"/>
        <w:jc w:val="both"/>
        <w:rPr>
          <w:rFonts w:ascii="Palatino Linotype" w:eastAsia="Palatino Linotype" w:hAnsi="Palatino Linotype" w:cs="Palatino Linotype"/>
          <w:i/>
          <w:iCs/>
          <w:color w:val="000000"/>
        </w:rPr>
      </w:pPr>
    </w:p>
    <w:p w:rsidR="004D52D1" w:rsidRDefault="00592C73">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“Con fundamento en el artículo 31 fracciones VI y VIII de la Ley Orgánica Municipal del Estado de México, solicito: 1. El Programa Municipal de Desarrollo Urbano vigente en 2025. 2. Sus actualizaciones, modificaciones o revisiones aprobadas por el Cabildo en 2025. 3. Los dictámenes y estudios técnicos que sustentan dichas modificaciones.” (Sic)</w:t>
      </w:r>
    </w:p>
    <w:p w:rsidR="004D52D1" w:rsidRDefault="004D52D1">
      <w:pPr>
        <w:pBdr>
          <w:top w:val="nil"/>
          <w:left w:val="nil"/>
          <w:bottom w:val="nil"/>
          <w:right w:val="nil"/>
          <w:between w:val="nil"/>
        </w:pBdr>
        <w:ind w:left="1134" w:right="-989"/>
        <w:jc w:val="center"/>
        <w:rPr>
          <w:rFonts w:ascii="Palatino Linotype" w:eastAsia="Palatino Linotype" w:hAnsi="Palatino Linotype" w:cs="Palatino Linotype"/>
          <w:i/>
          <w:iCs/>
          <w:color w:val="000000"/>
        </w:rPr>
      </w:pPr>
    </w:p>
    <w:p w:rsidR="00BA4669" w:rsidRDefault="00BA4669">
      <w:pPr>
        <w:pBdr>
          <w:top w:val="nil"/>
          <w:left w:val="nil"/>
          <w:bottom w:val="nil"/>
          <w:right w:val="nil"/>
          <w:between w:val="nil"/>
        </w:pBdr>
        <w:ind w:left="1134" w:right="-989"/>
        <w:jc w:val="center"/>
        <w:rPr>
          <w:rFonts w:ascii="Palatino Linotype" w:eastAsia="Palatino Linotype" w:hAnsi="Palatino Linotype" w:cs="Palatino Linotype"/>
          <w:i/>
          <w:iCs/>
          <w:color w:val="000000"/>
        </w:rPr>
      </w:pPr>
    </w:p>
    <w:p w:rsidR="004D52D1" w:rsidRPr="00BA4669" w:rsidRDefault="00592C73" w:rsidP="00BA4669">
      <w:pPr>
        <w:pStyle w:val="Prrafodelista"/>
        <w:numPr>
          <w:ilvl w:val="0"/>
          <w:numId w:val="12"/>
        </w:num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sidRPr="00BA4669">
        <w:rPr>
          <w:rFonts w:ascii="Palatino Linotype" w:eastAsia="Palatino Linotype" w:hAnsi="Palatino Linotype" w:cs="Palatino Linotype"/>
          <w:b/>
          <w:bCs/>
          <w:color w:val="000000"/>
        </w:rPr>
        <w:t xml:space="preserve">Modalidad de entrega: </w:t>
      </w:r>
      <w:r w:rsidRPr="00BA4669">
        <w:rPr>
          <w:rFonts w:ascii="Palatino Linotype" w:eastAsia="Palatino Linotype" w:hAnsi="Palatino Linotype" w:cs="Palatino Linotype"/>
          <w:color w:val="000000"/>
        </w:rPr>
        <w:t xml:space="preserve">a través del </w:t>
      </w:r>
      <w:r w:rsidRPr="00BA4669">
        <w:rPr>
          <w:rFonts w:ascii="Palatino Linotype" w:eastAsia="Palatino Linotype" w:hAnsi="Palatino Linotype" w:cs="Palatino Linotype"/>
          <w:b/>
          <w:bCs/>
          <w:color w:val="000000"/>
        </w:rPr>
        <w:t>SAIMEX</w:t>
      </w:r>
      <w:r w:rsidRPr="00BA4669">
        <w:rPr>
          <w:rFonts w:ascii="Palatino Linotype" w:eastAsia="Palatino Linotype" w:hAnsi="Palatino Linotype" w:cs="Palatino Linotype"/>
          <w:color w:val="000000"/>
        </w:rPr>
        <w:t>.</w:t>
      </w:r>
    </w:p>
    <w:p w:rsidR="004D52D1" w:rsidRDefault="004D52D1">
      <w:pPr>
        <w:pBdr>
          <w:top w:val="nil"/>
          <w:left w:val="nil"/>
          <w:bottom w:val="nil"/>
          <w:right w:val="nil"/>
          <w:between w:val="nil"/>
        </w:pBdr>
        <w:ind w:right="-989"/>
        <w:jc w:val="both"/>
        <w:rPr>
          <w:rFonts w:ascii="Palatino Linotype" w:eastAsia="Palatino Linotype" w:hAnsi="Palatino Linotype" w:cs="Palatino Linotype"/>
          <w:i/>
          <w:iCs/>
          <w:color w:val="000000"/>
        </w:rPr>
      </w:pPr>
    </w:p>
    <w:p w:rsidR="004D52D1" w:rsidRDefault="00592C73">
      <w:pPr>
        <w:numPr>
          <w:ilvl w:val="0"/>
          <w:numId w:val="1"/>
        </w:num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lastRenderedPageBreak/>
        <w:t>Derivado de lo anterior</w:t>
      </w:r>
      <w:r>
        <w:rPr>
          <w:rFonts w:ascii="Palatino Linotype" w:eastAsia="Palatino Linotype" w:hAnsi="Palatino Linotype" w:cs="Palatino Linotype"/>
          <w:b/>
          <w:bCs/>
          <w:color w:val="000000"/>
        </w:rPr>
        <w:t>, EL SUJETO OBLIGADO</w:t>
      </w:r>
      <w:r>
        <w:rPr>
          <w:rFonts w:ascii="Palatino Linotype" w:eastAsia="Palatino Linotype" w:hAnsi="Palatino Linotype" w:cs="Palatino Linotype"/>
          <w:color w:val="000000"/>
        </w:rPr>
        <w:t xml:space="preserve"> no proporcionó respuesta a la solicitud de información dentro del plazo de quince días establecido en el artículo 163 de la Ley de Transparencia y Acceso a la Información Pública del Estado de México y Municipios.</w:t>
      </w:r>
    </w:p>
    <w:p w:rsidR="004D52D1" w:rsidRDefault="004D52D1">
      <w:p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p>
    <w:p w:rsidR="004D52D1" w:rsidRDefault="00592C73">
      <w:pPr>
        <w:numPr>
          <w:ilvl w:val="0"/>
          <w:numId w:val="2"/>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Ante la falta de respuesta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interpuso el Recurso de Revisión el </w:t>
      </w:r>
      <w:r>
        <w:rPr>
          <w:rFonts w:ascii="Palatino Linotype" w:eastAsia="Palatino Linotype" w:hAnsi="Palatino Linotype" w:cs="Palatino Linotype"/>
          <w:b/>
          <w:bCs/>
          <w:color w:val="000000"/>
        </w:rPr>
        <w:t xml:space="preserve">dieciséis de diciembre de dos mil veinticinco, </w:t>
      </w:r>
      <w:r>
        <w:rPr>
          <w:rFonts w:ascii="Palatino Linotype" w:eastAsia="Palatino Linotype" w:hAnsi="Palatino Linotype" w:cs="Palatino Linotype"/>
          <w:color w:val="000000"/>
        </w:rPr>
        <w:t xml:space="preserve">registrado en el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con número de expediente </w:t>
      </w:r>
      <w:r>
        <w:rPr>
          <w:rFonts w:ascii="Palatino Linotype" w:eastAsia="Palatino Linotype" w:hAnsi="Palatino Linotype" w:cs="Palatino Linotype"/>
          <w:b/>
          <w:bCs/>
          <w:color w:val="000000"/>
        </w:rPr>
        <w:t xml:space="preserve">14423/INFOEM/IP/RR/2025, </w:t>
      </w:r>
      <w:r>
        <w:rPr>
          <w:rFonts w:ascii="Palatino Linotype" w:eastAsia="Palatino Linotype" w:hAnsi="Palatino Linotype" w:cs="Palatino Linotype"/>
          <w:color w:val="000000"/>
        </w:rPr>
        <w:t>en el que aduce, las siguientes manifestaciones:</w:t>
      </w:r>
    </w:p>
    <w:p w:rsidR="004D52D1" w:rsidRDefault="004D52D1">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4D52D1" w:rsidRDefault="00592C73">
      <w:pPr>
        <w:numPr>
          <w:ilvl w:val="0"/>
          <w:numId w:val="4"/>
        </w:numPr>
        <w:spacing w:line="259" w:lineRule="auto"/>
        <w:ind w:left="993" w:right="-989"/>
        <w:jc w:val="both"/>
        <w:rPr>
          <w:rFonts w:ascii="Palatino Linotype" w:eastAsia="Palatino Linotype" w:hAnsi="Palatino Linotype" w:cs="Palatino Linotype"/>
          <w:b/>
          <w:bCs/>
        </w:rPr>
      </w:pPr>
      <w:r>
        <w:rPr>
          <w:rFonts w:ascii="Palatino Linotype" w:eastAsia="Palatino Linotype" w:hAnsi="Palatino Linotype" w:cs="Palatino Linotype"/>
          <w:b/>
          <w:bCs/>
        </w:rPr>
        <w:t>Acto I</w:t>
      </w:r>
      <w:bookmarkStart w:id="3" w:name="_GoBack"/>
      <w:bookmarkEnd w:id="3"/>
      <w:r>
        <w:rPr>
          <w:rFonts w:ascii="Palatino Linotype" w:eastAsia="Palatino Linotype" w:hAnsi="Palatino Linotype" w:cs="Palatino Linotype"/>
          <w:b/>
          <w:bCs/>
        </w:rPr>
        <w:t xml:space="preserve">mpugnado: </w:t>
      </w:r>
    </w:p>
    <w:p w:rsidR="004D52D1" w:rsidRDefault="00592C73">
      <w:pP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“Solicito: 1. El Programa Municipal de Desarrollo Urbano vigente en 2025. 2. Sus actualizaciones, modificaciones o revisiones aprobadas por el Cabildo en 2025. 3. Los dictámenes y estudios técnicos que sustentan dichas modificaciones..” (Sic).</w:t>
      </w:r>
    </w:p>
    <w:p w:rsidR="004D52D1" w:rsidRDefault="00592C73">
      <w:pPr>
        <w:tabs>
          <w:tab w:val="left" w:pos="3396"/>
          <w:tab w:val="left" w:pos="3915"/>
        </w:tabs>
        <w:ind w:left="993"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b/>
      </w:r>
      <w:r>
        <w:rPr>
          <w:rFonts w:ascii="Palatino Linotype" w:eastAsia="Palatino Linotype" w:hAnsi="Palatino Linotype" w:cs="Palatino Linotype"/>
          <w:i/>
          <w:iCs/>
          <w:color w:val="000000"/>
        </w:rPr>
        <w:tab/>
      </w:r>
    </w:p>
    <w:p w:rsidR="004D52D1" w:rsidRDefault="00592C73">
      <w:pPr>
        <w:numPr>
          <w:ilvl w:val="0"/>
          <w:numId w:val="3"/>
        </w:numPr>
        <w:pBdr>
          <w:top w:val="nil"/>
          <w:left w:val="nil"/>
          <w:bottom w:val="nil"/>
          <w:right w:val="nil"/>
          <w:between w:val="nil"/>
        </w:pBdr>
        <w:ind w:left="993"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Razones o Motivos de Inconformidad</w:t>
      </w:r>
      <w:r>
        <w:rPr>
          <w:rFonts w:ascii="Palatino Linotype" w:eastAsia="Palatino Linotype" w:hAnsi="Palatino Linotype" w:cs="Palatino Linotype"/>
          <w:color w:val="000000"/>
        </w:rPr>
        <w:t xml:space="preserve">: </w:t>
      </w:r>
    </w:p>
    <w:p w:rsidR="004D52D1" w:rsidRDefault="00592C73">
      <w:pP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w:t>
      </w:r>
      <w:r>
        <w:rPr>
          <w:rFonts w:ascii="Palatino Linotype" w:eastAsia="Palatino Linotype" w:hAnsi="Palatino Linotype" w:cs="Palatino Linotype"/>
          <w:i/>
          <w:iCs/>
          <w:color w:val="000000"/>
        </w:rPr>
        <w:lastRenderedPageBreak/>
        <w:t>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 (Sic).</w:t>
      </w:r>
    </w:p>
    <w:p w:rsidR="004D52D1" w:rsidRDefault="004D52D1">
      <w:pPr>
        <w:ind w:right="-989"/>
        <w:jc w:val="both"/>
        <w:rPr>
          <w:rFonts w:ascii="Palatino Linotype" w:eastAsia="Palatino Linotype" w:hAnsi="Palatino Linotype" w:cs="Palatino Linotype"/>
          <w:i/>
          <w:iCs/>
          <w:color w:val="000000"/>
        </w:rPr>
      </w:pPr>
    </w:p>
    <w:p w:rsidR="004D52D1" w:rsidRDefault="00592C73">
      <w:pPr>
        <w:numPr>
          <w:ilvl w:val="0"/>
          <w:numId w:val="5"/>
        </w:num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w:t>
      </w:r>
      <w:r>
        <w:rPr>
          <w:rFonts w:ascii="Palatino Linotype" w:eastAsia="Palatino Linotype" w:hAnsi="Palatino Linotype" w:cs="Palatino Linotype"/>
        </w:rPr>
        <w:t>del</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diecinueve de diciembre de dos mil veinticinco</w:t>
      </w:r>
      <w:r>
        <w:rPr>
          <w:rFonts w:ascii="Palatino Linotype" w:eastAsia="Palatino Linotype" w:hAnsi="Palatino Linotype" w:cs="Palatino Linotype"/>
          <w:color w:val="000000"/>
        </w:rPr>
        <w:t xml:space="preserve">, puso a disposición de las partes el expediente electrónico vía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 los casos concretos, y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presentará el Informe Justificado procedente.</w:t>
      </w:r>
    </w:p>
    <w:p w:rsidR="004D52D1" w:rsidRDefault="004D52D1">
      <w:pPr>
        <w:ind w:right="-989"/>
        <w:rPr>
          <w:rFonts w:ascii="Palatino Linotype" w:eastAsia="Palatino Linotype" w:hAnsi="Palatino Linotype" w:cs="Palatino Linotype"/>
        </w:rPr>
      </w:pPr>
    </w:p>
    <w:p w:rsidR="004D52D1" w:rsidRDefault="00592C73">
      <w:pPr>
        <w:numPr>
          <w:ilvl w:val="0"/>
          <w:numId w:val="5"/>
        </w:numPr>
        <w:spacing w:line="360" w:lineRule="auto"/>
        <w:ind w:right="-989"/>
        <w:jc w:val="both"/>
        <w:rPr>
          <w:rFonts w:ascii="Palatino Linotype" w:eastAsia="Palatino Linotype" w:hAnsi="Palatino Linotype" w:cs="Palatino Linotype"/>
          <w:b/>
          <w:bCs/>
          <w:color w:val="000000"/>
        </w:rPr>
      </w:pPr>
      <w:bookmarkStart w:id="4" w:name="_heading=h.2et92p0" w:colFirst="0" w:colLast="0"/>
      <w:bookmarkEnd w:id="4"/>
      <w:r>
        <w:rPr>
          <w:rFonts w:ascii="Palatino Linotype" w:eastAsia="Palatino Linotype" w:hAnsi="Palatino Linotype" w:cs="Palatino Linotype"/>
        </w:rPr>
        <w:t xml:space="preserve">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rindió  informe justificado correspondiente en fecha </w:t>
      </w:r>
      <w:r>
        <w:rPr>
          <w:rFonts w:ascii="Palatino Linotype" w:eastAsia="Palatino Linotype" w:hAnsi="Palatino Linotype" w:cs="Palatino Linotype"/>
          <w:b/>
          <w:bCs/>
        </w:rPr>
        <w:t>diecisiete de enero de dos mil veintiséis,</w:t>
      </w:r>
      <w:r>
        <w:rPr>
          <w:rFonts w:ascii="Palatino Linotype" w:eastAsia="Palatino Linotype" w:hAnsi="Palatino Linotype" w:cs="Palatino Linotype"/>
        </w:rPr>
        <w:t xml:space="preserve"> mediante el archivo pdf denominado </w:t>
      </w:r>
      <w:r>
        <w:rPr>
          <w:rFonts w:ascii="Palatino Linotype" w:eastAsia="Palatino Linotype" w:hAnsi="Palatino Linotype" w:cs="Palatino Linotype"/>
          <w:b/>
          <w:bCs/>
        </w:rPr>
        <w:t>DDUYM-1275-2025.pdf</w:t>
      </w:r>
      <w:r>
        <w:rPr>
          <w:rFonts w:ascii="Palatino Linotype" w:eastAsia="Palatino Linotype" w:hAnsi="Palatino Linotype" w:cs="Palatino Linotype"/>
        </w:rPr>
        <w:t xml:space="preserve">, que contiene el oficio DDUYM/1275/2025 de fecha doce de diciembre de dos mil veinticinco, suscrito por el Director de Desarrollo Urbano y Metropolitano, quien refirió que el Plan Municipal de Desarrollo Urbano y Metropolitano de Tepotzotlán, es información pública que obra y puede ser consultada a través del enlace electrónico </w:t>
      </w:r>
      <w:r>
        <w:rPr>
          <w:rFonts w:ascii="Palatino Linotype" w:eastAsia="Palatino Linotype" w:hAnsi="Palatino Linotype" w:cs="Palatino Linotype"/>
          <w:noProof/>
          <w:lang w:val="es-MX"/>
        </w:rPr>
        <w:drawing>
          <wp:inline distT="0" distB="0" distL="0" distR="0">
            <wp:extent cx="2874570" cy="24048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l="3926" t="10171" b="16948"/>
                    <a:stretch>
                      <a:fillRect/>
                    </a:stretch>
                  </pic:blipFill>
                  <pic:spPr>
                    <a:xfrm>
                      <a:off x="0" y="0"/>
                      <a:ext cx="2874570" cy="240480"/>
                    </a:xfrm>
                    <a:prstGeom prst="rect">
                      <a:avLst/>
                    </a:prstGeom>
                    <a:ln/>
                  </pic:spPr>
                </pic:pic>
              </a:graphicData>
            </a:graphic>
          </wp:inline>
        </w:drawing>
      </w:r>
      <w:r>
        <w:rPr>
          <w:rFonts w:ascii="Palatino Linotype" w:eastAsia="Palatino Linotype" w:hAnsi="Palatino Linotype" w:cs="Palatino Linotype"/>
        </w:rPr>
        <w:t xml:space="preserve">, así mismo, informó que tal documento no tuvo modificaciones durante el año 2025, no obstante se precisa que la liga electrónica </w:t>
      </w:r>
      <w:r>
        <w:rPr>
          <w:rFonts w:ascii="Palatino Linotype" w:eastAsia="Palatino Linotype" w:hAnsi="Palatino Linotype" w:cs="Palatino Linotype"/>
        </w:rPr>
        <w:lastRenderedPageBreak/>
        <w:t>proporcionada, fue remitida en datos cerrados, informe que se hizo del conocimiento del particular el uno de junio del mismo año.</w:t>
      </w:r>
    </w:p>
    <w:p w:rsidR="004D52D1" w:rsidRDefault="004D52D1">
      <w:pPr>
        <w:pBdr>
          <w:top w:val="nil"/>
          <w:left w:val="nil"/>
          <w:bottom w:val="nil"/>
          <w:right w:val="nil"/>
          <w:between w:val="nil"/>
        </w:pBdr>
        <w:ind w:left="720" w:right="-989"/>
        <w:rPr>
          <w:rFonts w:ascii="Palatino Linotype" w:eastAsia="Palatino Linotype" w:hAnsi="Palatino Linotype" w:cs="Palatino Linotype"/>
          <w:b/>
          <w:bCs/>
          <w:color w:val="000000"/>
        </w:rPr>
      </w:pPr>
    </w:p>
    <w:p w:rsidR="004D52D1" w:rsidRDefault="00592C73">
      <w:pPr>
        <w:numPr>
          <w:ilvl w:val="0"/>
          <w:numId w:val="5"/>
        </w:numPr>
        <w:spacing w:line="360" w:lineRule="auto"/>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rPr>
        <w:t>Por su parte, la parte</w:t>
      </w:r>
      <w:r>
        <w:rPr>
          <w:rFonts w:ascii="Palatino Linotype" w:eastAsia="Palatino Linotype" w:hAnsi="Palatino Linotype" w:cs="Palatino Linotype"/>
          <w:b/>
          <w:bCs/>
        </w:rPr>
        <w:t xml:space="preserve"> RECURRENTE </w:t>
      </w:r>
      <w:r>
        <w:rPr>
          <w:rFonts w:ascii="Palatino Linotype" w:eastAsia="Palatino Linotype" w:hAnsi="Palatino Linotype" w:cs="Palatino Linotype"/>
        </w:rPr>
        <w:t xml:space="preserve">dejó de realizar manifestaciones que a su derecho conviniera y asistiera. </w:t>
      </w:r>
    </w:p>
    <w:p w:rsidR="004D52D1" w:rsidRDefault="004D52D1">
      <w:p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p>
    <w:p w:rsidR="004D52D1" w:rsidRDefault="00592C73">
      <w:pPr>
        <w:numPr>
          <w:ilvl w:val="0"/>
          <w:numId w:val="5"/>
        </w:numPr>
        <w:pBdr>
          <w:top w:val="nil"/>
          <w:left w:val="nil"/>
          <w:bottom w:val="nil"/>
          <w:right w:val="nil"/>
          <w:between w:val="nil"/>
        </w:pBdr>
        <w:tabs>
          <w:tab w:val="left" w:pos="426"/>
          <w:tab w:val="left" w:pos="567"/>
        </w:tabs>
        <w:spacing w:line="360" w:lineRule="auto"/>
        <w:ind w:right="-989"/>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uno de junio de dos mil veintiséis</w:t>
      </w:r>
      <w:r>
        <w:rPr>
          <w:rFonts w:ascii="Palatino Linotype" w:eastAsia="Palatino Linotype" w:hAnsi="Palatino Linotype" w:cs="Palatino Linotype"/>
          <w:color w:val="000000"/>
        </w:rPr>
        <w:t>, se notificó el acuerdo mediante el cual se amplió el plazo para emitir resolución por un término de 15 días adicionales.</w:t>
      </w:r>
    </w:p>
    <w:p w:rsidR="004D52D1" w:rsidRDefault="004D52D1">
      <w:pPr>
        <w:pBdr>
          <w:top w:val="nil"/>
          <w:left w:val="nil"/>
          <w:bottom w:val="nil"/>
          <w:right w:val="nil"/>
          <w:between w:val="nil"/>
        </w:pBdr>
        <w:ind w:left="720" w:right="-989"/>
        <w:rPr>
          <w:rFonts w:ascii="Palatino Linotype" w:eastAsia="Palatino Linotype" w:hAnsi="Palatino Linotype" w:cs="Palatino Linotype"/>
          <w:color w:val="000000"/>
        </w:rPr>
      </w:pPr>
    </w:p>
    <w:p w:rsidR="004D52D1" w:rsidRDefault="00592C73">
      <w:pPr>
        <w:numPr>
          <w:ilvl w:val="0"/>
          <w:numId w:val="5"/>
        </w:num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Finalmente, mediante acuerdo del </w:t>
      </w:r>
      <w:r>
        <w:rPr>
          <w:rFonts w:ascii="Palatino Linotype" w:eastAsia="Palatino Linotype" w:hAnsi="Palatino Linotype" w:cs="Palatino Linotype"/>
          <w:b/>
          <w:bCs/>
          <w:color w:val="000000"/>
        </w:rPr>
        <w:t>cinco de junio de dos mil veintiséis</w:t>
      </w:r>
      <w:r>
        <w:rPr>
          <w:rFonts w:ascii="Palatino Linotype" w:eastAsia="Palatino Linotype" w:hAnsi="Palatino Linotype" w:cs="Palatino Linotype"/>
          <w:color w:val="000000"/>
        </w:rPr>
        <w:t>, se decretó el cierre de instrucción, por lo que no habiendo más que hacer constar, y</w:t>
      </w:r>
    </w:p>
    <w:p w:rsidR="004D52D1" w:rsidRDefault="004D52D1">
      <w:pPr>
        <w:pBdr>
          <w:top w:val="nil"/>
          <w:left w:val="nil"/>
          <w:bottom w:val="nil"/>
          <w:right w:val="nil"/>
          <w:between w:val="nil"/>
        </w:pBdr>
        <w:ind w:left="720" w:right="-989"/>
        <w:rPr>
          <w:rFonts w:ascii="Palatino Linotype" w:eastAsia="Palatino Linotype" w:hAnsi="Palatino Linotype" w:cs="Palatino Linotype"/>
          <w:b/>
          <w:bCs/>
          <w:color w:val="000000"/>
        </w:rPr>
      </w:pPr>
    </w:p>
    <w:p w:rsidR="004D52D1" w:rsidRDefault="00592C73">
      <w:pPr>
        <w:pStyle w:val="Ttulo1"/>
        <w:tabs>
          <w:tab w:val="left" w:pos="567"/>
        </w:tabs>
        <w:spacing w:before="0" w:line="360" w:lineRule="auto"/>
        <w:ind w:right="-989"/>
        <w:jc w:val="center"/>
      </w:pPr>
      <w:bookmarkStart w:id="5" w:name="_heading=h.tyjcwt" w:colFirst="0" w:colLast="0"/>
      <w:bookmarkEnd w:id="5"/>
      <w:r>
        <w:t>C O N S I D E R A N D O</w:t>
      </w:r>
    </w:p>
    <w:p w:rsidR="004D52D1" w:rsidRDefault="004D52D1">
      <w:pPr>
        <w:spacing w:line="360" w:lineRule="auto"/>
        <w:ind w:right="-989"/>
        <w:rPr>
          <w:rFonts w:ascii="Palatino Linotype" w:eastAsia="Palatino Linotype" w:hAnsi="Palatino Linotype" w:cs="Palatino Linotype"/>
        </w:rPr>
      </w:pPr>
    </w:p>
    <w:p w:rsidR="004D52D1" w:rsidRDefault="00592C73">
      <w:pPr>
        <w:pStyle w:val="Ttulo1"/>
        <w:tabs>
          <w:tab w:val="left" w:pos="567"/>
        </w:tabs>
        <w:spacing w:before="0" w:line="360" w:lineRule="auto"/>
        <w:ind w:right="-989"/>
      </w:pPr>
      <w:bookmarkStart w:id="6" w:name="_heading=h.3dy6vkm" w:colFirst="0" w:colLast="0"/>
      <w:bookmarkEnd w:id="6"/>
      <w:r>
        <w:t>PRIMERO. De la competencia</w:t>
      </w:r>
    </w:p>
    <w:p w:rsidR="004D52D1" w:rsidRDefault="00592C73">
      <w:pPr>
        <w:numPr>
          <w:ilvl w:val="0"/>
          <w:numId w:val="5"/>
        </w:numPr>
        <w:pBdr>
          <w:top w:val="nil"/>
          <w:left w:val="nil"/>
          <w:bottom w:val="nil"/>
          <w:right w:val="nil"/>
          <w:between w:val="nil"/>
        </w:pBdr>
        <w:tabs>
          <w:tab w:val="left" w:pos="426"/>
          <w:tab w:val="left" w:pos="567"/>
        </w:tabs>
        <w:spacing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rPr>
        <w:t xml:space="preserve"> 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4D52D1" w:rsidRDefault="004D52D1">
      <w:pPr>
        <w:pBdr>
          <w:top w:val="nil"/>
          <w:left w:val="nil"/>
          <w:bottom w:val="nil"/>
          <w:right w:val="nil"/>
          <w:between w:val="nil"/>
        </w:pBdr>
        <w:tabs>
          <w:tab w:val="left" w:pos="426"/>
          <w:tab w:val="left" w:pos="567"/>
        </w:tabs>
        <w:spacing w:line="360" w:lineRule="auto"/>
        <w:ind w:right="-989"/>
        <w:jc w:val="both"/>
        <w:rPr>
          <w:rFonts w:ascii="Palatino Linotype" w:eastAsia="Palatino Linotype" w:hAnsi="Palatino Linotype" w:cs="Palatino Linotype"/>
          <w:color w:val="000000"/>
        </w:rPr>
      </w:pPr>
    </w:p>
    <w:p w:rsidR="004D52D1" w:rsidRDefault="00592C73">
      <w:pPr>
        <w:pStyle w:val="Ttulo2"/>
        <w:spacing w:before="0" w:line="360" w:lineRule="auto"/>
        <w:ind w:right="-989"/>
      </w:pPr>
      <w:bookmarkStart w:id="7" w:name="_heading=h.1t3h5sf" w:colFirst="0" w:colLast="0"/>
      <w:bookmarkEnd w:id="7"/>
      <w:r>
        <w:lastRenderedPageBreak/>
        <w:t>SEGUNDO. De la oportunidad y procedencia.</w:t>
      </w:r>
    </w:p>
    <w:p w:rsidR="004D52D1" w:rsidRPr="00BA4669" w:rsidRDefault="00592C73" w:rsidP="00BA4669">
      <w:pPr>
        <w:pStyle w:val="Prrafodelista"/>
        <w:numPr>
          <w:ilvl w:val="0"/>
          <w:numId w:val="7"/>
        </w:num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r w:rsidRPr="00BA4669">
        <w:rPr>
          <w:rFonts w:ascii="Palatino Linotype" w:eastAsia="Palatino Linotype" w:hAnsi="Palatino Linotype" w:cs="Palatino Linotype"/>
          <w:color w:val="000000"/>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w:t>
      </w:r>
      <w:r w:rsidRPr="00BA4669">
        <w:rPr>
          <w:rFonts w:ascii="Palatino Linotype" w:eastAsia="Palatino Linotype" w:hAnsi="Palatino Linotype" w:cs="Palatino Linotype"/>
          <w:b/>
          <w:bCs/>
          <w:color w:val="000000"/>
        </w:rPr>
        <w:t xml:space="preserve"> SUJETO OBLIGADO</w:t>
      </w:r>
      <w:r w:rsidRPr="00BA4669">
        <w:rPr>
          <w:rFonts w:ascii="Palatino Linotype" w:eastAsia="Palatino Linotype" w:hAnsi="Palatino Linotype" w:cs="Palatino Linotype"/>
          <w:color w:val="000000"/>
        </w:rPr>
        <w:t>, dentro de los plazos establecidos en la Ley de Transparencia Local, a una solicitud de acceso a la información pública, el recurso podrá ser interpuesto en cualquier momento, por lo que la interposición del presente recurso de revisión resulta oportuna.</w:t>
      </w:r>
    </w:p>
    <w:p w:rsidR="004D52D1" w:rsidRDefault="004D52D1">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4D52D1" w:rsidRDefault="00592C73">
      <w:pPr>
        <w:numPr>
          <w:ilvl w:val="0"/>
          <w:numId w:val="7"/>
        </w:numPr>
        <w:spacing w:line="360" w:lineRule="auto"/>
        <w:ind w:right="-989"/>
        <w:jc w:val="both"/>
        <w:rPr>
          <w:rFonts w:ascii="Palatino Linotype" w:eastAsia="Palatino Linotype" w:hAnsi="Palatino Linotype" w:cs="Palatino Linotype"/>
          <w:b/>
          <w:bCs/>
        </w:rPr>
      </w:pPr>
      <w:r>
        <w:rPr>
          <w:rFonts w:ascii="Palatino Linotype" w:eastAsia="Palatino Linotype" w:hAnsi="Palatino Linotype" w:cs="Palatino Linotype"/>
        </w:rPr>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4D52D1" w:rsidRDefault="004D52D1">
      <w:pPr>
        <w:spacing w:line="360" w:lineRule="auto"/>
        <w:ind w:right="-989"/>
        <w:rPr>
          <w:rFonts w:ascii="Palatino Linotype" w:eastAsia="Palatino Linotype" w:hAnsi="Palatino Linotype" w:cs="Palatino Linotype"/>
        </w:rPr>
      </w:pPr>
    </w:p>
    <w:p w:rsidR="004D52D1" w:rsidRDefault="00592C73">
      <w:pPr>
        <w:pStyle w:val="Ttulo1"/>
        <w:spacing w:before="0" w:line="360" w:lineRule="auto"/>
        <w:ind w:right="-989"/>
      </w:pPr>
      <w:r>
        <w:t xml:space="preserve">TERCERO. Del planteamiento de la </w:t>
      </w:r>
      <w:r>
        <w:rPr>
          <w:i/>
          <w:iCs/>
        </w:rPr>
        <w:t>Litis</w:t>
      </w:r>
      <w:r>
        <w:t>.</w:t>
      </w:r>
    </w:p>
    <w:p w:rsidR="004D52D1" w:rsidRDefault="00592C73">
      <w:pPr>
        <w:numPr>
          <w:ilvl w:val="0"/>
          <w:numId w:val="7"/>
        </w:numPr>
        <w:pBdr>
          <w:top w:val="nil"/>
          <w:left w:val="nil"/>
          <w:bottom w:val="nil"/>
          <w:right w:val="nil"/>
          <w:between w:val="nil"/>
        </w:pBdr>
        <w:spacing w:line="360" w:lineRule="auto"/>
        <w:ind w:right="-989"/>
        <w:jc w:val="both"/>
      </w:pPr>
      <w:r>
        <w:rPr>
          <w:rFonts w:ascii="Palatino Linotype" w:eastAsia="Palatino Linotype" w:hAnsi="Palatino Linotype" w:cs="Palatino Linotype"/>
        </w:rPr>
        <w:t xml:space="preserve">La parte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solicitó:</w:t>
      </w:r>
    </w:p>
    <w:p w:rsidR="004D52D1" w:rsidRDefault="00592C73">
      <w:pPr>
        <w:numPr>
          <w:ilvl w:val="0"/>
          <w:numId w:val="8"/>
        </w:num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Programa Municipal de Desarrollo Urbano vigente en 2025</w:t>
      </w:r>
    </w:p>
    <w:p w:rsidR="004D52D1" w:rsidRDefault="00592C73">
      <w:pPr>
        <w:numPr>
          <w:ilvl w:val="0"/>
          <w:numId w:val="8"/>
        </w:num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Sus actualizaciones, modificaciones o revisiones aprobadas por el Cabildo en 2025</w:t>
      </w:r>
    </w:p>
    <w:p w:rsidR="004D52D1" w:rsidRDefault="00592C73">
      <w:pPr>
        <w:numPr>
          <w:ilvl w:val="0"/>
          <w:numId w:val="8"/>
        </w:num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Dictámenes y estudios técnicos que sustenten las modificaciones</w:t>
      </w:r>
    </w:p>
    <w:p w:rsidR="004D52D1" w:rsidRDefault="004D52D1">
      <w:pPr>
        <w:pBdr>
          <w:top w:val="nil"/>
          <w:left w:val="nil"/>
          <w:bottom w:val="nil"/>
          <w:right w:val="nil"/>
          <w:between w:val="nil"/>
        </w:pBdr>
        <w:spacing w:line="360" w:lineRule="auto"/>
        <w:ind w:right="-989"/>
        <w:jc w:val="both"/>
        <w:rPr>
          <w:rFonts w:ascii="Palatino Linotype" w:eastAsia="Palatino Linotype" w:hAnsi="Palatino Linotype" w:cs="Palatino Linotype"/>
        </w:rPr>
      </w:pPr>
    </w:p>
    <w:p w:rsidR="004D52D1" w:rsidRDefault="00592C73">
      <w:pPr>
        <w:numPr>
          <w:ilvl w:val="0"/>
          <w:numId w:val="7"/>
        </w:numPr>
        <w:pBdr>
          <w:top w:val="nil"/>
          <w:left w:val="nil"/>
          <w:bottom w:val="nil"/>
          <w:right w:val="nil"/>
          <w:between w:val="nil"/>
        </w:pBdr>
        <w:spacing w:line="360" w:lineRule="auto"/>
        <w:ind w:right="-989"/>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Ante la falta de respuesta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la parte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interpuso recurso de revisión en el que se </w:t>
      </w:r>
      <w:r>
        <w:rPr>
          <w:rFonts w:ascii="Palatino Linotype" w:eastAsia="Palatino Linotype" w:hAnsi="Palatino Linotype" w:cs="Palatino Linotype"/>
        </w:rPr>
        <w:t>inconformó</w:t>
      </w:r>
      <w:r>
        <w:rPr>
          <w:rFonts w:ascii="Palatino Linotype" w:eastAsia="Palatino Linotype" w:hAnsi="Palatino Linotype" w:cs="Palatino Linotype"/>
          <w:color w:val="000000"/>
        </w:rPr>
        <w:t xml:space="preserve"> por </w:t>
      </w:r>
      <w:r>
        <w:rPr>
          <w:rFonts w:ascii="Palatino Linotype" w:eastAsia="Palatino Linotype" w:hAnsi="Palatino Linotype" w:cs="Palatino Linotype"/>
          <w:b/>
          <w:bCs/>
          <w:color w:val="000000"/>
        </w:rPr>
        <w:t>la negativa de la información.</w:t>
      </w:r>
    </w:p>
    <w:p w:rsidR="004D52D1" w:rsidRDefault="00592C73">
      <w:pPr>
        <w:numPr>
          <w:ilvl w:val="0"/>
          <w:numId w:val="7"/>
        </w:numPr>
        <w:pBdr>
          <w:top w:val="nil"/>
          <w:left w:val="nil"/>
          <w:bottom w:val="nil"/>
          <w:right w:val="nil"/>
          <w:between w:val="nil"/>
        </w:pBdr>
        <w:spacing w:line="360" w:lineRule="auto"/>
        <w:ind w:right="-989"/>
        <w:jc w:val="both"/>
      </w:pPr>
      <w:r>
        <w:rPr>
          <w:rFonts w:ascii="Palatino Linotype" w:eastAsia="Palatino Linotype" w:hAnsi="Palatino Linotype" w:cs="Palatino Linotype"/>
          <w:color w:val="000000"/>
        </w:rPr>
        <w:lastRenderedPageBreak/>
        <w:t xml:space="preserve">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emitió informe justificado  en términos del numeral quinto de la presente resolución.</w:t>
      </w:r>
    </w:p>
    <w:p w:rsidR="004D52D1" w:rsidRDefault="004D52D1">
      <w:pPr>
        <w:pBdr>
          <w:top w:val="nil"/>
          <w:left w:val="nil"/>
          <w:bottom w:val="nil"/>
          <w:right w:val="nil"/>
          <w:between w:val="nil"/>
        </w:pBdr>
        <w:ind w:left="720" w:right="-989"/>
        <w:rPr>
          <w:rFonts w:ascii="Palatino Linotype" w:eastAsia="Palatino Linotype" w:hAnsi="Palatino Linotype" w:cs="Palatino Linotype"/>
          <w:color w:val="000000"/>
        </w:rPr>
      </w:pPr>
    </w:p>
    <w:p w:rsidR="004D52D1" w:rsidRDefault="00592C73">
      <w:pPr>
        <w:numPr>
          <w:ilvl w:val="0"/>
          <w:numId w:val="7"/>
        </w:numPr>
        <w:pBdr>
          <w:top w:val="nil"/>
          <w:left w:val="nil"/>
          <w:bottom w:val="nil"/>
          <w:right w:val="nil"/>
          <w:between w:val="nil"/>
        </w:pBdr>
        <w:spacing w:line="360" w:lineRule="auto"/>
        <w:ind w:right="-989"/>
        <w:jc w:val="both"/>
      </w:pPr>
      <w:r>
        <w:rPr>
          <w:rFonts w:ascii="Palatino Linotype" w:eastAsia="Palatino Linotype" w:hAnsi="Palatino Linotype" w:cs="Palatino Linotype"/>
          <w:color w:val="000000"/>
        </w:rPr>
        <w:t xml:space="preserve">En dichas condiciones,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Pr>
          <w:rFonts w:ascii="Palatino Linotype" w:eastAsia="Palatino Linotype" w:hAnsi="Palatino Linotype" w:cs="Palatino Linotype"/>
          <w:b/>
          <w:bCs/>
          <w:color w:val="000000"/>
        </w:rPr>
        <w:t xml:space="preserve">fracción I </w:t>
      </w:r>
      <w:r>
        <w:rPr>
          <w:rFonts w:ascii="Palatino Linotype" w:eastAsia="Palatino Linotype" w:hAnsi="Palatino Linotype" w:cs="Palatino Linotype"/>
          <w:color w:val="000000"/>
        </w:rPr>
        <w:t>de la Ley</w:t>
      </w:r>
      <w:r>
        <w:rPr>
          <w:rFonts w:ascii="Palatino Linotype" w:eastAsia="Palatino Linotype" w:hAnsi="Palatino Linotype" w:cs="Palatino Linotype"/>
          <w:b/>
          <w:bCs/>
          <w:color w:val="000000"/>
        </w:rPr>
        <w:t xml:space="preserve"> de Transparencia y Acceso a la Información Pública del Estado de </w:t>
      </w:r>
      <w:r>
        <w:rPr>
          <w:rFonts w:ascii="Palatino Linotype" w:eastAsia="Palatino Linotype" w:hAnsi="Palatino Linotype" w:cs="Palatino Linotype"/>
          <w:color w:val="000000"/>
        </w:rPr>
        <w:t>México</w:t>
      </w:r>
      <w:r>
        <w:rPr>
          <w:rFonts w:ascii="Palatino Linotype" w:eastAsia="Palatino Linotype" w:hAnsi="Palatino Linotype" w:cs="Palatino Linotype"/>
          <w:b/>
          <w:bCs/>
          <w:color w:val="000000"/>
        </w:rPr>
        <w:t xml:space="preserve"> y Municipios</w:t>
      </w:r>
      <w:r>
        <w:rPr>
          <w:rFonts w:ascii="Palatino Linotype" w:eastAsia="Palatino Linotype" w:hAnsi="Palatino Linotype" w:cs="Palatino Linotype"/>
          <w:color w:val="000000"/>
        </w:rPr>
        <w:t>.</w:t>
      </w:r>
    </w:p>
    <w:p w:rsidR="004D52D1" w:rsidRDefault="004D52D1">
      <w:pPr>
        <w:pBdr>
          <w:top w:val="nil"/>
          <w:left w:val="nil"/>
          <w:bottom w:val="nil"/>
          <w:right w:val="nil"/>
          <w:between w:val="nil"/>
        </w:pBdr>
        <w:spacing w:line="360" w:lineRule="auto"/>
        <w:ind w:right="-989"/>
        <w:jc w:val="both"/>
        <w:rPr>
          <w:rFonts w:ascii="Palatino Linotype" w:eastAsia="Palatino Linotype" w:hAnsi="Palatino Linotype" w:cs="Palatino Linotype"/>
          <w:i/>
          <w:iCs/>
        </w:rPr>
      </w:pPr>
    </w:p>
    <w:p w:rsidR="004D52D1" w:rsidRDefault="00592C73">
      <w:pPr>
        <w:pStyle w:val="Ttulo1"/>
        <w:spacing w:before="0" w:line="360" w:lineRule="auto"/>
        <w:ind w:right="-989"/>
      </w:pPr>
      <w:r>
        <w:t>CUARTO. Del estudio y resolución del asunto.</w:t>
      </w:r>
    </w:p>
    <w:p w:rsidR="004D52D1" w:rsidRDefault="00592C73">
      <w:pPr>
        <w:numPr>
          <w:ilvl w:val="0"/>
          <w:numId w:val="7"/>
        </w:numPr>
        <w:pBdr>
          <w:top w:val="nil"/>
          <w:left w:val="nil"/>
          <w:bottom w:val="nil"/>
          <w:right w:val="nil"/>
          <w:between w:val="nil"/>
        </w:pBdr>
        <w:spacing w:line="360" w:lineRule="auto"/>
        <w:ind w:right="-989"/>
        <w:jc w:val="both"/>
        <w:rPr>
          <w:color w:val="000000"/>
        </w:rPr>
      </w:pPr>
      <w:r>
        <w:rPr>
          <w:rFonts w:ascii="Palatino Linotype" w:eastAsia="Palatino Linotype" w:hAnsi="Palatino Linotype" w:cs="Palatino Linotype"/>
          <w:color w:val="000000"/>
        </w:rPr>
        <w:t xml:space="preserve">Acotada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del asunto de mérito, es dable puntualizar inicialmente en términos generales, que el Derecho de Acceso a la Información Pública es un Derecho Humano reconocido en el Pacto de Derechos Civiles y Políticos en su artículo 19.2; en la Convención Americana sobre Derechos Humanos en su artículo 13.1, así como en el artículo 6°, apartado A), fracción I de la Constitución Política de los Estados Unidos Mexicanos, el cual establece que toda la información en posesión de cualquier autoridad es pública y sólo podrá ser reservada temporalmente por razones de interés público.</w:t>
      </w:r>
    </w:p>
    <w:p w:rsidR="004D52D1" w:rsidRDefault="004D52D1">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4D52D1" w:rsidRDefault="00592C73">
      <w:pPr>
        <w:numPr>
          <w:ilvl w:val="0"/>
          <w:numId w:val="7"/>
        </w:numPr>
        <w:pBdr>
          <w:top w:val="nil"/>
          <w:left w:val="nil"/>
          <w:bottom w:val="nil"/>
          <w:right w:val="nil"/>
          <w:between w:val="nil"/>
        </w:pBdr>
        <w:spacing w:line="360" w:lineRule="auto"/>
        <w:ind w:right="-989"/>
        <w:jc w:val="both"/>
        <w:rPr>
          <w:color w:val="000000"/>
        </w:rPr>
      </w:pPr>
      <w:r>
        <w:rPr>
          <w:rFonts w:ascii="Palatino Linotype" w:eastAsia="Palatino Linotype" w:hAnsi="Palatino Linotype" w:cs="Palatino Linotype"/>
          <w:color w:val="000000"/>
        </w:rPr>
        <w:t>Por su parte, la Ley General de Transparencia y Acceso a la Información Pública, dispone en su artículo 70 que la información que corresponde a las Obligaciones de Transparencia debe estar disponible para cualquier persona de manera permanente y actualizada. 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rsidR="004D52D1" w:rsidRDefault="004D52D1">
      <w:pPr>
        <w:spacing w:line="360" w:lineRule="auto"/>
        <w:ind w:right="-989"/>
        <w:jc w:val="both"/>
        <w:rPr>
          <w:rFonts w:ascii="Palatino Linotype" w:eastAsia="Palatino Linotype" w:hAnsi="Palatino Linotype" w:cs="Palatino Linotype"/>
        </w:rPr>
      </w:pPr>
    </w:p>
    <w:p w:rsidR="004D52D1" w:rsidRDefault="00592C73">
      <w:pPr>
        <w:numPr>
          <w:ilvl w:val="0"/>
          <w:numId w:val="7"/>
        </w:numPr>
        <w:pBdr>
          <w:top w:val="nil"/>
          <w:left w:val="nil"/>
          <w:bottom w:val="nil"/>
          <w:right w:val="nil"/>
          <w:between w:val="nil"/>
        </w:pBdr>
        <w:spacing w:line="360" w:lineRule="auto"/>
        <w:ind w:right="-989"/>
        <w:jc w:val="both"/>
        <w:rPr>
          <w:color w:val="000000"/>
        </w:rPr>
      </w:pPr>
      <w:r>
        <w:rPr>
          <w:rFonts w:ascii="Palatino Linotype" w:eastAsia="Palatino Linotype" w:hAnsi="Palatino Linotype" w:cs="Palatino Linotype"/>
          <w:color w:val="000000"/>
        </w:rPr>
        <w:lastRenderedPageBreak/>
        <w:t>En el mismo sentido, la Ley de Transparencia y Acceso a la Información Pública del Estado de México y Municipios (Reglamentaria del artículo 5° de la Constitución Local), establece en su artículo 12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4D52D1" w:rsidRDefault="004D52D1">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4D52D1" w:rsidRDefault="00592C73">
      <w:pPr>
        <w:numPr>
          <w:ilvl w:val="0"/>
          <w:numId w:val="7"/>
        </w:numPr>
        <w:pBdr>
          <w:top w:val="nil"/>
          <w:left w:val="nil"/>
          <w:bottom w:val="nil"/>
          <w:right w:val="nil"/>
          <w:between w:val="nil"/>
        </w:pBdr>
        <w:spacing w:line="360" w:lineRule="auto"/>
        <w:ind w:right="-989"/>
        <w:jc w:val="both"/>
        <w:rPr>
          <w:color w:val="000000"/>
        </w:rPr>
      </w:pPr>
      <w:r>
        <w:rPr>
          <w:rFonts w:ascii="Palatino Linotype" w:eastAsia="Palatino Linotype" w:hAnsi="Palatino Linotype" w:cs="Palatino Linotype"/>
          <w:color w:val="000000"/>
        </w:rPr>
        <w:t>Finalmente,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4D52D1" w:rsidRDefault="004D52D1">
      <w:p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p>
    <w:p w:rsidR="004D52D1" w:rsidRDefault="00592C73">
      <w:pPr>
        <w:numPr>
          <w:ilvl w:val="0"/>
          <w:numId w:val="7"/>
        </w:num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Ante la falta de respuesta del Sujeto Obligado, la parte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interpuso recurso de revisión en el que se inconformó por la negativa a la entrega de la información por parte de aquel.</w:t>
      </w:r>
    </w:p>
    <w:p w:rsidR="004D52D1" w:rsidRDefault="004D52D1">
      <w:pPr>
        <w:pBdr>
          <w:top w:val="nil"/>
          <w:left w:val="nil"/>
          <w:bottom w:val="nil"/>
          <w:right w:val="nil"/>
          <w:between w:val="nil"/>
        </w:pBdr>
        <w:ind w:left="720" w:right="-989"/>
        <w:rPr>
          <w:rFonts w:ascii="Palatino Linotype" w:eastAsia="Palatino Linotype" w:hAnsi="Palatino Linotype" w:cs="Palatino Linotype"/>
          <w:b/>
          <w:bCs/>
          <w:color w:val="000000"/>
        </w:rPr>
      </w:pPr>
    </w:p>
    <w:p w:rsidR="004D52D1" w:rsidRDefault="00592C73">
      <w:pPr>
        <w:numPr>
          <w:ilvl w:val="0"/>
          <w:numId w:val="7"/>
        </w:numPr>
        <w:pBdr>
          <w:top w:val="nil"/>
          <w:left w:val="nil"/>
          <w:bottom w:val="nil"/>
          <w:right w:val="nil"/>
          <w:between w:val="nil"/>
        </w:pBdr>
        <w:spacing w:line="360" w:lineRule="auto"/>
        <w:ind w:right="-989"/>
        <w:jc w:val="both"/>
        <w:rPr>
          <w:color w:val="000000"/>
        </w:rPr>
      </w:pPr>
      <w:r>
        <w:rPr>
          <w:rFonts w:ascii="Palatino Linotype" w:eastAsia="Palatino Linotype" w:hAnsi="Palatino Linotype" w:cs="Palatino Linotype"/>
          <w:color w:val="000000"/>
        </w:rPr>
        <w:t xml:space="preserve">No obstante, mediante un acto jurídico posterior como lo es el informe justificado,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refirió que el Plan Municipal de Desarrollo Urbano y Metropolitano, es información pública que obra y puede ser consultado a través del enlace </w:t>
      </w:r>
      <w:r w:rsidR="00BA4669">
        <w:rPr>
          <w:rFonts w:ascii="Palatino Linotype" w:eastAsia="Palatino Linotype" w:hAnsi="Palatino Linotype" w:cs="Palatino Linotype"/>
          <w:color w:val="000000"/>
        </w:rPr>
        <w:t>electrónico</w:t>
      </w:r>
      <w:r>
        <w:rPr>
          <w:rFonts w:ascii="Palatino Linotype" w:eastAsia="Palatino Linotype" w:hAnsi="Palatino Linotype" w:cs="Palatino Linotype"/>
          <w:noProof/>
          <w:color w:val="000000"/>
          <w:lang w:val="es-MX"/>
        </w:rPr>
        <w:drawing>
          <wp:inline distT="0" distB="0" distL="0" distR="0">
            <wp:extent cx="2540346" cy="20665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l="3926" t="15254" r="1868" b="15254"/>
                    <a:stretch>
                      <a:fillRect/>
                    </a:stretch>
                  </pic:blipFill>
                  <pic:spPr>
                    <a:xfrm>
                      <a:off x="0" y="0"/>
                      <a:ext cx="2540346" cy="206655"/>
                    </a:xfrm>
                    <a:prstGeom prst="rect">
                      <a:avLst/>
                    </a:prstGeom>
                    <a:ln/>
                  </pic:spPr>
                </pic:pic>
              </a:graphicData>
            </a:graphic>
          </wp:inline>
        </w:drawing>
      </w:r>
      <w:r>
        <w:rPr>
          <w:rFonts w:ascii="Palatino Linotype" w:eastAsia="Palatino Linotype" w:hAnsi="Palatino Linotype" w:cs="Palatino Linotype"/>
          <w:color w:val="000000"/>
        </w:rPr>
        <w:t xml:space="preserve">; así mismo </w:t>
      </w:r>
      <w:r>
        <w:rPr>
          <w:rFonts w:ascii="Palatino Linotype" w:eastAsia="Palatino Linotype" w:hAnsi="Palatino Linotype" w:cs="Palatino Linotype"/>
        </w:rPr>
        <w:t>indicó</w:t>
      </w:r>
      <w:r>
        <w:rPr>
          <w:rFonts w:ascii="Palatino Linotype" w:eastAsia="Palatino Linotype" w:hAnsi="Palatino Linotype" w:cs="Palatino Linotype"/>
          <w:color w:val="000000"/>
        </w:rPr>
        <w:t xml:space="preserve"> que el Plan de referencia, no tuvo modificaciones durante el 2025; no se omite mencionar que la liga electrónica proporcionada, fue remitida en datos cerrados. </w:t>
      </w:r>
    </w:p>
    <w:p w:rsidR="004D52D1" w:rsidRDefault="004D52D1">
      <w:pPr>
        <w:pBdr>
          <w:top w:val="nil"/>
          <w:left w:val="nil"/>
          <w:bottom w:val="nil"/>
          <w:right w:val="nil"/>
          <w:between w:val="nil"/>
        </w:pBdr>
        <w:ind w:left="720" w:right="-989"/>
        <w:rPr>
          <w:rFonts w:ascii="Palatino Linotype" w:eastAsia="Palatino Linotype" w:hAnsi="Palatino Linotype" w:cs="Palatino Linotype"/>
          <w:color w:val="000000"/>
        </w:rPr>
      </w:pPr>
    </w:p>
    <w:p w:rsidR="004D52D1" w:rsidRDefault="00592C73">
      <w:pPr>
        <w:numPr>
          <w:ilvl w:val="0"/>
          <w:numId w:val="7"/>
        </w:numPr>
        <w:pBdr>
          <w:top w:val="nil"/>
          <w:left w:val="nil"/>
          <w:bottom w:val="nil"/>
          <w:right w:val="nil"/>
          <w:between w:val="nil"/>
        </w:pBdr>
        <w:spacing w:line="360" w:lineRule="auto"/>
        <w:ind w:right="-989"/>
        <w:jc w:val="both"/>
        <w:rPr>
          <w:color w:val="000000"/>
        </w:rPr>
      </w:pPr>
      <w:r>
        <w:rPr>
          <w:rFonts w:ascii="Palatino Linotype" w:eastAsia="Palatino Linotype" w:hAnsi="Palatino Linotype" w:cs="Palatino Linotype"/>
          <w:color w:val="000000"/>
        </w:rPr>
        <w:lastRenderedPageBreak/>
        <w:t>Derivado de lo anterior, este Organismo Protector se dio a la tarea de ingresar al enlace proporcionado; siendo el resultado lo siguiente:</w:t>
      </w:r>
    </w:p>
    <w:p w:rsidR="004D52D1" w:rsidRDefault="00592C73">
      <w:pPr>
        <w:pBdr>
          <w:top w:val="nil"/>
          <w:left w:val="nil"/>
          <w:bottom w:val="nil"/>
          <w:right w:val="nil"/>
          <w:between w:val="nil"/>
        </w:pBdr>
        <w:ind w:left="720" w:right="-989"/>
        <w:jc w:val="center"/>
        <w:rPr>
          <w:rFonts w:ascii="Palatino Linotype" w:eastAsia="Palatino Linotype" w:hAnsi="Palatino Linotype" w:cs="Palatino Linotype"/>
          <w:color w:val="000000"/>
        </w:rPr>
      </w:pPr>
      <w:r>
        <w:rPr>
          <w:rFonts w:ascii="Palatino Linotype" w:eastAsia="Palatino Linotype" w:hAnsi="Palatino Linotype" w:cs="Palatino Linotype"/>
          <w:noProof/>
          <w:color w:val="000000"/>
          <w:lang w:val="es-MX"/>
        </w:rPr>
        <w:drawing>
          <wp:inline distT="0" distB="0" distL="0" distR="0">
            <wp:extent cx="3181489" cy="2959954"/>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3181489" cy="2959954"/>
                    </a:xfrm>
                    <a:prstGeom prst="rect">
                      <a:avLst/>
                    </a:prstGeom>
                    <a:ln/>
                  </pic:spPr>
                </pic:pic>
              </a:graphicData>
            </a:graphic>
          </wp:inline>
        </w:drawing>
      </w:r>
    </w:p>
    <w:p w:rsidR="004D52D1" w:rsidRDefault="004D52D1">
      <w:pPr>
        <w:pBdr>
          <w:top w:val="nil"/>
          <w:left w:val="nil"/>
          <w:bottom w:val="nil"/>
          <w:right w:val="nil"/>
          <w:between w:val="nil"/>
        </w:pBdr>
        <w:ind w:left="720" w:right="-989"/>
        <w:rPr>
          <w:rFonts w:ascii="Palatino Linotype" w:eastAsia="Palatino Linotype" w:hAnsi="Palatino Linotype" w:cs="Palatino Linotype"/>
          <w:color w:val="000000"/>
        </w:rPr>
      </w:pPr>
    </w:p>
    <w:p w:rsidR="00BA4669" w:rsidRDefault="00BA4669">
      <w:pPr>
        <w:pBdr>
          <w:top w:val="nil"/>
          <w:left w:val="nil"/>
          <w:bottom w:val="nil"/>
          <w:right w:val="nil"/>
          <w:between w:val="nil"/>
        </w:pBdr>
        <w:ind w:left="720" w:right="-989"/>
        <w:rPr>
          <w:rFonts w:ascii="Palatino Linotype" w:eastAsia="Palatino Linotype" w:hAnsi="Palatino Linotype" w:cs="Palatino Linotype"/>
          <w:color w:val="000000"/>
        </w:rPr>
      </w:pPr>
    </w:p>
    <w:p w:rsidR="004D52D1" w:rsidRPr="00BA4669" w:rsidRDefault="00592C73">
      <w:pPr>
        <w:numPr>
          <w:ilvl w:val="0"/>
          <w:numId w:val="7"/>
        </w:numPr>
        <w:spacing w:line="360" w:lineRule="auto"/>
        <w:ind w:right="-989"/>
        <w:jc w:val="both"/>
      </w:pPr>
      <w:r>
        <w:rPr>
          <w:rFonts w:ascii="Palatino Linotype" w:eastAsia="Palatino Linotype" w:hAnsi="Palatino Linotype" w:cs="Palatino Linotype"/>
          <w:color w:val="000000"/>
        </w:rPr>
        <w:t>Por lo anterior, este Organismo Garante considera que el enlace proporcionado en respuesta no puede tenerse por válido, toda vez que los enlaces electrónicos deben ser precisos y directos, sin embargo, en el caso particular, la información no se encuentra disponible para su consulta.</w:t>
      </w:r>
    </w:p>
    <w:p w:rsidR="00BA4669" w:rsidRDefault="00BA4669" w:rsidP="00BA4669">
      <w:pPr>
        <w:spacing w:line="360" w:lineRule="auto"/>
        <w:ind w:right="-989"/>
        <w:jc w:val="both"/>
      </w:pPr>
    </w:p>
    <w:p w:rsidR="004D52D1" w:rsidRDefault="00592C73">
      <w:pPr>
        <w:numPr>
          <w:ilvl w:val="0"/>
          <w:numId w:val="7"/>
        </w:numPr>
        <w:spacing w:line="360" w:lineRule="auto"/>
        <w:ind w:right="-989"/>
        <w:jc w:val="both"/>
        <w:rPr>
          <w:color w:val="000000"/>
        </w:rPr>
      </w:pPr>
      <w:r>
        <w:rPr>
          <w:rFonts w:ascii="Palatino Linotype" w:eastAsia="Palatino Linotype" w:hAnsi="Palatino Linotype" w:cs="Palatino Linotype"/>
          <w:color w:val="000000"/>
        </w:rPr>
        <w:t>Al respecto es necesario traer a contexto lo establecido por los artículos 11 y 161 de la Ley de Transparencia y Acceso a la Información Pública del Estado de México y Municipios, que se señalan las características que debe tener toda información entregada por los sujetos obligados desde el momento de su generación, publicación y entrega, así como la forma en que se deberá consultar la información, señalando una fuente precisa y concreta, a saber:</w:t>
      </w:r>
    </w:p>
    <w:p w:rsidR="004D52D1" w:rsidRDefault="00592C73">
      <w:pPr>
        <w:pBdr>
          <w:top w:val="nil"/>
          <w:left w:val="nil"/>
          <w:bottom w:val="nil"/>
          <w:right w:val="nil"/>
          <w:between w:val="nil"/>
        </w:pBdr>
        <w:ind w:left="567" w:right="-989"/>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 xml:space="preserve">“Artículo 11. </w:t>
      </w:r>
      <w:r>
        <w:rPr>
          <w:rFonts w:ascii="Palatino Linotype" w:eastAsia="Palatino Linotype" w:hAnsi="Palatino Linotype" w:cs="Palatino Linotype"/>
          <w:b/>
          <w:bCs/>
          <w:i/>
          <w:iCs/>
          <w:color w:val="000000"/>
          <w:u w:val="single"/>
        </w:rPr>
        <w:t xml:space="preserve">En la generación, publicación y entrega de información se deberá garantizar que ésta sea accesible, actualizada, completa, congruente, confiable, </w:t>
      </w:r>
      <w:r>
        <w:rPr>
          <w:rFonts w:ascii="Palatino Linotype" w:eastAsia="Palatino Linotype" w:hAnsi="Palatino Linotype" w:cs="Palatino Linotype"/>
          <w:b/>
          <w:bCs/>
          <w:i/>
          <w:iCs/>
          <w:color w:val="000000"/>
          <w:u w:val="single"/>
        </w:rPr>
        <w:lastRenderedPageBreak/>
        <w:t>verificable, veraz, integral, oportuna y expedita</w:t>
      </w:r>
      <w:r>
        <w:rPr>
          <w:rFonts w:ascii="Palatino Linotype" w:eastAsia="Palatino Linotype" w:hAnsi="Palatino Linotype" w:cs="Palatino Linotype"/>
          <w:i/>
          <w:iCs/>
          <w:color w:val="000000"/>
        </w:rPr>
        <w:t>, sujeta a un claro régimen de excepciones que deberá estar definido y ser además legítima y estrictamente necesaria en una sociedad democrática, por lo que atenderá las necesidades del derecho de acceso a la información de toda persona.</w:t>
      </w:r>
    </w:p>
    <w:p w:rsidR="004D52D1" w:rsidRDefault="00592C73">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4D52D1" w:rsidRDefault="004D52D1">
      <w:pPr>
        <w:pBdr>
          <w:top w:val="nil"/>
          <w:left w:val="nil"/>
          <w:bottom w:val="nil"/>
          <w:right w:val="nil"/>
          <w:between w:val="nil"/>
        </w:pBdr>
        <w:ind w:left="567" w:right="-989"/>
        <w:jc w:val="both"/>
        <w:rPr>
          <w:rFonts w:ascii="Palatino Linotype" w:eastAsia="Palatino Linotype" w:hAnsi="Palatino Linotype" w:cs="Palatino Linotype"/>
          <w:i/>
          <w:iCs/>
          <w:color w:val="000000"/>
        </w:rPr>
      </w:pPr>
    </w:p>
    <w:p w:rsidR="004D52D1" w:rsidRDefault="00592C73">
      <w:pPr>
        <w:pBdr>
          <w:top w:val="nil"/>
          <w:left w:val="nil"/>
          <w:bottom w:val="nil"/>
          <w:right w:val="nil"/>
          <w:between w:val="nil"/>
        </w:pBdr>
        <w:ind w:left="567" w:right="-989"/>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Artículo 161</w:t>
      </w:r>
      <w:r>
        <w:rPr>
          <w:rFonts w:ascii="Palatino Linotype" w:eastAsia="Palatino Linotype" w:hAnsi="Palatino Linotype" w:cs="Palatino Linotype"/>
          <w:b/>
          <w:bCs/>
          <w:i/>
          <w:iCs/>
          <w:color w:val="000000"/>
        </w:rPr>
        <w:t xml:space="preserve">. </w:t>
      </w:r>
      <w:r>
        <w:rPr>
          <w:rFonts w:ascii="Palatino Linotype" w:eastAsia="Palatino Linotype" w:hAnsi="Palatino Linotype" w:cs="Palatino Linotype"/>
          <w:b/>
          <w:bCs/>
          <w:i/>
          <w:iCs/>
          <w:color w:val="000000"/>
          <w:u w:val="single"/>
        </w:rPr>
        <w:t>Cuando la información requerida por el solicitante ya esté disponible al público</w:t>
      </w:r>
      <w:r>
        <w:rPr>
          <w:rFonts w:ascii="Palatino Linotype" w:eastAsia="Palatino Linotype" w:hAnsi="Palatino Linotype" w:cs="Palatino Linotype"/>
          <w:i/>
          <w:iCs/>
          <w:color w:val="000000"/>
        </w:rPr>
        <w:t xml:space="preserve"> en medios impresos, tales como libros, compendios, trípticos, registros públicos, </w:t>
      </w:r>
      <w:r>
        <w:rPr>
          <w:rFonts w:ascii="Palatino Linotype" w:eastAsia="Palatino Linotype" w:hAnsi="Palatino Linotype" w:cs="Palatino Linotype"/>
          <w:b/>
          <w:bCs/>
          <w:i/>
          <w:iCs/>
          <w:color w:val="000000"/>
          <w:u w:val="single"/>
        </w:rPr>
        <w:t>en formatos electrónicos disponibles en Internet o en cualquier otro medio, 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rsidR="004D52D1" w:rsidRDefault="004D52D1">
      <w:pPr>
        <w:spacing w:line="360" w:lineRule="auto"/>
        <w:ind w:right="-989"/>
        <w:jc w:val="both"/>
        <w:rPr>
          <w:rFonts w:ascii="Palatino Linotype" w:eastAsia="Palatino Linotype" w:hAnsi="Palatino Linotype" w:cs="Palatino Linotype"/>
          <w:color w:val="000000"/>
        </w:rPr>
      </w:pPr>
    </w:p>
    <w:p w:rsidR="004D52D1" w:rsidRDefault="00592C73">
      <w:pPr>
        <w:numPr>
          <w:ilvl w:val="0"/>
          <w:numId w:val="7"/>
        </w:numPr>
        <w:spacing w:line="360" w:lineRule="auto"/>
        <w:ind w:right="-989"/>
        <w:jc w:val="both"/>
        <w:rPr>
          <w:color w:val="000000"/>
        </w:rPr>
      </w:pPr>
      <w:r>
        <w:rPr>
          <w:rFonts w:ascii="Palatino Linotype" w:eastAsia="Palatino Linotype" w:hAnsi="Palatino Linotype" w:cs="Palatino Linotype"/>
          <w:color w:val="000000"/>
        </w:rPr>
        <w:t xml:space="preserve">De los artículos transcritos se establecen las características que debe tener la información desde el momento de su generación, publicación y entrega; de igual manera se contempla el procedimiento a seguir por el sujeto obligado para informar a los solicitantes sobre información que se encuentre disponible en libros, compendios, formatos electrónicos, entre otros, haciéndole saber al solicitante como podrá consultar, reproducir o adquirir la información, en un plazo </w:t>
      </w:r>
      <w:r>
        <w:rPr>
          <w:rFonts w:ascii="Palatino Linotype" w:eastAsia="Palatino Linotype" w:hAnsi="Palatino Linotype" w:cs="Palatino Linotype"/>
          <w:b/>
          <w:bCs/>
          <w:color w:val="000000"/>
        </w:rPr>
        <w:t>no mayor a cinco días hábiles</w:t>
      </w:r>
      <w:r>
        <w:rPr>
          <w:rFonts w:ascii="Palatino Linotype" w:eastAsia="Palatino Linotype" w:hAnsi="Palatino Linotype" w:cs="Palatino Linotype"/>
          <w:color w:val="000000"/>
        </w:rPr>
        <w:t>, comprendiendo la fuente, el lugar y la forma. Así mismo se establece que la fuente de la información deberá ser precisa, concreta y no debe de implicar que el solicitante realice una búsqueda en toda la información que se encuentre disponible.</w:t>
      </w:r>
    </w:p>
    <w:p w:rsidR="004D52D1" w:rsidRDefault="004D52D1">
      <w:pPr>
        <w:spacing w:line="360" w:lineRule="auto"/>
        <w:ind w:right="-989"/>
        <w:jc w:val="both"/>
        <w:rPr>
          <w:rFonts w:ascii="Palatino Linotype" w:eastAsia="Palatino Linotype" w:hAnsi="Palatino Linotype" w:cs="Palatino Linotype"/>
          <w:color w:val="000000"/>
        </w:rPr>
      </w:pPr>
    </w:p>
    <w:p w:rsidR="004D52D1" w:rsidRDefault="00592C73">
      <w:pPr>
        <w:numPr>
          <w:ilvl w:val="0"/>
          <w:numId w:val="7"/>
        </w:numPr>
        <w:spacing w:line="360" w:lineRule="auto"/>
        <w:ind w:right="-989"/>
        <w:jc w:val="both"/>
        <w:rPr>
          <w:color w:val="000000"/>
        </w:rPr>
      </w:pPr>
      <w:r>
        <w:rPr>
          <w:rFonts w:ascii="Palatino Linotype" w:eastAsia="Palatino Linotype" w:hAnsi="Palatino Linotype" w:cs="Palatino Linotype"/>
          <w:color w:val="000000"/>
        </w:rPr>
        <w:t xml:space="preserve">Imperativos legales que establecen el procedimiento que debe seguir el </w:t>
      </w:r>
      <w:r>
        <w:rPr>
          <w:rFonts w:ascii="Palatino Linotype" w:eastAsia="Palatino Linotype" w:hAnsi="Palatino Linotype" w:cs="Palatino Linotype"/>
          <w:b/>
          <w:bCs/>
          <w:color w:val="000000"/>
          <w:highlight w:val="white"/>
        </w:rPr>
        <w:t xml:space="preserve">SUJETO OBLIGADO </w:t>
      </w:r>
      <w:r>
        <w:rPr>
          <w:rFonts w:ascii="Palatino Linotype" w:eastAsia="Palatino Linotype" w:hAnsi="Palatino Linotype" w:cs="Palatino Linotype"/>
          <w:color w:val="000000"/>
          <w:highlight w:val="white"/>
        </w:rPr>
        <w:t xml:space="preserve">para que pueda tomarse como válida su orientación sobre la forma en que puede consultar la información requerida, y que, en el caso en concreto, no acontece; ello porque el </w:t>
      </w:r>
      <w:r>
        <w:rPr>
          <w:rFonts w:ascii="Palatino Linotype" w:eastAsia="Palatino Linotype" w:hAnsi="Palatino Linotype" w:cs="Palatino Linotype"/>
          <w:b/>
          <w:bCs/>
          <w:color w:val="000000"/>
          <w:highlight w:val="white"/>
        </w:rPr>
        <w:t>SUJETO OBLIGADO</w:t>
      </w:r>
      <w:r>
        <w:rPr>
          <w:rFonts w:ascii="Palatino Linotype" w:eastAsia="Palatino Linotype" w:hAnsi="Palatino Linotype" w:cs="Palatino Linotype"/>
          <w:color w:val="000000"/>
          <w:highlight w:val="white"/>
        </w:rPr>
        <w:t xml:space="preserve"> se limitó a indicar la dirección electrónica que conducen a la página de la Secretaría de Desarrollo Urbano e Infraestructura del Gobierno del Estado de </w:t>
      </w:r>
      <w:r>
        <w:rPr>
          <w:rFonts w:ascii="Palatino Linotype" w:eastAsia="Palatino Linotype" w:hAnsi="Palatino Linotype" w:cs="Palatino Linotype"/>
          <w:color w:val="000000"/>
          <w:highlight w:val="white"/>
        </w:rPr>
        <w:lastRenderedPageBreak/>
        <w:t xml:space="preserve">México, sin embargo </w:t>
      </w:r>
      <w:r>
        <w:rPr>
          <w:rFonts w:ascii="Palatino Linotype" w:eastAsia="Palatino Linotype" w:hAnsi="Palatino Linotype" w:cs="Palatino Linotype"/>
          <w:highlight w:val="white"/>
        </w:rPr>
        <w:t>no se</w:t>
      </w:r>
      <w:r>
        <w:rPr>
          <w:rFonts w:ascii="Palatino Linotype" w:eastAsia="Palatino Linotype" w:hAnsi="Palatino Linotype" w:cs="Palatino Linotype"/>
          <w:color w:val="000000"/>
          <w:highlight w:val="white"/>
        </w:rPr>
        <w:t xml:space="preserve"> visualiza la información requerida por el particular, arrojando la leyenda “Página no encontrada” “No se ha encontrado la página solicitada”; ello aunado a que no se señalaron puntualmente los apartados en los que se localiza la información requerida, lo que implica que la fuente no es precisa; no es concreta, sino por el contrario ésta resulta abstracta y genera incertidumbre entre el cúmulo de información que se observa en la página; y por último, su fuente implica que el solicitante realice una búsqueda en toda la información que se encuentra disponible, lo que a todas luces transgrede el numeral citado.</w:t>
      </w:r>
    </w:p>
    <w:p w:rsidR="004D52D1" w:rsidRDefault="004D52D1">
      <w:pPr>
        <w:pBdr>
          <w:top w:val="nil"/>
          <w:left w:val="nil"/>
          <w:bottom w:val="nil"/>
          <w:right w:val="nil"/>
          <w:between w:val="nil"/>
        </w:pBdr>
        <w:ind w:left="720" w:right="-989"/>
        <w:rPr>
          <w:rFonts w:ascii="Palatino Linotype" w:eastAsia="Palatino Linotype" w:hAnsi="Palatino Linotype" w:cs="Palatino Linotype"/>
          <w:color w:val="000000"/>
        </w:rPr>
      </w:pPr>
    </w:p>
    <w:p w:rsidR="004D52D1" w:rsidRPr="00BA4669" w:rsidRDefault="00592C73">
      <w:pPr>
        <w:numPr>
          <w:ilvl w:val="0"/>
          <w:numId w:val="7"/>
        </w:numPr>
        <w:spacing w:line="360" w:lineRule="auto"/>
        <w:ind w:right="-989"/>
        <w:jc w:val="both"/>
        <w:rPr>
          <w:color w:val="000000"/>
        </w:rPr>
      </w:pPr>
      <w:r>
        <w:rPr>
          <w:rFonts w:ascii="Palatino Linotype" w:eastAsia="Palatino Linotype" w:hAnsi="Palatino Linotype" w:cs="Palatino Linotype"/>
          <w:color w:val="000000"/>
        </w:rPr>
        <w:t xml:space="preserve">Aunado a lo anterior, cabe señalar que al revisar el expediente electrónico del caso que nos ocupa, se desprende que el </w:t>
      </w:r>
      <w:r>
        <w:rPr>
          <w:rFonts w:ascii="Palatino Linotype" w:eastAsia="Palatino Linotype" w:hAnsi="Palatino Linotype" w:cs="Palatino Linotype"/>
          <w:b/>
          <w:bCs/>
          <w:color w:val="000000"/>
        </w:rPr>
        <w:t xml:space="preserve">SUJETO OBLIGADO, no </w:t>
      </w:r>
      <w:r>
        <w:rPr>
          <w:rFonts w:ascii="Palatino Linotype" w:eastAsia="Palatino Linotype" w:hAnsi="Palatino Linotype" w:cs="Palatino Linotype"/>
          <w:color w:val="000000"/>
        </w:rPr>
        <w:t xml:space="preserve">emitió respuesta a la solicitud y fue a través de un acto jurídico posterior, como lo es el informe justificado que por medio del Director de Desarrollo Urbano y Metropolitano, en fecha </w:t>
      </w:r>
      <w:r>
        <w:rPr>
          <w:rFonts w:ascii="Palatino Linotype" w:eastAsia="Palatino Linotype" w:hAnsi="Palatino Linotype" w:cs="Palatino Linotype"/>
          <w:b/>
          <w:bCs/>
          <w:color w:val="000000"/>
        </w:rPr>
        <w:t>diecisiete de enero de dos mi veintiséis</w:t>
      </w:r>
      <w:r>
        <w:rPr>
          <w:rFonts w:ascii="Palatino Linotype" w:eastAsia="Palatino Linotype" w:hAnsi="Palatino Linotype" w:cs="Palatino Linotype"/>
          <w:color w:val="000000"/>
        </w:rPr>
        <w:t xml:space="preserve">, es decir </w:t>
      </w:r>
      <w:r>
        <w:rPr>
          <w:rFonts w:ascii="Palatino Linotype" w:eastAsia="Palatino Linotype" w:hAnsi="Palatino Linotype" w:cs="Palatino Linotype"/>
          <w:b/>
          <w:bCs/>
          <w:color w:val="000000"/>
        </w:rPr>
        <w:t>veintiséis días hábiles</w:t>
      </w:r>
      <w:r>
        <w:rPr>
          <w:rFonts w:ascii="Palatino Linotype" w:eastAsia="Palatino Linotype" w:hAnsi="Palatino Linotype" w:cs="Palatino Linotype"/>
          <w:color w:val="000000"/>
        </w:rPr>
        <w:t xml:space="preserve"> posteriores a la solicitud de información, por tanto no da cumplimiento a lo establecido en el precepto legal referido en los párrafos que anteceden.</w:t>
      </w:r>
    </w:p>
    <w:p w:rsidR="00BA4669" w:rsidRDefault="00BA4669" w:rsidP="00BA4669">
      <w:pPr>
        <w:spacing w:line="360" w:lineRule="auto"/>
        <w:ind w:right="-989"/>
        <w:jc w:val="both"/>
        <w:rPr>
          <w:color w:val="000000"/>
        </w:rPr>
      </w:pPr>
    </w:p>
    <w:p w:rsidR="004D52D1" w:rsidRDefault="00592C73">
      <w:pPr>
        <w:numPr>
          <w:ilvl w:val="0"/>
          <w:numId w:val="7"/>
        </w:numPr>
        <w:pBdr>
          <w:top w:val="nil"/>
          <w:left w:val="nil"/>
          <w:bottom w:val="nil"/>
          <w:right w:val="nil"/>
          <w:between w:val="nil"/>
        </w:pBdr>
        <w:spacing w:line="360" w:lineRule="auto"/>
        <w:ind w:right="-989"/>
        <w:jc w:val="both"/>
        <w:rPr>
          <w:color w:val="000000"/>
        </w:rPr>
      </w:pPr>
      <w:r>
        <w:rPr>
          <w:rFonts w:ascii="Palatino Linotype" w:eastAsia="Palatino Linotype" w:hAnsi="Palatino Linotype" w:cs="Palatino Linotype"/>
          <w:color w:val="000000"/>
        </w:rPr>
        <w:t xml:space="preserve">Debemos mencionar que el acceso a la información es un derecho humano constitucional y convencionalmente reconocido y para tal efecto el párrafo tercero del artículo primero de la Constitución Política de los Estados Unidos Mexicanos establece que el deber de todas las autoridades, </w:t>
      </w:r>
      <w:r>
        <w:rPr>
          <w:rFonts w:ascii="Palatino Linotype" w:eastAsia="Palatino Linotype" w:hAnsi="Palatino Linotype" w:cs="Palatino Linotype"/>
          <w:i/>
          <w:iCs/>
          <w:color w:val="000000"/>
        </w:rPr>
        <w:t xml:space="preserve">en el ámbito de sus atribuciones, de promover, respetar, proteger y </w:t>
      </w:r>
      <w:r>
        <w:rPr>
          <w:rFonts w:ascii="Palatino Linotype" w:eastAsia="Palatino Linotype" w:hAnsi="Palatino Linotype" w:cs="Palatino Linotype"/>
          <w:b/>
          <w:bCs/>
          <w:i/>
          <w:iCs/>
          <w:color w:val="000000"/>
        </w:rPr>
        <w:t>garantizar</w:t>
      </w:r>
      <w:r>
        <w:rPr>
          <w:rFonts w:ascii="Palatino Linotype" w:eastAsia="Palatino Linotype" w:hAnsi="Palatino Linotype" w:cs="Palatino Linotype"/>
          <w:i/>
          <w:iCs/>
          <w:color w:val="000000"/>
        </w:rPr>
        <w:t xml:space="preserve"> los derechos humanos. </w:t>
      </w:r>
      <w:r>
        <w:rPr>
          <w:rFonts w:ascii="Palatino Linotype" w:eastAsia="Palatino Linotype" w:hAnsi="Palatino Linotype" w:cs="Palatino Linotype"/>
          <w:b/>
          <w:bCs/>
          <w:i/>
          <w:iCs/>
          <w:color w:val="000000"/>
        </w:rPr>
        <w:t>En cuanto al derecho de acceso a la información, la Ley de Transparencia y Acceso a la Información Pública del Estado de México y Municipios prevé establece que e</w:t>
      </w:r>
      <w:r>
        <w:rPr>
          <w:rFonts w:ascii="Palatino Linotype" w:eastAsia="Palatino Linotype" w:hAnsi="Palatino Linotype" w:cs="Palatino Linotype"/>
          <w:i/>
          <w:iCs/>
          <w:color w:val="000000"/>
        </w:rPr>
        <w:t xml:space="preserve">l procedimiento de acceso a la información es la garantía primaria del derecho en cuestión y se rige por los principios de simplicidad, rapidez y gratuidad del procedimiento, auxilio y </w:t>
      </w:r>
      <w:r>
        <w:rPr>
          <w:rFonts w:ascii="Palatino Linotype" w:eastAsia="Palatino Linotype" w:hAnsi="Palatino Linotype" w:cs="Palatino Linotype"/>
          <w:i/>
          <w:iCs/>
          <w:color w:val="000000"/>
        </w:rPr>
        <w:lastRenderedPageBreak/>
        <w:t>orientación a los particulares</w:t>
      </w:r>
      <w:r>
        <w:rPr>
          <w:i/>
          <w:iCs/>
          <w:color w:val="000000"/>
          <w:vertAlign w:val="superscript"/>
        </w:rPr>
        <w:footnoteReference w:id="1"/>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asimismo establece</w:t>
      </w:r>
      <w:r>
        <w:rPr>
          <w:rFonts w:ascii="Palatino Linotype" w:eastAsia="Palatino Linotype" w:hAnsi="Palatino Linotype" w:cs="Palatino Linotype"/>
          <w:i/>
          <w:iCs/>
          <w:color w:val="000000"/>
        </w:rPr>
        <w:t xml:space="preserve"> que 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w:t>
      </w:r>
    </w:p>
    <w:p w:rsidR="004D52D1" w:rsidRDefault="004D52D1">
      <w:pPr>
        <w:pBdr>
          <w:top w:val="nil"/>
          <w:left w:val="nil"/>
          <w:bottom w:val="nil"/>
          <w:right w:val="nil"/>
          <w:between w:val="nil"/>
        </w:pBdr>
        <w:ind w:left="720" w:right="-989"/>
        <w:rPr>
          <w:rFonts w:ascii="Palatino Linotype" w:eastAsia="Palatino Linotype" w:hAnsi="Palatino Linotype" w:cs="Palatino Linotype"/>
          <w:color w:val="000000"/>
        </w:rPr>
      </w:pPr>
    </w:p>
    <w:p w:rsidR="004D52D1" w:rsidRPr="00BA4669" w:rsidRDefault="00592C73">
      <w:pPr>
        <w:numPr>
          <w:ilvl w:val="0"/>
          <w:numId w:val="7"/>
        </w:numPr>
        <w:pBdr>
          <w:top w:val="nil"/>
          <w:left w:val="nil"/>
          <w:bottom w:val="nil"/>
          <w:right w:val="nil"/>
          <w:between w:val="nil"/>
        </w:pBdr>
        <w:spacing w:line="360" w:lineRule="auto"/>
        <w:ind w:right="-989"/>
        <w:jc w:val="both"/>
        <w:rPr>
          <w:color w:val="000000"/>
        </w:rPr>
      </w:pPr>
      <w:r>
        <w:rPr>
          <w:rFonts w:ascii="Palatino Linotype" w:eastAsia="Palatino Linotype" w:hAnsi="Palatino Linotype" w:cs="Palatino Linotype"/>
          <w:color w:val="000000"/>
        </w:rPr>
        <w:t xml:space="preserve">Por lo que, las actuaciones diligentes que lleven a cabo en un primer momento las Unidades de Transparencia y posteriormente  cada servidor público en su área es fundamental para la correcta tutela y el eficaz cumplimiento al derecho de acceso a la información, pues los primeros son el vínculo entre los particulares y los servidores públicos que generan, </w:t>
      </w:r>
      <w:r>
        <w:rPr>
          <w:rFonts w:ascii="Palatino Linotype" w:eastAsia="Palatino Linotype" w:hAnsi="Palatino Linotype" w:cs="Palatino Linotype"/>
        </w:rPr>
        <w:t>administran</w:t>
      </w:r>
      <w:r>
        <w:rPr>
          <w:rFonts w:ascii="Palatino Linotype" w:eastAsia="Palatino Linotype" w:hAnsi="Palatino Linotype" w:cs="Palatino Linotype"/>
          <w:color w:val="000000"/>
        </w:rPr>
        <w:t xml:space="preserve"> o poseen la información, mientras que los segundos tienen la responsabilidad de realizar una correcta gestión documental que permita localizar de manera rápida los documentos que se soliciten o bien, simplemente para el desarrollo de sus facultades, competencias y atribuciones que a diario desempeñan.</w:t>
      </w:r>
    </w:p>
    <w:p w:rsidR="00BA4669" w:rsidRDefault="00BA4669" w:rsidP="00BA4669">
      <w:pPr>
        <w:pBdr>
          <w:top w:val="nil"/>
          <w:left w:val="nil"/>
          <w:bottom w:val="nil"/>
          <w:right w:val="nil"/>
          <w:between w:val="nil"/>
        </w:pBdr>
        <w:spacing w:line="360" w:lineRule="auto"/>
        <w:ind w:right="-989"/>
        <w:jc w:val="both"/>
        <w:rPr>
          <w:color w:val="000000"/>
        </w:rPr>
      </w:pPr>
    </w:p>
    <w:p w:rsidR="004D52D1" w:rsidRDefault="00592C73">
      <w:pPr>
        <w:numPr>
          <w:ilvl w:val="0"/>
          <w:numId w:val="7"/>
        </w:numPr>
        <w:pBdr>
          <w:top w:val="nil"/>
          <w:left w:val="nil"/>
          <w:bottom w:val="nil"/>
          <w:right w:val="nil"/>
          <w:between w:val="nil"/>
        </w:pBdr>
        <w:spacing w:line="360" w:lineRule="auto"/>
        <w:ind w:right="-989"/>
        <w:jc w:val="both"/>
        <w:rPr>
          <w:color w:val="000000"/>
        </w:rPr>
      </w:pPr>
      <w:r>
        <w:rPr>
          <w:rFonts w:ascii="Palatino Linotype" w:eastAsia="Palatino Linotype" w:hAnsi="Palatino Linotype" w:cs="Palatino Linotype"/>
          <w:color w:val="000000"/>
        </w:rPr>
        <w:t xml:space="preserve">Es así que, su obligación es </w:t>
      </w:r>
      <w:r>
        <w:rPr>
          <w:rFonts w:ascii="Palatino Linotype" w:eastAsia="Palatino Linotype" w:hAnsi="Palatino Linotype" w:cs="Palatino Linotype"/>
          <w:i/>
          <w:iCs/>
          <w:color w:val="000000"/>
        </w:rPr>
        <w:t>realizar, con efectividad, los trámites internos necesarios para la atención de las solicitudes de información</w:t>
      </w:r>
      <w:r>
        <w:rPr>
          <w:color w:val="000000"/>
          <w:vertAlign w:val="superscript"/>
        </w:rPr>
        <w:footnoteReference w:id="2"/>
      </w:r>
      <w:r>
        <w:rPr>
          <w:rFonts w:ascii="Palatino Linotype" w:eastAsia="Palatino Linotype" w:hAnsi="Palatino Linotype" w:cs="Palatino Linotype"/>
          <w:color w:val="000000"/>
        </w:rPr>
        <w:t>, es decir, deben otorgar respuestas concisas, contundentes y sobre todo que den la certeza de los actos que realizan.</w:t>
      </w:r>
    </w:p>
    <w:p w:rsidR="004D52D1" w:rsidRDefault="004D52D1">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4D52D1" w:rsidRDefault="00592C73">
      <w:pPr>
        <w:numPr>
          <w:ilvl w:val="0"/>
          <w:numId w:val="7"/>
        </w:numPr>
        <w:pBdr>
          <w:top w:val="nil"/>
          <w:left w:val="nil"/>
          <w:bottom w:val="nil"/>
          <w:right w:val="nil"/>
          <w:between w:val="nil"/>
        </w:pBdr>
        <w:spacing w:line="360" w:lineRule="auto"/>
        <w:ind w:right="-989"/>
        <w:jc w:val="both"/>
        <w:rPr>
          <w:color w:val="000000"/>
        </w:rPr>
      </w:pPr>
      <w:r>
        <w:rPr>
          <w:rFonts w:ascii="Palatino Linotype" w:eastAsia="Palatino Linotype" w:hAnsi="Palatino Linotype" w:cs="Palatino Linotype"/>
          <w:color w:val="000000"/>
        </w:rPr>
        <w:t>Al respecto, es menester hacer referencia a lo establecido en los artículos 50, 53 fracciones II, IV y V, 58, 59 fracciones I y II, y 162 de la Ley de Transparencia y Acceso a la Información del Estado de México y Municipios, que a la letra estipulan lo siguiente:</w:t>
      </w:r>
    </w:p>
    <w:p w:rsidR="004D52D1" w:rsidRDefault="00592C73">
      <w:pPr>
        <w:ind w:left="567"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Artículo 50. Los sujetos obligados contarán con un área responsable para la atención de las solicitudes de información, a la que se le denominará Unidad de Transparencia.</w:t>
      </w:r>
    </w:p>
    <w:p w:rsidR="004D52D1" w:rsidRDefault="004D52D1">
      <w:pPr>
        <w:ind w:left="567" w:right="-989"/>
        <w:jc w:val="both"/>
        <w:rPr>
          <w:rFonts w:ascii="Palatino Linotype" w:eastAsia="Palatino Linotype" w:hAnsi="Palatino Linotype" w:cs="Palatino Linotype"/>
          <w:i/>
          <w:iCs/>
        </w:rPr>
      </w:pPr>
    </w:p>
    <w:p w:rsidR="004D52D1" w:rsidRDefault="00592C73">
      <w:pPr>
        <w:ind w:left="567"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53. </w:t>
      </w:r>
      <w:r>
        <w:rPr>
          <w:rFonts w:ascii="Palatino Linotype" w:eastAsia="Palatino Linotype" w:hAnsi="Palatino Linotype" w:cs="Palatino Linotype"/>
          <w:i/>
          <w:iCs/>
        </w:rPr>
        <w:t>Las Unidades de Transparencia tendrán las siguientes funciones:</w:t>
      </w:r>
    </w:p>
    <w:p w:rsidR="004D52D1" w:rsidRDefault="00592C73">
      <w:pP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4D52D1" w:rsidRDefault="00592C73">
      <w:pPr>
        <w:ind w:left="567"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Recibir, tramitar y dar respuesta a las solicitudes de acceso a la información;</w:t>
      </w:r>
    </w:p>
    <w:p w:rsidR="004D52D1" w:rsidRDefault="00592C73">
      <w:pP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4D52D1" w:rsidRDefault="00592C73">
      <w:pPr>
        <w:ind w:left="567"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IV.</w:t>
      </w:r>
      <w:r>
        <w:rPr>
          <w:rFonts w:ascii="Palatino Linotype" w:eastAsia="Palatino Linotype" w:hAnsi="Palatino Linotype" w:cs="Palatino Linotype"/>
          <w:i/>
          <w:iCs/>
        </w:rPr>
        <w:t xml:space="preserve"> Realizar, con efectividad, los trámites internos necesarios para la atención de las solicitudes de acceso a la información;</w:t>
      </w:r>
    </w:p>
    <w:p w:rsidR="004D52D1" w:rsidRDefault="00592C73">
      <w:pPr>
        <w:ind w:left="567"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w:t>
      </w:r>
      <w:r>
        <w:rPr>
          <w:rFonts w:ascii="Palatino Linotype" w:eastAsia="Palatino Linotype" w:hAnsi="Palatino Linotype" w:cs="Palatino Linotype"/>
          <w:i/>
          <w:iCs/>
        </w:rPr>
        <w:t xml:space="preserve"> Entregar, en su caso, a los particulares la información solicitada;</w:t>
      </w:r>
    </w:p>
    <w:p w:rsidR="004D52D1" w:rsidRDefault="00592C73">
      <w:pP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4D52D1" w:rsidRDefault="004D52D1">
      <w:pPr>
        <w:ind w:left="567" w:right="-989"/>
        <w:jc w:val="both"/>
        <w:rPr>
          <w:rFonts w:ascii="Palatino Linotype" w:eastAsia="Palatino Linotype" w:hAnsi="Palatino Linotype" w:cs="Palatino Linotype"/>
          <w:i/>
          <w:iCs/>
        </w:rPr>
      </w:pPr>
    </w:p>
    <w:p w:rsidR="004D52D1" w:rsidRDefault="00592C73">
      <w:pPr>
        <w:ind w:left="567"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58. </w:t>
      </w:r>
      <w:r>
        <w:rPr>
          <w:rFonts w:ascii="Palatino Linotype" w:eastAsia="Palatino Linotype" w:hAnsi="Palatino Linotype" w:cs="Palatino Linotype"/>
          <w:i/>
          <w:iCs/>
        </w:rPr>
        <w:t>Los servidores públicos habilitados serán designados por el titular del sujeto obligado a propuesta del responsable de la Unidad de Transparencia.</w:t>
      </w:r>
    </w:p>
    <w:p w:rsidR="004D52D1" w:rsidRDefault="004D52D1">
      <w:pPr>
        <w:ind w:left="567" w:right="-989"/>
        <w:jc w:val="both"/>
        <w:rPr>
          <w:rFonts w:ascii="Palatino Linotype" w:eastAsia="Palatino Linotype" w:hAnsi="Palatino Linotype" w:cs="Palatino Linotype"/>
          <w:i/>
          <w:iCs/>
        </w:rPr>
      </w:pPr>
    </w:p>
    <w:p w:rsidR="004D52D1" w:rsidRDefault="00592C73">
      <w:pPr>
        <w:ind w:left="567"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59. </w:t>
      </w:r>
      <w:r>
        <w:rPr>
          <w:rFonts w:ascii="Palatino Linotype" w:eastAsia="Palatino Linotype" w:hAnsi="Palatino Linotype" w:cs="Palatino Linotype"/>
          <w:i/>
          <w:iCs/>
        </w:rPr>
        <w:t>Los servidores públicos habilitados tendrán las funciones siguientes:</w:t>
      </w:r>
    </w:p>
    <w:p w:rsidR="004D52D1" w:rsidRDefault="004D52D1">
      <w:pPr>
        <w:ind w:left="567" w:right="-989"/>
        <w:jc w:val="both"/>
        <w:rPr>
          <w:rFonts w:ascii="Palatino Linotype" w:eastAsia="Palatino Linotype" w:hAnsi="Palatino Linotype" w:cs="Palatino Linotype"/>
          <w:i/>
          <w:iCs/>
        </w:rPr>
      </w:pPr>
    </w:p>
    <w:p w:rsidR="004D52D1" w:rsidRDefault="00592C73">
      <w:pPr>
        <w:ind w:left="567"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Localizar la información que le solicite la Unidad de Transparencia;</w:t>
      </w:r>
    </w:p>
    <w:p w:rsidR="004D52D1" w:rsidRDefault="00592C73">
      <w:pPr>
        <w:ind w:left="567"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Proporcionar la información que obre en los archivos y que le sea solicitada por la Unidad de Transparencia;</w:t>
      </w:r>
    </w:p>
    <w:p w:rsidR="004D52D1" w:rsidRDefault="00592C73">
      <w:pP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4D52D1" w:rsidRDefault="004D52D1">
      <w:pPr>
        <w:ind w:left="567" w:right="-989"/>
        <w:jc w:val="both"/>
        <w:rPr>
          <w:rFonts w:ascii="Palatino Linotype" w:eastAsia="Palatino Linotype" w:hAnsi="Palatino Linotype" w:cs="Palatino Linotype"/>
          <w:i/>
          <w:iCs/>
        </w:rPr>
      </w:pPr>
    </w:p>
    <w:p w:rsidR="004D52D1" w:rsidRDefault="00592C73">
      <w:pPr>
        <w:ind w:left="567"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162. </w:t>
      </w:r>
      <w:r>
        <w:rPr>
          <w:rFonts w:ascii="Palatino Linotype" w:eastAsia="Palatino Linotype" w:hAnsi="Palatino Linotype" w:cs="Palatino Linotype"/>
          <w:i/>
          <w:iCs/>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4D52D1" w:rsidRDefault="004D52D1">
      <w:pPr>
        <w:pBdr>
          <w:top w:val="nil"/>
          <w:left w:val="nil"/>
          <w:bottom w:val="nil"/>
          <w:right w:val="nil"/>
          <w:between w:val="nil"/>
        </w:pBdr>
        <w:ind w:left="720" w:right="-989"/>
        <w:rPr>
          <w:rFonts w:ascii="Palatino Linotype" w:eastAsia="Palatino Linotype" w:hAnsi="Palatino Linotype" w:cs="Palatino Linotype"/>
          <w:color w:val="000000"/>
        </w:rPr>
      </w:pPr>
    </w:p>
    <w:p w:rsidR="004D52D1" w:rsidRDefault="00592C73">
      <w:pPr>
        <w:numPr>
          <w:ilvl w:val="0"/>
          <w:numId w:val="7"/>
        </w:numPr>
        <w:pBdr>
          <w:top w:val="nil"/>
          <w:left w:val="nil"/>
          <w:bottom w:val="nil"/>
          <w:right w:val="nil"/>
          <w:between w:val="nil"/>
        </w:pBdr>
        <w:spacing w:line="360" w:lineRule="auto"/>
        <w:ind w:right="-989"/>
        <w:jc w:val="both"/>
        <w:rPr>
          <w:color w:val="000000"/>
        </w:rPr>
      </w:pPr>
      <w:r>
        <w:rPr>
          <w:rFonts w:ascii="Palatino Linotype" w:eastAsia="Palatino Linotype" w:hAnsi="Palatino Linotype" w:cs="Palatino Linotype"/>
          <w:color w:val="000000"/>
        </w:rPr>
        <w:t xml:space="preserve">De los artículos citados se desprende que las Unidades de Transparencia de los sujetos obligados son las encargadas de tramitar internamente las solicitudes de información y tienen, entre otras funciones, las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 </w:t>
      </w:r>
      <w:r>
        <w:rPr>
          <w:rFonts w:ascii="Palatino Linotype" w:eastAsia="Palatino Linotype" w:hAnsi="Palatino Linotype" w:cs="Palatino Linotype"/>
          <w:b/>
          <w:bCs/>
          <w:color w:val="000000"/>
        </w:rPr>
        <w:t xml:space="preserve">Por su parte, los servidores públicos habilitados </w:t>
      </w:r>
      <w:r>
        <w:rPr>
          <w:rFonts w:ascii="Palatino Linotype" w:eastAsia="Palatino Linotype" w:hAnsi="Palatino Linotype" w:cs="Palatino Linotype"/>
          <w:b/>
          <w:bCs/>
        </w:rPr>
        <w:t>auxiliará</w:t>
      </w:r>
      <w:r>
        <w:rPr>
          <w:rFonts w:ascii="Palatino Linotype" w:eastAsia="Palatino Linotype" w:hAnsi="Palatino Linotype" w:cs="Palatino Linotype"/>
          <w:b/>
          <w:bCs/>
          <w:color w:val="000000"/>
        </w:rPr>
        <w:t xml:space="preserve"> a las </w:t>
      </w:r>
      <w:r>
        <w:rPr>
          <w:rFonts w:ascii="Palatino Linotype" w:eastAsia="Palatino Linotype" w:hAnsi="Palatino Linotype" w:cs="Palatino Linotype"/>
          <w:b/>
          <w:bCs/>
          <w:color w:val="000000"/>
        </w:rPr>
        <w:lastRenderedPageBreak/>
        <w:t>Unidades de Transparencia localizando la información solicitada y proporcionando la misma que obre en sus archivos.</w:t>
      </w:r>
      <w:r>
        <w:rPr>
          <w:rFonts w:ascii="Palatino Linotype" w:eastAsia="Palatino Linotype" w:hAnsi="Palatino Linotype" w:cs="Palatino Linotype"/>
          <w:color w:val="000000"/>
        </w:rPr>
        <w:t xml:space="preserve"> Asimismo, </w:t>
      </w:r>
      <w:r>
        <w:rPr>
          <w:rFonts w:ascii="Palatino Linotype" w:eastAsia="Palatino Linotype" w:hAnsi="Palatino Linotype" w:cs="Palatino Linotype"/>
          <w:b/>
          <w:bCs/>
          <w:color w:val="000000"/>
        </w:rPr>
        <w:t>es una obligación de las Unidades de Transparencia turnar a todas las áreas que se consideren competentes para que realicen una búsqueda exhaustiva y razonable de la información solicitada</w:t>
      </w:r>
      <w:r>
        <w:rPr>
          <w:rFonts w:ascii="Palatino Linotype" w:eastAsia="Palatino Linotype" w:hAnsi="Palatino Linotype" w:cs="Palatino Linotype"/>
          <w:color w:val="000000"/>
        </w:rPr>
        <w:t xml:space="preserve"> a fin de que ésta sea entregada a los solicitantes.</w:t>
      </w:r>
    </w:p>
    <w:p w:rsidR="004D52D1" w:rsidRDefault="004D52D1">
      <w:pPr>
        <w:pBdr>
          <w:top w:val="nil"/>
          <w:left w:val="nil"/>
          <w:bottom w:val="nil"/>
          <w:right w:val="nil"/>
          <w:between w:val="nil"/>
        </w:pBdr>
        <w:ind w:left="720" w:right="-989"/>
        <w:rPr>
          <w:rFonts w:ascii="Palatino Linotype" w:eastAsia="Palatino Linotype" w:hAnsi="Palatino Linotype" w:cs="Palatino Linotype"/>
          <w:color w:val="000000"/>
        </w:rPr>
      </w:pPr>
    </w:p>
    <w:p w:rsidR="004D52D1" w:rsidRDefault="00592C73">
      <w:pPr>
        <w:numPr>
          <w:ilvl w:val="0"/>
          <w:numId w:val="7"/>
        </w:numPr>
        <w:pBdr>
          <w:top w:val="nil"/>
          <w:left w:val="nil"/>
          <w:bottom w:val="nil"/>
          <w:right w:val="nil"/>
          <w:between w:val="nil"/>
        </w:pBdr>
        <w:spacing w:line="360" w:lineRule="auto"/>
        <w:ind w:right="-989"/>
        <w:jc w:val="both"/>
        <w:rPr>
          <w:color w:val="000000"/>
        </w:rPr>
      </w:pPr>
      <w:r>
        <w:rPr>
          <w:rFonts w:ascii="Palatino Linotype" w:eastAsia="Palatino Linotype" w:hAnsi="Palatino Linotype" w:cs="Palatino Linotype"/>
          <w:color w:val="000000"/>
        </w:rPr>
        <w:t>Así, se debe entender que el trámite interno que se realice a las solicitudes de acceso a la información, es con el propósito de que se realice una búsqueda exhaustiva y razonable de la información entre sus archivos y, en su caso, se entregue la información de interés para el particular.</w:t>
      </w:r>
    </w:p>
    <w:p w:rsidR="004D52D1" w:rsidRDefault="004D52D1">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4D52D1" w:rsidRDefault="00592C73">
      <w:pPr>
        <w:numPr>
          <w:ilvl w:val="0"/>
          <w:numId w:val="7"/>
        </w:numPr>
        <w:pBdr>
          <w:top w:val="nil"/>
          <w:left w:val="nil"/>
          <w:bottom w:val="nil"/>
          <w:right w:val="nil"/>
          <w:between w:val="nil"/>
        </w:pBdr>
        <w:spacing w:line="360" w:lineRule="auto"/>
        <w:ind w:right="-989"/>
        <w:jc w:val="both"/>
        <w:rPr>
          <w:color w:val="000000"/>
        </w:rPr>
      </w:pPr>
      <w:r>
        <w:rPr>
          <w:rFonts w:ascii="Palatino Linotype" w:eastAsia="Palatino Linotype" w:hAnsi="Palatino Linotype" w:cs="Palatino Linotype"/>
          <w:color w:val="000000"/>
        </w:rPr>
        <w:t xml:space="preserve">En el caso que se resuelve, la respuesta fue emitida por el Director de Desarrollo Urbano y Metropolitano, Unidad Administrativa que de acuerdo a sus funciones y atribuciones cuenta con la información solicita; lo que advierte que fue turnada a la autoridad competente; sin embargo no garantizó el derecho de acceso a la información del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toda vez que solo se limitó a través de un acto jurídico posterior como lo es el informe justificado a remitir un link de consulta en datos cerrados y que además al transcribirlo en el buscador no dirige a la información solicitada, por tanto no cumple con lo establecido en los preceptos legales antes descritos.</w:t>
      </w:r>
    </w:p>
    <w:p w:rsidR="004D52D1" w:rsidRDefault="004D52D1">
      <w:pPr>
        <w:pBdr>
          <w:top w:val="nil"/>
          <w:left w:val="nil"/>
          <w:bottom w:val="nil"/>
          <w:right w:val="nil"/>
          <w:between w:val="nil"/>
        </w:pBdr>
        <w:ind w:left="720" w:right="-989"/>
        <w:rPr>
          <w:rFonts w:ascii="Palatino Linotype" w:eastAsia="Palatino Linotype" w:hAnsi="Palatino Linotype" w:cs="Palatino Linotype"/>
          <w:color w:val="000000"/>
        </w:rPr>
      </w:pPr>
    </w:p>
    <w:p w:rsidR="004D52D1" w:rsidRDefault="00592C73">
      <w:pPr>
        <w:numPr>
          <w:ilvl w:val="0"/>
          <w:numId w:val="7"/>
        </w:numPr>
        <w:pBdr>
          <w:top w:val="nil"/>
          <w:left w:val="nil"/>
          <w:bottom w:val="nil"/>
          <w:right w:val="nil"/>
          <w:between w:val="nil"/>
        </w:pBdr>
        <w:spacing w:line="360" w:lineRule="auto"/>
        <w:ind w:right="-989"/>
        <w:jc w:val="both"/>
        <w:rPr>
          <w:color w:val="000000"/>
        </w:rPr>
      </w:pPr>
      <w:r>
        <w:rPr>
          <w:rFonts w:ascii="Palatino Linotype" w:eastAsia="Palatino Linotype" w:hAnsi="Palatino Linotype" w:cs="Palatino Linotype"/>
          <w:color w:val="000000"/>
        </w:rPr>
        <w:t xml:space="preserve">Así mismo, es preciso señalar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refirió que el Plan de referencia no tuvo modificaciones durante el año 2025, lo que advierte que no existen documentos, dictámenes, estudios y/o técnicas que sustenten modificaciones tal como lo requiere el particular; sin embargo existió pronunciamiento, por tanto colma estos puntos de la </w:t>
      </w:r>
      <w:r>
        <w:rPr>
          <w:rFonts w:ascii="Palatino Linotype" w:eastAsia="Palatino Linotype" w:hAnsi="Palatino Linotype" w:cs="Palatino Linotype"/>
        </w:rPr>
        <w:t>solicitud</w:t>
      </w:r>
      <w:r>
        <w:rPr>
          <w:rFonts w:ascii="Palatino Linotype" w:eastAsia="Palatino Linotype" w:hAnsi="Palatino Linotype" w:cs="Palatino Linotype"/>
          <w:color w:val="000000"/>
        </w:rPr>
        <w:t xml:space="preserve">. </w:t>
      </w:r>
    </w:p>
    <w:p w:rsidR="004D52D1" w:rsidRDefault="00592C73">
      <w:pPr>
        <w:numPr>
          <w:ilvl w:val="0"/>
          <w:numId w:val="7"/>
        </w:numPr>
        <w:spacing w:line="360" w:lineRule="auto"/>
        <w:ind w:right="-989"/>
        <w:jc w:val="both"/>
      </w:pPr>
      <w:bookmarkStart w:id="8" w:name="_heading=h.5dornwn7qyg5" w:colFirst="0" w:colLast="0"/>
      <w:bookmarkEnd w:id="8"/>
      <w:r>
        <w:rPr>
          <w:rFonts w:ascii="Palatino Linotype" w:eastAsia="Palatino Linotype" w:hAnsi="Palatino Linotype" w:cs="Palatino Linotype"/>
          <w:color w:val="000000"/>
        </w:rPr>
        <w:lastRenderedPageBreak/>
        <w:t xml:space="preserve">Por lo anterior, es menester referir que este Instituto no se encuentra facultado para dudar de la veracidad de la </w:t>
      </w:r>
      <w:r>
        <w:rPr>
          <w:rFonts w:ascii="Palatino Linotype" w:eastAsia="Palatino Linotype" w:hAnsi="Palatino Linotype" w:cs="Palatino Linotype"/>
        </w:rPr>
        <w:t>información</w:t>
      </w:r>
      <w:r>
        <w:rPr>
          <w:rFonts w:ascii="Palatino Linotype" w:eastAsia="Palatino Linotype" w:hAnsi="Palatino Linotype" w:cs="Palatino Linotype"/>
          <w:color w:val="000000"/>
        </w:rPr>
        <w:t xml:space="preserve"> que le fue entregada al hoy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en el presente asunto, ni de las respuestas, ni de las documentales que ponen a disposición de los solicitantes los sujetos obligados, </w:t>
      </w:r>
      <w:r>
        <w:rPr>
          <w:rFonts w:ascii="Palatino Linotype" w:eastAsia="Palatino Linotype" w:hAnsi="Palatino Linotype" w:cs="Palatino Linotype"/>
        </w:rPr>
        <w:t xml:space="preserve">situación que se aleja de las atribuciones de este Instituto </w:t>
      </w:r>
      <w:r>
        <w:rPr>
          <w:rFonts w:ascii="Palatino Linotype" w:eastAsia="Palatino Linotype" w:hAnsi="Palatino Linotype" w:cs="Palatino Linotype"/>
          <w:i/>
          <w:iCs/>
          <w:color w:val="000000"/>
        </w:rPr>
        <w:t>máxime</w:t>
      </w:r>
      <w:r>
        <w:rPr>
          <w:rFonts w:ascii="Palatino Linotype" w:eastAsia="Palatino Linotype" w:hAnsi="Palatino Linotype" w:cs="Palatino Linotype"/>
          <w:color w:val="000000"/>
        </w:rPr>
        <w:t xml:space="preserve"> que al momento que ponen a disposición ésta, la misma tiene el carácter oficial y se presume veraz, tan es así que la misma queda registrada en el Sistema de Acceso a la Información Mexiquense (SAIMEX).</w:t>
      </w:r>
    </w:p>
    <w:p w:rsidR="004D52D1" w:rsidRDefault="004D52D1">
      <w:pPr>
        <w:pBdr>
          <w:top w:val="nil"/>
          <w:left w:val="nil"/>
          <w:bottom w:val="nil"/>
          <w:right w:val="nil"/>
          <w:between w:val="nil"/>
        </w:pBdr>
        <w:spacing w:line="360" w:lineRule="auto"/>
        <w:ind w:left="720" w:right="-989"/>
        <w:rPr>
          <w:rFonts w:ascii="Palatino Linotype" w:eastAsia="Palatino Linotype" w:hAnsi="Palatino Linotype" w:cs="Palatino Linotype"/>
          <w:color w:val="000000"/>
        </w:rPr>
      </w:pPr>
    </w:p>
    <w:p w:rsidR="004D52D1" w:rsidRDefault="00592C73">
      <w:pPr>
        <w:numPr>
          <w:ilvl w:val="0"/>
          <w:numId w:val="7"/>
        </w:numPr>
        <w:spacing w:line="360" w:lineRule="auto"/>
        <w:ind w:right="-989"/>
        <w:jc w:val="both"/>
      </w:pPr>
      <w:r>
        <w:rPr>
          <w:rFonts w:ascii="Palatino Linotype" w:eastAsia="Palatino Linotype" w:hAnsi="Palatino Linotype" w:cs="Palatino Linotype"/>
        </w:rPr>
        <w:t xml:space="preserve">Sirviendo de apoyo a lo anterior por analogía, el criterio 31-10 emitido por el entonces Instituto </w:t>
      </w:r>
      <w:r>
        <w:rPr>
          <w:rFonts w:ascii="Palatino Linotype" w:eastAsia="Palatino Linotype" w:hAnsi="Palatino Linotype" w:cs="Palatino Linotype"/>
          <w:color w:val="000000"/>
        </w:rPr>
        <w:t>Nacional</w:t>
      </w:r>
      <w:r>
        <w:rPr>
          <w:rFonts w:ascii="Palatino Linotype" w:eastAsia="Palatino Linotype" w:hAnsi="Palatino Linotype" w:cs="Palatino Linotype"/>
        </w:rPr>
        <w:t xml:space="preserve"> de Transparencia, Acceso a la Información y Protección de Datos Personales, que a la letra dice:</w:t>
      </w:r>
    </w:p>
    <w:p w:rsidR="004D52D1" w:rsidRDefault="00592C73">
      <w:pPr>
        <w:pBdr>
          <w:top w:val="nil"/>
          <w:left w:val="nil"/>
          <w:bottom w:val="nil"/>
          <w:right w:val="nil"/>
          <w:between w:val="nil"/>
        </w:pBdr>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Instituto Federal de Acceso a la Información y Protección de Datos </w:t>
      </w:r>
      <w:r>
        <w:rPr>
          <w:rFonts w:ascii="Palatino Linotype" w:eastAsia="Palatino Linotype" w:hAnsi="Palatino Linotype" w:cs="Palatino Linotype"/>
          <w:b/>
          <w:bCs/>
          <w:i/>
          <w:iCs/>
          <w:color w:val="000000"/>
        </w:rPr>
        <w:t>no cuenta con facultades para pronunciarse respecto de la veracidad de los documentos proporcionados por los sujetos obligados.</w:t>
      </w:r>
      <w:r>
        <w:rPr>
          <w:rFonts w:ascii="Palatino Linotype" w:eastAsia="Palatino Linotype" w:hAnsi="Palatino Linotype" w:cs="Palatino Linotype"/>
          <w:i/>
          <w:iCs/>
          <w:color w:val="000000"/>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rsidR="004D52D1" w:rsidRDefault="004D52D1">
      <w:pPr>
        <w:pBdr>
          <w:top w:val="nil"/>
          <w:left w:val="nil"/>
          <w:bottom w:val="nil"/>
          <w:right w:val="nil"/>
          <w:between w:val="nil"/>
        </w:pBdr>
        <w:spacing w:line="360" w:lineRule="auto"/>
        <w:ind w:left="851" w:right="-989"/>
        <w:jc w:val="both"/>
        <w:rPr>
          <w:rFonts w:ascii="Palatino Linotype" w:eastAsia="Palatino Linotype" w:hAnsi="Palatino Linotype" w:cs="Palatino Linotype"/>
          <w:i/>
          <w:iCs/>
          <w:color w:val="000000"/>
        </w:rPr>
      </w:pPr>
    </w:p>
    <w:p w:rsidR="004D52D1" w:rsidRDefault="00592C73">
      <w:pPr>
        <w:numPr>
          <w:ilvl w:val="0"/>
          <w:numId w:val="7"/>
        </w:numPr>
        <w:spacing w:line="360" w:lineRule="auto"/>
        <w:ind w:right="-989"/>
        <w:jc w:val="both"/>
      </w:pPr>
      <w:r>
        <w:rPr>
          <w:rFonts w:ascii="Palatino Linotype" w:eastAsia="Palatino Linotype" w:hAnsi="Palatino Linotype" w:cs="Palatino Linotype"/>
        </w:rPr>
        <w:t xml:space="preserve">Así como lo dispuesto por la </w:t>
      </w:r>
      <w:r>
        <w:rPr>
          <w:rFonts w:ascii="Palatino Linotype" w:eastAsia="Palatino Linotype" w:hAnsi="Palatino Linotype" w:cs="Palatino Linotype"/>
          <w:b/>
          <w:bCs/>
        </w:rPr>
        <w:t xml:space="preserve">Ley de Transparencia y Acceso a la Información Pública del </w:t>
      </w:r>
      <w:r>
        <w:rPr>
          <w:rFonts w:ascii="Palatino Linotype" w:eastAsia="Palatino Linotype" w:hAnsi="Palatino Linotype" w:cs="Palatino Linotype"/>
          <w:color w:val="000000"/>
        </w:rPr>
        <w:t>Estado</w:t>
      </w:r>
      <w:r>
        <w:rPr>
          <w:rFonts w:ascii="Palatino Linotype" w:eastAsia="Palatino Linotype" w:hAnsi="Palatino Linotype" w:cs="Palatino Linotype"/>
          <w:b/>
          <w:bCs/>
        </w:rPr>
        <w:t xml:space="preserve"> de México y Municipios</w:t>
      </w:r>
      <w:r>
        <w:rPr>
          <w:rFonts w:ascii="Palatino Linotype" w:eastAsia="Palatino Linotype" w:hAnsi="Palatino Linotype" w:cs="Palatino Linotype"/>
        </w:rPr>
        <w:t xml:space="preserve"> en su artículo 3, el cual establece que la información pública generada, administrada o en posesión de los sujetos obligados en ejercicio de sus atribuciones, será accesible de manera permanente a cualquier persona, privilegiando el </w:t>
      </w:r>
      <w:r>
        <w:rPr>
          <w:rFonts w:ascii="Palatino Linotype" w:eastAsia="Palatino Linotype" w:hAnsi="Palatino Linotype" w:cs="Palatino Linotype"/>
        </w:rPr>
        <w:lastRenderedPageBreak/>
        <w:t>principio de máxima publicidad de la información, por lo que deberán apegarse en todo momento a los criterios de publicidad, veracidad, oportunidad entre otros, numeral en comento que a la letra señala:</w:t>
      </w:r>
    </w:p>
    <w:p w:rsidR="004D52D1" w:rsidRDefault="00592C73">
      <w:pPr>
        <w:pBdr>
          <w:top w:val="nil"/>
          <w:left w:val="nil"/>
          <w:bottom w:val="nil"/>
          <w:right w:val="nil"/>
          <w:between w:val="nil"/>
        </w:pBdr>
        <w:tabs>
          <w:tab w:val="left" w:pos="7938"/>
        </w:tabs>
        <w:ind w:left="1134" w:right="-98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Pr>
          <w:rFonts w:ascii="Palatino Linotype" w:eastAsia="Palatino Linotype" w:hAnsi="Palatino Linotype" w:cs="Palatino Linotype"/>
          <w:b/>
          <w:bCs/>
          <w:i/>
          <w:iCs/>
          <w:color w:val="000000"/>
        </w:rPr>
        <w:t>Los Sujetos Obligados deben poner en práctica, políticas y programas de acceso a la información que se apeguen a criterios de publicidad, veracidad, oportunidad, precisión y suficiencia en beneficio de los solicitantes.</w:t>
      </w:r>
    </w:p>
    <w:p w:rsidR="004D52D1" w:rsidRDefault="004D52D1">
      <w:pPr>
        <w:pBdr>
          <w:top w:val="nil"/>
          <w:left w:val="nil"/>
          <w:bottom w:val="nil"/>
          <w:right w:val="nil"/>
          <w:between w:val="nil"/>
        </w:pBdr>
        <w:spacing w:line="360" w:lineRule="auto"/>
        <w:ind w:left="567" w:right="-989"/>
        <w:jc w:val="both"/>
        <w:rPr>
          <w:rFonts w:ascii="Palatino Linotype" w:eastAsia="Palatino Linotype" w:hAnsi="Palatino Linotype" w:cs="Palatino Linotype"/>
          <w:b/>
          <w:bCs/>
          <w:i/>
          <w:iCs/>
          <w:color w:val="000000"/>
        </w:rPr>
      </w:pPr>
    </w:p>
    <w:p w:rsidR="004D52D1" w:rsidRDefault="00592C73">
      <w:pPr>
        <w:numPr>
          <w:ilvl w:val="0"/>
          <w:numId w:val="7"/>
        </w:numPr>
        <w:spacing w:line="360" w:lineRule="auto"/>
        <w:ind w:right="-989"/>
        <w:jc w:val="both"/>
        <w:rPr>
          <w:color w:val="000000"/>
        </w:rPr>
      </w:pPr>
      <w:r>
        <w:rPr>
          <w:rFonts w:ascii="Palatino Linotype" w:eastAsia="Palatino Linotype" w:hAnsi="Palatino Linotype" w:cs="Palatino Linotype"/>
        </w:rPr>
        <w:t xml:space="preserve">Numerales que compelen al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apegarse en todo momento a los criterios ya expuestos, impidiendo a este Órgano Colegiado cuestionar la veracidad de la información.</w:t>
      </w:r>
    </w:p>
    <w:p w:rsidR="004D52D1" w:rsidRDefault="004D52D1">
      <w:pPr>
        <w:pBdr>
          <w:top w:val="nil"/>
          <w:left w:val="nil"/>
          <w:bottom w:val="nil"/>
          <w:right w:val="nil"/>
          <w:between w:val="nil"/>
        </w:pBdr>
        <w:ind w:left="720" w:right="-989"/>
        <w:rPr>
          <w:rFonts w:ascii="Palatino Linotype" w:eastAsia="Palatino Linotype" w:hAnsi="Palatino Linotype" w:cs="Palatino Linotype"/>
          <w:color w:val="000000"/>
        </w:rPr>
      </w:pPr>
    </w:p>
    <w:p w:rsidR="004D52D1" w:rsidRDefault="00592C73">
      <w:pPr>
        <w:numPr>
          <w:ilvl w:val="0"/>
          <w:numId w:val="10"/>
        </w:numPr>
        <w:pBdr>
          <w:top w:val="nil"/>
          <w:left w:val="nil"/>
          <w:bottom w:val="nil"/>
          <w:right w:val="nil"/>
          <w:between w:val="nil"/>
        </w:pBdr>
        <w:ind w:right="-98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Plan Municipal de Desarrollo Urbano</w:t>
      </w:r>
    </w:p>
    <w:p w:rsidR="004D52D1" w:rsidRDefault="004D52D1">
      <w:pPr>
        <w:pBdr>
          <w:top w:val="nil"/>
          <w:left w:val="nil"/>
          <w:bottom w:val="nil"/>
          <w:right w:val="nil"/>
          <w:between w:val="nil"/>
        </w:pBdr>
        <w:ind w:left="720" w:right="-989"/>
        <w:rPr>
          <w:rFonts w:ascii="Palatino Linotype" w:eastAsia="Palatino Linotype" w:hAnsi="Palatino Linotype" w:cs="Palatino Linotype"/>
          <w:color w:val="000000"/>
        </w:rPr>
      </w:pPr>
    </w:p>
    <w:p w:rsidR="004D52D1" w:rsidRDefault="00592C73">
      <w:pPr>
        <w:numPr>
          <w:ilvl w:val="0"/>
          <w:numId w:val="7"/>
        </w:numPr>
        <w:pBdr>
          <w:top w:val="nil"/>
          <w:left w:val="nil"/>
          <w:bottom w:val="nil"/>
          <w:right w:val="nil"/>
          <w:between w:val="nil"/>
        </w:pBdr>
        <w:spacing w:line="360" w:lineRule="auto"/>
        <w:ind w:right="-989"/>
        <w:jc w:val="both"/>
        <w:rPr>
          <w:color w:val="000000"/>
        </w:rPr>
      </w:pPr>
      <w:r>
        <w:rPr>
          <w:rFonts w:ascii="Palatino Linotype" w:eastAsia="Palatino Linotype" w:hAnsi="Palatino Linotype" w:cs="Palatino Linotype"/>
          <w:color w:val="000000"/>
        </w:rPr>
        <w:t>Precisado lo anterior, y en atención a los requerimientos planteados por el particular, es preciso señalar que el Plan Municipal de Desarrollo Urbano y Metropolitano es el instrumento que contiene las disposiciones jurídicas para planear y regular el ordenamiento de los asentamientos humanos en el territorio municipal, el cual tiene objeto establecer políticas, estrategias y  objetivos para el desarrollo urbano del territorio municipal, mediante la determinación de la zonificación, destinos y normas de uso y aprovechamiento de suelo; así como las acciones de conservación, mejoramiento y crecimiento de los centros de población.</w:t>
      </w:r>
    </w:p>
    <w:p w:rsidR="004D52D1" w:rsidRDefault="004D52D1">
      <w:pPr>
        <w:pBdr>
          <w:top w:val="nil"/>
          <w:left w:val="nil"/>
          <w:bottom w:val="nil"/>
          <w:right w:val="nil"/>
          <w:between w:val="nil"/>
        </w:pBdr>
        <w:ind w:left="720" w:right="-989"/>
        <w:rPr>
          <w:rFonts w:ascii="Palatino Linotype" w:eastAsia="Palatino Linotype" w:hAnsi="Palatino Linotype" w:cs="Palatino Linotype"/>
          <w:color w:val="000000"/>
        </w:rPr>
      </w:pPr>
    </w:p>
    <w:p w:rsidR="004D52D1" w:rsidRDefault="00592C73">
      <w:pPr>
        <w:numPr>
          <w:ilvl w:val="0"/>
          <w:numId w:val="7"/>
        </w:numPr>
        <w:pBdr>
          <w:top w:val="nil"/>
          <w:left w:val="nil"/>
          <w:bottom w:val="nil"/>
          <w:right w:val="nil"/>
          <w:between w:val="nil"/>
        </w:pBdr>
        <w:spacing w:line="360" w:lineRule="auto"/>
        <w:ind w:right="-989"/>
        <w:jc w:val="both"/>
        <w:rPr>
          <w:color w:val="000000"/>
        </w:rPr>
      </w:pPr>
      <w:r>
        <w:rPr>
          <w:rFonts w:ascii="Palatino Linotype" w:eastAsia="Palatino Linotype" w:hAnsi="Palatino Linotype" w:cs="Palatino Linotype"/>
          <w:color w:val="000000"/>
        </w:rPr>
        <w:t xml:space="preserve">En continuidad se señala que dichos documentos identifican los proyectos, obras y acciones regionales en materia de desarrollo urbano, vialidad, transporte, infraestructura </w:t>
      </w:r>
      <w:r>
        <w:rPr>
          <w:rFonts w:ascii="Palatino Linotype" w:eastAsia="Palatino Linotype" w:hAnsi="Palatino Linotype" w:cs="Palatino Linotype"/>
          <w:color w:val="000000"/>
        </w:rPr>
        <w:lastRenderedPageBreak/>
        <w:t>hidráulica, sanitaria y eléctrica, equipamiento regional, desarrollo económico y de protección y conservación del medio ambiente, do</w:t>
      </w:r>
      <w:r w:rsidR="00BA4669">
        <w:rPr>
          <w:rFonts w:ascii="Palatino Linotype" w:eastAsia="Palatino Linotype" w:hAnsi="Palatino Linotype" w:cs="Palatino Linotype"/>
          <w:color w:val="000000"/>
        </w:rPr>
        <w:t>nde además se señalan los plazos</w:t>
      </w:r>
      <w:r>
        <w:rPr>
          <w:rFonts w:ascii="Palatino Linotype" w:eastAsia="Palatino Linotype" w:hAnsi="Palatino Linotype" w:cs="Palatino Linotype"/>
          <w:color w:val="000000"/>
        </w:rPr>
        <w:t xml:space="preserve"> y los recursos necesarios para su ejecución. </w:t>
      </w:r>
    </w:p>
    <w:p w:rsidR="004D52D1" w:rsidRDefault="004D52D1">
      <w:pPr>
        <w:pBdr>
          <w:top w:val="nil"/>
          <w:left w:val="nil"/>
          <w:bottom w:val="nil"/>
          <w:right w:val="nil"/>
          <w:between w:val="nil"/>
        </w:pBdr>
        <w:ind w:left="720" w:right="-989"/>
        <w:rPr>
          <w:rFonts w:ascii="Palatino Linotype" w:eastAsia="Palatino Linotype" w:hAnsi="Palatino Linotype" w:cs="Palatino Linotype"/>
          <w:color w:val="000000"/>
        </w:rPr>
      </w:pPr>
    </w:p>
    <w:p w:rsidR="004D52D1" w:rsidRDefault="00592C73">
      <w:pPr>
        <w:numPr>
          <w:ilvl w:val="0"/>
          <w:numId w:val="7"/>
        </w:numPr>
        <w:pBdr>
          <w:top w:val="nil"/>
          <w:left w:val="nil"/>
          <w:bottom w:val="nil"/>
          <w:right w:val="nil"/>
          <w:between w:val="nil"/>
        </w:pBdr>
        <w:spacing w:line="360" w:lineRule="auto"/>
        <w:ind w:right="-989"/>
        <w:jc w:val="both"/>
        <w:rPr>
          <w:color w:val="000000"/>
        </w:rPr>
      </w:pPr>
      <w:r>
        <w:rPr>
          <w:rFonts w:ascii="Palatino Linotype" w:eastAsia="Palatino Linotype" w:hAnsi="Palatino Linotype" w:cs="Palatino Linotype"/>
          <w:color w:val="000000"/>
        </w:rPr>
        <w:t>Así mismo, es de suma importancia referir que existen normatividad que establece el contenido y metodología para la elaboración o modificación del Plan de Desarrollo Municipal como los:</w:t>
      </w:r>
    </w:p>
    <w:p w:rsidR="004D52D1" w:rsidRDefault="003B002E">
      <w:pPr>
        <w:numPr>
          <w:ilvl w:val="0"/>
          <w:numId w:val="9"/>
        </w:num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hyperlink r:id="rId11">
        <w:r w:rsidR="00592C73">
          <w:rPr>
            <w:rFonts w:ascii="Palatino Linotype" w:eastAsia="Palatino Linotype" w:hAnsi="Palatino Linotype" w:cs="Palatino Linotype"/>
            <w:color w:val="000000"/>
          </w:rPr>
          <w:t>Lineamientos Normativos que integran el contenido para la elaboración o modificación de los Planes Municipales de Desarrollo Urbano</w:t>
        </w:r>
      </w:hyperlink>
    </w:p>
    <w:p w:rsidR="004D52D1" w:rsidRDefault="003B002E">
      <w:pPr>
        <w:numPr>
          <w:ilvl w:val="0"/>
          <w:numId w:val="9"/>
        </w:numPr>
        <w:pBdr>
          <w:top w:val="nil"/>
          <w:left w:val="nil"/>
          <w:bottom w:val="nil"/>
          <w:right w:val="nil"/>
          <w:between w:val="nil"/>
        </w:pBdr>
        <w:spacing w:after="280" w:line="360" w:lineRule="auto"/>
        <w:ind w:right="-989"/>
        <w:jc w:val="both"/>
        <w:rPr>
          <w:rFonts w:ascii="Palatino Linotype" w:eastAsia="Palatino Linotype" w:hAnsi="Palatino Linotype" w:cs="Palatino Linotype"/>
          <w:color w:val="000000"/>
        </w:rPr>
      </w:pPr>
      <w:hyperlink r:id="rId12">
        <w:r w:rsidR="00592C73">
          <w:rPr>
            <w:rFonts w:ascii="Palatino Linotype" w:eastAsia="Palatino Linotype" w:hAnsi="Palatino Linotype" w:cs="Palatino Linotype"/>
            <w:color w:val="000000"/>
          </w:rPr>
          <w:t>Metodología para la formulación del Pronóstico en la elaboración o modificación de los Planes Municipales de Desarrollo Urbano</w:t>
        </w:r>
      </w:hyperlink>
    </w:p>
    <w:p w:rsidR="004D52D1" w:rsidRDefault="00592C73">
      <w:pPr>
        <w:numPr>
          <w:ilvl w:val="0"/>
          <w:numId w:val="7"/>
        </w:numPr>
        <w:pBdr>
          <w:top w:val="nil"/>
          <w:left w:val="nil"/>
          <w:bottom w:val="nil"/>
          <w:right w:val="nil"/>
          <w:between w:val="nil"/>
        </w:pBdr>
        <w:spacing w:line="360" w:lineRule="auto"/>
        <w:ind w:right="-989"/>
        <w:jc w:val="both"/>
        <w:rPr>
          <w:color w:val="000000"/>
        </w:rPr>
      </w:pPr>
      <w:r>
        <w:rPr>
          <w:rFonts w:ascii="Palatino Linotype" w:eastAsia="Palatino Linotype" w:hAnsi="Palatino Linotype" w:cs="Palatino Linotype"/>
          <w:color w:val="000000"/>
        </w:rPr>
        <w:t xml:space="preserve">Cabe precisar que los lineamientos normativos, </w:t>
      </w:r>
      <w:r>
        <w:rPr>
          <w:rFonts w:ascii="Palatino Linotype" w:eastAsia="Palatino Linotype" w:hAnsi="Palatino Linotype" w:cs="Palatino Linotype"/>
        </w:rPr>
        <w:t>establecen</w:t>
      </w:r>
      <w:r>
        <w:rPr>
          <w:rFonts w:ascii="Palatino Linotype" w:eastAsia="Palatino Linotype" w:hAnsi="Palatino Linotype" w:cs="Palatino Linotype"/>
          <w:color w:val="000000"/>
        </w:rPr>
        <w:t xml:space="preserve"> el contenido mínimo para la elaboración o modificación, con el propósito de contar con una guía que asegure su alienación con el marco legal vigente y así garantizar la eficacia como instrumento de planeación territorial.</w:t>
      </w:r>
    </w:p>
    <w:p w:rsidR="004D52D1" w:rsidRDefault="004D52D1">
      <w:pPr>
        <w:pBdr>
          <w:top w:val="nil"/>
          <w:left w:val="nil"/>
          <w:bottom w:val="nil"/>
          <w:right w:val="nil"/>
          <w:between w:val="nil"/>
        </w:pBdr>
        <w:ind w:left="720" w:right="-989"/>
        <w:rPr>
          <w:rFonts w:ascii="Palatino Linotype" w:eastAsia="Palatino Linotype" w:hAnsi="Palatino Linotype" w:cs="Palatino Linotype"/>
          <w:color w:val="000000"/>
        </w:rPr>
      </w:pPr>
    </w:p>
    <w:p w:rsidR="004D52D1" w:rsidRDefault="00592C73">
      <w:pPr>
        <w:numPr>
          <w:ilvl w:val="0"/>
          <w:numId w:val="7"/>
        </w:numPr>
        <w:pBdr>
          <w:top w:val="nil"/>
          <w:left w:val="nil"/>
          <w:bottom w:val="nil"/>
          <w:right w:val="nil"/>
          <w:between w:val="nil"/>
        </w:pBdr>
        <w:spacing w:line="360" w:lineRule="auto"/>
        <w:ind w:right="-989"/>
        <w:jc w:val="both"/>
        <w:rPr>
          <w:color w:val="000000"/>
        </w:rPr>
      </w:pPr>
      <w:r>
        <w:rPr>
          <w:rFonts w:ascii="Palatino Linotype" w:eastAsia="Palatino Linotype" w:hAnsi="Palatino Linotype" w:cs="Palatino Linotype"/>
          <w:color w:val="000000"/>
        </w:rPr>
        <w:t xml:space="preserve">Mientras que la metodología para la formulación del </w:t>
      </w:r>
      <w:r>
        <w:rPr>
          <w:rFonts w:ascii="Palatino Linotype" w:eastAsia="Palatino Linotype" w:hAnsi="Palatino Linotype" w:cs="Palatino Linotype"/>
        </w:rPr>
        <w:t>Pronóstico</w:t>
      </w:r>
      <w:r>
        <w:rPr>
          <w:rFonts w:ascii="Palatino Linotype" w:eastAsia="Palatino Linotype" w:hAnsi="Palatino Linotype" w:cs="Palatino Linotype"/>
          <w:color w:val="000000"/>
        </w:rPr>
        <w:t xml:space="preserve"> en la elaboración o modificación de los Planes constituye una herramientas estratégica para la toma de decisiones en los instrumentos de planeación, donde su formulación robustece la capacidad de las instituciones municipales y responde las necesidades actuales como los requerimientos futuros de la población, por tanto permite analizar y proyectar las tendencias de crecimiento y requerimientos territoriales conforme a lo establecido en el artículo 30 del Reglamento del Libro Quinto del Estado de México, que a la letra refiere:</w:t>
      </w:r>
    </w:p>
    <w:p w:rsidR="004D52D1" w:rsidRDefault="00592C73">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DEL CONTENIDO DE LOS PLANES </w:t>
      </w:r>
    </w:p>
    <w:p w:rsidR="004D52D1" w:rsidRDefault="004D52D1">
      <w:pPr>
        <w:pBdr>
          <w:top w:val="nil"/>
          <w:left w:val="nil"/>
          <w:bottom w:val="nil"/>
          <w:right w:val="nil"/>
          <w:between w:val="nil"/>
        </w:pBdr>
        <w:ind w:left="567" w:right="-989"/>
        <w:jc w:val="both"/>
        <w:rPr>
          <w:rFonts w:ascii="Palatino Linotype" w:eastAsia="Palatino Linotype" w:hAnsi="Palatino Linotype" w:cs="Palatino Linotype"/>
          <w:i/>
          <w:iCs/>
          <w:color w:val="000000"/>
        </w:rPr>
      </w:pPr>
    </w:p>
    <w:p w:rsidR="004D52D1" w:rsidRDefault="00592C73">
      <w:pPr>
        <w:pBdr>
          <w:top w:val="nil"/>
          <w:left w:val="nil"/>
          <w:bottom w:val="nil"/>
          <w:right w:val="nil"/>
          <w:between w:val="nil"/>
        </w:pBdr>
        <w:ind w:left="567"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30. Los planes municipales de desarrollo urbano y los parciales de competencia municipal, deberán contener, como mínimo, lo siguiente: </w:t>
      </w:r>
    </w:p>
    <w:p w:rsidR="004D52D1" w:rsidRDefault="00592C73">
      <w:pPr>
        <w:pBdr>
          <w:top w:val="nil"/>
          <w:left w:val="nil"/>
          <w:bottom w:val="nil"/>
          <w:right w:val="nil"/>
          <w:between w:val="nil"/>
        </w:pBdr>
        <w:ind w:left="567" w:right="-98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 Introducción; </w:t>
      </w:r>
    </w:p>
    <w:p w:rsidR="004D52D1" w:rsidRDefault="00592C73">
      <w:pPr>
        <w:pBdr>
          <w:top w:val="nil"/>
          <w:left w:val="nil"/>
          <w:bottom w:val="nil"/>
          <w:right w:val="nil"/>
          <w:between w:val="nil"/>
        </w:pBdr>
        <w:ind w:left="567" w:right="-98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II. Propósitos y alcances del plan: </w:t>
      </w:r>
    </w:p>
    <w:p w:rsidR="004D52D1" w:rsidRDefault="00592C73">
      <w:pPr>
        <w:pBdr>
          <w:top w:val="nil"/>
          <w:left w:val="nil"/>
          <w:bottom w:val="nil"/>
          <w:right w:val="nil"/>
          <w:between w:val="nil"/>
        </w:pBdr>
        <w:ind w:left="567" w:right="-989" w:firstLine="15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 Finalidad del plan; </w:t>
      </w:r>
    </w:p>
    <w:p w:rsidR="004D52D1" w:rsidRDefault="00592C73">
      <w:pPr>
        <w:pBdr>
          <w:top w:val="nil"/>
          <w:left w:val="nil"/>
          <w:bottom w:val="nil"/>
          <w:right w:val="nil"/>
          <w:between w:val="nil"/>
        </w:pBdr>
        <w:ind w:left="567" w:right="-989" w:firstLine="15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B) Evaluación del plan vigente en su caso, y</w:t>
      </w:r>
    </w:p>
    <w:p w:rsidR="004D52D1" w:rsidRDefault="00592C73">
      <w:pPr>
        <w:pBdr>
          <w:top w:val="nil"/>
          <w:left w:val="nil"/>
          <w:bottom w:val="nil"/>
          <w:right w:val="nil"/>
          <w:between w:val="nil"/>
        </w:pBdr>
        <w:ind w:left="720"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 Los límites territoriales del municipio conforme a lo establecido en la división político administrativa del Estado de México, como lo determina la Ley Orgánica Municipal del Estado de México.</w:t>
      </w:r>
    </w:p>
    <w:p w:rsidR="004D52D1" w:rsidRDefault="00592C73">
      <w:pPr>
        <w:pBdr>
          <w:top w:val="nil"/>
          <w:left w:val="nil"/>
          <w:bottom w:val="nil"/>
          <w:right w:val="nil"/>
          <w:between w:val="nil"/>
        </w:pBdr>
        <w:ind w:left="567" w:right="-98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III. Marco jurídico;</w:t>
      </w:r>
    </w:p>
    <w:p w:rsidR="004D52D1" w:rsidRDefault="00592C73">
      <w:pPr>
        <w:pBdr>
          <w:top w:val="nil"/>
          <w:left w:val="nil"/>
          <w:bottom w:val="nil"/>
          <w:right w:val="nil"/>
          <w:between w:val="nil"/>
        </w:pBdr>
        <w:ind w:left="567" w:right="-98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IV. Congruencia con otros niveles de planeación: </w:t>
      </w:r>
    </w:p>
    <w:p w:rsidR="004D52D1" w:rsidRDefault="00592C73">
      <w:pPr>
        <w:pBdr>
          <w:top w:val="nil"/>
          <w:left w:val="nil"/>
          <w:bottom w:val="nil"/>
          <w:right w:val="nil"/>
          <w:between w:val="nil"/>
        </w:pBdr>
        <w:ind w:left="567" w:right="-989" w:firstLine="152"/>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 Federales; </w:t>
      </w:r>
    </w:p>
    <w:p w:rsidR="004D52D1" w:rsidRDefault="00592C73">
      <w:pPr>
        <w:pBdr>
          <w:top w:val="nil"/>
          <w:left w:val="nil"/>
          <w:bottom w:val="nil"/>
          <w:right w:val="nil"/>
          <w:between w:val="nil"/>
        </w:pBdr>
        <w:ind w:left="567" w:right="-989" w:firstLine="152"/>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B) Estatales, y </w:t>
      </w:r>
    </w:p>
    <w:p w:rsidR="004D52D1" w:rsidRDefault="00592C73">
      <w:pPr>
        <w:pBdr>
          <w:top w:val="nil"/>
          <w:left w:val="nil"/>
          <w:bottom w:val="nil"/>
          <w:right w:val="nil"/>
          <w:between w:val="nil"/>
        </w:pBdr>
        <w:ind w:left="567" w:right="-989" w:firstLine="152"/>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 Metropolitanos. </w:t>
      </w:r>
    </w:p>
    <w:p w:rsidR="004D52D1" w:rsidRDefault="00592C73">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 Diagnóstico:</w:t>
      </w:r>
      <w:r>
        <w:rPr>
          <w:rFonts w:ascii="Palatino Linotype" w:eastAsia="Palatino Linotype" w:hAnsi="Palatino Linotype" w:cs="Palatino Linotype"/>
          <w:i/>
          <w:iCs/>
        </w:rPr>
        <w:t xml:space="preserve"> </w:t>
      </w:r>
    </w:p>
    <w:p w:rsidR="004D52D1" w:rsidRDefault="00592C73">
      <w:pPr>
        <w:pBdr>
          <w:top w:val="nil"/>
          <w:left w:val="nil"/>
          <w:bottom w:val="nil"/>
          <w:right w:val="nil"/>
          <w:between w:val="nil"/>
        </w:pBdr>
        <w:ind w:left="567" w:right="-989" w:firstLine="152"/>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 Aspectos físicos; </w:t>
      </w:r>
    </w:p>
    <w:p w:rsidR="004D52D1" w:rsidRDefault="00592C73">
      <w:pPr>
        <w:pBdr>
          <w:top w:val="nil"/>
          <w:left w:val="nil"/>
          <w:bottom w:val="nil"/>
          <w:right w:val="nil"/>
          <w:between w:val="nil"/>
        </w:pBdr>
        <w:ind w:left="720"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B) Aspectos sociales; </w:t>
      </w:r>
    </w:p>
    <w:p w:rsidR="004D52D1" w:rsidRDefault="00592C73">
      <w:pPr>
        <w:pBdr>
          <w:top w:val="nil"/>
          <w:left w:val="nil"/>
          <w:bottom w:val="nil"/>
          <w:right w:val="nil"/>
          <w:between w:val="nil"/>
        </w:pBdr>
        <w:ind w:left="720"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 Aspectos económicos; </w:t>
      </w:r>
    </w:p>
    <w:p w:rsidR="004D52D1" w:rsidRDefault="00592C73">
      <w:pPr>
        <w:pBdr>
          <w:top w:val="nil"/>
          <w:left w:val="nil"/>
          <w:bottom w:val="nil"/>
          <w:right w:val="nil"/>
          <w:between w:val="nil"/>
        </w:pBdr>
        <w:ind w:left="720"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D) Aspectos territoriales; </w:t>
      </w:r>
    </w:p>
    <w:p w:rsidR="004D52D1" w:rsidRDefault="00592C73">
      <w:pPr>
        <w:pBdr>
          <w:top w:val="nil"/>
          <w:left w:val="nil"/>
          <w:bottom w:val="nil"/>
          <w:right w:val="nil"/>
          <w:between w:val="nil"/>
        </w:pBdr>
        <w:ind w:left="720"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 Aspectos urbanos e imagen urbana, y </w:t>
      </w:r>
    </w:p>
    <w:p w:rsidR="004D52D1" w:rsidRDefault="00592C73">
      <w:pPr>
        <w:pBdr>
          <w:top w:val="nil"/>
          <w:left w:val="nil"/>
          <w:bottom w:val="nil"/>
          <w:right w:val="nil"/>
          <w:between w:val="nil"/>
        </w:pBdr>
        <w:ind w:left="720"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F) Aspectos sectoriales. </w:t>
      </w:r>
    </w:p>
    <w:p w:rsidR="004D52D1" w:rsidRDefault="00592C73">
      <w:pPr>
        <w:pBdr>
          <w:top w:val="nil"/>
          <w:left w:val="nil"/>
          <w:bottom w:val="nil"/>
          <w:right w:val="nil"/>
          <w:between w:val="nil"/>
        </w:pBdr>
        <w:ind w:left="567" w:right="-98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VI. Síntesis del diagnóstico (análisis territorial FODA); </w:t>
      </w:r>
    </w:p>
    <w:p w:rsidR="004D52D1" w:rsidRDefault="00592C73">
      <w:pPr>
        <w:pBdr>
          <w:top w:val="nil"/>
          <w:left w:val="nil"/>
          <w:bottom w:val="nil"/>
          <w:right w:val="nil"/>
          <w:between w:val="nil"/>
        </w:pBdr>
        <w:ind w:left="567" w:right="-98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VII. Pronóstico: </w:t>
      </w:r>
    </w:p>
    <w:p w:rsidR="004D52D1" w:rsidRDefault="00592C73">
      <w:pPr>
        <w:pBdr>
          <w:top w:val="nil"/>
          <w:left w:val="nil"/>
          <w:bottom w:val="nil"/>
          <w:right w:val="nil"/>
          <w:between w:val="nil"/>
        </w:pBdr>
        <w:ind w:left="720"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 Escenario tendencial; </w:t>
      </w:r>
    </w:p>
    <w:p w:rsidR="004D52D1" w:rsidRDefault="00592C73">
      <w:pPr>
        <w:pBdr>
          <w:top w:val="nil"/>
          <w:left w:val="nil"/>
          <w:bottom w:val="nil"/>
          <w:right w:val="nil"/>
          <w:between w:val="nil"/>
        </w:pBdr>
        <w:ind w:left="720"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B) Escenario programático, e </w:t>
      </w:r>
    </w:p>
    <w:p w:rsidR="004D52D1" w:rsidRDefault="00592C73">
      <w:pPr>
        <w:pBdr>
          <w:top w:val="nil"/>
          <w:left w:val="nil"/>
          <w:bottom w:val="nil"/>
          <w:right w:val="nil"/>
          <w:between w:val="nil"/>
        </w:pBdr>
        <w:ind w:left="720"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 Imagen Objetivo. </w:t>
      </w:r>
    </w:p>
    <w:p w:rsidR="004D52D1" w:rsidRDefault="00592C73">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VIII. Objetivos:</w:t>
      </w:r>
      <w:r>
        <w:rPr>
          <w:rFonts w:ascii="Palatino Linotype" w:eastAsia="Palatino Linotype" w:hAnsi="Palatino Linotype" w:cs="Palatino Linotype"/>
          <w:i/>
          <w:iCs/>
        </w:rPr>
        <w:t xml:space="preserve"> </w:t>
      </w:r>
    </w:p>
    <w:p w:rsidR="004D52D1" w:rsidRDefault="00592C73">
      <w:pPr>
        <w:pBdr>
          <w:top w:val="nil"/>
          <w:left w:val="nil"/>
          <w:bottom w:val="nil"/>
          <w:right w:val="nil"/>
          <w:between w:val="nil"/>
        </w:pBdr>
        <w:ind w:left="720"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 De ordenamiento territorial; </w:t>
      </w:r>
    </w:p>
    <w:p w:rsidR="004D52D1" w:rsidRDefault="00592C73">
      <w:pPr>
        <w:pBdr>
          <w:top w:val="nil"/>
          <w:left w:val="nil"/>
          <w:bottom w:val="nil"/>
          <w:right w:val="nil"/>
          <w:between w:val="nil"/>
        </w:pBdr>
        <w:ind w:left="720"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B) De ordenamiento urbano e imagen urbana, y </w:t>
      </w:r>
    </w:p>
    <w:p w:rsidR="004D52D1" w:rsidRDefault="00592C73">
      <w:pPr>
        <w:pBdr>
          <w:top w:val="nil"/>
          <w:left w:val="nil"/>
          <w:bottom w:val="nil"/>
          <w:right w:val="nil"/>
          <w:between w:val="nil"/>
        </w:pBdr>
        <w:ind w:left="720"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 De ordenamiento sectorial. </w:t>
      </w:r>
    </w:p>
    <w:p w:rsidR="004D52D1" w:rsidRDefault="00592C73">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IX. Políticas:</w:t>
      </w:r>
      <w:r>
        <w:rPr>
          <w:rFonts w:ascii="Palatino Linotype" w:eastAsia="Palatino Linotype" w:hAnsi="Palatino Linotype" w:cs="Palatino Linotype"/>
          <w:i/>
          <w:iCs/>
        </w:rPr>
        <w:t xml:space="preserve"> </w:t>
      </w:r>
    </w:p>
    <w:p w:rsidR="004D52D1" w:rsidRDefault="00592C73">
      <w:pPr>
        <w:pBdr>
          <w:top w:val="nil"/>
          <w:left w:val="nil"/>
          <w:bottom w:val="nil"/>
          <w:right w:val="nil"/>
          <w:between w:val="nil"/>
        </w:pBdr>
        <w:ind w:left="720" w:right="-989"/>
        <w:jc w:val="both"/>
        <w:rPr>
          <w:rFonts w:ascii="Palatino Linotype" w:eastAsia="Palatino Linotype" w:hAnsi="Palatino Linotype" w:cs="Palatino Linotype"/>
          <w:i/>
          <w:iCs/>
        </w:rPr>
      </w:pPr>
      <w:r>
        <w:rPr>
          <w:rFonts w:ascii="Palatino Linotype" w:eastAsia="Palatino Linotype" w:hAnsi="Palatino Linotype" w:cs="Palatino Linotype"/>
          <w:i/>
          <w:iCs/>
        </w:rPr>
        <w:t>A) De ordenamiento Territorial y desarrollo orientado al transporte;</w:t>
      </w:r>
    </w:p>
    <w:p w:rsidR="004D52D1" w:rsidRDefault="00592C73">
      <w:pPr>
        <w:pBdr>
          <w:top w:val="nil"/>
          <w:left w:val="nil"/>
          <w:bottom w:val="nil"/>
          <w:right w:val="nil"/>
          <w:between w:val="nil"/>
        </w:pBdr>
        <w:ind w:left="720"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B) De ordenamiento urbano e imagen urbana, y </w:t>
      </w:r>
    </w:p>
    <w:p w:rsidR="004D52D1" w:rsidRDefault="00592C73">
      <w:pPr>
        <w:pBdr>
          <w:top w:val="nil"/>
          <w:left w:val="nil"/>
          <w:bottom w:val="nil"/>
          <w:right w:val="nil"/>
          <w:between w:val="nil"/>
        </w:pBdr>
        <w:ind w:left="720"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 De ordenamiento sectorial. </w:t>
      </w:r>
    </w:p>
    <w:p w:rsidR="004D52D1" w:rsidRDefault="00592C73">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X. Estrategias:</w:t>
      </w:r>
      <w:r>
        <w:rPr>
          <w:rFonts w:ascii="Palatino Linotype" w:eastAsia="Palatino Linotype" w:hAnsi="Palatino Linotype" w:cs="Palatino Linotype"/>
          <w:i/>
          <w:iCs/>
        </w:rPr>
        <w:t xml:space="preserve"> </w:t>
      </w:r>
    </w:p>
    <w:p w:rsidR="004D52D1" w:rsidRDefault="00592C73">
      <w:pPr>
        <w:pBdr>
          <w:top w:val="nil"/>
          <w:left w:val="nil"/>
          <w:bottom w:val="nil"/>
          <w:right w:val="nil"/>
          <w:between w:val="nil"/>
        </w:pBdr>
        <w:ind w:left="567" w:right="-989" w:firstLine="152"/>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A) De ordenamiento territorial: </w:t>
      </w:r>
    </w:p>
    <w:p w:rsidR="004D52D1" w:rsidRDefault="00592C73">
      <w:pPr>
        <w:pBdr>
          <w:top w:val="nil"/>
          <w:left w:val="nil"/>
          <w:bottom w:val="nil"/>
          <w:right w:val="nil"/>
          <w:between w:val="nil"/>
        </w:pBdr>
        <w:ind w:left="1287" w:right="-989" w:firstLine="15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 Sistema de ordenamiento territorial y ambiental. </w:t>
      </w:r>
    </w:p>
    <w:p w:rsidR="004D52D1" w:rsidRDefault="00592C73">
      <w:pPr>
        <w:pBdr>
          <w:top w:val="nil"/>
          <w:left w:val="nil"/>
          <w:bottom w:val="nil"/>
          <w:right w:val="nil"/>
          <w:between w:val="nil"/>
        </w:pBdr>
        <w:ind w:left="567" w:right="-989" w:firstLine="152"/>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B) De ordenamiento urbano: </w:t>
      </w:r>
    </w:p>
    <w:p w:rsidR="004D52D1" w:rsidRDefault="00592C73">
      <w:pPr>
        <w:pBdr>
          <w:top w:val="nil"/>
          <w:left w:val="nil"/>
          <w:bottom w:val="nil"/>
          <w:right w:val="nil"/>
          <w:between w:val="nil"/>
        </w:pBdr>
        <w:ind w:left="1287" w:right="-989" w:firstLine="15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 Sistema urbano, y </w:t>
      </w:r>
    </w:p>
    <w:p w:rsidR="004D52D1" w:rsidRDefault="00592C73">
      <w:pPr>
        <w:pBdr>
          <w:top w:val="nil"/>
          <w:left w:val="nil"/>
          <w:bottom w:val="nil"/>
          <w:right w:val="nil"/>
          <w:between w:val="nil"/>
        </w:pBdr>
        <w:ind w:left="1134" w:right="-989" w:firstLine="15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2. Sistema de ejes de desarrollo. </w:t>
      </w:r>
    </w:p>
    <w:p w:rsidR="004D52D1" w:rsidRDefault="00592C73">
      <w:pPr>
        <w:pBdr>
          <w:top w:val="nil"/>
          <w:left w:val="nil"/>
          <w:bottom w:val="nil"/>
          <w:right w:val="nil"/>
          <w:between w:val="nil"/>
        </w:pBdr>
        <w:ind w:left="567" w:right="-989" w:firstLine="152"/>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 De ordenamiento sectorial: </w:t>
      </w:r>
    </w:p>
    <w:p w:rsidR="004D52D1" w:rsidRDefault="00592C73">
      <w:pPr>
        <w:pBdr>
          <w:top w:val="nil"/>
          <w:left w:val="nil"/>
          <w:bottom w:val="nil"/>
          <w:right w:val="nil"/>
          <w:between w:val="nil"/>
        </w:pBdr>
        <w:ind w:left="1287" w:right="-989" w:firstLine="15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 Sistema de planeación para el fortalecimiento territorial y urbano; </w:t>
      </w:r>
    </w:p>
    <w:p w:rsidR="004D52D1" w:rsidRDefault="00592C73">
      <w:pPr>
        <w:pBdr>
          <w:top w:val="nil"/>
          <w:left w:val="nil"/>
          <w:bottom w:val="nil"/>
          <w:right w:val="nil"/>
          <w:between w:val="nil"/>
        </w:pBdr>
        <w:ind w:left="1440"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2. Sistema de planeación del suelo y la vivienda, con énfasis en la de tipo social progresivo, interés social y popular; </w:t>
      </w:r>
    </w:p>
    <w:p w:rsidR="004D52D1" w:rsidRDefault="00592C73">
      <w:pPr>
        <w:pBdr>
          <w:top w:val="nil"/>
          <w:left w:val="nil"/>
          <w:bottom w:val="nil"/>
          <w:right w:val="nil"/>
          <w:between w:val="nil"/>
        </w:pBdr>
        <w:ind w:left="1440"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3. Sistema de planeación para la modernización y ampliación de la infraestructura y la movilidad sustentable; </w:t>
      </w:r>
    </w:p>
    <w:p w:rsidR="004D52D1" w:rsidRDefault="00592C73">
      <w:pPr>
        <w:pBdr>
          <w:top w:val="nil"/>
          <w:left w:val="nil"/>
          <w:bottom w:val="nil"/>
          <w:right w:val="nil"/>
          <w:between w:val="nil"/>
        </w:pBdr>
        <w:ind w:left="1440"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4. Sistema de planeación para la modernización y ampliación del equipamiento; </w:t>
      </w:r>
    </w:p>
    <w:p w:rsidR="004D52D1" w:rsidRDefault="00592C73">
      <w:pPr>
        <w:pBdr>
          <w:top w:val="nil"/>
          <w:left w:val="nil"/>
          <w:bottom w:val="nil"/>
          <w:right w:val="nil"/>
          <w:between w:val="nil"/>
        </w:pBdr>
        <w:ind w:left="1440" w:right="-989"/>
        <w:jc w:val="both"/>
        <w:rPr>
          <w:rFonts w:ascii="Palatino Linotype" w:eastAsia="Palatino Linotype" w:hAnsi="Palatino Linotype" w:cs="Palatino Linotype"/>
          <w:i/>
          <w:iCs/>
        </w:rPr>
      </w:pPr>
      <w:r>
        <w:rPr>
          <w:rFonts w:ascii="Palatino Linotype" w:eastAsia="Palatino Linotype" w:hAnsi="Palatino Linotype" w:cs="Palatino Linotype"/>
          <w:i/>
          <w:iCs/>
        </w:rPr>
        <w:t>5. Sistema de planeación para la resiliencia urbana, identificación de zonas de riesgos para el asentamiento humano, prevención de desastres y acciones de mitigación;</w:t>
      </w:r>
    </w:p>
    <w:p w:rsidR="004D52D1" w:rsidRDefault="00592C73">
      <w:pPr>
        <w:pBdr>
          <w:top w:val="nil"/>
          <w:left w:val="nil"/>
          <w:bottom w:val="nil"/>
          <w:right w:val="nil"/>
          <w:between w:val="nil"/>
        </w:pBdr>
        <w:ind w:left="1440"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6. Sistema de planeación para la prevención del entorno ambiental, y </w:t>
      </w:r>
    </w:p>
    <w:p w:rsidR="004D52D1" w:rsidRDefault="00592C73">
      <w:pPr>
        <w:pBdr>
          <w:top w:val="nil"/>
          <w:left w:val="nil"/>
          <w:bottom w:val="nil"/>
          <w:right w:val="nil"/>
          <w:between w:val="nil"/>
        </w:pBdr>
        <w:ind w:left="1440"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7. Las consideraciones sobre la movilidad que se encuentran contenidas en el artículo 5.57 ter del Código. </w:t>
      </w:r>
    </w:p>
    <w:p w:rsidR="004D52D1" w:rsidRDefault="00592C73">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XI. Programas y proyectos estratégicos:</w:t>
      </w:r>
      <w:r>
        <w:rPr>
          <w:rFonts w:ascii="Palatino Linotype" w:eastAsia="Palatino Linotype" w:hAnsi="Palatino Linotype" w:cs="Palatino Linotype"/>
          <w:i/>
          <w:iCs/>
        </w:rPr>
        <w:t xml:space="preserve"> </w:t>
      </w:r>
    </w:p>
    <w:p w:rsidR="004D52D1" w:rsidRDefault="00592C73">
      <w:pPr>
        <w:pBdr>
          <w:top w:val="nil"/>
          <w:left w:val="nil"/>
          <w:bottom w:val="nil"/>
          <w:right w:val="nil"/>
          <w:between w:val="nil"/>
        </w:pBdr>
        <w:ind w:left="567" w:right="-989" w:firstLine="152"/>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 De ordenamiento territorial; </w:t>
      </w:r>
    </w:p>
    <w:p w:rsidR="004D52D1" w:rsidRDefault="00592C73">
      <w:pPr>
        <w:pBdr>
          <w:top w:val="nil"/>
          <w:left w:val="nil"/>
          <w:bottom w:val="nil"/>
          <w:right w:val="nil"/>
          <w:between w:val="nil"/>
        </w:pBdr>
        <w:ind w:left="567" w:right="-989" w:firstLine="152"/>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B) De ordenamiento urbano e imagen urbana, y </w:t>
      </w:r>
    </w:p>
    <w:p w:rsidR="004D52D1" w:rsidRDefault="00592C73">
      <w:pPr>
        <w:pBdr>
          <w:top w:val="nil"/>
          <w:left w:val="nil"/>
          <w:bottom w:val="nil"/>
          <w:right w:val="nil"/>
          <w:between w:val="nil"/>
        </w:pBdr>
        <w:ind w:left="567" w:right="-989" w:firstLine="152"/>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 De ordenamiento sectorial. </w:t>
      </w:r>
    </w:p>
    <w:p w:rsidR="004D52D1" w:rsidRDefault="00592C73">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XII. Instrumentos:</w:t>
      </w:r>
      <w:r>
        <w:rPr>
          <w:rFonts w:ascii="Palatino Linotype" w:eastAsia="Palatino Linotype" w:hAnsi="Palatino Linotype" w:cs="Palatino Linotype"/>
          <w:i/>
          <w:iCs/>
        </w:rPr>
        <w:t xml:space="preserve"> </w:t>
      </w:r>
    </w:p>
    <w:p w:rsidR="004D52D1" w:rsidRDefault="00592C73">
      <w:pPr>
        <w:pBdr>
          <w:top w:val="nil"/>
          <w:left w:val="nil"/>
          <w:bottom w:val="nil"/>
          <w:right w:val="nil"/>
          <w:between w:val="nil"/>
        </w:pBdr>
        <w:ind w:left="720"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 De inducción y fomento; </w:t>
      </w:r>
    </w:p>
    <w:p w:rsidR="004D52D1" w:rsidRDefault="00592C73">
      <w:pPr>
        <w:pBdr>
          <w:top w:val="nil"/>
          <w:left w:val="nil"/>
          <w:bottom w:val="nil"/>
          <w:right w:val="nil"/>
          <w:between w:val="nil"/>
        </w:pBdr>
        <w:ind w:left="720"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B) De regulación; </w:t>
      </w:r>
    </w:p>
    <w:p w:rsidR="004D52D1" w:rsidRDefault="00592C73">
      <w:pPr>
        <w:pBdr>
          <w:top w:val="nil"/>
          <w:left w:val="nil"/>
          <w:bottom w:val="nil"/>
          <w:right w:val="nil"/>
          <w:between w:val="nil"/>
        </w:pBdr>
        <w:ind w:left="720"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 De organización y coordinación; </w:t>
      </w:r>
    </w:p>
    <w:p w:rsidR="004D52D1" w:rsidRDefault="00592C73">
      <w:pPr>
        <w:pBdr>
          <w:top w:val="nil"/>
          <w:left w:val="nil"/>
          <w:bottom w:val="nil"/>
          <w:right w:val="nil"/>
          <w:between w:val="nil"/>
        </w:pBdr>
        <w:ind w:left="720"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D) Financieros; </w:t>
      </w:r>
    </w:p>
    <w:p w:rsidR="004D52D1" w:rsidRDefault="00592C73">
      <w:pPr>
        <w:pBdr>
          <w:top w:val="nil"/>
          <w:left w:val="nil"/>
          <w:bottom w:val="nil"/>
          <w:right w:val="nil"/>
          <w:between w:val="nil"/>
        </w:pBdr>
        <w:ind w:left="720"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 De operación, seguimiento y evaluación; </w:t>
      </w:r>
    </w:p>
    <w:p w:rsidR="004D52D1" w:rsidRDefault="00592C73">
      <w:pPr>
        <w:pBdr>
          <w:top w:val="nil"/>
          <w:left w:val="nil"/>
          <w:bottom w:val="nil"/>
          <w:right w:val="nil"/>
          <w:between w:val="nil"/>
        </w:pBdr>
        <w:ind w:left="720"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F) De normatividad y aprovechamiento del suelo, y </w:t>
      </w:r>
    </w:p>
    <w:p w:rsidR="004D52D1" w:rsidRDefault="00592C73">
      <w:pPr>
        <w:pBdr>
          <w:top w:val="nil"/>
          <w:left w:val="nil"/>
          <w:bottom w:val="nil"/>
          <w:right w:val="nil"/>
          <w:between w:val="nil"/>
        </w:pBdr>
        <w:ind w:left="720"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G) Demás necesarios. </w:t>
      </w:r>
    </w:p>
    <w:p w:rsidR="004D52D1" w:rsidRDefault="00592C73">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XII Bis. Tabla de Usos de Suelo</w:t>
      </w:r>
      <w:r>
        <w:rPr>
          <w:rFonts w:ascii="Palatino Linotype" w:eastAsia="Palatino Linotype" w:hAnsi="Palatino Linotype" w:cs="Palatino Linotype"/>
          <w:i/>
          <w:iCs/>
        </w:rPr>
        <w:t xml:space="preserve">; </w:t>
      </w:r>
    </w:p>
    <w:p w:rsidR="004D52D1" w:rsidRDefault="00592C73">
      <w:pPr>
        <w:pBdr>
          <w:top w:val="nil"/>
          <w:left w:val="nil"/>
          <w:bottom w:val="nil"/>
          <w:right w:val="nil"/>
          <w:between w:val="nil"/>
        </w:pBdr>
        <w:ind w:left="567" w:right="-98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XIII. Anexo gráfico y cartográfico, el cual se desarrollará en plataforma de información geográfica SIG, en el formato que al efecto determine la Secretaría, </w:t>
      </w:r>
    </w:p>
    <w:p w:rsidR="004D52D1" w:rsidRDefault="00592C73">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XIV. Epílogo.</w:t>
      </w:r>
      <w:r>
        <w:rPr>
          <w:rFonts w:ascii="Palatino Linotype" w:eastAsia="Palatino Linotype" w:hAnsi="Palatino Linotype" w:cs="Palatino Linotype"/>
          <w:i/>
          <w:iCs/>
        </w:rPr>
        <w:t xml:space="preserve"> </w:t>
      </w:r>
    </w:p>
    <w:p w:rsidR="004D52D1" w:rsidRDefault="00592C73">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En los planes municipales, el diagnóstico deberá efectuarse considerando los procesos de conurbación o zona metropolitana a la que pertenezcan, así como la aptitud territorial por usos del suelo, la conectividad regional y la movilidad urbana. </w:t>
      </w:r>
    </w:p>
    <w:p w:rsidR="004D52D1" w:rsidRDefault="004D52D1">
      <w:pPr>
        <w:pBdr>
          <w:top w:val="nil"/>
          <w:left w:val="nil"/>
          <w:bottom w:val="nil"/>
          <w:right w:val="nil"/>
          <w:between w:val="nil"/>
        </w:pBdr>
        <w:ind w:left="567" w:right="-989"/>
        <w:jc w:val="both"/>
        <w:rPr>
          <w:rFonts w:ascii="Palatino Linotype" w:eastAsia="Palatino Linotype" w:hAnsi="Palatino Linotype" w:cs="Palatino Linotype"/>
          <w:i/>
          <w:iCs/>
        </w:rPr>
      </w:pPr>
    </w:p>
    <w:p w:rsidR="004D52D1" w:rsidRDefault="00592C73">
      <w:pPr>
        <w:pBdr>
          <w:top w:val="nil"/>
          <w:left w:val="nil"/>
          <w:bottom w:val="nil"/>
          <w:right w:val="nil"/>
          <w:between w:val="nil"/>
        </w:pBdr>
        <w:ind w:left="567" w:right="-989"/>
        <w:jc w:val="both"/>
        <w:rPr>
          <w:rFonts w:ascii="Palatino Linotype" w:eastAsia="Palatino Linotype" w:hAnsi="Palatino Linotype" w:cs="Palatino Linotype"/>
          <w:i/>
          <w:iCs/>
        </w:rPr>
      </w:pPr>
      <w:r>
        <w:rPr>
          <w:rFonts w:ascii="Palatino Linotype" w:eastAsia="Palatino Linotype" w:hAnsi="Palatino Linotype" w:cs="Palatino Linotype"/>
          <w:i/>
          <w:iCs/>
        </w:rPr>
        <w:t>Asimismo, deberán cumplirse los requisitos contenidos en los Lineamientos que emita la Secretaría para la elaboración y actualización de los Planes Municipales</w:t>
      </w:r>
    </w:p>
    <w:p w:rsidR="004D52D1" w:rsidRDefault="004D52D1">
      <w:p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p>
    <w:p w:rsidR="004D52D1" w:rsidRPr="00BA4669" w:rsidRDefault="00592C73" w:rsidP="00BA4669">
      <w:pPr>
        <w:pStyle w:val="Prrafodelista"/>
        <w:numPr>
          <w:ilvl w:val="0"/>
          <w:numId w:val="7"/>
        </w:num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sidRPr="00BA4669">
        <w:rPr>
          <w:rFonts w:ascii="Palatino Linotype" w:eastAsia="Palatino Linotype" w:hAnsi="Palatino Linotype" w:cs="Palatino Linotype"/>
          <w:color w:val="000000"/>
        </w:rPr>
        <w:t>De lo anterior se advierten las características que debe contener el Programa Municipal de Desarrollo Urbano, el cual tiene que ser congruente con el Plan Estatal de Desarrollo Urbano y con el Plan Regional de Desarrollo Urbano,</w:t>
      </w:r>
    </w:p>
    <w:p w:rsidR="004D52D1" w:rsidRDefault="004D52D1">
      <w:pPr>
        <w:pBdr>
          <w:top w:val="nil"/>
          <w:left w:val="nil"/>
          <w:bottom w:val="nil"/>
          <w:right w:val="nil"/>
          <w:between w:val="nil"/>
        </w:pBdr>
        <w:spacing w:line="360" w:lineRule="auto"/>
        <w:ind w:right="-989"/>
        <w:jc w:val="both"/>
        <w:rPr>
          <w:rFonts w:ascii="Palatino Linotype" w:eastAsia="Palatino Linotype" w:hAnsi="Palatino Linotype" w:cs="Palatino Linotype"/>
        </w:rPr>
      </w:pPr>
    </w:p>
    <w:p w:rsidR="004D52D1" w:rsidRPr="00BA4669" w:rsidRDefault="00592C73" w:rsidP="00BA4669">
      <w:pPr>
        <w:pStyle w:val="Prrafodelista"/>
        <w:numPr>
          <w:ilvl w:val="0"/>
          <w:numId w:val="7"/>
        </w:num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sidRPr="00BA4669">
        <w:rPr>
          <w:rFonts w:ascii="Palatino Linotype" w:eastAsia="Palatino Linotype" w:hAnsi="Palatino Linotype" w:cs="Palatino Linotype"/>
          <w:color w:val="000000"/>
        </w:rPr>
        <w:t xml:space="preserve">Expuesto lo anterior, analizadas las constancias que forman el expediente electrónico, </w:t>
      </w:r>
      <w:r w:rsidRPr="00BA4669">
        <w:rPr>
          <w:rFonts w:ascii="Palatino Linotype" w:eastAsia="Palatino Linotype" w:hAnsi="Palatino Linotype" w:cs="Palatino Linotype"/>
        </w:rPr>
        <w:t xml:space="preserve">resultan  fundadas las razones o motivos de inconformidad hechos valer por el </w:t>
      </w:r>
      <w:r w:rsidRPr="00BA4669">
        <w:rPr>
          <w:rFonts w:ascii="Palatino Linotype" w:eastAsia="Palatino Linotype" w:hAnsi="Palatino Linotype" w:cs="Palatino Linotype"/>
          <w:b/>
          <w:bCs/>
        </w:rPr>
        <w:t>RECURRENTE</w:t>
      </w:r>
      <w:r w:rsidRPr="00BA4669">
        <w:rPr>
          <w:rFonts w:ascii="Palatino Linotype" w:eastAsia="Palatino Linotype" w:hAnsi="Palatino Linotype" w:cs="Palatino Linotype"/>
        </w:rPr>
        <w:t xml:space="preserve"> dentro del recurso de revisión </w:t>
      </w:r>
      <w:r w:rsidR="00437A86" w:rsidRPr="00BA4669">
        <w:rPr>
          <w:rFonts w:ascii="Palatino Linotype" w:eastAsia="Palatino Linotype" w:hAnsi="Palatino Linotype" w:cs="Palatino Linotype"/>
          <w:b/>
          <w:bCs/>
        </w:rPr>
        <w:t>14423/INFOEM/IP/RR/2025</w:t>
      </w:r>
      <w:r w:rsidRPr="00BA4669">
        <w:rPr>
          <w:rFonts w:ascii="Palatino Linotype" w:eastAsia="Palatino Linotype" w:hAnsi="Palatino Linotype" w:cs="Palatino Linotype"/>
          <w:b/>
          <w:bCs/>
        </w:rPr>
        <w:t xml:space="preserve"> </w:t>
      </w:r>
      <w:r w:rsidRPr="00BA4669">
        <w:rPr>
          <w:rFonts w:ascii="Palatino Linotype" w:eastAsia="Palatino Linotype" w:hAnsi="Palatino Linotype" w:cs="Palatino Linotype"/>
        </w:rPr>
        <w:t xml:space="preserve">y resulta procedente ordenar al  </w:t>
      </w:r>
      <w:r w:rsidRPr="00BA4669">
        <w:rPr>
          <w:rFonts w:ascii="Palatino Linotype" w:eastAsia="Palatino Linotype" w:hAnsi="Palatino Linotype" w:cs="Palatino Linotype"/>
          <w:b/>
          <w:bCs/>
        </w:rPr>
        <w:t>SUJETO OBLIGADO</w:t>
      </w:r>
      <w:r w:rsidRPr="00BA4669">
        <w:rPr>
          <w:rFonts w:ascii="Palatino Linotype" w:eastAsia="Palatino Linotype" w:hAnsi="Palatino Linotype" w:cs="Palatino Linotype"/>
        </w:rPr>
        <w:t xml:space="preserve"> la entrega </w:t>
      </w:r>
      <w:r w:rsidRPr="00BA4669">
        <w:rPr>
          <w:rFonts w:ascii="Palatino Linotype" w:eastAsia="Palatino Linotype" w:hAnsi="Palatino Linotype" w:cs="Palatino Linotype"/>
          <w:color w:val="000000"/>
        </w:rPr>
        <w:t>de</w:t>
      </w:r>
      <w:r w:rsidRPr="00BA4669">
        <w:rPr>
          <w:rFonts w:ascii="Palatino Linotype" w:eastAsia="Palatino Linotype" w:hAnsi="Palatino Linotype" w:cs="Palatino Linotype"/>
        </w:rPr>
        <w:t xml:space="preserve">l </w:t>
      </w:r>
      <w:r w:rsidRPr="00BA4669">
        <w:rPr>
          <w:rFonts w:ascii="Palatino Linotype" w:eastAsia="Palatino Linotype" w:hAnsi="Palatino Linotype" w:cs="Palatino Linotype"/>
          <w:i/>
          <w:iCs/>
        </w:rPr>
        <w:t>Plan Municipal de Desarrollo Urbano 2025.</w:t>
      </w:r>
    </w:p>
    <w:p w:rsidR="004D52D1" w:rsidRDefault="004D52D1">
      <w:pPr>
        <w:pBdr>
          <w:top w:val="nil"/>
          <w:left w:val="nil"/>
          <w:bottom w:val="nil"/>
          <w:right w:val="nil"/>
          <w:between w:val="nil"/>
        </w:pBdr>
        <w:ind w:left="720" w:right="-989"/>
        <w:rPr>
          <w:rFonts w:ascii="Palatino Linotype" w:eastAsia="Palatino Linotype" w:hAnsi="Palatino Linotype" w:cs="Palatino Linotype"/>
          <w:b/>
          <w:bCs/>
          <w:color w:val="000000"/>
        </w:rPr>
      </w:pPr>
    </w:p>
    <w:p w:rsidR="004D52D1" w:rsidRPr="00BA4669" w:rsidRDefault="00592C73" w:rsidP="00BA4669">
      <w:pPr>
        <w:pStyle w:val="Prrafodelista"/>
        <w:numPr>
          <w:ilvl w:val="0"/>
          <w:numId w:val="7"/>
        </w:numPr>
        <w:spacing w:line="360" w:lineRule="auto"/>
        <w:ind w:right="-989"/>
        <w:jc w:val="both"/>
        <w:rPr>
          <w:rFonts w:ascii="Palatino Linotype" w:eastAsia="Palatino Linotype" w:hAnsi="Palatino Linotype" w:cs="Palatino Linotype"/>
          <w:color w:val="000000"/>
        </w:rPr>
      </w:pPr>
      <w:r w:rsidRPr="00BA4669">
        <w:rPr>
          <w:rFonts w:ascii="Palatino Linotype" w:eastAsia="Palatino Linotype" w:hAnsi="Palatino Linotype" w:cs="Palatino Linotype"/>
          <w:color w:val="000000"/>
        </w:rPr>
        <w:t xml:space="preserve">Por lo anteriormente expuesto y fundado, este </w:t>
      </w:r>
      <w:r w:rsidRPr="00BA4669">
        <w:rPr>
          <w:rFonts w:ascii="Palatino Linotype" w:eastAsia="Palatino Linotype" w:hAnsi="Palatino Linotype" w:cs="Palatino Linotype"/>
          <w:b/>
          <w:bCs/>
          <w:color w:val="000000"/>
        </w:rPr>
        <w:t>ÓRGANO GARANTE</w:t>
      </w:r>
      <w:r w:rsidRPr="00BA4669">
        <w:rPr>
          <w:rFonts w:ascii="Palatino Linotype" w:eastAsia="Palatino Linotype" w:hAnsi="Palatino Linotype" w:cs="Palatino Linotype"/>
          <w:color w:val="000000"/>
        </w:rPr>
        <w:t xml:space="preserve"> emite los siguientes:</w:t>
      </w:r>
    </w:p>
    <w:p w:rsidR="004D52D1" w:rsidRDefault="004D52D1">
      <w:pPr>
        <w:pBdr>
          <w:top w:val="nil"/>
          <w:left w:val="nil"/>
          <w:bottom w:val="nil"/>
          <w:right w:val="nil"/>
          <w:between w:val="nil"/>
        </w:pBdr>
        <w:spacing w:line="480" w:lineRule="auto"/>
        <w:ind w:right="-989"/>
        <w:jc w:val="both"/>
        <w:rPr>
          <w:rFonts w:ascii="Palatino Linotype" w:eastAsia="Palatino Linotype" w:hAnsi="Palatino Linotype" w:cs="Palatino Linotype"/>
          <w:color w:val="000000"/>
        </w:rPr>
      </w:pPr>
    </w:p>
    <w:p w:rsidR="004D52D1" w:rsidRDefault="00592C73">
      <w:pPr>
        <w:pStyle w:val="Ttulo1"/>
        <w:spacing w:before="0" w:line="360" w:lineRule="auto"/>
        <w:ind w:right="-989"/>
        <w:jc w:val="center"/>
        <w:rPr>
          <w:b w:val="0"/>
          <w:bCs w:val="0"/>
        </w:rPr>
      </w:pPr>
      <w:r>
        <w:t>R E S O L U T I V O S</w:t>
      </w:r>
    </w:p>
    <w:p w:rsidR="004D52D1" w:rsidRDefault="004D52D1">
      <w:pPr>
        <w:spacing w:line="360" w:lineRule="auto"/>
        <w:ind w:right="-989"/>
        <w:rPr>
          <w:rFonts w:ascii="Palatino Linotype" w:eastAsia="Palatino Linotype" w:hAnsi="Palatino Linotype" w:cs="Palatino Linotype"/>
        </w:rPr>
      </w:pPr>
    </w:p>
    <w:p w:rsidR="004D52D1" w:rsidRDefault="00592C73">
      <w:pPr>
        <w:spacing w:line="360" w:lineRule="auto"/>
        <w:ind w:right="-989"/>
        <w:jc w:val="both"/>
        <w:rPr>
          <w:rFonts w:ascii="Palatino Linotype" w:eastAsia="Palatino Linotype" w:hAnsi="Palatino Linotype" w:cs="Palatino Linotype"/>
          <w:b/>
          <w:bCs/>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fundadas las razones o motivos de inconformidad hechos valer en el Recursos de Revisión </w:t>
      </w:r>
      <w:r>
        <w:rPr>
          <w:rFonts w:ascii="Palatino Linotype" w:eastAsia="Palatino Linotype" w:hAnsi="Palatino Linotype" w:cs="Palatino Linotype"/>
          <w:b/>
          <w:bCs/>
        </w:rPr>
        <w:t xml:space="preserve">14423/INFOEM/IP/RR/2025 </w:t>
      </w:r>
      <w:r>
        <w:rPr>
          <w:rFonts w:ascii="Palatino Linotype" w:eastAsia="Palatino Linotype" w:hAnsi="Palatino Linotype" w:cs="Palatino Linotype"/>
        </w:rPr>
        <w:t xml:space="preserve">en términos del </w:t>
      </w:r>
      <w:r>
        <w:rPr>
          <w:rFonts w:ascii="Palatino Linotype" w:eastAsia="Palatino Linotype" w:hAnsi="Palatino Linotype" w:cs="Palatino Linotype"/>
          <w:b/>
          <w:bCs/>
        </w:rPr>
        <w:t xml:space="preserve">Considerando CUARTO </w:t>
      </w:r>
      <w:r>
        <w:rPr>
          <w:rFonts w:ascii="Palatino Linotype" w:eastAsia="Palatino Linotype" w:hAnsi="Palatino Linotype" w:cs="Palatino Linotype"/>
        </w:rPr>
        <w:t>de la presente resolución.</w:t>
      </w:r>
    </w:p>
    <w:p w:rsidR="004D52D1" w:rsidRDefault="004D52D1">
      <w:pPr>
        <w:spacing w:line="360" w:lineRule="auto"/>
        <w:ind w:right="-989"/>
        <w:jc w:val="both"/>
        <w:rPr>
          <w:rFonts w:ascii="Palatino Linotype" w:eastAsia="Palatino Linotype" w:hAnsi="Palatino Linotype" w:cs="Palatino Linotype"/>
        </w:rPr>
      </w:pPr>
    </w:p>
    <w:p w:rsidR="004D52D1" w:rsidRDefault="00592C73">
      <w:pPr>
        <w:spacing w:line="360" w:lineRule="auto"/>
        <w:ind w:right="-989"/>
        <w:jc w:val="both"/>
        <w:rPr>
          <w:rFonts w:ascii="Palatino Linotype" w:eastAsia="Palatino Linotype" w:hAnsi="Palatino Linotype" w:cs="Palatino Linotype"/>
          <w:color w:val="000000"/>
        </w:rPr>
      </w:pPr>
      <w:bookmarkStart w:id="9" w:name="_heading=h.26in1rg" w:colFirst="0" w:colLast="0"/>
      <w:bookmarkEnd w:id="9"/>
      <w:r>
        <w:rPr>
          <w:rFonts w:ascii="Palatino Linotype" w:eastAsia="Palatino Linotype" w:hAnsi="Palatino Linotype" w:cs="Palatino Linotype"/>
          <w:b/>
          <w:bCs/>
        </w:rPr>
        <w:t xml:space="preserve">SEGUNDO.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ORDENA </w:t>
      </w:r>
      <w:r>
        <w:rPr>
          <w:rFonts w:ascii="Palatino Linotype" w:eastAsia="Palatino Linotype" w:hAnsi="Palatino Linotype" w:cs="Palatino Linotype"/>
          <w:color w:val="000000"/>
        </w:rPr>
        <w:t xml:space="preserve">al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a efecto de entregar vía Sistema de Acceso a la Información Mexiquense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la siguiente información:</w:t>
      </w:r>
    </w:p>
    <w:p w:rsidR="004D52D1" w:rsidRDefault="00592C73">
      <w:pPr>
        <w:numPr>
          <w:ilvl w:val="0"/>
          <w:numId w:val="11"/>
        </w:numPr>
        <w:pBdr>
          <w:top w:val="nil"/>
          <w:left w:val="nil"/>
          <w:bottom w:val="nil"/>
          <w:right w:val="nil"/>
          <w:between w:val="nil"/>
        </w:pBdr>
        <w:spacing w:line="360" w:lineRule="auto"/>
        <w:ind w:right="-989"/>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Programa Municipal de Desarrollo Urbano 2025</w:t>
      </w:r>
    </w:p>
    <w:p w:rsidR="004D52D1" w:rsidRDefault="004D52D1">
      <w:pPr>
        <w:spacing w:line="360" w:lineRule="auto"/>
        <w:ind w:right="-989"/>
        <w:jc w:val="both"/>
        <w:rPr>
          <w:rFonts w:ascii="Palatino Linotype" w:eastAsia="Palatino Linotype" w:hAnsi="Palatino Linotype" w:cs="Palatino Linotype"/>
          <w:b/>
          <w:bCs/>
        </w:rPr>
      </w:pPr>
    </w:p>
    <w:p w:rsidR="004D52D1" w:rsidRDefault="00592C73">
      <w:pPr>
        <w:tabs>
          <w:tab w:val="left" w:pos="8080"/>
        </w:tabs>
        <w:spacing w:line="360" w:lineRule="auto"/>
        <w:ind w:right="-989"/>
        <w:jc w:val="both"/>
        <w:rPr>
          <w:rFonts w:ascii="Palatino Linotype" w:eastAsia="Palatino Linotype" w:hAnsi="Palatino Linotype" w:cs="Palatino Linotype"/>
          <w:b/>
          <w:bCs/>
        </w:rPr>
      </w:pPr>
      <w:bookmarkStart w:id="10" w:name="_heading=h.lnxbz9" w:colFirst="0" w:colLast="0"/>
      <w:bookmarkEnd w:id="10"/>
      <w:r>
        <w:rPr>
          <w:rFonts w:ascii="Palatino Linotype" w:eastAsia="Palatino Linotype" w:hAnsi="Palatino Linotype" w:cs="Palatino Linotype"/>
          <w:b/>
          <w:bCs/>
        </w:rPr>
        <w:t xml:space="preserve">TERCERO. NOTIFÍQUESE </w:t>
      </w:r>
      <w:r>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rPr>
        <w:t>dé cumplimiento a lo ordenado dentro del plazo de diez días hábiles,</w:t>
      </w:r>
      <w:r>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4D52D1" w:rsidRDefault="004D52D1">
      <w:pPr>
        <w:tabs>
          <w:tab w:val="left" w:pos="8080"/>
        </w:tabs>
        <w:spacing w:line="360" w:lineRule="auto"/>
        <w:ind w:right="-989"/>
        <w:jc w:val="both"/>
        <w:rPr>
          <w:rFonts w:ascii="Palatino Linotype" w:eastAsia="Palatino Linotype" w:hAnsi="Palatino Linotype" w:cs="Palatino Linotype"/>
        </w:rPr>
      </w:pPr>
    </w:p>
    <w:p w:rsidR="004D52D1" w:rsidRDefault="00592C73">
      <w:pPr>
        <w:spacing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Notifíquese a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la presente resolución, vía SAIMEX.</w:t>
      </w:r>
    </w:p>
    <w:p w:rsidR="004D52D1" w:rsidRDefault="004D52D1">
      <w:pPr>
        <w:spacing w:line="360" w:lineRule="auto"/>
        <w:ind w:right="-989"/>
        <w:jc w:val="both"/>
        <w:rPr>
          <w:rFonts w:ascii="Palatino Linotype" w:eastAsia="Palatino Linotype" w:hAnsi="Palatino Linotype" w:cs="Palatino Linotype"/>
          <w:b/>
          <w:bCs/>
        </w:rPr>
      </w:pPr>
    </w:p>
    <w:p w:rsidR="004D52D1" w:rsidRDefault="00592C73">
      <w:pPr>
        <w:spacing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b/>
          <w:bCs/>
        </w:rPr>
        <w:t xml:space="preserve">QUINTO. Gírese </w:t>
      </w:r>
      <w:r>
        <w:rPr>
          <w:rFonts w:ascii="Palatino Linotype" w:eastAsia="Palatino Linotype" w:hAnsi="Palatino Linotype" w:cs="Palatino Linotype"/>
        </w:rPr>
        <w:t xml:space="preserve">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Pr>
          <w:rFonts w:ascii="Palatino Linotype" w:eastAsia="Palatino Linotype" w:hAnsi="Palatino Linotype" w:cs="Palatino Linotype"/>
          <w:b/>
          <w:bCs/>
        </w:rPr>
        <w:t>CUARTO</w:t>
      </w:r>
      <w:r>
        <w:rPr>
          <w:rFonts w:ascii="Palatino Linotype" w:eastAsia="Palatino Linotype" w:hAnsi="Palatino Linotype" w:cs="Palatino Linotype"/>
        </w:rPr>
        <w:t>.</w:t>
      </w:r>
    </w:p>
    <w:p w:rsidR="004D52D1" w:rsidRDefault="004D52D1">
      <w:pPr>
        <w:spacing w:line="360" w:lineRule="auto"/>
        <w:ind w:right="-989"/>
        <w:jc w:val="both"/>
        <w:rPr>
          <w:rFonts w:ascii="Palatino Linotype" w:eastAsia="Palatino Linotype" w:hAnsi="Palatino Linotype" w:cs="Palatino Linotype"/>
          <w:b/>
          <w:bCs/>
        </w:rPr>
      </w:pPr>
    </w:p>
    <w:p w:rsidR="004D52D1" w:rsidRDefault="00592C73">
      <w:pPr>
        <w:shd w:val="clear" w:color="auto" w:fill="FFFFFF"/>
        <w:spacing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b/>
          <w:bCs/>
        </w:rPr>
        <w:t>SEXTO</w:t>
      </w:r>
      <w:r>
        <w:rPr>
          <w:rFonts w:ascii="Palatino Linotype" w:eastAsia="Palatino Linotype" w:hAnsi="Palatino Linotype" w:cs="Palatino Linotype"/>
        </w:rPr>
        <w:t xml:space="preserve">. Hágase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que la respuesta que dé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derivada de la presente resolución es susceptible de ser impugnada nuevamente, mediante recurso de revisión, ante el Instituto, en términos del artículo 179, </w:t>
      </w:r>
      <w:r>
        <w:rPr>
          <w:rFonts w:ascii="Palatino Linotype" w:eastAsia="Palatino Linotype" w:hAnsi="Palatino Linotype" w:cs="Palatino Linotype"/>
        </w:rPr>
        <w:lastRenderedPageBreak/>
        <w:t>último párrafo de la Ley de Transparencia y Acceso a la Información Pública del Estado de México y Municipios.</w:t>
      </w:r>
      <w:r>
        <w:rPr>
          <w:rFonts w:ascii="Palatino Linotype" w:eastAsia="Palatino Linotype" w:hAnsi="Palatino Linotype" w:cs="Palatino Linotype"/>
        </w:rPr>
        <w:tab/>
      </w:r>
    </w:p>
    <w:p w:rsidR="004D52D1" w:rsidRDefault="004D52D1">
      <w:pPr>
        <w:spacing w:line="360" w:lineRule="auto"/>
        <w:ind w:right="-989"/>
        <w:jc w:val="both"/>
        <w:rPr>
          <w:rFonts w:ascii="Palatino Linotype" w:eastAsia="Palatino Linotype" w:hAnsi="Palatino Linotype" w:cs="Palatino Linotype"/>
          <w:b/>
          <w:bCs/>
        </w:rPr>
      </w:pPr>
    </w:p>
    <w:p w:rsidR="004D52D1" w:rsidRDefault="00592C73">
      <w:pPr>
        <w:shd w:val="clear" w:color="auto" w:fill="FFFFFF"/>
        <w:spacing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b/>
          <w:bCs/>
        </w:rPr>
        <w:t>SÉPTIMA.</w:t>
      </w:r>
      <w:r>
        <w:rPr>
          <w:rFonts w:ascii="Palatino Linotype" w:eastAsia="Palatino Linotype" w:hAnsi="Palatino Linotype" w:cs="Palatino Linotype"/>
        </w:rPr>
        <w:t xml:space="preserve"> Se hace del conocimiento del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4D52D1" w:rsidRDefault="004D52D1">
      <w:pPr>
        <w:shd w:val="clear" w:color="auto" w:fill="FFFFFF"/>
        <w:spacing w:line="360" w:lineRule="auto"/>
        <w:ind w:right="-989"/>
        <w:jc w:val="both"/>
        <w:rPr>
          <w:rFonts w:ascii="Palatino Linotype" w:eastAsia="Palatino Linotype" w:hAnsi="Palatino Linotype" w:cs="Palatino Linotype"/>
        </w:rPr>
      </w:pPr>
    </w:p>
    <w:p w:rsidR="00437A86" w:rsidRPr="003E2295" w:rsidRDefault="00437A86" w:rsidP="00437A86">
      <w:pPr>
        <w:spacing w:before="240" w:after="240" w:line="360" w:lineRule="auto"/>
        <w:ind w:right="-992" w:firstLine="1"/>
        <w:jc w:val="both"/>
        <w:rPr>
          <w:rFonts w:ascii="Palatino Linotype" w:hAnsi="Palatino Linotype"/>
        </w:rPr>
      </w:pPr>
      <w:bookmarkStart w:id="11" w:name="_heading=h.dipqbfvvq8qp" w:colFirst="0" w:colLast="0"/>
      <w:bookmarkStart w:id="12" w:name="_Hlk99014733"/>
      <w:bookmarkEnd w:id="11"/>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PRIMERA </w:t>
      </w:r>
      <w:r w:rsidRPr="003E2295">
        <w:rPr>
          <w:rFonts w:ascii="Palatino Linotype" w:hAnsi="Palatino Linotype" w:cs="Palatino Linotype"/>
        </w:rPr>
        <w:t>SESIÓN O</w:t>
      </w:r>
      <w:r>
        <w:rPr>
          <w:rFonts w:ascii="Palatino Linotype" w:hAnsi="Palatino Linotype" w:cs="Palatino Linotype"/>
        </w:rPr>
        <w:t>RDINARIA, CELEBRADA EL DIEZ (10</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2"/>
    <w:p w:rsidR="004D52D1" w:rsidRDefault="004D52D1" w:rsidP="00437A86">
      <w:pPr>
        <w:spacing w:before="240" w:after="240" w:line="360" w:lineRule="auto"/>
        <w:ind w:right="-992" w:firstLine="1"/>
        <w:jc w:val="both"/>
        <w:rPr>
          <w:rFonts w:ascii="Palatino Linotype" w:eastAsia="Palatino Linotype" w:hAnsi="Palatino Linotype" w:cs="Palatino Linotype"/>
        </w:rPr>
      </w:pPr>
    </w:p>
    <w:p w:rsidR="004D52D1" w:rsidRDefault="004D52D1" w:rsidP="00437A86">
      <w:pPr>
        <w:spacing w:before="240" w:after="240" w:line="360" w:lineRule="auto"/>
        <w:ind w:right="-992" w:firstLine="1"/>
        <w:jc w:val="both"/>
        <w:rPr>
          <w:rFonts w:ascii="Palatino Linotype" w:eastAsia="Palatino Linotype" w:hAnsi="Palatino Linotype" w:cs="Palatino Linotype"/>
        </w:rPr>
      </w:pPr>
    </w:p>
    <w:p w:rsidR="004D52D1" w:rsidRDefault="004D52D1" w:rsidP="00437A86">
      <w:pPr>
        <w:spacing w:before="240" w:after="240" w:line="360" w:lineRule="auto"/>
        <w:ind w:right="-992" w:firstLine="1"/>
        <w:jc w:val="both"/>
        <w:rPr>
          <w:rFonts w:ascii="Palatino Linotype" w:eastAsia="Palatino Linotype" w:hAnsi="Palatino Linotype" w:cs="Palatino Linotype"/>
        </w:rPr>
      </w:pPr>
    </w:p>
    <w:p w:rsidR="004D52D1" w:rsidRDefault="004D52D1" w:rsidP="00437A86">
      <w:pPr>
        <w:spacing w:before="240" w:after="240" w:line="360" w:lineRule="auto"/>
        <w:ind w:right="-992" w:firstLine="1"/>
        <w:jc w:val="both"/>
        <w:rPr>
          <w:rFonts w:ascii="Palatino Linotype" w:eastAsia="Palatino Linotype" w:hAnsi="Palatino Linotype" w:cs="Palatino Linotype"/>
        </w:rPr>
      </w:pPr>
    </w:p>
    <w:p w:rsidR="004D52D1" w:rsidRDefault="004D52D1" w:rsidP="00437A86">
      <w:pPr>
        <w:spacing w:before="240" w:after="240" w:line="360" w:lineRule="auto"/>
        <w:ind w:right="-992" w:firstLine="1"/>
        <w:jc w:val="both"/>
        <w:rPr>
          <w:rFonts w:ascii="Palatino Linotype" w:eastAsia="Palatino Linotype" w:hAnsi="Palatino Linotype" w:cs="Palatino Linotype"/>
        </w:rPr>
      </w:pPr>
    </w:p>
    <w:p w:rsidR="004D52D1" w:rsidRDefault="004D52D1" w:rsidP="00437A86">
      <w:pPr>
        <w:spacing w:before="240" w:after="240" w:line="360" w:lineRule="auto"/>
        <w:ind w:right="-992" w:firstLine="1"/>
        <w:jc w:val="both"/>
        <w:rPr>
          <w:rFonts w:ascii="Palatino Linotype" w:eastAsia="Palatino Linotype" w:hAnsi="Palatino Linotype" w:cs="Palatino Linotype"/>
        </w:rPr>
      </w:pPr>
    </w:p>
    <w:p w:rsidR="004D52D1" w:rsidRDefault="004D52D1">
      <w:pPr>
        <w:spacing w:before="240" w:after="240" w:line="360" w:lineRule="auto"/>
        <w:ind w:right="-989" w:firstLine="1"/>
        <w:jc w:val="both"/>
        <w:rPr>
          <w:rFonts w:ascii="Palatino Linotype" w:eastAsia="Palatino Linotype" w:hAnsi="Palatino Linotype" w:cs="Palatino Linotype"/>
        </w:rPr>
      </w:pPr>
    </w:p>
    <w:p w:rsidR="004D52D1" w:rsidRDefault="004D52D1">
      <w:pPr>
        <w:spacing w:line="360" w:lineRule="auto"/>
        <w:ind w:right="-989"/>
        <w:jc w:val="both"/>
        <w:rPr>
          <w:rFonts w:ascii="Palatino Linotype" w:eastAsia="Palatino Linotype" w:hAnsi="Palatino Linotype" w:cs="Palatino Linotype"/>
        </w:rPr>
      </w:pPr>
    </w:p>
    <w:p w:rsidR="004D52D1" w:rsidRDefault="004D52D1">
      <w:pPr>
        <w:pStyle w:val="Ttulo2"/>
        <w:spacing w:before="0" w:line="360" w:lineRule="auto"/>
        <w:ind w:right="-989"/>
      </w:pPr>
    </w:p>
    <w:p w:rsidR="004745E1" w:rsidRDefault="004745E1" w:rsidP="004745E1"/>
    <w:p w:rsidR="004745E1" w:rsidRDefault="004745E1" w:rsidP="004745E1"/>
    <w:p w:rsidR="004745E1" w:rsidRDefault="004745E1" w:rsidP="004745E1"/>
    <w:p w:rsidR="004745E1" w:rsidRDefault="004745E1" w:rsidP="004745E1"/>
    <w:p w:rsidR="004745E1" w:rsidRDefault="004745E1" w:rsidP="004745E1"/>
    <w:p w:rsidR="004745E1" w:rsidRDefault="004745E1" w:rsidP="004745E1"/>
    <w:p w:rsidR="004745E1" w:rsidRDefault="004745E1" w:rsidP="004745E1"/>
    <w:p w:rsidR="004745E1" w:rsidRDefault="004745E1" w:rsidP="004745E1"/>
    <w:p w:rsidR="004745E1" w:rsidRDefault="004745E1" w:rsidP="004745E1"/>
    <w:p w:rsidR="004745E1" w:rsidRDefault="004745E1" w:rsidP="004745E1"/>
    <w:p w:rsidR="004745E1" w:rsidRDefault="004745E1" w:rsidP="004745E1"/>
    <w:p w:rsidR="004745E1" w:rsidRDefault="004745E1" w:rsidP="004745E1"/>
    <w:p w:rsidR="004745E1" w:rsidRDefault="004745E1" w:rsidP="004745E1"/>
    <w:p w:rsidR="004745E1" w:rsidRPr="004745E1" w:rsidRDefault="004745E1" w:rsidP="004745E1"/>
    <w:sectPr w:rsidR="004745E1" w:rsidRPr="004745E1">
      <w:headerReference w:type="default" r:id="rId13"/>
      <w:footerReference w:type="default" r:id="rId14"/>
      <w:headerReference w:type="first" r:id="rId15"/>
      <w:footerReference w:type="first" r:id="rId16"/>
      <w:pgSz w:w="12240" w:h="15840"/>
      <w:pgMar w:top="1691" w:right="1750" w:bottom="1701"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002E" w:rsidRDefault="003B002E">
      <w:r>
        <w:separator/>
      </w:r>
    </w:p>
  </w:endnote>
  <w:endnote w:type="continuationSeparator" w:id="0">
    <w:p w:rsidR="003B002E" w:rsidRDefault="003B0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1" w:fontKey="{FF6644E0-8398-40F5-925B-00298CE1D139}"/>
    <w:embedBold r:id="rId2" w:fontKey="{BAD614DA-0FA0-4BA1-A150-D18EE3B44CF6}"/>
    <w:embedItalic r:id="rId3" w:fontKey="{D7F942F1-74D6-43D3-83E8-E4A0217E56B9}"/>
    <w:embedBoldItalic r:id="rId4" w:fontKey="{35949469-1772-4F61-A9E2-E263D35D7045}"/>
  </w:font>
  <w:font w:name="Noto Sans Symbols">
    <w:altName w:val="Times New Roman"/>
    <w:charset w:val="00"/>
    <w:family w:val="auto"/>
    <w:pitch w:val="default"/>
    <w:embedRegular r:id="rId5" w:fontKey="{8D7386AA-547B-4E77-8DF3-68C7A053FE02}"/>
  </w:font>
  <w:font w:name="Cambria">
    <w:panose1 w:val="02040503050406030204"/>
    <w:charset w:val="00"/>
    <w:family w:val="roman"/>
    <w:pitch w:val="variable"/>
    <w:sig w:usb0="E00006FF" w:usb1="420024FF" w:usb2="02000000" w:usb3="00000000" w:csb0="0000019F" w:csb1="00000000"/>
    <w:embedRegular r:id="rId6" w:fontKey="{6FC93BF1-3771-456E-A892-09FF8E9FDE54}"/>
    <w:embedBold r:id="rId7" w:fontKey="{8FC7B25F-F576-4DC1-960D-61D53CA0833E}"/>
    <w:embedItalic r:id="rId8" w:fontKey="{D501A10E-CEBC-4B99-B7E5-A69D2A5365B2}"/>
  </w:font>
  <w:font w:name="Calibri">
    <w:panose1 w:val="020F0502020204030204"/>
    <w:charset w:val="00"/>
    <w:family w:val="swiss"/>
    <w:pitch w:val="variable"/>
    <w:sig w:usb0="E4002EFF" w:usb1="C200247B" w:usb2="00000009" w:usb3="00000000" w:csb0="000001FF" w:csb1="00000000"/>
    <w:embedRegular r:id="rId9" w:fontKey="{28E0FD33-EDD5-46A5-9507-633F69BD620A}"/>
    <w:embedItalic r:id="rId10" w:fontKey="{44FEE910-A738-4BE8-A6A8-23FD48A80D78}"/>
  </w:font>
  <w:font w:name="Georgia">
    <w:panose1 w:val="02040502050405020303"/>
    <w:charset w:val="00"/>
    <w:family w:val="roman"/>
    <w:pitch w:val="variable"/>
    <w:sig w:usb0="00000287" w:usb1="00000000" w:usb2="00000000" w:usb3="00000000" w:csb0="0000009F" w:csb1="00000000"/>
    <w:embedItalic r:id="rId11" w:fontKey="{3534B377-59C3-4B67-8557-07752C06EA4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2D1" w:rsidRDefault="00592C73">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A0482F">
      <w:rPr>
        <w:rFonts w:ascii="Palatino Linotype" w:eastAsia="Palatino Linotype" w:hAnsi="Palatino Linotype" w:cs="Palatino Linotype"/>
        <w:b/>
        <w:bCs/>
        <w:noProof/>
        <w:color w:val="000000"/>
        <w:sz w:val="22"/>
        <w:szCs w:val="22"/>
      </w:rPr>
      <w:t>22</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A0482F">
      <w:rPr>
        <w:rFonts w:ascii="Palatino Linotype" w:eastAsia="Palatino Linotype" w:hAnsi="Palatino Linotype" w:cs="Palatino Linotype"/>
        <w:b/>
        <w:bCs/>
        <w:noProof/>
        <w:color w:val="000000"/>
        <w:sz w:val="22"/>
        <w:szCs w:val="22"/>
      </w:rPr>
      <w:t>22</w:t>
    </w:r>
    <w:r>
      <w:rPr>
        <w:rFonts w:ascii="Palatino Linotype" w:eastAsia="Palatino Linotype" w:hAnsi="Palatino Linotype" w:cs="Palatino Linotype"/>
        <w:b/>
        <w:bCs/>
        <w:color w:val="000000"/>
        <w:sz w:val="22"/>
        <w:szCs w:val="22"/>
      </w:rPr>
      <w:fldChar w:fldCharType="end"/>
    </w:r>
  </w:p>
  <w:p w:rsidR="004D52D1" w:rsidRDefault="004D52D1">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8"/>
        <w:szCs w:val="28"/>
      </w:rPr>
    </w:pPr>
  </w:p>
  <w:p w:rsidR="004D52D1" w:rsidRDefault="004D52D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2D1" w:rsidRDefault="00592C73">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A0482F">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A0482F">
      <w:rPr>
        <w:rFonts w:ascii="Palatino Linotype" w:eastAsia="Palatino Linotype" w:hAnsi="Palatino Linotype" w:cs="Palatino Linotype"/>
        <w:noProof/>
        <w:color w:val="000000"/>
        <w:sz w:val="22"/>
        <w:szCs w:val="22"/>
      </w:rPr>
      <w:t>22</w:t>
    </w:r>
    <w:r>
      <w:rPr>
        <w:rFonts w:ascii="Palatino Linotype" w:eastAsia="Palatino Linotype" w:hAnsi="Palatino Linotype" w:cs="Palatino Linotype"/>
        <w:color w:val="000000"/>
        <w:sz w:val="22"/>
        <w:szCs w:val="22"/>
      </w:rPr>
      <w:fldChar w:fldCharType="end"/>
    </w:r>
  </w:p>
  <w:p w:rsidR="004D52D1" w:rsidRDefault="004D52D1">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p w:rsidR="004D52D1" w:rsidRDefault="004D52D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002E" w:rsidRDefault="003B002E">
      <w:r>
        <w:separator/>
      </w:r>
    </w:p>
  </w:footnote>
  <w:footnote w:type="continuationSeparator" w:id="0">
    <w:p w:rsidR="003B002E" w:rsidRDefault="003B002E">
      <w:r>
        <w:continuationSeparator/>
      </w:r>
    </w:p>
  </w:footnote>
  <w:footnote w:id="1">
    <w:p w:rsidR="004D52D1" w:rsidRDefault="00592C7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150. Ley de Transparencia y Acceso a la Información Pública del Estado de México y Municipios.</w:t>
      </w:r>
    </w:p>
    <w:p w:rsidR="004D52D1" w:rsidRDefault="00592C73">
      <w:pPr>
        <w:pBdr>
          <w:top w:val="nil"/>
          <w:left w:val="nil"/>
          <w:bottom w:val="nil"/>
          <w:right w:val="nil"/>
          <w:between w:val="nil"/>
        </w:pBdr>
        <w:rPr>
          <w:color w:val="000000"/>
          <w:sz w:val="20"/>
          <w:szCs w:val="20"/>
        </w:rPr>
      </w:pPr>
      <w:r>
        <w:rPr>
          <w:color w:val="000000"/>
          <w:sz w:val="20"/>
          <w:szCs w:val="20"/>
        </w:rPr>
        <w:t>Artículo 151. Ibídem.</w:t>
      </w:r>
    </w:p>
  </w:footnote>
  <w:footnote w:id="2">
    <w:p w:rsidR="004D52D1" w:rsidRDefault="00592C7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Fracción IV. Artículo 53. Ibídem.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6465" w:type="dxa"/>
      <w:tblInd w:w="3544" w:type="dxa"/>
      <w:tblBorders>
        <w:top w:val="nil"/>
        <w:left w:val="nil"/>
        <w:bottom w:val="nil"/>
        <w:right w:val="nil"/>
        <w:insideH w:val="nil"/>
        <w:insideV w:val="nil"/>
      </w:tblBorders>
      <w:tblLayout w:type="fixed"/>
      <w:tblLook w:val="0400" w:firstRow="0" w:lastRow="0" w:firstColumn="0" w:lastColumn="0" w:noHBand="0" w:noVBand="1"/>
    </w:tblPr>
    <w:tblGrid>
      <w:gridCol w:w="2919"/>
      <w:gridCol w:w="3546"/>
    </w:tblGrid>
    <w:tr w:rsidR="004D52D1" w:rsidTr="00BA4669">
      <w:trPr>
        <w:trHeight w:val="138"/>
      </w:trPr>
      <w:tc>
        <w:tcPr>
          <w:tcW w:w="2919" w:type="dxa"/>
          <w:vAlign w:val="center"/>
        </w:tcPr>
        <w:p w:rsidR="004D52D1" w:rsidRDefault="00592C73">
          <w:pPr>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Recurso de Revisión:</w:t>
          </w:r>
        </w:p>
      </w:tc>
      <w:tc>
        <w:tcPr>
          <w:tcW w:w="3546" w:type="dxa"/>
          <w:vAlign w:val="center"/>
        </w:tcPr>
        <w:p w:rsidR="004D52D1" w:rsidRDefault="00592C73">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4"/>
              <w:szCs w:val="24"/>
              <w:highlight w:val="yellow"/>
            </w:rPr>
          </w:pPr>
          <w:r>
            <w:rPr>
              <w:rFonts w:ascii="Palatino Linotype" w:eastAsia="Palatino Linotype" w:hAnsi="Palatino Linotype" w:cs="Palatino Linotype"/>
              <w:color w:val="000000"/>
              <w:sz w:val="24"/>
              <w:szCs w:val="24"/>
            </w:rPr>
            <w:t>14423/INFOEM/IP/RR/2025</w:t>
          </w:r>
        </w:p>
      </w:tc>
    </w:tr>
    <w:tr w:rsidR="004D52D1" w:rsidTr="00BA4669">
      <w:trPr>
        <w:trHeight w:val="321"/>
      </w:trPr>
      <w:tc>
        <w:tcPr>
          <w:tcW w:w="2919" w:type="dxa"/>
          <w:vAlign w:val="center"/>
        </w:tcPr>
        <w:p w:rsidR="004D52D1" w:rsidRDefault="00592C73">
          <w:pPr>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Sujeto Obligado:</w:t>
          </w:r>
        </w:p>
      </w:tc>
      <w:tc>
        <w:tcPr>
          <w:tcW w:w="3546" w:type="dxa"/>
          <w:vAlign w:val="center"/>
        </w:tcPr>
        <w:p w:rsidR="004D52D1" w:rsidRDefault="00592C73">
          <w:pPr>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Ayuntamiento de Tepotzotlán</w:t>
          </w:r>
        </w:p>
      </w:tc>
    </w:tr>
    <w:tr w:rsidR="004D52D1" w:rsidTr="00BA4669">
      <w:trPr>
        <w:trHeight w:val="321"/>
      </w:trPr>
      <w:tc>
        <w:tcPr>
          <w:tcW w:w="2919" w:type="dxa"/>
          <w:vAlign w:val="center"/>
        </w:tcPr>
        <w:p w:rsidR="004D52D1" w:rsidRDefault="00592C73">
          <w:pPr>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Comisionada Ponente:</w:t>
          </w:r>
        </w:p>
      </w:tc>
      <w:tc>
        <w:tcPr>
          <w:tcW w:w="3546" w:type="dxa"/>
          <w:vAlign w:val="center"/>
        </w:tcPr>
        <w:p w:rsidR="004D52D1" w:rsidRDefault="00592C73">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María del Rosario Mejía Ayala</w:t>
          </w:r>
        </w:p>
      </w:tc>
    </w:tr>
  </w:tbl>
  <w:p w:rsidR="004D52D1" w:rsidRDefault="00BA4669">
    <w:pPr>
      <w:pBdr>
        <w:top w:val="nil"/>
        <w:left w:val="nil"/>
        <w:bottom w:val="nil"/>
        <w:right w:val="nil"/>
        <w:between w:val="nil"/>
      </w:pBdr>
      <w:tabs>
        <w:tab w:val="center" w:pos="4252"/>
        <w:tab w:val="right" w:pos="8504"/>
      </w:tabs>
      <w:rPr>
        <w:color w:val="000000"/>
      </w:rPr>
    </w:pPr>
    <w:r>
      <w:rPr>
        <w:noProof/>
        <w:lang w:val="es-MX"/>
      </w:rPr>
      <w:drawing>
        <wp:anchor distT="0" distB="0" distL="0" distR="0" simplePos="0" relativeHeight="251660288" behindDoc="1" locked="0" layoutInCell="1" hidden="0" allowOverlap="1" wp14:anchorId="606D7092" wp14:editId="61847657">
          <wp:simplePos x="0" y="0"/>
          <wp:positionH relativeFrom="page">
            <wp:align>right</wp:align>
          </wp:positionH>
          <wp:positionV relativeFrom="paragraph">
            <wp:posOffset>-1190745</wp:posOffset>
          </wp:positionV>
          <wp:extent cx="7809876" cy="10165823"/>
          <wp:effectExtent l="0" t="0" r="635" b="6985"/>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14:sizeRelH relativeFrom="margin">
            <wp14:pctWidth>0</wp14:pctWidth>
          </wp14:sizeRelH>
          <wp14:sizeRelV relativeFrom="margin">
            <wp14:pctHeight>0</wp14:pctHeight>
          </wp14:sizeRelV>
        </wp:anchor>
      </w:drawing>
    </w:r>
  </w:p>
  <w:p w:rsidR="004D52D1" w:rsidRDefault="004D52D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214" w:type="dxa"/>
      <w:tblInd w:w="325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3008"/>
      <w:gridCol w:w="236"/>
      <w:gridCol w:w="3970"/>
    </w:tblGrid>
    <w:tr w:rsidR="004D52D1" w:rsidTr="00BA4669">
      <w:trPr>
        <w:trHeight w:val="138"/>
      </w:trPr>
      <w:tc>
        <w:tcPr>
          <w:tcW w:w="3008" w:type="dxa"/>
          <w:vAlign w:val="center"/>
        </w:tcPr>
        <w:p w:rsidR="004D52D1" w:rsidRDefault="00592C73">
          <w:pPr>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Recurso de Revisión:</w:t>
          </w:r>
        </w:p>
      </w:tc>
      <w:tc>
        <w:tcPr>
          <w:tcW w:w="236" w:type="dxa"/>
          <w:vAlign w:val="center"/>
        </w:tcPr>
        <w:p w:rsidR="004D52D1" w:rsidRDefault="004D52D1">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bCs/>
              <w:color w:val="000000"/>
              <w:sz w:val="24"/>
              <w:szCs w:val="24"/>
            </w:rPr>
          </w:pPr>
        </w:p>
      </w:tc>
      <w:tc>
        <w:tcPr>
          <w:tcW w:w="3970" w:type="dxa"/>
          <w:vAlign w:val="center"/>
        </w:tcPr>
        <w:p w:rsidR="004D52D1" w:rsidRDefault="00592C73">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14423/INFOEM/IP/RR/2025</w:t>
          </w:r>
        </w:p>
      </w:tc>
    </w:tr>
    <w:tr w:rsidR="004D52D1" w:rsidTr="00BA4669">
      <w:trPr>
        <w:trHeight w:val="227"/>
      </w:trPr>
      <w:tc>
        <w:tcPr>
          <w:tcW w:w="3008" w:type="dxa"/>
          <w:vAlign w:val="center"/>
        </w:tcPr>
        <w:p w:rsidR="004D52D1" w:rsidRDefault="00592C73">
          <w:pPr>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Recurrente:</w:t>
          </w:r>
        </w:p>
      </w:tc>
      <w:tc>
        <w:tcPr>
          <w:tcW w:w="236" w:type="dxa"/>
          <w:vAlign w:val="center"/>
        </w:tcPr>
        <w:p w:rsidR="004D52D1" w:rsidRDefault="004D52D1">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bCs/>
              <w:color w:val="000000"/>
              <w:sz w:val="24"/>
              <w:szCs w:val="24"/>
            </w:rPr>
          </w:pPr>
        </w:p>
      </w:tc>
      <w:tc>
        <w:tcPr>
          <w:tcW w:w="3970" w:type="dxa"/>
          <w:vAlign w:val="center"/>
        </w:tcPr>
        <w:p w:rsidR="004D52D1" w:rsidRDefault="00A0482F">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XXXX</w:t>
          </w:r>
        </w:p>
      </w:tc>
    </w:tr>
    <w:tr w:rsidR="004D52D1" w:rsidTr="00BA4669">
      <w:trPr>
        <w:trHeight w:val="232"/>
      </w:trPr>
      <w:tc>
        <w:tcPr>
          <w:tcW w:w="3008" w:type="dxa"/>
          <w:vAlign w:val="center"/>
        </w:tcPr>
        <w:p w:rsidR="004D52D1" w:rsidRDefault="00592C73">
          <w:pPr>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Sujeto Obligado:</w:t>
          </w:r>
        </w:p>
      </w:tc>
      <w:tc>
        <w:tcPr>
          <w:tcW w:w="236" w:type="dxa"/>
          <w:vAlign w:val="center"/>
        </w:tcPr>
        <w:p w:rsidR="004D52D1" w:rsidRDefault="004D52D1">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bCs/>
              <w:color w:val="000000"/>
              <w:sz w:val="24"/>
              <w:szCs w:val="24"/>
            </w:rPr>
          </w:pPr>
        </w:p>
      </w:tc>
      <w:tc>
        <w:tcPr>
          <w:tcW w:w="3970" w:type="dxa"/>
          <w:vAlign w:val="center"/>
        </w:tcPr>
        <w:p w:rsidR="004D52D1" w:rsidRDefault="00592C73">
          <w:pPr>
            <w:ind w:right="-73"/>
            <w:rPr>
              <w:sz w:val="24"/>
              <w:szCs w:val="24"/>
            </w:rPr>
          </w:pPr>
          <w:r>
            <w:rPr>
              <w:rFonts w:ascii="Palatino Linotype" w:eastAsia="Palatino Linotype" w:hAnsi="Palatino Linotype" w:cs="Palatino Linotype"/>
              <w:sz w:val="24"/>
              <w:szCs w:val="24"/>
            </w:rPr>
            <w:t>Ayuntamiento de Tepotzotlán</w:t>
          </w:r>
        </w:p>
      </w:tc>
    </w:tr>
    <w:tr w:rsidR="004D52D1" w:rsidTr="00BA4669">
      <w:trPr>
        <w:trHeight w:val="320"/>
      </w:trPr>
      <w:tc>
        <w:tcPr>
          <w:tcW w:w="3008" w:type="dxa"/>
          <w:vAlign w:val="center"/>
        </w:tcPr>
        <w:p w:rsidR="004D52D1" w:rsidRDefault="00592C73">
          <w:pPr>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Comisionada Ponente:</w:t>
          </w:r>
        </w:p>
      </w:tc>
      <w:tc>
        <w:tcPr>
          <w:tcW w:w="236" w:type="dxa"/>
          <w:vAlign w:val="center"/>
        </w:tcPr>
        <w:p w:rsidR="004D52D1" w:rsidRDefault="004D52D1">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bCs/>
              <w:color w:val="000000"/>
              <w:sz w:val="24"/>
              <w:szCs w:val="24"/>
            </w:rPr>
          </w:pPr>
        </w:p>
      </w:tc>
      <w:tc>
        <w:tcPr>
          <w:tcW w:w="3970" w:type="dxa"/>
          <w:vAlign w:val="center"/>
        </w:tcPr>
        <w:p w:rsidR="004D52D1" w:rsidRDefault="00592C73">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María del Rosario Mejía Ayala</w:t>
          </w:r>
        </w:p>
      </w:tc>
    </w:tr>
  </w:tbl>
  <w:p w:rsidR="004D52D1" w:rsidRDefault="00BA4669">
    <w:pPr>
      <w:pBdr>
        <w:top w:val="nil"/>
        <w:left w:val="nil"/>
        <w:bottom w:val="nil"/>
        <w:right w:val="nil"/>
        <w:between w:val="nil"/>
      </w:pBdr>
      <w:tabs>
        <w:tab w:val="center" w:pos="4252"/>
        <w:tab w:val="right" w:pos="8504"/>
      </w:tabs>
      <w:rPr>
        <w:color w:val="000000"/>
      </w:rPr>
    </w:pPr>
    <w:r>
      <w:rPr>
        <w:noProof/>
        <w:lang w:val="es-MX"/>
      </w:rPr>
      <w:drawing>
        <wp:anchor distT="0" distB="0" distL="0" distR="0" simplePos="0" relativeHeight="251658240" behindDoc="1" locked="0" layoutInCell="1" hidden="0" allowOverlap="1">
          <wp:simplePos x="0" y="0"/>
          <wp:positionH relativeFrom="page">
            <wp:align>right</wp:align>
          </wp:positionH>
          <wp:positionV relativeFrom="paragraph">
            <wp:posOffset>-1419632</wp:posOffset>
          </wp:positionV>
          <wp:extent cx="7809876" cy="10165823"/>
          <wp:effectExtent l="0" t="0" r="635" b="6985"/>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D291A"/>
    <w:multiLevelType w:val="multilevel"/>
    <w:tmpl w:val="18A6FA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A67343"/>
    <w:multiLevelType w:val="hybridMultilevel"/>
    <w:tmpl w:val="1F229C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FD4606D"/>
    <w:multiLevelType w:val="multilevel"/>
    <w:tmpl w:val="DC96E950"/>
    <w:lvl w:ilvl="0">
      <w:start w:val="3"/>
      <w:numFmt w:val="decimal"/>
      <w:lvlText w:val="%1."/>
      <w:lvlJc w:val="left"/>
      <w:pPr>
        <w:ind w:left="720" w:hanging="36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4AF3AA7"/>
    <w:multiLevelType w:val="multilevel"/>
    <w:tmpl w:val="9474CB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854016D"/>
    <w:multiLevelType w:val="multilevel"/>
    <w:tmpl w:val="DBE44890"/>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D322EE5"/>
    <w:multiLevelType w:val="multilevel"/>
    <w:tmpl w:val="9AD8DA22"/>
    <w:lvl w:ilvl="0">
      <w:start w:val="4"/>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FEE5642"/>
    <w:multiLevelType w:val="multilevel"/>
    <w:tmpl w:val="B5B0D4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4384C53"/>
    <w:multiLevelType w:val="multilevel"/>
    <w:tmpl w:val="C6D6B0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E2408AE"/>
    <w:multiLevelType w:val="multilevel"/>
    <w:tmpl w:val="757EDB4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5F0C2768"/>
    <w:multiLevelType w:val="multilevel"/>
    <w:tmpl w:val="DD06F3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5483B00"/>
    <w:multiLevelType w:val="multilevel"/>
    <w:tmpl w:val="6A1AFF9C"/>
    <w:lvl w:ilvl="0">
      <w:start w:val="10"/>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E7A011D"/>
    <w:multiLevelType w:val="multilevel"/>
    <w:tmpl w:val="C1068F38"/>
    <w:lvl w:ilvl="0">
      <w:start w:val="9"/>
      <w:numFmt w:val="decimal"/>
      <w:lvlText w:val="%1."/>
      <w:lvlJc w:val="left"/>
      <w:pPr>
        <w:ind w:left="720" w:hanging="36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5"/>
  </w:num>
  <w:num w:numId="6">
    <w:abstractNumId w:val="11"/>
  </w:num>
  <w:num w:numId="7">
    <w:abstractNumId w:val="10"/>
  </w:num>
  <w:num w:numId="8">
    <w:abstractNumId w:val="7"/>
  </w:num>
  <w:num w:numId="9">
    <w:abstractNumId w:val="6"/>
  </w:num>
  <w:num w:numId="10">
    <w:abstractNumId w:val="8"/>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2D1"/>
    <w:rsid w:val="003B002E"/>
    <w:rsid w:val="00437A86"/>
    <w:rsid w:val="004745E1"/>
    <w:rsid w:val="004D52D1"/>
    <w:rsid w:val="00592C73"/>
    <w:rsid w:val="005B2724"/>
    <w:rsid w:val="009C7429"/>
    <w:rsid w:val="00A0482F"/>
    <w:rsid w:val="00B83A2D"/>
    <w:rsid w:val="00BA4669"/>
    <w:rsid w:val="00CE25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313675-CE75-4907-8272-3194A2BF8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line="259" w:lineRule="auto"/>
      <w:outlineLvl w:val="0"/>
    </w:pPr>
    <w:rPr>
      <w:rFonts w:ascii="Palatino Linotype" w:eastAsia="Palatino Linotype" w:hAnsi="Palatino Linotype" w:cs="Palatino Linotype"/>
      <w:b/>
      <w:bCs/>
      <w:color w:val="000000"/>
    </w:rPr>
  </w:style>
  <w:style w:type="paragraph" w:styleId="Ttulo2">
    <w:name w:val="heading 2"/>
    <w:basedOn w:val="Normal"/>
    <w:next w:val="Normal"/>
    <w:pPr>
      <w:keepNext/>
      <w:keepLines/>
      <w:spacing w:before="40" w:line="259" w:lineRule="auto"/>
      <w:outlineLvl w:val="1"/>
    </w:pPr>
    <w:rPr>
      <w:rFonts w:ascii="Palatino Linotype" w:eastAsia="Palatino Linotype" w:hAnsi="Palatino Linotype" w:cs="Palatino Linotype"/>
      <w:b/>
      <w:bCs/>
      <w:color w:val="000000"/>
    </w:rPr>
  </w:style>
  <w:style w:type="paragraph" w:styleId="Ttulo3">
    <w:name w:val="heading 3"/>
    <w:basedOn w:val="Normal"/>
    <w:next w:val="Normal"/>
    <w:pPr>
      <w:keepNext/>
      <w:keepLines/>
      <w:spacing w:before="40"/>
      <w:outlineLvl w:val="2"/>
    </w:pPr>
    <w:rPr>
      <w:rFonts w:ascii="Calibri" w:eastAsia="Calibri" w:hAnsi="Calibri" w:cs="Calibri"/>
      <w:color w:val="243F61"/>
    </w:rPr>
  </w:style>
  <w:style w:type="paragraph" w:styleId="Ttulo4">
    <w:name w:val="heading 4"/>
    <w:basedOn w:val="Normal"/>
    <w:next w:val="Normal"/>
    <w:pPr>
      <w:keepNext/>
      <w:keepLines/>
      <w:spacing w:before="40"/>
      <w:outlineLvl w:val="3"/>
    </w:pPr>
    <w:rPr>
      <w:rFonts w:ascii="Calibri" w:eastAsia="Calibri" w:hAnsi="Calibri" w:cs="Calibri"/>
      <w:i/>
      <w:iCs/>
      <w:color w:val="366091"/>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0">
    <w:basedOn w:val="TableNormal"/>
    <w:rPr>
      <w:sz w:val="22"/>
      <w:szCs w:val="22"/>
    </w:rPr>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BA4669"/>
    <w:pPr>
      <w:tabs>
        <w:tab w:val="center" w:pos="4419"/>
        <w:tab w:val="right" w:pos="8838"/>
      </w:tabs>
    </w:pPr>
  </w:style>
  <w:style w:type="character" w:customStyle="1" w:styleId="EncabezadoCar">
    <w:name w:val="Encabezado Car"/>
    <w:basedOn w:val="Fuentedeprrafopredeter"/>
    <w:link w:val="Encabezado"/>
    <w:uiPriority w:val="99"/>
    <w:rsid w:val="00BA4669"/>
  </w:style>
  <w:style w:type="paragraph" w:styleId="Piedepgina">
    <w:name w:val="footer"/>
    <w:basedOn w:val="Normal"/>
    <w:link w:val="PiedepginaCar"/>
    <w:uiPriority w:val="99"/>
    <w:unhideWhenUsed/>
    <w:rsid w:val="00BA4669"/>
    <w:pPr>
      <w:tabs>
        <w:tab w:val="center" w:pos="4419"/>
        <w:tab w:val="right" w:pos="8838"/>
      </w:tabs>
    </w:pPr>
  </w:style>
  <w:style w:type="character" w:customStyle="1" w:styleId="PiedepginaCar">
    <w:name w:val="Pie de página Car"/>
    <w:basedOn w:val="Fuentedeprrafopredeter"/>
    <w:link w:val="Piedepgina"/>
    <w:uiPriority w:val="99"/>
    <w:rsid w:val="00BA4669"/>
  </w:style>
  <w:style w:type="paragraph" w:styleId="Prrafodelista">
    <w:name w:val="List Paragraph"/>
    <w:basedOn w:val="Normal"/>
    <w:uiPriority w:val="34"/>
    <w:qFormat/>
    <w:rsid w:val="00BA46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dui.edomex.gob.mx/sites/sedui.edomex.gob.mx/files/files/planes_municipales/METODOLOG%C3%8DA%20PLANES%20MUNICIPALES%20CON%20N%C3%9AMERO%20DE%20AUTORIZACI%C3%93N%2016-04-26.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dui.edomex.gob.mx/sites/sedui.edomex.gob.mx/files/files/planes_municipales/Lineamientos%20Normativos%2003-03-2026.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G8Cqj+i2KyinnsnC4/UObnczKQ==">CgMxLjAyDmguc3JlOWgwNXE0djBiMghoLmdqZGd4czIJaC4zMGowemxsMgloLjJldDkycDAyCGgudHlqY3d0MgloLjNkeTZ2a20yCWguMXQzaDVzZjIOaC41ZG9ybnduN3F5ZzUyCWguMjZpbjFyZzIIaC5sbnhiejkyDmguZGlwcWJmdnZxOHFwOAByITFnU0Q3a0g1LUY5SXlMSDdWelI4Z3BweXFkUFJjUjhsbA==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22</Pages>
  <Words>5380</Words>
  <Characters>29591</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34902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2026-06-12T17:10:00Z</cp:lastPrinted>
  <dcterms:created xsi:type="dcterms:W3CDTF">2026-06-10T23:49:00Z</dcterms:created>
  <dcterms:modified xsi:type="dcterms:W3CDTF">2026-06-17T00:00:00Z</dcterms:modified>
</cp:coreProperties>
</file>