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637B92"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637B92">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637B92">
        <w:rPr>
          <w:rFonts w:ascii="Palatino Linotype" w:eastAsia="Palatino Linotype" w:hAnsi="Palatino Linotype" w:cs="Palatino Linotype"/>
          <w:sz w:val="22"/>
          <w:szCs w:val="22"/>
        </w:rPr>
        <w:t>diecisiete</w:t>
      </w:r>
      <w:r w:rsidR="00032509" w:rsidRPr="00637B92">
        <w:rPr>
          <w:rFonts w:ascii="Palatino Linotype" w:eastAsia="Palatino Linotype" w:hAnsi="Palatino Linotype" w:cs="Palatino Linotype"/>
          <w:sz w:val="22"/>
          <w:szCs w:val="22"/>
        </w:rPr>
        <w:t xml:space="preserve"> de septiembre</w:t>
      </w:r>
      <w:r w:rsidR="00E55CFA" w:rsidRPr="00637B92">
        <w:rPr>
          <w:rFonts w:ascii="Palatino Linotype" w:eastAsia="Palatino Linotype" w:hAnsi="Palatino Linotype" w:cs="Palatino Linotype"/>
          <w:sz w:val="22"/>
          <w:szCs w:val="22"/>
        </w:rPr>
        <w:t xml:space="preserve"> de dos mil veintiséis</w:t>
      </w:r>
      <w:r w:rsidRPr="00637B92">
        <w:rPr>
          <w:rFonts w:ascii="Palatino Linotype" w:eastAsia="Palatino Linotype" w:hAnsi="Palatino Linotype" w:cs="Palatino Linotype"/>
          <w:sz w:val="22"/>
          <w:szCs w:val="22"/>
        </w:rPr>
        <w:t xml:space="preserve">. </w:t>
      </w:r>
    </w:p>
    <w:p w14:paraId="13FC4B2B" w14:textId="77777777" w:rsidR="00532AE4" w:rsidRPr="00637B92" w:rsidRDefault="00532AE4">
      <w:pPr>
        <w:spacing w:line="360" w:lineRule="auto"/>
        <w:jc w:val="both"/>
        <w:rPr>
          <w:rFonts w:ascii="Palatino Linotype" w:eastAsia="Palatino Linotype" w:hAnsi="Palatino Linotype" w:cs="Palatino Linotype"/>
          <w:b/>
          <w:sz w:val="22"/>
          <w:szCs w:val="22"/>
        </w:rPr>
      </w:pPr>
    </w:p>
    <w:p w14:paraId="50DC799A" w14:textId="1BFB9D79"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 xml:space="preserve">Visto </w:t>
      </w:r>
      <w:r w:rsidRPr="00637B92">
        <w:rPr>
          <w:rFonts w:ascii="Palatino Linotype" w:eastAsia="Palatino Linotype" w:hAnsi="Palatino Linotype" w:cs="Palatino Linotype"/>
          <w:sz w:val="22"/>
          <w:szCs w:val="22"/>
        </w:rPr>
        <w:t xml:space="preserve">el expediente relativo al recurso de revisión </w:t>
      </w:r>
      <w:r w:rsidR="008C1E2D" w:rsidRPr="00637B92">
        <w:rPr>
          <w:rFonts w:ascii="Palatino Linotype" w:eastAsia="Palatino Linotype" w:hAnsi="Palatino Linotype" w:cs="Palatino Linotype"/>
          <w:b/>
          <w:sz w:val="22"/>
          <w:szCs w:val="22"/>
        </w:rPr>
        <w:t>0</w:t>
      </w:r>
      <w:r w:rsidR="00632571" w:rsidRPr="00637B92">
        <w:rPr>
          <w:rFonts w:ascii="Palatino Linotype" w:eastAsia="Palatino Linotype" w:hAnsi="Palatino Linotype" w:cs="Palatino Linotype"/>
          <w:b/>
          <w:sz w:val="22"/>
          <w:szCs w:val="22"/>
        </w:rPr>
        <w:t>8014</w:t>
      </w:r>
      <w:r w:rsidR="000C05BE" w:rsidRPr="00637B92">
        <w:rPr>
          <w:rFonts w:ascii="Palatino Linotype" w:eastAsia="Palatino Linotype" w:hAnsi="Palatino Linotype" w:cs="Palatino Linotype"/>
          <w:b/>
          <w:sz w:val="22"/>
          <w:szCs w:val="22"/>
        </w:rPr>
        <w:t>/INFOEM/IP/RR/2026</w:t>
      </w:r>
      <w:r w:rsidRPr="00637B92">
        <w:rPr>
          <w:rFonts w:ascii="Palatino Linotype" w:eastAsia="Palatino Linotype" w:hAnsi="Palatino Linotype" w:cs="Palatino Linotype"/>
          <w:sz w:val="22"/>
          <w:szCs w:val="22"/>
        </w:rPr>
        <w:t xml:space="preserve">, </w:t>
      </w:r>
      <w:r w:rsidRPr="00637B92">
        <w:rPr>
          <w:rFonts w:ascii="Palatino Linotype" w:eastAsia="Palatino Linotype" w:hAnsi="Palatino Linotype" w:cs="Palatino Linotype"/>
        </w:rPr>
        <w:t xml:space="preserve">interpuesto </w:t>
      </w:r>
      <w:r w:rsidR="0061438F" w:rsidRPr="00637B92">
        <w:rPr>
          <w:rFonts w:ascii="Palatino Linotype" w:eastAsia="Palatino Linotype" w:hAnsi="Palatino Linotype" w:cs="Palatino Linotype"/>
        </w:rPr>
        <w:t xml:space="preserve">por </w:t>
      </w:r>
      <w:r w:rsidR="00B60315">
        <w:rPr>
          <w:rFonts w:ascii="Palatino Linotype" w:eastAsia="Palatino Linotype" w:hAnsi="Palatino Linotype" w:cs="Palatino Linotype"/>
          <w:b/>
          <w:sz w:val="21"/>
          <w:szCs w:val="21"/>
        </w:rPr>
        <w:t xml:space="preserve">XXXXXX XXXXX </w:t>
      </w:r>
      <w:proofErr w:type="spellStart"/>
      <w:r w:rsidR="00B60315">
        <w:rPr>
          <w:rFonts w:ascii="Palatino Linotype" w:eastAsia="Palatino Linotype" w:hAnsi="Palatino Linotype" w:cs="Palatino Linotype"/>
          <w:b/>
          <w:sz w:val="21"/>
          <w:szCs w:val="21"/>
        </w:rPr>
        <w:t>XXXXX</w:t>
      </w:r>
      <w:proofErr w:type="spellEnd"/>
      <w:r w:rsidR="00B60315">
        <w:rPr>
          <w:rFonts w:ascii="Palatino Linotype" w:eastAsia="Palatino Linotype" w:hAnsi="Palatino Linotype" w:cs="Palatino Linotype"/>
          <w:b/>
        </w:rPr>
        <w:t xml:space="preserve"> </w:t>
      </w:r>
      <w:r w:rsidRPr="00637B92">
        <w:rPr>
          <w:rFonts w:ascii="Palatino Linotype" w:eastAsia="Palatino Linotype" w:hAnsi="Palatino Linotype" w:cs="Palatino Linotype"/>
        </w:rPr>
        <w:t xml:space="preserve">en lo sucesivo la parte </w:t>
      </w:r>
      <w:r w:rsidRPr="00637B92">
        <w:rPr>
          <w:rFonts w:ascii="Palatino Linotype" w:eastAsia="Palatino Linotype" w:hAnsi="Palatino Linotype" w:cs="Palatino Linotype"/>
          <w:b/>
        </w:rPr>
        <w:t>RECURRENTE</w:t>
      </w:r>
      <w:r w:rsidRPr="00637B92">
        <w:rPr>
          <w:rFonts w:ascii="Palatino Linotype" w:eastAsia="Palatino Linotype" w:hAnsi="Palatino Linotype" w:cs="Palatino Linotype"/>
          <w:b/>
          <w:sz w:val="22"/>
          <w:szCs w:val="22"/>
        </w:rPr>
        <w:t xml:space="preserve">, </w:t>
      </w:r>
      <w:r w:rsidRPr="00637B92">
        <w:rPr>
          <w:rFonts w:ascii="Palatino Linotype" w:eastAsia="Palatino Linotype" w:hAnsi="Palatino Linotype" w:cs="Palatino Linotype"/>
          <w:sz w:val="22"/>
          <w:szCs w:val="22"/>
        </w:rPr>
        <w:t>en contra de la falta de respuesta a la solicitud de acceso a la información con número de folio</w:t>
      </w:r>
      <w:r w:rsidRPr="00637B92">
        <w:rPr>
          <w:rFonts w:ascii="Verdana" w:eastAsia="Verdana" w:hAnsi="Verdana" w:cs="Verdana"/>
          <w:b/>
          <w:sz w:val="22"/>
          <w:szCs w:val="22"/>
        </w:rPr>
        <w:t> </w:t>
      </w:r>
      <w:r w:rsidR="009C6FBB" w:rsidRPr="00637B92">
        <w:rPr>
          <w:rFonts w:ascii="Palatino Linotype" w:eastAsia="Palatino Linotype" w:hAnsi="Palatino Linotype" w:cs="Palatino Linotype"/>
          <w:b/>
        </w:rPr>
        <w:t>00101/AXAPUSCO/IP/2026</w:t>
      </w:r>
      <w:r w:rsidR="00EF743D" w:rsidRPr="00637B92">
        <w:rPr>
          <w:rFonts w:ascii="Palatino Linotype" w:eastAsia="Palatino Linotype" w:hAnsi="Palatino Linotype" w:cs="Palatino Linotype"/>
          <w:b/>
        </w:rPr>
        <w:t xml:space="preserve">, </w:t>
      </w:r>
      <w:r w:rsidRPr="00637B92">
        <w:rPr>
          <w:rFonts w:ascii="Palatino Linotype" w:eastAsia="Palatino Linotype" w:hAnsi="Palatino Linotype" w:cs="Palatino Linotype"/>
          <w:sz w:val="22"/>
          <w:szCs w:val="22"/>
        </w:rPr>
        <w:t xml:space="preserve">por parte del </w:t>
      </w:r>
      <w:r w:rsidR="00632571" w:rsidRPr="00637B92">
        <w:rPr>
          <w:rFonts w:ascii="Palatino Linotype" w:eastAsia="Palatino Linotype" w:hAnsi="Palatino Linotype" w:cs="Palatino Linotype"/>
          <w:b/>
          <w:sz w:val="22"/>
          <w:szCs w:val="22"/>
        </w:rPr>
        <w:t>Ayuntamiento de Axapusco</w:t>
      </w:r>
      <w:r w:rsidR="00390FDA" w:rsidRPr="00637B92">
        <w:rPr>
          <w:rFonts w:ascii="Palatino Linotype" w:eastAsia="Palatino Linotype" w:hAnsi="Palatino Linotype" w:cs="Palatino Linotype"/>
          <w:b/>
          <w:sz w:val="22"/>
          <w:szCs w:val="22"/>
        </w:rPr>
        <w:t>,</w:t>
      </w:r>
      <w:r w:rsidRPr="00637B92">
        <w:rPr>
          <w:rFonts w:ascii="Palatino Linotype" w:eastAsia="Palatino Linotype" w:hAnsi="Palatino Linotype" w:cs="Palatino Linotype"/>
          <w:sz w:val="22"/>
          <w:szCs w:val="22"/>
        </w:rPr>
        <w:t xml:space="preserve"> en lo sucesivo el </w:t>
      </w:r>
      <w:r w:rsidRPr="00637B92">
        <w:rPr>
          <w:rFonts w:ascii="Palatino Linotype" w:eastAsia="Palatino Linotype" w:hAnsi="Palatino Linotype" w:cs="Palatino Linotype"/>
          <w:b/>
          <w:sz w:val="22"/>
          <w:szCs w:val="22"/>
        </w:rPr>
        <w:t xml:space="preserve">SUJETO OBLIGADO; </w:t>
      </w:r>
      <w:r w:rsidRPr="00637B92">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637B92"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637B92">
        <w:rPr>
          <w:rFonts w:ascii="Palatino Linotype" w:eastAsia="Palatino Linotype" w:hAnsi="Palatino Linotype" w:cs="Palatino Linotype"/>
          <w:b/>
          <w:sz w:val="22"/>
          <w:szCs w:val="22"/>
        </w:rPr>
        <w:t>A N T E C E D E N T E S:</w:t>
      </w:r>
    </w:p>
    <w:p w14:paraId="77D7A248" w14:textId="77777777" w:rsidR="00532AE4" w:rsidRPr="00637B92"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7A34B990"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 xml:space="preserve">1. Solicitud de acceso a la información. </w:t>
      </w:r>
      <w:r w:rsidR="00EE5E30" w:rsidRPr="00637B92">
        <w:rPr>
          <w:rFonts w:ascii="Palatino Linotype" w:eastAsia="Palatino Linotype" w:hAnsi="Palatino Linotype" w:cs="Palatino Linotype"/>
          <w:sz w:val="22"/>
          <w:szCs w:val="22"/>
        </w:rPr>
        <w:t xml:space="preserve">Con fecha </w:t>
      </w:r>
      <w:r w:rsidR="009C6FBB" w:rsidRPr="00637B92">
        <w:rPr>
          <w:rFonts w:ascii="Palatino Linotype" w:eastAsia="Palatino Linotype" w:hAnsi="Palatino Linotype" w:cs="Palatino Linotype"/>
          <w:b/>
          <w:sz w:val="22"/>
          <w:szCs w:val="22"/>
        </w:rPr>
        <w:t xml:space="preserve">diecisiete </w:t>
      </w:r>
      <w:r w:rsidR="00150206" w:rsidRPr="00637B92">
        <w:rPr>
          <w:rFonts w:ascii="Palatino Linotype" w:eastAsia="Palatino Linotype" w:hAnsi="Palatino Linotype" w:cs="Palatino Linotype"/>
          <w:b/>
          <w:sz w:val="22"/>
          <w:szCs w:val="22"/>
        </w:rPr>
        <w:t>de julio</w:t>
      </w:r>
      <w:r w:rsidR="0084271D" w:rsidRPr="00637B92">
        <w:rPr>
          <w:rFonts w:ascii="Palatino Linotype" w:eastAsia="Palatino Linotype" w:hAnsi="Palatino Linotype" w:cs="Palatino Linotype"/>
          <w:b/>
          <w:sz w:val="22"/>
          <w:szCs w:val="22"/>
        </w:rPr>
        <w:t xml:space="preserve"> de dos mil veintiséis</w:t>
      </w:r>
      <w:r w:rsidRPr="00637B92">
        <w:rPr>
          <w:rFonts w:ascii="Palatino Linotype" w:eastAsia="Palatino Linotype" w:hAnsi="Palatino Linotype" w:cs="Palatino Linotype"/>
          <w:sz w:val="22"/>
          <w:szCs w:val="22"/>
        </w:rPr>
        <w:t xml:space="preserve">, la parte </w:t>
      </w:r>
      <w:r w:rsidRPr="00637B92">
        <w:rPr>
          <w:rFonts w:ascii="Palatino Linotype" w:eastAsia="Palatino Linotype" w:hAnsi="Palatino Linotype" w:cs="Palatino Linotype"/>
          <w:b/>
          <w:sz w:val="22"/>
          <w:szCs w:val="22"/>
        </w:rPr>
        <w:t xml:space="preserve">RECURRENTE </w:t>
      </w:r>
      <w:r w:rsidRPr="00637B92">
        <w:rPr>
          <w:rFonts w:ascii="Palatino Linotype" w:eastAsia="Palatino Linotype" w:hAnsi="Palatino Linotype" w:cs="Palatino Linotype"/>
          <w:sz w:val="22"/>
          <w:szCs w:val="22"/>
        </w:rPr>
        <w:t xml:space="preserve">formuló a través del Sistema de Acceso a la Información Mexiquense, en adelante </w:t>
      </w:r>
      <w:r w:rsidRPr="00637B92">
        <w:rPr>
          <w:rFonts w:ascii="Palatino Linotype" w:eastAsia="Palatino Linotype" w:hAnsi="Palatino Linotype" w:cs="Palatino Linotype"/>
          <w:b/>
          <w:sz w:val="22"/>
          <w:szCs w:val="22"/>
        </w:rPr>
        <w:t>SAIMEX,</w:t>
      </w:r>
      <w:r w:rsidRPr="00637B92">
        <w:rPr>
          <w:rFonts w:ascii="Palatino Linotype" w:eastAsia="Palatino Linotype" w:hAnsi="Palatino Linotype" w:cs="Palatino Linotype"/>
          <w:sz w:val="22"/>
          <w:szCs w:val="22"/>
        </w:rPr>
        <w:t xml:space="preserve"> solicitud de información al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requiriéndole lo siguiente:</w:t>
      </w:r>
    </w:p>
    <w:p w14:paraId="59CC0872" w14:textId="68200746" w:rsidR="009B6117" w:rsidRPr="00637B92" w:rsidRDefault="009B6117" w:rsidP="00724155">
      <w:pPr>
        <w:ind w:right="616"/>
        <w:jc w:val="both"/>
        <w:rPr>
          <w:rFonts w:ascii="Palatino Linotype" w:eastAsia="Palatino Linotype" w:hAnsi="Palatino Linotype" w:cs="Palatino Linotype"/>
          <w:i/>
          <w:sz w:val="22"/>
          <w:szCs w:val="22"/>
        </w:rPr>
      </w:pPr>
    </w:p>
    <w:p w14:paraId="0F87CB2C" w14:textId="29C93E98" w:rsidR="00532AE4" w:rsidRPr="00637B92" w:rsidRDefault="0004402A" w:rsidP="00CB7440">
      <w:pPr>
        <w:ind w:left="851"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w:t>
      </w:r>
      <w:r w:rsidR="009C6FBB" w:rsidRPr="00637B92">
        <w:rPr>
          <w:rFonts w:ascii="Palatino Linotype" w:eastAsia="Palatino Linotype" w:hAnsi="Palatino Linotype" w:cs="Palatino Linotype"/>
          <w:i/>
          <w:sz w:val="22"/>
          <w:szCs w:val="22"/>
        </w:rPr>
        <w:t>VERSION PUBLICA DE LOS CONTRATOS Y CONVENIOS PARA LA ADQUISICION DE BIENES Y SERVICIOS DEL 01 DE ENERO DEL 2025 AL 17 DE JULIO DEL 2027</w:t>
      </w:r>
      <w:r w:rsidR="00137E5A" w:rsidRPr="00637B92">
        <w:rPr>
          <w:rFonts w:ascii="Palatino Linotype" w:eastAsia="Palatino Linotype" w:hAnsi="Palatino Linotype" w:cs="Palatino Linotype"/>
          <w:i/>
          <w:sz w:val="22"/>
          <w:szCs w:val="22"/>
        </w:rPr>
        <w:t xml:space="preserve">” </w:t>
      </w:r>
      <w:r w:rsidR="00A76F12" w:rsidRPr="00637B92">
        <w:rPr>
          <w:rFonts w:ascii="Palatino Linotype" w:eastAsia="Palatino Linotype" w:hAnsi="Palatino Linotype" w:cs="Palatino Linotype"/>
          <w:i/>
          <w:sz w:val="22"/>
          <w:szCs w:val="22"/>
        </w:rPr>
        <w:t>(Sic)</w:t>
      </w:r>
      <w:r w:rsidR="00CE1553" w:rsidRPr="00637B92">
        <w:rPr>
          <w:rFonts w:ascii="Palatino Linotype" w:eastAsia="Palatino Linotype" w:hAnsi="Palatino Linotype" w:cs="Palatino Linotype"/>
          <w:b/>
          <w:sz w:val="22"/>
          <w:szCs w:val="22"/>
        </w:rPr>
        <w:tab/>
      </w:r>
    </w:p>
    <w:p w14:paraId="6697AE7A" w14:textId="77777777" w:rsidR="00147A44" w:rsidRPr="00637B92" w:rsidRDefault="00147A44" w:rsidP="00CB7440">
      <w:pPr>
        <w:spacing w:line="360" w:lineRule="auto"/>
        <w:ind w:left="851" w:right="616"/>
        <w:jc w:val="both"/>
        <w:rPr>
          <w:rFonts w:ascii="Palatino Linotype" w:eastAsia="Palatino Linotype" w:hAnsi="Palatino Linotype" w:cs="Palatino Linotype"/>
          <w:b/>
          <w:sz w:val="22"/>
          <w:szCs w:val="22"/>
        </w:rPr>
      </w:pPr>
    </w:p>
    <w:p w14:paraId="421C9301" w14:textId="72D3BB72" w:rsidR="00D60C04" w:rsidRPr="00637B92" w:rsidRDefault="00A76F12" w:rsidP="00FD5905">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 xml:space="preserve">Modalidad elegida para la entrega de la información: </w:t>
      </w:r>
      <w:r w:rsidRPr="00637B92">
        <w:rPr>
          <w:rFonts w:ascii="Palatino Linotype" w:eastAsia="Palatino Linotype" w:hAnsi="Palatino Linotype" w:cs="Palatino Linotype"/>
          <w:sz w:val="22"/>
          <w:szCs w:val="22"/>
        </w:rPr>
        <w:t>a través del SAIMEX.</w:t>
      </w:r>
    </w:p>
    <w:p w14:paraId="1227E94F" w14:textId="77777777" w:rsidR="00D60C04" w:rsidRPr="00637B92"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637B92" w:rsidRDefault="00FD5905">
      <w:pPr>
        <w:spacing w:line="360" w:lineRule="auto"/>
        <w:jc w:val="both"/>
        <w:rPr>
          <w:rFonts w:ascii="Palatino Linotype" w:eastAsia="Palatino Linotype" w:hAnsi="Palatino Linotype" w:cs="Palatino Linotype"/>
          <w:b/>
          <w:sz w:val="22"/>
          <w:szCs w:val="22"/>
        </w:rPr>
      </w:pPr>
      <w:r w:rsidRPr="00637B92">
        <w:rPr>
          <w:rFonts w:ascii="Palatino Linotype" w:eastAsia="Palatino Linotype" w:hAnsi="Palatino Linotype" w:cs="Palatino Linotype"/>
          <w:b/>
          <w:sz w:val="22"/>
          <w:szCs w:val="22"/>
        </w:rPr>
        <w:t>2</w:t>
      </w:r>
      <w:r w:rsidR="00D763D8" w:rsidRPr="00637B92">
        <w:rPr>
          <w:rFonts w:ascii="Palatino Linotype" w:eastAsia="Palatino Linotype" w:hAnsi="Palatino Linotype" w:cs="Palatino Linotype"/>
          <w:b/>
          <w:sz w:val="22"/>
          <w:szCs w:val="22"/>
        </w:rPr>
        <w:t xml:space="preserve">. </w:t>
      </w:r>
      <w:r w:rsidR="00A76F12" w:rsidRPr="00637B92">
        <w:rPr>
          <w:rFonts w:ascii="Palatino Linotype" w:eastAsia="Palatino Linotype" w:hAnsi="Palatino Linotype" w:cs="Palatino Linotype"/>
          <w:b/>
          <w:sz w:val="22"/>
          <w:szCs w:val="22"/>
        </w:rPr>
        <w:t xml:space="preserve">Respuesta. </w:t>
      </w:r>
      <w:r w:rsidR="00A76F12" w:rsidRPr="00637B92">
        <w:rPr>
          <w:rFonts w:ascii="Palatino Linotype" w:eastAsia="Palatino Linotype" w:hAnsi="Palatino Linotype" w:cs="Palatino Linotype"/>
          <w:sz w:val="22"/>
          <w:szCs w:val="22"/>
        </w:rPr>
        <w:t xml:space="preserve">El </w:t>
      </w:r>
      <w:r w:rsidR="00A76F12" w:rsidRPr="00637B92">
        <w:rPr>
          <w:rFonts w:ascii="Palatino Linotype" w:eastAsia="Palatino Linotype" w:hAnsi="Palatino Linotype" w:cs="Palatino Linotype"/>
          <w:b/>
          <w:sz w:val="22"/>
          <w:szCs w:val="22"/>
        </w:rPr>
        <w:t xml:space="preserve">SUJETO OBLIGADO </w:t>
      </w:r>
      <w:r w:rsidR="00A76F12" w:rsidRPr="00637B92">
        <w:rPr>
          <w:rFonts w:ascii="Palatino Linotype" w:eastAsia="Palatino Linotype" w:hAnsi="Palatino Linotype" w:cs="Palatino Linotype"/>
          <w:sz w:val="22"/>
          <w:szCs w:val="22"/>
        </w:rPr>
        <w:t xml:space="preserve">fue omiso en proporcionar respuesta. </w:t>
      </w:r>
    </w:p>
    <w:p w14:paraId="66730054"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64E077EC" w14:textId="5E56C449" w:rsidR="00532AE4" w:rsidRPr="00637B92" w:rsidRDefault="00FD5905">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lastRenderedPageBreak/>
        <w:t>3</w:t>
      </w:r>
      <w:r w:rsidR="00A01FAB" w:rsidRPr="00637B92">
        <w:rPr>
          <w:rFonts w:ascii="Palatino Linotype" w:eastAsia="Palatino Linotype" w:hAnsi="Palatino Linotype" w:cs="Palatino Linotype"/>
          <w:b/>
          <w:sz w:val="22"/>
          <w:szCs w:val="22"/>
        </w:rPr>
        <w:t>.</w:t>
      </w:r>
      <w:r w:rsidR="00A76F12" w:rsidRPr="00637B92">
        <w:rPr>
          <w:rFonts w:ascii="Palatino Linotype" w:eastAsia="Palatino Linotype" w:hAnsi="Palatino Linotype" w:cs="Palatino Linotype"/>
          <w:b/>
          <w:sz w:val="22"/>
          <w:szCs w:val="22"/>
        </w:rPr>
        <w:t xml:space="preserve">Interposición del recurso de revisión. </w:t>
      </w:r>
      <w:r w:rsidR="00A76F12" w:rsidRPr="00637B92">
        <w:rPr>
          <w:rFonts w:ascii="Palatino Linotype" w:eastAsia="Palatino Linotype" w:hAnsi="Palatino Linotype" w:cs="Palatino Linotype"/>
          <w:sz w:val="22"/>
          <w:szCs w:val="22"/>
        </w:rPr>
        <w:t xml:space="preserve">Inconforme la parte solicitante con la falta de respuesta del </w:t>
      </w:r>
      <w:r w:rsidR="00A76F12" w:rsidRPr="00637B92">
        <w:rPr>
          <w:rFonts w:ascii="Palatino Linotype" w:eastAsia="Palatino Linotype" w:hAnsi="Palatino Linotype" w:cs="Palatino Linotype"/>
          <w:b/>
          <w:sz w:val="22"/>
          <w:szCs w:val="22"/>
        </w:rPr>
        <w:t>SUJETO OBLIGADO</w:t>
      </w:r>
      <w:r w:rsidR="00A76F12" w:rsidRPr="00637B92">
        <w:rPr>
          <w:rFonts w:ascii="Palatino Linotype" w:eastAsia="Palatino Linotype" w:hAnsi="Palatino Linotype" w:cs="Palatino Linotype"/>
          <w:sz w:val="22"/>
          <w:szCs w:val="22"/>
        </w:rPr>
        <w:t xml:space="preserve">, interpuso recurso de revisión a través del SAIMEX en fecha </w:t>
      </w:r>
      <w:r w:rsidR="009C6FBB" w:rsidRPr="00637B92">
        <w:rPr>
          <w:rFonts w:ascii="Palatino Linotype" w:eastAsia="Palatino Linotype" w:hAnsi="Palatino Linotype" w:cs="Palatino Linotype"/>
          <w:b/>
          <w:sz w:val="22"/>
          <w:szCs w:val="22"/>
        </w:rPr>
        <w:t>veinticuatro</w:t>
      </w:r>
      <w:r w:rsidR="00326E2A" w:rsidRPr="00637B92">
        <w:rPr>
          <w:rFonts w:ascii="Palatino Linotype" w:eastAsia="Palatino Linotype" w:hAnsi="Palatino Linotype" w:cs="Palatino Linotype"/>
          <w:b/>
          <w:sz w:val="22"/>
          <w:szCs w:val="22"/>
        </w:rPr>
        <w:t xml:space="preserve"> de agosto</w:t>
      </w:r>
      <w:r w:rsidR="00401731" w:rsidRPr="00637B92">
        <w:rPr>
          <w:rFonts w:ascii="Palatino Linotype" w:eastAsia="Palatino Linotype" w:hAnsi="Palatino Linotype" w:cs="Palatino Linotype"/>
          <w:b/>
          <w:sz w:val="22"/>
          <w:szCs w:val="22"/>
        </w:rPr>
        <w:t xml:space="preserve"> de dos mil veintiséis</w:t>
      </w:r>
      <w:r w:rsidR="00A76F12" w:rsidRPr="00637B92">
        <w:rPr>
          <w:rFonts w:ascii="Palatino Linotype" w:eastAsia="Palatino Linotype" w:hAnsi="Palatino Linotype" w:cs="Palatino Linotype"/>
          <w:sz w:val="22"/>
          <w:szCs w:val="22"/>
        </w:rPr>
        <w:t>, expresando lo siguiente:</w:t>
      </w:r>
    </w:p>
    <w:p w14:paraId="126577AC"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59ACBA47" w14:textId="2E3F2414" w:rsidR="00532AE4" w:rsidRPr="00637B92" w:rsidRDefault="00A76F12" w:rsidP="00CB7440">
      <w:pPr>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sz w:val="22"/>
          <w:szCs w:val="22"/>
        </w:rPr>
        <w:t>a) Acto impugnado</w:t>
      </w:r>
      <w:r w:rsidRPr="00637B92">
        <w:rPr>
          <w:rFonts w:ascii="Palatino Linotype" w:eastAsia="Palatino Linotype" w:hAnsi="Palatino Linotype" w:cs="Palatino Linotype"/>
          <w:b/>
          <w:i/>
          <w:sz w:val="22"/>
          <w:szCs w:val="22"/>
        </w:rPr>
        <w:t xml:space="preserve">. </w:t>
      </w:r>
      <w:r w:rsidR="00EB74FD" w:rsidRPr="00637B92">
        <w:rPr>
          <w:rFonts w:ascii="Palatino Linotype" w:eastAsia="Palatino Linotype" w:hAnsi="Palatino Linotype" w:cs="Palatino Linotype"/>
          <w:i/>
          <w:sz w:val="22"/>
          <w:szCs w:val="22"/>
        </w:rPr>
        <w:t>“</w:t>
      </w:r>
      <w:r w:rsidR="009C6FBB" w:rsidRPr="00637B92">
        <w:rPr>
          <w:rFonts w:ascii="Palatino Linotype" w:eastAsia="Palatino Linotype" w:hAnsi="Palatino Linotype" w:cs="Palatino Linotype"/>
          <w:i/>
          <w:sz w:val="22"/>
          <w:szCs w:val="22"/>
        </w:rPr>
        <w:t>NO SE RESPONDE</w:t>
      </w:r>
      <w:r w:rsidR="009B6117" w:rsidRPr="00637B92">
        <w:rPr>
          <w:rFonts w:ascii="Palatino Linotype" w:eastAsia="Palatino Linotype" w:hAnsi="Palatino Linotype" w:cs="Palatino Linotype"/>
          <w:i/>
          <w:sz w:val="22"/>
          <w:szCs w:val="22"/>
        </w:rPr>
        <w:t xml:space="preserve">” </w:t>
      </w:r>
      <w:r w:rsidRPr="00637B92">
        <w:rPr>
          <w:rFonts w:ascii="Palatino Linotype" w:eastAsia="Palatino Linotype" w:hAnsi="Palatino Linotype" w:cs="Palatino Linotype"/>
          <w:i/>
          <w:sz w:val="22"/>
          <w:szCs w:val="22"/>
        </w:rPr>
        <w:t>(Sic)</w:t>
      </w:r>
    </w:p>
    <w:p w14:paraId="527329DB" w14:textId="77777777" w:rsidR="00532AE4" w:rsidRPr="00637B92" w:rsidRDefault="00532AE4" w:rsidP="00CB7440">
      <w:pPr>
        <w:spacing w:line="276" w:lineRule="auto"/>
        <w:ind w:left="567" w:right="616"/>
        <w:rPr>
          <w:rFonts w:ascii="Palatino Linotype" w:eastAsia="Palatino Linotype" w:hAnsi="Palatino Linotype" w:cs="Palatino Linotype"/>
          <w:b/>
          <w:sz w:val="22"/>
          <w:szCs w:val="22"/>
        </w:rPr>
      </w:pPr>
    </w:p>
    <w:p w14:paraId="27199E43" w14:textId="06DBE59A" w:rsidR="00532AE4" w:rsidRPr="00637B92" w:rsidRDefault="00A76F12" w:rsidP="00CB7440">
      <w:pPr>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sz w:val="22"/>
          <w:szCs w:val="22"/>
        </w:rPr>
        <w:t xml:space="preserve">b) Motivos de inconformidad. </w:t>
      </w:r>
      <w:r w:rsidRPr="00637B92">
        <w:rPr>
          <w:rFonts w:ascii="Palatino Linotype" w:eastAsia="Palatino Linotype" w:hAnsi="Palatino Linotype" w:cs="Palatino Linotype"/>
          <w:i/>
          <w:sz w:val="22"/>
          <w:szCs w:val="22"/>
        </w:rPr>
        <w:t>“</w:t>
      </w:r>
      <w:r w:rsidR="009C6FBB" w:rsidRPr="00637B92">
        <w:rPr>
          <w:rFonts w:ascii="Palatino Linotype" w:eastAsia="Palatino Linotype" w:hAnsi="Palatino Linotype" w:cs="Palatino Linotype"/>
          <w:i/>
          <w:sz w:val="22"/>
          <w:szCs w:val="22"/>
        </w:rPr>
        <w:t xml:space="preserve">NO SE RESPONDIO LA SOLICITUD EN LOS TIEMPOS </w:t>
      </w:r>
      <w:proofErr w:type="gramStart"/>
      <w:r w:rsidR="009C6FBB" w:rsidRPr="00637B92">
        <w:rPr>
          <w:rFonts w:ascii="Palatino Linotype" w:eastAsia="Palatino Linotype" w:hAnsi="Palatino Linotype" w:cs="Palatino Linotype"/>
          <w:i/>
          <w:sz w:val="22"/>
          <w:szCs w:val="22"/>
        </w:rPr>
        <w:t>ESTABLECIDOS</w:t>
      </w:r>
      <w:r w:rsidR="002D134E" w:rsidRPr="00637B92">
        <w:rPr>
          <w:rFonts w:ascii="Palatino Linotype" w:eastAsia="Palatino Linotype" w:hAnsi="Palatino Linotype" w:cs="Palatino Linotype"/>
          <w:i/>
          <w:sz w:val="22"/>
          <w:szCs w:val="22"/>
        </w:rPr>
        <w:t>”</w:t>
      </w:r>
      <w:r w:rsidRPr="00637B92">
        <w:rPr>
          <w:rFonts w:ascii="Palatino Linotype" w:eastAsia="Palatino Linotype" w:hAnsi="Palatino Linotype" w:cs="Palatino Linotype"/>
          <w:i/>
          <w:sz w:val="22"/>
          <w:szCs w:val="22"/>
        </w:rPr>
        <w:t>(</w:t>
      </w:r>
      <w:proofErr w:type="gramEnd"/>
      <w:r w:rsidRPr="00637B92">
        <w:rPr>
          <w:rFonts w:ascii="Palatino Linotype" w:eastAsia="Palatino Linotype" w:hAnsi="Palatino Linotype" w:cs="Palatino Linotype"/>
          <w:i/>
          <w:sz w:val="22"/>
          <w:szCs w:val="22"/>
        </w:rPr>
        <w:t>Sic)</w:t>
      </w:r>
    </w:p>
    <w:p w14:paraId="1CD932CE" w14:textId="0DD1EB9D" w:rsidR="00532AE4" w:rsidRPr="00637B92"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637B92" w:rsidRDefault="00A01FAB">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4</w:t>
      </w:r>
      <w:r w:rsidR="00A76F12" w:rsidRPr="00637B92">
        <w:rPr>
          <w:rFonts w:ascii="Palatino Linotype" w:eastAsia="Palatino Linotype" w:hAnsi="Palatino Linotype" w:cs="Palatino Linotype"/>
          <w:b/>
          <w:sz w:val="22"/>
          <w:szCs w:val="22"/>
        </w:rPr>
        <w:t xml:space="preserve">. Turno. </w:t>
      </w:r>
      <w:r w:rsidR="00A76F12" w:rsidRPr="00637B92">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637B92">
        <w:rPr>
          <w:rFonts w:ascii="Palatino Linotype" w:eastAsia="Palatino Linotype" w:hAnsi="Palatino Linotype" w:cs="Palatino Linotype"/>
          <w:b/>
          <w:sz w:val="22"/>
          <w:szCs w:val="22"/>
        </w:rPr>
        <w:t>Guadalupe Ramírez Peña</w:t>
      </w:r>
      <w:r w:rsidR="00A76F12" w:rsidRPr="00637B92">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637B92" w:rsidRDefault="00285CBA">
      <w:pPr>
        <w:spacing w:line="360" w:lineRule="auto"/>
        <w:jc w:val="both"/>
        <w:rPr>
          <w:rFonts w:ascii="Palatino Linotype" w:eastAsia="Palatino Linotype" w:hAnsi="Palatino Linotype" w:cs="Palatino Linotype"/>
          <w:sz w:val="22"/>
          <w:szCs w:val="22"/>
        </w:rPr>
      </w:pPr>
    </w:p>
    <w:p w14:paraId="6F47DF3C" w14:textId="0E8C577C" w:rsidR="00532AE4" w:rsidRPr="00637B92" w:rsidRDefault="00417D9F">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5</w:t>
      </w:r>
      <w:r w:rsidR="00A76F12" w:rsidRPr="00637B92">
        <w:rPr>
          <w:rFonts w:ascii="Palatino Linotype" w:eastAsia="Palatino Linotype" w:hAnsi="Palatino Linotype" w:cs="Palatino Linotype"/>
          <w:b/>
          <w:sz w:val="22"/>
          <w:szCs w:val="22"/>
        </w:rPr>
        <w:t xml:space="preserve">. Admisión. </w:t>
      </w:r>
      <w:r w:rsidR="003E2501" w:rsidRPr="00637B92">
        <w:rPr>
          <w:rFonts w:ascii="Palatino Linotype" w:eastAsia="Palatino Linotype" w:hAnsi="Palatino Linotype" w:cs="Palatino Linotype"/>
          <w:sz w:val="22"/>
          <w:szCs w:val="22"/>
        </w:rPr>
        <w:t>En</w:t>
      </w:r>
      <w:r w:rsidR="000F363F" w:rsidRPr="00637B92">
        <w:rPr>
          <w:rFonts w:ascii="Palatino Linotype" w:eastAsia="Palatino Linotype" w:hAnsi="Palatino Linotype" w:cs="Palatino Linotype"/>
          <w:sz w:val="22"/>
          <w:szCs w:val="22"/>
        </w:rPr>
        <w:t xml:space="preserve"> </w:t>
      </w:r>
      <w:r w:rsidR="00A8506B" w:rsidRPr="00637B92">
        <w:rPr>
          <w:rFonts w:ascii="Palatino Linotype" w:eastAsia="Palatino Linotype" w:hAnsi="Palatino Linotype" w:cs="Palatino Linotype"/>
          <w:sz w:val="22"/>
          <w:szCs w:val="22"/>
        </w:rPr>
        <w:t xml:space="preserve">fecha </w:t>
      </w:r>
      <w:r w:rsidR="009C6FBB" w:rsidRPr="00637B92">
        <w:rPr>
          <w:rFonts w:ascii="Palatino Linotype" w:eastAsia="Palatino Linotype" w:hAnsi="Palatino Linotype" w:cs="Palatino Linotype"/>
          <w:b/>
          <w:sz w:val="22"/>
          <w:szCs w:val="22"/>
        </w:rPr>
        <w:t>veinticinco de agosto</w:t>
      </w:r>
      <w:r w:rsidR="003E2501" w:rsidRPr="00637B92">
        <w:rPr>
          <w:rFonts w:ascii="Palatino Linotype" w:eastAsia="Palatino Linotype" w:hAnsi="Palatino Linotype" w:cs="Palatino Linotype"/>
          <w:b/>
          <w:sz w:val="22"/>
          <w:szCs w:val="22"/>
        </w:rPr>
        <w:t xml:space="preserve"> de dos mil veintiséis</w:t>
      </w:r>
      <w:r w:rsidR="00044D36" w:rsidRPr="00637B92">
        <w:rPr>
          <w:rFonts w:ascii="Palatino Linotype" w:eastAsia="Palatino Linotype" w:hAnsi="Palatino Linotype" w:cs="Palatino Linotype"/>
          <w:sz w:val="22"/>
          <w:szCs w:val="22"/>
        </w:rPr>
        <w:t xml:space="preserve">, </w:t>
      </w:r>
      <w:r w:rsidR="00A76F12" w:rsidRPr="00637B92">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637B92" w:rsidRDefault="00417D9F">
      <w:pPr>
        <w:widowControl w:val="0"/>
        <w:spacing w:line="360" w:lineRule="auto"/>
        <w:ind w:right="49"/>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6</w:t>
      </w:r>
      <w:r w:rsidR="00A76F12" w:rsidRPr="00637B92">
        <w:rPr>
          <w:rFonts w:ascii="Palatino Linotype" w:eastAsia="Palatino Linotype" w:hAnsi="Palatino Linotype" w:cs="Palatino Linotype"/>
          <w:b/>
          <w:sz w:val="22"/>
          <w:szCs w:val="22"/>
        </w:rPr>
        <w:t>. Manifestaciones</w:t>
      </w:r>
      <w:r w:rsidR="008B25A4" w:rsidRPr="00637B92">
        <w:rPr>
          <w:rFonts w:ascii="Palatino Linotype" w:eastAsia="Palatino Linotype" w:hAnsi="Palatino Linotype" w:cs="Palatino Linotype"/>
          <w:sz w:val="22"/>
          <w:szCs w:val="22"/>
        </w:rPr>
        <w:t xml:space="preserve">. </w:t>
      </w:r>
      <w:r w:rsidR="006614E2" w:rsidRPr="00637B92">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13D8E439" w:rsidR="006614E2" w:rsidRPr="00637B92" w:rsidRDefault="009C6FBB">
      <w:pPr>
        <w:spacing w:line="360" w:lineRule="auto"/>
        <w:jc w:val="both"/>
        <w:rPr>
          <w:rFonts w:ascii="Palatino Linotype" w:eastAsia="Palatino Linotype" w:hAnsi="Palatino Linotype" w:cs="Palatino Linotype"/>
          <w:b/>
          <w:sz w:val="22"/>
          <w:szCs w:val="22"/>
        </w:rPr>
      </w:pPr>
      <w:r w:rsidRPr="00637B92">
        <w:rPr>
          <w:rFonts w:ascii="Palatino Linotype" w:eastAsia="Palatino Linotype" w:hAnsi="Palatino Linotype" w:cs="Palatino Linotype"/>
          <w:b/>
          <w:noProof/>
          <w:sz w:val="22"/>
          <w:szCs w:val="22"/>
          <w:lang w:val="es-MX"/>
        </w:rPr>
        <w:drawing>
          <wp:inline distT="0" distB="0" distL="0" distR="0" wp14:anchorId="02B80E37" wp14:editId="5171F1CF">
            <wp:extent cx="5612130" cy="137858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378585"/>
                    </a:xfrm>
                    <a:prstGeom prst="rect">
                      <a:avLst/>
                    </a:prstGeom>
                  </pic:spPr>
                </pic:pic>
              </a:graphicData>
            </a:graphic>
          </wp:inline>
        </w:drawing>
      </w:r>
    </w:p>
    <w:p w14:paraId="59D90F90" w14:textId="77777777" w:rsidR="006614E2" w:rsidRPr="00637B92" w:rsidRDefault="006614E2">
      <w:pPr>
        <w:spacing w:line="360" w:lineRule="auto"/>
        <w:jc w:val="both"/>
        <w:rPr>
          <w:rFonts w:ascii="Palatino Linotype" w:eastAsia="Palatino Linotype" w:hAnsi="Palatino Linotype" w:cs="Palatino Linotype"/>
          <w:b/>
          <w:sz w:val="22"/>
          <w:szCs w:val="22"/>
        </w:rPr>
      </w:pPr>
    </w:p>
    <w:p w14:paraId="2DD31F10" w14:textId="200D60F9" w:rsidR="00532AE4" w:rsidRPr="00637B92" w:rsidRDefault="00417D9F">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lastRenderedPageBreak/>
        <w:t>7</w:t>
      </w:r>
      <w:r w:rsidR="00A76F12" w:rsidRPr="00637B92">
        <w:rPr>
          <w:rFonts w:ascii="Palatino Linotype" w:eastAsia="Palatino Linotype" w:hAnsi="Palatino Linotype" w:cs="Palatino Linotype"/>
          <w:b/>
          <w:sz w:val="22"/>
          <w:szCs w:val="22"/>
        </w:rPr>
        <w:t xml:space="preserve">. Cierre de instrucción. </w:t>
      </w:r>
      <w:r w:rsidR="00A76F12" w:rsidRPr="00637B92">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9C6FBB" w:rsidRPr="00637B92">
        <w:rPr>
          <w:rFonts w:ascii="Palatino Linotype" w:eastAsia="Palatino Linotype" w:hAnsi="Palatino Linotype" w:cs="Palatino Linotype"/>
          <w:b/>
          <w:sz w:val="22"/>
          <w:szCs w:val="22"/>
        </w:rPr>
        <w:t>nueve</w:t>
      </w:r>
      <w:r w:rsidR="00726B4A" w:rsidRPr="00637B92">
        <w:rPr>
          <w:rFonts w:ascii="Palatino Linotype" w:eastAsia="Palatino Linotype" w:hAnsi="Palatino Linotype" w:cs="Palatino Linotype"/>
          <w:b/>
          <w:sz w:val="22"/>
          <w:szCs w:val="22"/>
        </w:rPr>
        <w:t xml:space="preserve"> </w:t>
      </w:r>
      <w:r w:rsidR="008E5D58" w:rsidRPr="00637B92">
        <w:rPr>
          <w:rFonts w:ascii="Palatino Linotype" w:eastAsia="Palatino Linotype" w:hAnsi="Palatino Linotype" w:cs="Palatino Linotype"/>
          <w:b/>
          <w:sz w:val="22"/>
          <w:szCs w:val="22"/>
        </w:rPr>
        <w:t>de septiembre</w:t>
      </w:r>
      <w:r w:rsidR="007E7839" w:rsidRPr="00637B92">
        <w:rPr>
          <w:rFonts w:ascii="Palatino Linotype" w:eastAsia="Palatino Linotype" w:hAnsi="Palatino Linotype" w:cs="Palatino Linotype"/>
          <w:b/>
          <w:sz w:val="22"/>
          <w:szCs w:val="22"/>
        </w:rPr>
        <w:t xml:space="preserve"> de dos mil veintiséis</w:t>
      </w:r>
      <w:r w:rsidR="00A76F12" w:rsidRPr="00637B92">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637B92" w:rsidRDefault="00A76F12">
      <w:pPr>
        <w:spacing w:line="360" w:lineRule="auto"/>
        <w:jc w:val="both"/>
        <w:rPr>
          <w:rFonts w:ascii="Palatino Linotype" w:eastAsia="Palatino Linotype" w:hAnsi="Palatino Linotype" w:cs="Palatino Linotype"/>
          <w:sz w:val="22"/>
          <w:szCs w:val="22"/>
        </w:rPr>
      </w:pPr>
      <w:proofErr w:type="gramStart"/>
      <w:r w:rsidRPr="00637B92">
        <w:rPr>
          <w:rFonts w:ascii="Palatino Linotype" w:eastAsia="Palatino Linotype" w:hAnsi="Palatino Linotype" w:cs="Palatino Linotype"/>
          <w:sz w:val="22"/>
          <w:szCs w:val="22"/>
        </w:rPr>
        <w:t>En razón de</w:t>
      </w:r>
      <w:proofErr w:type="gramEnd"/>
      <w:r w:rsidRPr="00637B92">
        <w:rPr>
          <w:rFonts w:ascii="Palatino Linotype" w:eastAsia="Palatino Linotype" w:hAnsi="Palatino Linotype" w:cs="Palatino Linotype"/>
          <w:sz w:val="22"/>
          <w:szCs w:val="22"/>
        </w:rPr>
        <w:t xml:space="preserve"> que fue debidamente sustanciado el expediente electrónico y no existe diligencia pendiente de desahogo, se emite la Resolución que conforme a Derecho proceda, de acuerdo con los siguientes: </w:t>
      </w:r>
    </w:p>
    <w:p w14:paraId="4A6373F7"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637B92" w:rsidRDefault="00A76F12">
      <w:pPr>
        <w:widowControl w:val="0"/>
        <w:spacing w:line="360" w:lineRule="auto"/>
        <w:jc w:val="center"/>
        <w:rPr>
          <w:rFonts w:ascii="Palatino Linotype" w:eastAsia="Palatino Linotype" w:hAnsi="Palatino Linotype" w:cs="Palatino Linotype"/>
          <w:b/>
          <w:sz w:val="22"/>
          <w:szCs w:val="22"/>
        </w:rPr>
      </w:pPr>
      <w:r w:rsidRPr="00637B92">
        <w:rPr>
          <w:rFonts w:ascii="Palatino Linotype" w:eastAsia="Palatino Linotype" w:hAnsi="Palatino Linotype" w:cs="Palatino Linotype"/>
          <w:b/>
          <w:sz w:val="22"/>
          <w:szCs w:val="22"/>
        </w:rPr>
        <w:t>II. C O N S I D E R A N D O S</w:t>
      </w:r>
    </w:p>
    <w:p w14:paraId="04E1DD04" w14:textId="77777777" w:rsidR="00532AE4" w:rsidRPr="00637B92"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637B92" w:rsidRDefault="00A76F12" w:rsidP="005231DC">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Primero. Competencia.</w:t>
      </w:r>
      <w:r w:rsidRPr="00637B92">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637B92">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637B92">
        <w:rPr>
          <w:rFonts w:ascii="Palatino Linotype" w:eastAsia="Palatino Linotype" w:hAnsi="Palatino Linotype" w:cs="Palatino Linotype"/>
          <w:sz w:val="22"/>
          <w:szCs w:val="22"/>
        </w:rPr>
        <w:t>;</w:t>
      </w:r>
      <w:r w:rsidR="005231DC" w:rsidRPr="00637B92">
        <w:rPr>
          <w:rFonts w:ascii="Palatino Linotype" w:eastAsia="Palatino Linotype" w:hAnsi="Palatino Linotype" w:cs="Palatino Linotype"/>
          <w:sz w:val="22"/>
          <w:szCs w:val="22"/>
        </w:rPr>
        <w:t xml:space="preserve"> </w:t>
      </w:r>
      <w:r w:rsidRPr="00637B92">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lastRenderedPageBreak/>
        <w:t xml:space="preserve">Segundo. Oportunidad y Procedibilidad del Recurso de Revisión. </w:t>
      </w:r>
      <w:r w:rsidRPr="00637B92">
        <w:rPr>
          <w:rFonts w:ascii="Palatino Linotype" w:eastAsia="Palatino Linotype" w:hAnsi="Palatino Linotype" w:cs="Palatino Linotype"/>
          <w:sz w:val="22"/>
          <w:szCs w:val="22"/>
        </w:rPr>
        <w:t>Por cuanto hace a la oportunidad del recurso de revisión</w:t>
      </w:r>
      <w:r w:rsidRPr="00637B92">
        <w:rPr>
          <w:rFonts w:ascii="Palatino Linotype" w:eastAsia="Palatino Linotype" w:hAnsi="Palatino Linotype" w:cs="Palatino Linotype"/>
          <w:b/>
          <w:sz w:val="22"/>
          <w:szCs w:val="22"/>
        </w:rPr>
        <w:t xml:space="preserve"> </w:t>
      </w:r>
      <w:r w:rsidRPr="00637B92">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Derivado de lo anterior, se constituye la figura jurídica de la </w:t>
      </w:r>
      <w:r w:rsidRPr="00637B92">
        <w:rPr>
          <w:rFonts w:ascii="Palatino Linotype" w:eastAsia="Palatino Linotype" w:hAnsi="Palatino Linotype" w:cs="Palatino Linotype"/>
          <w:b/>
          <w:sz w:val="22"/>
          <w:szCs w:val="22"/>
        </w:rPr>
        <w:t>NEGATIVA FICTA</w:t>
      </w:r>
      <w:r w:rsidRPr="00637B92">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De tal manera, en el presente recurso de revisión se actualizó la negativa ficta por parte del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al no haber respondido a la parte </w:t>
      </w:r>
      <w:r w:rsidRPr="00637B92">
        <w:rPr>
          <w:rFonts w:ascii="Palatino Linotype" w:eastAsia="Palatino Linotype" w:hAnsi="Palatino Linotype" w:cs="Palatino Linotype"/>
          <w:b/>
          <w:sz w:val="22"/>
          <w:szCs w:val="22"/>
        </w:rPr>
        <w:t>RECURRENTE</w:t>
      </w:r>
      <w:r w:rsidRPr="00637B92">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Si a ello se le suma lo previsto en el párrafo segundo del artículo 178, párrafo segundo</w:t>
      </w:r>
      <w:r w:rsidRPr="00637B92">
        <w:rPr>
          <w:rFonts w:ascii="Palatino Linotype" w:eastAsia="Palatino Linotype" w:hAnsi="Palatino Linotype" w:cs="Palatino Linotype"/>
          <w:sz w:val="22"/>
          <w:szCs w:val="22"/>
          <w:vertAlign w:val="superscript"/>
        </w:rPr>
        <w:footnoteReference w:id="1"/>
      </w:r>
      <w:r w:rsidRPr="00637B92">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637B92" w:rsidRDefault="00532AE4">
      <w:pPr>
        <w:spacing w:line="360" w:lineRule="auto"/>
        <w:jc w:val="both"/>
        <w:rPr>
          <w:i/>
          <w:sz w:val="22"/>
          <w:szCs w:val="22"/>
        </w:rPr>
      </w:pPr>
    </w:p>
    <w:p w14:paraId="4BB01BE0" w14:textId="77777777" w:rsidR="00532AE4" w:rsidRPr="00637B92" w:rsidRDefault="00A76F12">
      <w:pPr>
        <w:ind w:left="567" w:right="616"/>
        <w:jc w:val="both"/>
        <w:rPr>
          <w:rFonts w:ascii="Palatino Linotype" w:eastAsia="Palatino Linotype" w:hAnsi="Palatino Linotype" w:cs="Palatino Linotype"/>
          <w:b/>
          <w:i/>
          <w:sz w:val="22"/>
          <w:szCs w:val="22"/>
        </w:rPr>
      </w:pPr>
      <w:r w:rsidRPr="00637B92">
        <w:rPr>
          <w:rFonts w:ascii="Palatino Linotype" w:eastAsia="Palatino Linotype" w:hAnsi="Palatino Linotype" w:cs="Palatino Linotype"/>
          <w:i/>
          <w:sz w:val="22"/>
          <w:szCs w:val="22"/>
        </w:rPr>
        <w:t>“</w:t>
      </w:r>
      <w:r w:rsidRPr="00637B92">
        <w:rPr>
          <w:rFonts w:ascii="Palatino Linotype" w:eastAsia="Palatino Linotype" w:hAnsi="Palatino Linotype" w:cs="Palatino Linotype"/>
          <w:b/>
          <w:i/>
          <w:sz w:val="22"/>
          <w:szCs w:val="22"/>
        </w:rPr>
        <w:t>CRITERIO 0001-15 NEGATIVA FICTA. PLAZO PARA INTERPONER EL RECURSO DE REVISIÓN TRATÁNDOSE DE</w:t>
      </w:r>
      <w:r w:rsidRPr="00637B92">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637B92" w:rsidRDefault="00532AE4">
      <w:pPr>
        <w:ind w:left="567" w:right="851"/>
        <w:jc w:val="both"/>
        <w:rPr>
          <w:rFonts w:ascii="Palatino Linotype" w:eastAsia="Palatino Linotype" w:hAnsi="Palatino Linotype" w:cs="Palatino Linotype"/>
          <w:i/>
          <w:sz w:val="22"/>
          <w:szCs w:val="22"/>
        </w:rPr>
      </w:pPr>
    </w:p>
    <w:p w14:paraId="76E26C4F" w14:textId="169CE5C8" w:rsidR="00532AE4" w:rsidRPr="00637B92"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637B92">
        <w:rPr>
          <w:rFonts w:ascii="Palatino Linotype" w:eastAsia="Palatino Linotype" w:hAnsi="Palatino Linotype" w:cs="Palatino Linotype"/>
          <w:b/>
          <w:sz w:val="22"/>
          <w:szCs w:val="22"/>
        </w:rPr>
        <w:t>EL</w:t>
      </w:r>
      <w:r w:rsidRPr="00637B92">
        <w:rPr>
          <w:rFonts w:ascii="Palatino Linotype" w:eastAsia="Palatino Linotype" w:hAnsi="Palatino Linotype" w:cs="Palatino Linotype"/>
          <w:sz w:val="22"/>
          <w:szCs w:val="22"/>
        </w:rPr>
        <w:t xml:space="preserve"> </w:t>
      </w:r>
      <w:r w:rsidRPr="00637B92">
        <w:rPr>
          <w:rFonts w:ascii="Palatino Linotype" w:eastAsia="Palatino Linotype" w:hAnsi="Palatino Linotype" w:cs="Palatino Linotype"/>
          <w:b/>
          <w:sz w:val="22"/>
          <w:szCs w:val="22"/>
        </w:rPr>
        <w:t>SAIMEX</w:t>
      </w:r>
      <w:r w:rsidRPr="00637B92">
        <w:rPr>
          <w:rFonts w:ascii="Palatino Linotype" w:eastAsia="Palatino Linotype" w:hAnsi="Palatino Linotype" w:cs="Palatino Linotype"/>
          <w:sz w:val="22"/>
          <w:szCs w:val="22"/>
        </w:rPr>
        <w:t>.</w:t>
      </w:r>
    </w:p>
    <w:p w14:paraId="1C27DB56" w14:textId="40163621" w:rsidR="00B503D1" w:rsidRPr="00637B92"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lastRenderedPageBreak/>
        <w:t xml:space="preserve">Ahora bien, resulta procedente la interposición del recurso de revisión, según lo aducido por la parte </w:t>
      </w:r>
      <w:r w:rsidRPr="00637B92">
        <w:rPr>
          <w:rFonts w:ascii="Palatino Linotype" w:eastAsia="Palatino Linotype" w:hAnsi="Palatino Linotype" w:cs="Palatino Linotype"/>
          <w:b/>
          <w:sz w:val="22"/>
          <w:szCs w:val="22"/>
        </w:rPr>
        <w:t>RECURRENTE</w:t>
      </w:r>
      <w:r w:rsidRPr="00637B92">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637B92" w:rsidRDefault="00A76F12">
      <w:pPr>
        <w:ind w:left="567" w:right="616"/>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i/>
          <w:sz w:val="22"/>
          <w:szCs w:val="22"/>
        </w:rPr>
        <w:t>“</w:t>
      </w:r>
      <w:r w:rsidRPr="00637B92">
        <w:rPr>
          <w:rFonts w:ascii="Palatino Linotype" w:eastAsia="Palatino Linotype" w:hAnsi="Palatino Linotype" w:cs="Palatino Linotype"/>
          <w:b/>
          <w:sz w:val="22"/>
          <w:szCs w:val="22"/>
        </w:rPr>
        <w:t>Artículo 179.</w:t>
      </w:r>
      <w:r w:rsidRPr="00637B92">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637B92">
        <w:rPr>
          <w:rFonts w:ascii="Palatino Linotype" w:eastAsia="Palatino Linotype" w:hAnsi="Palatino Linotype" w:cs="Palatino Linotype"/>
          <w:sz w:val="22"/>
          <w:szCs w:val="22"/>
        </w:rPr>
        <w:t> </w:t>
      </w:r>
    </w:p>
    <w:p w14:paraId="7ACAE181" w14:textId="77777777" w:rsidR="00532AE4" w:rsidRPr="00637B92" w:rsidRDefault="00A76F12">
      <w:pPr>
        <w:ind w:left="567" w:right="616"/>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w:t>
      </w:r>
    </w:p>
    <w:p w14:paraId="543A0FF7" w14:textId="77777777" w:rsidR="00532AE4" w:rsidRPr="00637B92" w:rsidRDefault="00A76F12">
      <w:pPr>
        <w:numPr>
          <w:ilvl w:val="0"/>
          <w:numId w:val="4"/>
        </w:numPr>
        <w:ind w:left="567" w:right="616" w:firstLine="0"/>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637B92"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637B92" w:rsidRDefault="00A76F12">
      <w:pPr>
        <w:tabs>
          <w:tab w:val="left" w:pos="8647"/>
        </w:tabs>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 xml:space="preserve">Tercero. Materia de la revisión. </w:t>
      </w:r>
      <w:r w:rsidRPr="00637B92">
        <w:rPr>
          <w:rFonts w:ascii="Palatino Linotype" w:eastAsia="Palatino Linotype" w:hAnsi="Palatino Linotype" w:cs="Palatino Linotype"/>
          <w:sz w:val="22"/>
          <w:szCs w:val="22"/>
        </w:rPr>
        <w:t xml:space="preserve">Este Organismo Garante procede del análisis de los agravios hechos valer por la parte </w:t>
      </w:r>
      <w:r w:rsidRPr="00637B92">
        <w:rPr>
          <w:rFonts w:ascii="Palatino Linotype" w:eastAsia="Palatino Linotype" w:hAnsi="Palatino Linotype" w:cs="Palatino Linotype"/>
          <w:b/>
          <w:sz w:val="22"/>
          <w:szCs w:val="22"/>
        </w:rPr>
        <w:t>Recurrente</w:t>
      </w:r>
      <w:r w:rsidRPr="00637B92">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637B92"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 xml:space="preserve">Cuarto. Estudio del asunto. </w:t>
      </w:r>
      <w:r w:rsidRPr="00637B92">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637B92">
        <w:rPr>
          <w:rFonts w:ascii="Palatino Linotype" w:eastAsia="Palatino Linotype" w:hAnsi="Palatino Linotype" w:cs="Palatino Linotype"/>
          <w:b/>
          <w:sz w:val="22"/>
          <w:szCs w:val="22"/>
        </w:rPr>
        <w:t xml:space="preserve">Sujeto Obligado </w:t>
      </w:r>
      <w:r w:rsidRPr="00637B92">
        <w:rPr>
          <w:rFonts w:ascii="Palatino Linotype" w:eastAsia="Palatino Linotype" w:hAnsi="Palatino Linotype" w:cs="Palatino Linotype"/>
          <w:sz w:val="22"/>
          <w:szCs w:val="22"/>
        </w:rPr>
        <w:t xml:space="preserve">no dio respuesta a la solicitud de información planteada por la parte </w:t>
      </w:r>
      <w:r w:rsidRPr="00637B92">
        <w:rPr>
          <w:rFonts w:ascii="Palatino Linotype" w:eastAsia="Palatino Linotype" w:hAnsi="Palatino Linotype" w:cs="Palatino Linotype"/>
          <w:b/>
          <w:sz w:val="22"/>
          <w:szCs w:val="22"/>
        </w:rPr>
        <w:t>Recurrente</w:t>
      </w:r>
      <w:r w:rsidRPr="00637B92">
        <w:rPr>
          <w:rFonts w:ascii="Palatino Linotype" w:eastAsia="Palatino Linotype" w:hAnsi="Palatino Linotype" w:cs="Palatino Linotype"/>
          <w:sz w:val="22"/>
          <w:szCs w:val="22"/>
        </w:rPr>
        <w:t xml:space="preserve">, lo que se traduce como la configuración de la </w:t>
      </w:r>
      <w:r w:rsidRPr="00637B92">
        <w:rPr>
          <w:rFonts w:ascii="Palatino Linotype" w:eastAsia="Palatino Linotype" w:hAnsi="Palatino Linotype" w:cs="Palatino Linotype"/>
          <w:b/>
          <w:sz w:val="22"/>
          <w:szCs w:val="22"/>
        </w:rPr>
        <w:t>negativa ficta</w:t>
      </w:r>
      <w:r w:rsidRPr="00637B92">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637B92">
        <w:rPr>
          <w:rFonts w:ascii="Palatino Linotype" w:eastAsia="Palatino Linotype" w:hAnsi="Palatino Linotype" w:cs="Palatino Linotype"/>
          <w:b/>
          <w:sz w:val="22"/>
          <w:szCs w:val="22"/>
        </w:rPr>
        <w:t>Recurrente</w:t>
      </w:r>
      <w:r w:rsidRPr="00637B92">
        <w:rPr>
          <w:rFonts w:ascii="Palatino Linotype" w:eastAsia="Palatino Linotype" w:hAnsi="Palatino Linotype" w:cs="Palatino Linotype"/>
          <w:sz w:val="22"/>
          <w:szCs w:val="22"/>
        </w:rPr>
        <w:t xml:space="preserve">, se advierte que requirió al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le proporcionara, información consistente en lo siguiente:</w:t>
      </w:r>
    </w:p>
    <w:p w14:paraId="35279DFB" w14:textId="7D87E5CE" w:rsidR="00532AE4" w:rsidRPr="00637B92" w:rsidRDefault="00B82C51" w:rsidP="00CB7440">
      <w:pPr>
        <w:ind w:left="851" w:right="616"/>
        <w:jc w:val="both"/>
        <w:rPr>
          <w:rFonts w:ascii="Palatino Linotype" w:eastAsia="Palatino Linotype" w:hAnsi="Palatino Linotype"/>
          <w:i/>
          <w:sz w:val="22"/>
          <w:szCs w:val="22"/>
        </w:rPr>
      </w:pPr>
      <w:r w:rsidRPr="00637B92">
        <w:rPr>
          <w:rFonts w:ascii="Palatino Linotype" w:eastAsia="Palatino Linotype" w:hAnsi="Palatino Linotype"/>
          <w:i/>
          <w:sz w:val="22"/>
          <w:szCs w:val="22"/>
        </w:rPr>
        <w:lastRenderedPageBreak/>
        <w:t>“</w:t>
      </w:r>
      <w:r w:rsidR="009C6FBB" w:rsidRPr="00637B92">
        <w:rPr>
          <w:rFonts w:ascii="Palatino Linotype" w:eastAsia="Palatino Linotype" w:hAnsi="Palatino Linotype"/>
          <w:i/>
          <w:sz w:val="22"/>
          <w:szCs w:val="22"/>
        </w:rPr>
        <w:t>VERSION PUBLICA DE LOS CONTRATOS Y CONVENIOS PARA LA ADQUISICION DE BIENES Y SERVICIOS DEL 01 DE ENERO DEL 2025 AL 17 DE JULIO DEL 2027</w:t>
      </w:r>
      <w:r w:rsidR="009C3B23" w:rsidRPr="00637B92">
        <w:rPr>
          <w:rFonts w:ascii="Palatino Linotype" w:eastAsia="Palatino Linotype" w:hAnsi="Palatino Linotype"/>
          <w:i/>
          <w:sz w:val="22"/>
          <w:szCs w:val="22"/>
        </w:rPr>
        <w:t>”</w:t>
      </w:r>
      <w:r w:rsidR="00223CD6" w:rsidRPr="00637B92">
        <w:rPr>
          <w:rFonts w:ascii="Palatino Linotype" w:eastAsia="Palatino Linotype" w:hAnsi="Palatino Linotype"/>
          <w:i/>
          <w:sz w:val="22"/>
          <w:szCs w:val="22"/>
        </w:rPr>
        <w:t xml:space="preserve"> (</w:t>
      </w:r>
      <w:r w:rsidR="00A76F12" w:rsidRPr="00637B92">
        <w:rPr>
          <w:rFonts w:ascii="Palatino Linotype" w:eastAsia="Palatino Linotype" w:hAnsi="Palatino Linotype"/>
          <w:i/>
          <w:sz w:val="22"/>
          <w:szCs w:val="22"/>
        </w:rPr>
        <w:t>Sic)</w:t>
      </w:r>
    </w:p>
    <w:p w14:paraId="4BE46D97" w14:textId="77777777" w:rsidR="00532AE4" w:rsidRPr="00637B92"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637B92" w:rsidRDefault="00A76F12">
      <w:pPr>
        <w:tabs>
          <w:tab w:val="left" w:pos="709"/>
        </w:tabs>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637B92"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637B92"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637B92">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637B92"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637B92">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637B92"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u w:val="single"/>
        </w:rPr>
        <w:lastRenderedPageBreak/>
        <w:t>Todas las autoridades, en el ámbito de sus competencias, tienen la obligación de promover, respetar, proteger y garantizar los derechos humanos de conformidad con los principios de universalidad, interdependencia, indivisibilidad y progresividad.</w:t>
      </w:r>
      <w:r w:rsidRPr="00637B92">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637B92"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w:t>
      </w:r>
    </w:p>
    <w:p w14:paraId="54E0C206" w14:textId="77777777" w:rsidR="00532AE4" w:rsidRPr="00637B92" w:rsidRDefault="00A76F12">
      <w:pPr>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“Artículo 6o.</w:t>
      </w:r>
    </w:p>
    <w:p w14:paraId="4D803AB1" w14:textId="77777777" w:rsidR="00532AE4" w:rsidRPr="00637B92" w:rsidRDefault="00A76F12">
      <w:pPr>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w:t>
      </w:r>
    </w:p>
    <w:p w14:paraId="4B588253" w14:textId="77777777" w:rsidR="00532AE4" w:rsidRPr="00637B92" w:rsidRDefault="00A76F12">
      <w:pPr>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A. Para el ejercicio del derecho de acceso a la información, la Federación y </w:t>
      </w:r>
      <w:r w:rsidRPr="00637B92">
        <w:rPr>
          <w:rFonts w:ascii="Palatino Linotype" w:eastAsia="Palatino Linotype" w:hAnsi="Palatino Linotype" w:cs="Palatino Linotype"/>
          <w:b/>
          <w:i/>
          <w:sz w:val="22"/>
          <w:szCs w:val="22"/>
          <w:u w:val="single"/>
        </w:rPr>
        <w:t>las entidades federativas</w:t>
      </w:r>
      <w:r w:rsidRPr="00637B92">
        <w:rPr>
          <w:rFonts w:ascii="Palatino Linotype" w:eastAsia="Palatino Linotype" w:hAnsi="Palatino Linotype" w:cs="Palatino Linotype"/>
          <w:b/>
          <w:i/>
          <w:sz w:val="22"/>
          <w:szCs w:val="22"/>
        </w:rPr>
        <w:t>,</w:t>
      </w:r>
      <w:r w:rsidRPr="00637B92">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637B92" w:rsidRDefault="00A76F12">
      <w:pPr>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 </w:t>
      </w:r>
      <w:r w:rsidRPr="00637B92">
        <w:rPr>
          <w:rFonts w:ascii="Palatino Linotype" w:eastAsia="Palatino Linotype" w:hAnsi="Palatino Linotype" w:cs="Palatino Linotype"/>
          <w:b/>
          <w:i/>
          <w:sz w:val="22"/>
          <w:szCs w:val="22"/>
          <w:u w:val="single"/>
        </w:rPr>
        <w:t>Toda la información en posesión de cualquier autoridad, entidad, órgano y organismo de los Poderes</w:t>
      </w:r>
      <w:r w:rsidRPr="00637B92">
        <w:rPr>
          <w:rFonts w:ascii="Palatino Linotype" w:eastAsia="Palatino Linotype" w:hAnsi="Palatino Linotype" w:cs="Palatino Linotype"/>
          <w:i/>
          <w:sz w:val="22"/>
          <w:szCs w:val="22"/>
        </w:rPr>
        <w:t xml:space="preserve"> Ejecutivo, Legislativo </w:t>
      </w:r>
      <w:r w:rsidRPr="00637B92">
        <w:rPr>
          <w:rFonts w:ascii="Palatino Linotype" w:eastAsia="Palatino Linotype" w:hAnsi="Palatino Linotype" w:cs="Palatino Linotype"/>
          <w:b/>
          <w:i/>
          <w:sz w:val="22"/>
          <w:szCs w:val="22"/>
          <w:u w:val="single"/>
        </w:rPr>
        <w:t>y Judicial</w:t>
      </w:r>
      <w:r w:rsidRPr="00637B92">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637B92">
        <w:rPr>
          <w:rFonts w:ascii="Palatino Linotype" w:eastAsia="Palatino Linotype" w:hAnsi="Palatino Linotype" w:cs="Palatino Linotype"/>
          <w:b/>
          <w:i/>
          <w:sz w:val="22"/>
          <w:szCs w:val="22"/>
        </w:rPr>
        <w:t>es pública y sólo podrá ser reservada temporalmente por razones de interés público y seguridad nacional,</w:t>
      </w:r>
      <w:r w:rsidRPr="00637B92">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637B92" w:rsidRDefault="00A76F12">
      <w:pPr>
        <w:spacing w:line="276" w:lineRule="auto"/>
        <w:ind w:left="567" w:right="851"/>
        <w:jc w:val="both"/>
        <w:rPr>
          <w:rFonts w:ascii="Palatino Linotype" w:eastAsia="Palatino Linotype" w:hAnsi="Palatino Linotype" w:cs="Palatino Linotype"/>
          <w:b/>
          <w:i/>
          <w:sz w:val="22"/>
          <w:szCs w:val="22"/>
        </w:rPr>
      </w:pPr>
      <w:r w:rsidRPr="00637B92">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637B92" w:rsidRDefault="00A76F12">
      <w:pPr>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III. </w:t>
      </w:r>
      <w:r w:rsidRPr="00637B92">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637B92">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637B92" w:rsidRDefault="00A76F12">
      <w:pPr>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IV.</w:t>
      </w:r>
      <w:r w:rsidRPr="00637B92">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637B92" w:rsidRDefault="00A76F12">
      <w:pPr>
        <w:spacing w:line="276" w:lineRule="auto"/>
        <w:ind w:left="567" w:right="851"/>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V. </w:t>
      </w:r>
      <w:r w:rsidRPr="00637B92">
        <w:rPr>
          <w:rFonts w:ascii="Palatino Linotype" w:eastAsia="Palatino Linotype" w:hAnsi="Palatino Linotype" w:cs="Palatino Linotype"/>
          <w:i/>
          <w:sz w:val="22"/>
          <w:szCs w:val="22"/>
        </w:rPr>
        <w:t xml:space="preserve">Los sujetos obligados deberán preservar sus documentos en archivos administrativos actualizados y publicarán, a través de los medios electrónicos disponibles, la información completa y actualizada sobre el ejercicio de los recursos </w:t>
      </w:r>
      <w:r w:rsidRPr="00637B92">
        <w:rPr>
          <w:rFonts w:ascii="Palatino Linotype" w:eastAsia="Palatino Linotype" w:hAnsi="Palatino Linotype" w:cs="Palatino Linotype"/>
          <w:i/>
          <w:sz w:val="22"/>
          <w:szCs w:val="22"/>
        </w:rPr>
        <w:lastRenderedPageBreak/>
        <w:t>públicos y los indicadores que permitan rendir cuenta del cumplimiento de sus objetivos y de los resultados obtenidos.</w:t>
      </w:r>
    </w:p>
    <w:p w14:paraId="3A6C6EFF" w14:textId="77777777" w:rsidR="00532AE4" w:rsidRPr="00637B92"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637B92"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637B92" w:rsidRDefault="00A76F12">
      <w:pPr>
        <w:tabs>
          <w:tab w:val="left" w:pos="709"/>
        </w:tabs>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637B92"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w:t>
      </w:r>
      <w:r w:rsidRPr="00637B92">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637B92">
        <w:rPr>
          <w:rFonts w:ascii="Palatino Linotype" w:eastAsia="Palatino Linotype" w:hAnsi="Palatino Linotype" w:cs="Palatino Linotype"/>
          <w:i/>
          <w:sz w:val="22"/>
          <w:szCs w:val="22"/>
        </w:rPr>
        <w:t>:</w:t>
      </w:r>
    </w:p>
    <w:p w14:paraId="275F2B94"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637B92">
        <w:rPr>
          <w:rFonts w:ascii="Palatino Linotype" w:eastAsia="Palatino Linotype" w:hAnsi="Palatino Linotype" w:cs="Palatino Linotype"/>
          <w:b/>
          <w:i/>
          <w:sz w:val="22"/>
          <w:szCs w:val="22"/>
        </w:rPr>
        <w:t>I.</w:t>
      </w:r>
      <w:r w:rsidRPr="00637B92">
        <w:rPr>
          <w:rFonts w:ascii="Palatino Linotype" w:eastAsia="Palatino Linotype" w:hAnsi="Palatino Linotype" w:cs="Palatino Linotype"/>
          <w:i/>
          <w:sz w:val="22"/>
          <w:szCs w:val="22"/>
        </w:rPr>
        <w:t xml:space="preserve"> El Poder Ejecutivo del Estado de México, las dependencias, organismos auxiliares,</w:t>
      </w:r>
      <w:r w:rsidRPr="00637B92">
        <w:rPr>
          <w:rFonts w:ascii="Palatino Linotype" w:eastAsia="Palatino Linotype" w:hAnsi="Palatino Linotype" w:cs="Palatino Linotype"/>
          <w:b/>
          <w:i/>
          <w:sz w:val="22"/>
          <w:szCs w:val="22"/>
        </w:rPr>
        <w:t xml:space="preserve"> </w:t>
      </w:r>
      <w:r w:rsidRPr="00637B92">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II.</w:t>
      </w:r>
      <w:r w:rsidRPr="00637B92">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III.</w:t>
      </w:r>
      <w:r w:rsidRPr="00637B92">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637B92">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V.</w:t>
      </w:r>
      <w:r w:rsidRPr="00637B92">
        <w:rPr>
          <w:rFonts w:ascii="Palatino Linotype" w:eastAsia="Palatino Linotype" w:hAnsi="Palatino Linotype" w:cs="Palatino Linotype"/>
          <w:i/>
          <w:sz w:val="22"/>
          <w:szCs w:val="22"/>
        </w:rPr>
        <w:t xml:space="preserve"> Los órganos autónomos;</w:t>
      </w:r>
    </w:p>
    <w:p w14:paraId="47FBCC3D"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VI.</w:t>
      </w:r>
      <w:r w:rsidRPr="00637B92">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VII.</w:t>
      </w:r>
      <w:r w:rsidRPr="00637B92">
        <w:rPr>
          <w:rFonts w:ascii="Palatino Linotype" w:eastAsia="Palatino Linotype" w:hAnsi="Palatino Linotype" w:cs="Palatino Linotype"/>
          <w:i/>
          <w:sz w:val="22"/>
          <w:szCs w:val="22"/>
        </w:rPr>
        <w:t xml:space="preserve"> Los </w:t>
      </w:r>
      <w:proofErr w:type="gramStart"/>
      <w:r w:rsidRPr="00637B92">
        <w:rPr>
          <w:rFonts w:ascii="Palatino Linotype" w:eastAsia="Palatino Linotype" w:hAnsi="Palatino Linotype" w:cs="Palatino Linotype"/>
          <w:i/>
          <w:sz w:val="22"/>
          <w:szCs w:val="22"/>
        </w:rPr>
        <w:t>partidos políticos y agrupaciones políticas</w:t>
      </w:r>
      <w:proofErr w:type="gramEnd"/>
      <w:r w:rsidRPr="00637B92">
        <w:rPr>
          <w:rFonts w:ascii="Palatino Linotype" w:eastAsia="Palatino Linotype" w:hAnsi="Palatino Linotype" w:cs="Palatino Linotype"/>
          <w:i/>
          <w:sz w:val="22"/>
          <w:szCs w:val="22"/>
        </w:rPr>
        <w:t>, en los términos de las disposiciones aplicables;</w:t>
      </w:r>
    </w:p>
    <w:p w14:paraId="5585D2BB"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lastRenderedPageBreak/>
        <w:t>VIII.</w:t>
      </w:r>
      <w:r w:rsidRPr="00637B92">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IX.</w:t>
      </w:r>
      <w:r w:rsidRPr="00637B92">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X.</w:t>
      </w:r>
      <w:r w:rsidRPr="00637B92">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XI.</w:t>
      </w:r>
      <w:r w:rsidRPr="00637B92">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637B92"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637B92">
        <w:rPr>
          <w:rFonts w:ascii="Palatino Linotype" w:eastAsia="Palatino Linotype" w:hAnsi="Palatino Linotype" w:cs="Palatino Linotype"/>
          <w:i/>
          <w:sz w:val="22"/>
          <w:szCs w:val="22"/>
        </w:rPr>
        <w:t>.”</w:t>
      </w:r>
    </w:p>
    <w:p w14:paraId="6AA3AC33"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Es así </w:t>
      </w:r>
      <w:proofErr w:type="gramStart"/>
      <w:r w:rsidRPr="00637B92">
        <w:rPr>
          <w:rFonts w:ascii="Palatino Linotype" w:eastAsia="Palatino Linotype" w:hAnsi="Palatino Linotype" w:cs="Palatino Linotype"/>
          <w:sz w:val="22"/>
          <w:szCs w:val="22"/>
        </w:rPr>
        <w:t>que</w:t>
      </w:r>
      <w:proofErr w:type="gramEnd"/>
      <w:r w:rsidRPr="00637B92">
        <w:rPr>
          <w:rFonts w:ascii="Palatino Linotype" w:eastAsia="Palatino Linotype" w:hAnsi="Palatino Linotype" w:cs="Palatino Linotype"/>
          <w:sz w:val="22"/>
          <w:szCs w:val="22"/>
        </w:rPr>
        <w:t xml:space="preserv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637B92"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Dicho lo anterior, se precisa que la ya mencionada Unidad de Transparencia es la encargada de tramitar internamente las solicitudes de información y tiene la responsabilidad de verificar, en cada caso, que la información no tenga el carácter de confidencial o reservada, </w:t>
      </w:r>
      <w:r w:rsidRPr="00637B92">
        <w:rPr>
          <w:rFonts w:ascii="Palatino Linotype" w:eastAsia="Palatino Linotype" w:hAnsi="Palatino Linotype" w:cs="Palatino Linotype"/>
          <w:sz w:val="22"/>
          <w:szCs w:val="22"/>
        </w:rPr>
        <w:lastRenderedPageBreak/>
        <w:t>en términos de los artículos 50 y 51 de la Ley de Transparencia y Acceso a la Información Pública del Estado de México y Municipios.</w:t>
      </w:r>
    </w:p>
    <w:p w14:paraId="677C733F" w14:textId="77777777" w:rsidR="00532AE4" w:rsidRPr="00637B92"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637B92"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637B92"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637B92"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w:t>
      </w:r>
      <w:r w:rsidRPr="00637B92">
        <w:rPr>
          <w:rFonts w:ascii="Palatino Linotype" w:eastAsia="Palatino Linotype" w:hAnsi="Palatino Linotype" w:cs="Palatino Linotype"/>
          <w:sz w:val="22"/>
          <w:szCs w:val="22"/>
        </w:rPr>
        <w:lastRenderedPageBreak/>
        <w:t xml:space="preserve">adicionales, siempre y cuando existan razones fundadas y motivadas, las cuales deberán ser aprobadas por el Comité de Transparencia. Situación que en la especie no aconteció. </w:t>
      </w:r>
    </w:p>
    <w:p w14:paraId="53232406"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Sirve de sustento a lo anterior, el precepto legal en cita:</w:t>
      </w:r>
    </w:p>
    <w:p w14:paraId="0E6F8D37"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637B92" w:rsidRDefault="00A76F12">
      <w:pPr>
        <w:spacing w:line="276" w:lineRule="auto"/>
        <w:ind w:left="567" w:right="902"/>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w:t>
      </w:r>
      <w:r w:rsidRPr="00637B92">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637B92">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637B92" w:rsidRDefault="00A76F12">
      <w:pPr>
        <w:spacing w:line="276" w:lineRule="auto"/>
        <w:ind w:left="567" w:right="902"/>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637B92"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En mérito de lo expuesto, es claro que en este caso el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637B92">
        <w:rPr>
          <w:rFonts w:ascii="Palatino Linotype" w:eastAsia="Palatino Linotype" w:hAnsi="Palatino Linotype" w:cs="Palatino Linotype"/>
          <w:b/>
          <w:sz w:val="22"/>
          <w:szCs w:val="22"/>
        </w:rPr>
        <w:t>el Sujeto Obligado</w:t>
      </w:r>
      <w:r w:rsidRPr="00637B92">
        <w:rPr>
          <w:rFonts w:ascii="Palatino Linotype" w:eastAsia="Palatino Linotype" w:hAnsi="Palatino Linotype" w:cs="Palatino Linotype"/>
          <w:sz w:val="22"/>
          <w:szCs w:val="22"/>
        </w:rPr>
        <w:t>; por lo que, en caso de no atender de manera positiva</w:t>
      </w:r>
      <w:r w:rsidRPr="00637B92">
        <w:rPr>
          <w:rFonts w:ascii="Palatino Linotype" w:eastAsia="Palatino Linotype" w:hAnsi="Palatino Linotype" w:cs="Palatino Linotype"/>
          <w:sz w:val="22"/>
          <w:szCs w:val="22"/>
          <w:vertAlign w:val="superscript"/>
        </w:rPr>
        <w:footnoteReference w:id="2"/>
      </w:r>
      <w:r w:rsidRPr="00637B92">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637B92"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637B92">
        <w:rPr>
          <w:rFonts w:ascii="Palatino Linotype" w:eastAsia="Palatino Linotype" w:hAnsi="Palatino Linotype" w:cs="Palatino Linotype"/>
          <w:b/>
          <w:sz w:val="22"/>
          <w:szCs w:val="22"/>
        </w:rPr>
        <w:t>De la clasificación de la información.</w:t>
      </w:r>
    </w:p>
    <w:p w14:paraId="7CB72775" w14:textId="77777777" w:rsidR="00532AE4" w:rsidRPr="00637B92"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637B92" w:rsidRDefault="00A76F12">
      <w:pPr>
        <w:spacing w:line="360" w:lineRule="auto"/>
        <w:ind w:right="51"/>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637B92"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637B92" w:rsidRDefault="00A76F12">
      <w:pPr>
        <w:spacing w:line="276" w:lineRule="auto"/>
        <w:ind w:left="851" w:right="900"/>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“Artículo 91. </w:t>
      </w:r>
      <w:r w:rsidRPr="00637B92">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637B92"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w:t>
      </w:r>
      <w:r w:rsidRPr="00637B92">
        <w:rPr>
          <w:rFonts w:ascii="Palatino Linotype" w:eastAsia="Palatino Linotype" w:hAnsi="Palatino Linotype" w:cs="Palatino Linotype"/>
          <w:sz w:val="22"/>
          <w:szCs w:val="22"/>
        </w:rPr>
        <w:lastRenderedPageBreak/>
        <w:t xml:space="preserve">privada contenida en documentos públicos o privados que refiera a la vida privada y/o los datos personales, que no son de acceso público. </w:t>
      </w:r>
    </w:p>
    <w:p w14:paraId="077F0B8E"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637B92"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“Artículo 140. </w:t>
      </w:r>
      <w:r w:rsidRPr="00637B92">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 </w:t>
      </w:r>
      <w:r w:rsidRPr="00637B92">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II. </w:t>
      </w:r>
      <w:r w:rsidRPr="00637B92">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III. </w:t>
      </w:r>
      <w:r w:rsidRPr="00637B92">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IV. </w:t>
      </w:r>
      <w:r w:rsidRPr="00637B92">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V. </w:t>
      </w:r>
      <w:r w:rsidRPr="00637B92">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1. </w:t>
      </w:r>
      <w:r w:rsidRPr="00637B92">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2. </w:t>
      </w:r>
      <w:r w:rsidRPr="00637B92">
        <w:rPr>
          <w:rFonts w:ascii="Palatino Linotype" w:eastAsia="Palatino Linotype" w:hAnsi="Palatino Linotype" w:cs="Palatino Linotype"/>
          <w:i/>
          <w:sz w:val="22"/>
          <w:szCs w:val="22"/>
        </w:rPr>
        <w:t>La recaudación de las contribuciones.</w:t>
      </w:r>
    </w:p>
    <w:p w14:paraId="4CD54AA9"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VI. </w:t>
      </w:r>
      <w:r w:rsidRPr="00637B92">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VII. </w:t>
      </w:r>
      <w:r w:rsidRPr="00637B92">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lastRenderedPageBreak/>
        <w:t>VIII</w:t>
      </w:r>
      <w:r w:rsidRPr="00637B92">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637B92">
        <w:rPr>
          <w:rFonts w:ascii="Palatino Linotype" w:eastAsia="Palatino Linotype" w:hAnsi="Palatino Linotype" w:cs="Palatino Linotype"/>
          <w:b/>
          <w:i/>
          <w:sz w:val="22"/>
          <w:szCs w:val="22"/>
        </w:rPr>
        <w:t>;</w:t>
      </w:r>
    </w:p>
    <w:p w14:paraId="20A105A2"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IX. </w:t>
      </w:r>
      <w:r w:rsidRPr="00637B92">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X. </w:t>
      </w:r>
      <w:r w:rsidRPr="00637B92">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XI. </w:t>
      </w:r>
      <w:r w:rsidRPr="00637B92">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w:t>
      </w:r>
    </w:p>
    <w:p w14:paraId="7E7180B7"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Artículo 143. </w:t>
      </w:r>
      <w:r w:rsidRPr="00637B92">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 </w:t>
      </w:r>
      <w:r w:rsidRPr="00637B92">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II. </w:t>
      </w:r>
      <w:r w:rsidRPr="00637B92">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III. </w:t>
      </w:r>
      <w:r w:rsidRPr="00637B92">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 xml:space="preserve">La información confidencial no estará sujeta a temporalidad alguna y sólo podrán tener acceso a ella los titulares de </w:t>
      </w:r>
      <w:proofErr w:type="gramStart"/>
      <w:r w:rsidRPr="00637B92">
        <w:rPr>
          <w:rFonts w:ascii="Palatino Linotype" w:eastAsia="Palatino Linotype" w:hAnsi="Palatino Linotype" w:cs="Palatino Linotype"/>
          <w:i/>
          <w:sz w:val="22"/>
          <w:szCs w:val="22"/>
        </w:rPr>
        <w:t>la misma</w:t>
      </w:r>
      <w:proofErr w:type="gramEnd"/>
      <w:r w:rsidRPr="00637B92">
        <w:rPr>
          <w:rFonts w:ascii="Palatino Linotype" w:eastAsia="Palatino Linotype" w:hAnsi="Palatino Linotype" w:cs="Palatino Linotype"/>
          <w:i/>
          <w:sz w:val="22"/>
          <w:szCs w:val="22"/>
        </w:rPr>
        <w:t>, sus representantes y los servidores públicos facultados para ello.</w:t>
      </w:r>
    </w:p>
    <w:p w14:paraId="53609C54" w14:textId="77777777" w:rsidR="00532AE4" w:rsidRPr="00637B92"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637B92"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De este modo, conforme al artículo 132 de la Ley en la Materia Local, para clasificar la información se debe de atender a lo dispuesto por la normativa y aplicar, de manera estricta, </w:t>
      </w:r>
      <w:r w:rsidRPr="00637B92">
        <w:rPr>
          <w:rFonts w:ascii="Palatino Linotype" w:eastAsia="Palatino Linotype" w:hAnsi="Palatino Linotype" w:cs="Palatino Linotype"/>
          <w:sz w:val="22"/>
          <w:szCs w:val="22"/>
        </w:rPr>
        <w:lastRenderedPageBreak/>
        <w:t>las excepciones del derecho de acceso a la información y sólo podrán invocarlas cuando acrediten su procedencia, debiendo clasificar la información en el momento en que:</w:t>
      </w:r>
    </w:p>
    <w:p w14:paraId="7A878F85"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637B92"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Se reciba una solicitud de acceso a la información;</w:t>
      </w:r>
    </w:p>
    <w:p w14:paraId="54E32C40" w14:textId="77777777" w:rsidR="00532AE4" w:rsidRPr="00637B92"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Se determine mediante resolución de autoridad competente; y/o</w:t>
      </w:r>
    </w:p>
    <w:p w14:paraId="2A2574F5" w14:textId="77777777" w:rsidR="00532AE4" w:rsidRPr="00637B92"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637B92"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637B92" w:rsidRDefault="00A76F12">
      <w:pPr>
        <w:spacing w:line="360" w:lineRule="auto"/>
        <w:ind w:right="51"/>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637B92">
        <w:rPr>
          <w:rFonts w:ascii="Palatino Linotype" w:eastAsia="Palatino Linotype" w:hAnsi="Palatino Linotype" w:cs="Palatino Linotype"/>
          <w:sz w:val="22"/>
          <w:szCs w:val="22"/>
          <w:vertAlign w:val="superscript"/>
        </w:rPr>
        <w:footnoteReference w:id="3"/>
      </w:r>
      <w:r w:rsidRPr="00637B92">
        <w:rPr>
          <w:rFonts w:ascii="Palatino Linotype" w:eastAsia="Palatino Linotype" w:hAnsi="Palatino Linotype" w:cs="Palatino Linotype"/>
          <w:sz w:val="22"/>
          <w:szCs w:val="22"/>
        </w:rPr>
        <w:t>, 53 fracción X</w:t>
      </w:r>
      <w:r w:rsidRPr="00637B92">
        <w:rPr>
          <w:rFonts w:ascii="Palatino Linotype" w:eastAsia="Palatino Linotype" w:hAnsi="Palatino Linotype" w:cs="Palatino Linotype"/>
          <w:sz w:val="22"/>
          <w:szCs w:val="22"/>
          <w:vertAlign w:val="superscript"/>
        </w:rPr>
        <w:footnoteReference w:id="4"/>
      </w:r>
      <w:r w:rsidRPr="00637B92">
        <w:rPr>
          <w:rFonts w:ascii="Palatino Linotype" w:eastAsia="Palatino Linotype" w:hAnsi="Palatino Linotype" w:cs="Palatino Linotype"/>
          <w:sz w:val="22"/>
          <w:szCs w:val="22"/>
        </w:rPr>
        <w:t>, y 49 fracciones II y VIII</w:t>
      </w:r>
      <w:r w:rsidRPr="00637B92">
        <w:rPr>
          <w:rFonts w:ascii="Palatino Linotype" w:eastAsia="Palatino Linotype" w:hAnsi="Palatino Linotype" w:cs="Palatino Linotype"/>
          <w:sz w:val="22"/>
          <w:szCs w:val="22"/>
          <w:vertAlign w:val="superscript"/>
        </w:rPr>
        <w:footnoteReference w:id="5"/>
      </w:r>
      <w:r w:rsidRPr="00637B92">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637B92"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Bajo tales consideraciones, este Organismo Garante no omite señalar que, si el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advierte que la información solicitada contiene </w:t>
      </w:r>
      <w:r w:rsidRPr="00637B92">
        <w:rPr>
          <w:rFonts w:ascii="Palatino Linotype" w:eastAsia="Palatino Linotype" w:hAnsi="Palatino Linotype" w:cs="Palatino Linotype"/>
          <w:b/>
          <w:sz w:val="22"/>
          <w:szCs w:val="22"/>
        </w:rPr>
        <w:t>datos personales</w:t>
      </w:r>
      <w:r w:rsidRPr="00637B92">
        <w:rPr>
          <w:rFonts w:ascii="Palatino Linotype" w:eastAsia="Palatino Linotype" w:hAnsi="Palatino Linotype" w:cs="Palatino Linotype"/>
          <w:sz w:val="22"/>
          <w:szCs w:val="22"/>
        </w:rPr>
        <w:t xml:space="preserve"> que sean susceptibles de ser </w:t>
      </w:r>
      <w:r w:rsidRPr="00637B92">
        <w:rPr>
          <w:rFonts w:ascii="Palatino Linotype" w:eastAsia="Palatino Linotype" w:hAnsi="Palatino Linotype" w:cs="Palatino Linotype"/>
          <w:b/>
          <w:sz w:val="22"/>
          <w:szCs w:val="22"/>
        </w:rPr>
        <w:t xml:space="preserve">clasificados como confidenciales, </w:t>
      </w:r>
      <w:r w:rsidRPr="00637B92">
        <w:rPr>
          <w:rFonts w:ascii="Palatino Linotype" w:eastAsia="Palatino Linotype" w:hAnsi="Palatino Linotype" w:cs="Palatino Linotype"/>
          <w:sz w:val="22"/>
          <w:szCs w:val="22"/>
        </w:rPr>
        <w:t>o, si por otro lado</w:t>
      </w:r>
      <w:r w:rsidRPr="00637B92">
        <w:rPr>
          <w:rFonts w:ascii="Palatino Linotype" w:eastAsia="Palatino Linotype" w:hAnsi="Palatino Linotype" w:cs="Palatino Linotype"/>
          <w:b/>
          <w:sz w:val="22"/>
          <w:szCs w:val="22"/>
        </w:rPr>
        <w:t>, por su propia y especial naturaleza,</w:t>
      </w:r>
      <w:r w:rsidRPr="00637B92">
        <w:rPr>
          <w:rFonts w:ascii="Palatino Linotype" w:eastAsia="Palatino Linotype" w:hAnsi="Palatino Linotype" w:cs="Palatino Linotype"/>
          <w:sz w:val="22"/>
          <w:szCs w:val="22"/>
        </w:rPr>
        <w:t xml:space="preserve"> encuadra en alguno de los </w:t>
      </w:r>
      <w:r w:rsidRPr="00637B92">
        <w:rPr>
          <w:rFonts w:ascii="Palatino Linotype" w:eastAsia="Palatino Linotype" w:hAnsi="Palatino Linotype" w:cs="Palatino Linotype"/>
          <w:b/>
          <w:sz w:val="22"/>
          <w:szCs w:val="22"/>
        </w:rPr>
        <w:t>supuestos de reserva o de confidencialidad en su totalidad</w:t>
      </w:r>
      <w:r w:rsidRPr="00637B92">
        <w:rPr>
          <w:rFonts w:ascii="Palatino Linotype" w:eastAsia="Palatino Linotype" w:hAnsi="Palatino Linotype" w:cs="Palatino Linotype"/>
          <w:sz w:val="22"/>
          <w:szCs w:val="22"/>
        </w:rPr>
        <w:t>, deberá emitir, un</w:t>
      </w:r>
      <w:r w:rsidRPr="00637B92">
        <w:rPr>
          <w:rFonts w:ascii="Palatino Linotype" w:eastAsia="Palatino Linotype" w:hAnsi="Palatino Linotype" w:cs="Palatino Linotype"/>
          <w:b/>
          <w:sz w:val="22"/>
          <w:szCs w:val="22"/>
        </w:rPr>
        <w:t xml:space="preserve"> Acuerdo de Clasificación </w:t>
      </w:r>
      <w:r w:rsidRPr="00637B92">
        <w:rPr>
          <w:rFonts w:ascii="Palatino Linotype" w:eastAsia="Palatino Linotype" w:hAnsi="Palatino Linotype" w:cs="Palatino Linotype"/>
          <w:sz w:val="22"/>
          <w:szCs w:val="22"/>
        </w:rPr>
        <w:t>debidamente fundado y motivado que</w:t>
      </w:r>
      <w:r w:rsidRPr="00637B92">
        <w:rPr>
          <w:rFonts w:ascii="Palatino Linotype" w:eastAsia="Palatino Linotype" w:hAnsi="Palatino Linotype" w:cs="Palatino Linotype"/>
          <w:b/>
          <w:sz w:val="22"/>
          <w:szCs w:val="22"/>
        </w:rPr>
        <w:t xml:space="preserve"> sustente la clasificación parcial, a través de la versión pública que emita,</w:t>
      </w:r>
      <w:r w:rsidRPr="00637B92">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637B92"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De la clasificación parcial de la información.</w:t>
      </w:r>
    </w:p>
    <w:p w14:paraId="6CDBD4F4" w14:textId="77777777" w:rsidR="00532AE4" w:rsidRPr="00637B92"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637B92"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637B92">
        <w:rPr>
          <w:rFonts w:ascii="Palatino Linotype" w:eastAsia="Palatino Linotype" w:hAnsi="Palatino Linotype" w:cs="Palatino Linotype"/>
          <w:b/>
          <w:sz w:val="22"/>
          <w:szCs w:val="22"/>
        </w:rPr>
        <w:t>De la clasificación de información como reservada.</w:t>
      </w:r>
    </w:p>
    <w:p w14:paraId="2F50165E" w14:textId="77777777" w:rsidR="00532AE4" w:rsidRPr="00637B92"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637B92" w:rsidRDefault="00A76F12">
      <w:pPr>
        <w:spacing w:line="360" w:lineRule="auto"/>
        <w:ind w:right="51"/>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a concluir que, el caso particular se ajusta al </w:t>
      </w:r>
      <w:r w:rsidRPr="00637B92">
        <w:rPr>
          <w:rFonts w:ascii="Palatino Linotype" w:eastAsia="Palatino Linotype" w:hAnsi="Palatino Linotype" w:cs="Palatino Linotype"/>
          <w:sz w:val="22"/>
          <w:szCs w:val="22"/>
        </w:rPr>
        <w:lastRenderedPageBreak/>
        <w:t>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637B92"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637B92"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La divulgación de la información representa un </w:t>
      </w:r>
      <w:r w:rsidRPr="00637B92">
        <w:rPr>
          <w:rFonts w:ascii="Palatino Linotype" w:eastAsia="Palatino Linotype" w:hAnsi="Palatino Linotype" w:cs="Palatino Linotype"/>
          <w:b/>
          <w:sz w:val="22"/>
          <w:szCs w:val="22"/>
        </w:rPr>
        <w:t>riesgo real, demostrable e identificable del perjuicio significativo al interés público o a la seguridad pública</w:t>
      </w:r>
      <w:r w:rsidRPr="00637B92">
        <w:rPr>
          <w:rFonts w:ascii="Palatino Linotype" w:eastAsia="Palatino Linotype" w:hAnsi="Palatino Linotype" w:cs="Palatino Linotype"/>
          <w:sz w:val="22"/>
          <w:szCs w:val="22"/>
        </w:rPr>
        <w:t>;</w:t>
      </w:r>
    </w:p>
    <w:p w14:paraId="4FC20933" w14:textId="77777777" w:rsidR="00532AE4" w:rsidRPr="00637B92"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637B92"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637B92"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Siendo pertinente </w:t>
      </w:r>
      <w:proofErr w:type="gramStart"/>
      <w:r w:rsidRPr="00637B92">
        <w:rPr>
          <w:rFonts w:ascii="Palatino Linotype" w:eastAsia="Palatino Linotype" w:hAnsi="Palatino Linotype" w:cs="Palatino Linotype"/>
          <w:sz w:val="22"/>
          <w:szCs w:val="22"/>
        </w:rPr>
        <w:t>aclarar</w:t>
      </w:r>
      <w:proofErr w:type="gramEnd"/>
      <w:r w:rsidRPr="00637B92">
        <w:rPr>
          <w:rFonts w:ascii="Palatino Linotype" w:eastAsia="Palatino Linotype" w:hAnsi="Palatino Linotype" w:cs="Palatino Linotype"/>
          <w:sz w:val="22"/>
          <w:szCs w:val="22"/>
        </w:rPr>
        <w:t xml:space="preserve"> que, la información que se clasifica bajo la premisa de </w:t>
      </w:r>
      <w:proofErr w:type="gramStart"/>
      <w:r w:rsidRPr="00637B92">
        <w:rPr>
          <w:rFonts w:ascii="Palatino Linotype" w:eastAsia="Palatino Linotype" w:hAnsi="Palatino Linotype" w:cs="Palatino Linotype"/>
          <w:sz w:val="22"/>
          <w:szCs w:val="22"/>
        </w:rPr>
        <w:t>reservada,</w:t>
      </w:r>
      <w:proofErr w:type="gramEnd"/>
      <w:r w:rsidRPr="00637B92">
        <w:rPr>
          <w:rFonts w:ascii="Palatino Linotype" w:eastAsia="Palatino Linotype" w:hAnsi="Palatino Linotype" w:cs="Palatino Linotype"/>
          <w:sz w:val="22"/>
          <w:szCs w:val="22"/>
        </w:rPr>
        <w:t xml:space="preserve"> </w:t>
      </w:r>
      <w:r w:rsidRPr="00637B92">
        <w:rPr>
          <w:rFonts w:ascii="Palatino Linotype" w:eastAsia="Palatino Linotype" w:hAnsi="Palatino Linotype" w:cs="Palatino Linotype"/>
          <w:b/>
          <w:sz w:val="22"/>
          <w:szCs w:val="22"/>
        </w:rPr>
        <w:t>no pierde el carácter de pública</w:t>
      </w:r>
      <w:r w:rsidRPr="00637B92">
        <w:rPr>
          <w:rFonts w:ascii="Palatino Linotype" w:eastAsia="Palatino Linotype" w:hAnsi="Palatino Linotype" w:cs="Palatino Linotype"/>
          <w:sz w:val="22"/>
          <w:szCs w:val="22"/>
        </w:rPr>
        <w:t xml:space="preserve">, sino que </w:t>
      </w:r>
      <w:r w:rsidRPr="00637B92">
        <w:rPr>
          <w:rFonts w:ascii="Palatino Linotype" w:eastAsia="Palatino Linotype" w:hAnsi="Palatino Linotype" w:cs="Palatino Linotype"/>
          <w:b/>
          <w:sz w:val="22"/>
          <w:szCs w:val="22"/>
        </w:rPr>
        <w:t>se reserva temporalmente</w:t>
      </w:r>
      <w:r w:rsidRPr="00637B92">
        <w:rPr>
          <w:rFonts w:ascii="Palatino Linotype" w:eastAsia="Palatino Linotype" w:hAnsi="Palatino Linotype" w:cs="Palatino Linotype"/>
          <w:sz w:val="22"/>
          <w:szCs w:val="22"/>
        </w:rPr>
        <w:t xml:space="preserve"> </w:t>
      </w:r>
      <w:r w:rsidRPr="00637B92">
        <w:rPr>
          <w:rFonts w:ascii="Palatino Linotype" w:eastAsia="Palatino Linotype" w:hAnsi="Palatino Linotype" w:cs="Palatino Linotype"/>
          <w:b/>
          <w:sz w:val="22"/>
          <w:szCs w:val="22"/>
        </w:rPr>
        <w:t>del conocimiento público</w:t>
      </w:r>
      <w:r w:rsidRPr="00637B92">
        <w:rPr>
          <w:rFonts w:ascii="Palatino Linotype" w:eastAsia="Palatino Linotype" w:hAnsi="Palatino Linotype" w:cs="Palatino Linotype"/>
          <w:sz w:val="22"/>
          <w:szCs w:val="22"/>
        </w:rPr>
        <w:t xml:space="preserve">, es decir, que, </w:t>
      </w:r>
      <w:r w:rsidRPr="00637B92">
        <w:rPr>
          <w:rFonts w:ascii="Palatino Linotype" w:eastAsia="Palatino Linotype" w:hAnsi="Palatino Linotype" w:cs="Palatino Linotype"/>
          <w:b/>
          <w:sz w:val="22"/>
          <w:szCs w:val="22"/>
        </w:rPr>
        <w:t>por un tiempo determinado</w:t>
      </w:r>
      <w:r w:rsidRPr="00637B92">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lastRenderedPageBreak/>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637B92"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637B92">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637B92"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637B92" w:rsidRDefault="00A76F12">
      <w:pPr>
        <w:tabs>
          <w:tab w:val="left" w:pos="709"/>
        </w:tabs>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637B92"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637B92" w:rsidRDefault="00A76F12">
      <w:pPr>
        <w:spacing w:line="360" w:lineRule="auto"/>
        <w:ind w:right="51"/>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w:t>
      </w:r>
      <w:r w:rsidRPr="00637B92">
        <w:rPr>
          <w:rFonts w:ascii="Palatino Linotype" w:eastAsia="Palatino Linotype" w:hAnsi="Palatino Linotype" w:cs="Palatino Linotype"/>
          <w:sz w:val="22"/>
          <w:szCs w:val="22"/>
        </w:rPr>
        <w:lastRenderedPageBreak/>
        <w:t>Versiones Públicas</w:t>
      </w:r>
      <w:r w:rsidRPr="00637B92">
        <w:rPr>
          <w:rFonts w:ascii="Palatino Linotype" w:eastAsia="Palatino Linotype" w:hAnsi="Palatino Linotype" w:cs="Palatino Linotype"/>
          <w:sz w:val="22"/>
          <w:szCs w:val="22"/>
          <w:vertAlign w:val="superscript"/>
        </w:rPr>
        <w:footnoteReference w:id="6"/>
      </w:r>
      <w:r w:rsidRPr="00637B92">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637B92"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637B92"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De la declaratoria de inexistencia de la información</w:t>
      </w:r>
      <w:r w:rsidRPr="00637B92">
        <w:rPr>
          <w:rFonts w:ascii="Palatino Linotype" w:eastAsia="Palatino Linotype" w:hAnsi="Palatino Linotype" w:cs="Palatino Linotype"/>
          <w:sz w:val="22"/>
          <w:szCs w:val="22"/>
        </w:rPr>
        <w:t>.</w:t>
      </w:r>
    </w:p>
    <w:p w14:paraId="2CE06287" w14:textId="77777777" w:rsidR="00532AE4" w:rsidRPr="00637B92"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Por otro lado, estima prudente señalar al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w:t>
      </w:r>
      <w:proofErr w:type="gramStart"/>
      <w:r w:rsidRPr="00637B92">
        <w:rPr>
          <w:rFonts w:ascii="Palatino Linotype" w:eastAsia="Palatino Linotype" w:hAnsi="Palatino Linotype" w:cs="Palatino Linotype"/>
          <w:sz w:val="22"/>
          <w:szCs w:val="22"/>
        </w:rPr>
        <w:t>la misma</w:t>
      </w:r>
      <w:proofErr w:type="gramEnd"/>
      <w:r w:rsidRPr="00637B92">
        <w:rPr>
          <w:rFonts w:ascii="Palatino Linotype" w:eastAsia="Palatino Linotype" w:hAnsi="Palatino Linotype" w:cs="Palatino Linotype"/>
          <w:sz w:val="22"/>
          <w:szCs w:val="22"/>
        </w:rPr>
        <w:t>.</w:t>
      </w:r>
    </w:p>
    <w:p w14:paraId="60EE7A11"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637B92" w:rsidRDefault="00A76F12">
      <w:pPr>
        <w:spacing w:line="276" w:lineRule="auto"/>
        <w:ind w:left="567" w:right="902"/>
        <w:jc w:val="both"/>
        <w:rPr>
          <w:rFonts w:ascii="Palatino Linotype" w:eastAsia="Palatino Linotype" w:hAnsi="Palatino Linotype" w:cs="Palatino Linotype"/>
          <w:i/>
          <w:sz w:val="22"/>
          <w:szCs w:val="22"/>
        </w:rPr>
      </w:pPr>
      <w:r w:rsidRPr="00637B92">
        <w:rPr>
          <w:rFonts w:ascii="Palatino Linotype" w:eastAsia="Palatino Linotype" w:hAnsi="Palatino Linotype" w:cs="Palatino Linotype"/>
          <w:b/>
          <w:i/>
          <w:sz w:val="22"/>
          <w:szCs w:val="22"/>
        </w:rPr>
        <w:t xml:space="preserve">“INEXISTENCIA DE LA INFORMACIÓN. SUPUESTOS PARA EMITIR LA RESOLUCIÓN DE LA. </w:t>
      </w:r>
      <w:r w:rsidRPr="00637B92">
        <w:rPr>
          <w:rFonts w:ascii="Palatino Linotype" w:eastAsia="Palatino Linotype" w:hAnsi="Palatino Linotype" w:cs="Palatino Linotype"/>
          <w:i/>
          <w:sz w:val="22"/>
          <w:szCs w:val="22"/>
        </w:rPr>
        <w:t>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637B92"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 xml:space="preserve">En mérito de todo lo expuesto, ante lo </w:t>
      </w:r>
      <w:r w:rsidRPr="00637B92">
        <w:rPr>
          <w:rFonts w:ascii="Palatino Linotype" w:eastAsia="Palatino Linotype" w:hAnsi="Palatino Linotype" w:cs="Palatino Linotype"/>
          <w:b/>
          <w:sz w:val="22"/>
          <w:szCs w:val="22"/>
        </w:rPr>
        <w:t>FUNDADO</w:t>
      </w:r>
      <w:r w:rsidRPr="00637B92">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637B92">
        <w:rPr>
          <w:rFonts w:ascii="Palatino Linotype" w:eastAsia="Palatino Linotype" w:hAnsi="Palatino Linotype" w:cs="Palatino Linotype"/>
          <w:b/>
          <w:sz w:val="22"/>
          <w:szCs w:val="22"/>
        </w:rPr>
        <w:t>ORDENAR</w:t>
      </w:r>
      <w:r w:rsidRPr="00637B92">
        <w:rPr>
          <w:rFonts w:ascii="Palatino Linotype" w:eastAsia="Palatino Linotype" w:hAnsi="Palatino Linotype" w:cs="Palatino Linotype"/>
          <w:sz w:val="22"/>
          <w:szCs w:val="22"/>
        </w:rPr>
        <w:t xml:space="preserve"> al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637B92" w:rsidRDefault="00A76F12">
      <w:pPr>
        <w:spacing w:line="360" w:lineRule="auto"/>
        <w:ind w:right="49"/>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sz w:val="22"/>
          <w:szCs w:val="22"/>
        </w:rPr>
        <w:t>Finalmente, es de señalar que, como ya se mencionó el</w:t>
      </w:r>
      <w:r w:rsidRPr="00637B92">
        <w:rPr>
          <w:rFonts w:ascii="Palatino Linotype" w:eastAsia="Palatino Linotype" w:hAnsi="Palatino Linotype" w:cs="Palatino Linotype"/>
          <w:b/>
          <w:sz w:val="22"/>
          <w:szCs w:val="22"/>
        </w:rPr>
        <w:t xml:space="preserve"> Sujeto Obligado</w:t>
      </w:r>
      <w:r w:rsidRPr="00637B92">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637B92">
        <w:rPr>
          <w:rFonts w:ascii="Palatino Linotype" w:eastAsia="Palatino Linotype" w:hAnsi="Palatino Linotype" w:cs="Palatino Linotype"/>
          <w:b/>
          <w:sz w:val="22"/>
          <w:szCs w:val="22"/>
        </w:rPr>
        <w:t xml:space="preserve"> </w:t>
      </w:r>
      <w:r w:rsidRPr="00637B92">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637B92"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637B92"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637B92">
        <w:rPr>
          <w:rFonts w:ascii="Palatino Linotype" w:eastAsia="Palatino Linotype" w:hAnsi="Palatino Linotype" w:cs="Palatino Linotype"/>
          <w:sz w:val="22"/>
          <w:szCs w:val="22"/>
        </w:rPr>
        <w:t xml:space="preserve">Así, con fundamento en lo prescrito en los artículos </w:t>
      </w:r>
      <w:r w:rsidR="009100C5" w:rsidRPr="00637B92">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637B92">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637B92"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637B92"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637B92">
        <w:rPr>
          <w:rFonts w:ascii="Palatino Linotype" w:eastAsia="Palatino Linotype" w:hAnsi="Palatino Linotype" w:cs="Palatino Linotype"/>
          <w:b/>
          <w:sz w:val="22"/>
          <w:szCs w:val="22"/>
        </w:rPr>
        <w:t>III. R E S U E L V E</w:t>
      </w:r>
    </w:p>
    <w:p w14:paraId="170B47A5" w14:textId="77777777" w:rsidR="00532AE4" w:rsidRPr="00637B92"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637B92" w:rsidRDefault="00A76F12">
      <w:pPr>
        <w:spacing w:line="360" w:lineRule="auto"/>
        <w:ind w:right="49"/>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 xml:space="preserve">Primero. </w:t>
      </w:r>
      <w:r w:rsidRPr="00637B92">
        <w:rPr>
          <w:rFonts w:ascii="Palatino Linotype" w:eastAsia="Palatino Linotype" w:hAnsi="Palatino Linotype" w:cs="Palatino Linotype"/>
          <w:sz w:val="22"/>
          <w:szCs w:val="22"/>
        </w:rPr>
        <w:t xml:space="preserve">Resultan </w:t>
      </w:r>
      <w:r w:rsidRPr="00637B92">
        <w:rPr>
          <w:rFonts w:ascii="Palatino Linotype" w:eastAsia="Palatino Linotype" w:hAnsi="Palatino Linotype" w:cs="Palatino Linotype"/>
          <w:b/>
          <w:sz w:val="22"/>
          <w:szCs w:val="22"/>
        </w:rPr>
        <w:t>FUNDADOS</w:t>
      </w:r>
      <w:r w:rsidRPr="00637B92">
        <w:rPr>
          <w:rFonts w:ascii="Palatino Linotype" w:eastAsia="Palatino Linotype" w:hAnsi="Palatino Linotype" w:cs="Palatino Linotype"/>
          <w:sz w:val="22"/>
          <w:szCs w:val="22"/>
        </w:rPr>
        <w:t xml:space="preserve"> los motivos de inconformidad de la parte </w:t>
      </w:r>
      <w:r w:rsidRPr="00637B92">
        <w:rPr>
          <w:rFonts w:ascii="Palatino Linotype" w:eastAsia="Palatino Linotype" w:hAnsi="Palatino Linotype" w:cs="Palatino Linotype"/>
          <w:b/>
          <w:sz w:val="22"/>
          <w:szCs w:val="22"/>
        </w:rPr>
        <w:t>Recurrente</w:t>
      </w:r>
      <w:r w:rsidRPr="00637B92">
        <w:rPr>
          <w:rFonts w:ascii="Palatino Linotype" w:eastAsia="Palatino Linotype" w:hAnsi="Palatino Linotype" w:cs="Palatino Linotype"/>
          <w:sz w:val="22"/>
          <w:szCs w:val="22"/>
        </w:rPr>
        <w:t xml:space="preserve">, en términos del </w:t>
      </w:r>
      <w:r w:rsidRPr="00637B92">
        <w:rPr>
          <w:rFonts w:ascii="Palatino Linotype" w:eastAsia="Palatino Linotype" w:hAnsi="Palatino Linotype" w:cs="Palatino Linotype"/>
          <w:b/>
          <w:sz w:val="22"/>
          <w:szCs w:val="22"/>
        </w:rPr>
        <w:t>Considerando Cuarto</w:t>
      </w:r>
      <w:r w:rsidRPr="00637B92">
        <w:rPr>
          <w:rFonts w:ascii="Palatino Linotype" w:eastAsia="Palatino Linotype" w:hAnsi="Palatino Linotype" w:cs="Palatino Linotype"/>
          <w:sz w:val="22"/>
          <w:szCs w:val="22"/>
        </w:rPr>
        <w:t xml:space="preserve"> de la presente resolución.</w:t>
      </w:r>
    </w:p>
    <w:p w14:paraId="6A06B418" w14:textId="77777777" w:rsidR="00532AE4" w:rsidRPr="00637B92" w:rsidRDefault="00532AE4">
      <w:pPr>
        <w:spacing w:line="360" w:lineRule="auto"/>
        <w:ind w:right="49"/>
        <w:jc w:val="both"/>
        <w:rPr>
          <w:rFonts w:ascii="Palatino Linotype" w:eastAsia="Palatino Linotype" w:hAnsi="Palatino Linotype" w:cs="Palatino Linotype"/>
          <w:sz w:val="22"/>
          <w:szCs w:val="22"/>
        </w:rPr>
      </w:pPr>
    </w:p>
    <w:p w14:paraId="1E37E133" w14:textId="54BC4FF8" w:rsidR="00532AE4" w:rsidRPr="00637B92"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637B92">
        <w:rPr>
          <w:rFonts w:ascii="Palatino Linotype" w:eastAsia="Palatino Linotype" w:hAnsi="Palatino Linotype" w:cs="Palatino Linotype"/>
          <w:b/>
          <w:sz w:val="22"/>
          <w:szCs w:val="22"/>
        </w:rPr>
        <w:t>Segundo.</w:t>
      </w:r>
      <w:r w:rsidRPr="00637B92">
        <w:rPr>
          <w:rFonts w:ascii="Palatino Linotype" w:eastAsia="Palatino Linotype" w:hAnsi="Palatino Linotype" w:cs="Palatino Linotype"/>
          <w:sz w:val="22"/>
          <w:szCs w:val="22"/>
        </w:rPr>
        <w:t xml:space="preserve"> Se</w:t>
      </w:r>
      <w:r w:rsidRPr="00637B92">
        <w:rPr>
          <w:rFonts w:ascii="Palatino Linotype" w:eastAsia="Palatino Linotype" w:hAnsi="Palatino Linotype" w:cs="Palatino Linotype"/>
          <w:b/>
          <w:sz w:val="22"/>
          <w:szCs w:val="22"/>
        </w:rPr>
        <w:t xml:space="preserve"> Ordena </w:t>
      </w:r>
      <w:r w:rsidRPr="00637B92">
        <w:rPr>
          <w:rFonts w:ascii="Palatino Linotype" w:eastAsia="Palatino Linotype" w:hAnsi="Palatino Linotype" w:cs="Palatino Linotype"/>
          <w:sz w:val="22"/>
          <w:szCs w:val="22"/>
        </w:rPr>
        <w:t xml:space="preserve">al </w:t>
      </w:r>
      <w:r w:rsidRPr="00637B92">
        <w:rPr>
          <w:rFonts w:ascii="Palatino Linotype" w:eastAsia="Palatino Linotype" w:hAnsi="Palatino Linotype" w:cs="Palatino Linotype"/>
          <w:b/>
          <w:sz w:val="22"/>
          <w:szCs w:val="22"/>
        </w:rPr>
        <w:t xml:space="preserve">Sujeto Obligado </w:t>
      </w:r>
      <w:r w:rsidRPr="00637B92">
        <w:rPr>
          <w:rFonts w:ascii="Palatino Linotype" w:eastAsia="Palatino Linotype" w:hAnsi="Palatino Linotype" w:cs="Palatino Linotype"/>
          <w:sz w:val="22"/>
          <w:szCs w:val="22"/>
        </w:rPr>
        <w:t xml:space="preserve">dé trámite, vía </w:t>
      </w:r>
      <w:r w:rsidRPr="00637B92">
        <w:rPr>
          <w:rFonts w:ascii="Palatino Linotype" w:eastAsia="Palatino Linotype" w:hAnsi="Palatino Linotype" w:cs="Palatino Linotype"/>
          <w:b/>
          <w:sz w:val="22"/>
          <w:szCs w:val="22"/>
        </w:rPr>
        <w:t xml:space="preserve">Sistema de Acceso a la Información Mexiquense </w:t>
      </w:r>
      <w:r w:rsidRPr="00637B92">
        <w:rPr>
          <w:rFonts w:ascii="Palatino Linotype" w:eastAsia="Palatino Linotype" w:hAnsi="Palatino Linotype" w:cs="Palatino Linotype"/>
          <w:sz w:val="22"/>
          <w:szCs w:val="22"/>
        </w:rPr>
        <w:t xml:space="preserve">a la solicitud de acceso a la información pública </w:t>
      </w:r>
      <w:r w:rsidR="00D144C8" w:rsidRPr="00637B92">
        <w:rPr>
          <w:rFonts w:ascii="Palatino Linotype" w:eastAsia="Palatino Linotype" w:hAnsi="Palatino Linotype" w:cs="Palatino Linotype"/>
          <w:b/>
          <w:sz w:val="22"/>
          <w:szCs w:val="22"/>
        </w:rPr>
        <w:t xml:space="preserve"> </w:t>
      </w:r>
      <w:r w:rsidR="005D3CA2" w:rsidRPr="00637B92">
        <w:rPr>
          <w:rFonts w:ascii="Palatino Linotype" w:eastAsia="Palatino Linotype" w:hAnsi="Palatino Linotype" w:cs="Palatino Linotype"/>
          <w:b/>
          <w:sz w:val="22"/>
          <w:szCs w:val="22"/>
        </w:rPr>
        <w:t xml:space="preserve"> </w:t>
      </w:r>
      <w:r w:rsidR="009C6FBB" w:rsidRPr="00637B92">
        <w:rPr>
          <w:rFonts w:ascii="Palatino Linotype" w:eastAsia="Palatino Linotype" w:hAnsi="Palatino Linotype" w:cs="Palatino Linotype"/>
          <w:b/>
          <w:sz w:val="22"/>
          <w:szCs w:val="22"/>
        </w:rPr>
        <w:t xml:space="preserve">00101/AXAPUSCO/IP/2026 </w:t>
      </w:r>
      <w:r w:rsidRPr="00637B92">
        <w:rPr>
          <w:rFonts w:ascii="Palatino Linotype" w:eastAsia="Palatino Linotype" w:hAnsi="Palatino Linotype" w:cs="Palatino Linotype"/>
          <w:sz w:val="22"/>
          <w:szCs w:val="22"/>
        </w:rPr>
        <w:t xml:space="preserve">que dio origen al recurso de revisión </w:t>
      </w:r>
      <w:r w:rsidR="00AE446C" w:rsidRPr="00637B92">
        <w:rPr>
          <w:rFonts w:ascii="Palatino Linotype" w:eastAsia="Palatino Linotype" w:hAnsi="Palatino Linotype" w:cs="Palatino Linotype"/>
          <w:b/>
          <w:sz w:val="22"/>
          <w:szCs w:val="22"/>
        </w:rPr>
        <w:t>0</w:t>
      </w:r>
      <w:r w:rsidR="009C6FBB" w:rsidRPr="00637B92">
        <w:rPr>
          <w:rFonts w:ascii="Palatino Linotype" w:eastAsia="Palatino Linotype" w:hAnsi="Palatino Linotype" w:cs="Palatino Linotype"/>
          <w:b/>
          <w:sz w:val="22"/>
          <w:szCs w:val="22"/>
        </w:rPr>
        <w:t>8014</w:t>
      </w:r>
      <w:r w:rsidR="000F4794" w:rsidRPr="00637B92">
        <w:rPr>
          <w:rFonts w:ascii="Palatino Linotype" w:eastAsia="Palatino Linotype" w:hAnsi="Palatino Linotype" w:cs="Palatino Linotype"/>
          <w:b/>
          <w:sz w:val="22"/>
          <w:szCs w:val="22"/>
        </w:rPr>
        <w:t xml:space="preserve">/INFOEM/IP/RR/2026 </w:t>
      </w:r>
      <w:r w:rsidRPr="00637B92">
        <w:rPr>
          <w:rFonts w:ascii="Palatino Linotype" w:eastAsia="Palatino Linotype" w:hAnsi="Palatino Linotype" w:cs="Palatino Linotype"/>
          <w:sz w:val="22"/>
          <w:szCs w:val="22"/>
        </w:rPr>
        <w:t xml:space="preserve">en términos del </w:t>
      </w:r>
      <w:r w:rsidRPr="00637B92">
        <w:rPr>
          <w:rFonts w:ascii="Palatino Linotype" w:eastAsia="Palatino Linotype" w:hAnsi="Palatino Linotype" w:cs="Palatino Linotype"/>
          <w:b/>
          <w:sz w:val="22"/>
          <w:szCs w:val="22"/>
        </w:rPr>
        <w:t>Considerando Cuarto</w:t>
      </w:r>
      <w:r w:rsidRPr="00637B92">
        <w:rPr>
          <w:rFonts w:ascii="Palatino Linotype" w:eastAsia="Palatino Linotype" w:hAnsi="Palatino Linotype" w:cs="Palatino Linotype"/>
          <w:sz w:val="22"/>
          <w:szCs w:val="22"/>
        </w:rPr>
        <w:t xml:space="preserve"> de esta resolución y </w:t>
      </w:r>
      <w:r w:rsidRPr="00637B92">
        <w:rPr>
          <w:rFonts w:ascii="Palatino Linotype" w:eastAsia="Palatino Linotype" w:hAnsi="Palatino Linotype" w:cs="Palatino Linotype"/>
          <w:sz w:val="22"/>
          <w:szCs w:val="22"/>
        </w:rPr>
        <w:lastRenderedPageBreak/>
        <w:t>emita respuesta, debiendo observar las excepciones contenidas en la Ley de Transparencia y Acceso a la Información Pública del Estado de México y Municipios.</w:t>
      </w:r>
    </w:p>
    <w:p w14:paraId="60C72B41"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637B92"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637B92">
        <w:rPr>
          <w:rFonts w:ascii="Palatino Linotype" w:eastAsia="Palatino Linotype" w:hAnsi="Palatino Linotype" w:cs="Palatino Linotype"/>
          <w:b/>
          <w:sz w:val="22"/>
          <w:szCs w:val="22"/>
        </w:rPr>
        <w:t>Tercero.</w:t>
      </w:r>
      <w:r w:rsidRPr="00637B92">
        <w:rPr>
          <w:rFonts w:ascii="Palatino Linotype" w:eastAsia="Palatino Linotype" w:hAnsi="Palatino Linotype" w:cs="Palatino Linotype"/>
          <w:sz w:val="22"/>
          <w:szCs w:val="22"/>
        </w:rPr>
        <w:t xml:space="preserve"> </w:t>
      </w:r>
      <w:r w:rsidRPr="00637B92">
        <w:rPr>
          <w:rFonts w:ascii="Palatino Linotype" w:eastAsia="Palatino Linotype" w:hAnsi="Palatino Linotype" w:cs="Palatino Linotype"/>
          <w:b/>
          <w:sz w:val="22"/>
          <w:szCs w:val="22"/>
        </w:rPr>
        <w:t xml:space="preserve">Notifíquese vía Sistema de Acceso a la Información Mexiquense </w:t>
      </w:r>
      <w:r w:rsidRPr="00637B92">
        <w:rPr>
          <w:rFonts w:ascii="Palatino Linotype" w:eastAsia="Palatino Linotype" w:hAnsi="Palatino Linotype" w:cs="Palatino Linotype"/>
          <w:sz w:val="22"/>
          <w:szCs w:val="22"/>
        </w:rPr>
        <w:t>la presente resolución al T</w:t>
      </w:r>
      <w:r w:rsidRPr="00637B92">
        <w:rPr>
          <w:rFonts w:ascii="Palatino Linotype" w:eastAsia="Palatino Linotype" w:hAnsi="Palatino Linotype" w:cs="Palatino Linotype"/>
          <w:b/>
          <w:sz w:val="22"/>
          <w:szCs w:val="22"/>
        </w:rPr>
        <w:t xml:space="preserve">itular de la Unidad de Transparencia </w:t>
      </w:r>
      <w:r w:rsidRPr="00637B92">
        <w:rPr>
          <w:rFonts w:ascii="Palatino Linotype" w:eastAsia="Palatino Linotype" w:hAnsi="Palatino Linotype" w:cs="Palatino Linotype"/>
          <w:sz w:val="22"/>
          <w:szCs w:val="22"/>
        </w:rPr>
        <w:t xml:space="preserve">del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637B92"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Cuarto. Notifíquese</w:t>
      </w:r>
      <w:r w:rsidRPr="00637B92">
        <w:rPr>
          <w:rFonts w:ascii="Palatino Linotype" w:eastAsia="Palatino Linotype" w:hAnsi="Palatino Linotype" w:cs="Palatino Linotype"/>
          <w:sz w:val="22"/>
          <w:szCs w:val="22"/>
        </w:rPr>
        <w:t>,</w:t>
      </w:r>
      <w:r w:rsidRPr="00637B92">
        <w:rPr>
          <w:rFonts w:ascii="Palatino Linotype" w:eastAsia="Palatino Linotype" w:hAnsi="Palatino Linotype" w:cs="Palatino Linotype"/>
          <w:b/>
          <w:sz w:val="22"/>
          <w:szCs w:val="22"/>
        </w:rPr>
        <w:t xml:space="preserve"> </w:t>
      </w:r>
      <w:r w:rsidRPr="00637B92">
        <w:rPr>
          <w:rFonts w:ascii="Palatino Linotype" w:eastAsia="Palatino Linotype" w:hAnsi="Palatino Linotype" w:cs="Palatino Linotype"/>
          <w:sz w:val="22"/>
          <w:szCs w:val="22"/>
        </w:rPr>
        <w:t xml:space="preserve">vía </w:t>
      </w:r>
      <w:r w:rsidRPr="00637B92">
        <w:rPr>
          <w:rFonts w:ascii="Palatino Linotype" w:eastAsia="Palatino Linotype" w:hAnsi="Palatino Linotype" w:cs="Palatino Linotype"/>
          <w:b/>
          <w:sz w:val="22"/>
          <w:szCs w:val="22"/>
        </w:rPr>
        <w:t>Sistema de Acceso a la Información Mexiquense</w:t>
      </w:r>
      <w:r w:rsidRPr="00637B92">
        <w:rPr>
          <w:rFonts w:ascii="Palatino Linotype" w:eastAsia="Palatino Linotype" w:hAnsi="Palatino Linotype" w:cs="Palatino Linotype"/>
          <w:sz w:val="22"/>
          <w:szCs w:val="22"/>
        </w:rPr>
        <w:t xml:space="preserve">, a la parte </w:t>
      </w:r>
      <w:r w:rsidRPr="00637B92">
        <w:rPr>
          <w:rFonts w:ascii="Palatino Linotype" w:eastAsia="Palatino Linotype" w:hAnsi="Palatino Linotype" w:cs="Palatino Linotype"/>
          <w:b/>
          <w:sz w:val="22"/>
          <w:szCs w:val="22"/>
        </w:rPr>
        <w:t xml:space="preserve">Recurrente </w:t>
      </w:r>
      <w:r w:rsidRPr="00637B92">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637B92"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637B92" w:rsidRDefault="00A76F12">
      <w:pPr>
        <w:spacing w:line="360" w:lineRule="auto"/>
        <w:jc w:val="both"/>
        <w:rPr>
          <w:rFonts w:ascii="Palatino Linotype" w:eastAsia="Palatino Linotype" w:hAnsi="Palatino Linotype" w:cs="Palatino Linotype"/>
          <w:sz w:val="22"/>
          <w:szCs w:val="22"/>
        </w:rPr>
      </w:pPr>
      <w:r w:rsidRPr="00637B92">
        <w:rPr>
          <w:rFonts w:ascii="Palatino Linotype" w:eastAsia="Palatino Linotype" w:hAnsi="Palatino Linotype" w:cs="Palatino Linotype"/>
          <w:b/>
          <w:sz w:val="22"/>
          <w:szCs w:val="22"/>
        </w:rPr>
        <w:t xml:space="preserve">Quinto. Notifíquese </w:t>
      </w:r>
      <w:r w:rsidRPr="00637B92">
        <w:rPr>
          <w:rFonts w:ascii="Palatino Linotype" w:eastAsia="Palatino Linotype" w:hAnsi="Palatino Linotype" w:cs="Palatino Linotype"/>
          <w:sz w:val="22"/>
          <w:szCs w:val="22"/>
        </w:rPr>
        <w:t xml:space="preserve">a la parte </w:t>
      </w:r>
      <w:r w:rsidRPr="00637B92">
        <w:rPr>
          <w:rFonts w:ascii="Palatino Linotype" w:eastAsia="Palatino Linotype" w:hAnsi="Palatino Linotype" w:cs="Palatino Linotype"/>
          <w:b/>
          <w:sz w:val="22"/>
          <w:szCs w:val="22"/>
        </w:rPr>
        <w:t xml:space="preserve">Recurrente </w:t>
      </w:r>
      <w:r w:rsidRPr="00637B92">
        <w:rPr>
          <w:rFonts w:ascii="Palatino Linotype" w:eastAsia="Palatino Linotype" w:hAnsi="Palatino Linotype" w:cs="Palatino Linotype"/>
          <w:sz w:val="22"/>
          <w:szCs w:val="22"/>
        </w:rPr>
        <w:t xml:space="preserve">que la respuesta que dé el </w:t>
      </w:r>
      <w:r w:rsidRPr="00637B92">
        <w:rPr>
          <w:rFonts w:ascii="Palatino Linotype" w:eastAsia="Palatino Linotype" w:hAnsi="Palatino Linotype" w:cs="Palatino Linotype"/>
          <w:b/>
          <w:sz w:val="22"/>
          <w:szCs w:val="22"/>
        </w:rPr>
        <w:t>Sujeto Obligado</w:t>
      </w:r>
      <w:r w:rsidRPr="00637B92">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637B92"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637B92" w:rsidRDefault="00A76F12">
      <w:pPr>
        <w:spacing w:line="360" w:lineRule="auto"/>
        <w:jc w:val="both"/>
        <w:rPr>
          <w:rFonts w:ascii="Palatino Linotype" w:eastAsia="Palatino Linotype" w:hAnsi="Palatino Linotype" w:cs="Palatino Linotype"/>
          <w:b/>
          <w:sz w:val="22"/>
          <w:szCs w:val="22"/>
        </w:rPr>
      </w:pPr>
      <w:r w:rsidRPr="00637B92">
        <w:rPr>
          <w:rFonts w:ascii="Palatino Linotype" w:eastAsia="Palatino Linotype" w:hAnsi="Palatino Linotype" w:cs="Palatino Linotype"/>
          <w:b/>
          <w:sz w:val="22"/>
          <w:szCs w:val="22"/>
        </w:rPr>
        <w:lastRenderedPageBreak/>
        <w:t xml:space="preserve">Sexto. Gírese </w:t>
      </w:r>
      <w:r w:rsidRPr="00637B92">
        <w:rPr>
          <w:rFonts w:ascii="Palatino Linotype" w:eastAsia="Palatino Linotype" w:hAnsi="Palatino Linotype" w:cs="Palatino Linotype"/>
          <w:sz w:val="22"/>
          <w:szCs w:val="22"/>
        </w:rPr>
        <w:t xml:space="preserve">oficio a la </w:t>
      </w:r>
      <w:r w:rsidRPr="00637B92">
        <w:rPr>
          <w:rFonts w:ascii="Palatino Linotype" w:eastAsia="Palatino Linotype" w:hAnsi="Palatino Linotype" w:cs="Palatino Linotype"/>
          <w:b/>
          <w:sz w:val="22"/>
          <w:szCs w:val="22"/>
        </w:rPr>
        <w:t>Secretaría Técnica del Pleno</w:t>
      </w:r>
      <w:r w:rsidRPr="00637B92">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637B92">
        <w:rPr>
          <w:rFonts w:ascii="Palatino Linotype" w:eastAsia="Palatino Linotype" w:hAnsi="Palatino Linotype" w:cs="Palatino Linotype"/>
          <w:b/>
          <w:sz w:val="22"/>
          <w:szCs w:val="22"/>
        </w:rPr>
        <w:t xml:space="preserve"> </w:t>
      </w:r>
      <w:r w:rsidRPr="00637B92">
        <w:rPr>
          <w:rFonts w:ascii="Palatino Linotype" w:eastAsia="Palatino Linotype" w:hAnsi="Palatino Linotype" w:cs="Palatino Linotype"/>
          <w:sz w:val="22"/>
          <w:szCs w:val="22"/>
        </w:rPr>
        <w:t>de la presente resolución.</w:t>
      </w:r>
      <w:r w:rsidRPr="00637B92">
        <w:rPr>
          <w:rFonts w:ascii="Palatino Linotype" w:eastAsia="Palatino Linotype" w:hAnsi="Palatino Linotype" w:cs="Palatino Linotype"/>
          <w:b/>
          <w:sz w:val="22"/>
          <w:szCs w:val="22"/>
        </w:rPr>
        <w:t xml:space="preserve"> </w:t>
      </w:r>
    </w:p>
    <w:p w14:paraId="7F049394" w14:textId="77777777" w:rsidR="00532AE4" w:rsidRPr="00637B92"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CB7440" w:rsidRDefault="00A76F12">
      <w:pPr>
        <w:spacing w:line="360" w:lineRule="auto"/>
        <w:ind w:right="49"/>
        <w:jc w:val="both"/>
        <w:rPr>
          <w:rFonts w:ascii="Palatino Linotype" w:eastAsia="Palatino Linotype" w:hAnsi="Palatino Linotype" w:cs="Palatino Linotype"/>
          <w:sz w:val="22"/>
          <w:szCs w:val="22"/>
        </w:rPr>
        <w:sectPr w:rsidR="00532AE4" w:rsidRPr="00CB7440">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637B92">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637B92">
        <w:rPr>
          <w:rFonts w:ascii="Palatino Linotype" w:eastAsia="Palatino Linotype" w:hAnsi="Palatino Linotype" w:cs="Palatino Linotype"/>
          <w:sz w:val="22"/>
          <w:szCs w:val="22"/>
        </w:rPr>
        <w:t xml:space="preserve">MEJÍA AYALA </w:t>
      </w:r>
      <w:r w:rsidRPr="00637B92">
        <w:rPr>
          <w:rFonts w:ascii="Palatino Linotype" w:eastAsia="Palatino Linotype" w:hAnsi="Palatino Linotype" w:cs="Palatino Linotype"/>
          <w:sz w:val="22"/>
          <w:szCs w:val="22"/>
        </w:rPr>
        <w:t xml:space="preserve">Y GUADALUPE RAMÍREZ PEÑA; EN LA </w:t>
      </w:r>
      <w:r w:rsidR="00135C3B" w:rsidRPr="00637B92">
        <w:rPr>
          <w:rFonts w:ascii="Palatino Linotype" w:eastAsia="Palatino Linotype" w:hAnsi="Palatino Linotype" w:cs="Palatino Linotype"/>
          <w:sz w:val="22"/>
          <w:szCs w:val="22"/>
        </w:rPr>
        <w:t>TR</w:t>
      </w:r>
      <w:r w:rsidR="00C36278" w:rsidRPr="00637B92">
        <w:rPr>
          <w:rFonts w:ascii="Palatino Linotype" w:eastAsia="Palatino Linotype" w:hAnsi="Palatino Linotype" w:cs="Palatino Linotype"/>
          <w:sz w:val="22"/>
          <w:szCs w:val="22"/>
        </w:rPr>
        <w:t xml:space="preserve">IGÉSIMA </w:t>
      </w:r>
      <w:r w:rsidR="00AE3DD5" w:rsidRPr="00637B92">
        <w:rPr>
          <w:rFonts w:ascii="Palatino Linotype" w:eastAsia="Palatino Linotype" w:hAnsi="Palatino Linotype" w:cs="Palatino Linotype"/>
          <w:sz w:val="22"/>
          <w:szCs w:val="22"/>
        </w:rPr>
        <w:t>TERC</w:t>
      </w:r>
      <w:r w:rsidR="003D2CDB" w:rsidRPr="00637B92">
        <w:rPr>
          <w:rFonts w:ascii="Palatino Linotype" w:eastAsia="Palatino Linotype" w:hAnsi="Palatino Linotype" w:cs="Palatino Linotype"/>
          <w:sz w:val="22"/>
          <w:szCs w:val="22"/>
        </w:rPr>
        <w:t xml:space="preserve">ERA </w:t>
      </w:r>
      <w:r w:rsidRPr="00637B92">
        <w:rPr>
          <w:rFonts w:ascii="Palatino Linotype" w:eastAsia="Palatino Linotype" w:hAnsi="Palatino Linotype" w:cs="Palatino Linotype"/>
          <w:sz w:val="22"/>
          <w:szCs w:val="22"/>
        </w:rPr>
        <w:t xml:space="preserve">SESIÓN ORDINARIA CELEBRADA EL </w:t>
      </w:r>
      <w:r w:rsidR="00AE3DD5" w:rsidRPr="00637B92">
        <w:rPr>
          <w:rFonts w:ascii="Palatino Linotype" w:eastAsia="Palatino Linotype" w:hAnsi="Palatino Linotype" w:cs="Palatino Linotype"/>
          <w:sz w:val="22"/>
          <w:szCs w:val="22"/>
        </w:rPr>
        <w:t>DIECISIETE</w:t>
      </w:r>
      <w:r w:rsidR="003D2CDB" w:rsidRPr="00637B92">
        <w:rPr>
          <w:rFonts w:ascii="Palatino Linotype" w:eastAsia="Palatino Linotype" w:hAnsi="Palatino Linotype" w:cs="Palatino Linotype"/>
          <w:sz w:val="22"/>
          <w:szCs w:val="22"/>
        </w:rPr>
        <w:t xml:space="preserve"> DE SEPTIEMBRE</w:t>
      </w:r>
      <w:r w:rsidR="00DF5516" w:rsidRPr="00637B92">
        <w:rPr>
          <w:rFonts w:ascii="Palatino Linotype" w:eastAsia="Palatino Linotype" w:hAnsi="Palatino Linotype" w:cs="Palatino Linotype"/>
          <w:sz w:val="22"/>
          <w:szCs w:val="22"/>
        </w:rPr>
        <w:t xml:space="preserve"> DE DOS MIL VEINTISÉIS</w:t>
      </w:r>
      <w:r w:rsidRPr="00637B92">
        <w:rPr>
          <w:rFonts w:ascii="Palatino Linotype" w:eastAsia="Palatino Linotype" w:hAnsi="Palatino Linotype" w:cs="Palatino Linotype"/>
          <w:sz w:val="22"/>
          <w:szCs w:val="22"/>
        </w:rPr>
        <w:t>, ANTE EL SECRETARIO TÉCNICO DEL PLENO ALEXIS TAPIA RAMÍREZ.</w:t>
      </w:r>
      <w:r w:rsidRPr="00CB7440">
        <w:rPr>
          <w:rFonts w:ascii="Palatino Linotype" w:eastAsia="Palatino Linotype" w:hAnsi="Palatino Linotype" w:cs="Palatino Linotype"/>
          <w:sz w:val="22"/>
          <w:szCs w:val="22"/>
        </w:rPr>
        <w:t xml:space="preserve"> </w:t>
      </w:r>
    </w:p>
    <w:p w14:paraId="74E02134" w14:textId="77777777" w:rsidR="00532AE4" w:rsidRPr="00CB7440"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CB7440" w:rsidRDefault="00532AE4">
      <w:pPr>
        <w:rPr>
          <w:sz w:val="22"/>
          <w:szCs w:val="22"/>
        </w:rPr>
      </w:pPr>
    </w:p>
    <w:sectPr w:rsidR="00532AE4" w:rsidRPr="00CB7440">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BB721" w14:textId="77777777" w:rsidR="00A075BA" w:rsidRDefault="00A075BA">
      <w:r>
        <w:separator/>
      </w:r>
    </w:p>
  </w:endnote>
  <w:endnote w:type="continuationSeparator" w:id="0">
    <w:p w14:paraId="45FD3A8B" w14:textId="77777777" w:rsidR="00A075BA" w:rsidRDefault="00A07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0DFAD9FF"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637B92">
      <w:rPr>
        <w:rFonts w:ascii="Arial" w:eastAsia="Arial" w:hAnsi="Arial" w:cs="Arial"/>
        <w:b/>
        <w:noProof/>
        <w:color w:val="000000"/>
        <w:sz w:val="20"/>
        <w:szCs w:val="20"/>
      </w:rPr>
      <w:t>23</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637B92">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53212E61"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637B92">
      <w:rPr>
        <w:rFonts w:ascii="Arial" w:eastAsia="Arial" w:hAnsi="Arial" w:cs="Arial"/>
        <w:b/>
        <w:noProof/>
        <w:color w:val="000000"/>
        <w:sz w:val="20"/>
        <w:szCs w:val="20"/>
      </w:rPr>
      <w:t>25</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637B92">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9C4B5" w14:textId="77777777" w:rsidR="00A075BA" w:rsidRDefault="00A075BA">
      <w:r>
        <w:separator/>
      </w:r>
    </w:p>
  </w:footnote>
  <w:footnote w:type="continuationSeparator" w:id="0">
    <w:p w14:paraId="79D53752" w14:textId="77777777" w:rsidR="00A075BA" w:rsidRDefault="00A075BA">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50891A54"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632571">
            <w:rPr>
              <w:rFonts w:ascii="Palatino Linotype" w:eastAsia="Palatino Linotype" w:hAnsi="Palatino Linotype" w:cs="Palatino Linotype"/>
              <w:b/>
              <w:sz w:val="21"/>
              <w:szCs w:val="21"/>
            </w:rPr>
            <w:t>8014</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0AD0BDA4" w:rsidR="00532AE4" w:rsidRDefault="00632571" w:rsidP="00150206">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Axapusco</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4691D387">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6E444C9A"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632571">
            <w:rPr>
              <w:rFonts w:ascii="Palatino Linotype" w:eastAsia="Palatino Linotype" w:hAnsi="Palatino Linotype" w:cs="Palatino Linotype"/>
              <w:b/>
              <w:sz w:val="21"/>
              <w:szCs w:val="21"/>
            </w:rPr>
            <w:t>8014</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6C21DFB1" w:rsidR="00532AE4" w:rsidRDefault="00B60315">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 XXXXX </w:t>
          </w:r>
          <w:proofErr w:type="spellStart"/>
          <w:r>
            <w:rPr>
              <w:rFonts w:ascii="Palatino Linotype" w:eastAsia="Palatino Linotype" w:hAnsi="Palatino Linotype" w:cs="Palatino Linotype"/>
              <w:b/>
              <w:sz w:val="21"/>
              <w:szCs w:val="21"/>
            </w:rPr>
            <w:t>XXXXX</w:t>
          </w:r>
          <w:proofErr w:type="spellEnd"/>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1A676264" w:rsidR="00532AE4" w:rsidRDefault="00632571" w:rsidP="00150206">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Axapusco</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71777317">
    <w:abstractNumId w:val="2"/>
  </w:num>
  <w:num w:numId="2" w16cid:durableId="318770147">
    <w:abstractNumId w:val="4"/>
  </w:num>
  <w:num w:numId="3" w16cid:durableId="1029453370">
    <w:abstractNumId w:val="0"/>
  </w:num>
  <w:num w:numId="4" w16cid:durableId="421071362">
    <w:abstractNumId w:val="1"/>
  </w:num>
  <w:num w:numId="5" w16cid:durableId="14625711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A7005"/>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DAE"/>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0D84"/>
    <w:rsid w:val="003B119C"/>
    <w:rsid w:val="003B606E"/>
    <w:rsid w:val="003C5888"/>
    <w:rsid w:val="003D129B"/>
    <w:rsid w:val="003D2CDB"/>
    <w:rsid w:val="003D45BC"/>
    <w:rsid w:val="003D655D"/>
    <w:rsid w:val="003E2501"/>
    <w:rsid w:val="003F4280"/>
    <w:rsid w:val="00401731"/>
    <w:rsid w:val="0041786A"/>
    <w:rsid w:val="00417D9F"/>
    <w:rsid w:val="0042141B"/>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5777"/>
    <w:rsid w:val="00532AE4"/>
    <w:rsid w:val="00541B43"/>
    <w:rsid w:val="00555E04"/>
    <w:rsid w:val="00567D0D"/>
    <w:rsid w:val="00572156"/>
    <w:rsid w:val="00593431"/>
    <w:rsid w:val="005A0442"/>
    <w:rsid w:val="005A647F"/>
    <w:rsid w:val="005A75D6"/>
    <w:rsid w:val="005A79AC"/>
    <w:rsid w:val="005D3CA2"/>
    <w:rsid w:val="005F2D09"/>
    <w:rsid w:val="005F71E2"/>
    <w:rsid w:val="00603092"/>
    <w:rsid w:val="00607257"/>
    <w:rsid w:val="0061438F"/>
    <w:rsid w:val="00620310"/>
    <w:rsid w:val="0062466E"/>
    <w:rsid w:val="00632571"/>
    <w:rsid w:val="00633D0E"/>
    <w:rsid w:val="00637B92"/>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1CD"/>
    <w:rsid w:val="006C56F4"/>
    <w:rsid w:val="006D538C"/>
    <w:rsid w:val="006E680C"/>
    <w:rsid w:val="006F407C"/>
    <w:rsid w:val="006F4F00"/>
    <w:rsid w:val="00707403"/>
    <w:rsid w:val="0071274F"/>
    <w:rsid w:val="00724155"/>
    <w:rsid w:val="00726B4A"/>
    <w:rsid w:val="007276F5"/>
    <w:rsid w:val="00744B5C"/>
    <w:rsid w:val="007576B0"/>
    <w:rsid w:val="007623E7"/>
    <w:rsid w:val="007729BB"/>
    <w:rsid w:val="00773F12"/>
    <w:rsid w:val="00773F7E"/>
    <w:rsid w:val="00777216"/>
    <w:rsid w:val="00790A8C"/>
    <w:rsid w:val="007968D0"/>
    <w:rsid w:val="007A09D5"/>
    <w:rsid w:val="007B0474"/>
    <w:rsid w:val="007C29CF"/>
    <w:rsid w:val="007C4CA5"/>
    <w:rsid w:val="007C7AE7"/>
    <w:rsid w:val="007D2674"/>
    <w:rsid w:val="007D52C3"/>
    <w:rsid w:val="007E3FA4"/>
    <w:rsid w:val="007E48BB"/>
    <w:rsid w:val="007E58F3"/>
    <w:rsid w:val="007E7839"/>
    <w:rsid w:val="007E7CAE"/>
    <w:rsid w:val="007F4336"/>
    <w:rsid w:val="007F5288"/>
    <w:rsid w:val="008012F6"/>
    <w:rsid w:val="008015E0"/>
    <w:rsid w:val="008044DE"/>
    <w:rsid w:val="00806557"/>
    <w:rsid w:val="0081329C"/>
    <w:rsid w:val="00823328"/>
    <w:rsid w:val="00826355"/>
    <w:rsid w:val="00832334"/>
    <w:rsid w:val="00834622"/>
    <w:rsid w:val="0084271D"/>
    <w:rsid w:val="00854178"/>
    <w:rsid w:val="00862021"/>
    <w:rsid w:val="00876629"/>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49F0"/>
    <w:rsid w:val="009752BC"/>
    <w:rsid w:val="00982101"/>
    <w:rsid w:val="00992278"/>
    <w:rsid w:val="00994B65"/>
    <w:rsid w:val="009A5B1A"/>
    <w:rsid w:val="009B4D3E"/>
    <w:rsid w:val="009B6117"/>
    <w:rsid w:val="009C1099"/>
    <w:rsid w:val="009C1EF4"/>
    <w:rsid w:val="009C3B23"/>
    <w:rsid w:val="009C43AD"/>
    <w:rsid w:val="009C5489"/>
    <w:rsid w:val="009C6FBB"/>
    <w:rsid w:val="009D197C"/>
    <w:rsid w:val="009D7C8B"/>
    <w:rsid w:val="009E503C"/>
    <w:rsid w:val="00A01FAB"/>
    <w:rsid w:val="00A075BA"/>
    <w:rsid w:val="00A14A96"/>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2BDE"/>
    <w:rsid w:val="00AC5442"/>
    <w:rsid w:val="00AC6B80"/>
    <w:rsid w:val="00AD14F5"/>
    <w:rsid w:val="00AD43F4"/>
    <w:rsid w:val="00AD6661"/>
    <w:rsid w:val="00AE0B9D"/>
    <w:rsid w:val="00AE3DD5"/>
    <w:rsid w:val="00AE446C"/>
    <w:rsid w:val="00AF1AFF"/>
    <w:rsid w:val="00B04425"/>
    <w:rsid w:val="00B05163"/>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315"/>
    <w:rsid w:val="00B60484"/>
    <w:rsid w:val="00B64FEA"/>
    <w:rsid w:val="00B76CCE"/>
    <w:rsid w:val="00B81E44"/>
    <w:rsid w:val="00B82C51"/>
    <w:rsid w:val="00B86A3D"/>
    <w:rsid w:val="00BB1677"/>
    <w:rsid w:val="00BB1882"/>
    <w:rsid w:val="00BC6C53"/>
    <w:rsid w:val="00BD2189"/>
    <w:rsid w:val="00BD3609"/>
    <w:rsid w:val="00BE3596"/>
    <w:rsid w:val="00BE3FD2"/>
    <w:rsid w:val="00C112BE"/>
    <w:rsid w:val="00C1235A"/>
    <w:rsid w:val="00C13FF2"/>
    <w:rsid w:val="00C24C97"/>
    <w:rsid w:val="00C304A2"/>
    <w:rsid w:val="00C36278"/>
    <w:rsid w:val="00C43FBC"/>
    <w:rsid w:val="00C51B8C"/>
    <w:rsid w:val="00C52987"/>
    <w:rsid w:val="00C5586C"/>
    <w:rsid w:val="00C6612D"/>
    <w:rsid w:val="00C70F4E"/>
    <w:rsid w:val="00C758DF"/>
    <w:rsid w:val="00C912B9"/>
    <w:rsid w:val="00C930A5"/>
    <w:rsid w:val="00CA5B0F"/>
    <w:rsid w:val="00CB4082"/>
    <w:rsid w:val="00CB7440"/>
    <w:rsid w:val="00CC055F"/>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60B66"/>
    <w:rsid w:val="00D60C04"/>
    <w:rsid w:val="00D6388C"/>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23DB9"/>
    <w:rsid w:val="00E26C0A"/>
    <w:rsid w:val="00E27793"/>
    <w:rsid w:val="00E32375"/>
    <w:rsid w:val="00E34516"/>
    <w:rsid w:val="00E40BD5"/>
    <w:rsid w:val="00E550F0"/>
    <w:rsid w:val="00E55CFA"/>
    <w:rsid w:val="00E72C9D"/>
    <w:rsid w:val="00E733A4"/>
    <w:rsid w:val="00E808B6"/>
    <w:rsid w:val="00E90B5E"/>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1811"/>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4304F2A1-BF9D-44E9-A516-4592699774B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6384</Words>
  <Characters>35113</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2026-09-18T20:17:00Z</cp:lastPrinted>
  <dcterms:created xsi:type="dcterms:W3CDTF">2026-09-22T20:17:00Z</dcterms:created>
  <dcterms:modified xsi:type="dcterms:W3CDTF">2026-09-22T20:17:00Z</dcterms:modified>
</cp:coreProperties>
</file>