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9D753" w14:textId="77777777" w:rsidR="003F586C" w:rsidRDefault="003764DB">
      <w:pPr>
        <w:tabs>
          <w:tab w:val="left" w:pos="3465"/>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veintisiete (27) de mayo de dos mil veintiséis</w:t>
      </w:r>
      <w:r>
        <w:rPr>
          <w:rFonts w:ascii="Palatino Linotype" w:eastAsia="Palatino Linotype" w:hAnsi="Palatino Linotype" w:cs="Palatino Linotype"/>
        </w:rPr>
        <w:t>.</w:t>
      </w:r>
    </w:p>
    <w:p w14:paraId="27165E53" w14:textId="77777777" w:rsidR="003F586C" w:rsidRDefault="003F586C">
      <w:pPr>
        <w:tabs>
          <w:tab w:val="left" w:pos="3465"/>
        </w:tabs>
        <w:spacing w:line="360" w:lineRule="auto"/>
        <w:ind w:right="-787"/>
        <w:jc w:val="both"/>
        <w:rPr>
          <w:rFonts w:ascii="Palatino Linotype" w:eastAsia="Palatino Linotype" w:hAnsi="Palatino Linotype" w:cs="Palatino Linotype"/>
        </w:rPr>
      </w:pPr>
    </w:p>
    <w:p w14:paraId="202D6175" w14:textId="77777777" w:rsidR="003F586C" w:rsidRDefault="003764DB">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01333/INFOEM/IP/RR/2026, </w:t>
      </w:r>
      <w:r>
        <w:rPr>
          <w:rFonts w:ascii="Palatino Linotype" w:eastAsia="Palatino Linotype" w:hAnsi="Palatino Linotype" w:cs="Palatino Linotype"/>
        </w:rPr>
        <w:t>promovido por</w:t>
      </w:r>
      <w:r>
        <w:rPr>
          <w:rFonts w:ascii="Palatino Linotype" w:eastAsia="Palatino Linotype" w:hAnsi="Palatino Linotype" w:cs="Palatino Linotype"/>
          <w:b/>
          <w:bCs/>
        </w:rPr>
        <w:t xml:space="preserve"> una persona que no proporciona datos de identificación</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falta de  respuesta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14:paraId="08008E0A" w14:textId="77777777" w:rsidR="003F586C" w:rsidRDefault="003F586C">
      <w:pPr>
        <w:spacing w:line="360" w:lineRule="auto"/>
        <w:ind w:right="-787"/>
        <w:jc w:val="both"/>
        <w:rPr>
          <w:rFonts w:ascii="Palatino Linotype" w:eastAsia="Palatino Linotype" w:hAnsi="Palatino Linotype" w:cs="Palatino Linotype"/>
        </w:rPr>
      </w:pPr>
    </w:p>
    <w:p w14:paraId="1855C285" w14:textId="77777777" w:rsidR="003F586C" w:rsidRDefault="003764DB">
      <w:pPr>
        <w:pStyle w:val="Ttulo1"/>
        <w:spacing w:before="0" w:line="360" w:lineRule="auto"/>
        <w:ind w:right="-78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 N T E C E D E N T E S</w:t>
      </w:r>
    </w:p>
    <w:p w14:paraId="2D14143A" w14:textId="77777777" w:rsidR="003F586C" w:rsidRDefault="003F586C">
      <w:pPr>
        <w:ind w:right="-787"/>
      </w:pPr>
    </w:p>
    <w:p w14:paraId="7658B97A"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seis de enero de dos mil veintiséis, </w:t>
      </w:r>
      <w:r>
        <w:rPr>
          <w:rFonts w:ascii="Palatino Linotype" w:eastAsia="Palatino Linotype" w:hAnsi="Palatino Linotype" w:cs="Palatino Linotype"/>
          <w:color w:val="000000"/>
        </w:rPr>
        <w:t xml:space="preserve">el solicitante </w:t>
      </w:r>
      <w:r>
        <w:rPr>
          <w:rFonts w:ascii="Palatino Linotype" w:eastAsia="Palatino Linotype" w:hAnsi="Palatino Linotype" w:cs="Palatino Linotype"/>
        </w:rPr>
        <w:t>presentó</w:t>
      </w:r>
      <w:r>
        <w:rPr>
          <w:rFonts w:ascii="Palatino Linotype" w:eastAsia="Palatino Linotype" w:hAnsi="Palatino Linotype" w:cs="Palatino Linotype"/>
          <w:color w:val="000000"/>
        </w:rPr>
        <w:t xml:space="preserve"> una solicitud de información ante el </w:t>
      </w:r>
      <w:r>
        <w:rPr>
          <w:rFonts w:ascii="Palatino Linotype" w:eastAsia="Palatino Linotype" w:hAnsi="Palatino Linotype" w:cs="Palatino Linotype"/>
          <w:b/>
          <w:bCs/>
          <w:color w:val="000000"/>
        </w:rPr>
        <w:t>SUJETO OBLIGADO vía SAIMEX,</w:t>
      </w:r>
      <w:r>
        <w:rPr>
          <w:rFonts w:ascii="Palatino Linotype" w:eastAsia="Palatino Linotype" w:hAnsi="Palatino Linotype" w:cs="Palatino Linotype"/>
          <w:color w:val="000000"/>
        </w:rPr>
        <w:t xml:space="preserve"> la solicitud de información pública fue  registrada con el número</w:t>
      </w:r>
      <w:r>
        <w:rPr>
          <w:rFonts w:ascii="Palatino Linotype" w:eastAsia="Palatino Linotype" w:hAnsi="Palatino Linotype" w:cs="Palatino Linotype"/>
          <w:b/>
          <w:bCs/>
          <w:color w:val="000000"/>
        </w:rPr>
        <w:t xml:space="preserve"> 00462/TOLUCA/IP/2026; sin embargo </w:t>
      </w:r>
      <w:r>
        <w:rPr>
          <w:rFonts w:ascii="Palatino Linotype" w:eastAsia="Palatino Linotype" w:hAnsi="Palatino Linotype" w:cs="Palatino Linotype"/>
          <w:b/>
          <w:bCs/>
        </w:rPr>
        <w:t>se consideró como fecha de</w:t>
      </w:r>
      <w:r>
        <w:rPr>
          <w:rFonts w:ascii="Palatino Linotype" w:eastAsia="Palatino Linotype" w:hAnsi="Palatino Linotype" w:cs="Palatino Linotype"/>
          <w:b/>
          <w:bCs/>
          <w:color w:val="000000"/>
        </w:rPr>
        <w:t xml:space="preserve"> ingreso de la solicitud de información el doce de enero de dos mil veintiséis, </w:t>
      </w:r>
      <w:r>
        <w:rPr>
          <w:rFonts w:ascii="Palatino Linotype" w:eastAsia="Palatino Linotype" w:hAnsi="Palatino Linotype" w:cs="Palatino Linotype"/>
          <w:color w:val="000000"/>
        </w:rPr>
        <w:t xml:space="preserve">toda vez que este Órgano Garante se encontraba en periodo vacacional, la solicitud de información consistió en lo siguiente. </w:t>
      </w:r>
    </w:p>
    <w:p w14:paraId="44D0774E"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C7DBA17"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“se solicitan todos los oficios que se recibieron y lo que se emitieron en el mes de marzo 2025 en la QUINTA REGIDURÍA.”</w:t>
      </w:r>
    </w:p>
    <w:p w14:paraId="4E58B429" w14:textId="77777777" w:rsidR="003F586C" w:rsidRDefault="003F586C">
      <w:pPr>
        <w:pBdr>
          <w:top w:val="nil"/>
          <w:left w:val="nil"/>
          <w:bottom w:val="nil"/>
          <w:right w:val="nil"/>
          <w:between w:val="nil"/>
        </w:pBdr>
        <w:spacing w:line="360" w:lineRule="auto"/>
        <w:ind w:left="851" w:right="-787"/>
        <w:jc w:val="both"/>
        <w:rPr>
          <w:rFonts w:ascii="Palatino Linotype" w:eastAsia="Palatino Linotype" w:hAnsi="Palatino Linotype" w:cs="Palatino Linotype"/>
        </w:rPr>
      </w:pPr>
    </w:p>
    <w:p w14:paraId="3C045E63" w14:textId="77777777" w:rsidR="003F586C" w:rsidRDefault="003F586C">
      <w:pPr>
        <w:pBdr>
          <w:top w:val="nil"/>
          <w:left w:val="nil"/>
          <w:bottom w:val="nil"/>
          <w:right w:val="nil"/>
          <w:between w:val="nil"/>
        </w:pBdr>
        <w:spacing w:line="360" w:lineRule="auto"/>
        <w:ind w:left="851" w:right="-787"/>
        <w:jc w:val="both"/>
        <w:rPr>
          <w:rFonts w:ascii="Palatino Linotype" w:eastAsia="Palatino Linotype" w:hAnsi="Palatino Linotype" w:cs="Palatino Linotype"/>
        </w:rPr>
      </w:pPr>
    </w:p>
    <w:p w14:paraId="0EA5DF79" w14:textId="77777777" w:rsidR="003F586C" w:rsidRDefault="003764DB">
      <w:pPr>
        <w:numPr>
          <w:ilvl w:val="0"/>
          <w:numId w:val="2"/>
        </w:numPr>
        <w:pBdr>
          <w:top w:val="nil"/>
          <w:left w:val="nil"/>
          <w:bottom w:val="nil"/>
          <w:right w:val="nil"/>
          <w:between w:val="nil"/>
        </w:pBdr>
        <w:spacing w:line="360" w:lineRule="auto"/>
        <w:ind w:left="851"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14:paraId="0C7AE0D4" w14:textId="77777777" w:rsidR="003F586C" w:rsidRDefault="003F586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610FDD83"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 xml:space="preserve">doce de enero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giró</w:t>
      </w:r>
      <w:r>
        <w:rPr>
          <w:rFonts w:ascii="Palatino Linotype" w:eastAsia="Palatino Linotype" w:hAnsi="Palatino Linotype" w:cs="Palatino Linotype"/>
          <w:color w:val="000000"/>
        </w:rPr>
        <w:t xml:space="preserve"> el requerimiento para que fuera atendida la solicitud de información </w:t>
      </w:r>
      <w:r>
        <w:rPr>
          <w:rFonts w:ascii="Palatino Linotype" w:eastAsia="Palatino Linotype" w:hAnsi="Palatino Linotype" w:cs="Palatino Linotype"/>
          <w:b/>
          <w:bCs/>
          <w:color w:val="000000"/>
        </w:rPr>
        <w:t xml:space="preserve">00462/TOLUCA/IP/2026. </w:t>
      </w:r>
    </w:p>
    <w:p w14:paraId="38B1C2C8" w14:textId="77777777" w:rsidR="003F586C" w:rsidRDefault="003F586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168A447B"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observa del tablero del Sistema de Acceso a la Información el </w:t>
      </w:r>
      <w:r>
        <w:rPr>
          <w:rFonts w:ascii="Palatino Linotype" w:eastAsia="Palatino Linotype" w:hAnsi="Palatino Linotype" w:cs="Palatino Linotype"/>
          <w:b/>
          <w:bCs/>
          <w:color w:val="000000"/>
        </w:rPr>
        <w:t>SUJETO OBLIGADO fue omiso en rendir respuesta a la solicitud de información 00462/TOLUCA/IP/2026</w:t>
      </w:r>
      <w:r>
        <w:rPr>
          <w:rFonts w:ascii="Palatino Linotype" w:eastAsia="Palatino Linotype" w:hAnsi="Palatino Linotype" w:cs="Palatino Linotype"/>
          <w:color w:val="000000"/>
        </w:rPr>
        <w:t xml:space="preserve">. </w:t>
      </w:r>
    </w:p>
    <w:p w14:paraId="5171E3A5"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14:paraId="19371D4A"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ante la falta de respuesta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el entonces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color w:val="000000"/>
        </w:rPr>
        <w:t>interpuso el recurso de revisión, y, señaló como:</w:t>
      </w:r>
    </w:p>
    <w:p w14:paraId="726B6C62" w14:textId="77777777" w:rsidR="003F586C" w:rsidRDefault="003F586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14:paraId="1E29D6E7" w14:textId="77777777" w:rsidR="003F586C" w:rsidRDefault="003764DB">
      <w:pPr>
        <w:numPr>
          <w:ilvl w:val="0"/>
          <w:numId w:val="4"/>
        </w:numPr>
        <w:pBdr>
          <w:top w:val="nil"/>
          <w:left w:val="nil"/>
          <w:bottom w:val="nil"/>
          <w:right w:val="nil"/>
          <w:between w:val="nil"/>
        </w:pBdr>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proofErr w:type="gramStart"/>
      <w:r>
        <w:rPr>
          <w:rFonts w:ascii="Palatino Linotype" w:eastAsia="Palatino Linotype" w:hAnsi="Palatino Linotype" w:cs="Palatino Linotype"/>
          <w:i/>
          <w:iCs/>
          <w:color w:val="000000"/>
        </w:rPr>
        <w:t>,.</w:t>
      </w:r>
      <w:proofErr w:type="gramEnd"/>
      <w:r>
        <w:rPr>
          <w:rFonts w:ascii="Palatino Linotype" w:eastAsia="Palatino Linotype" w:hAnsi="Palatino Linotype" w:cs="Palatino Linotype"/>
          <w:i/>
          <w:iCs/>
          <w:color w:val="000000"/>
        </w:rPr>
        <w:t>” (Sic)</w:t>
      </w:r>
    </w:p>
    <w:p w14:paraId="46261397" w14:textId="77777777" w:rsidR="003F586C" w:rsidRDefault="003F586C">
      <w:pPr>
        <w:pBdr>
          <w:top w:val="nil"/>
          <w:left w:val="nil"/>
          <w:bottom w:val="nil"/>
          <w:right w:val="nil"/>
          <w:between w:val="nil"/>
        </w:pBdr>
        <w:ind w:left="567" w:right="-787"/>
        <w:jc w:val="both"/>
        <w:rPr>
          <w:rFonts w:ascii="Palatino Linotype" w:eastAsia="Palatino Linotype" w:hAnsi="Palatino Linotype" w:cs="Palatino Linotype"/>
          <w:i/>
          <w:iCs/>
          <w:color w:val="000000"/>
        </w:rPr>
      </w:pPr>
    </w:p>
    <w:p w14:paraId="3DCA601F" w14:textId="77777777" w:rsidR="003F586C" w:rsidRDefault="003764DB">
      <w:pPr>
        <w:numPr>
          <w:ilvl w:val="0"/>
          <w:numId w:val="3"/>
        </w:numPr>
        <w:pBdr>
          <w:top w:val="nil"/>
          <w:left w:val="nil"/>
          <w:bottom w:val="nil"/>
          <w:right w:val="nil"/>
          <w:between w:val="nil"/>
        </w:pBdr>
        <w:ind w:right="-787"/>
        <w:jc w:val="both"/>
        <w:rPr>
          <w:rFonts w:ascii="Times New Roman" w:eastAsia="Times New Roman" w:hAnsi="Times New Roman" w:cs="Times New Roman"/>
        </w:rPr>
      </w:pPr>
      <w:r>
        <w:rPr>
          <w:rFonts w:ascii="Palatino Linotype" w:eastAsia="Palatino Linotype" w:hAnsi="Palatino Linotype" w:cs="Palatino Linotype"/>
          <w:b/>
          <w:bCs/>
          <w:color w:val="000000"/>
        </w:rPr>
        <w:t>Razones o Motivos de Inconformidad:</w:t>
      </w:r>
      <w:r>
        <w:rPr>
          <w:rFonts w:ascii="Palatino Linotype" w:eastAsia="Palatino Linotype" w:hAnsi="Palatino Linotype" w:cs="Palatino Linotype"/>
          <w:b/>
          <w:bCs/>
          <w:i/>
          <w:iCs/>
          <w:color w:val="2F5496"/>
        </w:rPr>
        <w:t xml:space="preserve"> </w:t>
      </w:r>
      <w:r>
        <w:rPr>
          <w:rFonts w:ascii="Verdana" w:eastAsia="Verdana" w:hAnsi="Verdana" w:cs="Verdana"/>
          <w:color w:val="000000"/>
        </w:rPr>
        <w:t>“</w:t>
      </w: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p>
    <w:p w14:paraId="17D65E0E" w14:textId="77777777" w:rsidR="003F586C" w:rsidRDefault="003F586C">
      <w:pPr>
        <w:spacing w:line="360" w:lineRule="auto"/>
        <w:ind w:right="-787"/>
        <w:rPr>
          <w:rFonts w:ascii="Palatino Linotype" w:eastAsia="Palatino Linotype" w:hAnsi="Palatino Linotype" w:cs="Palatino Linotype"/>
          <w:i/>
          <w:iCs/>
          <w:color w:val="000000"/>
        </w:rPr>
      </w:pPr>
    </w:p>
    <w:p w14:paraId="15E2FBEE"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seis de febrero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lastRenderedPageBreak/>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14:paraId="3FE79FD2"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33EB0445"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 anterior,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catorce y diecisiete de enero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tres archivos electrónicos en formato en pdf, cuyo contenido grosso modo es el siguiente.</w:t>
      </w:r>
    </w:p>
    <w:p w14:paraId="5A0FA1C2"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1333-2026-5R.pdf: </w:t>
      </w:r>
      <w:r>
        <w:rPr>
          <w:rFonts w:ascii="Palatino Linotype" w:eastAsia="Palatino Linotype" w:hAnsi="Palatino Linotype" w:cs="Palatino Linotype"/>
          <w:i/>
          <w:iCs/>
          <w:color w:val="000000"/>
        </w:rPr>
        <w:t xml:space="preserve">oficio del Quinto Regidor, mediante el cual informa que entrega de forma digital la información solicitada. </w:t>
      </w:r>
    </w:p>
    <w:p w14:paraId="24BD6F63"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1333-ANEXOS-2026-5R.pdf: </w:t>
      </w:r>
      <w:r>
        <w:rPr>
          <w:rFonts w:ascii="Palatino Linotype" w:eastAsia="Palatino Linotype" w:hAnsi="Palatino Linotype" w:cs="Palatino Linotype"/>
          <w:i/>
          <w:iCs/>
          <w:color w:val="000000"/>
        </w:rPr>
        <w:t xml:space="preserve">oficio del Quinto Regidor, mediante el cual informa que entrega de forma digital la información solicitada. </w:t>
      </w:r>
    </w:p>
    <w:p w14:paraId="1266EFA0"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Ratificación1333.pdf: </w:t>
      </w:r>
      <w:r>
        <w:rPr>
          <w:rFonts w:ascii="Palatino Linotype" w:eastAsia="Palatino Linotype" w:hAnsi="Palatino Linotype" w:cs="Palatino Linotype"/>
          <w:i/>
          <w:iCs/>
          <w:color w:val="000000"/>
        </w:rPr>
        <w:t xml:space="preserve">oficio del Titular de la Unidad de Transparencia, mediante el cual informa que ratifica la respuesta, </w:t>
      </w:r>
      <w:r>
        <w:rPr>
          <w:rFonts w:ascii="Palatino Linotype" w:eastAsia="Palatino Linotype" w:hAnsi="Palatino Linotype" w:cs="Palatino Linotype"/>
          <w:b/>
          <w:bCs/>
          <w:i/>
          <w:iCs/>
          <w:color w:val="000000"/>
        </w:rPr>
        <w:t xml:space="preserve">sin embargo no hubo respuesta inicial. </w:t>
      </w:r>
    </w:p>
    <w:p w14:paraId="12038B9E" w14:textId="77777777" w:rsidR="003F586C" w:rsidRDefault="003F586C">
      <w:pPr>
        <w:ind w:right="-787"/>
        <w:jc w:val="both"/>
        <w:rPr>
          <w:rFonts w:ascii="Palatino Linotype" w:eastAsia="Palatino Linotype" w:hAnsi="Palatino Linotype" w:cs="Palatino Linotype"/>
          <w:i/>
          <w:iCs/>
          <w:color w:val="000000"/>
        </w:rPr>
      </w:pPr>
    </w:p>
    <w:p w14:paraId="2D0FF29C"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rPr>
        <w:t>dejó</w:t>
      </w:r>
      <w:r>
        <w:rPr>
          <w:rFonts w:ascii="Palatino Linotype" w:eastAsia="Palatino Linotype" w:hAnsi="Palatino Linotype" w:cs="Palatino Linotype"/>
          <w:color w:val="000000"/>
        </w:rPr>
        <w:t xml:space="preserve"> de realizar manifestaciones que a su derecho conviniera y asistiera. </w:t>
      </w:r>
    </w:p>
    <w:p w14:paraId="57DB05B7" w14:textId="77777777" w:rsidR="003F586C" w:rsidRDefault="003F586C">
      <w:pPr>
        <w:ind w:right="-787"/>
        <w:rPr>
          <w:rFonts w:ascii="Palatino Linotype" w:eastAsia="Palatino Linotype" w:hAnsi="Palatino Linotype" w:cs="Palatino Linotype"/>
          <w:color w:val="000000"/>
          <w:highlight w:val="white"/>
        </w:rPr>
      </w:pPr>
      <w:bookmarkStart w:id="0" w:name="_heading=h.3znysh7" w:colFirst="0" w:colLast="0"/>
      <w:bookmarkEnd w:id="0"/>
    </w:p>
    <w:p w14:paraId="08771C6B"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veintiuno de mayo de dos mil veintiséis</w:t>
      </w:r>
      <w:r>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Pr>
          <w:rFonts w:ascii="Palatino Linotype" w:eastAsia="Palatino Linotype" w:hAnsi="Palatino Linotype" w:cs="Palatino Linotype"/>
        </w:rPr>
        <w:t>.</w:t>
      </w:r>
    </w:p>
    <w:p w14:paraId="5C89EDAA"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326F86D3" w14:textId="33B36BCB" w:rsidR="003F586C" w:rsidRPr="00CE6C54"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highlight w:val="white"/>
        </w:rPr>
        <w:t xml:space="preserve">Seguidamente, mediante acuerdo de fecha </w:t>
      </w:r>
      <w:r>
        <w:rPr>
          <w:rFonts w:ascii="Palatino Linotype" w:eastAsia="Palatino Linotype" w:hAnsi="Palatino Linotype" w:cs="Palatino Linotype"/>
          <w:b/>
          <w:bCs/>
          <w:color w:val="000000"/>
          <w:highlight w:val="white"/>
        </w:rPr>
        <w:t xml:space="preserve">veintisiete de mayo de dos mil veintiséis, </w:t>
      </w:r>
      <w:r>
        <w:rPr>
          <w:rFonts w:ascii="Palatino Linotype" w:eastAsia="Palatino Linotype" w:hAnsi="Palatino Linotype" w:cs="Palatino Linotype"/>
          <w:color w:val="000000"/>
          <w:highlight w:val="white"/>
        </w:rPr>
        <w:t xml:space="preserve"> se decretó el cierre de instrucción, por lo que no </w:t>
      </w:r>
      <w:r w:rsidR="000C7D62">
        <w:rPr>
          <w:rFonts w:ascii="Palatino Linotype" w:eastAsia="Palatino Linotype" w:hAnsi="Palatino Linotype" w:cs="Palatino Linotype"/>
          <w:color w:val="000000"/>
          <w:highlight w:val="white"/>
        </w:rPr>
        <w:t>habiendo más que hacer constar,</w:t>
      </w:r>
      <w:r w:rsidR="000C7D62">
        <w:rPr>
          <w:rFonts w:ascii="Palatino Linotype" w:eastAsia="Palatino Linotype" w:hAnsi="Palatino Linotype" w:cs="Palatino Linotype"/>
          <w:color w:val="000000"/>
        </w:rPr>
        <w:t xml:space="preserve"> ------------</w:t>
      </w:r>
    </w:p>
    <w:p w14:paraId="38BDDD1C" w14:textId="77777777" w:rsidR="00CE6C54" w:rsidRDefault="00CE6C54" w:rsidP="00CE6C54">
      <w:pPr>
        <w:pStyle w:val="Prrafodelista"/>
        <w:rPr>
          <w:rFonts w:ascii="Palatino Linotype" w:eastAsia="Palatino Linotype" w:hAnsi="Palatino Linotype" w:cs="Palatino Linotype"/>
          <w:b/>
          <w:bCs/>
          <w:color w:val="000000"/>
        </w:rPr>
      </w:pPr>
    </w:p>
    <w:p w14:paraId="3570857D" w14:textId="77777777" w:rsidR="00CE6C54" w:rsidRDefault="00CE6C54" w:rsidP="00CE6C54">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7B940DFD"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79E98BBB"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6986D9B3" w14:textId="77777777" w:rsidR="003F586C" w:rsidRDefault="003764DB">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 O N S I D E R A N D O</w:t>
      </w:r>
    </w:p>
    <w:p w14:paraId="755A9DA9" w14:textId="77777777" w:rsidR="003F586C" w:rsidRDefault="003F586C">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14:paraId="305F6357" w14:textId="77777777" w:rsidR="003F586C" w:rsidRDefault="003764DB">
      <w:pPr>
        <w:pStyle w:val="Ttulo2"/>
        <w:spacing w:before="0" w:line="360" w:lineRule="auto"/>
        <w:ind w:right="-787"/>
        <w:rPr>
          <w:rFonts w:ascii="Palatino Linotype" w:eastAsia="Palatino Linotype" w:hAnsi="Palatino Linotype" w:cs="Palatino Linotype"/>
          <w:b/>
          <w:bCs/>
          <w:color w:val="000000"/>
          <w:sz w:val="24"/>
          <w:szCs w:val="24"/>
        </w:rPr>
      </w:pPr>
      <w:bookmarkStart w:id="1" w:name="_heading=h.2et92p0" w:colFirst="0" w:colLast="0"/>
      <w:bookmarkEnd w:id="1"/>
      <w:r>
        <w:rPr>
          <w:rFonts w:ascii="Palatino Linotype" w:eastAsia="Palatino Linotype" w:hAnsi="Palatino Linotype" w:cs="Palatino Linotype"/>
          <w:b/>
          <w:bCs/>
          <w:color w:val="000000"/>
          <w:sz w:val="24"/>
          <w:szCs w:val="24"/>
        </w:rPr>
        <w:t>PRIMERO. De la competencia</w:t>
      </w:r>
    </w:p>
    <w:p w14:paraId="5672DFB0" w14:textId="77777777" w:rsidR="003F586C" w:rsidRDefault="003764DB">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w:t>
      </w:r>
      <w:r>
        <w:rPr>
          <w:rFonts w:ascii="Palatino Linotype" w:eastAsia="Palatino Linotype" w:hAnsi="Palatino Linotype" w:cs="Palatino Linotype"/>
          <w:color w:val="000000"/>
          <w:highlight w:val="white"/>
        </w:rPr>
        <w:t>Recurso</w:t>
      </w:r>
      <w:r>
        <w:rPr>
          <w:rFonts w:ascii="Palatino Linotype" w:eastAsia="Palatino Linotype" w:hAnsi="Palatino Linotype" w:cs="Palatino Linotype"/>
          <w:color w:val="000000"/>
        </w:rPr>
        <w:t xml:space="preserve">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FFC5009"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5D972EBA" w14:textId="77777777" w:rsidR="003F586C" w:rsidRDefault="003764DB">
      <w:pPr>
        <w:pStyle w:val="Ttulo2"/>
        <w:spacing w:before="0" w:line="360" w:lineRule="auto"/>
        <w:ind w:right="-787"/>
        <w:rPr>
          <w:rFonts w:ascii="Palatino Linotype" w:eastAsia="Palatino Linotype" w:hAnsi="Palatino Linotype" w:cs="Palatino Linotype"/>
          <w:b/>
          <w:bCs/>
          <w:color w:val="000000"/>
          <w:sz w:val="24"/>
          <w:szCs w:val="24"/>
        </w:rPr>
      </w:pPr>
      <w:bookmarkStart w:id="2" w:name="_heading=h.tyjcwt" w:colFirst="0" w:colLast="0"/>
      <w:bookmarkEnd w:id="2"/>
      <w:r>
        <w:rPr>
          <w:rFonts w:ascii="Palatino Linotype" w:eastAsia="Palatino Linotype" w:hAnsi="Palatino Linotype" w:cs="Palatino Linotype"/>
          <w:b/>
          <w:bCs/>
          <w:color w:val="000000"/>
          <w:sz w:val="24"/>
          <w:szCs w:val="24"/>
        </w:rPr>
        <w:t>SEGUNDO. De la oportunidad y procedencia.</w:t>
      </w:r>
    </w:p>
    <w:p w14:paraId="0BE87E06"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14:paraId="71376798" w14:textId="77777777" w:rsidR="003F586C" w:rsidRDefault="003F586C">
      <w:pPr>
        <w:tabs>
          <w:tab w:val="left" w:pos="284"/>
        </w:tabs>
        <w:spacing w:line="360" w:lineRule="auto"/>
        <w:ind w:right="-787"/>
        <w:jc w:val="both"/>
        <w:rPr>
          <w:rFonts w:ascii="Palatino Linotype" w:eastAsia="Palatino Linotype" w:hAnsi="Palatino Linotype" w:cs="Palatino Linotype"/>
          <w:color w:val="000000"/>
        </w:rPr>
      </w:pPr>
    </w:p>
    <w:p w14:paraId="758E33FE"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Por ende, se constituye la figura jurídica de la </w:t>
      </w:r>
      <w:r>
        <w:rPr>
          <w:rFonts w:ascii="Palatino Linotype" w:eastAsia="Palatino Linotype" w:hAnsi="Palatino Linotype" w:cs="Palatino Linotype"/>
          <w:i/>
          <w:iCs/>
        </w:rPr>
        <w:t>negativa ficta</w:t>
      </w:r>
      <w:r>
        <w:rPr>
          <w:rFonts w:ascii="Palatino Linotype" w:eastAsia="Palatino Linotype" w:hAnsi="Palatino Linotype" w:cs="Palatino Linotype"/>
        </w:rPr>
        <w:t xml:space="preserve">, cuya esencia es atribuir un efecto negativo al silencio de la autoridad administrativa frente a las instancias y </w:t>
      </w:r>
      <w:r>
        <w:rPr>
          <w:rFonts w:ascii="Palatino Linotype" w:eastAsia="Palatino Linotype" w:hAnsi="Palatino Linotype" w:cs="Palatino Linotype"/>
        </w:rPr>
        <w:lastRenderedPageBreak/>
        <w:t xml:space="preserve">solicitudes que hagan los particulares, lo cual encuentra sustento en lo que establece el artículo </w:t>
      </w:r>
      <w:r>
        <w:rPr>
          <w:rFonts w:ascii="Palatino Linotype" w:eastAsia="Palatino Linotype" w:hAnsi="Palatino Linotype" w:cs="Palatino Linotype"/>
          <w:b/>
          <w:bCs/>
        </w:rPr>
        <w:t>178</w:t>
      </w:r>
      <w:r>
        <w:rPr>
          <w:rFonts w:ascii="Palatino Linotype" w:eastAsia="Palatino Linotype" w:hAnsi="Palatino Linotype" w:cs="Palatino Linotype"/>
        </w:rPr>
        <w:t xml:space="preserve"> segundo párrafo de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color w:val="000000"/>
          <w:highlight w:val="white"/>
        </w:rPr>
        <w:t xml:space="preserve">, que dispone; ante la falta de respuesta del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Pr>
          <w:rFonts w:ascii="Palatino Linotype" w:eastAsia="Palatino Linotype" w:hAnsi="Palatino Linotype" w:cs="Palatino Linotype"/>
          <w:b/>
          <w:bCs/>
          <w:color w:val="000000"/>
          <w:highlight w:val="white"/>
        </w:rPr>
        <w:t xml:space="preserve">podrá ser interpuesto en cualquier momento. </w:t>
      </w:r>
    </w:p>
    <w:p w14:paraId="6B6D8830" w14:textId="77777777" w:rsidR="003F586C" w:rsidRDefault="003F586C">
      <w:pPr>
        <w:tabs>
          <w:tab w:val="left" w:pos="284"/>
        </w:tabs>
        <w:spacing w:line="360" w:lineRule="auto"/>
        <w:ind w:right="-787"/>
        <w:jc w:val="both"/>
        <w:rPr>
          <w:rFonts w:ascii="Palatino Linotype" w:eastAsia="Palatino Linotype" w:hAnsi="Palatino Linotype" w:cs="Palatino Linotype"/>
          <w:color w:val="000000"/>
        </w:rPr>
      </w:pPr>
    </w:p>
    <w:p w14:paraId="640E8F73"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Por lo que, tratándose de la </w:t>
      </w:r>
      <w:r>
        <w:rPr>
          <w:rFonts w:ascii="Palatino Linotype" w:eastAsia="Palatino Linotype" w:hAnsi="Palatino Linotype" w:cs="Palatino Linotype"/>
          <w:i/>
          <w:iCs/>
        </w:rPr>
        <w:t>negativa ficta</w:t>
      </w:r>
      <w:r>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Pr>
          <w:rFonts w:ascii="Palatino Linotype" w:eastAsia="Palatino Linotype" w:hAnsi="Palatino Linotype" w:cs="Palatino Linotype"/>
          <w:i/>
          <w:iCs/>
        </w:rPr>
        <w:t>negativa ficta</w:t>
      </w:r>
      <w:r>
        <w:rPr>
          <w:rFonts w:ascii="Palatino Linotype" w:eastAsia="Palatino Linotype" w:hAnsi="Palatino Linotype" w:cs="Palatino Linotype"/>
        </w:rPr>
        <w:t>, que señala:</w:t>
      </w:r>
    </w:p>
    <w:p w14:paraId="1DA20BEA" w14:textId="77777777" w:rsidR="003F586C" w:rsidRDefault="003764DB">
      <w:pPr>
        <w:tabs>
          <w:tab w:val="left" w:pos="284"/>
          <w:tab w:val="left" w:pos="7655"/>
          <w:tab w:val="left" w:pos="7938"/>
        </w:tabs>
        <w:spacing w:after="240"/>
        <w:ind w:left="1134" w:right="-787"/>
        <w:jc w:val="center"/>
        <w:rPr>
          <w:rFonts w:ascii="Palatino Linotype" w:eastAsia="Palatino Linotype" w:hAnsi="Palatino Linotype" w:cs="Palatino Linotype"/>
          <w:b/>
          <w:bCs/>
        </w:rPr>
      </w:pPr>
      <w:r>
        <w:rPr>
          <w:rFonts w:ascii="Palatino Linotype" w:eastAsia="Palatino Linotype" w:hAnsi="Palatino Linotype" w:cs="Palatino Linotype"/>
          <w:b/>
          <w:bCs/>
        </w:rPr>
        <w:t>Criterio 0001-15</w:t>
      </w:r>
    </w:p>
    <w:p w14:paraId="6CAFE161" w14:textId="77777777" w:rsidR="003F586C" w:rsidRDefault="003764DB">
      <w:pPr>
        <w:tabs>
          <w:tab w:val="left" w:pos="284"/>
          <w:tab w:val="left" w:pos="7655"/>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NEGATIVA FICTA. PLAZO PARA INTERPONER EL RECURSO DE REVISIÓN TRATÁNDOSE DE.</w:t>
      </w:r>
      <w:r>
        <w:rPr>
          <w:rFonts w:ascii="Palatino Linotype" w:eastAsia="Palatino Linotype" w:hAnsi="Palatino Linotype" w:cs="Palatino Linotype"/>
          <w:i/>
          <w:iC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w:t>
      </w:r>
      <w:r>
        <w:rPr>
          <w:rFonts w:ascii="Palatino Linotype" w:eastAsia="Palatino Linotype" w:hAnsi="Palatino Linotype" w:cs="Palatino Linotype"/>
          <w:i/>
          <w:iCs/>
        </w:rPr>
        <w:lastRenderedPageBreak/>
        <w:t>no se dicte resolución expresa; es decir, mientras no haya respuesta por parte del Sujeto Obligado, momento a partir del cual deberá computarse el plazo previsto en el artículo 72 de la citada Ley.</w:t>
      </w:r>
    </w:p>
    <w:p w14:paraId="32662A1E" w14:textId="77777777" w:rsidR="003F586C" w:rsidRDefault="003F586C">
      <w:pPr>
        <w:tabs>
          <w:tab w:val="left" w:pos="284"/>
          <w:tab w:val="left" w:pos="7655"/>
        </w:tabs>
        <w:spacing w:before="240" w:after="240"/>
        <w:ind w:right="-787"/>
        <w:jc w:val="both"/>
        <w:rPr>
          <w:rFonts w:ascii="Palatino Linotype" w:eastAsia="Palatino Linotype" w:hAnsi="Palatino Linotype" w:cs="Palatino Linotype"/>
          <w:i/>
          <w:iCs/>
        </w:rPr>
      </w:pPr>
    </w:p>
    <w:p w14:paraId="146A9FB0"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se explica porque la </w:t>
      </w:r>
      <w:r>
        <w:rPr>
          <w:rFonts w:ascii="Palatino Linotype" w:eastAsia="Palatino Linotype" w:hAnsi="Palatino Linotype" w:cs="Palatino Linotype"/>
          <w:b/>
          <w:bCs/>
          <w:color w:val="000000"/>
          <w:u w:val="single"/>
        </w:rPr>
        <w:t>posible ausencia</w:t>
      </w:r>
      <w:r>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14:paraId="597CCDCC"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3EFE10E" w14:textId="77777777" w:rsidR="003F586C" w:rsidRDefault="003764DB">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449996AD"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14:paraId="5336345A" w14:textId="77777777" w:rsidR="003F586C" w:rsidRDefault="003F586C">
      <w:pPr>
        <w:ind w:left="1134" w:right="-787"/>
        <w:jc w:val="both"/>
        <w:rPr>
          <w:rFonts w:ascii="Palatino Linotype" w:eastAsia="Palatino Linotype" w:hAnsi="Palatino Linotype" w:cs="Palatino Linotype"/>
          <w:i/>
          <w:iCs/>
        </w:rPr>
      </w:pPr>
    </w:p>
    <w:p w14:paraId="618341CD" w14:textId="77777777" w:rsidR="003F586C" w:rsidRDefault="003F586C">
      <w:pPr>
        <w:ind w:left="1134" w:right="-787"/>
        <w:jc w:val="both"/>
        <w:rPr>
          <w:rFonts w:ascii="Palatino Linotype" w:eastAsia="Palatino Linotype" w:hAnsi="Palatino Linotype" w:cs="Palatino Linotype"/>
          <w:i/>
          <w:iCs/>
        </w:rPr>
      </w:pPr>
    </w:p>
    <w:p w14:paraId="03803EE7" w14:textId="77777777" w:rsidR="003F586C" w:rsidRDefault="003764DB">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14:paraId="69F9C6D5"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E4DCBF2"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14:paraId="7995D256" w14:textId="77777777" w:rsidR="003F586C" w:rsidRDefault="003F586C">
      <w:pPr>
        <w:ind w:left="1134" w:right="-787"/>
        <w:jc w:val="both"/>
        <w:rPr>
          <w:rFonts w:ascii="Palatino Linotype" w:eastAsia="Palatino Linotype" w:hAnsi="Palatino Linotype" w:cs="Palatino Linotype"/>
          <w:i/>
          <w:iCs/>
        </w:rPr>
      </w:pPr>
    </w:p>
    <w:p w14:paraId="03B31BC4"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 Para el ejercicio del derecho de acceso a la información, la Federación, los Estados y el Distrito Federal, en el ámbito de sus respectivas competencias, se regirán por los siguientes principios y bases:</w:t>
      </w:r>
    </w:p>
    <w:p w14:paraId="093CDEAF" w14:textId="77777777" w:rsidR="003F586C" w:rsidRDefault="003F586C">
      <w:pPr>
        <w:ind w:left="1134" w:right="-787"/>
        <w:jc w:val="both"/>
        <w:rPr>
          <w:rFonts w:ascii="Palatino Linotype" w:eastAsia="Palatino Linotype" w:hAnsi="Palatino Linotype" w:cs="Palatino Linotype"/>
          <w:i/>
          <w:iCs/>
        </w:rPr>
      </w:pPr>
    </w:p>
    <w:p w14:paraId="7F37A70D"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rPr>
        <w:t>(Sic)</w:t>
      </w:r>
    </w:p>
    <w:p w14:paraId="1510A8DE" w14:textId="77777777" w:rsidR="003F586C" w:rsidRDefault="003F586C">
      <w:pPr>
        <w:spacing w:line="360" w:lineRule="auto"/>
        <w:ind w:left="567" w:right="-787"/>
        <w:jc w:val="both"/>
        <w:rPr>
          <w:rFonts w:ascii="Palatino Linotype" w:eastAsia="Palatino Linotype" w:hAnsi="Palatino Linotype" w:cs="Palatino Linotype"/>
          <w:i/>
          <w:iCs/>
        </w:rPr>
      </w:pPr>
    </w:p>
    <w:p w14:paraId="3B2B0BF7" w14:textId="77777777" w:rsidR="003F586C" w:rsidRDefault="003764DB">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14:paraId="7D76C8DC"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5104A0B9"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3996BC56"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14:paraId="66C414FE"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B6647BE"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14:paraId="6DDAF3FA"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3CEA141"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14:paraId="290CEF97"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0503770"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rPr>
        <w:t>(Sic)</w:t>
      </w:r>
    </w:p>
    <w:p w14:paraId="506BBDBF" w14:textId="77777777" w:rsidR="003F586C" w:rsidRDefault="003F586C">
      <w:pPr>
        <w:spacing w:line="360" w:lineRule="auto"/>
        <w:ind w:left="426" w:right="-787"/>
        <w:jc w:val="both"/>
        <w:rPr>
          <w:rFonts w:ascii="Palatino Linotype" w:eastAsia="Palatino Linotype" w:hAnsi="Palatino Linotype" w:cs="Palatino Linotype"/>
          <w:i/>
          <w:iCs/>
        </w:rPr>
      </w:pPr>
    </w:p>
    <w:p w14:paraId="505B1E2E" w14:textId="77777777" w:rsidR="003F586C" w:rsidRDefault="003764DB">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14:paraId="52A1A3BA"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E12E852"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14:paraId="56674BC8"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53D3281F" w14:textId="77777777" w:rsidR="003F586C" w:rsidRDefault="003F586C">
      <w:pPr>
        <w:ind w:left="426" w:right="-787"/>
        <w:jc w:val="both"/>
        <w:rPr>
          <w:rFonts w:ascii="Palatino Linotype" w:eastAsia="Palatino Linotype" w:hAnsi="Palatino Linotype" w:cs="Palatino Linotype"/>
          <w:i/>
          <w:iCs/>
        </w:rPr>
      </w:pPr>
    </w:p>
    <w:p w14:paraId="66B71FC0" w14:textId="77777777" w:rsidR="003F586C" w:rsidRDefault="003764DB">
      <w:pPr>
        <w:numPr>
          <w:ilvl w:val="0"/>
          <w:numId w:val="1"/>
        </w:numPr>
        <w:spacing w:line="360" w:lineRule="auto"/>
        <w:ind w:left="0" w:right="-787" w:firstLine="0"/>
        <w:jc w:val="both"/>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1A49F792" w14:textId="77777777" w:rsidR="003F586C" w:rsidRDefault="003F586C">
      <w:pPr>
        <w:spacing w:line="360" w:lineRule="auto"/>
        <w:ind w:right="-787"/>
        <w:jc w:val="both"/>
        <w:rPr>
          <w:rFonts w:ascii="Palatino Linotype" w:eastAsia="Palatino Linotype" w:hAnsi="Palatino Linotype" w:cs="Palatino Linotype"/>
        </w:rPr>
      </w:pPr>
    </w:p>
    <w:p w14:paraId="22AB6851" w14:textId="77777777" w:rsidR="003F586C" w:rsidRDefault="003764DB">
      <w:pPr>
        <w:numPr>
          <w:ilvl w:val="0"/>
          <w:numId w:val="1"/>
        </w:numPr>
        <w:spacing w:line="360" w:lineRule="auto"/>
        <w:ind w:left="0" w:right="-787" w:firstLine="0"/>
        <w:jc w:val="both"/>
      </w:pPr>
      <w:r>
        <w:rPr>
          <w:rFonts w:ascii="Palatino Linotype" w:eastAsia="Palatino Linotype" w:hAnsi="Palatino Linotype" w:cs="Palatino Linotype"/>
        </w:rPr>
        <w:lastRenderedPageBreak/>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24CDC1D2" w14:textId="77777777" w:rsidR="003F586C" w:rsidRDefault="003F586C">
      <w:pPr>
        <w:spacing w:line="360" w:lineRule="auto"/>
        <w:ind w:right="-787"/>
        <w:jc w:val="both"/>
        <w:rPr>
          <w:rFonts w:ascii="Palatino Linotype" w:eastAsia="Palatino Linotype" w:hAnsi="Palatino Linotype" w:cs="Palatino Linotype"/>
        </w:rPr>
      </w:pPr>
    </w:p>
    <w:p w14:paraId="04915954"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571C9C4B"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b/>
          <w:bCs/>
          <w:color w:val="000000"/>
        </w:rPr>
      </w:pPr>
    </w:p>
    <w:p w14:paraId="7FA4CC99" w14:textId="77777777" w:rsidR="003F586C" w:rsidRDefault="003764DB">
      <w:pPr>
        <w:pStyle w:val="Ttulo1"/>
        <w:spacing w:before="0" w:line="360" w:lineRule="auto"/>
        <w:ind w:right="-787"/>
        <w:rPr>
          <w:rFonts w:ascii="Palatino Linotype" w:eastAsia="Palatino Linotype" w:hAnsi="Palatino Linotype" w:cs="Palatino Linotype"/>
          <w:b/>
          <w:bCs/>
          <w:color w:val="000000"/>
          <w:sz w:val="24"/>
          <w:szCs w:val="24"/>
        </w:rPr>
      </w:pPr>
      <w:bookmarkStart w:id="3" w:name="_heading=h.gjdgxs" w:colFirst="0" w:colLast="0"/>
      <w:bookmarkEnd w:id="3"/>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14:paraId="704A043D"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De las constancias en el expediente al rubro indicado, se desprende que la particular solicitó la información que a continuación se desagrega:</w:t>
      </w:r>
    </w:p>
    <w:p w14:paraId="62917F56"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 Los oficios que se recibieron y lo que se emitieron en el mes de marzo 2025 en la quinta regiduría. </w:t>
      </w:r>
    </w:p>
    <w:p w14:paraId="02CEE4BB" w14:textId="77777777" w:rsidR="003F586C" w:rsidRDefault="003F586C">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p>
    <w:p w14:paraId="56298F48"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Tal y como se observa en el tablero del expediente electrónico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fue omiso en entregar respuesta.  </w:t>
      </w:r>
    </w:p>
    <w:p w14:paraId="7D128795"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de la</w:t>
      </w:r>
      <w:r>
        <w:rPr>
          <w:rFonts w:ascii="Palatino Linotype" w:eastAsia="Palatino Linotype" w:hAnsi="Palatino Linotype" w:cs="Palatino Linotype"/>
          <w:color w:val="000000"/>
        </w:rPr>
        <w:t xml:space="preserve"> Ley</w:t>
      </w:r>
      <w:r>
        <w:rPr>
          <w:rFonts w:ascii="Palatino Linotype" w:eastAsia="Palatino Linotype" w:hAnsi="Palatino Linotype" w:cs="Palatino Linotype"/>
          <w:b/>
          <w:bCs/>
        </w:rPr>
        <w:t xml:space="preserve">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negativa de la información solicitada;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p>
    <w:p w14:paraId="4AE85404"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4DEC0514"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728BB21F" w14:textId="77777777" w:rsidR="003F586C" w:rsidRDefault="003F586C">
      <w:pPr>
        <w:spacing w:line="360" w:lineRule="auto"/>
        <w:ind w:right="-787"/>
        <w:jc w:val="both"/>
        <w:rPr>
          <w:rFonts w:ascii="Palatino Linotype" w:eastAsia="Palatino Linotype" w:hAnsi="Palatino Linotype" w:cs="Palatino Linotype"/>
        </w:rPr>
      </w:pPr>
    </w:p>
    <w:p w14:paraId="743D31A4" w14:textId="77777777" w:rsidR="003F586C" w:rsidRDefault="003764DB">
      <w:pPr>
        <w:keepNext/>
        <w:keepLines/>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asunto</w:t>
      </w:r>
    </w:p>
    <w:p w14:paraId="6AA64D72" w14:textId="77777777" w:rsidR="003F586C" w:rsidRDefault="003764DB">
      <w:pPr>
        <w:keepNext/>
        <w:keepLines/>
        <w:numPr>
          <w:ilvl w:val="0"/>
          <w:numId w:val="5"/>
        </w:numPr>
        <w:spacing w:after="240" w:line="360" w:lineRule="auto"/>
        <w:ind w:left="786" w:right="-787"/>
        <w:rPr>
          <w:rFonts w:ascii="Palatino Linotype" w:eastAsia="Palatino Linotype" w:hAnsi="Palatino Linotype" w:cs="Palatino Linotype"/>
          <w:b/>
          <w:bCs/>
        </w:rPr>
      </w:pPr>
      <w:bookmarkStart w:id="4" w:name="_heading=h.1t3h5sf" w:colFirst="0" w:colLast="0"/>
      <w:bookmarkEnd w:id="4"/>
      <w:r>
        <w:rPr>
          <w:rFonts w:ascii="Palatino Linotype" w:eastAsia="Palatino Linotype" w:hAnsi="Palatino Linotype" w:cs="Palatino Linotype"/>
          <w:b/>
          <w:bCs/>
        </w:rPr>
        <w:t>Del derecho de acceso a la información.</w:t>
      </w:r>
    </w:p>
    <w:p w14:paraId="08F60BC6"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622E59FC" w14:textId="77777777" w:rsidR="003F586C" w:rsidRDefault="003F586C">
      <w:pPr>
        <w:spacing w:line="360" w:lineRule="auto"/>
        <w:ind w:right="-787"/>
        <w:jc w:val="both"/>
        <w:rPr>
          <w:rFonts w:ascii="Palatino Linotype" w:eastAsia="Palatino Linotype" w:hAnsi="Palatino Linotype" w:cs="Palatino Linotype"/>
        </w:rPr>
      </w:pPr>
    </w:p>
    <w:p w14:paraId="273EF516"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354D0CFB" w14:textId="77777777" w:rsidR="003F586C" w:rsidRDefault="003F586C">
      <w:pPr>
        <w:spacing w:line="360" w:lineRule="auto"/>
        <w:ind w:right="-787"/>
        <w:jc w:val="both"/>
        <w:rPr>
          <w:rFonts w:ascii="Palatino Linotype" w:eastAsia="Palatino Linotype" w:hAnsi="Palatino Linotype" w:cs="Palatino Linotype"/>
        </w:rPr>
      </w:pPr>
    </w:p>
    <w:p w14:paraId="67F7D7AB"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2A1996D6"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14:paraId="32BC4FCF"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D4E7749" w14:textId="77777777" w:rsidR="003F586C" w:rsidRDefault="003764DB">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46432979" w14:textId="77777777" w:rsidR="003F586C" w:rsidRDefault="003764DB">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14:paraId="67A2ED47"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7075A205" w14:textId="77777777" w:rsidR="003F586C" w:rsidRDefault="003F586C">
      <w:pPr>
        <w:spacing w:line="360" w:lineRule="auto"/>
        <w:ind w:right="-787"/>
        <w:jc w:val="both"/>
        <w:rPr>
          <w:rFonts w:ascii="Palatino Linotype" w:eastAsia="Palatino Linotype" w:hAnsi="Palatino Linotype" w:cs="Palatino Linotype"/>
        </w:rPr>
      </w:pPr>
    </w:p>
    <w:p w14:paraId="6BD582DD"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790A4B99" w14:textId="77777777" w:rsidR="003F586C" w:rsidRDefault="003764DB">
      <w:pPr>
        <w:tabs>
          <w:tab w:val="left" w:pos="7938"/>
        </w:tabs>
        <w:spacing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14:paraId="1B031B67" w14:textId="77777777" w:rsidR="003F586C" w:rsidRDefault="003764DB">
      <w:pPr>
        <w:tabs>
          <w:tab w:val="left" w:pos="7938"/>
        </w:tabs>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14:paraId="613F0AC5"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A8D04ED"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14:paraId="1F02DE61" w14:textId="77777777" w:rsidR="003F586C" w:rsidRDefault="003764DB">
      <w:pPr>
        <w:tabs>
          <w:tab w:val="left" w:pos="7938"/>
        </w:tabs>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14:paraId="4C19E064"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xml:space="preserve">, la ley determinará los </w:t>
      </w:r>
      <w:r>
        <w:rPr>
          <w:rFonts w:ascii="Palatino Linotype" w:eastAsia="Palatino Linotype" w:hAnsi="Palatino Linotype" w:cs="Palatino Linotype"/>
          <w:i/>
          <w:iCs/>
        </w:rPr>
        <w:lastRenderedPageBreak/>
        <w:t>supuestos específicos bajo los cuales procederá la declaración de inexistencia de la información.”</w:t>
      </w:r>
    </w:p>
    <w:p w14:paraId="17C23C2A" w14:textId="77777777" w:rsidR="003F586C" w:rsidRDefault="003F586C">
      <w:pPr>
        <w:tabs>
          <w:tab w:val="left" w:pos="567"/>
          <w:tab w:val="left" w:pos="7938"/>
        </w:tabs>
        <w:spacing w:before="240"/>
        <w:ind w:left="1134" w:right="-787"/>
        <w:jc w:val="both"/>
        <w:rPr>
          <w:rFonts w:ascii="Palatino Linotype" w:eastAsia="Palatino Linotype" w:hAnsi="Palatino Linotype" w:cs="Palatino Linotype"/>
          <w:b/>
          <w:bCs/>
          <w:i/>
          <w:iCs/>
        </w:rPr>
      </w:pPr>
    </w:p>
    <w:p w14:paraId="118AD6F3" w14:textId="77777777" w:rsidR="003F586C" w:rsidRDefault="003764DB">
      <w:pPr>
        <w:tabs>
          <w:tab w:val="left" w:pos="7938"/>
        </w:tabs>
        <w:spacing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14:paraId="1664EAE4"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14:paraId="3893F2A9"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1ED12253"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14:paraId="581E9754"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8A04ECE"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14:paraId="28FBEDC8" w14:textId="77777777" w:rsidR="003F586C" w:rsidRDefault="003764DB">
      <w:pPr>
        <w:tabs>
          <w:tab w:val="left" w:pos="7938"/>
        </w:tabs>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14:paraId="63DDED4B"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 xml:space="preserve">por los </w:t>
      </w:r>
      <w:r>
        <w:rPr>
          <w:rFonts w:ascii="Palatino Linotype" w:eastAsia="Palatino Linotype" w:hAnsi="Palatino Linotype" w:cs="Palatino Linotype"/>
          <w:i/>
          <w:iCs/>
        </w:rPr>
        <w:lastRenderedPageBreak/>
        <w:t>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14:paraId="53E535B4" w14:textId="77777777" w:rsidR="003F586C" w:rsidRDefault="003F586C">
      <w:pPr>
        <w:spacing w:line="360" w:lineRule="auto"/>
        <w:ind w:right="-787"/>
        <w:jc w:val="both"/>
        <w:rPr>
          <w:rFonts w:ascii="Palatino Linotype" w:eastAsia="Palatino Linotype" w:hAnsi="Palatino Linotype" w:cs="Palatino Linotype"/>
        </w:rPr>
      </w:pPr>
    </w:p>
    <w:p w14:paraId="1B4A23F8"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14:paraId="065291F3" w14:textId="77777777" w:rsidR="003F586C" w:rsidRDefault="003F586C">
      <w:pPr>
        <w:spacing w:line="360" w:lineRule="auto"/>
        <w:ind w:right="-787"/>
        <w:jc w:val="both"/>
        <w:rPr>
          <w:rFonts w:ascii="Palatino Linotype" w:eastAsia="Palatino Linotype" w:hAnsi="Palatino Linotype" w:cs="Palatino Linotype"/>
        </w:rPr>
      </w:pPr>
    </w:p>
    <w:p w14:paraId="28B5DB3D"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4d34og8" w:colFirst="0" w:colLast="0"/>
      <w:bookmarkEnd w:id="5"/>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63A88355" w14:textId="77777777" w:rsidR="003F586C" w:rsidRDefault="003F586C">
      <w:pPr>
        <w:spacing w:line="360" w:lineRule="auto"/>
        <w:ind w:right="-787"/>
        <w:jc w:val="both"/>
        <w:rPr>
          <w:rFonts w:ascii="Palatino Linotype" w:eastAsia="Palatino Linotype" w:hAnsi="Palatino Linotype" w:cs="Palatino Linotype"/>
        </w:rPr>
      </w:pPr>
    </w:p>
    <w:p w14:paraId="52C33B5B" w14:textId="77777777" w:rsidR="003F586C" w:rsidRDefault="003764DB">
      <w:pPr>
        <w:keepNext/>
        <w:keepLines/>
        <w:spacing w:after="240" w:line="360" w:lineRule="auto"/>
        <w:ind w:right="-787"/>
        <w:rPr>
          <w:rFonts w:ascii="Palatino Linotype" w:eastAsia="Palatino Linotype" w:hAnsi="Palatino Linotype" w:cs="Palatino Linotype"/>
          <w:b/>
          <w:bCs/>
        </w:rPr>
      </w:pPr>
      <w:bookmarkStart w:id="6" w:name="_heading=h.2s8eyo1" w:colFirst="0" w:colLast="0"/>
      <w:bookmarkEnd w:id="6"/>
      <w:r>
        <w:rPr>
          <w:rFonts w:ascii="Palatino Linotype" w:eastAsia="Palatino Linotype" w:hAnsi="Palatino Linotype" w:cs="Palatino Linotype"/>
          <w:b/>
          <w:bCs/>
        </w:rPr>
        <w:t>II. De la información solicitada y la respuesta del SUJETO OBLIGADO</w:t>
      </w:r>
    </w:p>
    <w:p w14:paraId="26C8E5FB"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Ahora bien, es necesario recordar que la información que fue solicitada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consistió en obtener lo siguiente</w:t>
      </w:r>
      <w:r>
        <w:rPr>
          <w:rFonts w:ascii="Palatino Linotype" w:eastAsia="Palatino Linotype" w:hAnsi="Palatino Linotype" w:cs="Palatino Linotype"/>
          <w:b/>
          <w:bCs/>
          <w:i/>
          <w:iCs/>
          <w:color w:val="000000"/>
        </w:rPr>
        <w:t xml:space="preserve">. </w:t>
      </w:r>
    </w:p>
    <w:p w14:paraId="169DE51A" w14:textId="77777777" w:rsidR="003F586C" w:rsidRDefault="003F586C">
      <w:pPr>
        <w:pBdr>
          <w:top w:val="nil"/>
          <w:left w:val="nil"/>
          <w:bottom w:val="nil"/>
          <w:right w:val="nil"/>
          <w:between w:val="nil"/>
        </w:pBdr>
        <w:ind w:left="360" w:right="-787"/>
        <w:jc w:val="both"/>
        <w:rPr>
          <w:rFonts w:ascii="Palatino Linotype" w:eastAsia="Palatino Linotype" w:hAnsi="Palatino Linotype" w:cs="Palatino Linotype"/>
          <w:b/>
          <w:bCs/>
          <w:i/>
          <w:iCs/>
          <w:color w:val="000000"/>
        </w:rPr>
      </w:pPr>
    </w:p>
    <w:tbl>
      <w:tblPr>
        <w:tblStyle w:val="a"/>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2625"/>
        <w:gridCol w:w="2640"/>
        <w:gridCol w:w="1470"/>
      </w:tblGrid>
      <w:tr w:rsidR="003F586C" w14:paraId="2861245A" w14:textId="77777777">
        <w:tc>
          <w:tcPr>
            <w:tcW w:w="2895" w:type="dxa"/>
          </w:tcPr>
          <w:p w14:paraId="426AC713" w14:textId="77777777" w:rsidR="003F586C" w:rsidRDefault="003764DB">
            <w:pPr>
              <w:ind w:right="-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Información solicitada</w:t>
            </w:r>
          </w:p>
        </w:tc>
        <w:tc>
          <w:tcPr>
            <w:tcW w:w="2625" w:type="dxa"/>
          </w:tcPr>
          <w:p w14:paraId="1563F953" w14:textId="77777777" w:rsidR="003F586C" w:rsidRDefault="003764DB">
            <w:pPr>
              <w:ind w:right="-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Respuesta </w:t>
            </w:r>
          </w:p>
        </w:tc>
        <w:tc>
          <w:tcPr>
            <w:tcW w:w="2640" w:type="dxa"/>
          </w:tcPr>
          <w:p w14:paraId="37609B54" w14:textId="77777777" w:rsidR="003F586C" w:rsidRDefault="003764DB">
            <w:pPr>
              <w:ind w:right="-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Manifestaciones</w:t>
            </w:r>
          </w:p>
        </w:tc>
        <w:tc>
          <w:tcPr>
            <w:tcW w:w="1470" w:type="dxa"/>
          </w:tcPr>
          <w:p w14:paraId="1033A582" w14:textId="77777777" w:rsidR="003F586C" w:rsidRDefault="003764DB">
            <w:pPr>
              <w:ind w:right="-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w:t>
            </w:r>
          </w:p>
        </w:tc>
      </w:tr>
      <w:tr w:rsidR="003F586C" w14:paraId="7755351D" w14:textId="77777777">
        <w:tc>
          <w:tcPr>
            <w:tcW w:w="2895" w:type="dxa"/>
          </w:tcPr>
          <w:p w14:paraId="31BC460C" w14:textId="77777777" w:rsidR="003F586C" w:rsidRDefault="003764DB">
            <w:pPr>
              <w:ind w:right="-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Los oficios que se recibieron y lo que se emitieron en el mes de marzo 2025 en la quinta regiduría. </w:t>
            </w:r>
          </w:p>
          <w:p w14:paraId="1ED7FA6D" w14:textId="77777777" w:rsidR="003F586C" w:rsidRDefault="003F586C">
            <w:pPr>
              <w:ind w:right="-7"/>
              <w:jc w:val="both"/>
              <w:rPr>
                <w:rFonts w:ascii="Palatino Linotype" w:eastAsia="Palatino Linotype" w:hAnsi="Palatino Linotype" w:cs="Palatino Linotype"/>
                <w:b/>
                <w:bCs/>
                <w:i/>
                <w:iCs/>
              </w:rPr>
            </w:pPr>
          </w:p>
        </w:tc>
        <w:tc>
          <w:tcPr>
            <w:tcW w:w="2625" w:type="dxa"/>
          </w:tcPr>
          <w:p w14:paraId="5EAEE6B0" w14:textId="77777777" w:rsidR="003F586C" w:rsidRDefault="003764DB">
            <w:pPr>
              <w:ind w:right="-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se entrega respuesta </w:t>
            </w:r>
          </w:p>
        </w:tc>
        <w:tc>
          <w:tcPr>
            <w:tcW w:w="2640" w:type="dxa"/>
          </w:tcPr>
          <w:p w14:paraId="76D4C587" w14:textId="77777777" w:rsidR="003F586C" w:rsidRDefault="003764DB">
            <w:pPr>
              <w:ind w:right="-7"/>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 xml:space="preserve">1333-2026-5R.pdf: </w:t>
            </w:r>
            <w:r>
              <w:rPr>
                <w:rFonts w:ascii="Palatino Linotype" w:eastAsia="Palatino Linotype" w:hAnsi="Palatino Linotype" w:cs="Palatino Linotype"/>
                <w:i/>
                <w:iCs/>
                <w:color w:val="000000"/>
              </w:rPr>
              <w:t xml:space="preserve">oficio del Quinto Regidor, mediante el cual informa que entrega de forma digital la información solicitada. </w:t>
            </w:r>
          </w:p>
          <w:p w14:paraId="5BAAB2D8" w14:textId="77777777" w:rsidR="003F586C" w:rsidRDefault="003764DB">
            <w:pPr>
              <w:ind w:right="-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1333-ANEXOS-2026-5R.pdf: </w:t>
            </w:r>
            <w:r>
              <w:rPr>
                <w:rFonts w:ascii="Palatino Linotype" w:eastAsia="Palatino Linotype" w:hAnsi="Palatino Linotype" w:cs="Palatino Linotype"/>
                <w:i/>
                <w:iCs/>
                <w:color w:val="000000"/>
              </w:rPr>
              <w:t xml:space="preserve">oficio del Quinto Regidor, mediante el cual </w:t>
            </w:r>
            <w:r>
              <w:rPr>
                <w:rFonts w:ascii="Palatino Linotype" w:eastAsia="Palatino Linotype" w:hAnsi="Palatino Linotype" w:cs="Palatino Linotype"/>
                <w:i/>
                <w:iCs/>
                <w:color w:val="000000"/>
              </w:rPr>
              <w:lastRenderedPageBreak/>
              <w:t xml:space="preserve">informa que entrega de forma digital la información solicitada. </w:t>
            </w:r>
          </w:p>
          <w:p w14:paraId="3E9BEA67" w14:textId="77777777" w:rsidR="003F586C" w:rsidRDefault="003764DB">
            <w:pPr>
              <w:ind w:right="-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Ratificación1333.pdf: </w:t>
            </w:r>
            <w:r>
              <w:rPr>
                <w:rFonts w:ascii="Palatino Linotype" w:eastAsia="Palatino Linotype" w:hAnsi="Palatino Linotype" w:cs="Palatino Linotype"/>
                <w:i/>
                <w:iCs/>
                <w:color w:val="000000"/>
              </w:rPr>
              <w:t xml:space="preserve">oficio del Titular de la Unidad de Transparencia, mediante el cual informa que ratifica la respuesta, </w:t>
            </w:r>
            <w:r>
              <w:rPr>
                <w:rFonts w:ascii="Palatino Linotype" w:eastAsia="Palatino Linotype" w:hAnsi="Palatino Linotype" w:cs="Palatino Linotype"/>
                <w:b/>
                <w:bCs/>
                <w:i/>
                <w:iCs/>
                <w:color w:val="000000"/>
              </w:rPr>
              <w:t xml:space="preserve">sin embargo no hubo respuesta inicial. </w:t>
            </w:r>
          </w:p>
          <w:p w14:paraId="7E7C3466" w14:textId="77777777" w:rsidR="003F586C" w:rsidRDefault="003F586C">
            <w:pPr>
              <w:ind w:right="-7"/>
              <w:jc w:val="both"/>
              <w:rPr>
                <w:rFonts w:ascii="Palatino Linotype" w:eastAsia="Palatino Linotype" w:hAnsi="Palatino Linotype" w:cs="Palatino Linotype"/>
                <w:i/>
                <w:iCs/>
                <w:color w:val="000000"/>
              </w:rPr>
            </w:pPr>
          </w:p>
        </w:tc>
        <w:tc>
          <w:tcPr>
            <w:tcW w:w="1470" w:type="dxa"/>
          </w:tcPr>
          <w:p w14:paraId="7DF33C17" w14:textId="77777777" w:rsidR="003F586C" w:rsidRDefault="003764DB">
            <w:pPr>
              <w:ind w:right="-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No colma, toda vez que los oficios no fueron entregados. </w:t>
            </w:r>
          </w:p>
        </w:tc>
      </w:tr>
    </w:tbl>
    <w:p w14:paraId="1AE395FE" w14:textId="77777777" w:rsidR="003F586C" w:rsidRDefault="003F586C">
      <w:pPr>
        <w:pBdr>
          <w:top w:val="nil"/>
          <w:left w:val="nil"/>
          <w:bottom w:val="nil"/>
          <w:right w:val="nil"/>
          <w:between w:val="nil"/>
        </w:pBdr>
        <w:ind w:left="720" w:right="-787"/>
        <w:jc w:val="both"/>
        <w:rPr>
          <w:rFonts w:ascii="Palatino Linotype" w:eastAsia="Palatino Linotype" w:hAnsi="Palatino Linotype" w:cs="Palatino Linotype"/>
          <w:b/>
          <w:bCs/>
          <w:i/>
          <w:iCs/>
          <w:color w:val="000000"/>
        </w:rPr>
      </w:pPr>
    </w:p>
    <w:p w14:paraId="27FDFFE0" w14:textId="77777777" w:rsidR="003F586C" w:rsidRDefault="003764D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la tabla anterior se tiene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colmó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toda vez que los oficios solicitados no fueron entregados, situación por la cual se hace el siguiente análisis.  </w:t>
      </w:r>
    </w:p>
    <w:p w14:paraId="564DFC9B"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08E0A40C"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se debe de precisar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mediante la etapa de manifestaciones acepta contar con la información solicitada, toda vez que informa que remite la información en medio digital, situación por la cual para colmar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se deberán de entregar los oficios solicitados.</w:t>
      </w:r>
    </w:p>
    <w:p w14:paraId="2D021CC1"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4515DB06"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Sirve de reforzamiento a lo anterior, lo regulado en el artículo 55 de la Ley Orgánica Municipal del Estado de México. </w:t>
      </w:r>
    </w:p>
    <w:p w14:paraId="728056E2"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Artículo 55.- Son atribuciones de los regidores, las siguientes: </w:t>
      </w:r>
    </w:p>
    <w:p w14:paraId="409216E9" w14:textId="77777777" w:rsidR="003F586C" w:rsidRDefault="003764DB">
      <w:pPr>
        <w:numPr>
          <w:ilvl w:val="0"/>
          <w:numId w:val="7"/>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Asistir puntualmente a las sesiones que celebre el ayuntamiento; </w:t>
      </w:r>
    </w:p>
    <w:p w14:paraId="3F85B765"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Suplir al presidente municipal en sus faltas temporales, en los términos establecidos por este ordenamiento; </w:t>
      </w:r>
    </w:p>
    <w:p w14:paraId="07D973DD"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Vigilar y atender el sector de la administración municipal que les sea encomendado por el ayuntamiento; </w:t>
      </w:r>
    </w:p>
    <w:p w14:paraId="3C3E946A"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Participar responsablemente en las comisiones conferidas por el ayuntamiento y aquéllas que le designe en forma concreta el presidente municipal; </w:t>
      </w:r>
    </w:p>
    <w:p w14:paraId="47D08A03"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V. Proponer al ayuntamiento, alternativas de solución para la debida atención de los diferentes sectores de la administración municipal; </w:t>
      </w:r>
    </w:p>
    <w:p w14:paraId="264B7753"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Promover la participación ciudadana en apoyo a los programas que formule y apruebe el ayuntamiento; </w:t>
      </w:r>
    </w:p>
    <w:p w14:paraId="382D63A6"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Firmar las Actas de Cabildo, y </w:t>
      </w:r>
    </w:p>
    <w:p w14:paraId="4054AF7F" w14:textId="77777777" w:rsidR="003F586C" w:rsidRDefault="003764DB">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Las demás que les otorgue esta Ley y otras disposiciones aplicables.</w:t>
      </w:r>
    </w:p>
    <w:p w14:paraId="0BDD6CF6" w14:textId="77777777" w:rsidR="003F586C" w:rsidRDefault="003F586C">
      <w:pPr>
        <w:pBdr>
          <w:top w:val="nil"/>
          <w:left w:val="nil"/>
          <w:bottom w:val="nil"/>
          <w:right w:val="nil"/>
          <w:between w:val="nil"/>
        </w:pBdr>
        <w:ind w:left="1134" w:right="-787"/>
        <w:jc w:val="both"/>
        <w:rPr>
          <w:rFonts w:ascii="Palatino Linotype" w:eastAsia="Palatino Linotype" w:hAnsi="Palatino Linotype" w:cs="Palatino Linotype"/>
          <w:i/>
          <w:iCs/>
          <w:color w:val="000000"/>
        </w:rPr>
      </w:pPr>
    </w:p>
    <w:p w14:paraId="48A9DA54"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Del artículo referido, se colige que el Quinto Regidor por sus funciones debe de mantener comunicación con las diversas áreas que integran al Ayuntamiento de Toluca, situación que se da por medio de los oficios. </w:t>
      </w:r>
    </w:p>
    <w:p w14:paraId="3729B4DD" w14:textId="77777777" w:rsidR="003F586C" w:rsidRDefault="003F586C">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p>
    <w:p w14:paraId="560C4EC9"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Finalmente se tiene que de la información que puedan contener los oficios pueden integrarse por información que deba de ser clasificada como confidencial, la cual de manera enunciativa más no limitativa puede ser la siguiente.</w:t>
      </w:r>
    </w:p>
    <w:p w14:paraId="31376051"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3476E176" w14:textId="77777777" w:rsidR="003F586C" w:rsidRDefault="003764DB">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Registro Federal de Contribuyentes</w:t>
      </w:r>
      <w:r>
        <w:rPr>
          <w:rFonts w:ascii="Palatino Linotype" w:eastAsia="Palatino Linotype" w:hAnsi="Palatino Linotype" w:cs="Palatino Linotype"/>
          <w:color w:val="000000"/>
        </w:rPr>
        <w:t xml:space="preserve"> (RFC)</w:t>
      </w:r>
    </w:p>
    <w:p w14:paraId="4FB44422"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Las personas físicas que deban presentar declaraciones periódicas o que están obligadas a expedir comprobantes fiscales, tienen que solicitar su inscripción en el Registro Federal de </w:t>
      </w:r>
      <w:r>
        <w:rPr>
          <w:rFonts w:ascii="Palatino Linotype" w:eastAsia="Palatino Linotype" w:hAnsi="Palatino Linotype" w:cs="Palatino Linotype"/>
        </w:rPr>
        <w:t>Contribuyentes</w:t>
      </w:r>
      <w:r>
        <w:rPr>
          <w:rFonts w:ascii="Palatino Linotype" w:eastAsia="Palatino Linotype" w:hAnsi="Palatino Linotype" w:cs="Palatino Linotype"/>
          <w:color w:val="000000"/>
        </w:rPr>
        <w:t xml:space="preserve">, esta inscripción es realizada por el Servicio de Administración Tributaria, </w:t>
      </w:r>
      <w:r>
        <w:rPr>
          <w:rFonts w:ascii="Palatino Linotype" w:eastAsia="Palatino Linotype" w:hAnsi="Palatino Linotype" w:cs="Palatino Linotype"/>
        </w:rPr>
        <w:t>quien</w:t>
      </w:r>
      <w:r>
        <w:rPr>
          <w:rFonts w:ascii="Palatino Linotype" w:eastAsia="Palatino Linotype" w:hAnsi="Palatino Linotype" w:cs="Palatino Linotype"/>
          <w:color w:val="000000"/>
        </w:rPr>
        <w:t xml:space="preserve"> entrega una cédula de identificación fiscal en </w:t>
      </w:r>
      <w:r>
        <w:rPr>
          <w:rFonts w:ascii="Palatino Linotype" w:eastAsia="Palatino Linotype" w:hAnsi="Palatino Linotype" w:cs="Palatino Linotype"/>
        </w:rPr>
        <w:t>donde</w:t>
      </w:r>
      <w:r>
        <w:rPr>
          <w:rFonts w:ascii="Palatino Linotype" w:eastAsia="Palatino Linotype" w:hAnsi="Palatino Linotype" w:cs="Palatino Linotype"/>
          <w:color w:val="000000"/>
        </w:rPr>
        <w:t xml:space="preserve"> consta la clave que asigna este órgano desconcentrado de la Secretaría de Hacienda y Crédito Público, de acuerdo con el artículo 27 del Código Fiscal de la Federación.</w:t>
      </w:r>
    </w:p>
    <w:p w14:paraId="51A6A524" w14:textId="77777777" w:rsidR="003F586C" w:rsidRDefault="003F586C">
      <w:pPr>
        <w:spacing w:line="360" w:lineRule="auto"/>
        <w:ind w:right="-787"/>
        <w:jc w:val="both"/>
        <w:rPr>
          <w:rFonts w:ascii="Palatino Linotype" w:eastAsia="Palatino Linotype" w:hAnsi="Palatino Linotype" w:cs="Palatino Linotype"/>
          <w:color w:val="000000"/>
        </w:rPr>
      </w:pPr>
    </w:p>
    <w:p w14:paraId="011A394A"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con lo establecido en el artículo en comento, esta clave se compone de trece </w:t>
      </w:r>
      <w:r>
        <w:rPr>
          <w:rFonts w:ascii="Palatino Linotype" w:eastAsia="Palatino Linotype" w:hAnsi="Palatino Linotype" w:cs="Palatino Linotype"/>
        </w:rPr>
        <w:t>caracteres</w:t>
      </w:r>
      <w:r>
        <w:rPr>
          <w:rFonts w:ascii="Palatino Linotype" w:eastAsia="Palatino Linotype" w:hAnsi="Palatino Linotype" w:cs="Palatino Linotype"/>
          <w:color w:val="000000"/>
        </w:rPr>
        <w:t xml:space="preserve"> alfanuméricos, con datos obtenidos de los apellidos, nombre (s), fecha de nacimiento del </w:t>
      </w:r>
      <w:r>
        <w:rPr>
          <w:rFonts w:ascii="Palatino Linotype" w:eastAsia="Palatino Linotype" w:hAnsi="Palatino Linotype" w:cs="Palatino Linotype"/>
        </w:rPr>
        <w:t>titular</w:t>
      </w:r>
      <w:r>
        <w:rPr>
          <w:rFonts w:ascii="Palatino Linotype" w:eastAsia="Palatino Linotype" w:hAnsi="Palatino Linotype" w:cs="Palatino Linotype"/>
          <w:color w:val="000000"/>
        </w:rPr>
        <w:t xml:space="preserve">, más una </w:t>
      </w:r>
      <w:proofErr w:type="spellStart"/>
      <w:r>
        <w:rPr>
          <w:rFonts w:ascii="Palatino Linotype" w:eastAsia="Palatino Linotype" w:hAnsi="Palatino Linotype" w:cs="Palatino Linotype"/>
          <w:color w:val="000000"/>
        </w:rPr>
        <w:t>homoclave</w:t>
      </w:r>
      <w:proofErr w:type="spellEnd"/>
      <w:r>
        <w:rPr>
          <w:rFonts w:ascii="Palatino Linotype" w:eastAsia="Palatino Linotype" w:hAnsi="Palatino Linotype" w:cs="Palatino Linotype"/>
          <w:color w:val="000000"/>
        </w:rPr>
        <w:t xml:space="preserve"> que establece el sistema automático del Servicio de Administración Tributaria.</w:t>
      </w:r>
    </w:p>
    <w:p w14:paraId="387B5FB8"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la clave del Registro Federal de Contribuyentes es el medio de control que tiene la Secretaría de Hacienda y Crédito Público, a través del Servicio de </w:t>
      </w:r>
      <w:r>
        <w:rPr>
          <w:rFonts w:ascii="Palatino Linotype" w:eastAsia="Palatino Linotype" w:hAnsi="Palatino Linotype" w:cs="Palatino Linotype"/>
        </w:rPr>
        <w:t>Administración</w:t>
      </w:r>
      <w:r>
        <w:rPr>
          <w:rFonts w:ascii="Palatino Linotype" w:eastAsia="Palatino Linotype" w:hAnsi="Palatino Linotype" w:cs="Palatino Linotype"/>
          <w:color w:val="000000"/>
        </w:rPr>
        <w:t xml:space="preserve">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013F7FF" w14:textId="77777777" w:rsidR="003F586C" w:rsidRDefault="003F586C">
      <w:pPr>
        <w:spacing w:line="360" w:lineRule="auto"/>
        <w:ind w:right="-787"/>
        <w:jc w:val="both"/>
        <w:rPr>
          <w:rFonts w:ascii="Palatino Linotype" w:eastAsia="Palatino Linotype" w:hAnsi="Palatino Linotype" w:cs="Palatino Linotype"/>
          <w:color w:val="000000"/>
        </w:rPr>
      </w:pPr>
    </w:p>
    <w:p w14:paraId="491DEFE4"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Conforme</w:t>
      </w:r>
      <w:r>
        <w:rPr>
          <w:rFonts w:ascii="Palatino Linotype" w:eastAsia="Palatino Linotype" w:hAnsi="Palatino Linotype" w:cs="Palatino Linotype"/>
          <w:color w:val="000000"/>
        </w:rPr>
        <w:t xml:space="preserv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1C88DA38" w14:textId="77777777" w:rsidR="003F586C" w:rsidRDefault="003F586C">
      <w:pPr>
        <w:spacing w:line="360" w:lineRule="auto"/>
        <w:ind w:right="-787"/>
        <w:jc w:val="both"/>
        <w:rPr>
          <w:rFonts w:ascii="Palatino Linotype" w:eastAsia="Palatino Linotype" w:hAnsi="Palatino Linotype" w:cs="Palatino Linotype"/>
          <w:color w:val="000000"/>
        </w:rPr>
      </w:pPr>
    </w:p>
    <w:p w14:paraId="49284865"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w:t>
      </w:r>
      <w:r>
        <w:rPr>
          <w:rFonts w:ascii="Palatino Linotype" w:eastAsia="Palatino Linotype" w:hAnsi="Palatino Linotype" w:cs="Palatino Linotype"/>
        </w:rPr>
        <w:t>anterior</w:t>
      </w:r>
      <w:r>
        <w:rPr>
          <w:rFonts w:ascii="Palatino Linotype" w:eastAsia="Palatino Linotype" w:hAnsi="Palatino Linotype" w:cs="Palatino Linotype"/>
          <w:color w:val="000000"/>
        </w:rPr>
        <w:t xml:space="preserve">, resulta congruente con el Criterio 19/17 emitido por el Instituto </w:t>
      </w:r>
      <w:r>
        <w:rPr>
          <w:rFonts w:ascii="Palatino Linotype" w:eastAsia="Palatino Linotype" w:hAnsi="Palatino Linotype" w:cs="Palatino Linotype"/>
        </w:rPr>
        <w:t>Nacional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y Protección de Datos Personales, en el cual se señala lo siguiente:</w:t>
      </w:r>
    </w:p>
    <w:p w14:paraId="036AB0D7" w14:textId="77777777" w:rsidR="003F586C" w:rsidRDefault="003764DB">
      <w:pP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Registro Federal de Contribuyentes (RFC) de personas físicas</w:t>
      </w:r>
      <w:r>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14:paraId="2F0EC8DA" w14:textId="77777777" w:rsidR="003F586C" w:rsidRDefault="003F586C">
      <w:pPr>
        <w:ind w:left="1134" w:right="-787"/>
        <w:jc w:val="both"/>
        <w:rPr>
          <w:rFonts w:ascii="Palatino Linotype" w:eastAsia="Palatino Linotype" w:hAnsi="Palatino Linotype" w:cs="Palatino Linotype"/>
          <w:color w:val="000000"/>
        </w:rPr>
      </w:pPr>
    </w:p>
    <w:p w14:paraId="66D846B3" w14:textId="77777777" w:rsidR="00CE6C54" w:rsidRDefault="00CE6C54">
      <w:pPr>
        <w:ind w:left="1134" w:right="-787"/>
        <w:jc w:val="both"/>
        <w:rPr>
          <w:rFonts w:ascii="Palatino Linotype" w:eastAsia="Palatino Linotype" w:hAnsi="Palatino Linotype" w:cs="Palatino Linotype"/>
          <w:color w:val="000000"/>
        </w:rPr>
      </w:pPr>
    </w:p>
    <w:p w14:paraId="653C1521"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tal suerte, el Registro Federal de Contribuyentes de los servidores públicos no guarda relación con la transparencia de los recursos públicos, así como tampoco con el </w:t>
      </w:r>
      <w:r>
        <w:rPr>
          <w:rFonts w:ascii="Palatino Linotype" w:eastAsia="Palatino Linotype" w:hAnsi="Palatino Linotype" w:cs="Palatino Linotype"/>
        </w:rPr>
        <w:t>desempeño</w:t>
      </w:r>
      <w:r>
        <w:rPr>
          <w:rFonts w:ascii="Palatino Linotype" w:eastAsia="Palatino Linotype" w:hAnsi="Palatino Linotype" w:cs="Palatino Linotype"/>
          <w:color w:val="000000"/>
        </w:rPr>
        <w:t xml:space="preserve"> laboral que pueda tener una persona, por lo que constituye un dato personal </w:t>
      </w:r>
      <w:r>
        <w:rPr>
          <w:rFonts w:ascii="Palatino Linotype" w:eastAsia="Palatino Linotype" w:hAnsi="Palatino Linotype" w:cs="Palatino Linotype"/>
          <w:color w:val="000000"/>
        </w:rPr>
        <w:lastRenderedPageBreak/>
        <w:t>confidencial al actualizar el supuesto normativo del artículo 143, fracción I de la Ley de Transparencia y Acceso a la Información Pública del Estado de México y Municipios.</w:t>
      </w:r>
    </w:p>
    <w:p w14:paraId="4D038D32" w14:textId="77777777" w:rsidR="003F586C" w:rsidRDefault="003F586C">
      <w:pPr>
        <w:spacing w:line="360" w:lineRule="auto"/>
        <w:ind w:right="-787"/>
        <w:jc w:val="both"/>
        <w:rPr>
          <w:rFonts w:ascii="Palatino Linotype" w:eastAsia="Palatino Linotype" w:hAnsi="Palatino Linotype" w:cs="Palatino Linotype"/>
          <w:color w:val="000000"/>
        </w:rPr>
      </w:pPr>
    </w:p>
    <w:p w14:paraId="1C4C9AD2" w14:textId="77777777" w:rsidR="003F586C" w:rsidRDefault="003764DB">
      <w:pP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única de Registro de Población –CURP-.</w:t>
      </w:r>
    </w:p>
    <w:p w14:paraId="41DC3418"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36 de la Constitución Política de los Estados Unidos Mexicanos, dispone la </w:t>
      </w:r>
      <w:r>
        <w:rPr>
          <w:rFonts w:ascii="Palatino Linotype" w:eastAsia="Palatino Linotype" w:hAnsi="Palatino Linotype" w:cs="Palatino Linotype"/>
        </w:rPr>
        <w:t>obligación</w:t>
      </w:r>
      <w:r>
        <w:rPr>
          <w:rFonts w:ascii="Palatino Linotype" w:eastAsia="Palatino Linotype" w:hAnsi="Palatino Linotype" w:cs="Palatino Linotype"/>
          <w:color w:val="000000"/>
        </w:rPr>
        <w:t xml:space="preserve"> de los ciudadanos de inscribirse en el Registro Nacional de Ciudadanos. </w:t>
      </w:r>
    </w:p>
    <w:p w14:paraId="37C75356" w14:textId="77777777" w:rsidR="003F586C" w:rsidRDefault="003F586C">
      <w:pPr>
        <w:spacing w:line="360" w:lineRule="auto"/>
        <w:ind w:right="-787"/>
        <w:jc w:val="both"/>
        <w:rPr>
          <w:rFonts w:ascii="Palatino Linotype" w:eastAsia="Palatino Linotype" w:hAnsi="Palatino Linotype" w:cs="Palatino Linotype"/>
          <w:color w:val="000000"/>
        </w:rPr>
      </w:pPr>
    </w:p>
    <w:p w14:paraId="74D4E32E"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85 de la Ley General de Población, prevé que corresponde a la Secretaría de </w:t>
      </w:r>
      <w:r>
        <w:rPr>
          <w:rFonts w:ascii="Palatino Linotype" w:eastAsia="Palatino Linotype" w:hAnsi="Palatino Linotype" w:cs="Palatino Linotype"/>
        </w:rPr>
        <w:t>Gobernación</w:t>
      </w:r>
      <w:r>
        <w:rPr>
          <w:rFonts w:ascii="Palatino Linotype" w:eastAsia="Palatino Linotype" w:hAnsi="Palatino Linotype" w:cs="Palatino Linotype"/>
          <w:color w:val="000000"/>
        </w:rPr>
        <w:t xml:space="preserve"> el registro y acreditación de la identidad de todas las personas residentes en el país y de los nacionales que residan en el extranjero.</w:t>
      </w:r>
    </w:p>
    <w:p w14:paraId="261C4CDB" w14:textId="77777777" w:rsidR="003F586C" w:rsidRDefault="003F586C">
      <w:pPr>
        <w:spacing w:line="360" w:lineRule="auto"/>
        <w:ind w:right="-787"/>
        <w:jc w:val="both"/>
        <w:rPr>
          <w:rFonts w:ascii="Palatino Linotype" w:eastAsia="Palatino Linotype" w:hAnsi="Palatino Linotype" w:cs="Palatino Linotype"/>
          <w:color w:val="000000"/>
        </w:rPr>
      </w:pPr>
    </w:p>
    <w:p w14:paraId="26BD2BD3"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Acorde</w:t>
      </w:r>
      <w:r>
        <w:rPr>
          <w:rFonts w:ascii="Palatino Linotype" w:eastAsia="Palatino Linotype" w:hAnsi="Palatino Linotype" w:cs="Palatino Linotype"/>
          <w:color w:val="000000"/>
        </w:rPr>
        <w:t xml:space="preserv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42471552" w14:textId="77777777" w:rsidR="003F586C" w:rsidRDefault="003F586C">
      <w:pPr>
        <w:spacing w:line="360" w:lineRule="auto"/>
        <w:ind w:right="-787"/>
        <w:jc w:val="both"/>
        <w:rPr>
          <w:rFonts w:ascii="Palatino Linotype" w:eastAsia="Palatino Linotype" w:hAnsi="Palatino Linotype" w:cs="Palatino Linotype"/>
          <w:b/>
          <w:bCs/>
          <w:color w:val="000000"/>
        </w:rPr>
      </w:pPr>
    </w:p>
    <w:p w14:paraId="3C09B232"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conformidad con lo precisado por la propia Secretaría de Gobernación en la dirección </w:t>
      </w:r>
      <w:hyperlink r:id="rId8">
        <w:r>
          <w:rPr>
            <w:rFonts w:ascii="Palatino Linotype" w:eastAsia="Palatino Linotype" w:hAnsi="Palatino Linotype" w:cs="Palatino Linotype"/>
            <w:color w:val="0563C1"/>
            <w:u w:val="single"/>
          </w:rPr>
          <w:t>https://consultas.curp.gob.mx/CurpSP/html/informacionecurpPS.html</w:t>
        </w:r>
      </w:hyperlink>
      <w:r>
        <w:rPr>
          <w:rFonts w:ascii="Palatino Linotype" w:eastAsia="Palatino Linotype" w:hAnsi="Palatino Linotype" w:cs="Palatino Linotype"/>
          <w:color w:val="000000"/>
        </w:rPr>
        <w:t xml:space="preserve">, la Clave Única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Registro</w:t>
      </w:r>
      <w:r>
        <w:rPr>
          <w:rFonts w:ascii="Palatino Linotype" w:eastAsia="Palatino Linotype" w:hAnsi="Palatino Linotype" w:cs="Palatino Linotype"/>
          <w:color w:val="000000"/>
        </w:rPr>
        <w:t xml:space="preserve"> de Población  CURP-, es un instrumento de registro que se asigna a todas las personas que viven en el territorio nacional, así como a los mexicanos que residen en el extranjero y se compone de dieciocho elementos, representados por letras y números, que </w:t>
      </w:r>
      <w:r>
        <w:rPr>
          <w:rFonts w:ascii="Palatino Linotype" w:eastAsia="Palatino Linotype" w:hAnsi="Palatino Linotype" w:cs="Palatino Linotype"/>
          <w:b/>
          <w:bCs/>
          <w:color w:val="000000"/>
        </w:rPr>
        <w:t xml:space="preserve">se generan a partir de los datos contenidos en el documento probatorio de la identidad </w:t>
      </w:r>
      <w:r>
        <w:rPr>
          <w:rFonts w:ascii="Palatino Linotype" w:eastAsia="Palatino Linotype" w:hAnsi="Palatino Linotype" w:cs="Palatino Linotype"/>
          <w:b/>
          <w:bCs/>
          <w:color w:val="000000"/>
        </w:rPr>
        <w:lastRenderedPageBreak/>
        <w:t xml:space="preserve">del interesado </w:t>
      </w:r>
      <w:r>
        <w:rPr>
          <w:rFonts w:ascii="Palatino Linotype" w:eastAsia="Palatino Linotype" w:hAnsi="Palatino Linotype" w:cs="Palatino Linotype"/>
          <w:color w:val="000000"/>
        </w:rPr>
        <w:t>(acta de nacimiento, carta de naturalización o documento migratorio) de la siguiente forma:</w:t>
      </w:r>
    </w:p>
    <w:p w14:paraId="5B0605F9" w14:textId="77777777" w:rsidR="003F586C" w:rsidRDefault="003764DB">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primero y segundo apellidos, así como al nombre de pila.</w:t>
      </w:r>
    </w:p>
    <w:p w14:paraId="11200B2F" w14:textId="77777777" w:rsidR="003F586C" w:rsidRDefault="003764DB">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fecha de nacimiento.</w:t>
      </w:r>
    </w:p>
    <w:p w14:paraId="1559C8DE" w14:textId="77777777" w:rsidR="003F586C" w:rsidRDefault="003764DB">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sexo.</w:t>
      </w:r>
    </w:p>
    <w:p w14:paraId="307BA85E" w14:textId="77777777" w:rsidR="003F586C" w:rsidRDefault="003764DB">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entidad federativa de nacimiento.</w:t>
      </w:r>
    </w:p>
    <w:p w14:paraId="12F6EF13" w14:textId="77777777" w:rsidR="003F586C" w:rsidRDefault="003764DB">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dos últimos elementos de la CURP evitan la duplicidad de la Clave y garantizan su correcta integración.</w:t>
      </w:r>
    </w:p>
    <w:p w14:paraId="263E65F9" w14:textId="77777777" w:rsidR="003F586C" w:rsidRDefault="003F586C">
      <w:pPr>
        <w:spacing w:line="360" w:lineRule="auto"/>
        <w:ind w:right="-787"/>
        <w:jc w:val="both"/>
        <w:rPr>
          <w:rFonts w:ascii="Palatino Linotype" w:eastAsia="Palatino Linotype" w:hAnsi="Palatino Linotype" w:cs="Palatino Linotype"/>
          <w:color w:val="000000"/>
        </w:rPr>
      </w:pPr>
    </w:p>
    <w:p w14:paraId="42DAD288"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desprende de lo anterior, la CURP es un dato personal confidencial, ya que por sí </w:t>
      </w:r>
      <w:r>
        <w:rPr>
          <w:rFonts w:ascii="Palatino Linotype" w:eastAsia="Palatino Linotype" w:hAnsi="Palatino Linotype" w:cs="Palatino Linotype"/>
        </w:rPr>
        <w:t>sola</w:t>
      </w:r>
      <w:r>
        <w:rPr>
          <w:rFonts w:ascii="Palatino Linotype" w:eastAsia="Palatino Linotype" w:hAnsi="Palatino Linotype" w:cs="Palatino Linotype"/>
          <w:color w:val="000000"/>
        </w:rPr>
        <w:t xml:space="preserve">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14:paraId="5FCB7369" w14:textId="77777777" w:rsidR="003F586C" w:rsidRDefault="003F586C">
      <w:pPr>
        <w:spacing w:line="360" w:lineRule="auto"/>
        <w:ind w:right="-787"/>
        <w:jc w:val="both"/>
        <w:rPr>
          <w:rFonts w:ascii="Palatino Linotype" w:eastAsia="Palatino Linotype" w:hAnsi="Palatino Linotype" w:cs="Palatino Linotype"/>
          <w:color w:val="000000"/>
        </w:rPr>
      </w:pPr>
    </w:p>
    <w:p w14:paraId="1B177257"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Resulta</w:t>
      </w:r>
      <w:r>
        <w:rPr>
          <w:rFonts w:ascii="Palatino Linotype" w:eastAsia="Palatino Linotype" w:hAnsi="Palatino Linotype" w:cs="Palatino Linotype"/>
          <w:color w:val="000000"/>
        </w:rPr>
        <w:t xml:space="preserve"> aplicable en la especie, como argumento orientador, el Criterio 3/10, emitido por el </w:t>
      </w:r>
      <w:r>
        <w:rPr>
          <w:rFonts w:ascii="Palatino Linotype" w:eastAsia="Palatino Linotype" w:hAnsi="Palatino Linotype" w:cs="Palatino Linotype"/>
        </w:rPr>
        <w:t>INAI</w:t>
      </w:r>
      <w:r>
        <w:rPr>
          <w:rFonts w:ascii="Palatino Linotype" w:eastAsia="Palatino Linotype" w:hAnsi="Palatino Linotype" w:cs="Palatino Linotype"/>
          <w:color w:val="000000"/>
        </w:rPr>
        <w:t>.</w:t>
      </w:r>
    </w:p>
    <w:p w14:paraId="6D8A3C5C" w14:textId="77777777" w:rsidR="003F586C" w:rsidRDefault="003764DB">
      <w:pP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Clave Única de Registro de Población (CURP) es un dato personal confidencial. </w:t>
      </w:r>
      <w:r>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3DF03676"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w:t>
      </w:r>
      <w:r>
        <w:rPr>
          <w:rFonts w:ascii="Palatino Linotype" w:eastAsia="Palatino Linotype" w:hAnsi="Palatino Linotype" w:cs="Palatino Linotype"/>
        </w:rPr>
        <w:t>acuerdo</w:t>
      </w:r>
      <w:r>
        <w:rPr>
          <w:rFonts w:ascii="Palatino Linotype" w:eastAsia="Palatino Linotype" w:hAnsi="Palatino Linotype" w:cs="Palatino Linotype"/>
          <w:color w:val="000000"/>
        </w:rPr>
        <w:t xml:space="preserve"> con lo anterior,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clave CURP, es un dato personal confidencial, en términos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artículo 143, fracción I, de la Ley de Transparencia y Acceso a la Información Pública del Estado de México y Municipios.</w:t>
      </w:r>
    </w:p>
    <w:p w14:paraId="4366206A" w14:textId="77777777" w:rsidR="003F586C" w:rsidRDefault="003F586C">
      <w:pPr>
        <w:spacing w:line="360" w:lineRule="auto"/>
        <w:ind w:right="-787"/>
        <w:jc w:val="both"/>
        <w:rPr>
          <w:rFonts w:ascii="Palatino Linotype" w:eastAsia="Palatino Linotype" w:hAnsi="Palatino Linotype" w:cs="Palatino Linotype"/>
          <w:color w:val="000000"/>
        </w:rPr>
      </w:pPr>
    </w:p>
    <w:p w14:paraId="3FF64A4A" w14:textId="77777777" w:rsidR="003F586C" w:rsidRDefault="003764DB">
      <w:pP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Nombre de persona física, Domicilio</w:t>
      </w:r>
    </w:p>
    <w:p w14:paraId="668CD32B"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nombre</w:t>
      </w:r>
      <w:r>
        <w:rPr>
          <w:rFonts w:ascii="Palatino Linotype" w:eastAsia="Palatino Linotype" w:hAnsi="Palatino Linotype" w:cs="Palatino Linotype"/>
          <w:color w:val="000000"/>
        </w:rPr>
        <w:t xml:space="preserve"> se integra con el sustantivo propio y el primer apellido de los padres, en el </w:t>
      </w:r>
      <w:r>
        <w:rPr>
          <w:rFonts w:ascii="Palatino Linotype" w:eastAsia="Palatino Linotype" w:hAnsi="Palatino Linotype" w:cs="Palatino Linotype"/>
        </w:rPr>
        <w:t>orden</w:t>
      </w:r>
      <w:r>
        <w:rPr>
          <w:rFonts w:ascii="Palatino Linotype" w:eastAsia="Palatino Linotype" w:hAnsi="Palatino Linotype" w:cs="Palatino Linotype"/>
          <w:color w:val="000000"/>
        </w:rPr>
        <w:t xml:space="preserve"> que, de común acuerdo determinen; asimismo es la manifestación principal del derecho subjetivo a la personalidad y atributo de </w:t>
      </w:r>
      <w:r>
        <w:rPr>
          <w:rFonts w:ascii="Palatino Linotype" w:eastAsia="Palatino Linotype" w:hAnsi="Palatino Linotype" w:cs="Palatino Linotype"/>
        </w:rPr>
        <w:t>ésta</w:t>
      </w:r>
      <w:r>
        <w:rPr>
          <w:rFonts w:ascii="Palatino Linotype" w:eastAsia="Palatino Linotype" w:hAnsi="Palatino Linotype" w:cs="Palatino Linotype"/>
          <w:color w:val="000000"/>
        </w:rPr>
        <w:t xml:space="preserve"> en términos del artículo 2.3 del Código Civil del Estado de México, de tal suerte, el nombre </w:t>
      </w:r>
      <w:proofErr w:type="spellStart"/>
      <w:r>
        <w:rPr>
          <w:rFonts w:ascii="Palatino Linotype" w:eastAsia="Palatino Linotype" w:hAnsi="Palatino Linotype" w:cs="Palatino Linotype"/>
          <w:i/>
          <w:iCs/>
          <w:color w:val="000000"/>
        </w:rPr>
        <w:t>perse</w:t>
      </w:r>
      <w:proofErr w:type="spellEnd"/>
      <w:r>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14:paraId="438E141A" w14:textId="77777777" w:rsidR="003F586C" w:rsidRDefault="003F586C">
      <w:pPr>
        <w:spacing w:line="360" w:lineRule="auto"/>
        <w:ind w:right="-787"/>
        <w:jc w:val="both"/>
        <w:rPr>
          <w:rFonts w:ascii="Palatino Linotype" w:eastAsia="Palatino Linotype" w:hAnsi="Palatino Linotype" w:cs="Palatino Linotype"/>
          <w:b/>
          <w:bCs/>
          <w:color w:val="000000"/>
        </w:rPr>
      </w:pPr>
    </w:p>
    <w:p w14:paraId="3CA61079"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las personas. Este tiene como propósito que una persona pueda establecerse temporal o permanentemente en un lugar determinado, para habitar, establecer su centro de trabajo o negocios; </w:t>
      </w:r>
      <w:r>
        <w:rPr>
          <w:rFonts w:ascii="Palatino Linotype" w:eastAsia="Palatino Linotype" w:hAnsi="Palatino Linotype" w:cs="Palatino Linotype"/>
        </w:rPr>
        <w:t>ahora</w:t>
      </w:r>
      <w:r>
        <w:rPr>
          <w:rFonts w:ascii="Palatino Linotype" w:eastAsia="Palatino Linotype" w:hAnsi="Palatino Linotype" w:cs="Palatino Linotype"/>
          <w:color w:val="000000"/>
        </w:rPr>
        <w:t xml:space="preserve">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Pr>
          <w:rFonts w:ascii="Palatino Linotype" w:eastAsia="Palatino Linotype" w:hAnsi="Palatino Linotype" w:cs="Palatino Linotype"/>
          <w:b/>
          <w:bCs/>
          <w:color w:val="000000"/>
        </w:rPr>
        <w:t>el domicilio particular</w:t>
      </w:r>
      <w:r>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49D2C26E" w14:textId="77777777" w:rsidR="003F586C" w:rsidRDefault="003F586C">
      <w:pPr>
        <w:spacing w:line="360" w:lineRule="auto"/>
        <w:ind w:right="-787"/>
        <w:jc w:val="both"/>
        <w:rPr>
          <w:rFonts w:ascii="Palatino Linotype" w:eastAsia="Palatino Linotype" w:hAnsi="Palatino Linotype" w:cs="Palatino Linotype"/>
          <w:color w:val="000000"/>
        </w:rPr>
      </w:pPr>
    </w:p>
    <w:p w14:paraId="121D1E77" w14:textId="77777777" w:rsidR="00CE6C54" w:rsidRDefault="00CE6C54">
      <w:pPr>
        <w:spacing w:line="360" w:lineRule="auto"/>
        <w:ind w:right="-787"/>
        <w:jc w:val="both"/>
        <w:rPr>
          <w:rFonts w:ascii="Palatino Linotype" w:eastAsia="Palatino Linotype" w:hAnsi="Palatino Linotype" w:cs="Palatino Linotype"/>
          <w:color w:val="000000"/>
        </w:rPr>
      </w:pPr>
    </w:p>
    <w:p w14:paraId="0226821E" w14:textId="77777777" w:rsidR="00CE6C54" w:rsidRDefault="00CE6C54">
      <w:pPr>
        <w:spacing w:line="360" w:lineRule="auto"/>
        <w:ind w:right="-787"/>
        <w:jc w:val="both"/>
        <w:rPr>
          <w:rFonts w:ascii="Palatino Linotype" w:eastAsia="Palatino Linotype" w:hAnsi="Palatino Linotype" w:cs="Palatino Linotype"/>
          <w:color w:val="000000"/>
        </w:rPr>
      </w:pPr>
    </w:p>
    <w:p w14:paraId="3579D2F3" w14:textId="77777777" w:rsidR="003F586C" w:rsidRDefault="003764DB">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Estado civil.</w:t>
      </w:r>
    </w:p>
    <w:p w14:paraId="1D9E77B7"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14:paraId="63636D3D" w14:textId="77777777" w:rsidR="003F586C" w:rsidRDefault="003F586C">
      <w:pPr>
        <w:spacing w:line="360" w:lineRule="auto"/>
        <w:ind w:right="-787"/>
        <w:jc w:val="both"/>
        <w:rPr>
          <w:rFonts w:ascii="Palatino Linotype" w:eastAsia="Palatino Linotype" w:hAnsi="Palatino Linotype" w:cs="Palatino Linotype"/>
        </w:rPr>
      </w:pPr>
    </w:p>
    <w:p w14:paraId="78629B1E"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14:paraId="79E5C58E"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7ED8DBEF" w14:textId="77777777" w:rsidR="003F586C" w:rsidRDefault="003764DB">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Teléfono y celular particular.</w:t>
      </w:r>
    </w:p>
    <w:p w14:paraId="4E6A24D4"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14:paraId="5913B9D2" w14:textId="77777777" w:rsidR="003F586C" w:rsidRDefault="003F586C">
      <w:pPr>
        <w:spacing w:line="360" w:lineRule="auto"/>
        <w:ind w:right="-787"/>
        <w:jc w:val="both"/>
        <w:rPr>
          <w:rFonts w:ascii="Palatino Linotype" w:eastAsia="Palatino Linotype" w:hAnsi="Palatino Linotype" w:cs="Palatino Linotype"/>
        </w:rPr>
      </w:pPr>
    </w:p>
    <w:p w14:paraId="64CCA134"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14:paraId="195121A8" w14:textId="77777777" w:rsidR="003F586C" w:rsidRDefault="003F586C">
      <w:pPr>
        <w:spacing w:line="360" w:lineRule="auto"/>
        <w:ind w:right="-787"/>
        <w:jc w:val="both"/>
        <w:rPr>
          <w:rFonts w:ascii="Palatino Linotype" w:eastAsia="Palatino Linotype" w:hAnsi="Palatino Linotype" w:cs="Palatino Linotype"/>
          <w:color w:val="000000"/>
        </w:rPr>
      </w:pPr>
    </w:p>
    <w:p w14:paraId="5884F4BC" w14:textId="77777777" w:rsidR="003F586C" w:rsidRDefault="003764DB">
      <w:pPr>
        <w:numPr>
          <w:ilvl w:val="0"/>
          <w:numId w:val="8"/>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Correo electrónico particular.</w:t>
      </w:r>
    </w:p>
    <w:p w14:paraId="7FADADCE"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correo electrónico es un sistema de transmisión de mensajes por computadora a través de redes informáticas. Dicho dato se puede asimilar al teléfono o domicilio particular, </w:t>
      </w:r>
      <w:r>
        <w:rPr>
          <w:rFonts w:ascii="Palatino Linotype" w:eastAsia="Palatino Linotype" w:hAnsi="Palatino Linotype" w:cs="Palatino Linotype"/>
        </w:rPr>
        <w:lastRenderedPageBreak/>
        <w:t>cuya nomenclatura, se considera como un dato personal, toda vez que es un medio para comunicarse con la persona titular del mismo, la hace localizable e incluso identificable, al poder estar conformado por parte de su nombre o bien, fecha de nacimiento.</w:t>
      </w:r>
    </w:p>
    <w:p w14:paraId="44F1AC0D" w14:textId="77777777" w:rsidR="003F586C" w:rsidRDefault="003F586C">
      <w:pPr>
        <w:spacing w:line="360" w:lineRule="auto"/>
        <w:ind w:right="-787"/>
        <w:jc w:val="both"/>
        <w:rPr>
          <w:rFonts w:ascii="Palatino Linotype" w:eastAsia="Palatino Linotype" w:hAnsi="Palatino Linotype" w:cs="Palatino Linotype"/>
        </w:rPr>
      </w:pPr>
    </w:p>
    <w:p w14:paraId="06623E13"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14:paraId="01F42018"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0D7FED3F"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Seguidamente, se debe de analizar que la información que pueda encontrarse en el contenido de los oficios también puede ser clasificada como reservada, la cual de manera enunciativa más no limitativa es la siguiente. </w:t>
      </w:r>
    </w:p>
    <w:p w14:paraId="7FBD4A06"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1BCDCB9B"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orden de ideas si bien por regla general los nombres de los trabajadores </w:t>
      </w:r>
      <w:r>
        <w:rPr>
          <w:rFonts w:ascii="Palatino Linotype" w:eastAsia="Palatino Linotype" w:hAnsi="Palatino Linotype" w:cs="Palatino Linotype"/>
        </w:rPr>
        <w:t>gubernamentales</w:t>
      </w:r>
      <w:r>
        <w:rPr>
          <w:rFonts w:ascii="Palatino Linotype" w:eastAsia="Palatino Linotype" w:hAnsi="Palatino Linotype" w:cs="Palatino Linotype"/>
          <w:color w:val="000000"/>
        </w:rPr>
        <w:t xml:space="preserve"> son información pública de oficio, existe una excepción relativa a aquellos que </w:t>
      </w:r>
      <w:r>
        <w:rPr>
          <w:rFonts w:ascii="Palatino Linotype" w:eastAsia="Palatino Linotype" w:hAnsi="Palatino Linotype" w:cs="Palatino Linotype"/>
        </w:rPr>
        <w:t>realicen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actividades operativas en materia de seguridad</w:t>
      </w:r>
      <w:r>
        <w:rPr>
          <w:rFonts w:ascii="Palatino Linotype" w:eastAsia="Palatino Linotype" w:hAnsi="Palatino Linotype" w:cs="Palatino Linotype"/>
          <w:color w:val="000000"/>
        </w:rPr>
        <w:t>, como es el caso de los elementos operativos y la policía municipal.</w:t>
      </w:r>
    </w:p>
    <w:p w14:paraId="4108C3DD"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084EC4DD"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w:t>
      </w:r>
      <w:r>
        <w:rPr>
          <w:rFonts w:ascii="Palatino Linotype" w:eastAsia="Palatino Linotype" w:hAnsi="Palatino Linotype" w:cs="Palatino Linotype"/>
          <w:color w:val="000000"/>
        </w:rPr>
        <w:t xml:space="preserve"> lo que dar a conocer el nombre de las personas, que son elementos operativos o policías </w:t>
      </w:r>
      <w:r>
        <w:rPr>
          <w:rFonts w:ascii="Palatino Linotype" w:eastAsia="Palatino Linotype" w:hAnsi="Palatino Linotype" w:cs="Palatino Linotype"/>
        </w:rPr>
        <w:t>municipales</w:t>
      </w:r>
      <w:r>
        <w:rPr>
          <w:rFonts w:ascii="Palatino Linotype" w:eastAsia="Palatino Linotype" w:hAnsi="Palatino Linotype" w:cs="Palatino Linotype"/>
          <w:color w:val="000000"/>
        </w:rPr>
        <w:t xml:space="preserve">,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w:t>
      </w:r>
      <w:r>
        <w:rPr>
          <w:rFonts w:ascii="Palatino Linotype" w:eastAsia="Palatino Linotype" w:hAnsi="Palatino Linotype" w:cs="Palatino Linotype"/>
          <w:color w:val="000000"/>
        </w:rPr>
        <w:lastRenderedPageBreak/>
        <w:t>que persigue dicha área, intenten realizar actos tendientes a inhibir o entrometerse en las funciones de los policías municipales, lo cual causaría una vulneración a la seguridad municipal.</w:t>
      </w:r>
    </w:p>
    <w:p w14:paraId="50E30204"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FD121FB"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tal situación, se considera que dar a conocer el nombre de los elementos operativos, que incluye a los policías municipales, puede poner en riesgo la vida, seguridad y salud de </w:t>
      </w:r>
      <w:r>
        <w:rPr>
          <w:rFonts w:ascii="Palatino Linotype" w:eastAsia="Palatino Linotype" w:hAnsi="Palatino Linotype" w:cs="Palatino Linotype"/>
        </w:rPr>
        <w:t>estos</w:t>
      </w:r>
      <w:r>
        <w:rPr>
          <w:rFonts w:ascii="Palatino Linotype" w:eastAsia="Palatino Linotype" w:hAnsi="Palatino Linotype" w:cs="Palatino Linotype"/>
          <w:color w:val="000000"/>
        </w:rPr>
        <w:t>,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14:paraId="05115B73" w14:textId="77777777" w:rsidR="003F586C" w:rsidRDefault="003F586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5EE0646"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Por</w:t>
      </w:r>
      <w:r>
        <w:rPr>
          <w:rFonts w:ascii="Palatino Linotype" w:eastAsia="Palatino Linotype" w:hAnsi="Palatino Linotype" w:cs="Palatino Linotype"/>
        </w:rPr>
        <w:t xml:space="preserve"> tales consideraciones, resulta procedente la reserva del </w:t>
      </w:r>
      <w:r>
        <w:rPr>
          <w:rFonts w:ascii="Palatino Linotype" w:eastAsia="Palatino Linotype" w:hAnsi="Palatino Linotype" w:cs="Palatino Linotype"/>
          <w:b/>
          <w:bCs/>
        </w:rPr>
        <w:t>nombre de los elementos operativos</w:t>
      </w:r>
      <w:r>
        <w:rPr>
          <w:rFonts w:ascii="Palatino Linotype" w:eastAsia="Palatino Linotype" w:hAnsi="Palatino Linotype" w:cs="Palatino Linotype"/>
        </w:rPr>
        <w:t xml:space="preserve"> de la </w:t>
      </w:r>
      <w:r>
        <w:rPr>
          <w:rFonts w:ascii="Palatino Linotype" w:eastAsia="Palatino Linotype" w:hAnsi="Palatino Linotype" w:cs="Palatino Linotype"/>
          <w:b/>
          <w:bCs/>
        </w:rPr>
        <w:t>Dirección General de Seguridad y Protección</w:t>
      </w:r>
      <w:r>
        <w:rPr>
          <w:rFonts w:ascii="Palatino Linotype" w:eastAsia="Palatino Linotype" w:hAnsi="Palatino Linotype" w:cs="Palatino Linotype"/>
        </w:rPr>
        <w:t>, en términos del artículo 140, fracción IV, de la Ley de Transparencia y Acceso a la Información Pública del Estado de México y Municipios.</w:t>
      </w:r>
    </w:p>
    <w:p w14:paraId="17736773" w14:textId="77777777" w:rsidR="003F586C" w:rsidRDefault="003F586C">
      <w:pPr>
        <w:pBdr>
          <w:top w:val="nil"/>
          <w:left w:val="nil"/>
          <w:bottom w:val="nil"/>
          <w:right w:val="nil"/>
          <w:between w:val="nil"/>
        </w:pBdr>
        <w:ind w:left="720" w:right="-787"/>
        <w:rPr>
          <w:rFonts w:ascii="Palatino Linotype" w:eastAsia="Palatino Linotype" w:hAnsi="Palatino Linotype" w:cs="Palatino Linotype"/>
          <w:color w:val="000000"/>
        </w:rPr>
      </w:pPr>
    </w:p>
    <w:p w14:paraId="41546D36"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Finalmente se debe de precisar que si de los oficios que se entreguen que realizó la quinta regiduría hubiera cancelado números de oficio bastará con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lo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14:paraId="5EEE8090" w14:textId="77777777" w:rsidR="003F586C" w:rsidRDefault="003F586C">
      <w:pPr>
        <w:spacing w:line="360" w:lineRule="auto"/>
        <w:ind w:right="-787"/>
        <w:jc w:val="both"/>
        <w:rPr>
          <w:rFonts w:ascii="Palatino Linotype" w:eastAsia="Palatino Linotype" w:hAnsi="Palatino Linotype" w:cs="Palatino Linotype"/>
          <w:b/>
          <w:bCs/>
        </w:rPr>
      </w:pPr>
    </w:p>
    <w:p w14:paraId="1A5A65EF" w14:textId="77777777" w:rsidR="00CE6C54" w:rsidRDefault="00CE6C54">
      <w:pPr>
        <w:spacing w:line="360" w:lineRule="auto"/>
        <w:ind w:right="-787"/>
        <w:jc w:val="both"/>
        <w:rPr>
          <w:rFonts w:ascii="Palatino Linotype" w:eastAsia="Palatino Linotype" w:hAnsi="Palatino Linotype" w:cs="Palatino Linotype"/>
          <w:b/>
          <w:bCs/>
        </w:rPr>
      </w:pPr>
    </w:p>
    <w:p w14:paraId="19053BAD" w14:textId="77777777" w:rsidR="00CE6C54" w:rsidRDefault="00CE6C54">
      <w:pPr>
        <w:spacing w:line="360" w:lineRule="auto"/>
        <w:ind w:right="-787"/>
        <w:jc w:val="both"/>
        <w:rPr>
          <w:rFonts w:ascii="Palatino Linotype" w:eastAsia="Palatino Linotype" w:hAnsi="Palatino Linotype" w:cs="Palatino Linotype"/>
          <w:b/>
          <w:bCs/>
        </w:rPr>
      </w:pPr>
    </w:p>
    <w:p w14:paraId="78CF08A7" w14:textId="77777777" w:rsidR="00CE6C54" w:rsidRDefault="00CE6C54">
      <w:pPr>
        <w:spacing w:line="360" w:lineRule="auto"/>
        <w:ind w:right="-787"/>
        <w:jc w:val="both"/>
        <w:rPr>
          <w:rFonts w:ascii="Palatino Linotype" w:eastAsia="Palatino Linotype" w:hAnsi="Palatino Linotype" w:cs="Palatino Linotype"/>
          <w:b/>
          <w:bCs/>
        </w:rPr>
      </w:pPr>
    </w:p>
    <w:p w14:paraId="7EC70D3E" w14:textId="77777777" w:rsidR="003F586C" w:rsidRDefault="003764DB">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QUINTO. De la versión pública.</w:t>
      </w:r>
    </w:p>
    <w:p w14:paraId="35540A2C" w14:textId="77777777" w:rsidR="003F586C" w:rsidRDefault="003764DB">
      <w:pPr>
        <w:pStyle w:val="Ttulo1"/>
        <w:numPr>
          <w:ilvl w:val="0"/>
          <w:numId w:val="6"/>
        </w:numPr>
        <w:tabs>
          <w:tab w:val="left" w:pos="284"/>
        </w:tabs>
        <w:spacing w:before="0" w:line="360" w:lineRule="auto"/>
        <w:ind w:left="0" w:right="-787" w:firstLine="0"/>
        <w:rPr>
          <w:rFonts w:ascii="Palatino Linotype" w:eastAsia="Palatino Linotype" w:hAnsi="Palatino Linotype" w:cs="Palatino Linotype"/>
          <w:b/>
          <w:bCs/>
          <w:color w:val="000000"/>
          <w:sz w:val="24"/>
          <w:szCs w:val="24"/>
        </w:rPr>
      </w:pPr>
      <w:bookmarkStart w:id="7" w:name="_heading=h.4hm3vlrjjcw2" w:colFirst="0" w:colLast="0"/>
      <w:bookmarkEnd w:id="7"/>
      <w:r>
        <w:rPr>
          <w:rFonts w:ascii="Palatino Linotype" w:eastAsia="Palatino Linotype" w:hAnsi="Palatino Linotype" w:cs="Palatino Linotype"/>
          <w:b/>
          <w:bCs/>
          <w:color w:val="000000"/>
          <w:sz w:val="24"/>
          <w:szCs w:val="24"/>
        </w:rPr>
        <w:t xml:space="preserve">Nociones generales. </w:t>
      </w:r>
    </w:p>
    <w:p w14:paraId="7416FD31"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Debe</w:t>
      </w:r>
      <w:r>
        <w:rPr>
          <w:rFonts w:ascii="Palatino Linotype" w:eastAsia="Palatino Linotype" w:hAnsi="Palatino Linotype" w:cs="Palatino Linotype"/>
          <w:color w:val="000000"/>
        </w:rPr>
        <w:t xml:space="preserv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30FC3E62" w14:textId="77777777" w:rsidR="003F586C" w:rsidRDefault="003F586C">
      <w:pPr>
        <w:pBdr>
          <w:top w:val="nil"/>
          <w:left w:val="nil"/>
          <w:bottom w:val="nil"/>
          <w:right w:val="nil"/>
          <w:between w:val="nil"/>
        </w:pBdr>
        <w:tabs>
          <w:tab w:val="left" w:pos="0"/>
          <w:tab w:val="left" w:pos="284"/>
        </w:tabs>
        <w:spacing w:line="360" w:lineRule="auto"/>
        <w:ind w:right="-787"/>
        <w:jc w:val="both"/>
        <w:rPr>
          <w:rFonts w:ascii="Palatino Linotype" w:eastAsia="Palatino Linotype" w:hAnsi="Palatino Linotype" w:cs="Palatino Linotype"/>
          <w:color w:val="000000"/>
        </w:rPr>
      </w:pPr>
    </w:p>
    <w:p w14:paraId="57F1F98F"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 pasa desapercibido para este Órgano Garante que los </w:t>
      </w:r>
      <w:r>
        <w:rPr>
          <w:rFonts w:ascii="Palatino Linotype" w:eastAsia="Palatino Linotype" w:hAnsi="Palatino Linotype" w:cs="Palatino Linotype"/>
          <w:b/>
          <w:bCs/>
          <w:color w:val="000000"/>
        </w:rPr>
        <w:t xml:space="preserve">Sujetos Obligados </w:t>
      </w:r>
      <w:r>
        <w:rPr>
          <w:rFonts w:ascii="Palatino Linotype" w:eastAsia="Palatino Linotype" w:hAnsi="Palatino Linotype" w:cs="Palatino Linotype"/>
          <w:color w:val="000000"/>
        </w:rPr>
        <w:t xml:space="preserve">serán responsables de los datos personales en su posesión y que, en caso de localizarse datos </w:t>
      </w:r>
      <w:r>
        <w:rPr>
          <w:rFonts w:ascii="Palatino Linotype" w:eastAsia="Palatino Linotype" w:hAnsi="Palatino Linotype" w:cs="Palatino Linotype"/>
        </w:rPr>
        <w:t>concernientes</w:t>
      </w:r>
      <w:r>
        <w:rPr>
          <w:rFonts w:ascii="Palatino Linotype" w:eastAsia="Palatino Linotype" w:hAnsi="Palatino Linotype" w:cs="Palatino Linotype"/>
          <w:color w:val="000000"/>
        </w:rPr>
        <w:t xml:space="preserve">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78FFD97C" w14:textId="77777777" w:rsidR="003F586C" w:rsidRDefault="003F586C">
      <w:pPr>
        <w:tabs>
          <w:tab w:val="left" w:pos="284"/>
        </w:tabs>
        <w:spacing w:line="360" w:lineRule="auto"/>
        <w:ind w:right="-787"/>
        <w:jc w:val="both"/>
        <w:rPr>
          <w:rFonts w:ascii="Palatino Linotype" w:eastAsia="Palatino Linotype" w:hAnsi="Palatino Linotype" w:cs="Palatino Linotype"/>
          <w:color w:val="000000"/>
        </w:rPr>
      </w:pPr>
    </w:p>
    <w:tbl>
      <w:tblPr>
        <w:tblStyle w:val="a0"/>
        <w:tblW w:w="9765"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45"/>
        <w:gridCol w:w="7020"/>
      </w:tblGrid>
      <w:tr w:rsidR="003F586C" w14:paraId="7DCEF8DD" w14:textId="77777777">
        <w:tc>
          <w:tcPr>
            <w:tcW w:w="2745" w:type="dxa"/>
            <w:tcBorders>
              <w:top w:val="single" w:sz="4" w:space="0" w:color="BFBFBF"/>
              <w:left w:val="single" w:sz="4" w:space="0" w:color="BFBFBF"/>
              <w:bottom w:val="single" w:sz="4" w:space="0" w:color="BFBFBF"/>
              <w:right w:val="single" w:sz="4" w:space="0" w:color="BFBFBF"/>
            </w:tcBorders>
          </w:tcPr>
          <w:p w14:paraId="0A475187" w14:textId="77777777" w:rsidR="003F586C" w:rsidRDefault="003764DB">
            <w:pPr>
              <w:tabs>
                <w:tab w:val="left" w:pos="284"/>
              </w:tabs>
              <w:spacing w:line="360" w:lineRule="auto"/>
              <w:ind w:right="19"/>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020" w:type="dxa"/>
            <w:tcBorders>
              <w:top w:val="single" w:sz="4" w:space="0" w:color="BFBFBF"/>
              <w:left w:val="single" w:sz="4" w:space="0" w:color="BFBFBF"/>
              <w:bottom w:val="single" w:sz="4" w:space="0" w:color="BFBFBF"/>
              <w:right w:val="single" w:sz="4" w:space="0" w:color="BFBFBF"/>
            </w:tcBorders>
          </w:tcPr>
          <w:p w14:paraId="6D0F55AC"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00569914"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153B55D5"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20587D63" w14:textId="77777777" w:rsidR="003F586C" w:rsidRDefault="003764DB">
            <w:pPr>
              <w:tabs>
                <w:tab w:val="left" w:pos="284"/>
              </w:tabs>
              <w:spacing w:line="360" w:lineRule="auto"/>
              <w:ind w:right="19"/>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F586C" w14:paraId="0F00D2E5" w14:textId="77777777">
        <w:tc>
          <w:tcPr>
            <w:tcW w:w="2745" w:type="dxa"/>
            <w:tcBorders>
              <w:top w:val="single" w:sz="4" w:space="0" w:color="BFBFBF"/>
              <w:left w:val="single" w:sz="4" w:space="0" w:color="BFBFBF"/>
              <w:bottom w:val="single" w:sz="4" w:space="0" w:color="BFBFBF"/>
              <w:right w:val="single" w:sz="4" w:space="0" w:color="BFBFBF"/>
            </w:tcBorders>
          </w:tcPr>
          <w:p w14:paraId="082E27A8" w14:textId="77777777" w:rsidR="003F586C" w:rsidRDefault="003764DB">
            <w:pPr>
              <w:tabs>
                <w:tab w:val="left" w:pos="284"/>
              </w:tabs>
              <w:spacing w:line="360" w:lineRule="auto"/>
              <w:ind w:right="19"/>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020" w:type="dxa"/>
            <w:tcBorders>
              <w:top w:val="single" w:sz="4" w:space="0" w:color="BFBFBF"/>
              <w:left w:val="single" w:sz="4" w:space="0" w:color="BFBFBF"/>
              <w:bottom w:val="single" w:sz="4" w:space="0" w:color="BFBFBF"/>
              <w:right w:val="single" w:sz="4" w:space="0" w:color="BFBFBF"/>
            </w:tcBorders>
          </w:tcPr>
          <w:p w14:paraId="6DB404C3"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E27978A"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FED55C9" w14:textId="77777777" w:rsidR="003F586C" w:rsidRDefault="003764DB">
            <w:pPr>
              <w:tabs>
                <w:tab w:val="left" w:pos="284"/>
              </w:tabs>
              <w:spacing w:line="360" w:lineRule="auto"/>
              <w:ind w:right="19"/>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w:t>
            </w:r>
            <w:r>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3F586C" w14:paraId="0384E788" w14:textId="77777777">
        <w:tc>
          <w:tcPr>
            <w:tcW w:w="2745" w:type="dxa"/>
            <w:tcBorders>
              <w:top w:val="single" w:sz="4" w:space="0" w:color="BFBFBF"/>
              <w:left w:val="single" w:sz="4" w:space="0" w:color="BFBFBF"/>
              <w:bottom w:val="single" w:sz="4" w:space="0" w:color="BFBFBF"/>
              <w:right w:val="single" w:sz="4" w:space="0" w:color="BFBFBF"/>
            </w:tcBorders>
          </w:tcPr>
          <w:p w14:paraId="2DA74A9F" w14:textId="77777777" w:rsidR="003F586C" w:rsidRDefault="003764DB">
            <w:pPr>
              <w:tabs>
                <w:tab w:val="left" w:pos="284"/>
              </w:tabs>
              <w:spacing w:line="360" w:lineRule="auto"/>
              <w:ind w:right="19"/>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020" w:type="dxa"/>
            <w:tcBorders>
              <w:top w:val="single" w:sz="4" w:space="0" w:color="BFBFBF"/>
              <w:left w:val="single" w:sz="4" w:space="0" w:color="BFBFBF"/>
              <w:bottom w:val="single" w:sz="4" w:space="0" w:color="BFBFBF"/>
              <w:right w:val="single" w:sz="4" w:space="0" w:color="BFBFBF"/>
            </w:tcBorders>
          </w:tcPr>
          <w:p w14:paraId="05E68EC8"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79003A09"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14:paraId="18BF71FE" w14:textId="77777777" w:rsidR="003F586C" w:rsidRDefault="003764DB">
            <w:pPr>
              <w:tabs>
                <w:tab w:val="left" w:pos="284"/>
              </w:tabs>
              <w:spacing w:line="360" w:lineRule="auto"/>
              <w:ind w:right="19"/>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F586C" w14:paraId="75C4EFB6" w14:textId="77777777">
        <w:tc>
          <w:tcPr>
            <w:tcW w:w="2745" w:type="dxa"/>
            <w:tcBorders>
              <w:top w:val="single" w:sz="4" w:space="0" w:color="BFBFBF"/>
              <w:left w:val="single" w:sz="4" w:space="0" w:color="BFBFBF"/>
              <w:bottom w:val="single" w:sz="4" w:space="0" w:color="BFBFBF"/>
              <w:right w:val="single" w:sz="4" w:space="0" w:color="BFBFBF"/>
            </w:tcBorders>
          </w:tcPr>
          <w:p w14:paraId="1CB3001C" w14:textId="77777777" w:rsidR="003F586C" w:rsidRDefault="003F586C">
            <w:pPr>
              <w:tabs>
                <w:tab w:val="left" w:pos="284"/>
              </w:tabs>
              <w:spacing w:line="360" w:lineRule="auto"/>
              <w:ind w:right="19"/>
              <w:rPr>
                <w:rFonts w:ascii="Palatino Linotype" w:eastAsia="Palatino Linotype" w:hAnsi="Palatino Linotype" w:cs="Palatino Linotype"/>
              </w:rPr>
            </w:pPr>
          </w:p>
          <w:p w14:paraId="1A17F263" w14:textId="77777777" w:rsidR="003F586C" w:rsidRDefault="003764DB">
            <w:pPr>
              <w:tabs>
                <w:tab w:val="left" w:pos="284"/>
              </w:tabs>
              <w:spacing w:line="360" w:lineRule="auto"/>
              <w:ind w:right="19"/>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020" w:type="dxa"/>
            <w:tcBorders>
              <w:top w:val="single" w:sz="4" w:space="0" w:color="BFBFBF"/>
              <w:left w:val="single" w:sz="4" w:space="0" w:color="BFBFBF"/>
              <w:bottom w:val="single" w:sz="4" w:space="0" w:color="BFBFBF"/>
              <w:right w:val="single" w:sz="4" w:space="0" w:color="BFBFBF"/>
            </w:tcBorders>
          </w:tcPr>
          <w:p w14:paraId="23BA8CFE"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w:t>
            </w:r>
            <w:bookmarkStart w:id="8" w:name="_GoBack"/>
            <w:bookmarkEnd w:id="8"/>
            <w:r>
              <w:rPr>
                <w:rFonts w:ascii="Palatino Linotype" w:eastAsia="Palatino Linotype" w:hAnsi="Palatino Linotype" w:cs="Palatino Linotype"/>
                <w:color w:val="000000"/>
              </w:rPr>
              <w:t xml:space="preserve">o encaje entre el supuesto de hecho y la hipótesis jurídica, se debe acreditar la estricta correspondencia entre un elemento y otro. Ahora, en esta parte del procedimiento, que se desahoga en sede del Comité de Transparencia, la ley señala que la carga de la </w:t>
            </w:r>
            <w:r>
              <w:rPr>
                <w:rFonts w:ascii="Palatino Linotype" w:eastAsia="Palatino Linotype" w:hAnsi="Palatino Linotype" w:cs="Palatino Linotype"/>
                <w:color w:val="000000"/>
              </w:rPr>
              <w:lastRenderedPageBreak/>
              <w:t xml:space="preserve">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14:paraId="46BFBB9F"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48DAA50"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9CB99F4"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62DDE5C7"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w:t>
            </w:r>
            <w:r>
              <w:rPr>
                <w:rFonts w:ascii="Palatino Linotype" w:eastAsia="Palatino Linotype" w:hAnsi="Palatino Linotype" w:cs="Palatino Linotype"/>
                <w:color w:val="000000"/>
              </w:rPr>
              <w:lastRenderedPageBreak/>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F586C" w14:paraId="0FC716C3" w14:textId="77777777">
        <w:tc>
          <w:tcPr>
            <w:tcW w:w="2745" w:type="dxa"/>
            <w:tcBorders>
              <w:top w:val="single" w:sz="4" w:space="0" w:color="BFBFBF"/>
              <w:left w:val="single" w:sz="4" w:space="0" w:color="BFBFBF"/>
              <w:bottom w:val="single" w:sz="4" w:space="0" w:color="BFBFBF"/>
              <w:right w:val="single" w:sz="4" w:space="0" w:color="BFBFBF"/>
            </w:tcBorders>
          </w:tcPr>
          <w:p w14:paraId="1F2D12F4" w14:textId="77777777" w:rsidR="003F586C" w:rsidRDefault="003764DB">
            <w:pPr>
              <w:tabs>
                <w:tab w:val="left" w:pos="284"/>
              </w:tabs>
              <w:spacing w:line="360" w:lineRule="auto"/>
              <w:ind w:right="1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020" w:type="dxa"/>
            <w:tcBorders>
              <w:top w:val="single" w:sz="4" w:space="0" w:color="BFBFBF"/>
              <w:left w:val="single" w:sz="4" w:space="0" w:color="BFBFBF"/>
              <w:bottom w:val="single" w:sz="4" w:space="0" w:color="BFBFBF"/>
              <w:right w:val="single" w:sz="4" w:space="0" w:color="BFBFBF"/>
            </w:tcBorders>
          </w:tcPr>
          <w:p w14:paraId="1F3CDB9B"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7CC18F4A" w14:textId="77777777" w:rsidR="003F586C" w:rsidRDefault="003764DB">
            <w:pPr>
              <w:tabs>
                <w:tab w:val="left" w:pos="284"/>
              </w:tabs>
              <w:spacing w:line="360" w:lineRule="auto"/>
              <w:ind w:right="1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8A2FCC0" w14:textId="77777777" w:rsidR="003F586C" w:rsidRDefault="003764DB">
            <w:pPr>
              <w:tabs>
                <w:tab w:val="left" w:pos="284"/>
              </w:tabs>
              <w:spacing w:line="360" w:lineRule="auto"/>
              <w:ind w:right="19"/>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3C0F57A" w14:textId="77777777" w:rsidR="003F586C" w:rsidRDefault="003F586C">
      <w:pPr>
        <w:pBdr>
          <w:top w:val="nil"/>
          <w:left w:val="nil"/>
          <w:bottom w:val="nil"/>
          <w:right w:val="nil"/>
          <w:between w:val="nil"/>
        </w:pBdr>
        <w:tabs>
          <w:tab w:val="left" w:pos="284"/>
        </w:tabs>
        <w:ind w:right="-787"/>
        <w:rPr>
          <w:rFonts w:ascii="Palatino Linotype" w:eastAsia="Palatino Linotype" w:hAnsi="Palatino Linotype" w:cs="Palatino Linotype"/>
          <w:color w:val="000000"/>
        </w:rPr>
      </w:pPr>
    </w:p>
    <w:p w14:paraId="398BE056" w14:textId="77777777" w:rsidR="00CE6C54" w:rsidRDefault="00CE6C54">
      <w:pPr>
        <w:pBdr>
          <w:top w:val="nil"/>
          <w:left w:val="nil"/>
          <w:bottom w:val="nil"/>
          <w:right w:val="nil"/>
          <w:between w:val="nil"/>
        </w:pBdr>
        <w:tabs>
          <w:tab w:val="left" w:pos="284"/>
        </w:tabs>
        <w:ind w:right="-787"/>
        <w:rPr>
          <w:rFonts w:ascii="Palatino Linotype" w:eastAsia="Palatino Linotype" w:hAnsi="Palatino Linotype" w:cs="Palatino Linotype"/>
          <w:color w:val="000000"/>
        </w:rPr>
      </w:pPr>
    </w:p>
    <w:p w14:paraId="7C9643D3"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w:t>
      </w:r>
      <w:r>
        <w:rPr>
          <w:rFonts w:ascii="Palatino Linotype" w:eastAsia="Palatino Linotype" w:hAnsi="Palatino Linotype" w:cs="Palatino Linotype"/>
          <w:color w:val="000000"/>
        </w:rPr>
        <w:t>legales</w:t>
      </w:r>
      <w:r>
        <w:rPr>
          <w:rFonts w:ascii="Palatino Linotype" w:eastAsia="Palatino Linotype" w:hAnsi="Palatino Linotype" w:cs="Palatino Linotype"/>
        </w:rPr>
        <w:t xml:space="preserve"> establ</w:t>
      </w:r>
      <w:r>
        <w:rPr>
          <w:rFonts w:ascii="Palatino Linotype" w:eastAsia="Palatino Linotype" w:hAnsi="Palatino Linotype" w:cs="Palatino Linotype"/>
          <w:color w:val="000000"/>
        </w:rPr>
        <w:t>e</w:t>
      </w:r>
      <w:r>
        <w:rPr>
          <w:rFonts w:ascii="Palatino Linotype" w:eastAsia="Palatino Linotype" w:hAnsi="Palatino Linotype" w:cs="Palatino Linotype"/>
        </w:rPr>
        <w:t>cidas, asimismo que si entrega un documento testado sin el debido acuerdo de clasificación.</w:t>
      </w:r>
    </w:p>
    <w:p w14:paraId="582EC58B" w14:textId="77777777" w:rsidR="003F586C" w:rsidRDefault="003764DB">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lo anteriormente expuesto y fundado, este </w:t>
      </w:r>
      <w:r>
        <w:rPr>
          <w:rFonts w:ascii="Palatino Linotype" w:eastAsia="Palatino Linotype" w:hAnsi="Palatino Linotype" w:cs="Palatino Linotype"/>
          <w:b/>
          <w:bCs/>
        </w:rPr>
        <w:t>ÓRGANO GARANTE</w:t>
      </w:r>
      <w:r>
        <w:rPr>
          <w:rFonts w:ascii="Palatino Linotype" w:eastAsia="Palatino Linotype" w:hAnsi="Palatino Linotype" w:cs="Palatino Linotype"/>
        </w:rPr>
        <w:t xml:space="preserve"> emite los siguientes:</w:t>
      </w:r>
    </w:p>
    <w:p w14:paraId="155D4B8D" w14:textId="77777777" w:rsidR="003F586C" w:rsidRDefault="003F586C">
      <w:pPr>
        <w:ind w:right="-787"/>
        <w:rPr>
          <w:rFonts w:ascii="Palatino Linotype" w:eastAsia="Palatino Linotype" w:hAnsi="Palatino Linotype" w:cs="Palatino Linotype"/>
          <w:color w:val="000000"/>
        </w:rPr>
      </w:pPr>
      <w:bookmarkStart w:id="9" w:name="_heading=h.lnxbz9" w:colFirst="0" w:colLast="0"/>
      <w:bookmarkEnd w:id="9"/>
    </w:p>
    <w:p w14:paraId="372822D6" w14:textId="77777777" w:rsidR="003F586C" w:rsidRDefault="003764DB">
      <w:pPr>
        <w:pStyle w:val="Ttulo1"/>
        <w:ind w:right="-78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14:paraId="19CD3194" w14:textId="77777777" w:rsidR="003F586C" w:rsidRDefault="003F586C">
      <w:pPr>
        <w:tabs>
          <w:tab w:val="left" w:pos="284"/>
        </w:tabs>
        <w:spacing w:line="360" w:lineRule="auto"/>
        <w:ind w:right="-787"/>
        <w:jc w:val="both"/>
        <w:rPr>
          <w:rFonts w:ascii="Palatino Linotype" w:eastAsia="Palatino Linotype" w:hAnsi="Palatino Linotype" w:cs="Palatino Linotype"/>
          <w:b/>
          <w:bCs/>
        </w:rPr>
      </w:pPr>
    </w:p>
    <w:p w14:paraId="6FF3B954" w14:textId="77777777" w:rsidR="003F586C" w:rsidRDefault="003764DB">
      <w:pPr>
        <w:tabs>
          <w:tab w:val="left" w:pos="284"/>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01333/INFOEM/IP/RR/2026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 xml:space="preserve">Considerandos CUARTO y QUINTO </w:t>
      </w:r>
      <w:r>
        <w:rPr>
          <w:rFonts w:ascii="Palatino Linotype" w:eastAsia="Palatino Linotype" w:hAnsi="Palatino Linotype" w:cs="Palatino Linotype"/>
        </w:rPr>
        <w:t>de la presente resolución.</w:t>
      </w:r>
    </w:p>
    <w:p w14:paraId="7419BF0D" w14:textId="77777777" w:rsidR="003F586C" w:rsidRDefault="003F586C">
      <w:pPr>
        <w:tabs>
          <w:tab w:val="left" w:pos="284"/>
        </w:tabs>
        <w:spacing w:line="360" w:lineRule="auto"/>
        <w:ind w:right="-787"/>
        <w:jc w:val="both"/>
        <w:rPr>
          <w:rFonts w:ascii="Palatino Linotype" w:eastAsia="Palatino Linotype" w:hAnsi="Palatino Linotype" w:cs="Palatino Linotype"/>
        </w:rPr>
      </w:pPr>
    </w:p>
    <w:p w14:paraId="1AC35986" w14:textId="77777777" w:rsidR="003F586C" w:rsidRDefault="003764DB">
      <w:pPr>
        <w:tabs>
          <w:tab w:val="left" w:pos="284"/>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SEGUNDO.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 xml:space="preserve">ORDENA </w:t>
      </w:r>
      <w:r>
        <w:rPr>
          <w:rFonts w:ascii="Palatino Linotype" w:eastAsia="Palatino Linotype" w:hAnsi="Palatino Linotype" w:cs="Palatino Linotype"/>
        </w:rPr>
        <w:t xml:space="preserve">al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entregar 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siguiente información, de ser el caso en versión pública. </w:t>
      </w:r>
    </w:p>
    <w:p w14:paraId="534E30A3" w14:textId="77777777" w:rsidR="003F586C" w:rsidRDefault="003764DB">
      <w:pPr>
        <w:pBdr>
          <w:top w:val="nil"/>
          <w:left w:val="nil"/>
          <w:bottom w:val="nil"/>
          <w:right w:val="nil"/>
          <w:between w:val="nil"/>
        </w:pBdr>
        <w:ind w:left="1080" w:right="-787"/>
        <w:rPr>
          <w:rFonts w:ascii="Palatino Linotype" w:eastAsia="Palatino Linotype" w:hAnsi="Palatino Linotype" w:cs="Palatino Linotype"/>
          <w:b/>
          <w:bCs/>
          <w:i/>
          <w:iCs/>
          <w:color w:val="000000"/>
        </w:rPr>
      </w:pPr>
      <w:bookmarkStart w:id="10" w:name="_heading=h.wdtt3aq8ui9g" w:colFirst="0" w:colLast="0"/>
      <w:bookmarkEnd w:id="10"/>
      <w:r>
        <w:rPr>
          <w:rFonts w:ascii="Palatino Linotype" w:eastAsia="Palatino Linotype" w:hAnsi="Palatino Linotype" w:cs="Palatino Linotype"/>
          <w:b/>
          <w:bCs/>
          <w:i/>
          <w:iCs/>
          <w:color w:val="000000"/>
        </w:rPr>
        <w:t xml:space="preserve">1.- Los oficios que se recibieron y que se emitieron en la quinta regiduría, en el mes de marzo de dos mil veinticinco. </w:t>
      </w:r>
    </w:p>
    <w:p w14:paraId="79ACB793" w14:textId="77777777" w:rsidR="003F586C" w:rsidRDefault="003F586C">
      <w:pPr>
        <w:pBdr>
          <w:top w:val="nil"/>
          <w:left w:val="nil"/>
          <w:bottom w:val="nil"/>
          <w:right w:val="nil"/>
          <w:between w:val="nil"/>
        </w:pBdr>
        <w:spacing w:after="160" w:line="259" w:lineRule="auto"/>
        <w:ind w:right="-787"/>
        <w:jc w:val="both"/>
        <w:rPr>
          <w:rFonts w:ascii="Palatino Linotype" w:eastAsia="Palatino Linotype" w:hAnsi="Palatino Linotype" w:cs="Palatino Linotype"/>
          <w:b/>
          <w:bCs/>
          <w:color w:val="000000"/>
        </w:rPr>
      </w:pPr>
    </w:p>
    <w:p w14:paraId="720B84DA" w14:textId="77777777" w:rsidR="003F586C" w:rsidRDefault="003764DB">
      <w:pPr>
        <w:tabs>
          <w:tab w:val="left" w:pos="8080"/>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14:paraId="3EF4822D" w14:textId="77777777" w:rsidR="003F586C" w:rsidRDefault="003F586C">
      <w:pPr>
        <w:tabs>
          <w:tab w:val="left" w:pos="8080"/>
        </w:tabs>
        <w:spacing w:line="360" w:lineRule="auto"/>
        <w:ind w:right="-787"/>
        <w:jc w:val="both"/>
        <w:rPr>
          <w:rFonts w:ascii="Palatino Linotype" w:eastAsia="Palatino Linotype" w:hAnsi="Palatino Linotype" w:cs="Palatino Linotype"/>
          <w:b/>
          <w:bCs/>
        </w:rPr>
      </w:pPr>
    </w:p>
    <w:p w14:paraId="4532D03D" w14:textId="78907FFF" w:rsidR="003F586C" w:rsidRDefault="003764D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De ser el caso que se hubieran cancelado números de </w:t>
      </w:r>
      <w:r w:rsidR="00FB516E">
        <w:rPr>
          <w:rFonts w:ascii="Palatino Linotype" w:eastAsia="Palatino Linotype" w:hAnsi="Palatino Linotype" w:cs="Palatino Linotype"/>
        </w:rPr>
        <w:t xml:space="preserve">los </w:t>
      </w:r>
      <w:r>
        <w:rPr>
          <w:rFonts w:ascii="Palatino Linotype" w:eastAsia="Palatino Linotype" w:hAnsi="Palatino Linotype" w:cs="Palatino Linotype"/>
        </w:rPr>
        <w:t>oficio</w:t>
      </w:r>
      <w:r w:rsidR="004F5D8E">
        <w:rPr>
          <w:rFonts w:ascii="Palatino Linotype" w:eastAsia="Palatino Linotype" w:hAnsi="Palatino Linotype" w:cs="Palatino Linotype"/>
        </w:rPr>
        <w:t>s</w:t>
      </w:r>
      <w:r w:rsidR="00FB516E">
        <w:rPr>
          <w:rFonts w:ascii="Palatino Linotype" w:eastAsia="Palatino Linotype" w:hAnsi="Palatino Linotype" w:cs="Palatino Linotype"/>
        </w:rPr>
        <w:t xml:space="preserve"> </w:t>
      </w:r>
      <w:r w:rsidR="00FB516E" w:rsidRPr="004C6CCF">
        <w:rPr>
          <w:rFonts w:ascii="Palatino Linotype" w:eastAsia="Palatino Linotype" w:hAnsi="Palatino Linotype" w:cs="Palatino Linotype"/>
        </w:rPr>
        <w:t>emitidos</w:t>
      </w:r>
      <w:r>
        <w:rPr>
          <w:rFonts w:ascii="Palatino Linotype" w:eastAsia="Palatino Linotype" w:hAnsi="Palatino Linotype" w:cs="Palatino Linotype"/>
        </w:rPr>
        <w:t xml:space="preserve"> bastará con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lo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w:t>
      </w:r>
      <w:r>
        <w:rPr>
          <w:rFonts w:ascii="Palatino Linotype" w:eastAsia="Palatino Linotype" w:hAnsi="Palatino Linotype" w:cs="Palatino Linotype"/>
        </w:rPr>
        <w:lastRenderedPageBreak/>
        <w:t xml:space="preserve">artículo 19 párrafo segundo de la Ley de Transparencia y Acceso a la Información Pública del Estado de México y Municipios. </w:t>
      </w:r>
    </w:p>
    <w:p w14:paraId="496B9079" w14:textId="77777777" w:rsidR="003F586C" w:rsidRDefault="003F586C">
      <w:pPr>
        <w:tabs>
          <w:tab w:val="left" w:pos="284"/>
          <w:tab w:val="left" w:pos="8080"/>
        </w:tabs>
        <w:spacing w:line="360" w:lineRule="auto"/>
        <w:ind w:right="-787"/>
        <w:jc w:val="both"/>
        <w:rPr>
          <w:rFonts w:ascii="Palatino Linotype" w:eastAsia="Palatino Linotype" w:hAnsi="Palatino Linotype" w:cs="Palatino Linotype"/>
          <w:b/>
          <w:bCs/>
        </w:rPr>
      </w:pPr>
    </w:p>
    <w:p w14:paraId="3E924368" w14:textId="77777777" w:rsidR="003F586C" w:rsidRDefault="003764DB">
      <w:pPr>
        <w:tabs>
          <w:tab w:val="left" w:pos="284"/>
          <w:tab w:val="left" w:pos="8080"/>
        </w:tabs>
        <w:spacing w:line="360" w:lineRule="auto"/>
        <w:ind w:right="-787"/>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dé cumplimiento a lo ordenado dentro del plazo de diez días hábiles</w:t>
      </w:r>
      <w:r>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C30B145" w14:textId="77777777" w:rsidR="003F586C" w:rsidRDefault="003F586C">
      <w:pPr>
        <w:tabs>
          <w:tab w:val="left" w:pos="284"/>
          <w:tab w:val="left" w:pos="8080"/>
        </w:tabs>
        <w:spacing w:line="360" w:lineRule="auto"/>
        <w:ind w:right="-787"/>
        <w:jc w:val="both"/>
        <w:rPr>
          <w:rFonts w:ascii="Palatino Linotype" w:eastAsia="Palatino Linotype" w:hAnsi="Palatino Linotype" w:cs="Palatino Linotype"/>
          <w:color w:val="222222"/>
        </w:rPr>
      </w:pPr>
    </w:p>
    <w:p w14:paraId="430D584B" w14:textId="77777777" w:rsidR="003F586C" w:rsidRDefault="003764DB">
      <w:pPr>
        <w:tabs>
          <w:tab w:val="left" w:pos="808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14:paraId="7200FFDF" w14:textId="77777777" w:rsidR="003F586C" w:rsidRDefault="003F586C">
      <w:pPr>
        <w:tabs>
          <w:tab w:val="left" w:pos="8080"/>
        </w:tabs>
        <w:spacing w:line="360" w:lineRule="auto"/>
        <w:ind w:right="-787"/>
        <w:jc w:val="both"/>
        <w:rPr>
          <w:rFonts w:ascii="Palatino Linotype" w:eastAsia="Palatino Linotype" w:hAnsi="Palatino Linotype" w:cs="Palatino Linotype"/>
        </w:rPr>
      </w:pPr>
    </w:p>
    <w:p w14:paraId="2B650AEB" w14:textId="77777777" w:rsidR="003F586C" w:rsidRDefault="003764DB">
      <w:pPr>
        <w:shd w:val="clear" w:color="auto" w:fill="FFFFFF"/>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Hágase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la respuesta que dé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Pr>
          <w:rFonts w:ascii="Palatino Linotype" w:eastAsia="Palatino Linotype" w:hAnsi="Palatino Linotype" w:cs="Palatino Linotype"/>
        </w:rPr>
        <w:tab/>
      </w:r>
    </w:p>
    <w:p w14:paraId="5E60AB6B" w14:textId="77777777" w:rsidR="003F586C" w:rsidRDefault="003F586C">
      <w:pPr>
        <w:shd w:val="clear" w:color="auto" w:fill="FFFFFF"/>
        <w:spacing w:line="360" w:lineRule="auto"/>
        <w:ind w:right="-787"/>
        <w:jc w:val="both"/>
        <w:rPr>
          <w:rFonts w:ascii="Palatino Linotype" w:eastAsia="Palatino Linotype" w:hAnsi="Palatino Linotype" w:cs="Palatino Linotype"/>
        </w:rPr>
      </w:pPr>
    </w:p>
    <w:p w14:paraId="3D9CFDBD" w14:textId="77777777" w:rsidR="003F586C" w:rsidRDefault="003764DB">
      <w:pPr>
        <w:shd w:val="clear" w:color="auto" w:fill="FFFFFF"/>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que, de conformidad con lo establecido en el artículo 196 de la Ley de Transparencia y Acceso a la Información Pública del Estado de México y Municipios, en caso de que considere que la resolución le cause </w:t>
      </w:r>
      <w:r>
        <w:rPr>
          <w:rFonts w:ascii="Palatino Linotype" w:eastAsia="Palatino Linotype" w:hAnsi="Palatino Linotype" w:cs="Palatino Linotype"/>
        </w:rPr>
        <w:lastRenderedPageBreak/>
        <w:t>algún perjuicio podrá impugnar vía juicio de amparo en los términos de las Leyes aplicables.</w:t>
      </w:r>
    </w:p>
    <w:p w14:paraId="4ABF1BA5" w14:textId="77777777" w:rsidR="003F586C" w:rsidRDefault="003F586C">
      <w:pPr>
        <w:shd w:val="clear" w:color="auto" w:fill="FFFFFF"/>
        <w:spacing w:line="360" w:lineRule="auto"/>
        <w:ind w:right="-787"/>
        <w:jc w:val="both"/>
        <w:rPr>
          <w:rFonts w:ascii="Palatino Linotype" w:eastAsia="Palatino Linotype" w:hAnsi="Palatino Linotype" w:cs="Palatino Linotype"/>
        </w:rPr>
      </w:pPr>
    </w:p>
    <w:p w14:paraId="463AC409" w14:textId="77777777" w:rsidR="006F1EB3" w:rsidRPr="003E2295" w:rsidRDefault="006F1EB3" w:rsidP="006F1EB3">
      <w:pPr>
        <w:spacing w:before="240" w:after="240" w:line="360" w:lineRule="auto"/>
        <w:ind w:right="-801" w:firstLine="1"/>
        <w:jc w:val="both"/>
        <w:rPr>
          <w:rFonts w:ascii="Palatino Linotype" w:hAnsi="Palatino Linotype"/>
        </w:rPr>
      </w:pPr>
      <w:bookmarkStart w:id="11" w:name="_heading=h.30j0zll" w:colFirst="0" w:colLast="0"/>
      <w:bookmarkStart w:id="12" w:name="_Hlk99014733"/>
      <w:bookmarkEnd w:id="11"/>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14:paraId="2EA68232" w14:textId="77777777" w:rsidR="003F586C" w:rsidRDefault="003F586C">
      <w:pPr>
        <w:spacing w:line="360" w:lineRule="auto"/>
        <w:ind w:right="-787"/>
        <w:rPr>
          <w:rFonts w:ascii="Palatino Linotype" w:eastAsia="Palatino Linotype" w:hAnsi="Palatino Linotype" w:cs="Palatino Linotype"/>
        </w:rPr>
      </w:pPr>
    </w:p>
    <w:p w14:paraId="44DD7502" w14:textId="77777777" w:rsidR="003F586C" w:rsidRDefault="003F586C">
      <w:pPr>
        <w:spacing w:line="360" w:lineRule="auto"/>
        <w:ind w:right="-787"/>
        <w:rPr>
          <w:rFonts w:ascii="Palatino Linotype" w:eastAsia="Palatino Linotype" w:hAnsi="Palatino Linotype" w:cs="Palatino Linotype"/>
        </w:rPr>
      </w:pPr>
    </w:p>
    <w:p w14:paraId="7EDE9415" w14:textId="77777777" w:rsidR="003F586C" w:rsidRDefault="003F586C">
      <w:pPr>
        <w:spacing w:line="360" w:lineRule="auto"/>
        <w:ind w:right="-787"/>
        <w:rPr>
          <w:rFonts w:ascii="Palatino Linotype" w:eastAsia="Palatino Linotype" w:hAnsi="Palatino Linotype" w:cs="Palatino Linotype"/>
        </w:rPr>
      </w:pPr>
    </w:p>
    <w:p w14:paraId="3BE3D8F9" w14:textId="77777777" w:rsidR="003F586C" w:rsidRDefault="003F586C">
      <w:pPr>
        <w:spacing w:line="360" w:lineRule="auto"/>
        <w:ind w:right="-787"/>
        <w:rPr>
          <w:rFonts w:ascii="Palatino Linotype" w:eastAsia="Palatino Linotype" w:hAnsi="Palatino Linotype" w:cs="Palatino Linotype"/>
        </w:rPr>
      </w:pPr>
    </w:p>
    <w:p w14:paraId="2F079F4D" w14:textId="77777777" w:rsidR="003F586C" w:rsidRDefault="003F586C">
      <w:pPr>
        <w:spacing w:line="360" w:lineRule="auto"/>
        <w:ind w:right="-787"/>
        <w:rPr>
          <w:rFonts w:ascii="Palatino Linotype" w:eastAsia="Palatino Linotype" w:hAnsi="Palatino Linotype" w:cs="Palatino Linotype"/>
        </w:rPr>
      </w:pPr>
    </w:p>
    <w:p w14:paraId="52771474" w14:textId="77777777" w:rsidR="003F586C" w:rsidRDefault="003F586C">
      <w:pPr>
        <w:spacing w:line="360" w:lineRule="auto"/>
        <w:ind w:right="-787"/>
        <w:rPr>
          <w:rFonts w:ascii="Palatino Linotype" w:eastAsia="Palatino Linotype" w:hAnsi="Palatino Linotype" w:cs="Palatino Linotype"/>
        </w:rPr>
      </w:pPr>
    </w:p>
    <w:p w14:paraId="3D588AEB" w14:textId="77777777" w:rsidR="003F586C" w:rsidRDefault="003764DB">
      <w:pPr>
        <w:tabs>
          <w:tab w:val="left" w:pos="3374"/>
        </w:tabs>
        <w:spacing w:line="360" w:lineRule="auto"/>
        <w:ind w:right="-787"/>
        <w:rPr>
          <w:rFonts w:ascii="Palatino Linotype" w:eastAsia="Palatino Linotype" w:hAnsi="Palatino Linotype" w:cs="Palatino Linotype"/>
        </w:rPr>
      </w:pPr>
      <w:r>
        <w:rPr>
          <w:rFonts w:ascii="Palatino Linotype" w:eastAsia="Palatino Linotype" w:hAnsi="Palatino Linotype" w:cs="Palatino Linotype"/>
        </w:rPr>
        <w:tab/>
      </w:r>
    </w:p>
    <w:p w14:paraId="08D63EFA" w14:textId="77777777" w:rsidR="003F586C" w:rsidRDefault="003F586C">
      <w:pPr>
        <w:tabs>
          <w:tab w:val="left" w:pos="3374"/>
        </w:tabs>
        <w:spacing w:line="360" w:lineRule="auto"/>
        <w:ind w:right="-787"/>
        <w:rPr>
          <w:rFonts w:ascii="Palatino Linotype" w:eastAsia="Palatino Linotype" w:hAnsi="Palatino Linotype" w:cs="Palatino Linotype"/>
        </w:rPr>
      </w:pPr>
    </w:p>
    <w:p w14:paraId="1E3ABBFD" w14:textId="77777777" w:rsidR="003F586C" w:rsidRDefault="003F586C">
      <w:pPr>
        <w:tabs>
          <w:tab w:val="left" w:pos="3374"/>
        </w:tabs>
        <w:spacing w:line="360" w:lineRule="auto"/>
        <w:ind w:right="-787"/>
        <w:rPr>
          <w:rFonts w:ascii="Palatino Linotype" w:eastAsia="Palatino Linotype" w:hAnsi="Palatino Linotype" w:cs="Palatino Linotype"/>
        </w:rPr>
      </w:pPr>
    </w:p>
    <w:p w14:paraId="4E4A911B" w14:textId="77777777" w:rsidR="003F586C" w:rsidRDefault="003F586C">
      <w:pPr>
        <w:tabs>
          <w:tab w:val="left" w:pos="3374"/>
        </w:tabs>
        <w:spacing w:line="360" w:lineRule="auto"/>
        <w:ind w:right="-787"/>
        <w:rPr>
          <w:rFonts w:ascii="Palatino Linotype" w:eastAsia="Palatino Linotype" w:hAnsi="Palatino Linotype" w:cs="Palatino Linotype"/>
        </w:rPr>
      </w:pPr>
    </w:p>
    <w:p w14:paraId="1DAD9B7E" w14:textId="77777777" w:rsidR="003F586C" w:rsidRDefault="003764DB">
      <w:pPr>
        <w:ind w:right="-787"/>
      </w:pPr>
      <w:r>
        <w:rPr>
          <w:rFonts w:ascii="Palatino Linotype" w:eastAsia="Palatino Linotype" w:hAnsi="Palatino Linotype" w:cs="Palatino Linotype"/>
        </w:rPr>
        <w:t xml:space="preserve"> </w:t>
      </w:r>
    </w:p>
    <w:p w14:paraId="2832ECB8" w14:textId="77777777" w:rsidR="003F586C" w:rsidRDefault="003F586C">
      <w:pPr>
        <w:ind w:right="-787"/>
      </w:pPr>
    </w:p>
    <w:p w14:paraId="44B00E4F" w14:textId="77777777" w:rsidR="003F586C" w:rsidRDefault="003F586C">
      <w:pPr>
        <w:ind w:right="-787"/>
      </w:pPr>
    </w:p>
    <w:p w14:paraId="3121C0C5" w14:textId="77777777" w:rsidR="003F586C" w:rsidRDefault="003F586C">
      <w:pPr>
        <w:ind w:right="-787"/>
      </w:pPr>
    </w:p>
    <w:p w14:paraId="76ED17C2" w14:textId="77777777" w:rsidR="003F586C" w:rsidRDefault="003F586C">
      <w:pPr>
        <w:ind w:right="-787"/>
      </w:pPr>
    </w:p>
    <w:p w14:paraId="00B577A6" w14:textId="77777777" w:rsidR="003F586C" w:rsidRDefault="003F586C">
      <w:pPr>
        <w:ind w:right="-787"/>
      </w:pPr>
    </w:p>
    <w:p w14:paraId="4CBBCCAF" w14:textId="77777777" w:rsidR="003F586C" w:rsidRDefault="003F586C">
      <w:pPr>
        <w:ind w:right="-787"/>
      </w:pPr>
    </w:p>
    <w:p w14:paraId="5BA823F3" w14:textId="77777777" w:rsidR="003F586C" w:rsidRDefault="003F586C">
      <w:pPr>
        <w:ind w:right="-787"/>
      </w:pPr>
    </w:p>
    <w:p w14:paraId="5C78066E" w14:textId="77777777" w:rsidR="003F586C" w:rsidRDefault="003F586C">
      <w:pPr>
        <w:ind w:right="-787"/>
      </w:pPr>
    </w:p>
    <w:p w14:paraId="039B8C0C" w14:textId="77777777" w:rsidR="003F586C" w:rsidRDefault="003F586C">
      <w:pPr>
        <w:ind w:right="-787"/>
      </w:pPr>
    </w:p>
    <w:p w14:paraId="015852EC" w14:textId="77777777" w:rsidR="003F586C" w:rsidRDefault="003F586C">
      <w:pPr>
        <w:ind w:right="-787"/>
      </w:pPr>
    </w:p>
    <w:sectPr w:rsidR="003F586C">
      <w:headerReference w:type="even" r:id="rId9"/>
      <w:headerReference w:type="default" r:id="rId10"/>
      <w:footerReference w:type="default" r:id="rId11"/>
      <w:headerReference w:type="first" r:id="rId12"/>
      <w:footerReference w:type="first" r:id="rId13"/>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B977F" w14:textId="77777777" w:rsidR="001A5288" w:rsidRDefault="001A5288">
      <w:r>
        <w:separator/>
      </w:r>
    </w:p>
  </w:endnote>
  <w:endnote w:type="continuationSeparator" w:id="0">
    <w:p w14:paraId="1B4B0781" w14:textId="77777777" w:rsidR="001A5288" w:rsidRDefault="001A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1E1D3F69-7399-4AA4-A136-33581A597C1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CC46675-7450-4082-A473-FB3D754BE47A}"/>
    <w:embedBold r:id="rId3" w:fontKey="{A47531A7-C501-4583-B9FA-6AF99732AAD8}"/>
    <w:embedItalic r:id="rId4" w:fontKey="{45FC68EE-0B8A-45D1-B89E-A34AB396C8CE}"/>
    <w:embedBoldItalic r:id="rId5" w:fontKey="{2E970841-5C32-4C28-94C3-2DE77F0B94AF}"/>
  </w:font>
  <w:font w:name="Calibri">
    <w:panose1 w:val="020F0502020204030204"/>
    <w:charset w:val="00"/>
    <w:family w:val="swiss"/>
    <w:pitch w:val="variable"/>
    <w:sig w:usb0="E4002EFF" w:usb1="C200247B" w:usb2="00000009" w:usb3="00000000" w:csb0="000001FF" w:csb1="00000000"/>
    <w:embedRegular r:id="rId6" w:fontKey="{11A1DBAF-1E93-496B-BCFB-7C4845680047}"/>
    <w:embedBold r:id="rId7" w:fontKey="{614D5FFF-F53C-4202-BCA5-43B9674E2E91}"/>
  </w:font>
  <w:font w:name="Georgia">
    <w:panose1 w:val="02040502050405020303"/>
    <w:charset w:val="00"/>
    <w:family w:val="roman"/>
    <w:pitch w:val="variable"/>
    <w:sig w:usb0="00000287" w:usb1="00000000" w:usb2="00000000" w:usb3="00000000" w:csb0="0000009F" w:csb1="00000000"/>
    <w:embedItalic r:id="rId8" w:fontKey="{9D8B4B38-4E93-4594-8E16-5316FA859D45}"/>
  </w:font>
  <w:font w:name="Verdana">
    <w:panose1 w:val="020B0604030504040204"/>
    <w:charset w:val="00"/>
    <w:family w:val="swiss"/>
    <w:pitch w:val="variable"/>
    <w:sig w:usb0="A00006FF" w:usb1="4000205B" w:usb2="00000010" w:usb3="00000000" w:csb0="0000019F" w:csb1="00000000"/>
    <w:embedRegular r:id="rId9" w:fontKey="{A2500275-509C-485A-90F6-DDECC0C5B211}"/>
  </w:font>
  <w:font w:name="Cambria">
    <w:panose1 w:val="02040503050406030204"/>
    <w:charset w:val="00"/>
    <w:family w:val="roman"/>
    <w:pitch w:val="variable"/>
    <w:sig w:usb0="E00006FF" w:usb1="420024FF" w:usb2="02000000" w:usb3="00000000" w:csb0="0000019F" w:csb1="00000000"/>
    <w:embedRegular r:id="rId10" w:fontKey="{9EF1400A-554F-426E-9A8E-9A567847C5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F47DF" w14:textId="77777777" w:rsidR="003F586C" w:rsidRDefault="003764D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0C7D62">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0C7D62">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14:paraId="34B50896" w14:textId="77777777" w:rsidR="003F586C" w:rsidRDefault="003F586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F3812" w14:textId="77777777" w:rsidR="003F586C" w:rsidRDefault="003764D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0C7D62">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0C7D62">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14:paraId="54C70366" w14:textId="77777777" w:rsidR="003F586C" w:rsidRDefault="003F586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0D834" w14:textId="77777777" w:rsidR="001A5288" w:rsidRDefault="001A5288">
      <w:r>
        <w:separator/>
      </w:r>
    </w:p>
  </w:footnote>
  <w:footnote w:type="continuationSeparator" w:id="0">
    <w:p w14:paraId="164104D9" w14:textId="77777777" w:rsidR="001A5288" w:rsidRDefault="001A5288">
      <w:r>
        <w:continuationSeparator/>
      </w:r>
    </w:p>
  </w:footnote>
  <w:footnote w:id="1">
    <w:p w14:paraId="0E13F59C" w14:textId="77777777" w:rsidR="003F586C" w:rsidRDefault="003764D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2EC229AE" w14:textId="77777777" w:rsidR="003F586C" w:rsidRDefault="003764D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69C5C10A" w14:textId="77777777" w:rsidR="003F586C" w:rsidRDefault="003764D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628B8BC0" w14:textId="77777777" w:rsidR="003F586C" w:rsidRDefault="003764D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w:t>
      </w:r>
      <w:proofErr w:type="spellStart"/>
      <w:r>
        <w:rPr>
          <w:color w:val="000000"/>
          <w:sz w:val="20"/>
          <w:szCs w:val="20"/>
        </w:rPr>
        <w:t>Parr</w:t>
      </w:r>
      <w:proofErr w:type="spellEnd"/>
      <w:r>
        <w:rPr>
          <w:color w:val="000000"/>
          <w:sz w:val="20"/>
          <w:szCs w:val="20"/>
        </w:rPr>
        <w:t>.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ECAF1" w14:textId="77777777" w:rsidR="003F586C" w:rsidRDefault="001A5288">
    <w:pPr>
      <w:pBdr>
        <w:top w:val="nil"/>
        <w:left w:val="nil"/>
        <w:bottom w:val="nil"/>
        <w:right w:val="nil"/>
        <w:between w:val="nil"/>
      </w:pBdr>
      <w:tabs>
        <w:tab w:val="center" w:pos="4419"/>
        <w:tab w:val="right" w:pos="8838"/>
      </w:tabs>
      <w:rPr>
        <w:color w:val="000000"/>
      </w:rPr>
    </w:pPr>
    <w:r>
      <w:rPr>
        <w:color w:val="000000"/>
      </w:rPr>
      <w:pict w14:anchorId="7DD82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519" w:type="dxa"/>
      <w:tblInd w:w="3032" w:type="dxa"/>
      <w:tblLayout w:type="fixed"/>
      <w:tblLook w:val="0400" w:firstRow="0" w:lastRow="0" w:firstColumn="0" w:lastColumn="0" w:noHBand="0" w:noVBand="1"/>
    </w:tblPr>
    <w:tblGrid>
      <w:gridCol w:w="2976"/>
      <w:gridCol w:w="3543"/>
    </w:tblGrid>
    <w:tr w:rsidR="003F586C" w14:paraId="70A515EE" w14:textId="77777777">
      <w:trPr>
        <w:trHeight w:val="227"/>
      </w:trPr>
      <w:tc>
        <w:tcPr>
          <w:tcW w:w="2976" w:type="dxa"/>
          <w:vAlign w:val="center"/>
        </w:tcPr>
        <w:p w14:paraId="29FEDFA0" w14:textId="77777777" w:rsidR="003F586C" w:rsidRDefault="003764D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14:paraId="31D5C2F6" w14:textId="77777777" w:rsidR="003F586C" w:rsidRDefault="003764D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01333/INFOEM/IP/RR/2026</w:t>
          </w:r>
        </w:p>
      </w:tc>
    </w:tr>
    <w:tr w:rsidR="003F586C" w14:paraId="720B4F91" w14:textId="77777777">
      <w:trPr>
        <w:trHeight w:val="242"/>
      </w:trPr>
      <w:tc>
        <w:tcPr>
          <w:tcW w:w="2976" w:type="dxa"/>
          <w:vAlign w:val="center"/>
        </w:tcPr>
        <w:p w14:paraId="08473F01" w14:textId="77777777" w:rsidR="003F586C" w:rsidRDefault="003764D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14:paraId="3048C070" w14:textId="77777777" w:rsidR="003F586C" w:rsidRDefault="003764DB">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 xml:space="preserve">Ayuntamiento de Toluca </w:t>
          </w:r>
        </w:p>
      </w:tc>
    </w:tr>
    <w:tr w:rsidR="003F586C" w14:paraId="3C3C3CCF" w14:textId="77777777">
      <w:trPr>
        <w:trHeight w:val="342"/>
      </w:trPr>
      <w:tc>
        <w:tcPr>
          <w:tcW w:w="2976" w:type="dxa"/>
          <w:vAlign w:val="center"/>
        </w:tcPr>
        <w:p w14:paraId="36F8676F" w14:textId="77777777" w:rsidR="003F586C" w:rsidRDefault="003764DB">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14:paraId="72A4ED9B" w14:textId="77777777" w:rsidR="003F586C" w:rsidRDefault="003764D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6DF5A172" w14:textId="77777777" w:rsidR="003F586C" w:rsidRDefault="001A528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6956F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60" w:type="dxa"/>
      <w:tblInd w:w="3207" w:type="dxa"/>
      <w:tblLayout w:type="fixed"/>
      <w:tblLook w:val="0400" w:firstRow="0" w:lastRow="0" w:firstColumn="0" w:lastColumn="0" w:noHBand="0" w:noVBand="1"/>
    </w:tblPr>
    <w:tblGrid>
      <w:gridCol w:w="2977"/>
      <w:gridCol w:w="3683"/>
    </w:tblGrid>
    <w:tr w:rsidR="003F586C" w14:paraId="44EEA62F" w14:textId="77777777">
      <w:trPr>
        <w:trHeight w:val="227"/>
      </w:trPr>
      <w:tc>
        <w:tcPr>
          <w:tcW w:w="2977" w:type="dxa"/>
          <w:vAlign w:val="center"/>
        </w:tcPr>
        <w:p w14:paraId="194D73A0" w14:textId="77777777" w:rsidR="003F586C" w:rsidRDefault="003764D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14:paraId="4B598921" w14:textId="77777777" w:rsidR="003F586C" w:rsidRDefault="003764D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01333/INFOEM/IP/RR/2026</w:t>
          </w:r>
        </w:p>
      </w:tc>
    </w:tr>
    <w:tr w:rsidR="003F586C" w14:paraId="0AACF988" w14:textId="77777777">
      <w:trPr>
        <w:trHeight w:val="242"/>
      </w:trPr>
      <w:tc>
        <w:tcPr>
          <w:tcW w:w="2977" w:type="dxa"/>
          <w:vAlign w:val="center"/>
        </w:tcPr>
        <w:p w14:paraId="126A21D5" w14:textId="77777777" w:rsidR="003F586C" w:rsidRDefault="003764DB">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14:paraId="0CA0AA2B" w14:textId="3CF5F9AA" w:rsidR="003F586C" w:rsidRDefault="003764DB" w:rsidP="006F1EB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 </w:t>
          </w:r>
        </w:p>
      </w:tc>
    </w:tr>
    <w:tr w:rsidR="003F586C" w14:paraId="710958F7" w14:textId="77777777">
      <w:trPr>
        <w:trHeight w:val="342"/>
      </w:trPr>
      <w:tc>
        <w:tcPr>
          <w:tcW w:w="2977" w:type="dxa"/>
          <w:vAlign w:val="center"/>
        </w:tcPr>
        <w:p w14:paraId="28ED9BF1" w14:textId="77777777" w:rsidR="003F586C" w:rsidRDefault="003764DB">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14:paraId="3E84359B" w14:textId="77777777" w:rsidR="003F586C" w:rsidRDefault="003764DB">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3F586C" w14:paraId="746A6F8D" w14:textId="77777777">
      <w:trPr>
        <w:trHeight w:val="342"/>
      </w:trPr>
      <w:tc>
        <w:tcPr>
          <w:tcW w:w="2977" w:type="dxa"/>
          <w:vAlign w:val="center"/>
        </w:tcPr>
        <w:p w14:paraId="0EA6FDE2" w14:textId="77777777" w:rsidR="003F586C" w:rsidRDefault="003764DB">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14:paraId="37668E36" w14:textId="77777777" w:rsidR="003F586C" w:rsidRDefault="003764DB">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32466E6F" w14:textId="77777777" w:rsidR="003F586C" w:rsidRDefault="001A5288">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47C93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85652"/>
    <w:multiLevelType w:val="multilevel"/>
    <w:tmpl w:val="7ED07AB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C23FC3"/>
    <w:multiLevelType w:val="multilevel"/>
    <w:tmpl w:val="DFE87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611094"/>
    <w:multiLevelType w:val="multilevel"/>
    <w:tmpl w:val="741CDE9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583E0A7D"/>
    <w:multiLevelType w:val="multilevel"/>
    <w:tmpl w:val="1950883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4" w15:restartNumberingAfterBreak="0">
    <w:nsid w:val="658E55FE"/>
    <w:multiLevelType w:val="multilevel"/>
    <w:tmpl w:val="87EE254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7AA2E24"/>
    <w:multiLevelType w:val="multilevel"/>
    <w:tmpl w:val="BFEC52E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8E72598"/>
    <w:multiLevelType w:val="multilevel"/>
    <w:tmpl w:val="D514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B8232C"/>
    <w:multiLevelType w:val="multilevel"/>
    <w:tmpl w:val="F8C2F3F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4"/>
  </w:num>
  <w:num w:numId="2">
    <w:abstractNumId w:val="3"/>
  </w:num>
  <w:num w:numId="3">
    <w:abstractNumId w:val="1"/>
  </w:num>
  <w:num w:numId="4">
    <w:abstractNumId w:val="6"/>
  </w:num>
  <w:num w:numId="5">
    <w:abstractNumId w:val="2"/>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86C"/>
    <w:rsid w:val="00074D19"/>
    <w:rsid w:val="000C7D62"/>
    <w:rsid w:val="001A5288"/>
    <w:rsid w:val="003764DB"/>
    <w:rsid w:val="003F586C"/>
    <w:rsid w:val="004C6CCF"/>
    <w:rsid w:val="004F5D8E"/>
    <w:rsid w:val="0061397E"/>
    <w:rsid w:val="006D1751"/>
    <w:rsid w:val="006F1EB3"/>
    <w:rsid w:val="00A7033A"/>
    <w:rsid w:val="00B07D6C"/>
    <w:rsid w:val="00CE6C54"/>
    <w:rsid w:val="00F11C86"/>
    <w:rsid w:val="00F8225E"/>
    <w:rsid w:val="00FB51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D90D8D"/>
  <w15:docId w15:val="{1BC39759-25DC-4A67-A45C-C578E91B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6F1EB3"/>
    <w:pPr>
      <w:tabs>
        <w:tab w:val="center" w:pos="4419"/>
        <w:tab w:val="right" w:pos="8838"/>
      </w:tabs>
    </w:pPr>
  </w:style>
  <w:style w:type="character" w:customStyle="1" w:styleId="PiedepginaCar">
    <w:name w:val="Pie de página Car"/>
    <w:basedOn w:val="Fuentedeprrafopredeter"/>
    <w:link w:val="Piedepgina"/>
    <w:uiPriority w:val="99"/>
    <w:rsid w:val="006F1EB3"/>
  </w:style>
  <w:style w:type="paragraph" w:styleId="Prrafodelista">
    <w:name w:val="List Paragraph"/>
    <w:basedOn w:val="Normal"/>
    <w:uiPriority w:val="34"/>
    <w:qFormat/>
    <w:rsid w:val="00CE6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s.curp.gob.mx/CurpSP/html/informacionecurpP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aFtu6Tu/RcJCm7C4qbPCsisthw==">CgMxLjAyCWguM3pueXNoNzIJaC4yZXQ5MnAwMghoLnR5amN3dDIIaC5namRneHMyCWguMXQzaDVzZjIJaC40ZDM0b2c4MgloLjJzOGV5bzEyDmguNGhtM3ZscmpqY3cyMghoLmxueGJ6OTIOaC53ZHR0M2FxOHVpOWcyCWguMzBqMHpsbDgAciExYktyZmVrSmNHM2Jtdks0ZFhGNGhNdUQxYU1Fa3JwcHo=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32</Pages>
  <Words>7587</Words>
  <Characters>41729</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2026-05-29T00:06:00Z</cp:lastPrinted>
  <dcterms:created xsi:type="dcterms:W3CDTF">2026-05-25T17:42:00Z</dcterms:created>
  <dcterms:modified xsi:type="dcterms:W3CDTF">2026-06-02T23:11:00Z</dcterms:modified>
</cp:coreProperties>
</file>