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EA024BA" w:rsidR="00A970D5" w:rsidRPr="005859C2" w:rsidRDefault="00A970D5" w:rsidP="00F62375">
      <w:pPr>
        <w:pStyle w:val="NormalINFOEM"/>
      </w:pPr>
      <w:r w:rsidRPr="005859C2">
        <w:t>Resolución del Pleno del Instituto de Transparencia, Acceso a la Información Pública y Protección de Datos Personales del Estado de México</w:t>
      </w:r>
      <w:r w:rsidR="00FD2A3F" w:rsidRPr="005859C2">
        <w:t xml:space="preserve"> </w:t>
      </w:r>
      <w:r w:rsidRPr="005859C2">
        <w:t xml:space="preserve">y Municipios, con domicilio en Metepec, Estado de </w:t>
      </w:r>
      <w:r w:rsidR="008B2951" w:rsidRPr="005859C2">
        <w:t xml:space="preserve">México, </w:t>
      </w:r>
      <w:r w:rsidR="000D2E93" w:rsidRPr="005859C2">
        <w:t>a</w:t>
      </w:r>
      <w:r w:rsidR="0011108B" w:rsidRPr="005859C2">
        <w:t xml:space="preserve"> </w:t>
      </w:r>
      <w:r w:rsidR="00501B72" w:rsidRPr="005859C2">
        <w:t>tres de junio de dos mil veintiséis</w:t>
      </w:r>
      <w:r w:rsidR="0011108B" w:rsidRPr="005859C2">
        <w:t>.</w:t>
      </w:r>
    </w:p>
    <w:p w14:paraId="60399B74"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 w:val="22"/>
        </w:rPr>
      </w:pPr>
    </w:p>
    <w:p w14:paraId="1D0D9BD7" w14:textId="357F17FD" w:rsidR="00A970D5" w:rsidRPr="005859C2" w:rsidRDefault="70652167" w:rsidP="00F62375">
      <w:pPr>
        <w:pBdr>
          <w:top w:val="nil"/>
          <w:left w:val="nil"/>
          <w:bottom w:val="nil"/>
          <w:right w:val="nil"/>
          <w:between w:val="nil"/>
        </w:pBdr>
        <w:contextualSpacing/>
        <w:rPr>
          <w:rFonts w:eastAsia="Palatino Linotype" w:cs="Palatino Linotype"/>
          <w:b/>
          <w:bCs/>
          <w:color w:val="000000"/>
          <w:lang w:val="es-ES"/>
        </w:rPr>
      </w:pPr>
      <w:r w:rsidRPr="005859C2">
        <w:rPr>
          <w:rFonts w:eastAsia="Palatino Linotype" w:cs="Palatino Linotype"/>
          <w:b/>
          <w:bCs/>
          <w:color w:val="000000" w:themeColor="text1"/>
          <w:lang w:val="es-ES"/>
        </w:rPr>
        <w:t>VISTO</w:t>
      </w:r>
      <w:r w:rsidRPr="005859C2">
        <w:rPr>
          <w:rFonts w:eastAsia="Palatino Linotype" w:cs="Palatino Linotype"/>
          <w:color w:val="000000" w:themeColor="text1"/>
          <w:lang w:val="es-ES"/>
        </w:rPr>
        <w:t xml:space="preserve"> el expediente electrónico formado con motivo del recurso de revisión número </w:t>
      </w:r>
      <w:bookmarkStart w:id="0" w:name="_GoBack"/>
      <w:r w:rsidR="00782262" w:rsidRPr="005859C2">
        <w:rPr>
          <w:rFonts w:eastAsia="Palatino Linotype" w:cs="Palatino Linotype"/>
          <w:b/>
          <w:bCs/>
          <w:color w:val="000000" w:themeColor="text1"/>
          <w:lang w:val="es-ES"/>
        </w:rPr>
        <w:t>08225</w:t>
      </w:r>
      <w:r w:rsidR="00252F83" w:rsidRPr="005859C2">
        <w:rPr>
          <w:rFonts w:eastAsia="Palatino Linotype" w:cs="Palatino Linotype"/>
          <w:b/>
          <w:bCs/>
          <w:color w:val="000000" w:themeColor="text1"/>
          <w:lang w:val="es-ES"/>
        </w:rPr>
        <w:t>/INFOEM/IP/RR/2025</w:t>
      </w:r>
      <w:bookmarkEnd w:id="0"/>
      <w:r w:rsidRPr="005859C2">
        <w:rPr>
          <w:rFonts w:eastAsia="Palatino Linotype" w:cs="Palatino Linotype"/>
          <w:color w:val="000000" w:themeColor="text1"/>
          <w:lang w:val="es-ES"/>
        </w:rPr>
        <w:t>, interpuesto por</w:t>
      </w:r>
      <w:r w:rsidR="002F3AD7" w:rsidRPr="005859C2">
        <w:rPr>
          <w:rFonts w:eastAsia="Palatino Linotype" w:cs="Palatino Linotype"/>
          <w:color w:val="000000" w:themeColor="text1"/>
          <w:lang w:val="es-ES"/>
        </w:rPr>
        <w:t xml:space="preserve"> </w:t>
      </w:r>
      <w:r w:rsidR="00782262" w:rsidRPr="005859C2">
        <w:rPr>
          <w:rFonts w:eastAsia="Palatino Linotype" w:cs="Palatino Linotype"/>
          <w:color w:val="000000" w:themeColor="text1"/>
          <w:lang w:val="es-ES"/>
        </w:rPr>
        <w:t xml:space="preserve">el C. </w:t>
      </w:r>
      <w:r w:rsidR="00FF752B">
        <w:rPr>
          <w:rFonts w:eastAsia="Palatino Linotype" w:cs="Palatino Linotype"/>
          <w:b/>
          <w:color w:val="000000" w:themeColor="text1"/>
          <w:lang w:val="es-ES"/>
        </w:rPr>
        <w:t>xxx</w:t>
      </w:r>
      <w:r w:rsidR="00E97C2F" w:rsidRPr="005859C2">
        <w:rPr>
          <w:rFonts w:eastAsia="Palatino Linotype" w:cs="Palatino Linotype"/>
          <w:color w:val="000000" w:themeColor="text1"/>
          <w:lang w:val="es-ES"/>
        </w:rPr>
        <w:t>, en lo su</w:t>
      </w:r>
      <w:r w:rsidR="00771E23" w:rsidRPr="005859C2">
        <w:rPr>
          <w:rFonts w:eastAsia="Palatino Linotype" w:cs="Palatino Linotype"/>
          <w:color w:val="000000" w:themeColor="text1"/>
          <w:lang w:val="es-ES"/>
        </w:rPr>
        <w:t>cesivo el</w:t>
      </w:r>
      <w:r w:rsidRPr="005859C2">
        <w:rPr>
          <w:rFonts w:eastAsia="Palatino Linotype" w:cs="Palatino Linotype"/>
          <w:color w:val="000000" w:themeColor="text1"/>
          <w:lang w:val="es-ES"/>
        </w:rPr>
        <w:t xml:space="preserve"> </w:t>
      </w:r>
      <w:r w:rsidRPr="005859C2">
        <w:rPr>
          <w:rFonts w:eastAsia="Palatino Linotype" w:cs="Palatino Linotype"/>
          <w:b/>
          <w:bCs/>
          <w:color w:val="000000" w:themeColor="text1"/>
          <w:lang w:val="es-ES"/>
        </w:rPr>
        <w:t>Recurrente</w:t>
      </w:r>
      <w:r w:rsidRPr="005859C2">
        <w:rPr>
          <w:rFonts w:eastAsia="Palatino Linotype" w:cs="Palatino Linotype"/>
          <w:color w:val="000000" w:themeColor="text1"/>
          <w:lang w:val="es-ES"/>
        </w:rPr>
        <w:t>, en contra de la respuesta de</w:t>
      </w:r>
      <w:r w:rsidR="00E24F05" w:rsidRPr="005859C2">
        <w:rPr>
          <w:rFonts w:eastAsia="Palatino Linotype" w:cs="Palatino Linotype"/>
          <w:color w:val="000000" w:themeColor="text1"/>
          <w:lang w:val="es-ES"/>
        </w:rPr>
        <w:t>l</w:t>
      </w:r>
      <w:r w:rsidRPr="005859C2">
        <w:rPr>
          <w:rFonts w:eastAsia="Palatino Linotype" w:cs="Palatino Linotype"/>
          <w:color w:val="000000" w:themeColor="text1"/>
          <w:lang w:val="es-ES"/>
        </w:rPr>
        <w:t xml:space="preserve"> </w:t>
      </w:r>
      <w:r w:rsidR="00782262" w:rsidRPr="005859C2">
        <w:rPr>
          <w:b/>
          <w:bCs/>
          <w:color w:val="000000"/>
          <w:szCs w:val="14"/>
        </w:rPr>
        <w:t>Ayuntamiento de Toluca</w:t>
      </w:r>
      <w:r w:rsidR="00771E23" w:rsidRPr="005859C2">
        <w:rPr>
          <w:rFonts w:eastAsia="Palatino Linotype" w:cs="Palatino Linotype"/>
          <w:b/>
          <w:bCs/>
          <w:color w:val="000000" w:themeColor="text1"/>
          <w:lang w:val="es-ES"/>
        </w:rPr>
        <w:t>,</w:t>
      </w:r>
      <w:r w:rsidR="00920835" w:rsidRPr="005859C2">
        <w:rPr>
          <w:rFonts w:eastAsia="Palatino Linotype" w:cs="Palatino Linotype"/>
          <w:b/>
          <w:bCs/>
          <w:color w:val="000000" w:themeColor="text1"/>
          <w:lang w:val="es-ES"/>
        </w:rPr>
        <w:t xml:space="preserve"> </w:t>
      </w:r>
      <w:r w:rsidRPr="005859C2">
        <w:rPr>
          <w:rFonts w:eastAsia="Palatino Linotype" w:cs="Palatino Linotype"/>
          <w:color w:val="000000" w:themeColor="text1"/>
          <w:lang w:val="es-ES"/>
        </w:rPr>
        <w:t>en lo subsecuente</w:t>
      </w:r>
      <w:r w:rsidRPr="005859C2">
        <w:rPr>
          <w:rFonts w:eastAsia="Palatino Linotype" w:cs="Palatino Linotype"/>
          <w:b/>
          <w:bCs/>
          <w:color w:val="000000" w:themeColor="text1"/>
          <w:lang w:val="es-ES"/>
        </w:rPr>
        <w:t xml:space="preserve"> </w:t>
      </w:r>
      <w:r w:rsidRPr="005859C2">
        <w:rPr>
          <w:rFonts w:eastAsia="Palatino Linotype" w:cs="Palatino Linotype"/>
          <w:color w:val="000000" w:themeColor="text1"/>
          <w:lang w:val="es-ES"/>
        </w:rPr>
        <w:t>el</w:t>
      </w:r>
      <w:r w:rsidRPr="005859C2">
        <w:rPr>
          <w:rFonts w:eastAsia="Palatino Linotype" w:cs="Palatino Linotype"/>
          <w:b/>
          <w:bCs/>
          <w:color w:val="000000" w:themeColor="text1"/>
          <w:lang w:val="es-ES"/>
        </w:rPr>
        <w:t xml:space="preserve"> Sujeto Obligado, </w:t>
      </w:r>
      <w:r w:rsidRPr="005859C2">
        <w:rPr>
          <w:rFonts w:eastAsia="Palatino Linotype" w:cs="Palatino Linotype"/>
          <w:color w:val="000000" w:themeColor="text1"/>
          <w:lang w:val="es-ES"/>
        </w:rPr>
        <w:t>se procede a dictar la presente resolución.</w:t>
      </w:r>
    </w:p>
    <w:p w14:paraId="2E2053C2"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 w:val="22"/>
        </w:rPr>
      </w:pPr>
    </w:p>
    <w:p w14:paraId="293A0C59" w14:textId="77777777" w:rsidR="00A970D5" w:rsidRPr="005859C2" w:rsidRDefault="00A970D5" w:rsidP="00F62375">
      <w:pPr>
        <w:pStyle w:val="Ttulo1"/>
        <w:rPr>
          <w:rFonts w:eastAsia="Palatino Linotype"/>
          <w:lang w:val="es-ES_tradnl"/>
        </w:rPr>
      </w:pPr>
      <w:r w:rsidRPr="005859C2">
        <w:rPr>
          <w:rFonts w:eastAsia="Palatino Linotype"/>
          <w:lang w:val="es-ES_tradnl"/>
        </w:rPr>
        <w:t>A N T E C E D E N T E S</w:t>
      </w:r>
    </w:p>
    <w:p w14:paraId="32F88820"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 w:val="22"/>
        </w:rPr>
      </w:pPr>
    </w:p>
    <w:p w14:paraId="038B0CA5" w14:textId="5C9CB8F2" w:rsidR="00A970D5" w:rsidRPr="005859C2" w:rsidRDefault="00A970D5" w:rsidP="00F62375">
      <w:pPr>
        <w:pStyle w:val="Ttulo2"/>
        <w:rPr>
          <w:rFonts w:eastAsia="Palatino Linotype"/>
        </w:rPr>
      </w:pPr>
      <w:r w:rsidRPr="005859C2">
        <w:rPr>
          <w:rFonts w:eastAsia="Palatino Linotype"/>
        </w:rPr>
        <w:t xml:space="preserve">PRIMERO. De la </w:t>
      </w:r>
      <w:r w:rsidR="00A24D3F" w:rsidRPr="005859C2">
        <w:rPr>
          <w:rFonts w:eastAsia="Palatino Linotype"/>
        </w:rPr>
        <w:t>s</w:t>
      </w:r>
      <w:r w:rsidRPr="005859C2">
        <w:rPr>
          <w:rFonts w:eastAsia="Palatino Linotype"/>
        </w:rPr>
        <w:t xml:space="preserve">olicitud de </w:t>
      </w:r>
      <w:r w:rsidR="00A24D3F" w:rsidRPr="005859C2">
        <w:rPr>
          <w:rFonts w:eastAsia="Palatino Linotype"/>
        </w:rPr>
        <w:t>i</w:t>
      </w:r>
      <w:r w:rsidRPr="005859C2">
        <w:rPr>
          <w:rFonts w:eastAsia="Palatino Linotype"/>
        </w:rPr>
        <w:t>nformación.</w:t>
      </w:r>
    </w:p>
    <w:p w14:paraId="0870C154" w14:textId="44551FEC" w:rsidR="00A970D5" w:rsidRPr="005859C2" w:rsidRDefault="00B36B86"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Con fecha</w:t>
      </w:r>
      <w:r w:rsidR="00AA6C98" w:rsidRPr="005859C2">
        <w:rPr>
          <w:rFonts w:eastAsia="Palatino Linotype" w:cs="Palatino Linotype"/>
          <w:color w:val="000000"/>
          <w:szCs w:val="24"/>
        </w:rPr>
        <w:t xml:space="preserve"> </w:t>
      </w:r>
      <w:r w:rsidR="00782262" w:rsidRPr="005859C2">
        <w:rPr>
          <w:rFonts w:eastAsia="Palatino Linotype" w:cs="Palatino Linotype"/>
          <w:color w:val="000000"/>
          <w:szCs w:val="24"/>
        </w:rPr>
        <w:t>veintiséis de mayo</w:t>
      </w:r>
      <w:r w:rsidR="00AC4CAF" w:rsidRPr="005859C2">
        <w:rPr>
          <w:rFonts w:eastAsia="Palatino Linotype" w:cs="Palatino Linotype"/>
          <w:color w:val="000000"/>
          <w:szCs w:val="24"/>
        </w:rPr>
        <w:t xml:space="preserve"> de dos mil veinticinco</w:t>
      </w:r>
      <w:r w:rsidR="00B54BC7" w:rsidRPr="005859C2">
        <w:rPr>
          <w:rFonts w:eastAsia="Palatino Linotype" w:cs="Palatino Linotype"/>
          <w:color w:val="000000"/>
          <w:szCs w:val="24"/>
        </w:rPr>
        <w:t xml:space="preserve">, </w:t>
      </w:r>
      <w:r w:rsidR="00771E23" w:rsidRPr="005859C2">
        <w:rPr>
          <w:rFonts w:eastAsia="Palatino Linotype" w:cs="Palatino Linotype"/>
          <w:color w:val="000000"/>
          <w:szCs w:val="24"/>
        </w:rPr>
        <w:t>el</w:t>
      </w:r>
      <w:r w:rsidR="00A970D5" w:rsidRPr="005859C2">
        <w:rPr>
          <w:rFonts w:eastAsia="Palatino Linotype" w:cs="Palatino Linotype"/>
          <w:color w:val="000000"/>
          <w:szCs w:val="24"/>
        </w:rPr>
        <w:t xml:space="preserve"> Recurrente presentó </w:t>
      </w:r>
      <w:r w:rsidR="00597C06" w:rsidRPr="005859C2">
        <w:rPr>
          <w:rFonts w:eastAsia="Palatino Linotype" w:cs="Palatino Linotype"/>
          <w:color w:val="000000"/>
          <w:szCs w:val="24"/>
        </w:rPr>
        <w:t xml:space="preserve">solicitud de información que fue registrada en </w:t>
      </w:r>
      <w:r w:rsidR="00A970D5" w:rsidRPr="005859C2">
        <w:rPr>
          <w:rFonts w:eastAsia="Palatino Linotype" w:cs="Palatino Linotype"/>
          <w:color w:val="000000"/>
          <w:szCs w:val="24"/>
        </w:rPr>
        <w:t>el Sistema de Acceso a la Información Mexiquense (</w:t>
      </w:r>
      <w:r w:rsidR="00A970D5" w:rsidRPr="005859C2">
        <w:rPr>
          <w:rFonts w:eastAsia="Palatino Linotype" w:cs="Palatino Linotype"/>
          <w:b/>
          <w:color w:val="000000"/>
          <w:szCs w:val="24"/>
        </w:rPr>
        <w:t>SAIMEX</w:t>
      </w:r>
      <w:r w:rsidR="00A970D5" w:rsidRPr="005859C2">
        <w:rPr>
          <w:rFonts w:eastAsia="Palatino Linotype" w:cs="Palatino Linotype"/>
          <w:color w:val="000000"/>
          <w:szCs w:val="24"/>
        </w:rPr>
        <w:t>) con el número</w:t>
      </w:r>
      <w:r w:rsidR="00642669" w:rsidRPr="005859C2">
        <w:rPr>
          <w:rFonts w:eastAsia="Palatino Linotype" w:cs="Palatino Linotype"/>
          <w:b/>
          <w:bCs/>
          <w:color w:val="000000"/>
          <w:szCs w:val="24"/>
        </w:rPr>
        <w:t xml:space="preserve"> </w:t>
      </w:r>
      <w:r w:rsidR="00782262" w:rsidRPr="005859C2">
        <w:rPr>
          <w:rFonts w:eastAsia="Palatino Linotype" w:cs="Palatino Linotype"/>
          <w:b/>
          <w:bCs/>
          <w:color w:val="000000"/>
          <w:szCs w:val="24"/>
        </w:rPr>
        <w:t>03039/TOLUCA/IP/2025</w:t>
      </w:r>
      <w:r w:rsidR="00A970D5" w:rsidRPr="005859C2">
        <w:rPr>
          <w:rFonts w:eastAsia="Palatino Linotype" w:cs="Palatino Linotype"/>
          <w:color w:val="000000"/>
          <w:szCs w:val="24"/>
        </w:rPr>
        <w:t>,</w:t>
      </w:r>
      <w:r w:rsidR="00A970D5" w:rsidRPr="005859C2">
        <w:rPr>
          <w:rFonts w:eastAsia="Palatino Linotype" w:cs="Palatino Linotype"/>
          <w:b/>
          <w:color w:val="000000"/>
          <w:szCs w:val="24"/>
        </w:rPr>
        <w:t xml:space="preserve"> </w:t>
      </w:r>
      <w:r w:rsidR="00A970D5" w:rsidRPr="005859C2">
        <w:rPr>
          <w:rFonts w:eastAsia="Palatino Linotype" w:cs="Palatino Linotype"/>
          <w:color w:val="000000"/>
          <w:szCs w:val="24"/>
        </w:rPr>
        <w:t xml:space="preserve">mediante la cual solicitó </w:t>
      </w:r>
      <w:r w:rsidR="00531CE5" w:rsidRPr="005859C2">
        <w:rPr>
          <w:rFonts w:eastAsia="Palatino Linotype" w:cs="Palatino Linotype"/>
          <w:color w:val="000000"/>
          <w:szCs w:val="24"/>
        </w:rPr>
        <w:t xml:space="preserve">lo </w:t>
      </w:r>
      <w:r w:rsidR="00A970D5" w:rsidRPr="005859C2">
        <w:rPr>
          <w:rFonts w:eastAsia="Palatino Linotype" w:cs="Palatino Linotype"/>
          <w:color w:val="000000"/>
          <w:szCs w:val="24"/>
        </w:rPr>
        <w:t>siguiente:</w:t>
      </w:r>
    </w:p>
    <w:p w14:paraId="68B56D82"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Cs w:val="24"/>
        </w:rPr>
      </w:pPr>
    </w:p>
    <w:p w14:paraId="133704B2" w14:textId="444B3AED" w:rsidR="00A970D5" w:rsidRPr="005859C2" w:rsidRDefault="00A2503E" w:rsidP="00F62375">
      <w:pPr>
        <w:pStyle w:val="Fundamentos"/>
        <w:spacing w:line="360" w:lineRule="auto"/>
      </w:pPr>
      <w:r w:rsidRPr="005859C2">
        <w:rPr>
          <w:lang w:val="es-ES"/>
        </w:rPr>
        <w:t>“</w:t>
      </w:r>
      <w:r w:rsidR="00782262" w:rsidRPr="005859C2">
        <w:rPr>
          <w:lang w:val="es-ES"/>
        </w:rPr>
        <w:t>1.- Se solicita del Ayuntamiento de Toluca proporcione copia actualizada o última vigente del Reglamento General de Construcciones del Municipio de Toluca y copia actualizada o última vigente del Reglamento de Imagen Urbana Toluca. En caso de que alguna información sea entregada en forma electrónica, es necesario que sea en un formato que no tenga ninguna restricción en el acceso o reutilización, por lo que es necesario, que los datos digitales (como ligas electrónicas), se proporcionen en un formato abierto</w:t>
      </w:r>
      <w:r w:rsidRPr="005859C2">
        <w:rPr>
          <w:lang w:val="es-ES"/>
        </w:rPr>
        <w:t>”</w:t>
      </w:r>
      <w:r w:rsidR="002A5A2E" w:rsidRPr="005859C2">
        <w:rPr>
          <w:lang w:val="es-ES"/>
        </w:rPr>
        <w:t xml:space="preserve"> </w:t>
      </w:r>
      <w:r w:rsidR="70652167" w:rsidRPr="005859C2">
        <w:rPr>
          <w:lang w:val="es-ES"/>
        </w:rPr>
        <w:t>(Sic)</w:t>
      </w:r>
    </w:p>
    <w:p w14:paraId="40BBECCB"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5859C2" w:rsidRDefault="00A970D5" w:rsidP="00F62375">
      <w:pPr>
        <w:pBdr>
          <w:top w:val="nil"/>
          <w:left w:val="nil"/>
          <w:bottom w:val="nil"/>
          <w:right w:val="nil"/>
          <w:between w:val="nil"/>
        </w:pBdr>
        <w:contextualSpacing/>
        <w:rPr>
          <w:rFonts w:eastAsia="Palatino Linotype" w:cs="Palatino Linotype"/>
          <w:b/>
          <w:color w:val="000000"/>
          <w:szCs w:val="24"/>
        </w:rPr>
      </w:pPr>
      <w:r w:rsidRPr="005859C2">
        <w:rPr>
          <w:rFonts w:eastAsia="Palatino Linotype" w:cs="Palatino Linotype"/>
          <w:color w:val="000000"/>
          <w:szCs w:val="24"/>
        </w:rPr>
        <w:t xml:space="preserve">Modalidad de entrega: </w:t>
      </w:r>
      <w:r w:rsidR="004A6F01" w:rsidRPr="005859C2">
        <w:rPr>
          <w:rFonts w:eastAsia="Palatino Linotype" w:cs="Palatino Linotype"/>
          <w:b/>
          <w:color w:val="000000"/>
          <w:szCs w:val="24"/>
        </w:rPr>
        <w:t>A través del SAIMEX</w:t>
      </w:r>
    </w:p>
    <w:p w14:paraId="1063B60E" w14:textId="77777777" w:rsidR="007B7C73" w:rsidRPr="005859C2" w:rsidRDefault="007B7C73" w:rsidP="00F6237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5859C2" w:rsidRDefault="00E21393" w:rsidP="00F62375">
      <w:pPr>
        <w:pStyle w:val="Ttulo2"/>
        <w:rPr>
          <w:rFonts w:eastAsia="Palatino Linotype"/>
        </w:rPr>
      </w:pPr>
      <w:r w:rsidRPr="005859C2">
        <w:rPr>
          <w:rFonts w:eastAsia="Palatino Linotype"/>
        </w:rPr>
        <w:t>SEGUNDO</w:t>
      </w:r>
      <w:r w:rsidR="00A970D5" w:rsidRPr="005859C2">
        <w:rPr>
          <w:rFonts w:eastAsia="Palatino Linotype"/>
        </w:rPr>
        <w:t>. De la respuesta del Sujeto Obligado.</w:t>
      </w:r>
    </w:p>
    <w:p w14:paraId="08780B0F" w14:textId="30C61558" w:rsidR="0026323F" w:rsidRPr="005859C2" w:rsidRDefault="00A970D5" w:rsidP="00F62375">
      <w:pPr>
        <w:pBdr>
          <w:top w:val="nil"/>
          <w:left w:val="nil"/>
          <w:bottom w:val="nil"/>
          <w:right w:val="nil"/>
          <w:between w:val="nil"/>
        </w:pBdr>
        <w:contextualSpacing/>
        <w:rPr>
          <w:rFonts w:eastAsia="Palatino Linotype" w:cs="Palatino Linotype"/>
          <w:color w:val="000000"/>
          <w:szCs w:val="24"/>
          <w:lang w:val="es-MX"/>
        </w:rPr>
      </w:pPr>
      <w:r w:rsidRPr="005859C2">
        <w:rPr>
          <w:rFonts w:eastAsia="Palatino Linotype" w:cs="Palatino Linotype"/>
          <w:color w:val="000000"/>
          <w:szCs w:val="24"/>
        </w:rPr>
        <w:t>De las constancias que obran en el expediente electrónico, se observa qu</w:t>
      </w:r>
      <w:r w:rsidR="008B2951" w:rsidRPr="005859C2">
        <w:rPr>
          <w:rFonts w:eastAsia="Palatino Linotype" w:cs="Palatino Linotype"/>
          <w:color w:val="000000"/>
          <w:szCs w:val="24"/>
        </w:rPr>
        <w:t xml:space="preserve">e el </w:t>
      </w:r>
      <w:r w:rsidR="00782262" w:rsidRPr="005859C2">
        <w:rPr>
          <w:rFonts w:eastAsia="Palatino Linotype" w:cs="Palatino Linotype"/>
          <w:color w:val="000000"/>
          <w:szCs w:val="24"/>
        </w:rPr>
        <w:t>dieciséis de junio</w:t>
      </w:r>
      <w:r w:rsidR="004A5EE6" w:rsidRPr="005859C2">
        <w:rPr>
          <w:rFonts w:eastAsia="Palatino Linotype" w:cs="Palatino Linotype"/>
          <w:color w:val="000000"/>
          <w:szCs w:val="24"/>
        </w:rPr>
        <w:t xml:space="preserve"> de dos mil veinticinco</w:t>
      </w:r>
      <w:r w:rsidRPr="005859C2">
        <w:rPr>
          <w:rFonts w:eastAsia="Palatino Linotype" w:cs="Palatino Linotype"/>
          <w:color w:val="000000"/>
          <w:szCs w:val="24"/>
        </w:rPr>
        <w:t>, el Sujeto Obligado</w:t>
      </w:r>
      <w:r w:rsidR="00E02214" w:rsidRPr="005859C2">
        <w:rPr>
          <w:rFonts w:eastAsia="Palatino Linotype" w:cs="Palatino Linotype"/>
          <w:color w:val="000000"/>
          <w:szCs w:val="24"/>
        </w:rPr>
        <w:t xml:space="preserve"> </w:t>
      </w:r>
      <w:r w:rsidR="0026323F" w:rsidRPr="005859C2">
        <w:rPr>
          <w:rFonts w:eastAsia="Palatino Linotype" w:cs="Palatino Linotype"/>
          <w:color w:val="000000"/>
          <w:szCs w:val="24"/>
          <w:lang w:val="es-MX"/>
        </w:rPr>
        <w:t>emitió la respuesta en los siguientes términos:</w:t>
      </w:r>
    </w:p>
    <w:p w14:paraId="57DED6B8" w14:textId="77777777" w:rsidR="00F16DFC" w:rsidRPr="005859C2" w:rsidRDefault="00F16DFC" w:rsidP="00F62375">
      <w:pPr>
        <w:pBdr>
          <w:top w:val="nil"/>
          <w:left w:val="nil"/>
          <w:bottom w:val="nil"/>
          <w:right w:val="nil"/>
          <w:between w:val="nil"/>
        </w:pBdr>
        <w:contextualSpacing/>
        <w:rPr>
          <w:rFonts w:eastAsia="Palatino Linotype" w:cs="Palatino Linotype"/>
          <w:color w:val="000000"/>
          <w:szCs w:val="24"/>
          <w:lang w:val="es-MX"/>
        </w:rPr>
      </w:pPr>
    </w:p>
    <w:p w14:paraId="1C55E15C" w14:textId="15E3DA2F" w:rsidR="00782262" w:rsidRPr="005859C2" w:rsidRDefault="0026323F" w:rsidP="00F62375">
      <w:pPr>
        <w:pStyle w:val="Fundamentos"/>
        <w:spacing w:line="360" w:lineRule="auto"/>
        <w:jc w:val="right"/>
        <w:rPr>
          <w:lang w:val="es-ES"/>
        </w:rPr>
      </w:pPr>
      <w:r w:rsidRPr="005859C2">
        <w:rPr>
          <w:lang w:val="es-ES"/>
        </w:rPr>
        <w:t>«</w:t>
      </w:r>
      <w:r w:rsidR="00782262" w:rsidRPr="005859C2">
        <w:t xml:space="preserve"> </w:t>
      </w:r>
      <w:r w:rsidR="00782262" w:rsidRPr="005859C2">
        <w:rPr>
          <w:lang w:val="es-ES"/>
        </w:rPr>
        <w:t>Folio de la solicitud: 03039/TOLUCA/IP/2025</w:t>
      </w:r>
    </w:p>
    <w:p w14:paraId="6135F724" w14:textId="77777777" w:rsidR="00782262" w:rsidRPr="005859C2" w:rsidRDefault="00782262" w:rsidP="00F62375">
      <w:pPr>
        <w:pStyle w:val="Fundamentos"/>
        <w:spacing w:line="360" w:lineRule="auto"/>
        <w:rPr>
          <w:lang w:val="es-ES"/>
        </w:rPr>
      </w:pPr>
    </w:p>
    <w:p w14:paraId="25B354E0" w14:textId="77777777" w:rsidR="00782262" w:rsidRPr="005859C2" w:rsidRDefault="00782262" w:rsidP="00F62375">
      <w:pPr>
        <w:pStyle w:val="Fundamentos"/>
        <w:spacing w:line="360" w:lineRule="auto"/>
        <w:rPr>
          <w:lang w:val="es-ES"/>
        </w:rPr>
      </w:pPr>
      <w:r w:rsidRPr="005859C2">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6E571783" w14:textId="77777777" w:rsidR="00782262" w:rsidRPr="005859C2" w:rsidRDefault="00782262" w:rsidP="00F62375">
      <w:pPr>
        <w:pStyle w:val="Fundamentos"/>
        <w:spacing w:line="360" w:lineRule="auto"/>
        <w:rPr>
          <w:lang w:val="es-ES"/>
        </w:rPr>
      </w:pPr>
    </w:p>
    <w:p w14:paraId="6BCBCFAB" w14:textId="77777777" w:rsidR="00782262" w:rsidRPr="005859C2" w:rsidRDefault="00782262" w:rsidP="00F62375">
      <w:pPr>
        <w:pStyle w:val="Fundamentos"/>
        <w:spacing w:line="360" w:lineRule="auto"/>
        <w:rPr>
          <w:lang w:val="es-ES"/>
        </w:rPr>
      </w:pPr>
      <w:r w:rsidRPr="005859C2">
        <w:rPr>
          <w:lang w:val="es-ES"/>
        </w:rPr>
        <w:t>En atención a la solicitud con folio 03039/TOLUCA/IP/2025, me permito adjuntar al presente la respuesta correspondiente de la Dirección General de Innovación, Planeación y Gestión Urbana, asimismo sus respectivos anexos, Sin más por el momento, reciba un saludo</w:t>
      </w:r>
    </w:p>
    <w:p w14:paraId="1E2DEAF6" w14:textId="77777777" w:rsidR="00782262" w:rsidRPr="005859C2" w:rsidRDefault="00782262" w:rsidP="00F62375">
      <w:pPr>
        <w:pStyle w:val="Fundamentos"/>
        <w:spacing w:line="360" w:lineRule="auto"/>
        <w:rPr>
          <w:lang w:val="es-ES"/>
        </w:rPr>
      </w:pPr>
    </w:p>
    <w:p w14:paraId="04EAB91A" w14:textId="77777777" w:rsidR="00782262" w:rsidRPr="005859C2" w:rsidRDefault="00782262" w:rsidP="00F62375">
      <w:pPr>
        <w:pStyle w:val="Fundamentos"/>
        <w:spacing w:line="360" w:lineRule="auto"/>
        <w:rPr>
          <w:lang w:val="es-ES"/>
        </w:rPr>
      </w:pPr>
      <w:r w:rsidRPr="005859C2">
        <w:rPr>
          <w:lang w:val="es-ES"/>
        </w:rPr>
        <w:t>ATENTAMENTE</w:t>
      </w:r>
    </w:p>
    <w:p w14:paraId="0455EA65" w14:textId="3BCBD62A" w:rsidR="0026323F" w:rsidRPr="005859C2" w:rsidRDefault="00782262" w:rsidP="00F62375">
      <w:pPr>
        <w:pStyle w:val="Fundamentos"/>
        <w:spacing w:line="360" w:lineRule="auto"/>
        <w:rPr>
          <w:lang w:val="es-MX"/>
        </w:rPr>
      </w:pPr>
      <w:r w:rsidRPr="005859C2">
        <w:rPr>
          <w:lang w:val="es-ES"/>
        </w:rPr>
        <w:t xml:space="preserve">Dr. </w:t>
      </w:r>
      <w:proofErr w:type="spellStart"/>
      <w:r w:rsidRPr="005859C2">
        <w:rPr>
          <w:lang w:val="es-ES"/>
        </w:rPr>
        <w:t>Nahum</w:t>
      </w:r>
      <w:proofErr w:type="spellEnd"/>
      <w:r w:rsidRPr="005859C2">
        <w:rPr>
          <w:lang w:val="es-ES"/>
        </w:rPr>
        <w:t xml:space="preserve"> Miguel Mendoza Morales</w:t>
      </w:r>
      <w:r w:rsidR="0026323F" w:rsidRPr="005859C2">
        <w:rPr>
          <w:lang w:val="es-ES"/>
        </w:rPr>
        <w:t>»</w:t>
      </w:r>
      <w:r w:rsidR="0026323F" w:rsidRPr="005859C2">
        <w:rPr>
          <w:lang w:val="es-MX"/>
        </w:rPr>
        <w:t xml:space="preserve"> (Sic)</w:t>
      </w:r>
    </w:p>
    <w:p w14:paraId="6F0DD578" w14:textId="77777777" w:rsidR="0026323F" w:rsidRPr="005859C2" w:rsidRDefault="0026323F" w:rsidP="00F62375">
      <w:pPr>
        <w:pBdr>
          <w:top w:val="nil"/>
          <w:left w:val="nil"/>
          <w:bottom w:val="nil"/>
          <w:right w:val="nil"/>
          <w:between w:val="nil"/>
        </w:pBdr>
        <w:contextualSpacing/>
        <w:rPr>
          <w:rFonts w:eastAsia="Palatino Linotype" w:cs="Palatino Linotype"/>
          <w:color w:val="000000"/>
          <w:szCs w:val="24"/>
          <w:lang w:val="es-MX"/>
        </w:rPr>
      </w:pPr>
    </w:p>
    <w:p w14:paraId="00C33FF4" w14:textId="7761C9C6" w:rsidR="0026323F" w:rsidRPr="005859C2" w:rsidRDefault="0026323F" w:rsidP="00F62375">
      <w:pPr>
        <w:pBdr>
          <w:top w:val="nil"/>
          <w:left w:val="nil"/>
          <w:bottom w:val="nil"/>
          <w:right w:val="nil"/>
          <w:between w:val="nil"/>
        </w:pBdr>
        <w:contextualSpacing/>
        <w:rPr>
          <w:rFonts w:eastAsia="Palatino Linotype" w:cs="Palatino Linotype"/>
          <w:color w:val="000000"/>
          <w:szCs w:val="24"/>
          <w:lang w:val="es-MX"/>
        </w:rPr>
      </w:pPr>
      <w:r w:rsidRPr="005859C2">
        <w:rPr>
          <w:rFonts w:eastAsia="Palatino Linotype" w:cs="Palatino Linotype"/>
          <w:color w:val="000000"/>
          <w:szCs w:val="24"/>
          <w:lang w:val="es-MX"/>
        </w:rPr>
        <w:t xml:space="preserve">El Sujeto Obligado adjuntó los documentos electrónicos denominados </w:t>
      </w:r>
      <w:r w:rsidRPr="005859C2">
        <w:rPr>
          <w:rFonts w:eastAsia="Palatino Linotype" w:cs="Palatino Linotype"/>
          <w:b/>
          <w:bCs/>
          <w:i/>
          <w:color w:val="000000"/>
          <w:szCs w:val="24"/>
          <w:lang w:val="es-MX"/>
        </w:rPr>
        <w:t>“</w:t>
      </w:r>
      <w:r w:rsidR="00782262" w:rsidRPr="005859C2">
        <w:rPr>
          <w:rFonts w:eastAsia="Palatino Linotype" w:cs="Palatino Linotype"/>
          <w:b/>
          <w:bCs/>
          <w:i/>
          <w:color w:val="000000"/>
          <w:szCs w:val="24"/>
          <w:lang w:val="es-MX"/>
        </w:rPr>
        <w:t>ANEXO SAIMEX 3039-TOLUCA-IP_2025.pdf</w:t>
      </w:r>
      <w:r w:rsidR="00C33B45" w:rsidRPr="005859C2">
        <w:rPr>
          <w:rFonts w:eastAsia="Palatino Linotype" w:cs="Palatino Linotype"/>
          <w:b/>
          <w:bCs/>
          <w:i/>
          <w:color w:val="000000"/>
          <w:szCs w:val="24"/>
          <w:lang w:val="es-MX"/>
        </w:rPr>
        <w:t>” y “</w:t>
      </w:r>
      <w:r w:rsidR="00782262" w:rsidRPr="005859C2">
        <w:rPr>
          <w:rFonts w:eastAsia="Palatino Linotype" w:cs="Palatino Linotype"/>
          <w:b/>
          <w:bCs/>
          <w:i/>
          <w:color w:val="000000"/>
          <w:szCs w:val="24"/>
          <w:lang w:val="es-MX"/>
        </w:rPr>
        <w:t>RESPUESTA SAIMEX 3039-TOLUCA-IP-2025.pdf</w:t>
      </w:r>
      <w:r w:rsidRPr="005859C2">
        <w:rPr>
          <w:rFonts w:eastAsia="Palatino Linotype" w:cs="Palatino Linotype"/>
          <w:b/>
          <w:bCs/>
          <w:i/>
          <w:color w:val="000000"/>
          <w:szCs w:val="24"/>
          <w:lang w:val="es-MX"/>
        </w:rPr>
        <w:t>”</w:t>
      </w:r>
      <w:r w:rsidRPr="005859C2">
        <w:rPr>
          <w:rFonts w:eastAsia="Palatino Linotype" w:cs="Palatino Linotype"/>
          <w:color w:val="000000"/>
          <w:szCs w:val="24"/>
          <w:lang w:val="es-MX"/>
        </w:rPr>
        <w:t>, cuyo contenido no se reproduce por ser del conocimiento de las partes; no obstante, será objeto de análisis en el estudio correspondiente.</w:t>
      </w:r>
    </w:p>
    <w:p w14:paraId="4A88B2B8" w14:textId="77777777" w:rsidR="0026323F" w:rsidRPr="005859C2" w:rsidRDefault="0026323F" w:rsidP="00F6237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5859C2" w:rsidRDefault="00E21393" w:rsidP="00F62375">
      <w:pPr>
        <w:pStyle w:val="Ttulo2"/>
        <w:rPr>
          <w:rFonts w:eastAsia="Palatino Linotype"/>
        </w:rPr>
      </w:pPr>
      <w:r w:rsidRPr="005859C2">
        <w:rPr>
          <w:rFonts w:eastAsia="Palatino Linotype"/>
        </w:rPr>
        <w:lastRenderedPageBreak/>
        <w:t>TERCERO</w:t>
      </w:r>
      <w:r w:rsidR="00A970D5" w:rsidRPr="005859C2">
        <w:rPr>
          <w:rFonts w:eastAsia="Palatino Linotype"/>
        </w:rPr>
        <w:t>. Del recurso de revisión.</w:t>
      </w:r>
    </w:p>
    <w:p w14:paraId="0C8C3A2F" w14:textId="687FE42A" w:rsidR="00A970D5" w:rsidRPr="005859C2" w:rsidRDefault="0090115A"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Inconforme con la respuesta emitida</w:t>
      </w:r>
      <w:r w:rsidR="006726AD" w:rsidRPr="005859C2">
        <w:rPr>
          <w:rFonts w:eastAsia="Palatino Linotype" w:cs="Palatino Linotype"/>
          <w:color w:val="000000"/>
          <w:szCs w:val="24"/>
        </w:rPr>
        <w:t>, el</w:t>
      </w:r>
      <w:r w:rsidRPr="005859C2">
        <w:rPr>
          <w:rFonts w:eastAsia="Palatino Linotype" w:cs="Palatino Linotype"/>
          <w:color w:val="000000"/>
          <w:szCs w:val="24"/>
        </w:rPr>
        <w:t xml:space="preserve"> Recurrente interpuso el presente recurso de revisión el </w:t>
      </w:r>
      <w:r w:rsidR="00782262" w:rsidRPr="005859C2">
        <w:rPr>
          <w:rFonts w:eastAsia="Palatino Linotype" w:cs="Palatino Linotype"/>
          <w:color w:val="000000"/>
          <w:szCs w:val="24"/>
        </w:rPr>
        <w:t>siete de julio</w:t>
      </w:r>
      <w:r w:rsidR="00854A4F" w:rsidRPr="005859C2">
        <w:rPr>
          <w:rFonts w:eastAsia="Palatino Linotype" w:cs="Palatino Linotype"/>
          <w:color w:val="000000"/>
          <w:szCs w:val="24"/>
        </w:rPr>
        <w:t xml:space="preserve"> </w:t>
      </w:r>
      <w:r w:rsidR="00DE2889" w:rsidRPr="005859C2">
        <w:rPr>
          <w:rFonts w:eastAsia="Palatino Linotype" w:cs="Palatino Linotype"/>
          <w:color w:val="000000"/>
          <w:szCs w:val="24"/>
        </w:rPr>
        <w:t>de dos mil veinticinco</w:t>
      </w:r>
      <w:r w:rsidRPr="005859C2">
        <w:rPr>
          <w:rFonts w:eastAsia="Palatino Linotype" w:cs="Palatino Linotype"/>
          <w:color w:val="000000"/>
          <w:szCs w:val="24"/>
        </w:rPr>
        <w:t>, el cual se registró en el SAIMEX con el expediente número</w:t>
      </w:r>
      <w:r w:rsidR="00A970D5" w:rsidRPr="005859C2">
        <w:rPr>
          <w:rFonts w:eastAsia="Palatino Linotype" w:cs="Palatino Linotype"/>
          <w:color w:val="000000"/>
          <w:szCs w:val="24"/>
        </w:rPr>
        <w:t xml:space="preserve"> </w:t>
      </w:r>
      <w:r w:rsidR="00782262" w:rsidRPr="005859C2">
        <w:rPr>
          <w:rFonts w:eastAsia="Palatino Linotype" w:cs="Palatino Linotype"/>
          <w:b/>
          <w:color w:val="000000"/>
          <w:szCs w:val="24"/>
        </w:rPr>
        <w:t>08225</w:t>
      </w:r>
      <w:r w:rsidR="00252F83" w:rsidRPr="005859C2">
        <w:rPr>
          <w:rFonts w:eastAsia="Palatino Linotype" w:cs="Palatino Linotype"/>
          <w:b/>
          <w:color w:val="000000"/>
          <w:szCs w:val="24"/>
        </w:rPr>
        <w:t>/INFOEM/IP/RR/2025</w:t>
      </w:r>
      <w:r w:rsidR="00A06896" w:rsidRPr="005859C2">
        <w:rPr>
          <w:rFonts w:eastAsia="Palatino Linotype" w:cs="Palatino Linotype"/>
          <w:color w:val="000000"/>
          <w:szCs w:val="24"/>
        </w:rPr>
        <w:t xml:space="preserve">, </w:t>
      </w:r>
      <w:r w:rsidRPr="005859C2">
        <w:rPr>
          <w:rFonts w:eastAsia="Palatino Linotype" w:cs="Palatino Linotype"/>
          <w:color w:val="000000"/>
          <w:szCs w:val="24"/>
        </w:rPr>
        <w:t>en el que manifestó</w:t>
      </w:r>
      <w:r w:rsidR="00A970D5" w:rsidRPr="005859C2">
        <w:rPr>
          <w:rFonts w:eastAsia="Palatino Linotype" w:cs="Palatino Linotype"/>
          <w:color w:val="000000"/>
          <w:szCs w:val="24"/>
        </w:rPr>
        <w:t xml:space="preserve"> lo siguiente:</w:t>
      </w:r>
    </w:p>
    <w:p w14:paraId="7AA0C9F4" w14:textId="046134A0" w:rsidR="00A970D5" w:rsidRPr="005859C2" w:rsidRDefault="00A970D5" w:rsidP="00F6237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5859C2" w:rsidRDefault="00A970D5" w:rsidP="00F62375">
      <w:pPr>
        <w:contextualSpacing/>
        <w:rPr>
          <w:rFonts w:eastAsia="Palatino Linotype" w:cs="Palatino Linotype"/>
          <w:b/>
        </w:rPr>
      </w:pPr>
      <w:r w:rsidRPr="005859C2">
        <w:rPr>
          <w:rFonts w:eastAsia="Palatino Linotype" w:cs="Palatino Linotype"/>
          <w:b/>
        </w:rPr>
        <w:t>Acto Impugnado:</w:t>
      </w:r>
      <w:r w:rsidR="00655007" w:rsidRPr="005859C2">
        <w:rPr>
          <w:rFonts w:eastAsia="Palatino Linotype" w:cs="Palatino Linotype"/>
          <w:b/>
        </w:rPr>
        <w:t xml:space="preserve"> </w:t>
      </w:r>
    </w:p>
    <w:p w14:paraId="4A0EFE5A" w14:textId="66595BEB" w:rsidR="00A970D5" w:rsidRPr="005859C2" w:rsidRDefault="5C35490E" w:rsidP="00F62375">
      <w:pPr>
        <w:pStyle w:val="Fundamentos"/>
        <w:spacing w:line="360" w:lineRule="auto"/>
        <w:rPr>
          <w:b/>
          <w:bCs/>
          <w:lang w:val="es-ES"/>
        </w:rPr>
      </w:pPr>
      <w:r w:rsidRPr="005859C2">
        <w:rPr>
          <w:lang w:val="es-ES"/>
        </w:rPr>
        <w:t>«</w:t>
      </w:r>
      <w:r w:rsidR="00782262" w:rsidRPr="005859C2">
        <w:t xml:space="preserve"> </w:t>
      </w:r>
      <w:r w:rsidR="00782262" w:rsidRPr="005859C2">
        <w:rPr>
          <w:lang w:val="es-ES"/>
        </w:rPr>
        <w:t xml:space="preserve">1.- SE IMPUGNA LA TOTALIDAD de la respuesta otorgada a la Solicitud de Información 03039/TOLUCA/IP/2025 toda vez que la Dirección General de Innovación, Planeación y Gestión Urbana en su documento de fecha 2 de junio de 2025 con número 209010000/2663/2025 – UT/DG/CAT/00087/2025 indica a la letra lo siguiente: “Atendiendo a lo establecido en el artículo 162 de la Ley de Transparencia y Acceso a la Información Pública del estado de México y Municipios y derivado de una búsqueda exhaustiva y razonable de la información, en los registros de los archivos físicos y digitales que conforman esta Dirección General, en lo que respecta a la solicitud número 03939/Toluca/IP/2025.” La IMPUGNACIÓN resulta </w:t>
      </w:r>
      <w:proofErr w:type="gramStart"/>
      <w:r w:rsidR="00782262" w:rsidRPr="005859C2">
        <w:rPr>
          <w:lang w:val="es-ES"/>
        </w:rPr>
        <w:t>de que</w:t>
      </w:r>
      <w:proofErr w:type="gramEnd"/>
      <w:r w:rsidR="00782262" w:rsidRPr="005859C2">
        <w:rPr>
          <w:lang w:val="es-ES"/>
        </w:rPr>
        <w:t xml:space="preserve"> la respuesta se está dando a una Solicitud de Información diferente a la realizada por este medio. 2.- Así mismo, se IMPUGNA LA TOTALIDAD de la respuesta, toda vez que es público en el sitio https://inforeglamentos.com.mx/reglamento-general-de-construcciones-del-municipio-de-toluca/#:~:text=El%20Reglamento%20General%20de%20Construcciones%20del%20Municipio%20de,viviendas%20y%20espacios%20comerciales%20en%20el%20territorio%20municipal. Que si existe o existió el Reglamento General de Construcciones del Municipio de Toluca.</w:t>
      </w:r>
      <w:r w:rsidRPr="005859C2">
        <w:rPr>
          <w:lang w:val="es-ES"/>
        </w:rPr>
        <w:t>» (Sic)</w:t>
      </w:r>
    </w:p>
    <w:p w14:paraId="3C40A441" w14:textId="0B2599C4" w:rsidR="00A970D5" w:rsidRPr="005859C2" w:rsidRDefault="00A970D5" w:rsidP="00F62375">
      <w:pPr>
        <w:tabs>
          <w:tab w:val="left" w:pos="2515"/>
        </w:tabs>
        <w:contextualSpacing/>
        <w:rPr>
          <w:rFonts w:eastAsia="Palatino Linotype" w:cs="Palatino Linotype"/>
          <w:iCs/>
          <w:szCs w:val="24"/>
          <w:lang w:val="es-ES"/>
        </w:rPr>
      </w:pPr>
    </w:p>
    <w:p w14:paraId="0F6CFE30" w14:textId="719FCACE" w:rsidR="00300EA0" w:rsidRPr="005859C2" w:rsidRDefault="002B6B0F" w:rsidP="00F62375">
      <w:pPr>
        <w:contextualSpacing/>
        <w:rPr>
          <w:rFonts w:eastAsia="Palatino Linotype" w:cs="Palatino Linotype"/>
          <w:b/>
        </w:rPr>
      </w:pPr>
      <w:r w:rsidRPr="005859C2">
        <w:rPr>
          <w:rFonts w:eastAsia="Palatino Linotype" w:cs="Palatino Linotype"/>
          <w:b/>
        </w:rPr>
        <w:t>Razones o motivos de inconformidad</w:t>
      </w:r>
      <w:r w:rsidR="00300EA0" w:rsidRPr="005859C2">
        <w:rPr>
          <w:rFonts w:eastAsia="Palatino Linotype" w:cs="Palatino Linotype"/>
          <w:b/>
        </w:rPr>
        <w:t xml:space="preserve">: </w:t>
      </w:r>
    </w:p>
    <w:p w14:paraId="0A3CE1C1" w14:textId="4ACE2A0E" w:rsidR="00390EBF" w:rsidRPr="005859C2" w:rsidRDefault="00300EA0" w:rsidP="00F62375">
      <w:pPr>
        <w:pStyle w:val="Fundamentos"/>
        <w:spacing w:line="360" w:lineRule="auto"/>
        <w:rPr>
          <w:b/>
          <w:bCs/>
          <w:lang w:val="es-ES"/>
        </w:rPr>
      </w:pPr>
      <w:r w:rsidRPr="005859C2">
        <w:rPr>
          <w:lang w:val="es-ES"/>
        </w:rPr>
        <w:lastRenderedPageBreak/>
        <w:t>«</w:t>
      </w:r>
      <w:r w:rsidR="00782262" w:rsidRPr="005859C2">
        <w:t xml:space="preserve"> </w:t>
      </w:r>
      <w:r w:rsidR="00782262" w:rsidRPr="005859C2">
        <w:rPr>
          <w:lang w:val="es-ES"/>
        </w:rPr>
        <w:t>La declaración de inexistencia de información cuando existen evidencias públicas que indican la existencia del Reglamento General de Construcciones del Municipio de Toluca y además que la respuesta se da a otra Solicitud de Información diferente a la petición realizada.</w:t>
      </w:r>
      <w:r w:rsidRPr="005859C2">
        <w:rPr>
          <w:lang w:val="es-ES"/>
        </w:rPr>
        <w:t>» (Sic)</w:t>
      </w:r>
    </w:p>
    <w:p w14:paraId="0D610FE1" w14:textId="77777777" w:rsidR="00782262" w:rsidRPr="005859C2" w:rsidRDefault="00782262" w:rsidP="00F62375">
      <w:pPr>
        <w:pStyle w:val="Ttulo2"/>
        <w:rPr>
          <w:rFonts w:eastAsia="Palatino Linotype"/>
        </w:rPr>
      </w:pPr>
    </w:p>
    <w:p w14:paraId="11D7F189" w14:textId="263FD592" w:rsidR="00A970D5" w:rsidRPr="005859C2" w:rsidRDefault="00E21393" w:rsidP="00F62375">
      <w:pPr>
        <w:pStyle w:val="Ttulo2"/>
        <w:rPr>
          <w:rFonts w:eastAsia="Palatino Linotype"/>
        </w:rPr>
      </w:pPr>
      <w:r w:rsidRPr="005859C2">
        <w:rPr>
          <w:rFonts w:eastAsia="Palatino Linotype"/>
        </w:rPr>
        <w:t>CUAR</w:t>
      </w:r>
      <w:r w:rsidR="007A1154" w:rsidRPr="005859C2">
        <w:rPr>
          <w:rFonts w:eastAsia="Palatino Linotype"/>
        </w:rPr>
        <w:t>TO</w:t>
      </w:r>
      <w:r w:rsidR="00A970D5" w:rsidRPr="005859C2">
        <w:rPr>
          <w:rFonts w:eastAsia="Palatino Linotype"/>
        </w:rPr>
        <w:t>. Del turno y admisión del recurso de revisión.</w:t>
      </w:r>
    </w:p>
    <w:p w14:paraId="2459DEBA" w14:textId="59233B30" w:rsidR="00A970D5" w:rsidRPr="005859C2" w:rsidRDefault="70652167" w:rsidP="00F62375">
      <w:pPr>
        <w:pBdr>
          <w:top w:val="nil"/>
          <w:left w:val="nil"/>
          <w:bottom w:val="nil"/>
          <w:right w:val="nil"/>
          <w:between w:val="nil"/>
        </w:pBdr>
        <w:contextualSpacing/>
        <w:rPr>
          <w:rFonts w:eastAsia="Palatino Linotype" w:cs="Palatino Linotype"/>
          <w:color w:val="000000"/>
          <w:lang w:val="es-ES"/>
        </w:rPr>
      </w:pPr>
      <w:r w:rsidRPr="005859C2">
        <w:rPr>
          <w:rFonts w:eastAsia="Palatino Linotype" w:cs="Palatino Linotype"/>
          <w:color w:val="000000" w:themeColor="text1"/>
          <w:lang w:val="es-ES"/>
        </w:rPr>
        <w:t xml:space="preserve">Medio de impugnación que le fue turnado al </w:t>
      </w:r>
      <w:r w:rsidRPr="005859C2">
        <w:rPr>
          <w:rFonts w:eastAsia="Palatino Linotype" w:cs="Palatino Linotype"/>
          <w:b/>
          <w:bCs/>
          <w:color w:val="000000" w:themeColor="text1"/>
          <w:lang w:val="es-ES"/>
        </w:rPr>
        <w:t>Comisionado Presidente José Martínez Vilchis</w:t>
      </w:r>
      <w:r w:rsidRPr="005859C2">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5859C2">
        <w:rPr>
          <w:rFonts w:eastAsia="Palatino Linotype" w:cs="Palatino Linotype"/>
          <w:color w:val="000000" w:themeColor="text1"/>
          <w:lang w:val="es-ES"/>
        </w:rPr>
        <w:t xml:space="preserve"> admisión de fecha </w:t>
      </w:r>
      <w:r w:rsidR="00F62375" w:rsidRPr="005859C2">
        <w:rPr>
          <w:rFonts w:eastAsia="Palatino Linotype" w:cs="Palatino Linotype"/>
          <w:color w:val="000000" w:themeColor="text1"/>
          <w:lang w:val="es-ES"/>
        </w:rPr>
        <w:t>once de julio</w:t>
      </w:r>
      <w:r w:rsidR="00BB31AF" w:rsidRPr="005859C2">
        <w:rPr>
          <w:rFonts w:eastAsia="Palatino Linotype" w:cs="Palatino Linotype"/>
          <w:color w:val="000000" w:themeColor="text1"/>
          <w:lang w:val="es-ES"/>
        </w:rPr>
        <w:t xml:space="preserve"> </w:t>
      </w:r>
      <w:r w:rsidR="00774AC3" w:rsidRPr="005859C2">
        <w:rPr>
          <w:rFonts w:eastAsia="Palatino Linotype" w:cs="Palatino Linotype"/>
          <w:color w:val="000000" w:themeColor="text1"/>
          <w:lang w:val="es-ES"/>
        </w:rPr>
        <w:t>de dos mil veinticinco</w:t>
      </w:r>
      <w:r w:rsidRPr="005859C2">
        <w:rPr>
          <w:rFonts w:eastAsia="Palatino Linotype" w:cs="Palatino Linotype"/>
          <w:color w:val="000000" w:themeColor="text1"/>
          <w:lang w:val="es-ES"/>
        </w:rPr>
        <w:t xml:space="preserve">, </w:t>
      </w:r>
      <w:r w:rsidRPr="005859C2">
        <w:rPr>
          <w:rFonts w:eastAsia="Palatino Linotype" w:cs="Palatino Linotype"/>
          <w:lang w:val="es-ES"/>
        </w:rPr>
        <w:t>otorgándose</w:t>
      </w:r>
      <w:r w:rsidRPr="005859C2">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5859C2" w:rsidRDefault="00E21393" w:rsidP="00F62375">
      <w:pPr>
        <w:pStyle w:val="Ttulo2"/>
        <w:rPr>
          <w:rFonts w:eastAsia="Palatino Linotype"/>
        </w:rPr>
      </w:pPr>
      <w:r w:rsidRPr="005859C2">
        <w:rPr>
          <w:rFonts w:eastAsia="Palatino Linotype"/>
        </w:rPr>
        <w:t>QUINT</w:t>
      </w:r>
      <w:r w:rsidR="007D2A1A" w:rsidRPr="005859C2">
        <w:rPr>
          <w:rFonts w:eastAsia="Palatino Linotype"/>
        </w:rPr>
        <w:t>O</w:t>
      </w:r>
      <w:r w:rsidR="00A970D5" w:rsidRPr="005859C2">
        <w:rPr>
          <w:rFonts w:eastAsia="Palatino Linotype"/>
        </w:rPr>
        <w:t>. De la etapa de instrucción.</w:t>
      </w:r>
    </w:p>
    <w:p w14:paraId="7F41601E" w14:textId="0153F40F" w:rsidR="00732A2C" w:rsidRPr="005859C2" w:rsidRDefault="00732A2C" w:rsidP="00F62375">
      <w:pPr>
        <w:pBdr>
          <w:top w:val="nil"/>
          <w:left w:val="nil"/>
          <w:bottom w:val="nil"/>
          <w:right w:val="nil"/>
          <w:between w:val="nil"/>
        </w:pBdr>
        <w:rPr>
          <w:rFonts w:eastAsia="Palatino Linotype" w:cs="Palatino Linotype"/>
          <w:color w:val="000000"/>
          <w:szCs w:val="24"/>
        </w:rPr>
      </w:pPr>
      <w:r w:rsidRPr="005859C2">
        <w:rPr>
          <w:rFonts w:eastAsia="Palatino Linotype" w:cs="Palatino Linotype"/>
          <w:color w:val="000000"/>
          <w:szCs w:val="24"/>
        </w:rPr>
        <w:t>Durante</w:t>
      </w:r>
      <w:r w:rsidR="00404E36" w:rsidRPr="005859C2">
        <w:rPr>
          <w:rFonts w:eastAsia="Palatino Linotype" w:cs="Palatino Linotype"/>
          <w:color w:val="000000"/>
          <w:szCs w:val="24"/>
        </w:rPr>
        <w:t xml:space="preserve"> la etapa de instrucción, el Sujeto Obligado </w:t>
      </w:r>
      <w:r w:rsidR="00F62375" w:rsidRPr="005859C2">
        <w:rPr>
          <w:rFonts w:eastAsia="Palatino Linotype" w:cs="Palatino Linotype"/>
          <w:color w:val="000000"/>
          <w:szCs w:val="24"/>
        </w:rPr>
        <w:t>rindió su</w:t>
      </w:r>
      <w:r w:rsidRPr="005859C2">
        <w:rPr>
          <w:rFonts w:eastAsia="Palatino Linotype" w:cs="Palatino Linotype"/>
          <w:color w:val="000000"/>
          <w:szCs w:val="24"/>
        </w:rPr>
        <w:t xml:space="preserve"> Informe Justificado</w:t>
      </w:r>
      <w:r w:rsidR="00F62375" w:rsidRPr="005859C2">
        <w:rPr>
          <w:rFonts w:eastAsia="Palatino Linotype" w:cs="Palatino Linotype"/>
          <w:color w:val="000000"/>
          <w:szCs w:val="24"/>
        </w:rPr>
        <w:t xml:space="preserve"> por medio del documento electrónico denominado </w:t>
      </w:r>
      <w:r w:rsidR="00F62375" w:rsidRPr="005859C2">
        <w:rPr>
          <w:rFonts w:eastAsia="Palatino Linotype" w:cs="Palatino Linotype"/>
          <w:i/>
          <w:color w:val="000000"/>
          <w:szCs w:val="24"/>
        </w:rPr>
        <w:t>“2. Ratificación RR-8225-2025.pdf”</w:t>
      </w:r>
      <w:r w:rsidR="00F62375" w:rsidRPr="005859C2">
        <w:rPr>
          <w:rFonts w:eastAsia="Palatino Linotype" w:cs="Palatino Linotype"/>
          <w:color w:val="000000"/>
          <w:szCs w:val="24"/>
        </w:rPr>
        <w:t>, de fecha cinco de agosto de dos mil veinticinco, el cual fue puesto a la vista del recurrente en fecha seis de noviembre de dos mil veinticinco</w:t>
      </w:r>
      <w:r w:rsidRPr="005859C2">
        <w:rPr>
          <w:rFonts w:eastAsia="Palatino Linotype" w:cs="Palatino Linotype"/>
          <w:color w:val="000000"/>
          <w:szCs w:val="24"/>
        </w:rPr>
        <w:t>.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5859C2" w:rsidRDefault="00C02596" w:rsidP="00F62375">
      <w:pPr>
        <w:pBdr>
          <w:top w:val="nil"/>
          <w:left w:val="nil"/>
          <w:bottom w:val="nil"/>
          <w:right w:val="nil"/>
          <w:between w:val="nil"/>
        </w:pBdr>
        <w:contextualSpacing/>
        <w:rPr>
          <w:rFonts w:eastAsia="Palatino Linotype" w:cs="Palatino Linotype"/>
          <w:color w:val="000000"/>
          <w:sz w:val="22"/>
        </w:rPr>
      </w:pPr>
    </w:p>
    <w:p w14:paraId="623EFCB6" w14:textId="77777777" w:rsidR="00F62375" w:rsidRPr="005859C2" w:rsidRDefault="007A1154" w:rsidP="00F62375">
      <w:pPr>
        <w:pStyle w:val="Ttulo2"/>
        <w:rPr>
          <w:rFonts w:eastAsiaTheme="minorHAnsi"/>
          <w:lang w:eastAsia="en-US"/>
        </w:rPr>
      </w:pPr>
      <w:r w:rsidRPr="005859C2">
        <w:rPr>
          <w:rFonts w:eastAsia="Palatino Linotype"/>
        </w:rPr>
        <w:t>S</w:t>
      </w:r>
      <w:r w:rsidR="00E21393" w:rsidRPr="005859C2">
        <w:rPr>
          <w:rFonts w:eastAsia="Palatino Linotype"/>
        </w:rPr>
        <w:t>EXTO</w:t>
      </w:r>
      <w:r w:rsidR="00A970D5" w:rsidRPr="005859C2">
        <w:rPr>
          <w:rFonts w:eastAsia="Palatino Linotype"/>
        </w:rPr>
        <w:t xml:space="preserve">. </w:t>
      </w:r>
      <w:r w:rsidR="00F62375" w:rsidRPr="005859C2">
        <w:rPr>
          <w:rFonts w:eastAsiaTheme="minorHAnsi"/>
          <w:lang w:eastAsia="en-US"/>
        </w:rPr>
        <w:t>De la ampliación del término para resolver.</w:t>
      </w:r>
    </w:p>
    <w:p w14:paraId="2571C7AE" w14:textId="41BCB8C2" w:rsidR="00F62375" w:rsidRPr="005859C2" w:rsidRDefault="00F62375" w:rsidP="00F62375">
      <w:pPr>
        <w:pBdr>
          <w:top w:val="nil"/>
          <w:left w:val="nil"/>
          <w:bottom w:val="nil"/>
          <w:right w:val="nil"/>
          <w:between w:val="nil"/>
        </w:pBdr>
        <w:contextualSpacing/>
        <w:rPr>
          <w:rFonts w:eastAsiaTheme="minorHAnsi" w:cstheme="minorBidi"/>
          <w:szCs w:val="24"/>
          <w:lang w:eastAsia="en-US"/>
        </w:rPr>
      </w:pPr>
      <w:r w:rsidRPr="005859C2">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w:t>
      </w:r>
      <w:r w:rsidRPr="005859C2">
        <w:rPr>
          <w:rFonts w:eastAsiaTheme="minorHAnsi" w:cstheme="minorBidi"/>
          <w:szCs w:val="24"/>
          <w:lang w:eastAsia="en-US"/>
        </w:rPr>
        <w:lastRenderedPageBreak/>
        <w:t>lo que el seis de noviembre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4DFB677" w14:textId="77777777" w:rsidR="00EB1CF4" w:rsidRPr="005859C2" w:rsidRDefault="00EB1CF4" w:rsidP="00F62375">
      <w:pPr>
        <w:pBdr>
          <w:top w:val="nil"/>
          <w:left w:val="nil"/>
          <w:bottom w:val="nil"/>
          <w:right w:val="nil"/>
          <w:between w:val="nil"/>
        </w:pBdr>
        <w:contextualSpacing/>
        <w:rPr>
          <w:rFonts w:eastAsia="Palatino Linotype" w:cs="Palatino Linotype"/>
          <w:color w:val="000000"/>
          <w:szCs w:val="24"/>
        </w:rPr>
      </w:pPr>
    </w:p>
    <w:p w14:paraId="22673B46" w14:textId="77777777" w:rsidR="00F62375" w:rsidRPr="005859C2" w:rsidRDefault="00E21393" w:rsidP="00F62375">
      <w:pPr>
        <w:pStyle w:val="Ttulo2"/>
        <w:rPr>
          <w:rFonts w:eastAsia="Palatino Linotype"/>
        </w:rPr>
      </w:pPr>
      <w:r w:rsidRPr="005859C2">
        <w:rPr>
          <w:rFonts w:eastAsiaTheme="minorHAnsi"/>
          <w:lang w:eastAsia="en-US"/>
        </w:rPr>
        <w:t>SÉPTIMO</w:t>
      </w:r>
      <w:r w:rsidR="00EB1CF4" w:rsidRPr="005859C2">
        <w:rPr>
          <w:rFonts w:eastAsiaTheme="minorHAnsi"/>
          <w:lang w:eastAsia="en-US"/>
        </w:rPr>
        <w:t xml:space="preserve">. </w:t>
      </w:r>
      <w:r w:rsidR="00F62375" w:rsidRPr="005859C2">
        <w:rPr>
          <w:rFonts w:eastAsia="Palatino Linotype"/>
        </w:rPr>
        <w:t>Del cierre de instrucción.</w:t>
      </w:r>
    </w:p>
    <w:p w14:paraId="6D59A992" w14:textId="540281C9" w:rsidR="00F62375" w:rsidRPr="005859C2" w:rsidRDefault="00F62375"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Así, una vez transcurrido el término legal, se decretó el cierre de instrucción el dieciséis de febrero de dos mil veintiséis, en términos del artículo 185 fracción VI de la Ley de Transparencia y Acceso a la Información Pública del Estado de México y Municipios, iniciando el término legal para dictar resolución definitiva del asunto.</w:t>
      </w:r>
    </w:p>
    <w:p w14:paraId="06175498" w14:textId="298EB192" w:rsidR="00404E36" w:rsidRPr="005859C2" w:rsidRDefault="00404E36" w:rsidP="00F62375">
      <w:pPr>
        <w:pStyle w:val="Ttulo2"/>
        <w:rPr>
          <w:rFonts w:eastAsiaTheme="minorHAnsi" w:cstheme="minorBidi"/>
          <w:szCs w:val="24"/>
          <w:lang w:eastAsia="en-US"/>
        </w:rPr>
      </w:pPr>
    </w:p>
    <w:p w14:paraId="0283BD60" w14:textId="77777777" w:rsidR="009A70F6" w:rsidRPr="005859C2" w:rsidRDefault="009A70F6" w:rsidP="00F6237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5859C2" w:rsidRDefault="00A970D5" w:rsidP="00F62375">
      <w:pPr>
        <w:pStyle w:val="Ttulo1"/>
        <w:rPr>
          <w:rFonts w:eastAsia="Palatino Linotype"/>
          <w:lang w:val="es-ES_tradnl"/>
        </w:rPr>
      </w:pPr>
      <w:r w:rsidRPr="005859C2">
        <w:rPr>
          <w:rFonts w:eastAsia="Palatino Linotype"/>
          <w:lang w:val="es-ES_tradnl"/>
        </w:rPr>
        <w:t>C O N S I D E R A N D O</w:t>
      </w:r>
    </w:p>
    <w:p w14:paraId="32546275"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5859C2" w:rsidRDefault="00A970D5" w:rsidP="00F62375">
      <w:pPr>
        <w:pStyle w:val="Ttulo2"/>
        <w:rPr>
          <w:rFonts w:eastAsia="Palatino Linotype"/>
        </w:rPr>
      </w:pPr>
      <w:r w:rsidRPr="005859C2">
        <w:rPr>
          <w:rFonts w:eastAsia="Palatino Linotype"/>
        </w:rPr>
        <w:t>PRIMERO. De la competencia.</w:t>
      </w:r>
    </w:p>
    <w:p w14:paraId="615C5B79" w14:textId="3D1CE060" w:rsidR="00E63F1C" w:rsidRPr="005859C2" w:rsidRDefault="006F7948" w:rsidP="00F62375">
      <w:pPr>
        <w:pBdr>
          <w:top w:val="nil"/>
          <w:left w:val="nil"/>
          <w:bottom w:val="nil"/>
          <w:right w:val="nil"/>
          <w:between w:val="nil"/>
        </w:pBdr>
        <w:contextualSpacing/>
        <w:rPr>
          <w:rFonts w:eastAsia="Palatino Linotype" w:cs="Palatino Linotype"/>
          <w:color w:val="000000"/>
          <w:szCs w:val="24"/>
        </w:rPr>
      </w:pPr>
      <w:r w:rsidRPr="005859C2">
        <w:rPr>
          <w:rFonts w:eastAsiaTheme="minorHAnsi" w:cs="Arial"/>
          <w:lang w:val="es-MX"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w:t>
      </w:r>
      <w:r w:rsidRPr="005859C2">
        <w:rPr>
          <w:rFonts w:eastAsiaTheme="minorHAnsi" w:cs="Arial"/>
          <w:lang w:val="es-MX" w:eastAsia="en-US"/>
        </w:rPr>
        <w:lastRenderedPageBreak/>
        <w:t>Reglamento Interior del Instituto de Transparencia, Acceso a la Información Pública y Protección de Datos Personales del Estado de México y Municipios.</w:t>
      </w:r>
    </w:p>
    <w:p w14:paraId="5FA40324" w14:textId="77777777" w:rsidR="00A970D5" w:rsidRPr="005859C2" w:rsidRDefault="00A970D5" w:rsidP="00F6237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5859C2" w:rsidRDefault="00A970D5" w:rsidP="00F62375">
      <w:pPr>
        <w:pStyle w:val="Ttulo2"/>
        <w:rPr>
          <w:rFonts w:eastAsia="Palatino Linotype"/>
        </w:rPr>
      </w:pPr>
      <w:r w:rsidRPr="005859C2">
        <w:rPr>
          <w:rFonts w:eastAsia="Palatino Linotype"/>
        </w:rPr>
        <w:t xml:space="preserve">SEGUNDO. Sobre los alcances del recurso de revisión. </w:t>
      </w:r>
    </w:p>
    <w:p w14:paraId="132CB116" w14:textId="77777777" w:rsidR="00A970D5" w:rsidRPr="005859C2" w:rsidRDefault="00A970D5" w:rsidP="00F62375">
      <w:r w:rsidRPr="005859C2">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5859C2" w:rsidRDefault="00FE7B8E" w:rsidP="00F62375"/>
    <w:p w14:paraId="7E828C31" w14:textId="33EBC042" w:rsidR="00454915" w:rsidRPr="005859C2" w:rsidRDefault="00883E28" w:rsidP="00F62375">
      <w:pPr>
        <w:pStyle w:val="Ttulo2"/>
        <w:rPr>
          <w:rFonts w:eastAsia="Palatino Linotype"/>
        </w:rPr>
      </w:pPr>
      <w:r w:rsidRPr="005859C2">
        <w:rPr>
          <w:rFonts w:eastAsia="Palatino Linotype"/>
        </w:rPr>
        <w:t>TERCERO</w:t>
      </w:r>
      <w:r w:rsidR="00454915" w:rsidRPr="005859C2">
        <w:rPr>
          <w:rFonts w:eastAsia="Palatino Linotype"/>
        </w:rPr>
        <w:t>. De las causas de improcedencia.</w:t>
      </w:r>
    </w:p>
    <w:p w14:paraId="714929BC" w14:textId="77777777" w:rsidR="00454915" w:rsidRPr="005859C2" w:rsidRDefault="00454915"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 xml:space="preserve">En el procedimiento de acceso a la información y de los medios de impugnación de la materia, se advierten diversos supuestos de </w:t>
      </w:r>
      <w:proofErr w:type="spellStart"/>
      <w:r w:rsidRPr="005859C2">
        <w:rPr>
          <w:rFonts w:eastAsia="Palatino Linotype" w:cs="Palatino Linotype"/>
          <w:color w:val="000000"/>
          <w:szCs w:val="24"/>
        </w:rPr>
        <w:t>procedibilidad</w:t>
      </w:r>
      <w:proofErr w:type="spellEnd"/>
      <w:r w:rsidRPr="005859C2">
        <w:rPr>
          <w:rFonts w:eastAsia="Palatino Linotype" w:cs="Palatino Linotype"/>
          <w:color w:val="000000"/>
          <w:szCs w:val="24"/>
        </w:rPr>
        <w:t xml:space="preserve">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5859C2" w:rsidRDefault="00454915" w:rsidP="00F6237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5859C2" w:rsidRDefault="00454915" w:rsidP="00F62375">
      <w:pPr>
        <w:pBdr>
          <w:top w:val="nil"/>
          <w:left w:val="nil"/>
          <w:bottom w:val="nil"/>
          <w:right w:val="nil"/>
          <w:between w:val="nil"/>
        </w:pBdr>
        <w:contextualSpacing/>
        <w:rPr>
          <w:rFonts w:eastAsia="Palatino Linotype" w:cs="Palatino Linotype"/>
          <w:color w:val="000000"/>
          <w:lang w:val="es-ES"/>
        </w:rPr>
      </w:pPr>
      <w:r w:rsidRPr="005859C2">
        <w:rPr>
          <w:rFonts w:eastAsia="Palatino Linotype" w:cs="Palatino Linotype"/>
          <w:color w:val="000000"/>
          <w:lang w:val="es-ES"/>
        </w:rPr>
        <w:t xml:space="preserve">Por lo anterior, es una facultad legal entrar al estudio de las causas de improcedencia que hagan valer las partes o que se adviertan de oficio por este </w:t>
      </w:r>
      <w:proofErr w:type="spellStart"/>
      <w:r w:rsidRPr="005859C2">
        <w:rPr>
          <w:rFonts w:eastAsia="Palatino Linotype" w:cs="Palatino Linotype"/>
          <w:color w:val="000000"/>
          <w:lang w:val="es-ES"/>
        </w:rPr>
        <w:t>Resolutor</w:t>
      </w:r>
      <w:proofErr w:type="spellEnd"/>
      <w:r w:rsidRPr="005859C2">
        <w:rPr>
          <w:rFonts w:eastAsia="Palatino Linotype" w:cs="Palatino Linotype"/>
          <w:color w:val="000000"/>
          <w:lang w:val="es-ES"/>
        </w:rPr>
        <w:t xml:space="preserve"> y por ende objeto de análisis previo al estudio de fondo del asunto; presupuestos procesales de inicio o trámite de un proceso que dotan de seguridad jurídica las resoluciones, máxime que es </w:t>
      </w:r>
      <w:r w:rsidRPr="005859C2">
        <w:rPr>
          <w:rFonts w:eastAsia="Palatino Linotype" w:cs="Palatino Linotype"/>
          <w:color w:val="000000"/>
          <w:lang w:val="es-ES"/>
        </w:rPr>
        <w:lastRenderedPageBreak/>
        <w:t>una figura procesal adoptada en la ley de la materia</w:t>
      </w:r>
      <w:r w:rsidRPr="005859C2">
        <w:rPr>
          <w:rFonts w:eastAsia="Palatino Linotype" w:cs="Palatino Linotype"/>
          <w:color w:val="000000"/>
          <w:vertAlign w:val="superscript"/>
          <w:lang w:val="es-ES"/>
        </w:rPr>
        <w:footnoteReference w:id="2"/>
      </w:r>
      <w:r w:rsidRPr="005859C2">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5859C2" w:rsidRDefault="00454915" w:rsidP="00F6237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5859C2" w:rsidRDefault="00454915"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5859C2" w:rsidRDefault="00454915" w:rsidP="00F62375">
      <w:pPr>
        <w:pBdr>
          <w:top w:val="nil"/>
          <w:left w:val="nil"/>
          <w:bottom w:val="nil"/>
          <w:right w:val="nil"/>
          <w:between w:val="nil"/>
        </w:pBdr>
        <w:contextualSpacing/>
        <w:rPr>
          <w:rFonts w:eastAsia="Palatino Linotype" w:cs="Palatino Linotype"/>
          <w:color w:val="000000"/>
          <w:szCs w:val="24"/>
        </w:rPr>
      </w:pPr>
    </w:p>
    <w:p w14:paraId="4011745D" w14:textId="70FB7115" w:rsidR="00454915" w:rsidRPr="005859C2" w:rsidRDefault="00883E28" w:rsidP="00F62375">
      <w:pPr>
        <w:pStyle w:val="Ttulo2"/>
        <w:rPr>
          <w:rFonts w:eastAsia="Palatino Linotype"/>
        </w:rPr>
      </w:pPr>
      <w:r w:rsidRPr="005859C2">
        <w:rPr>
          <w:rFonts w:eastAsia="Palatino Linotype"/>
        </w:rPr>
        <w:lastRenderedPageBreak/>
        <w:t>CUAR</w:t>
      </w:r>
      <w:r w:rsidR="00F45971" w:rsidRPr="005859C2">
        <w:rPr>
          <w:rFonts w:eastAsia="Palatino Linotype"/>
        </w:rPr>
        <w:t>TO</w:t>
      </w:r>
      <w:r w:rsidR="00454915" w:rsidRPr="005859C2">
        <w:rPr>
          <w:rFonts w:eastAsia="Palatino Linotype"/>
        </w:rPr>
        <w:t>. Estudio y resolución del asunto.</w:t>
      </w:r>
    </w:p>
    <w:p w14:paraId="78A9F94F" w14:textId="77777777" w:rsidR="00454915" w:rsidRPr="005859C2" w:rsidRDefault="00454915"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5859C2" w:rsidRDefault="004A3367" w:rsidP="00F62375">
      <w:pPr>
        <w:rPr>
          <w:rFonts w:eastAsiaTheme="minorHAnsi" w:cstheme="minorBidi"/>
          <w:sz w:val="22"/>
          <w:lang w:eastAsia="en-US"/>
        </w:rPr>
      </w:pPr>
    </w:p>
    <w:p w14:paraId="7193478D" w14:textId="31DABD28" w:rsidR="00012F8B" w:rsidRPr="005859C2" w:rsidRDefault="0EE28084" w:rsidP="00F62375">
      <w:pPr>
        <w:rPr>
          <w:rFonts w:eastAsiaTheme="minorEastAsia" w:cstheme="minorBidi"/>
          <w:lang w:val="es-ES" w:eastAsia="en-US"/>
        </w:rPr>
      </w:pPr>
      <w:r w:rsidRPr="005859C2">
        <w:rPr>
          <w:rFonts w:eastAsiaTheme="minorEastAsia" w:cstheme="minorBidi"/>
          <w:lang w:val="es-ES" w:eastAsia="en-US"/>
        </w:rPr>
        <w:t xml:space="preserve">En virtud de lo anterior, es conveniente recordar que el </w:t>
      </w:r>
      <w:r w:rsidR="00DA0841" w:rsidRPr="005859C2">
        <w:rPr>
          <w:rFonts w:eastAsiaTheme="minorEastAsia" w:cstheme="minorBidi"/>
          <w:lang w:val="es-ES" w:eastAsia="en-US"/>
        </w:rPr>
        <w:t xml:space="preserve">hoy </w:t>
      </w:r>
      <w:r w:rsidRPr="005859C2">
        <w:rPr>
          <w:rFonts w:eastAsiaTheme="minorEastAsia" w:cstheme="minorBidi"/>
          <w:lang w:val="es-ES" w:eastAsia="en-US"/>
        </w:rPr>
        <w:t>Recurrente</w:t>
      </w:r>
      <w:r w:rsidR="00DA0841" w:rsidRPr="005859C2">
        <w:rPr>
          <w:rFonts w:eastAsiaTheme="minorEastAsia" w:cstheme="minorBidi"/>
          <w:lang w:val="es-ES" w:eastAsia="en-US"/>
        </w:rPr>
        <w:t xml:space="preserve"> </w:t>
      </w:r>
      <w:r w:rsidR="0084615A" w:rsidRPr="005859C2">
        <w:rPr>
          <w:rFonts w:eastAsiaTheme="minorEastAsia" w:cstheme="minorBidi"/>
          <w:lang w:val="es-ES" w:eastAsia="en-US"/>
        </w:rPr>
        <w:t xml:space="preserve">requirió </w:t>
      </w:r>
      <w:r w:rsidR="00D4457F" w:rsidRPr="005859C2">
        <w:rPr>
          <w:rFonts w:eastAsiaTheme="minorEastAsia" w:cstheme="minorBidi"/>
          <w:lang w:val="es-ES" w:eastAsia="en-US"/>
        </w:rPr>
        <w:t xml:space="preserve">que se le proporcionaran </w:t>
      </w:r>
      <w:r w:rsidR="00883E28" w:rsidRPr="005859C2">
        <w:rPr>
          <w:rFonts w:eastAsiaTheme="minorEastAsia" w:cstheme="minorBidi"/>
          <w:lang w:val="es-ES" w:eastAsia="en-US"/>
        </w:rPr>
        <w:t>lo siguiente:</w:t>
      </w:r>
    </w:p>
    <w:p w14:paraId="5FCCC7E4" w14:textId="77777777" w:rsidR="00883E28" w:rsidRPr="005859C2" w:rsidRDefault="00883E28" w:rsidP="00F62375">
      <w:pPr>
        <w:rPr>
          <w:rFonts w:eastAsiaTheme="minorEastAsia" w:cstheme="minorBidi"/>
          <w:lang w:val="es-ES" w:eastAsia="en-US"/>
        </w:rPr>
      </w:pPr>
    </w:p>
    <w:p w14:paraId="57C4AC60" w14:textId="77777777" w:rsidR="00F62375" w:rsidRPr="005859C2" w:rsidRDefault="00F62375" w:rsidP="008D596B">
      <w:pPr>
        <w:pStyle w:val="Prrafodelista"/>
        <w:numPr>
          <w:ilvl w:val="0"/>
          <w:numId w:val="63"/>
        </w:numPr>
      </w:pPr>
      <w:r w:rsidRPr="005859C2">
        <w:t>Copia actualizada o última vigente del Reglamento General de Construcciones del Municipio de Toluca.</w:t>
      </w:r>
    </w:p>
    <w:p w14:paraId="079A5177" w14:textId="0F7DB8DF" w:rsidR="00340B0F" w:rsidRPr="005859C2" w:rsidRDefault="00F62375" w:rsidP="008D596B">
      <w:pPr>
        <w:pStyle w:val="Prrafodelista"/>
        <w:numPr>
          <w:ilvl w:val="0"/>
          <w:numId w:val="63"/>
        </w:numPr>
      </w:pPr>
      <w:r w:rsidRPr="005859C2">
        <w:t xml:space="preserve">Copia actualizada o última vigente del Reglamento de Imagen Urbana Toluca. </w:t>
      </w:r>
    </w:p>
    <w:p w14:paraId="51B8ECF4" w14:textId="77777777" w:rsidR="00665519" w:rsidRPr="005859C2" w:rsidRDefault="00665519" w:rsidP="00F62375"/>
    <w:p w14:paraId="476DC307" w14:textId="77777777" w:rsidR="00444413" w:rsidRPr="005859C2" w:rsidRDefault="00A970D5"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 xml:space="preserve">A dicha solicitud, el Sujeto Obligado </w:t>
      </w:r>
      <w:r w:rsidR="001C4CBF" w:rsidRPr="005859C2">
        <w:rPr>
          <w:rFonts w:eastAsia="Palatino Linotype" w:cs="Palatino Linotype"/>
          <w:color w:val="000000"/>
          <w:szCs w:val="24"/>
        </w:rPr>
        <w:t>respondió</w:t>
      </w:r>
      <w:r w:rsidR="001B63A6" w:rsidRPr="005859C2">
        <w:rPr>
          <w:rFonts w:eastAsia="Palatino Linotype" w:cs="Palatino Linotype"/>
          <w:color w:val="000000"/>
          <w:szCs w:val="24"/>
        </w:rPr>
        <w:t xml:space="preserve"> </w:t>
      </w:r>
      <w:r w:rsidR="00444413" w:rsidRPr="005859C2">
        <w:rPr>
          <w:rFonts w:eastAsia="Palatino Linotype" w:cs="Palatino Linotype"/>
          <w:color w:val="000000"/>
          <w:szCs w:val="24"/>
        </w:rPr>
        <w:t>mediante</w:t>
      </w:r>
      <w:r w:rsidR="0008143A" w:rsidRPr="005859C2">
        <w:rPr>
          <w:rFonts w:eastAsia="Palatino Linotype" w:cs="Palatino Linotype"/>
          <w:color w:val="000000"/>
          <w:szCs w:val="24"/>
        </w:rPr>
        <w:t xml:space="preserve"> la entrega de</w:t>
      </w:r>
      <w:r w:rsidR="00444413" w:rsidRPr="005859C2">
        <w:rPr>
          <w:rFonts w:eastAsia="Palatino Linotype" w:cs="Palatino Linotype"/>
          <w:color w:val="000000"/>
          <w:szCs w:val="24"/>
        </w:rPr>
        <w:t xml:space="preserve"> </w:t>
      </w:r>
      <w:r w:rsidR="0008143A" w:rsidRPr="005859C2">
        <w:rPr>
          <w:rFonts w:eastAsia="Palatino Linotype" w:cs="Palatino Linotype"/>
          <w:color w:val="000000"/>
          <w:szCs w:val="24"/>
        </w:rPr>
        <w:t>l</w:t>
      </w:r>
      <w:r w:rsidR="00444413" w:rsidRPr="005859C2">
        <w:rPr>
          <w:rFonts w:eastAsia="Palatino Linotype" w:cs="Palatino Linotype"/>
          <w:color w:val="000000"/>
          <w:szCs w:val="24"/>
        </w:rPr>
        <w:t>os siguientes</w:t>
      </w:r>
      <w:r w:rsidR="0008143A" w:rsidRPr="005859C2">
        <w:rPr>
          <w:rFonts w:eastAsia="Palatino Linotype" w:cs="Palatino Linotype"/>
          <w:color w:val="000000"/>
          <w:szCs w:val="24"/>
        </w:rPr>
        <w:t xml:space="preserve"> documento</w:t>
      </w:r>
      <w:r w:rsidR="00444413" w:rsidRPr="005859C2">
        <w:rPr>
          <w:rFonts w:eastAsia="Palatino Linotype" w:cs="Palatino Linotype"/>
          <w:color w:val="000000"/>
          <w:szCs w:val="24"/>
        </w:rPr>
        <w:t>s:</w:t>
      </w:r>
    </w:p>
    <w:p w14:paraId="1A124E8B" w14:textId="77777777" w:rsidR="00444413" w:rsidRPr="005859C2" w:rsidRDefault="00444413" w:rsidP="00F62375">
      <w:pPr>
        <w:pBdr>
          <w:top w:val="nil"/>
          <w:left w:val="nil"/>
          <w:bottom w:val="nil"/>
          <w:right w:val="nil"/>
          <w:between w:val="nil"/>
        </w:pBdr>
        <w:contextualSpacing/>
        <w:rPr>
          <w:rFonts w:eastAsia="Palatino Linotype" w:cs="Palatino Linotype"/>
          <w:color w:val="000000"/>
          <w:szCs w:val="24"/>
        </w:rPr>
      </w:pPr>
    </w:p>
    <w:p w14:paraId="0A66C1A2" w14:textId="355008EC" w:rsidR="00404E36" w:rsidRPr="005859C2" w:rsidRDefault="00F62375" w:rsidP="008D596B">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5859C2">
        <w:rPr>
          <w:rFonts w:eastAsia="Palatino Linotype" w:cs="Palatino Linotype"/>
          <w:b/>
          <w:bCs/>
          <w:color w:val="000000"/>
          <w:lang w:val="es-MX"/>
        </w:rPr>
        <w:t>ANEXO SAIMEX 3039-TOLUCA-IP_2025.pdf</w:t>
      </w:r>
      <w:r w:rsidR="00E206A9" w:rsidRPr="005859C2">
        <w:rPr>
          <w:rFonts w:eastAsia="Palatino Linotype" w:cs="Palatino Linotype"/>
          <w:b/>
          <w:bCs/>
          <w:color w:val="000000"/>
          <w:lang w:val="es-MX"/>
        </w:rPr>
        <w:t>:</w:t>
      </w:r>
      <w:r w:rsidR="005B4CD9" w:rsidRPr="005859C2">
        <w:rPr>
          <w:rFonts w:eastAsia="Palatino Linotype" w:cs="Palatino Linotype"/>
          <w:color w:val="000000"/>
          <w:lang w:val="es-MX"/>
        </w:rPr>
        <w:t xml:space="preserve"> </w:t>
      </w:r>
      <w:r w:rsidRPr="005859C2">
        <w:rPr>
          <w:rFonts w:eastAsia="Palatino Linotype" w:cs="Palatino Linotype"/>
          <w:color w:val="000000"/>
          <w:lang w:val="es-MX"/>
        </w:rPr>
        <w:t>Consta del Manual de Normas Técnicas de Imagen Urbana de Toluca</w:t>
      </w:r>
      <w:r w:rsidR="00142E66" w:rsidRPr="005859C2">
        <w:rPr>
          <w:rFonts w:eastAsia="Palatino Linotype" w:cs="Palatino Linotype"/>
          <w:color w:val="000000"/>
          <w:lang w:val="es-MX"/>
        </w:rPr>
        <w:t>.</w:t>
      </w:r>
    </w:p>
    <w:p w14:paraId="208D66EA" w14:textId="14803A3E" w:rsidR="00530B53" w:rsidRPr="005859C2" w:rsidRDefault="00F62375" w:rsidP="008D596B">
      <w:pPr>
        <w:pStyle w:val="Prrafodelista"/>
        <w:numPr>
          <w:ilvl w:val="0"/>
          <w:numId w:val="64"/>
        </w:numPr>
        <w:pBdr>
          <w:top w:val="nil"/>
          <w:left w:val="nil"/>
          <w:bottom w:val="nil"/>
          <w:right w:val="nil"/>
          <w:between w:val="nil"/>
        </w:pBdr>
        <w:contextualSpacing/>
        <w:rPr>
          <w:rFonts w:eastAsia="Palatino Linotype" w:cs="Palatino Linotype"/>
          <w:b/>
          <w:bCs/>
          <w:color w:val="000000"/>
          <w:lang w:val="es-MX"/>
        </w:rPr>
      </w:pPr>
      <w:r w:rsidRPr="005859C2">
        <w:rPr>
          <w:rFonts w:eastAsia="Palatino Linotype" w:cs="Palatino Linotype"/>
          <w:b/>
          <w:bCs/>
          <w:color w:val="000000"/>
          <w:lang w:val="es-MX"/>
        </w:rPr>
        <w:t>RESPUESTA SAIMEX 3039-TOLUCA-IP-2025.pdf</w:t>
      </w:r>
      <w:r w:rsidR="00F522E8" w:rsidRPr="005859C2">
        <w:rPr>
          <w:rFonts w:eastAsia="Palatino Linotype" w:cs="Palatino Linotype"/>
          <w:b/>
          <w:bCs/>
          <w:color w:val="000000"/>
          <w:lang w:val="es-MX"/>
        </w:rPr>
        <w:t xml:space="preserve">: </w:t>
      </w:r>
      <w:r w:rsidRPr="005859C2">
        <w:rPr>
          <w:rFonts w:eastAsia="Palatino Linotype" w:cs="Palatino Linotype"/>
          <w:color w:val="000000"/>
          <w:lang w:val="es-MX"/>
        </w:rPr>
        <w:t xml:space="preserve">Consta del oficio número </w:t>
      </w:r>
      <w:r w:rsidR="00AB1017" w:rsidRPr="005859C2">
        <w:rPr>
          <w:rFonts w:eastAsia="Palatino Linotype" w:cs="Palatino Linotype"/>
          <w:color w:val="000000"/>
          <w:lang w:val="es-MX"/>
        </w:rPr>
        <w:t xml:space="preserve">209010000/2663/2025 </w:t>
      </w:r>
      <w:r w:rsidRPr="005859C2">
        <w:rPr>
          <w:rFonts w:eastAsia="Palatino Linotype" w:cs="Palatino Linotype"/>
          <w:color w:val="000000"/>
          <w:lang w:val="es-MX"/>
        </w:rPr>
        <w:t>UT/DG/CAT/00087/2025</w:t>
      </w:r>
      <w:r w:rsidR="00AB1017" w:rsidRPr="005859C2">
        <w:rPr>
          <w:rFonts w:eastAsia="Palatino Linotype" w:cs="Palatino Linotype"/>
          <w:color w:val="000000"/>
          <w:lang w:val="es-MX"/>
        </w:rPr>
        <w:t xml:space="preserve">, signado por el Director General de </w:t>
      </w:r>
      <w:r w:rsidR="00AB1017" w:rsidRPr="005859C2">
        <w:rPr>
          <w:rFonts w:eastAsia="Palatino Linotype" w:cs="Palatino Linotype"/>
          <w:color w:val="000000"/>
          <w:lang w:val="es-MX"/>
        </w:rPr>
        <w:lastRenderedPageBreak/>
        <w:t xml:space="preserve">Innovación, Planeación y Gestión Urbana, mediante el cual refiere que derivado de una búsqueda exhaustiva y razonable de la información, en los registros de los archivos físicos y digitales que conforman la Dirección General, hace del conocimiento que en lo que refiere al Reglamento General de Construcciones del Municipio de Toluca no se localizó copia actualizada o última vigente, sin embargo, se localizó el Manual de Normas Técnicas del Municipio de Toluca publicado en Gaceta Municipal Especial el 10 de junio de 2014, mismo que se anexa en formato </w:t>
      </w:r>
      <w:proofErr w:type="spellStart"/>
      <w:r w:rsidR="00AB1017" w:rsidRPr="005859C2">
        <w:rPr>
          <w:rFonts w:eastAsia="Palatino Linotype" w:cs="Palatino Linotype"/>
          <w:color w:val="000000"/>
          <w:lang w:val="es-MX"/>
        </w:rPr>
        <w:t>pdf</w:t>
      </w:r>
      <w:proofErr w:type="spellEnd"/>
      <w:r w:rsidR="00AB1017" w:rsidRPr="005859C2">
        <w:rPr>
          <w:rFonts w:eastAsia="Palatino Linotype" w:cs="Palatino Linotype"/>
          <w:color w:val="000000"/>
          <w:lang w:val="es-MX"/>
        </w:rPr>
        <w:t>.</w:t>
      </w:r>
    </w:p>
    <w:p w14:paraId="41F40B74" w14:textId="77777777" w:rsidR="0094616B" w:rsidRPr="005859C2" w:rsidRDefault="0094616B" w:rsidP="00F62375">
      <w:pPr>
        <w:pBdr>
          <w:top w:val="nil"/>
          <w:left w:val="nil"/>
          <w:bottom w:val="nil"/>
          <w:right w:val="nil"/>
          <w:between w:val="nil"/>
        </w:pBdr>
        <w:contextualSpacing/>
        <w:rPr>
          <w:rFonts w:eastAsia="Palatino Linotype" w:cs="Palatino Linotype"/>
          <w:b/>
          <w:bCs/>
          <w:color w:val="000000"/>
          <w:lang w:val="es-MX"/>
        </w:rPr>
      </w:pPr>
    </w:p>
    <w:p w14:paraId="191B3769" w14:textId="5256D500" w:rsidR="00A76402" w:rsidRPr="005859C2" w:rsidRDefault="44E9108F" w:rsidP="00F62375">
      <w:pPr>
        <w:pBdr>
          <w:top w:val="nil"/>
          <w:left w:val="nil"/>
          <w:bottom w:val="nil"/>
          <w:right w:val="nil"/>
          <w:between w:val="nil"/>
        </w:pBdr>
        <w:contextualSpacing/>
        <w:rPr>
          <w:rFonts w:eastAsia="Palatino Linotype" w:cs="Palatino Linotype"/>
          <w:i/>
          <w:color w:val="000000" w:themeColor="text1"/>
          <w:lang w:val="es-ES"/>
        </w:rPr>
      </w:pPr>
      <w:r w:rsidRPr="005859C2">
        <w:rPr>
          <w:rFonts w:eastAsia="Palatino Linotype" w:cs="Palatino Linotype"/>
          <w:color w:val="000000" w:themeColor="text1"/>
          <w:lang w:val="es-ES"/>
        </w:rPr>
        <w:t>Ante la respuesta em</w:t>
      </w:r>
      <w:r w:rsidR="002623AA" w:rsidRPr="005859C2">
        <w:rPr>
          <w:rFonts w:eastAsia="Palatino Linotype" w:cs="Palatino Linotype"/>
          <w:color w:val="000000" w:themeColor="text1"/>
          <w:lang w:val="es-ES"/>
        </w:rPr>
        <w:t>itida por el Sujeto Obligado, el</w:t>
      </w:r>
      <w:r w:rsidRPr="005859C2">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5859C2">
        <w:rPr>
          <w:rFonts w:eastAsia="Palatino Linotype" w:cs="Palatino Linotype"/>
          <w:color w:val="000000" w:themeColor="text1"/>
          <w:lang w:val="es-ES"/>
        </w:rPr>
        <w:t xml:space="preserve"> </w:t>
      </w:r>
      <w:r w:rsidR="00A34122" w:rsidRPr="005859C2">
        <w:rPr>
          <w:rFonts w:eastAsia="Palatino Linotype" w:cs="Palatino Linotype"/>
          <w:i/>
          <w:color w:val="000000" w:themeColor="text1"/>
          <w:lang w:val="es-ES"/>
        </w:rPr>
        <w:t>“</w:t>
      </w:r>
      <w:r w:rsidR="00AB1017" w:rsidRPr="005859C2">
        <w:rPr>
          <w:rFonts w:eastAsia="Palatino Linotype" w:cs="Palatino Linotype"/>
          <w:i/>
          <w:color w:val="000000" w:themeColor="text1"/>
          <w:lang w:val="es-ES"/>
        </w:rPr>
        <w:t xml:space="preserve">1.- SE IMPUGNA LA TOTALIDAD de la respuesta otorgada a la Solicitud de Información 03039/TOLUCA/IP/2025 toda vez que la Dirección General de Innovación, Planeación y Gestión Urbana en su documento de fecha 2 de junio de 2025 con número 209010000/2663/2025 – UT/DG/CAT/00087/2025 indica a la letra lo siguiente: “Atendiendo a lo establecido en el artículo 162 de la Ley de Transparencia y Acceso a la Información Pública del estado de México y Municipios y derivado de una búsqueda exhaustiva y razonable de la información, en los registros de los archivos físicos y digitales que conforman esta Dirección General, en lo que respecta a la solicitud número 03939/Toluca/IP/2025.” La IMPUGNACIÓN resulta </w:t>
      </w:r>
      <w:proofErr w:type="gramStart"/>
      <w:r w:rsidR="00AB1017" w:rsidRPr="005859C2">
        <w:rPr>
          <w:rFonts w:eastAsia="Palatino Linotype" w:cs="Palatino Linotype"/>
          <w:i/>
          <w:color w:val="000000" w:themeColor="text1"/>
          <w:lang w:val="es-ES"/>
        </w:rPr>
        <w:t>de que</w:t>
      </w:r>
      <w:proofErr w:type="gramEnd"/>
      <w:r w:rsidR="00AB1017" w:rsidRPr="005859C2">
        <w:rPr>
          <w:rFonts w:eastAsia="Palatino Linotype" w:cs="Palatino Linotype"/>
          <w:i/>
          <w:color w:val="000000" w:themeColor="text1"/>
          <w:lang w:val="es-ES"/>
        </w:rPr>
        <w:t xml:space="preserve"> la respuesta se está dando a una Solicitud de Información diferente a la realizada por este medio. 2.- Así mismo, se IMPUGNA LA TOTALIDAD de la respuesta, toda vez que es público en el sitio https://inforeglamentos.com.mx/reglamento-general-de-construcciones-del-municipio-de-toluca/#:~:text=El%20Reglamento%20General%20de%20Construcciones%20del%20Municipio</w:t>
      </w:r>
      <w:r w:rsidR="00AB1017" w:rsidRPr="005859C2">
        <w:rPr>
          <w:rFonts w:eastAsia="Palatino Linotype" w:cs="Palatino Linotype"/>
          <w:i/>
          <w:color w:val="000000" w:themeColor="text1"/>
          <w:lang w:val="es-ES"/>
        </w:rPr>
        <w:lastRenderedPageBreak/>
        <w:t>%20de,viviendas%20y%20espacios%20comerciales%20en%20el%20territorio%20municipal. Que si existe o existió el Reglamento General de Construcciones del Municipio de Toluca.</w:t>
      </w:r>
      <w:r w:rsidR="00A34122" w:rsidRPr="005859C2">
        <w:rPr>
          <w:rFonts w:eastAsia="Palatino Linotype" w:cs="Palatino Linotype"/>
          <w:i/>
          <w:color w:val="000000" w:themeColor="text1"/>
          <w:lang w:val="es-ES"/>
        </w:rPr>
        <w:t xml:space="preserve">”; </w:t>
      </w:r>
      <w:r w:rsidR="00885E47" w:rsidRPr="005859C2">
        <w:rPr>
          <w:rFonts w:eastAsia="Palatino Linotype" w:cs="Palatino Linotype"/>
          <w:color w:val="000000" w:themeColor="text1"/>
          <w:lang w:val="es-ES"/>
        </w:rPr>
        <w:t>y</w:t>
      </w:r>
      <w:r w:rsidR="00A34122" w:rsidRPr="005859C2">
        <w:rPr>
          <w:rFonts w:eastAsia="Palatino Linotype" w:cs="Palatino Linotype"/>
          <w:color w:val="000000" w:themeColor="text1"/>
          <w:lang w:val="es-ES"/>
        </w:rPr>
        <w:t xml:space="preserve"> como</w:t>
      </w:r>
      <w:r w:rsidR="00885E47" w:rsidRPr="005859C2">
        <w:rPr>
          <w:rFonts w:eastAsia="Palatino Linotype" w:cs="Palatino Linotype"/>
          <w:color w:val="000000" w:themeColor="text1"/>
          <w:lang w:val="es-ES"/>
        </w:rPr>
        <w:t xml:space="preserve"> </w:t>
      </w:r>
      <w:r w:rsidR="001B63A6" w:rsidRPr="005859C2">
        <w:rPr>
          <w:rFonts w:eastAsia="Palatino Linotype" w:cs="Palatino Linotype"/>
          <w:color w:val="000000" w:themeColor="text1"/>
          <w:lang w:val="es-ES"/>
        </w:rPr>
        <w:t xml:space="preserve">razones o motivos de inconformidad </w:t>
      </w:r>
      <w:r w:rsidR="00A76402" w:rsidRPr="005859C2">
        <w:rPr>
          <w:rFonts w:eastAsia="Palatino Linotype" w:cs="Palatino Linotype"/>
          <w:color w:val="000000" w:themeColor="text1"/>
          <w:lang w:val="es-ES"/>
        </w:rPr>
        <w:t xml:space="preserve">lo siguiente </w:t>
      </w:r>
      <w:r w:rsidR="00A76402" w:rsidRPr="005859C2">
        <w:rPr>
          <w:rFonts w:eastAsia="Palatino Linotype" w:cs="Palatino Linotype"/>
          <w:i/>
          <w:color w:val="000000" w:themeColor="text1"/>
          <w:lang w:val="es-ES"/>
        </w:rPr>
        <w:t>“</w:t>
      </w:r>
      <w:r w:rsidR="00AB1017" w:rsidRPr="005859C2">
        <w:rPr>
          <w:rFonts w:eastAsia="Palatino Linotype" w:cs="Palatino Linotype"/>
          <w:i/>
          <w:color w:val="000000" w:themeColor="text1"/>
          <w:lang w:val="es-ES"/>
        </w:rPr>
        <w:t>La declaración de inexistencia de información cuando existen evidencias públicas que indican la existencia del Reglamento General de Construcciones del Municipio de Toluca y además que la respuesta se da a otra Solicitud de Información diferente a la petición realizada.</w:t>
      </w:r>
      <w:r w:rsidR="00A76402" w:rsidRPr="005859C2">
        <w:rPr>
          <w:rFonts w:eastAsia="Palatino Linotype" w:cs="Palatino Linotype"/>
          <w:i/>
          <w:color w:val="000000" w:themeColor="text1"/>
          <w:lang w:val="es-ES"/>
        </w:rPr>
        <w:t>”.</w:t>
      </w:r>
    </w:p>
    <w:p w14:paraId="4A6500B8" w14:textId="77777777" w:rsidR="008F50E6" w:rsidRPr="005859C2" w:rsidRDefault="008F50E6" w:rsidP="00F62375"/>
    <w:p w14:paraId="64551610" w14:textId="7338AF7C" w:rsidR="00936F10" w:rsidRPr="005859C2" w:rsidRDefault="002C3E3D"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 xml:space="preserve">Durante la etapa de manifestaciones, el Sujeto Obligado </w:t>
      </w:r>
      <w:r w:rsidR="003502FA" w:rsidRPr="005859C2">
        <w:rPr>
          <w:rFonts w:eastAsia="Palatino Linotype" w:cs="Palatino Linotype"/>
          <w:color w:val="000000"/>
          <w:szCs w:val="24"/>
        </w:rPr>
        <w:t xml:space="preserve">tuvo a bien </w:t>
      </w:r>
      <w:r w:rsidR="00A34122" w:rsidRPr="005859C2">
        <w:rPr>
          <w:rFonts w:eastAsia="Palatino Linotype" w:cs="Palatino Linotype"/>
          <w:color w:val="000000"/>
          <w:szCs w:val="24"/>
        </w:rPr>
        <w:t>rendir su</w:t>
      </w:r>
      <w:r w:rsidRPr="005859C2">
        <w:rPr>
          <w:rFonts w:eastAsia="Palatino Linotype" w:cs="Palatino Linotype"/>
          <w:color w:val="000000"/>
          <w:szCs w:val="24"/>
        </w:rPr>
        <w:t xml:space="preserve"> Informe Justificado</w:t>
      </w:r>
      <w:r w:rsidR="003502FA" w:rsidRPr="005859C2">
        <w:rPr>
          <w:rFonts w:eastAsia="Palatino Linotype" w:cs="Palatino Linotype"/>
          <w:color w:val="000000"/>
          <w:szCs w:val="24"/>
        </w:rPr>
        <w:t xml:space="preserve"> al tenor de lo siguiente:</w:t>
      </w:r>
    </w:p>
    <w:p w14:paraId="60B10A20" w14:textId="678AE9C8" w:rsidR="003502FA" w:rsidRPr="005859C2" w:rsidRDefault="003502FA" w:rsidP="008D596B">
      <w:pPr>
        <w:pStyle w:val="Prrafodelista"/>
        <w:numPr>
          <w:ilvl w:val="0"/>
          <w:numId w:val="65"/>
        </w:numPr>
        <w:pBdr>
          <w:top w:val="nil"/>
          <w:left w:val="nil"/>
          <w:bottom w:val="nil"/>
          <w:right w:val="nil"/>
          <w:between w:val="nil"/>
        </w:pBdr>
        <w:contextualSpacing/>
        <w:rPr>
          <w:rFonts w:eastAsia="Palatino Linotype" w:cs="Palatino Linotype"/>
          <w:b/>
          <w:color w:val="000000"/>
        </w:rPr>
      </w:pPr>
      <w:r w:rsidRPr="005859C2">
        <w:rPr>
          <w:rFonts w:eastAsia="Palatino Linotype" w:cs="Palatino Linotype"/>
          <w:b/>
          <w:color w:val="000000"/>
        </w:rPr>
        <w:t xml:space="preserve">2. Ratificación RR-8225-2025.pdf: </w:t>
      </w:r>
      <w:r w:rsidRPr="005859C2">
        <w:rPr>
          <w:rFonts w:eastAsia="Palatino Linotype" w:cs="Palatino Linotype"/>
          <w:color w:val="000000"/>
        </w:rPr>
        <w:t xml:space="preserve">Consta de un documento en formato </w:t>
      </w:r>
      <w:proofErr w:type="spellStart"/>
      <w:r w:rsidRPr="005859C2">
        <w:rPr>
          <w:rFonts w:eastAsia="Palatino Linotype" w:cs="Palatino Linotype"/>
          <w:color w:val="000000"/>
        </w:rPr>
        <w:t>pdf</w:t>
      </w:r>
      <w:proofErr w:type="spellEnd"/>
      <w:r w:rsidRPr="005859C2">
        <w:rPr>
          <w:rFonts w:eastAsia="Palatino Linotype" w:cs="Palatino Linotype"/>
          <w:color w:val="000000"/>
        </w:rPr>
        <w:t xml:space="preserve"> remitido por el Titular de la Unidad de Transparencia mediante el cual ratifica su respuesta </w:t>
      </w:r>
      <w:r w:rsidR="00F839CD" w:rsidRPr="005859C2">
        <w:rPr>
          <w:rFonts w:eastAsia="Palatino Linotype" w:cs="Palatino Linotype"/>
          <w:color w:val="000000"/>
        </w:rPr>
        <w:t>inicial</w:t>
      </w:r>
      <w:r w:rsidRPr="005859C2">
        <w:rPr>
          <w:rFonts w:eastAsia="Palatino Linotype" w:cs="Palatino Linotype"/>
          <w:color w:val="000000"/>
        </w:rPr>
        <w:t>.</w:t>
      </w:r>
    </w:p>
    <w:p w14:paraId="776267BC" w14:textId="628959AE" w:rsidR="00F74DBA" w:rsidRPr="005859C2" w:rsidRDefault="00F74DBA" w:rsidP="00F62375">
      <w:pPr>
        <w:pBdr>
          <w:top w:val="nil"/>
          <w:left w:val="nil"/>
          <w:bottom w:val="nil"/>
          <w:right w:val="nil"/>
          <w:between w:val="nil"/>
        </w:pBdr>
        <w:contextualSpacing/>
        <w:rPr>
          <w:rFonts w:eastAsia="Palatino Linotype" w:cs="Palatino Linotype"/>
          <w:color w:val="000000"/>
          <w:szCs w:val="24"/>
        </w:rPr>
      </w:pPr>
    </w:p>
    <w:p w14:paraId="1D1CFD11" w14:textId="472CC561" w:rsidR="005B4288" w:rsidRPr="005859C2" w:rsidRDefault="005B4288"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 xml:space="preserve">Por su parte, el Recurrente no realizó manifestaciones, vertió alegatos ni presentó pruebas que a su derecho convinieran, así como tampoco </w:t>
      </w:r>
      <w:r w:rsidR="003A5A9F" w:rsidRPr="005859C2">
        <w:rPr>
          <w:rFonts w:eastAsia="Palatino Linotype" w:cs="Palatino Linotype"/>
          <w:color w:val="000000"/>
          <w:szCs w:val="24"/>
        </w:rPr>
        <w:t>se pronunció respecto del Informe Justificado rendido por el Sujeto Obligado.</w:t>
      </w:r>
    </w:p>
    <w:p w14:paraId="39AC33CC" w14:textId="77777777" w:rsidR="005B4288" w:rsidRPr="005859C2" w:rsidRDefault="005B4288" w:rsidP="00F62375">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5859C2" w:rsidRDefault="006100FC"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5859C2">
        <w:rPr>
          <w:rFonts w:eastAsia="Palatino Linotype" w:cs="Palatino Linotype"/>
          <w:color w:val="000000"/>
          <w:szCs w:val="24"/>
        </w:rPr>
        <w:t xml:space="preserve">es suficiente para </w:t>
      </w:r>
      <w:r w:rsidRPr="005859C2">
        <w:rPr>
          <w:rFonts w:eastAsia="Palatino Linotype" w:cs="Palatino Linotype"/>
          <w:color w:val="000000"/>
          <w:szCs w:val="24"/>
        </w:rPr>
        <w:t>colma</w:t>
      </w:r>
      <w:r w:rsidR="008F3CDB" w:rsidRPr="005859C2">
        <w:rPr>
          <w:rFonts w:eastAsia="Palatino Linotype" w:cs="Palatino Linotype"/>
          <w:color w:val="000000"/>
          <w:szCs w:val="24"/>
        </w:rPr>
        <w:t>r</w:t>
      </w:r>
      <w:r w:rsidRPr="005859C2">
        <w:rPr>
          <w:rFonts w:eastAsia="Palatino Linotype" w:cs="Palatino Linotype"/>
          <w:color w:val="000000"/>
          <w:szCs w:val="24"/>
        </w:rPr>
        <w:t xml:space="preserve"> la</w:t>
      </w:r>
      <w:r w:rsidR="008F3CDB" w:rsidRPr="005859C2">
        <w:rPr>
          <w:rFonts w:eastAsia="Palatino Linotype" w:cs="Palatino Linotype"/>
          <w:color w:val="000000"/>
          <w:szCs w:val="24"/>
        </w:rPr>
        <w:t>s</w:t>
      </w:r>
      <w:r w:rsidRPr="005859C2">
        <w:rPr>
          <w:rFonts w:eastAsia="Palatino Linotype" w:cs="Palatino Linotype"/>
          <w:color w:val="000000"/>
          <w:szCs w:val="24"/>
        </w:rPr>
        <w:t xml:space="preserve"> pretens</w:t>
      </w:r>
      <w:r w:rsidR="008F3CDB" w:rsidRPr="005859C2">
        <w:rPr>
          <w:rFonts w:eastAsia="Palatino Linotype" w:cs="Palatino Linotype"/>
          <w:color w:val="000000"/>
          <w:szCs w:val="24"/>
        </w:rPr>
        <w:t>iones</w:t>
      </w:r>
      <w:r w:rsidRPr="005859C2">
        <w:rPr>
          <w:rFonts w:eastAsia="Palatino Linotype" w:cs="Palatino Linotype"/>
          <w:color w:val="000000"/>
          <w:szCs w:val="24"/>
        </w:rPr>
        <w:t xml:space="preserve"> del Recurrente, así como calificar los motivos de inconformidad del particular. </w:t>
      </w:r>
    </w:p>
    <w:p w14:paraId="7AF7731E" w14:textId="77777777" w:rsidR="006100FC" w:rsidRPr="005859C2" w:rsidRDefault="006100FC" w:rsidP="00F62375">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5859C2" w:rsidRDefault="006100FC" w:rsidP="00F62375">
      <w:pPr>
        <w:pBdr>
          <w:top w:val="nil"/>
          <w:left w:val="nil"/>
          <w:bottom w:val="nil"/>
          <w:right w:val="nil"/>
          <w:between w:val="nil"/>
        </w:pBdr>
        <w:contextualSpacing/>
        <w:rPr>
          <w:rFonts w:eastAsia="Palatino Linotype" w:cs="Palatino Linotype"/>
          <w:color w:val="000000"/>
          <w:szCs w:val="24"/>
        </w:rPr>
      </w:pPr>
      <w:r w:rsidRPr="005859C2">
        <w:rPr>
          <w:rFonts w:eastAsia="Palatino Linotype" w:cs="Palatino Linotype"/>
          <w:color w:val="000000"/>
          <w:szCs w:val="24"/>
        </w:rPr>
        <w:lastRenderedPageBreak/>
        <w:t xml:space="preserve">En este sentido, es pertinente enfatizar lo que, respecto al derecho de acceso a la información pública, refiere el artículo </w:t>
      </w:r>
      <w:r w:rsidR="00E00EC1" w:rsidRPr="005859C2">
        <w:rPr>
          <w:rFonts w:eastAsia="Palatino Linotype" w:cs="Palatino Linotype"/>
          <w:color w:val="000000"/>
          <w:szCs w:val="24"/>
        </w:rPr>
        <w:t>5</w:t>
      </w:r>
      <w:r w:rsidRPr="005859C2">
        <w:rPr>
          <w:rFonts w:eastAsia="Palatino Linotype" w:cs="Palatino Linotype"/>
          <w:color w:val="000000"/>
          <w:szCs w:val="24"/>
        </w:rPr>
        <w:t>° de la Constitución Política del Estado Libre y Soberano de México</w:t>
      </w:r>
      <w:r w:rsidR="00E00EC1" w:rsidRPr="005859C2">
        <w:rPr>
          <w:rFonts w:eastAsia="Palatino Linotype" w:cs="Palatino Linotype"/>
          <w:color w:val="000000"/>
          <w:szCs w:val="24"/>
        </w:rPr>
        <w:t>, que</w:t>
      </w:r>
      <w:r w:rsidRPr="005859C2">
        <w:rPr>
          <w:rFonts w:eastAsia="Palatino Linotype" w:cs="Palatino Linotype"/>
          <w:color w:val="000000"/>
          <w:szCs w:val="24"/>
        </w:rPr>
        <w:t xml:space="preserve"> en su parte conducente</w:t>
      </w:r>
      <w:r w:rsidR="00E00EC1" w:rsidRPr="005859C2">
        <w:rPr>
          <w:rFonts w:eastAsia="Palatino Linotype" w:cs="Palatino Linotype"/>
          <w:color w:val="000000"/>
          <w:szCs w:val="24"/>
        </w:rPr>
        <w:t xml:space="preserve"> dispone</w:t>
      </w:r>
      <w:r w:rsidRPr="005859C2">
        <w:rPr>
          <w:rFonts w:eastAsia="Palatino Linotype" w:cs="Palatino Linotype"/>
          <w:color w:val="000000"/>
          <w:szCs w:val="24"/>
        </w:rPr>
        <w:t xml:space="preserve"> lo siguiente:</w:t>
      </w:r>
    </w:p>
    <w:p w14:paraId="5DA101FA" w14:textId="77777777" w:rsidR="006100FC" w:rsidRPr="005859C2" w:rsidRDefault="006100FC" w:rsidP="00F62375">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5859C2" w:rsidRDefault="006100FC" w:rsidP="00F62375">
      <w:pPr>
        <w:pStyle w:val="Fundamentos"/>
        <w:spacing w:line="360" w:lineRule="auto"/>
        <w:rPr>
          <w:sz w:val="24"/>
        </w:rPr>
      </w:pPr>
      <w:r w:rsidRPr="005859C2">
        <w:rPr>
          <w:b/>
          <w:bCs/>
          <w:sz w:val="24"/>
        </w:rPr>
        <w:t>Artículo 5.</w:t>
      </w:r>
      <w:r w:rsidRPr="005859C2">
        <w:rPr>
          <w:sz w:val="24"/>
        </w:rPr>
        <w:t xml:space="preserve"> […]</w:t>
      </w:r>
    </w:p>
    <w:p w14:paraId="1839D29E" w14:textId="77777777" w:rsidR="006100FC" w:rsidRPr="005859C2" w:rsidRDefault="006100FC" w:rsidP="00F62375">
      <w:pPr>
        <w:pStyle w:val="Fundamentos"/>
        <w:spacing w:line="360" w:lineRule="auto"/>
        <w:rPr>
          <w:sz w:val="24"/>
        </w:rPr>
      </w:pPr>
    </w:p>
    <w:p w14:paraId="7D51A6D3" w14:textId="77777777" w:rsidR="006100FC" w:rsidRPr="005859C2" w:rsidRDefault="006100FC" w:rsidP="00F62375">
      <w:pPr>
        <w:pStyle w:val="Fundamentos"/>
        <w:spacing w:line="360" w:lineRule="auto"/>
        <w:rPr>
          <w:sz w:val="24"/>
        </w:rPr>
      </w:pPr>
      <w:r w:rsidRPr="005859C2">
        <w:rPr>
          <w:sz w:val="24"/>
        </w:rPr>
        <w:t xml:space="preserve">El derecho a la información será garantizado por el Estado. La ley establecerá las previsiones que permitan asegurar la protección, el respeto y la difusión de este derecho. </w:t>
      </w:r>
    </w:p>
    <w:p w14:paraId="4079EC08" w14:textId="77777777" w:rsidR="006100FC" w:rsidRPr="005859C2" w:rsidRDefault="006100FC" w:rsidP="00F62375">
      <w:pPr>
        <w:pStyle w:val="Fundamentos"/>
        <w:spacing w:line="360" w:lineRule="auto"/>
        <w:rPr>
          <w:sz w:val="24"/>
        </w:rPr>
      </w:pPr>
    </w:p>
    <w:p w14:paraId="2060C0A8" w14:textId="77777777" w:rsidR="006100FC" w:rsidRPr="005859C2" w:rsidRDefault="006100FC" w:rsidP="00F62375">
      <w:pPr>
        <w:pStyle w:val="Fundamentos"/>
        <w:spacing w:line="360" w:lineRule="auto"/>
        <w:rPr>
          <w:sz w:val="24"/>
        </w:rPr>
      </w:pPr>
      <w:r w:rsidRPr="005859C2">
        <w:rPr>
          <w:sz w:val="24"/>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5859C2" w:rsidRDefault="006100FC" w:rsidP="00F62375">
      <w:pPr>
        <w:pStyle w:val="Fundamentos"/>
        <w:spacing w:line="360" w:lineRule="auto"/>
        <w:rPr>
          <w:sz w:val="24"/>
        </w:rPr>
      </w:pPr>
    </w:p>
    <w:p w14:paraId="31D381A6" w14:textId="77777777" w:rsidR="006100FC" w:rsidRPr="005859C2" w:rsidRDefault="006100FC" w:rsidP="00F62375">
      <w:pPr>
        <w:pStyle w:val="Fundamentos"/>
        <w:spacing w:line="360" w:lineRule="auto"/>
        <w:rPr>
          <w:sz w:val="24"/>
        </w:rPr>
      </w:pPr>
      <w:r w:rsidRPr="005859C2">
        <w:rPr>
          <w:sz w:val="24"/>
        </w:rPr>
        <w:t>Este derecho se regirá por los principios y bases siguientes:</w:t>
      </w:r>
    </w:p>
    <w:p w14:paraId="1A21896F" w14:textId="77777777" w:rsidR="006100FC" w:rsidRPr="005859C2" w:rsidRDefault="006100FC" w:rsidP="00F62375">
      <w:pPr>
        <w:pStyle w:val="Fundamentos"/>
        <w:spacing w:line="360" w:lineRule="auto"/>
        <w:rPr>
          <w:sz w:val="24"/>
        </w:rPr>
      </w:pPr>
    </w:p>
    <w:p w14:paraId="13A22FC8" w14:textId="77777777" w:rsidR="006100FC" w:rsidRPr="005859C2" w:rsidRDefault="006100FC" w:rsidP="00F62375">
      <w:pPr>
        <w:pStyle w:val="Fundamentos"/>
        <w:spacing w:line="360" w:lineRule="auto"/>
        <w:rPr>
          <w:sz w:val="24"/>
        </w:rPr>
      </w:pPr>
      <w:r w:rsidRPr="005859C2">
        <w:rPr>
          <w:sz w:val="24"/>
        </w:rPr>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w:t>
      </w:r>
      <w:r w:rsidRPr="005859C2">
        <w:rPr>
          <w:sz w:val="24"/>
        </w:rPr>
        <w:lastRenderedPageBreak/>
        <w:t>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5859C2" w:rsidRDefault="006100FC" w:rsidP="00F62375">
      <w:pPr>
        <w:pStyle w:val="Fundamentos"/>
        <w:spacing w:line="360" w:lineRule="auto"/>
        <w:rPr>
          <w:sz w:val="24"/>
        </w:rPr>
      </w:pPr>
      <w:r w:rsidRPr="005859C2">
        <w:rPr>
          <w:sz w:val="24"/>
        </w:rPr>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5859C2" w:rsidRDefault="006100FC" w:rsidP="00F62375">
      <w:pPr>
        <w:pStyle w:val="Fundamentos"/>
        <w:spacing w:line="360" w:lineRule="auto"/>
        <w:rPr>
          <w:sz w:val="24"/>
          <w:lang w:val="es-ES"/>
        </w:rPr>
      </w:pPr>
      <w:r w:rsidRPr="005859C2">
        <w:rPr>
          <w:sz w:val="24"/>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5859C2" w:rsidRDefault="006100FC" w:rsidP="00F62375">
      <w:pPr>
        <w:pStyle w:val="Fundamentos"/>
        <w:spacing w:line="360" w:lineRule="auto"/>
        <w:rPr>
          <w:sz w:val="24"/>
        </w:rPr>
      </w:pPr>
      <w:r w:rsidRPr="005859C2">
        <w:rPr>
          <w:sz w:val="24"/>
        </w:rPr>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5859C2" w:rsidRDefault="006100FC" w:rsidP="00F62375">
      <w:pPr>
        <w:pStyle w:val="Fundamentos"/>
        <w:spacing w:line="360" w:lineRule="auto"/>
        <w:rPr>
          <w:sz w:val="24"/>
        </w:rPr>
      </w:pPr>
      <w:r w:rsidRPr="005859C2">
        <w:rPr>
          <w:sz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5859C2" w:rsidRDefault="006100FC" w:rsidP="00F62375">
      <w:pPr>
        <w:pStyle w:val="Fundamentos"/>
        <w:spacing w:line="360" w:lineRule="auto"/>
        <w:rPr>
          <w:sz w:val="24"/>
        </w:rPr>
      </w:pPr>
      <w:r w:rsidRPr="005859C2">
        <w:rPr>
          <w:sz w:val="24"/>
        </w:rPr>
        <w:t xml:space="preserve">VI. Los sujetos obligados deberán preservar sus documentos en archivos administrativos actualizados y publicarán, a través de los medios electrónicos disponibles, la información completa y actualizada sobre el ejercicio de los recursos </w:t>
      </w:r>
      <w:r w:rsidRPr="005859C2">
        <w:rPr>
          <w:sz w:val="24"/>
        </w:rPr>
        <w:lastRenderedPageBreak/>
        <w:t>públicos y los indicadores que permitan rendir cuenta del cumplimiento de sus objetivos y los resultados obtenidos.</w:t>
      </w:r>
    </w:p>
    <w:p w14:paraId="33A16184" w14:textId="77777777" w:rsidR="006100FC" w:rsidRPr="005859C2" w:rsidRDefault="006100FC" w:rsidP="00F62375">
      <w:pPr>
        <w:pStyle w:val="Fundamentos"/>
        <w:spacing w:line="360" w:lineRule="auto"/>
        <w:rPr>
          <w:sz w:val="24"/>
          <w:lang w:val="es-ES"/>
        </w:rPr>
      </w:pPr>
      <w:r w:rsidRPr="005859C2">
        <w:rPr>
          <w:sz w:val="24"/>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5859C2" w:rsidRDefault="006100FC" w:rsidP="00F62375">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5859C2" w:rsidRDefault="006100FC" w:rsidP="00F62375">
      <w:pPr>
        <w:rPr>
          <w:rFonts w:eastAsia="Palatino Linotype" w:cs="Palatino Linotype"/>
          <w:szCs w:val="24"/>
        </w:rPr>
      </w:pPr>
      <w:r w:rsidRPr="005859C2">
        <w:rPr>
          <w:rFonts w:eastAsia="Palatino Linotype" w:cs="Palatino Linotype"/>
          <w:szCs w:val="24"/>
        </w:rPr>
        <w:t>En ese orden de ideas, la Ley de Transparencia y Acceso a la Información Pública del Estado de México y Mun</w:t>
      </w:r>
      <w:r w:rsidR="001B63A6" w:rsidRPr="005859C2">
        <w:rPr>
          <w:rFonts w:eastAsia="Palatino Linotype" w:cs="Palatino Linotype"/>
          <w:szCs w:val="24"/>
        </w:rPr>
        <w:t>icipios, prevé en su artículo 23</w:t>
      </w:r>
      <w:r w:rsidRPr="005859C2">
        <w:rPr>
          <w:rFonts w:eastAsia="Palatino Linotype" w:cs="Palatino Linotype"/>
          <w:szCs w:val="24"/>
        </w:rPr>
        <w:t xml:space="preserve"> fracción I</w:t>
      </w:r>
      <w:r w:rsidR="0021631C" w:rsidRPr="005859C2">
        <w:rPr>
          <w:rFonts w:eastAsia="Palatino Linotype" w:cs="Palatino Linotype"/>
          <w:szCs w:val="24"/>
        </w:rPr>
        <w:t>V</w:t>
      </w:r>
      <w:r w:rsidRPr="005859C2">
        <w:rPr>
          <w:rFonts w:eastAsia="Palatino Linotype" w:cs="Palatino Linotype"/>
          <w:szCs w:val="24"/>
        </w:rPr>
        <w:t>, lo siguiente:</w:t>
      </w:r>
    </w:p>
    <w:p w14:paraId="2225C7E4" w14:textId="77777777" w:rsidR="006100FC" w:rsidRPr="005859C2" w:rsidRDefault="006100FC" w:rsidP="00F62375">
      <w:pPr>
        <w:rPr>
          <w:rFonts w:eastAsia="Palatino Linotype" w:cs="Palatino Linotype"/>
          <w:szCs w:val="24"/>
        </w:rPr>
      </w:pPr>
    </w:p>
    <w:p w14:paraId="1E7239A4" w14:textId="77777777" w:rsidR="006100FC" w:rsidRPr="005859C2" w:rsidRDefault="006100FC" w:rsidP="00F62375">
      <w:pPr>
        <w:pStyle w:val="Fundamentos"/>
        <w:spacing w:line="360" w:lineRule="auto"/>
        <w:rPr>
          <w:sz w:val="24"/>
        </w:rPr>
      </w:pPr>
      <w:r w:rsidRPr="005859C2">
        <w:rPr>
          <w:b/>
          <w:sz w:val="24"/>
        </w:rPr>
        <w:t>Artículo 23.</w:t>
      </w:r>
      <w:r w:rsidRPr="005859C2">
        <w:rPr>
          <w:sz w:val="24"/>
        </w:rPr>
        <w:t xml:space="preserve"> Son sujetos obligados a transparentar y permitir el acceso a su información y proteger los datos personales que obren en su poder:</w:t>
      </w:r>
    </w:p>
    <w:p w14:paraId="1F1A0AD1" w14:textId="527CCDE8" w:rsidR="006100FC" w:rsidRPr="005859C2" w:rsidRDefault="005E625F" w:rsidP="00F62375">
      <w:pPr>
        <w:pStyle w:val="Fundamentos"/>
        <w:spacing w:line="360" w:lineRule="auto"/>
        <w:rPr>
          <w:sz w:val="24"/>
        </w:rPr>
      </w:pPr>
      <w:r w:rsidRPr="005859C2">
        <w:rPr>
          <w:sz w:val="24"/>
        </w:rPr>
        <w:t>[…]</w:t>
      </w:r>
    </w:p>
    <w:p w14:paraId="451DBD48" w14:textId="7234E42F" w:rsidR="006100FC" w:rsidRPr="005859C2" w:rsidRDefault="00456D44" w:rsidP="00F62375">
      <w:pPr>
        <w:pStyle w:val="Fundamentos"/>
        <w:spacing w:line="360" w:lineRule="auto"/>
        <w:rPr>
          <w:sz w:val="24"/>
        </w:rPr>
      </w:pPr>
      <w:r w:rsidRPr="005859C2">
        <w:rPr>
          <w:b/>
          <w:bCs/>
          <w:sz w:val="24"/>
        </w:rPr>
        <w:t>I</w:t>
      </w:r>
      <w:r w:rsidR="0021631C" w:rsidRPr="005859C2">
        <w:rPr>
          <w:b/>
          <w:bCs/>
          <w:sz w:val="24"/>
        </w:rPr>
        <w:t>V</w:t>
      </w:r>
      <w:r w:rsidR="006100FC" w:rsidRPr="005859C2">
        <w:rPr>
          <w:b/>
          <w:bCs/>
          <w:sz w:val="24"/>
        </w:rPr>
        <w:t xml:space="preserve">. </w:t>
      </w:r>
      <w:r w:rsidRPr="005859C2">
        <w:rPr>
          <w:sz w:val="24"/>
        </w:rPr>
        <w:t xml:space="preserve">Los </w:t>
      </w:r>
      <w:r w:rsidR="00206600" w:rsidRPr="005859C2">
        <w:rPr>
          <w:sz w:val="24"/>
        </w:rPr>
        <w:t>ayuntamientos y las dependencias, organismos, órganos y entidades de la administración municipal</w:t>
      </w:r>
      <w:r w:rsidR="006100FC" w:rsidRPr="005859C2">
        <w:rPr>
          <w:sz w:val="24"/>
        </w:rPr>
        <w:t>;</w:t>
      </w:r>
    </w:p>
    <w:p w14:paraId="20F34654" w14:textId="77777777" w:rsidR="006100FC" w:rsidRPr="005859C2" w:rsidRDefault="006100FC" w:rsidP="00F62375">
      <w:pPr>
        <w:pStyle w:val="Fundamentos"/>
        <w:spacing w:line="360" w:lineRule="auto"/>
        <w:rPr>
          <w:sz w:val="24"/>
        </w:rPr>
      </w:pPr>
      <w:r w:rsidRPr="005859C2">
        <w:rPr>
          <w:sz w:val="24"/>
        </w:rPr>
        <w:t>[…]</w:t>
      </w:r>
    </w:p>
    <w:p w14:paraId="2FDDCFD2" w14:textId="77777777" w:rsidR="006100FC" w:rsidRPr="005859C2" w:rsidRDefault="006100FC" w:rsidP="00F62375">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5859C2" w:rsidRDefault="006100FC" w:rsidP="00F62375">
      <w:pPr>
        <w:rPr>
          <w:szCs w:val="24"/>
        </w:rPr>
      </w:pPr>
      <w:r w:rsidRPr="005859C2">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5859C2" w:rsidRDefault="00737EBC" w:rsidP="00F62375">
      <w:pPr>
        <w:rPr>
          <w:szCs w:val="24"/>
        </w:rPr>
      </w:pPr>
    </w:p>
    <w:p w14:paraId="2171541A" w14:textId="7C8DDB04" w:rsidR="00737EBC" w:rsidRPr="005859C2" w:rsidRDefault="00737EBC" w:rsidP="00F62375">
      <w:pPr>
        <w:rPr>
          <w:szCs w:val="24"/>
        </w:rPr>
      </w:pPr>
      <w:r w:rsidRPr="005859C2">
        <w:rPr>
          <w:szCs w:val="24"/>
        </w:rPr>
        <w:t xml:space="preserve">Asimismo, </w:t>
      </w:r>
      <w:r w:rsidR="00726486" w:rsidRPr="005859C2">
        <w:rPr>
          <w:szCs w:val="24"/>
        </w:rPr>
        <w:t>de</w:t>
      </w:r>
      <w:r w:rsidR="00942EC6" w:rsidRPr="005859C2">
        <w:rPr>
          <w:szCs w:val="24"/>
        </w:rPr>
        <w:t xml:space="preserve"> </w:t>
      </w:r>
      <w:r w:rsidRPr="005859C2">
        <w:rPr>
          <w:szCs w:val="24"/>
        </w:rPr>
        <w:t>l</w:t>
      </w:r>
      <w:r w:rsidR="00526368" w:rsidRPr="005859C2">
        <w:rPr>
          <w:szCs w:val="24"/>
        </w:rPr>
        <w:t>a interpretación de los</w:t>
      </w:r>
      <w:r w:rsidRPr="005859C2">
        <w:rPr>
          <w:szCs w:val="24"/>
        </w:rPr>
        <w:t xml:space="preserve"> motivos de inconformidad expresados por </w:t>
      </w:r>
      <w:r w:rsidR="00942EC6" w:rsidRPr="005859C2">
        <w:rPr>
          <w:szCs w:val="24"/>
        </w:rPr>
        <w:t>el</w:t>
      </w:r>
      <w:r w:rsidRPr="005859C2">
        <w:rPr>
          <w:szCs w:val="24"/>
        </w:rPr>
        <w:t xml:space="preserve"> Recurrente, </w:t>
      </w:r>
      <w:r w:rsidR="00F73E96" w:rsidRPr="005859C2">
        <w:rPr>
          <w:szCs w:val="24"/>
        </w:rPr>
        <w:t>dado que sólo hace referencia a un</w:t>
      </w:r>
      <w:r w:rsidR="00B06871" w:rsidRPr="005859C2">
        <w:rPr>
          <w:szCs w:val="24"/>
        </w:rPr>
        <w:t xml:space="preserve">a parte de su solicitud original, </w:t>
      </w:r>
      <w:r w:rsidRPr="005859C2">
        <w:rPr>
          <w:szCs w:val="24"/>
        </w:rPr>
        <w:t xml:space="preserve">se </w:t>
      </w:r>
      <w:r w:rsidR="00F73E96" w:rsidRPr="005859C2">
        <w:rPr>
          <w:szCs w:val="24"/>
        </w:rPr>
        <w:t>colige</w:t>
      </w:r>
      <w:r w:rsidRPr="005859C2">
        <w:rPr>
          <w:szCs w:val="24"/>
        </w:rPr>
        <w:t xml:space="preserve"> </w:t>
      </w:r>
      <w:r w:rsidRPr="005859C2">
        <w:rPr>
          <w:szCs w:val="24"/>
        </w:rPr>
        <w:lastRenderedPageBreak/>
        <w:t>que en el presente caso se actualizó la causal de procedencia del recurso de revisión</w:t>
      </w:r>
      <w:r w:rsidR="00392DAC" w:rsidRPr="005859C2">
        <w:rPr>
          <w:szCs w:val="24"/>
        </w:rPr>
        <w:t xml:space="preserve"> prevista en la fracci</w:t>
      </w:r>
      <w:r w:rsidR="00942EC6" w:rsidRPr="005859C2">
        <w:rPr>
          <w:szCs w:val="24"/>
        </w:rPr>
        <w:t>ón</w:t>
      </w:r>
      <w:r w:rsidR="003502FA" w:rsidRPr="005859C2">
        <w:rPr>
          <w:szCs w:val="24"/>
        </w:rPr>
        <w:t xml:space="preserve"> III</w:t>
      </w:r>
      <w:r w:rsidR="006E1158" w:rsidRPr="005859C2">
        <w:rPr>
          <w:szCs w:val="24"/>
        </w:rPr>
        <w:t xml:space="preserve"> del artículo 179 de la Ley de Transparencia local, que a la letra es</w:t>
      </w:r>
      <w:r w:rsidR="0090120A" w:rsidRPr="005859C2">
        <w:rPr>
          <w:szCs w:val="24"/>
        </w:rPr>
        <w:t>tipula lo siguiente:</w:t>
      </w:r>
    </w:p>
    <w:p w14:paraId="5EC36975" w14:textId="77777777" w:rsidR="0090120A" w:rsidRPr="005859C2" w:rsidRDefault="0090120A" w:rsidP="00F62375">
      <w:pPr>
        <w:rPr>
          <w:szCs w:val="24"/>
        </w:rPr>
      </w:pPr>
    </w:p>
    <w:p w14:paraId="24B98DEE" w14:textId="77777777" w:rsidR="009A41B1" w:rsidRPr="005859C2" w:rsidRDefault="009A41B1" w:rsidP="00F62375">
      <w:pPr>
        <w:pStyle w:val="Fundamentos"/>
        <w:spacing w:line="360" w:lineRule="auto"/>
        <w:rPr>
          <w:sz w:val="24"/>
          <w:lang w:val="es-MX"/>
        </w:rPr>
      </w:pPr>
      <w:r w:rsidRPr="005859C2">
        <w:rPr>
          <w:b/>
          <w:sz w:val="24"/>
          <w:lang w:val="es-MX"/>
        </w:rPr>
        <w:t xml:space="preserve">Artículo 179. </w:t>
      </w:r>
      <w:r w:rsidRPr="005859C2">
        <w:rPr>
          <w:sz w:val="24"/>
          <w:lang w:val="es-MX"/>
        </w:rPr>
        <w:t>El recurso de revisión es un medio de protección que la Ley otorga a los particulares, para hacer valer su derecho de acceso a la información pública, y procederá en contra de las siguientes causas:</w:t>
      </w:r>
    </w:p>
    <w:p w14:paraId="7C233B4F" w14:textId="5F60B584" w:rsidR="0090120A" w:rsidRPr="005859C2" w:rsidRDefault="005617E6" w:rsidP="00F62375">
      <w:pPr>
        <w:pStyle w:val="Fundamentos"/>
        <w:spacing w:line="360" w:lineRule="auto"/>
        <w:rPr>
          <w:sz w:val="24"/>
          <w:lang w:val="es-MX"/>
        </w:rPr>
      </w:pPr>
      <w:r w:rsidRPr="005859C2">
        <w:rPr>
          <w:sz w:val="24"/>
          <w:lang w:val="es-MX"/>
        </w:rPr>
        <w:t>[…]</w:t>
      </w:r>
    </w:p>
    <w:p w14:paraId="5C4DD805" w14:textId="00957C8B" w:rsidR="009A41B1" w:rsidRPr="005859C2" w:rsidRDefault="003502FA" w:rsidP="00F62375">
      <w:pPr>
        <w:pStyle w:val="Fundamentos"/>
        <w:spacing w:line="360" w:lineRule="auto"/>
        <w:rPr>
          <w:sz w:val="24"/>
        </w:rPr>
      </w:pPr>
      <w:r w:rsidRPr="005859C2">
        <w:rPr>
          <w:b/>
          <w:sz w:val="24"/>
          <w:lang w:val="es-ES"/>
        </w:rPr>
        <w:t>III. La declaración de inexistencia de la información;</w:t>
      </w:r>
    </w:p>
    <w:p w14:paraId="7DA613D5" w14:textId="0F80D5F5" w:rsidR="00392DAC" w:rsidRPr="005859C2" w:rsidRDefault="007A5010" w:rsidP="00F62375">
      <w:pPr>
        <w:pStyle w:val="Fundamentos"/>
        <w:spacing w:line="360" w:lineRule="auto"/>
        <w:rPr>
          <w:sz w:val="24"/>
        </w:rPr>
      </w:pPr>
      <w:r w:rsidRPr="005859C2">
        <w:rPr>
          <w:sz w:val="24"/>
        </w:rPr>
        <w:t>[…]</w:t>
      </w:r>
    </w:p>
    <w:p w14:paraId="0E490BF9" w14:textId="77777777" w:rsidR="00E37861" w:rsidRPr="005859C2" w:rsidRDefault="00E37861" w:rsidP="00F62375">
      <w:pPr>
        <w:ind w:right="-20"/>
        <w:rPr>
          <w:rFonts w:eastAsiaTheme="minorEastAsia" w:cstheme="minorBidi"/>
          <w:szCs w:val="24"/>
          <w:lang w:val="es-ES" w:eastAsia="en-US"/>
        </w:rPr>
      </w:pPr>
    </w:p>
    <w:p w14:paraId="010AC56F" w14:textId="77777777" w:rsidR="00084AE5" w:rsidRPr="005859C2" w:rsidRDefault="005366AD" w:rsidP="00F62375">
      <w:pPr>
        <w:contextualSpacing/>
        <w:rPr>
          <w:rFonts w:eastAsia="Palatino Linotype" w:cs="Palatino Linotype"/>
          <w:color w:val="000000"/>
          <w:szCs w:val="24"/>
        </w:rPr>
      </w:pPr>
      <w:r w:rsidRPr="005859C2">
        <w:rPr>
          <w:rFonts w:eastAsiaTheme="minorEastAsia" w:cstheme="minorBidi"/>
          <w:szCs w:val="24"/>
          <w:lang w:val="es-ES" w:eastAsia="en-US"/>
        </w:rPr>
        <w:t xml:space="preserve">Así, dado el pronunciamiento del Sujeto Obligado, es </w:t>
      </w:r>
      <w:r w:rsidR="00DB6744" w:rsidRPr="005859C2">
        <w:rPr>
          <w:rFonts w:eastAsiaTheme="minorEastAsia" w:cstheme="minorBidi"/>
          <w:szCs w:val="24"/>
          <w:lang w:val="es-ES" w:eastAsia="en-US"/>
        </w:rPr>
        <w:t xml:space="preserve">conveniente traer a colación lo dispuesto </w:t>
      </w:r>
      <w:r w:rsidR="00084AE5" w:rsidRPr="005859C2">
        <w:rPr>
          <w:rFonts w:eastAsia="Palatino Linotype" w:cs="Palatino Linotype"/>
          <w:color w:val="000000"/>
          <w:szCs w:val="24"/>
        </w:rPr>
        <w:t>en los artículos 4, 12 y 24 último párrafo de la Ley de Transparencia local, en los que se dispone lo siguiente:</w:t>
      </w:r>
    </w:p>
    <w:p w14:paraId="1544D99E" w14:textId="77777777" w:rsidR="00084AE5" w:rsidRPr="005859C2" w:rsidRDefault="00084AE5" w:rsidP="00F62375">
      <w:pPr>
        <w:contextualSpacing/>
        <w:rPr>
          <w:rFonts w:eastAsia="Palatino Linotype" w:cs="Palatino Linotype"/>
          <w:color w:val="000000"/>
          <w:szCs w:val="24"/>
        </w:rPr>
      </w:pPr>
    </w:p>
    <w:p w14:paraId="0D5D2EE9"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5859C2">
        <w:rPr>
          <w:rFonts w:eastAsia="Palatino Linotype" w:cs="Palatino Linotype"/>
          <w:b/>
          <w:i/>
          <w:color w:val="000000"/>
          <w:szCs w:val="24"/>
        </w:rPr>
        <w:t xml:space="preserve">Artículo 4. </w:t>
      </w:r>
      <w:r w:rsidRPr="005859C2">
        <w:rPr>
          <w:rFonts w:eastAsia="Palatino Linotype" w:cs="Palatino Linotype"/>
          <w:i/>
          <w:color w:val="000000"/>
          <w:szCs w:val="24"/>
        </w:rPr>
        <w:t>El derecho humano de acceso a la información pública es la prerrogativa de las personas para buscar, difundir, investigar, recabar, recibir y solicitar información pública, sin necesidad de acreditar personalidad ni interés jurídico.</w:t>
      </w:r>
    </w:p>
    <w:p w14:paraId="4ADD5B93"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290EFE11"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5859C2">
        <w:rPr>
          <w:rFonts w:eastAsia="Palatino Linotype" w:cs="Palatino Linotype"/>
          <w:b/>
          <w:bCs/>
          <w:i/>
          <w:color w:val="000000"/>
          <w:szCs w:val="24"/>
          <w:u w:val="single"/>
        </w:rPr>
        <w:t>Toda la información generada, obtenida, adquirida, transformada, administrada o en posesión de los sujetos obligados es pública y accesible de manera permanente a cualquier persona</w:t>
      </w:r>
      <w:r w:rsidRPr="005859C2">
        <w:rPr>
          <w:rFonts w:eastAsia="Palatino Linotype" w:cs="Palatino Linotype"/>
          <w:i/>
          <w:color w:val="000000"/>
          <w:szCs w:val="24"/>
        </w:rPr>
        <w:t xml:space="preserve">, en los términos y condiciones que se establezcan en los tratados internacionales de los que el Estado mexicano sea parte, en la Ley General, la presente Ley y demás disposiciones de la materia, privilegiando el </w:t>
      </w:r>
      <w:r w:rsidRPr="005859C2">
        <w:rPr>
          <w:rFonts w:eastAsia="Palatino Linotype" w:cs="Palatino Linotype"/>
          <w:i/>
          <w:color w:val="000000"/>
          <w:szCs w:val="24"/>
        </w:rPr>
        <w:lastRenderedPageBreak/>
        <w:t>principio de máxima publicidad de la información. Solo podrá ser clasificada excepcionalmente como reservada temporalmente por razones de interés público, en los términos de las causas legítimas y estrictamente necesarias previstas por esta Ley.</w:t>
      </w:r>
    </w:p>
    <w:p w14:paraId="3F35A45F"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07EFB452"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5859C2">
        <w:rPr>
          <w:rFonts w:eastAsia="Palatino Linotype" w:cs="Palatino Linotype"/>
          <w:i/>
          <w:color w:val="000000"/>
          <w:szCs w:val="24"/>
        </w:rPr>
        <w:t>Los sujetos obligados deben poner en práctica, políticas y programas de acceso a la información que se apeguen a criterios de publicidad, veracidad, oportunidad, precisión y suficiencia en beneficio de los solicitantes.</w:t>
      </w:r>
    </w:p>
    <w:p w14:paraId="11E55F2C"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2780C2FF"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5859C2">
        <w:rPr>
          <w:rFonts w:eastAsia="Palatino Linotype" w:cs="Palatino Linotype"/>
          <w:b/>
          <w:i/>
          <w:color w:val="000000"/>
          <w:szCs w:val="24"/>
        </w:rPr>
        <w:t xml:space="preserve">Artículo 12. </w:t>
      </w:r>
      <w:r w:rsidRPr="005859C2">
        <w:rPr>
          <w:rFonts w:eastAsia="Palatino Linotype" w:cs="Palatino Linotype"/>
          <w:i/>
          <w:color w:val="000000"/>
          <w:szCs w:val="24"/>
        </w:rPr>
        <w:t>Quienes generen, recopilen, administren, manejen, procesen, archiven o conserven información pública serán responsables de la misma en los términos de las disposiciones jurídicas aplicables.</w:t>
      </w:r>
    </w:p>
    <w:p w14:paraId="11C58A54"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62587C40"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5859C2">
        <w:rPr>
          <w:rFonts w:eastAsia="Palatino Linotype" w:cs="Palatino Linotype"/>
          <w:b/>
          <w:bCs/>
          <w:i/>
          <w:color w:val="000000"/>
          <w:szCs w:val="24"/>
          <w:u w:val="single"/>
        </w:rPr>
        <w:t>Los sujetos obligados sólo proporcionarán la información pública que se les requiera y que obre en sus archivos y en el estado en que ésta se encuentre</w:t>
      </w:r>
      <w:r w:rsidRPr="005859C2">
        <w:rPr>
          <w:rFonts w:eastAsia="Palatino Linotype" w:cs="Palatino Linotype"/>
          <w:i/>
          <w:color w:val="000000"/>
          <w:szCs w:val="24"/>
        </w:rPr>
        <w:t>. La obligación de proporcionar información no comprende el procesamiento de la misma, ni el presentarla conforme al interés del solicitante; no estarán obligados a generarla, resumirla, efectuar cálculos o practicar investigaciones.</w:t>
      </w:r>
    </w:p>
    <w:p w14:paraId="77A384E1"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572D9F94"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5859C2">
        <w:rPr>
          <w:rFonts w:eastAsia="Palatino Linotype" w:cs="Palatino Linotype"/>
          <w:b/>
          <w:bCs/>
          <w:i/>
          <w:color w:val="000000"/>
          <w:szCs w:val="24"/>
        </w:rPr>
        <w:t>Artículo 24.</w:t>
      </w:r>
      <w:r w:rsidRPr="005859C2">
        <w:rPr>
          <w:rFonts w:eastAsia="Palatino Linotype" w:cs="Palatino Linotype"/>
          <w:i/>
          <w:color w:val="000000"/>
          <w:szCs w:val="24"/>
        </w:rPr>
        <w:t xml:space="preserve"> […]</w:t>
      </w:r>
    </w:p>
    <w:p w14:paraId="0C4FC391"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p>
    <w:p w14:paraId="6B0E3A22" w14:textId="77777777" w:rsidR="00084AE5" w:rsidRPr="005859C2" w:rsidRDefault="00084AE5" w:rsidP="00F62375">
      <w:pPr>
        <w:pBdr>
          <w:top w:val="nil"/>
          <w:left w:val="nil"/>
          <w:bottom w:val="nil"/>
          <w:right w:val="nil"/>
          <w:between w:val="nil"/>
        </w:pBdr>
        <w:ind w:left="567" w:right="567"/>
        <w:contextualSpacing/>
        <w:rPr>
          <w:rFonts w:eastAsia="Palatino Linotype" w:cs="Palatino Linotype"/>
          <w:i/>
          <w:color w:val="000000"/>
          <w:szCs w:val="24"/>
        </w:rPr>
      </w:pPr>
      <w:r w:rsidRPr="005859C2">
        <w:rPr>
          <w:rFonts w:eastAsia="Palatino Linotype" w:cs="Palatino Linotype"/>
          <w:i/>
          <w:color w:val="000000"/>
          <w:szCs w:val="24"/>
        </w:rPr>
        <w:t>Los sujetos obligados solo proporcionarán la información pública que generen, administren o posean en el ejercicio de sus atribuciones.</w:t>
      </w:r>
    </w:p>
    <w:p w14:paraId="1BD92DDA" w14:textId="77777777" w:rsidR="00084AE5" w:rsidRPr="005859C2" w:rsidRDefault="00084AE5" w:rsidP="00F62375">
      <w:pPr>
        <w:contextualSpacing/>
        <w:rPr>
          <w:rFonts w:eastAsia="Palatino Linotype" w:cs="Palatino Linotype"/>
          <w:color w:val="000000"/>
          <w:szCs w:val="24"/>
        </w:rPr>
      </w:pPr>
    </w:p>
    <w:p w14:paraId="75C0D5A4" w14:textId="77777777" w:rsidR="00084AE5" w:rsidRPr="005859C2" w:rsidRDefault="00084AE5" w:rsidP="00F62375">
      <w:pPr>
        <w:contextualSpacing/>
        <w:rPr>
          <w:rFonts w:eastAsia="Palatino Linotype" w:cs="Palatino Linotype"/>
          <w:color w:val="000000"/>
          <w:szCs w:val="24"/>
          <w:lang w:val="es-ES"/>
        </w:rPr>
      </w:pPr>
      <w:r w:rsidRPr="005859C2">
        <w:rPr>
          <w:rFonts w:eastAsia="Palatino Linotype" w:cs="Palatino Linotype"/>
          <w:color w:val="000000"/>
          <w:szCs w:val="24"/>
          <w:lang w:val="es-ES"/>
        </w:rPr>
        <w:lastRenderedPageBreak/>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5859C2">
        <w:rPr>
          <w:rFonts w:eastAsia="Palatino Linotype" w:cs="Palatino Linotype"/>
          <w:i/>
          <w:iCs/>
          <w:color w:val="000000"/>
          <w:szCs w:val="24"/>
          <w:lang w:val="es-ES"/>
        </w:rPr>
        <w:t>ad hoc</w:t>
      </w:r>
      <w:r w:rsidRPr="005859C2">
        <w:rPr>
          <w:rFonts w:eastAsia="Palatino Linotype" w:cs="Palatino Linotype"/>
          <w:color w:val="000000"/>
          <w:szCs w:val="24"/>
          <w:lang w:val="es-ES"/>
        </w:rPr>
        <w:t>.</w:t>
      </w:r>
    </w:p>
    <w:p w14:paraId="01D0DF6E" w14:textId="77777777" w:rsidR="00084AE5" w:rsidRPr="005859C2" w:rsidRDefault="00084AE5" w:rsidP="00F62375">
      <w:pPr>
        <w:contextualSpacing/>
        <w:rPr>
          <w:rFonts w:eastAsia="Palatino Linotype" w:cs="Palatino Linotype"/>
          <w:color w:val="000000"/>
          <w:szCs w:val="24"/>
        </w:rPr>
      </w:pPr>
    </w:p>
    <w:p w14:paraId="45183330" w14:textId="77777777" w:rsidR="00084AE5" w:rsidRPr="005859C2" w:rsidRDefault="00084AE5" w:rsidP="00F62375">
      <w:pPr>
        <w:rPr>
          <w:rFonts w:cs="Times New Roman"/>
          <w:szCs w:val="24"/>
        </w:rPr>
      </w:pPr>
      <w:r w:rsidRPr="005859C2">
        <w:rPr>
          <w:rFonts w:eastAsia="Palatino Linotype" w:cs="Palatino Linotype"/>
          <w:color w:val="000000"/>
          <w:szCs w:val="24"/>
        </w:rPr>
        <w:t xml:space="preserve">De tal forma que se debe señalar que </w:t>
      </w:r>
      <w:r w:rsidRPr="005859C2">
        <w:rPr>
          <w:rFonts w:eastAsia="Times New Roman" w:cs="Times New Roman"/>
          <w:szCs w:val="24"/>
        </w:rPr>
        <w:t xml:space="preserve">los sujetos obligados </w:t>
      </w:r>
      <w:r w:rsidRPr="005859C2">
        <w:rPr>
          <w:rFonts w:eastAsia="Times New Roman" w:cs="Times New Roman"/>
          <w:b/>
          <w:szCs w:val="24"/>
        </w:rPr>
        <w:t xml:space="preserve">no se encuentren constreñidos a generar documentos </w:t>
      </w:r>
      <w:r w:rsidRPr="005859C2">
        <w:rPr>
          <w:rFonts w:eastAsia="Times New Roman" w:cs="Times New Roman"/>
          <w:b/>
          <w:i/>
          <w:szCs w:val="24"/>
        </w:rPr>
        <w:t>ad hoc</w:t>
      </w:r>
      <w:r w:rsidRPr="005859C2">
        <w:rPr>
          <w:rFonts w:eastAsia="Times New Roman" w:cs="Times New Roman"/>
          <w:b/>
          <w:szCs w:val="24"/>
        </w:rPr>
        <w:t xml:space="preserve"> para satisfacer los requerimientos planteados por los solicitantes</w:t>
      </w:r>
      <w:r w:rsidRPr="005859C2">
        <w:rPr>
          <w:rFonts w:eastAsia="Times New Roman" w:cs="Times New Roman"/>
          <w:szCs w:val="24"/>
        </w:rPr>
        <w:t xml:space="preserve">, tal como se establece en el </w:t>
      </w:r>
      <w:r w:rsidRPr="005859C2">
        <w:rPr>
          <w:rFonts w:cs="Times New Roman"/>
          <w:szCs w:val="24"/>
        </w:rPr>
        <w:t>Criterio 03/17 emitido por el Instituto Nacional de Transparencia, Acceso a la Información y Protección de Datos Personales, que a la letra dispone lo siguiente:</w:t>
      </w:r>
    </w:p>
    <w:p w14:paraId="4C708311" w14:textId="77777777" w:rsidR="00084AE5" w:rsidRPr="005859C2" w:rsidRDefault="00084AE5" w:rsidP="00F62375">
      <w:pPr>
        <w:rPr>
          <w:rFonts w:cs="Times New Roman"/>
          <w:szCs w:val="24"/>
        </w:rPr>
      </w:pPr>
    </w:p>
    <w:p w14:paraId="20BCC025" w14:textId="5F90BB2E" w:rsidR="0014715B" w:rsidRPr="005859C2" w:rsidRDefault="00084AE5" w:rsidP="00F62375">
      <w:pPr>
        <w:ind w:left="567" w:right="616"/>
        <w:rPr>
          <w:rFonts w:cs="Times New Roman"/>
          <w:i/>
          <w:szCs w:val="24"/>
        </w:rPr>
      </w:pPr>
      <w:r w:rsidRPr="005859C2">
        <w:rPr>
          <w:rFonts w:cs="Times New Roman"/>
          <w:b/>
          <w:i/>
          <w:szCs w:val="24"/>
        </w:rPr>
        <w:t xml:space="preserve">No existe obligación de elaborar documentos </w:t>
      </w:r>
      <w:r w:rsidRPr="005859C2">
        <w:rPr>
          <w:rFonts w:cs="Times New Roman"/>
          <w:b/>
          <w:szCs w:val="24"/>
        </w:rPr>
        <w:t>ad hoc</w:t>
      </w:r>
      <w:r w:rsidRPr="005859C2">
        <w:rPr>
          <w:rFonts w:cs="Times New Roman"/>
          <w:b/>
          <w:i/>
          <w:szCs w:val="24"/>
        </w:rPr>
        <w:t xml:space="preserve"> para atender las solicitudes de acceso a la información. </w:t>
      </w:r>
      <w:r w:rsidRPr="005859C2">
        <w:rPr>
          <w:rFonts w:cs="Times New Roman"/>
          <w:i/>
          <w:szCs w:val="24"/>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5859C2">
        <w:rPr>
          <w:rFonts w:cs="Times New Roman"/>
          <w:szCs w:val="24"/>
        </w:rPr>
        <w:t>ad hoc</w:t>
      </w:r>
      <w:r w:rsidRPr="005859C2">
        <w:rPr>
          <w:rFonts w:cs="Times New Roman"/>
          <w:i/>
          <w:szCs w:val="24"/>
        </w:rPr>
        <w:t xml:space="preserve"> para atender</w:t>
      </w:r>
      <w:r w:rsidR="00D37258" w:rsidRPr="005859C2">
        <w:rPr>
          <w:rFonts w:cs="Times New Roman"/>
          <w:i/>
          <w:szCs w:val="24"/>
        </w:rPr>
        <w:t xml:space="preserve"> las solicitudes de información</w:t>
      </w:r>
    </w:p>
    <w:p w14:paraId="7FD0EEC7" w14:textId="77777777" w:rsidR="0040171F" w:rsidRPr="005859C2" w:rsidRDefault="0040171F" w:rsidP="00F62375">
      <w:pPr>
        <w:ind w:right="49"/>
        <w:rPr>
          <w:rFonts w:eastAsia="Palatino Linotype" w:cs="Palatino Linotype"/>
          <w:bCs/>
          <w:szCs w:val="24"/>
        </w:rPr>
      </w:pPr>
    </w:p>
    <w:p w14:paraId="6282A332" w14:textId="41E3E56F" w:rsidR="000E7BE2" w:rsidRPr="005859C2" w:rsidRDefault="000E7BE2" w:rsidP="00F62375">
      <w:pPr>
        <w:autoSpaceDE w:val="0"/>
        <w:autoSpaceDN w:val="0"/>
        <w:adjustRightInd w:val="0"/>
        <w:rPr>
          <w:rFonts w:cs="Arial"/>
          <w:szCs w:val="24"/>
          <w:lang w:val="es-ES" w:eastAsia="es-ES"/>
        </w:rPr>
      </w:pPr>
      <w:r w:rsidRPr="005859C2">
        <w:rPr>
          <w:rFonts w:cs="Arial"/>
          <w:szCs w:val="24"/>
          <w:lang w:val="es-ES" w:eastAsia="es-ES"/>
        </w:rPr>
        <w:lastRenderedPageBreak/>
        <w:t xml:space="preserve">En ese sentido, lo que manifiesta el sujeto obligado </w:t>
      </w:r>
      <w:r w:rsidR="00BD6EBE" w:rsidRPr="005859C2">
        <w:rPr>
          <w:rFonts w:cs="Arial"/>
          <w:szCs w:val="24"/>
          <w:lang w:val="es-ES" w:eastAsia="es-ES"/>
        </w:rPr>
        <w:t>en lo que refiere al Reglamento General de Construcciones del Municipio de Toluca no se localizó la copia actualizada</w:t>
      </w:r>
      <w:r w:rsidR="00E47EC3" w:rsidRPr="005859C2">
        <w:rPr>
          <w:rFonts w:cs="Arial"/>
          <w:szCs w:val="24"/>
          <w:lang w:val="es-ES" w:eastAsia="es-ES"/>
        </w:rPr>
        <w:t xml:space="preserve"> o última vigente, </w:t>
      </w:r>
      <w:r w:rsidR="00770254" w:rsidRPr="005859C2">
        <w:rPr>
          <w:rFonts w:cs="Arial"/>
          <w:szCs w:val="24"/>
          <w:lang w:val="es-ES" w:eastAsia="es-ES"/>
        </w:rPr>
        <w:t>lo que s</w:t>
      </w:r>
      <w:r w:rsidRPr="005859C2">
        <w:rPr>
          <w:rFonts w:cs="Arial"/>
          <w:szCs w:val="24"/>
          <w:lang w:val="es-ES" w:eastAsia="es-ES"/>
        </w:rPr>
        <w:t>e traduce como una expresión en sentido negativo, toda vez que refirió no contar con la información</w:t>
      </w:r>
      <w:r w:rsidR="00F839CD" w:rsidRPr="005859C2">
        <w:rPr>
          <w:rFonts w:cs="Arial"/>
          <w:szCs w:val="24"/>
          <w:lang w:val="es-ES" w:eastAsia="es-ES"/>
        </w:rPr>
        <w:t xml:space="preserve"> actualizada o última vigente,</w:t>
      </w:r>
      <w:r w:rsidRPr="005859C2">
        <w:rPr>
          <w:rFonts w:cs="Arial"/>
          <w:szCs w:val="24"/>
          <w:lang w:val="es-ES" w:eastAsia="es-ES"/>
        </w:rPr>
        <w:t xml:space="preserve"> relacionada a</w:t>
      </w:r>
      <w:r w:rsidR="00E47EC3" w:rsidRPr="005859C2">
        <w:rPr>
          <w:rFonts w:cs="Arial"/>
          <w:szCs w:val="24"/>
          <w:lang w:val="es-ES" w:eastAsia="es-ES"/>
        </w:rPr>
        <w:t>l</w:t>
      </w:r>
      <w:r w:rsidRPr="005859C2">
        <w:rPr>
          <w:rFonts w:cs="Arial"/>
          <w:szCs w:val="24"/>
          <w:lang w:val="es-ES" w:eastAsia="es-ES"/>
        </w:rPr>
        <w:t xml:space="preserve"> </w:t>
      </w:r>
      <w:r w:rsidR="00E47EC3" w:rsidRPr="005859C2">
        <w:rPr>
          <w:rFonts w:cs="Arial"/>
          <w:szCs w:val="24"/>
          <w:lang w:val="es-ES" w:eastAsia="es-ES"/>
        </w:rPr>
        <w:t>Reglamento General de Construcciones del Municipio de Toluca</w:t>
      </w:r>
      <w:r w:rsidRPr="005859C2">
        <w:rPr>
          <w:rFonts w:cs="Arial"/>
          <w:szCs w:val="24"/>
          <w:lang w:val="es-ES" w:eastAsia="es-ES"/>
        </w:rPr>
        <w:t>, por lo tanto, dichos requerimientos no pueden obran en los archivos de dicha autoridad, ya que no puede probarse por ser lógica y materialmente imposible, debido a que, al no haber generado dicha información, no la posee, no administra, y no cuenta con la misma.</w:t>
      </w:r>
    </w:p>
    <w:p w14:paraId="48BBAD33" w14:textId="77777777" w:rsidR="000E7BE2" w:rsidRPr="005859C2" w:rsidRDefault="000E7BE2" w:rsidP="00F62375">
      <w:pPr>
        <w:autoSpaceDE w:val="0"/>
        <w:autoSpaceDN w:val="0"/>
        <w:adjustRightInd w:val="0"/>
        <w:rPr>
          <w:rFonts w:eastAsia="Times New Roman" w:cs="Times New Roman"/>
          <w:szCs w:val="24"/>
          <w:lang w:val="es-ES" w:eastAsia="es-ES"/>
        </w:rPr>
      </w:pPr>
    </w:p>
    <w:p w14:paraId="25CA8439" w14:textId="7BF4E8E1" w:rsidR="00770254" w:rsidRPr="005859C2" w:rsidRDefault="000E7BE2" w:rsidP="00F62375">
      <w:pPr>
        <w:ind w:right="49"/>
        <w:rPr>
          <w:rFonts w:cs="Arial"/>
          <w:szCs w:val="24"/>
          <w:lang w:val="es-ES" w:eastAsia="es-ES"/>
        </w:rPr>
      </w:pPr>
      <w:r w:rsidRPr="005859C2">
        <w:rPr>
          <w:rFonts w:cs="Arial"/>
          <w:szCs w:val="24"/>
          <w:lang w:val="es-ES" w:eastAsia="es-ES"/>
        </w:rPr>
        <w:t xml:space="preserve">De este último señalamiento, se coligue que el Sujeto Obligado no está obligado a proporcionar información que no obre en sus archivos, </w:t>
      </w:r>
      <w:r w:rsidRPr="005859C2">
        <w:rPr>
          <w:rFonts w:cs="Arial"/>
          <w:szCs w:val="24"/>
          <w:u w:val="single"/>
          <w:lang w:val="es-ES" w:eastAsia="es-ES"/>
        </w:rPr>
        <w:t>en virtud de que no haber transcurrido el término establecido en la normatividad aplicable de seis meses posteriores a ocupar el cargo</w:t>
      </w:r>
      <w:r w:rsidRPr="005859C2">
        <w:rPr>
          <w:rFonts w:cs="Arial"/>
          <w:szCs w:val="24"/>
          <w:lang w:val="es-ES" w:eastAsia="es-ES"/>
        </w:rPr>
        <w:t>, siendo necesario referir puntualmente que la inexistencia de la información solicitada en el presente asunto, implica la acreditación de un hecho negativo, el cual no es susceptible de exigir su demostración.</w:t>
      </w:r>
    </w:p>
    <w:p w14:paraId="7D96FFA3" w14:textId="75333695" w:rsidR="00770254" w:rsidRPr="005859C2" w:rsidRDefault="00770254" w:rsidP="00F62375">
      <w:pPr>
        <w:ind w:right="49"/>
        <w:rPr>
          <w:rFonts w:cs="Arial"/>
          <w:szCs w:val="24"/>
          <w:lang w:val="es-ES" w:eastAsia="es-ES"/>
        </w:rPr>
      </w:pPr>
    </w:p>
    <w:p w14:paraId="6847F6B1" w14:textId="77777777" w:rsidR="00770254" w:rsidRPr="005859C2" w:rsidRDefault="00770254" w:rsidP="00F62375">
      <w:pPr>
        <w:autoSpaceDE w:val="0"/>
        <w:autoSpaceDN w:val="0"/>
        <w:adjustRightInd w:val="0"/>
        <w:rPr>
          <w:rFonts w:cs="Arial"/>
          <w:szCs w:val="24"/>
          <w:lang w:val="es-ES" w:eastAsia="es-ES"/>
        </w:rPr>
      </w:pPr>
      <w:r w:rsidRPr="005859C2">
        <w:rPr>
          <w:rFonts w:cs="Arial"/>
          <w:szCs w:val="24"/>
          <w:lang w:val="es-ES" w:eastAsia="es-ES"/>
        </w:rPr>
        <w:t>Por lo anterior sirve de sustento la Tesis Aislada 267287, emanada por el Máximo Juzgador de la Nación, la cual refiere lo siguiente:</w:t>
      </w:r>
    </w:p>
    <w:p w14:paraId="2BCFCA5B" w14:textId="77777777" w:rsidR="00770254" w:rsidRPr="005859C2" w:rsidRDefault="00770254" w:rsidP="00F62375">
      <w:pPr>
        <w:rPr>
          <w:rFonts w:ascii="Times New Roman" w:eastAsia="Times New Roman" w:hAnsi="Times New Roman" w:cs="Times New Roman"/>
          <w:szCs w:val="24"/>
          <w:lang w:val="es-ES" w:eastAsia="es-ES"/>
        </w:rPr>
      </w:pPr>
    </w:p>
    <w:p w14:paraId="5D92C7AB" w14:textId="77777777" w:rsidR="00770254" w:rsidRPr="005859C2" w:rsidRDefault="00770254" w:rsidP="00F62375">
      <w:pPr>
        <w:shd w:val="clear" w:color="auto" w:fill="FFFFFF"/>
        <w:ind w:left="851" w:rightChars="386" w:right="926"/>
        <w:rPr>
          <w:rFonts w:cs="Times New Roman"/>
          <w:color w:val="222222"/>
          <w:szCs w:val="24"/>
          <w:lang w:val="es-ES" w:eastAsia="es-ES"/>
        </w:rPr>
      </w:pPr>
      <w:r w:rsidRPr="005859C2">
        <w:rPr>
          <w:rFonts w:cs="Times New Roman"/>
          <w:b/>
          <w:bCs/>
          <w:i/>
          <w:iCs/>
          <w:color w:val="222222"/>
          <w:szCs w:val="24"/>
          <w:lang w:val="es-ES" w:eastAsia="es-ES"/>
        </w:rPr>
        <w:t>HECHOS NEGATIVOS, NO SON SUSCEPTIBLES DE DEMOSTRACIÓN. ”</w:t>
      </w:r>
      <w:r w:rsidRPr="005859C2">
        <w:rPr>
          <w:rFonts w:cs="Times New Roman"/>
          <w:i/>
          <w:iCs/>
          <w:color w:val="222222"/>
          <w:szCs w:val="24"/>
          <w:lang w:val="es-ES" w:eastAsia="es-ES"/>
        </w:rPr>
        <w:t>Tratándose de un hecho negativo, el Juez no tiene por qué invocar prueba alguna de la que se desprenda, ya que es bien sabido que esta clase de hechos no son susceptibles de demostración.</w:t>
      </w:r>
    </w:p>
    <w:p w14:paraId="6302D751" w14:textId="77777777" w:rsidR="00770254" w:rsidRPr="005859C2" w:rsidRDefault="00770254" w:rsidP="00F62375">
      <w:pPr>
        <w:shd w:val="clear" w:color="auto" w:fill="FFFFFF"/>
        <w:ind w:left="851" w:rightChars="386" w:right="926"/>
        <w:rPr>
          <w:rFonts w:cs="Times New Roman"/>
          <w:i/>
          <w:iCs/>
          <w:color w:val="222222"/>
          <w:szCs w:val="24"/>
          <w:lang w:val="es-ES" w:eastAsia="es-ES"/>
        </w:rPr>
      </w:pPr>
      <w:r w:rsidRPr="005859C2">
        <w:rPr>
          <w:rFonts w:cs="Times New Roman"/>
          <w:i/>
          <w:iCs/>
          <w:color w:val="222222"/>
          <w:szCs w:val="24"/>
          <w:lang w:val="es-ES" w:eastAsia="es-ES"/>
        </w:rPr>
        <w:lastRenderedPageBreak/>
        <w:t>Amparo en revisión 2022/61. José García Florín (Menor). 9 de octubre de 1961. Cinco votos. Ponente: José Rivera Pérez Campos.”</w:t>
      </w:r>
    </w:p>
    <w:p w14:paraId="7F0B235A" w14:textId="77777777" w:rsidR="00770254" w:rsidRPr="005859C2" w:rsidRDefault="00770254" w:rsidP="00F62375">
      <w:pPr>
        <w:rPr>
          <w:rFonts w:ascii="Times New Roman" w:eastAsia="Times New Roman" w:hAnsi="Times New Roman" w:cs="Times New Roman"/>
          <w:szCs w:val="24"/>
          <w:lang w:val="es-ES" w:eastAsia="es-ES"/>
        </w:rPr>
      </w:pPr>
    </w:p>
    <w:p w14:paraId="6958273C" w14:textId="77777777" w:rsidR="00770254" w:rsidRPr="005859C2" w:rsidRDefault="00770254" w:rsidP="00F62375">
      <w:pPr>
        <w:autoSpaceDE w:val="0"/>
        <w:autoSpaceDN w:val="0"/>
        <w:adjustRightInd w:val="0"/>
        <w:rPr>
          <w:rFonts w:cs="Arial"/>
          <w:szCs w:val="24"/>
          <w:lang w:val="es-ES" w:eastAsia="es-ES"/>
        </w:rPr>
      </w:pPr>
      <w:r w:rsidRPr="005859C2">
        <w:rPr>
          <w:rFonts w:cs="Arial"/>
          <w:szCs w:val="24"/>
          <w:lang w:val="es-ES" w:eastAsia="es-ES"/>
        </w:rPr>
        <w:t>De igual forma viene a colación el Criterio 7/2017, emitido por el Instituto Nacional de Transparencia, Acceso a la Información y Protección de Datos Personales, cuyo texto se transcribe a continuación:</w:t>
      </w:r>
    </w:p>
    <w:p w14:paraId="3FDF1363" w14:textId="77777777" w:rsidR="00E47EC3" w:rsidRPr="005859C2" w:rsidRDefault="00E47EC3" w:rsidP="00F62375">
      <w:pPr>
        <w:autoSpaceDE w:val="0"/>
        <w:autoSpaceDN w:val="0"/>
        <w:adjustRightInd w:val="0"/>
        <w:rPr>
          <w:rFonts w:cs="Arial"/>
          <w:szCs w:val="24"/>
          <w:lang w:val="es-ES" w:eastAsia="es-ES"/>
        </w:rPr>
      </w:pPr>
    </w:p>
    <w:p w14:paraId="75E6063B" w14:textId="77777777" w:rsidR="00770254" w:rsidRPr="005859C2" w:rsidRDefault="00770254" w:rsidP="00F62375">
      <w:pPr>
        <w:tabs>
          <w:tab w:val="left" w:pos="851"/>
        </w:tabs>
        <w:ind w:left="851" w:right="850"/>
        <w:rPr>
          <w:rFonts w:ascii="Times New Roman" w:eastAsia="Times New Roman" w:hAnsi="Times New Roman" w:cs="Times New Roman"/>
          <w:i/>
          <w:color w:val="222222"/>
          <w:szCs w:val="24"/>
          <w:lang w:val="es-ES" w:eastAsia="es-ES"/>
        </w:rPr>
      </w:pPr>
      <w:r w:rsidRPr="005859C2">
        <w:rPr>
          <w:rFonts w:eastAsia="Times New Roman" w:cs="Times New Roman"/>
          <w:b/>
          <w:i/>
          <w:color w:val="222222"/>
          <w:szCs w:val="24"/>
          <w:lang w:val="es-ES" w:eastAsia="es-ES"/>
        </w:rPr>
        <w:t>Casos en los que no es necesario que el Comité de Transparencia confirme formalmente la inexistencia de la información.</w:t>
      </w:r>
      <w:r w:rsidRPr="005859C2">
        <w:rPr>
          <w:rFonts w:eastAsia="Times New Roman" w:cs="Times New Roman"/>
          <w:i/>
          <w:color w:val="222222"/>
          <w:szCs w:val="24"/>
          <w:lang w:val="es-ES" w:eastAsia="es-ES"/>
        </w:rPr>
        <w:t xml:space="preserve"> “La Ley General de Transparencia y Acceso a la Información Pública y la Ley Federal de Transparencia y Acceso a la Información Pública establecen el procedimiento que deben seguir los sujetos obligados cuando la información solicitada no se encuentre en sus archivos; el cual implica, entre otras cosas, que el Comité de Transparencia confirme la inexistencia manifestada por las áreas competentes que hubiesen realizado la búsqueda de la información. No obstante lo anterior, en aquellos casos en que no se advierta obligación alguna de los sujetos obligados para contar con la información, derivado del análisis a la normativa aplicable a la materia de la solicitud; y además no se tengan elementos de convicción que permitan suponer que ésta debe obrar en sus archivos, no será necesario que el Comité de Transparencia emita una resolución que confirme la inexistencia de la información</w:t>
      </w:r>
      <w:r w:rsidRPr="005859C2">
        <w:rPr>
          <w:rFonts w:ascii="Times New Roman" w:eastAsia="Times New Roman" w:hAnsi="Times New Roman" w:cs="Times New Roman"/>
          <w:i/>
          <w:color w:val="222222"/>
          <w:szCs w:val="24"/>
          <w:lang w:val="es-ES" w:eastAsia="es-ES"/>
        </w:rPr>
        <w:t>.</w:t>
      </w:r>
    </w:p>
    <w:p w14:paraId="1489F2AF" w14:textId="77777777" w:rsidR="00770254" w:rsidRPr="005859C2" w:rsidRDefault="00770254" w:rsidP="00F62375">
      <w:pPr>
        <w:rPr>
          <w:rFonts w:eastAsia="Times New Roman" w:cs="Arial"/>
          <w:szCs w:val="24"/>
          <w:lang w:val="es-ES" w:eastAsia="es-ES"/>
        </w:rPr>
      </w:pPr>
    </w:p>
    <w:p w14:paraId="0B2FD0C2" w14:textId="77777777" w:rsidR="00770254" w:rsidRPr="005859C2" w:rsidRDefault="00770254" w:rsidP="00F62375">
      <w:pPr>
        <w:autoSpaceDE w:val="0"/>
        <w:autoSpaceDN w:val="0"/>
        <w:adjustRightInd w:val="0"/>
        <w:rPr>
          <w:rFonts w:eastAsia="Times New Roman" w:cs="Arial"/>
          <w:szCs w:val="24"/>
          <w:lang w:val="es-ES" w:eastAsia="es-ES"/>
        </w:rPr>
      </w:pPr>
      <w:r w:rsidRPr="005859C2">
        <w:rPr>
          <w:rFonts w:eastAsia="Times New Roman" w:cs="Arial"/>
          <w:szCs w:val="24"/>
          <w:lang w:val="es-ES" w:eastAsia="es-ES"/>
        </w:rPr>
        <w:t xml:space="preserve">Bajo ese tenor, es evidente que toda la información generada, obtenida, adquirida, transformada, administrada o en posesión de los sujetos obligados es pública y accesible </w:t>
      </w:r>
      <w:r w:rsidRPr="005859C2">
        <w:rPr>
          <w:rFonts w:eastAsia="Times New Roman" w:cs="Arial"/>
          <w:szCs w:val="24"/>
          <w:lang w:val="es-ES" w:eastAsia="es-ES"/>
        </w:rPr>
        <w:lastRenderedPageBreak/>
        <w:t>de manera permanente a cualquier persona, empero, en los términos que establezca la normatividad aplicable, conminando a los sujetos obligado a sólo proporcionar la información que se les requiera y que obre en sus archivos y en el estado en que ésta se encuentre, sin que se comprenda el procesamiento de la misma, el presentarla conforme al interés del solicitante, ni generarla, resumirla, efectuar cálculos o practicar investigaciones.</w:t>
      </w:r>
    </w:p>
    <w:p w14:paraId="44686A42" w14:textId="77777777" w:rsidR="00770254" w:rsidRPr="005859C2" w:rsidRDefault="00770254" w:rsidP="00F62375">
      <w:pPr>
        <w:autoSpaceDE w:val="0"/>
        <w:autoSpaceDN w:val="0"/>
        <w:adjustRightInd w:val="0"/>
        <w:rPr>
          <w:rFonts w:eastAsia="Times New Roman" w:cs="Times New Roman"/>
          <w:szCs w:val="24"/>
          <w:lang w:val="es-ES" w:eastAsia="es-ES"/>
        </w:rPr>
      </w:pPr>
    </w:p>
    <w:p w14:paraId="74C14043" w14:textId="77777777" w:rsidR="00770254" w:rsidRPr="005859C2" w:rsidRDefault="00770254" w:rsidP="00F62375">
      <w:pPr>
        <w:autoSpaceDE w:val="0"/>
        <w:autoSpaceDN w:val="0"/>
        <w:adjustRightInd w:val="0"/>
        <w:rPr>
          <w:rFonts w:eastAsia="Times New Roman" w:cs="Times New Roman"/>
          <w:szCs w:val="24"/>
          <w:lang w:val="es-ES" w:eastAsia="es-ES"/>
        </w:rPr>
      </w:pPr>
      <w:r w:rsidRPr="005859C2">
        <w:rPr>
          <w:rFonts w:eastAsia="Times New Roman" w:cs="Arial"/>
          <w:szCs w:val="24"/>
          <w:lang w:val="es-ES" w:eastAsia="es-ES"/>
        </w:rPr>
        <w:t xml:space="preserve">Aunado a lo antes expuesto, la respuesta emitida por </w:t>
      </w:r>
      <w:r w:rsidRPr="005859C2">
        <w:rPr>
          <w:rFonts w:eastAsia="Times New Roman" w:cs="Arial"/>
          <w:b/>
          <w:szCs w:val="24"/>
          <w:lang w:val="es-ES" w:eastAsia="es-ES"/>
        </w:rPr>
        <w:t>El Sujeto Obligado</w:t>
      </w:r>
      <w:r w:rsidRPr="005859C2">
        <w:rPr>
          <w:rFonts w:eastAsia="Times New Roman" w:cs="Arial"/>
          <w:szCs w:val="24"/>
          <w:lang w:val="es-ES" w:eastAsia="es-ES"/>
        </w:rPr>
        <w:t xml:space="preserve"> tiene la presunción legal de ser verídica, considerado que fue emitida por un servidor público en ejercicio de sus funciones, lo que conlleva la presunción de veracidad de todo acto </w:t>
      </w:r>
      <w:r w:rsidRPr="005859C2">
        <w:rPr>
          <w:rFonts w:eastAsia="Times New Roman" w:cs="Times New Roman"/>
          <w:szCs w:val="24"/>
          <w:lang w:val="es-ES" w:eastAsia="es-ES"/>
        </w:rPr>
        <w:t>administrativo.</w:t>
      </w:r>
    </w:p>
    <w:p w14:paraId="34CB45D3" w14:textId="77777777" w:rsidR="00770254" w:rsidRPr="005859C2" w:rsidRDefault="00770254" w:rsidP="00F62375">
      <w:pPr>
        <w:autoSpaceDE w:val="0"/>
        <w:autoSpaceDN w:val="0"/>
        <w:adjustRightInd w:val="0"/>
        <w:rPr>
          <w:rFonts w:eastAsia="Times New Roman" w:cs="Times New Roman"/>
          <w:szCs w:val="24"/>
          <w:lang w:val="es-ES" w:eastAsia="es-ES"/>
        </w:rPr>
      </w:pPr>
    </w:p>
    <w:p w14:paraId="75427050" w14:textId="77777777" w:rsidR="00770254" w:rsidRPr="005859C2" w:rsidRDefault="00770254" w:rsidP="00F62375">
      <w:pPr>
        <w:autoSpaceDE w:val="0"/>
        <w:autoSpaceDN w:val="0"/>
        <w:adjustRightInd w:val="0"/>
        <w:rPr>
          <w:rFonts w:eastAsia="Times New Roman" w:cs="Arial"/>
          <w:bCs/>
          <w:szCs w:val="24"/>
          <w:lang w:val="es-ES" w:eastAsia="es-ES"/>
        </w:rPr>
      </w:pPr>
      <w:r w:rsidRPr="005859C2">
        <w:rPr>
          <w:rFonts w:eastAsia="Times New Roman" w:cs="Times New Roman"/>
          <w:szCs w:val="24"/>
          <w:lang w:val="es-ES" w:eastAsia="es-ES"/>
        </w:rPr>
        <w:t>Adicionalmente</w:t>
      </w:r>
      <w:r w:rsidRPr="005859C2">
        <w:rPr>
          <w:rFonts w:eastAsia="Times New Roman" w:cs="Arial"/>
          <w:bCs/>
          <w:szCs w:val="24"/>
          <w:lang w:val="es-ES" w:eastAsia="es-ES"/>
        </w:rPr>
        <w:t xml:space="preserve">, es de destacar que este Órgano Garante no está facultado para manifestarse sobre la veracidad de lo afirmado por parte del </w:t>
      </w:r>
      <w:r w:rsidRPr="005859C2">
        <w:rPr>
          <w:rFonts w:eastAsia="Times New Roman" w:cs="Arial"/>
          <w:b/>
          <w:bCs/>
          <w:szCs w:val="24"/>
          <w:lang w:val="es-ES" w:eastAsia="es-ES"/>
        </w:rPr>
        <w:t>Sujeto Obligado</w:t>
      </w:r>
      <w:r w:rsidRPr="005859C2">
        <w:rPr>
          <w:rFonts w:eastAsia="Times New Roman" w:cs="Arial"/>
          <w:bCs/>
          <w:szCs w:val="24"/>
          <w:lang w:val="es-ES" w:eastAsia="es-ES"/>
        </w:rPr>
        <w:t xml:space="preserve"> pues no existe precepto legal alguno en la Ley de la materia que lo faculte para ello. </w:t>
      </w:r>
    </w:p>
    <w:p w14:paraId="10DBA3E7" w14:textId="77777777" w:rsidR="00770254" w:rsidRPr="005859C2" w:rsidRDefault="00770254" w:rsidP="00F62375">
      <w:pPr>
        <w:rPr>
          <w:rFonts w:ascii="Times New Roman" w:eastAsia="Times New Roman" w:hAnsi="Times New Roman" w:cs="Times New Roman"/>
          <w:szCs w:val="24"/>
          <w:lang w:val="es-ES" w:eastAsia="es-ES"/>
        </w:rPr>
      </w:pPr>
    </w:p>
    <w:p w14:paraId="48C1DA81" w14:textId="4C3079A4" w:rsidR="00770254" w:rsidRPr="005859C2" w:rsidRDefault="00770254" w:rsidP="00F62375">
      <w:pPr>
        <w:autoSpaceDE w:val="0"/>
        <w:autoSpaceDN w:val="0"/>
        <w:adjustRightInd w:val="0"/>
        <w:rPr>
          <w:rFonts w:eastAsia="Times New Roman" w:cs="Arial"/>
          <w:szCs w:val="24"/>
          <w:lang w:val="es-ES" w:eastAsia="es-ES"/>
        </w:rPr>
      </w:pPr>
      <w:r w:rsidRPr="005859C2">
        <w:rPr>
          <w:rFonts w:eastAsia="Times New Roman" w:cs="Arial"/>
          <w:szCs w:val="24"/>
          <w:lang w:val="es-ES" w:eastAsia="es-ES"/>
        </w:rPr>
        <w:t>En esa tesitura, de acuerdo a lo inmerso en el expediente que nos ocupa se advierte que El Sujeto Obligado ha colmado las pretensiones del particular formuladas en lo que respecta a</w:t>
      </w:r>
      <w:r w:rsidR="00E47EC3" w:rsidRPr="005859C2">
        <w:rPr>
          <w:rFonts w:eastAsia="Times New Roman" w:cs="Arial"/>
          <w:szCs w:val="24"/>
          <w:lang w:val="es-ES" w:eastAsia="es-ES"/>
        </w:rPr>
        <w:t xml:space="preserve">l </w:t>
      </w:r>
      <w:r w:rsidR="00E47EC3" w:rsidRPr="005859C2">
        <w:rPr>
          <w:rFonts w:cs="Arial"/>
          <w:szCs w:val="24"/>
          <w:lang w:val="es-ES" w:eastAsia="es-ES"/>
        </w:rPr>
        <w:t>Reglamento General de Construcciones del Municipio de Toluca</w:t>
      </w:r>
      <w:r w:rsidR="00E47EC3" w:rsidRPr="005859C2">
        <w:rPr>
          <w:rFonts w:eastAsia="Times New Roman" w:cs="Arial"/>
          <w:szCs w:val="24"/>
          <w:lang w:val="es-ES" w:eastAsia="es-ES"/>
        </w:rPr>
        <w:t>, sin embargo proporciona el Manual de Normas Técnicas del Municipio de Toluca</w:t>
      </w:r>
      <w:r w:rsidRPr="005859C2">
        <w:rPr>
          <w:rFonts w:eastAsia="Times New Roman" w:cs="Arial"/>
          <w:szCs w:val="24"/>
          <w:lang w:val="es-ES" w:eastAsia="es-ES"/>
        </w:rPr>
        <w:t>.</w:t>
      </w:r>
    </w:p>
    <w:p w14:paraId="64F863B0" w14:textId="77777777" w:rsidR="000E7BE2" w:rsidRPr="005859C2" w:rsidRDefault="000E7BE2" w:rsidP="00F62375">
      <w:pPr>
        <w:ind w:right="49"/>
        <w:rPr>
          <w:rFonts w:eastAsia="Palatino Linotype" w:cs="Palatino Linotype"/>
          <w:bCs/>
        </w:rPr>
      </w:pPr>
    </w:p>
    <w:p w14:paraId="59AFACC0" w14:textId="77777777" w:rsidR="00CB3ABD" w:rsidRPr="005859C2" w:rsidRDefault="00CB3ABD" w:rsidP="00CB3ABD">
      <w:pPr>
        <w:ind w:right="49"/>
        <w:rPr>
          <w:bCs/>
          <w:color w:val="000000"/>
          <w:lang w:eastAsia="en-US"/>
        </w:rPr>
      </w:pPr>
      <w:r w:rsidRPr="005859C2">
        <w:rPr>
          <w:bCs/>
          <w:lang w:val="es-MX"/>
        </w:rPr>
        <w:t xml:space="preserve">En principio, </w:t>
      </w:r>
      <w:r w:rsidRPr="005859C2">
        <w:rPr>
          <w:bCs/>
          <w:color w:val="000000"/>
          <w:lang w:eastAsia="en-US"/>
        </w:rPr>
        <w:t xml:space="preserve">es necesario indicar que, la información a la que pretende acceder </w:t>
      </w:r>
      <w:proofErr w:type="spellStart"/>
      <w:r w:rsidRPr="005859C2">
        <w:rPr>
          <w:bCs/>
          <w:color w:val="000000"/>
          <w:lang w:eastAsia="en-US"/>
        </w:rPr>
        <w:t>e</w:t>
      </w:r>
      <w:proofErr w:type="spellEnd"/>
      <w:r w:rsidRPr="005859C2">
        <w:rPr>
          <w:bCs/>
          <w:color w:val="000000"/>
          <w:lang w:eastAsia="en-US"/>
        </w:rPr>
        <w:t xml:space="preserve"> particular, es referente a los diversos Manuales con los que cuentan las diversas áreas de la Administración Pública Municipal del Sujeto Obligado; por lo que, es importante</w:t>
      </w:r>
      <w:r w:rsidRPr="005859C2">
        <w:rPr>
          <w:bCs/>
          <w:color w:val="000000"/>
          <w:lang w:val="es-MX" w:eastAsia="en-US"/>
        </w:rPr>
        <w:t xml:space="preserve"> traer </w:t>
      </w:r>
      <w:r w:rsidRPr="005859C2">
        <w:rPr>
          <w:bCs/>
          <w:color w:val="000000"/>
          <w:lang w:val="es-MX" w:eastAsia="en-US"/>
        </w:rPr>
        <w:lastRenderedPageBreak/>
        <w:t xml:space="preserve">a colación, la </w:t>
      </w:r>
      <w:r w:rsidRPr="005859C2">
        <w:rPr>
          <w:bCs/>
          <w:color w:val="000000"/>
          <w:lang w:eastAsia="en-US"/>
        </w:rPr>
        <w:t>Ley de Transparencia y Acceso a la Información Pública del Estado de México y Municipios; establece en su artículo 92, fracción I, que, todo el marco normativo aplicable al sujeto obligado, en el que deberá incluirse leyes, códigos, reglamentos, decretos de creación, acuerdos, convenios, manuales de organización y procedimientos, reglas de operación, criterios, políticas, entre otros; deben estar publicados permanentemente en los respectivos medios electrónicos, de conformidad con lo siguiente:</w:t>
      </w:r>
    </w:p>
    <w:p w14:paraId="43833643" w14:textId="77777777" w:rsidR="00CB3ABD" w:rsidRPr="005859C2" w:rsidRDefault="00CB3ABD" w:rsidP="00CB3ABD">
      <w:pPr>
        <w:ind w:right="49"/>
        <w:rPr>
          <w:bCs/>
          <w:color w:val="000000"/>
          <w:lang w:eastAsia="en-US"/>
        </w:rPr>
      </w:pPr>
    </w:p>
    <w:p w14:paraId="1BC5937D" w14:textId="77777777" w:rsidR="00CB3ABD" w:rsidRPr="005859C2" w:rsidRDefault="00CB3ABD" w:rsidP="00CB3ABD">
      <w:pPr>
        <w:ind w:left="567" w:right="616"/>
        <w:jc w:val="center"/>
        <w:rPr>
          <w:b/>
          <w:i/>
          <w:iCs/>
          <w:color w:val="000000"/>
          <w:sz w:val="22"/>
          <w:szCs w:val="20"/>
          <w:lang w:eastAsia="en-US"/>
        </w:rPr>
      </w:pPr>
      <w:r w:rsidRPr="005859C2">
        <w:rPr>
          <w:b/>
          <w:i/>
          <w:iCs/>
          <w:color w:val="000000"/>
          <w:sz w:val="22"/>
          <w:szCs w:val="20"/>
          <w:lang w:eastAsia="en-US"/>
        </w:rPr>
        <w:t>Capítulo II</w:t>
      </w:r>
    </w:p>
    <w:p w14:paraId="05B7F283" w14:textId="77777777" w:rsidR="00CB3ABD" w:rsidRPr="005859C2" w:rsidRDefault="00CB3ABD" w:rsidP="00CB3ABD">
      <w:pPr>
        <w:ind w:left="567" w:right="616"/>
        <w:jc w:val="center"/>
        <w:rPr>
          <w:b/>
          <w:i/>
          <w:iCs/>
          <w:color w:val="000000"/>
          <w:sz w:val="22"/>
          <w:szCs w:val="20"/>
          <w:lang w:eastAsia="en-US"/>
        </w:rPr>
      </w:pPr>
      <w:r w:rsidRPr="005859C2">
        <w:rPr>
          <w:b/>
          <w:i/>
          <w:iCs/>
          <w:color w:val="000000"/>
          <w:sz w:val="22"/>
          <w:szCs w:val="20"/>
          <w:lang w:eastAsia="en-US"/>
        </w:rPr>
        <w:t>De las Obligaciones de Transparencia Comunes</w:t>
      </w:r>
    </w:p>
    <w:p w14:paraId="7CDF45BB" w14:textId="77777777" w:rsidR="00CB3ABD" w:rsidRPr="005859C2" w:rsidRDefault="00CB3ABD" w:rsidP="00CB3ABD">
      <w:pPr>
        <w:ind w:left="567" w:right="616"/>
        <w:rPr>
          <w:bCs/>
          <w:i/>
          <w:iCs/>
          <w:color w:val="000000"/>
          <w:sz w:val="22"/>
          <w:szCs w:val="20"/>
          <w:lang w:eastAsia="en-US"/>
        </w:rPr>
      </w:pPr>
      <w:r w:rsidRPr="005859C2">
        <w:rPr>
          <w:b/>
          <w:i/>
          <w:iCs/>
          <w:color w:val="000000"/>
          <w:sz w:val="22"/>
          <w:szCs w:val="20"/>
          <w:lang w:eastAsia="en-US"/>
        </w:rPr>
        <w:t>Artículo 92.</w:t>
      </w:r>
      <w:r w:rsidRPr="005859C2">
        <w:rPr>
          <w:bCs/>
          <w:i/>
          <w:iCs/>
          <w:color w:val="000000"/>
          <w:sz w:val="22"/>
          <w:szCs w:val="20"/>
          <w:lang w:eastAsia="en-U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1C831557" w14:textId="77777777" w:rsidR="00CB3ABD" w:rsidRPr="005859C2" w:rsidRDefault="00CB3ABD" w:rsidP="00CB3ABD">
      <w:pPr>
        <w:ind w:left="567" w:right="616"/>
        <w:rPr>
          <w:bCs/>
          <w:i/>
          <w:iCs/>
          <w:color w:val="000000"/>
          <w:sz w:val="22"/>
          <w:szCs w:val="20"/>
          <w:lang w:eastAsia="en-US"/>
        </w:rPr>
      </w:pPr>
    </w:p>
    <w:p w14:paraId="4ADEA012" w14:textId="287DF0AF" w:rsidR="00CB3ABD" w:rsidRPr="005859C2" w:rsidRDefault="00CB3ABD" w:rsidP="00CB3ABD">
      <w:pPr>
        <w:ind w:left="567" w:right="616"/>
        <w:rPr>
          <w:bCs/>
          <w:i/>
          <w:iCs/>
          <w:color w:val="000000"/>
          <w:sz w:val="22"/>
          <w:szCs w:val="20"/>
          <w:lang w:val="es-MX" w:eastAsia="en-US"/>
        </w:rPr>
      </w:pPr>
      <w:r w:rsidRPr="005859C2">
        <w:rPr>
          <w:b/>
          <w:i/>
          <w:iCs/>
          <w:color w:val="000000"/>
          <w:sz w:val="22"/>
          <w:szCs w:val="20"/>
          <w:lang w:eastAsia="en-US"/>
        </w:rPr>
        <w:t>I.</w:t>
      </w:r>
      <w:r w:rsidRPr="005859C2">
        <w:rPr>
          <w:bCs/>
          <w:i/>
          <w:iCs/>
          <w:color w:val="000000"/>
          <w:sz w:val="22"/>
          <w:szCs w:val="20"/>
          <w:lang w:eastAsia="en-US"/>
        </w:rPr>
        <w:t xml:space="preserve"> El marco normativo aplicable al sujeto obligado, en el que deberá incluirse leyes, códigos, </w:t>
      </w:r>
      <w:r w:rsidRPr="005859C2">
        <w:rPr>
          <w:b/>
          <w:i/>
          <w:iCs/>
          <w:color w:val="000000"/>
          <w:sz w:val="22"/>
          <w:szCs w:val="20"/>
          <w:u w:val="single"/>
          <w:lang w:eastAsia="en-US"/>
        </w:rPr>
        <w:t>reglamentos</w:t>
      </w:r>
      <w:r w:rsidRPr="005859C2">
        <w:rPr>
          <w:bCs/>
          <w:i/>
          <w:iCs/>
          <w:color w:val="000000"/>
          <w:sz w:val="22"/>
          <w:szCs w:val="20"/>
          <w:lang w:eastAsia="en-US"/>
        </w:rPr>
        <w:t xml:space="preserve">, decretos de creación, acuerdos, convenios, </w:t>
      </w:r>
      <w:r w:rsidRPr="005859C2">
        <w:rPr>
          <w:b/>
          <w:i/>
          <w:iCs/>
          <w:color w:val="000000"/>
          <w:sz w:val="22"/>
          <w:szCs w:val="20"/>
          <w:u w:val="single"/>
          <w:lang w:eastAsia="en-US"/>
        </w:rPr>
        <w:t>manuales de organización y procedimientos</w:t>
      </w:r>
      <w:r w:rsidRPr="005859C2">
        <w:rPr>
          <w:bCs/>
          <w:i/>
          <w:iCs/>
          <w:color w:val="000000"/>
          <w:sz w:val="22"/>
          <w:szCs w:val="20"/>
          <w:lang w:eastAsia="en-US"/>
        </w:rPr>
        <w:t xml:space="preserve">, reglas de operación, criterios, políticas, entre otros; </w:t>
      </w:r>
    </w:p>
    <w:p w14:paraId="1C5C80DA" w14:textId="77777777" w:rsidR="00CB3ABD" w:rsidRPr="005859C2" w:rsidRDefault="00CB3ABD" w:rsidP="00F62375">
      <w:pPr>
        <w:ind w:right="49"/>
        <w:rPr>
          <w:rFonts w:eastAsia="Palatino Linotype" w:cs="Palatino Linotype"/>
          <w:bCs/>
        </w:rPr>
      </w:pPr>
    </w:p>
    <w:p w14:paraId="7CE094E2" w14:textId="59AA8387" w:rsidR="00983005" w:rsidRPr="005859C2" w:rsidRDefault="00983005" w:rsidP="00F62375">
      <w:pPr>
        <w:ind w:right="49"/>
        <w:rPr>
          <w:rFonts w:eastAsia="Palatino Linotype" w:cs="Palatino Linotype"/>
          <w:bCs/>
        </w:rPr>
      </w:pPr>
      <w:r w:rsidRPr="005859C2">
        <w:rPr>
          <w:rFonts w:eastAsia="Palatino Linotype" w:cs="Palatino Linotype"/>
          <w:bCs/>
        </w:rPr>
        <w:t>Aunado a lo anterior es necesario traer a colación lo establecido en el Código Reglamentario del Ayuntamiento que a la letra señala lo siguiente:</w:t>
      </w:r>
    </w:p>
    <w:p w14:paraId="7D84A79C" w14:textId="77777777" w:rsidR="00983005" w:rsidRPr="005859C2" w:rsidRDefault="00983005" w:rsidP="00F62375">
      <w:pPr>
        <w:ind w:right="49"/>
        <w:rPr>
          <w:rFonts w:eastAsia="Palatino Linotype" w:cs="Palatino Linotype"/>
          <w:bCs/>
        </w:rPr>
      </w:pPr>
    </w:p>
    <w:p w14:paraId="77E7A735" w14:textId="3704D8C9" w:rsidR="00983005" w:rsidRPr="005859C2" w:rsidRDefault="00983005" w:rsidP="00983005">
      <w:pPr>
        <w:ind w:left="567" w:right="567"/>
        <w:jc w:val="center"/>
        <w:rPr>
          <w:rFonts w:eastAsia="Palatino Linotype" w:cs="Palatino Linotype"/>
          <w:b/>
          <w:bCs/>
          <w:i/>
        </w:rPr>
      </w:pPr>
      <w:r w:rsidRPr="005859C2">
        <w:rPr>
          <w:rFonts w:eastAsia="Palatino Linotype" w:cs="Palatino Linotype"/>
          <w:b/>
          <w:bCs/>
          <w:i/>
        </w:rPr>
        <w:t>“SECRETARÍA DEL AYUNTAMIENTO</w:t>
      </w:r>
    </w:p>
    <w:p w14:paraId="5056F591" w14:textId="471C2DE6" w:rsidR="00983005" w:rsidRPr="005859C2" w:rsidRDefault="00983005" w:rsidP="00983005">
      <w:pPr>
        <w:ind w:left="567" w:right="567"/>
        <w:rPr>
          <w:rFonts w:eastAsia="Palatino Linotype" w:cs="Palatino Linotype"/>
          <w:bCs/>
          <w:i/>
        </w:rPr>
      </w:pPr>
      <w:r w:rsidRPr="005859C2">
        <w:rPr>
          <w:rFonts w:eastAsia="Palatino Linotype" w:cs="Palatino Linotype"/>
          <w:b/>
          <w:bCs/>
          <w:i/>
        </w:rPr>
        <w:lastRenderedPageBreak/>
        <w:t>Artículo 3.13.</w:t>
      </w:r>
      <w:r w:rsidRPr="005859C2">
        <w:rPr>
          <w:rFonts w:eastAsia="Palatino Linotype" w:cs="Palatino Linotype"/>
          <w:bCs/>
          <w:i/>
        </w:rPr>
        <w:t xml:space="preserve"> A la o el titular de la Secretaría del Ayuntamiento le corresponde, además de las atribuciones que le confiere la Ley Orgánica Municipal del Estado de México, el despacho de los siguientes asuntos:</w:t>
      </w:r>
    </w:p>
    <w:p w14:paraId="297F69C2" w14:textId="35D32010" w:rsidR="00983005" w:rsidRPr="005859C2" w:rsidRDefault="00983005" w:rsidP="00983005">
      <w:pPr>
        <w:ind w:left="567" w:right="567"/>
        <w:rPr>
          <w:rFonts w:eastAsia="Palatino Linotype" w:cs="Palatino Linotype"/>
          <w:bCs/>
          <w:i/>
        </w:rPr>
      </w:pPr>
      <w:r w:rsidRPr="005859C2">
        <w:rPr>
          <w:rFonts w:eastAsia="Palatino Linotype" w:cs="Palatino Linotype"/>
          <w:bCs/>
          <w:i/>
        </w:rPr>
        <w:t>I. Preparar y coordinar las sesiones de cabildo, teniendo bajo su resguardo los libros de actas y sus apéndices;</w:t>
      </w:r>
    </w:p>
    <w:p w14:paraId="2C5D9F75" w14:textId="34AFF85E" w:rsidR="00983005" w:rsidRPr="005859C2" w:rsidRDefault="00983005" w:rsidP="00983005">
      <w:pPr>
        <w:ind w:left="567" w:right="567"/>
        <w:rPr>
          <w:rFonts w:eastAsia="Palatino Linotype" w:cs="Palatino Linotype"/>
          <w:bCs/>
          <w:i/>
        </w:rPr>
      </w:pPr>
      <w:r w:rsidRPr="005859C2">
        <w:rPr>
          <w:rFonts w:eastAsia="Palatino Linotype" w:cs="Palatino Linotype"/>
          <w:bCs/>
          <w:i/>
        </w:rPr>
        <w:t>II. Entregar con oportunidad a las y los integrantes del H. Ayuntamiento los dictámenes de las comisiones edilicias, los proyectos de actas y demás documentación necesaria para las sesiones;</w:t>
      </w:r>
    </w:p>
    <w:p w14:paraId="08F9BC28" w14:textId="40F42665" w:rsidR="00983005" w:rsidRPr="005859C2" w:rsidRDefault="00983005" w:rsidP="00983005">
      <w:pPr>
        <w:ind w:left="567" w:right="567"/>
        <w:rPr>
          <w:rFonts w:eastAsia="Palatino Linotype" w:cs="Palatino Linotype"/>
          <w:bCs/>
          <w:i/>
        </w:rPr>
      </w:pPr>
      <w:r w:rsidRPr="005859C2">
        <w:rPr>
          <w:rFonts w:eastAsia="Palatino Linotype" w:cs="Palatino Linotype"/>
          <w:bCs/>
          <w:i/>
        </w:rPr>
        <w:t>III. Asistir puntualmente a las sesiones que celebre el H. Ayuntamiento, para apoyar al presidente municipal en la celebración de las mismas;</w:t>
      </w:r>
    </w:p>
    <w:p w14:paraId="4A76262B" w14:textId="7CF09AFB" w:rsidR="00983005" w:rsidRPr="005859C2" w:rsidRDefault="00983005" w:rsidP="00983005">
      <w:pPr>
        <w:ind w:left="567" w:right="567"/>
        <w:rPr>
          <w:rFonts w:eastAsia="Palatino Linotype" w:cs="Palatino Linotype"/>
          <w:bCs/>
          <w:i/>
        </w:rPr>
      </w:pPr>
      <w:r w:rsidRPr="005859C2">
        <w:rPr>
          <w:rFonts w:eastAsia="Palatino Linotype" w:cs="Palatino Linotype"/>
          <w:bCs/>
          <w:i/>
        </w:rPr>
        <w:t>IV. Suscribir conjuntamente con la Presidenta o Presidente Municipal los actos jurídicos que tengan por objeto crear, transmitir, modificar o extinguir derechos y obligaciones a cargo del Ayuntamiento, o de la administración pública municipal; con excepción de lo que establezcan otras disposiciones legales;</w:t>
      </w:r>
    </w:p>
    <w:p w14:paraId="31A32261" w14:textId="77777777" w:rsidR="00983005" w:rsidRPr="005859C2" w:rsidRDefault="00983005" w:rsidP="00983005">
      <w:pPr>
        <w:ind w:left="567" w:right="567"/>
        <w:rPr>
          <w:rFonts w:eastAsia="Palatino Linotype" w:cs="Palatino Linotype"/>
          <w:bCs/>
          <w:i/>
        </w:rPr>
      </w:pPr>
      <w:r w:rsidRPr="005859C2">
        <w:rPr>
          <w:rFonts w:eastAsia="Palatino Linotype" w:cs="Palatino Linotype"/>
          <w:bCs/>
          <w:i/>
        </w:rPr>
        <w:t>V. Pasar lista de asistencia a las y los integrantes del H. Ayuntamiento, en las sesiones de cabildo;</w:t>
      </w:r>
    </w:p>
    <w:p w14:paraId="4874E183" w14:textId="20286919" w:rsidR="00983005" w:rsidRPr="005859C2" w:rsidRDefault="00983005" w:rsidP="00983005">
      <w:pPr>
        <w:ind w:left="567" w:right="567"/>
        <w:rPr>
          <w:rFonts w:eastAsia="Palatino Linotype" w:cs="Palatino Linotype"/>
          <w:bCs/>
          <w:i/>
        </w:rPr>
      </w:pPr>
      <w:r w:rsidRPr="005859C2">
        <w:rPr>
          <w:rFonts w:eastAsia="Palatino Linotype" w:cs="Palatino Linotype"/>
          <w:bCs/>
          <w:i/>
        </w:rPr>
        <w:t>VI. Dar a conocer a los Presidentes de las Comisiones Edilicias, Dependencias Municipales y Organismos Auxiliares, en el ámbito de su competencia, las decisiones del Ayuntamiento;</w:t>
      </w:r>
    </w:p>
    <w:p w14:paraId="543EAEF1" w14:textId="502F9920" w:rsidR="00983005" w:rsidRPr="005859C2" w:rsidRDefault="00983005" w:rsidP="00983005">
      <w:pPr>
        <w:ind w:left="567" w:right="567"/>
        <w:rPr>
          <w:rFonts w:eastAsia="Palatino Linotype" w:cs="Palatino Linotype"/>
          <w:bCs/>
          <w:i/>
        </w:rPr>
      </w:pPr>
      <w:r w:rsidRPr="005859C2">
        <w:rPr>
          <w:rFonts w:eastAsia="Palatino Linotype" w:cs="Palatino Linotype"/>
          <w:bCs/>
          <w:i/>
        </w:rPr>
        <w:t>VII. Publicar las disposiciones que determine el H. Ayuntamiento y la Presidenta o Presidente Municipal, en la Gaceta Municipal;</w:t>
      </w:r>
    </w:p>
    <w:p w14:paraId="0263B727" w14:textId="504E0DE9" w:rsidR="00983005" w:rsidRPr="005859C2" w:rsidRDefault="00983005" w:rsidP="00983005">
      <w:pPr>
        <w:ind w:left="567" w:right="567"/>
        <w:rPr>
          <w:rFonts w:eastAsia="Palatino Linotype" w:cs="Palatino Linotype"/>
          <w:b/>
          <w:bCs/>
          <w:i/>
          <w:u w:val="single"/>
        </w:rPr>
      </w:pPr>
      <w:r w:rsidRPr="005859C2">
        <w:rPr>
          <w:rFonts w:eastAsia="Palatino Linotype" w:cs="Palatino Linotype"/>
          <w:b/>
          <w:bCs/>
          <w:i/>
          <w:u w:val="single"/>
        </w:rPr>
        <w:t>VIII. Intervenir y apoyar en la elaboración del proyecto del Bando Municipal, el Código Reglamentario Municipal de Toluca y demás disposiciones de carácter general;</w:t>
      </w:r>
    </w:p>
    <w:p w14:paraId="46760FEF" w14:textId="77777777" w:rsidR="00983005" w:rsidRPr="005859C2" w:rsidRDefault="00983005" w:rsidP="00983005">
      <w:pPr>
        <w:ind w:left="567" w:right="567"/>
        <w:rPr>
          <w:rFonts w:eastAsia="Palatino Linotype" w:cs="Palatino Linotype"/>
          <w:bCs/>
          <w:i/>
        </w:rPr>
      </w:pPr>
      <w:r w:rsidRPr="005859C2">
        <w:rPr>
          <w:rFonts w:eastAsia="Palatino Linotype" w:cs="Palatino Linotype"/>
          <w:bCs/>
          <w:i/>
        </w:rPr>
        <w:lastRenderedPageBreak/>
        <w:t>IX. Intervenir y apoyar en la elaboración del Plan de Desarrollo Municipal;</w:t>
      </w:r>
    </w:p>
    <w:p w14:paraId="639DF6DE" w14:textId="71A0F928" w:rsidR="00983005" w:rsidRPr="005859C2" w:rsidRDefault="00983005" w:rsidP="00983005">
      <w:pPr>
        <w:ind w:left="567" w:right="567"/>
        <w:rPr>
          <w:rFonts w:eastAsia="Palatino Linotype" w:cs="Palatino Linotype"/>
          <w:bCs/>
          <w:i/>
        </w:rPr>
      </w:pPr>
      <w:r w:rsidRPr="005859C2">
        <w:rPr>
          <w:rFonts w:eastAsia="Palatino Linotype" w:cs="Palatino Linotype"/>
          <w:bCs/>
          <w:i/>
        </w:rPr>
        <w:t xml:space="preserve">X. Tener a su cargo el Acervo </w:t>
      </w:r>
      <w:proofErr w:type="spellStart"/>
      <w:r w:rsidRPr="005859C2">
        <w:rPr>
          <w:rFonts w:eastAsia="Palatino Linotype" w:cs="Palatino Linotype"/>
          <w:bCs/>
          <w:i/>
        </w:rPr>
        <w:t>Bibliohemerográfico</w:t>
      </w:r>
      <w:proofErr w:type="spellEnd"/>
      <w:r w:rsidRPr="005859C2">
        <w:rPr>
          <w:rFonts w:eastAsia="Palatino Linotype" w:cs="Palatino Linotype"/>
          <w:bCs/>
          <w:i/>
        </w:rPr>
        <w:t xml:space="preserve"> con que cuenta el Archivo Histórico del Municipio para efectos de consulta;</w:t>
      </w:r>
    </w:p>
    <w:p w14:paraId="3E149643" w14:textId="77777777" w:rsidR="00983005" w:rsidRPr="005859C2" w:rsidRDefault="00983005" w:rsidP="00983005">
      <w:pPr>
        <w:ind w:left="567" w:right="567"/>
        <w:rPr>
          <w:rFonts w:eastAsia="Palatino Linotype" w:cs="Palatino Linotype"/>
          <w:bCs/>
          <w:i/>
        </w:rPr>
      </w:pPr>
      <w:r w:rsidRPr="005859C2">
        <w:rPr>
          <w:rFonts w:eastAsia="Palatino Linotype" w:cs="Palatino Linotype"/>
          <w:bCs/>
          <w:i/>
        </w:rPr>
        <w:t>XI. Editar anualmente el Prontuario de Legislación Municipal;</w:t>
      </w:r>
    </w:p>
    <w:p w14:paraId="736817CA" w14:textId="032E1CA3" w:rsidR="00983005" w:rsidRPr="005859C2" w:rsidRDefault="00983005" w:rsidP="00983005">
      <w:pPr>
        <w:ind w:left="567" w:right="567"/>
        <w:rPr>
          <w:rFonts w:eastAsia="Palatino Linotype" w:cs="Palatino Linotype"/>
          <w:bCs/>
          <w:i/>
        </w:rPr>
      </w:pPr>
      <w:r w:rsidRPr="005859C2">
        <w:rPr>
          <w:rFonts w:eastAsia="Palatino Linotype" w:cs="Palatino Linotype"/>
          <w:bCs/>
          <w:i/>
        </w:rPr>
        <w:t>XII. Requerir a las demás áreas que integran la administración pública municipal la información que sea necesaria con motivo de la integración de los expedientes que sean puestos a consideración del Ayuntamiento o de las Comisiones;</w:t>
      </w:r>
    </w:p>
    <w:p w14:paraId="7B65A2AE" w14:textId="77777777" w:rsidR="00983005" w:rsidRPr="005859C2" w:rsidRDefault="00983005" w:rsidP="00983005">
      <w:pPr>
        <w:ind w:left="567" w:right="567"/>
        <w:rPr>
          <w:rFonts w:eastAsia="Palatino Linotype" w:cs="Palatino Linotype"/>
          <w:bCs/>
          <w:i/>
        </w:rPr>
      </w:pPr>
      <w:r w:rsidRPr="005859C2">
        <w:rPr>
          <w:rFonts w:eastAsia="Palatino Linotype" w:cs="Palatino Linotype"/>
          <w:bCs/>
          <w:i/>
        </w:rPr>
        <w:t xml:space="preserve">XIII. Operar la </w:t>
      </w:r>
      <w:proofErr w:type="spellStart"/>
      <w:r w:rsidRPr="005859C2">
        <w:rPr>
          <w:rFonts w:eastAsia="Palatino Linotype" w:cs="Palatino Linotype"/>
          <w:bCs/>
          <w:i/>
        </w:rPr>
        <w:t>Preceptoría</w:t>
      </w:r>
      <w:proofErr w:type="spellEnd"/>
      <w:r w:rsidRPr="005859C2">
        <w:rPr>
          <w:rFonts w:eastAsia="Palatino Linotype" w:cs="Palatino Linotype"/>
          <w:bCs/>
          <w:i/>
        </w:rPr>
        <w:t xml:space="preserve"> Juvenil Regional de Reintegración Social de Toluca;</w:t>
      </w:r>
    </w:p>
    <w:p w14:paraId="0DCED589" w14:textId="66136D31" w:rsidR="00983005" w:rsidRPr="005859C2" w:rsidRDefault="00983005" w:rsidP="00983005">
      <w:pPr>
        <w:ind w:left="567" w:right="567"/>
        <w:rPr>
          <w:rFonts w:eastAsia="Palatino Linotype" w:cs="Palatino Linotype"/>
          <w:bCs/>
          <w:i/>
        </w:rPr>
      </w:pPr>
      <w:r w:rsidRPr="005859C2">
        <w:rPr>
          <w:rFonts w:eastAsia="Palatino Linotype" w:cs="Palatino Linotype"/>
          <w:bCs/>
          <w:i/>
        </w:rPr>
        <w:t>XIV. Emitir la constancia de notorio arraigo a los interesados que pretendan obtener el registro como Asociación Religiosa;</w:t>
      </w:r>
    </w:p>
    <w:p w14:paraId="6D7040D2" w14:textId="438E63D1" w:rsidR="00983005" w:rsidRPr="005859C2" w:rsidRDefault="00983005" w:rsidP="00983005">
      <w:pPr>
        <w:ind w:left="567" w:right="567"/>
        <w:rPr>
          <w:rFonts w:eastAsia="Palatino Linotype" w:cs="Palatino Linotype"/>
          <w:bCs/>
          <w:i/>
        </w:rPr>
      </w:pPr>
      <w:r w:rsidRPr="005859C2">
        <w:rPr>
          <w:rFonts w:eastAsia="Palatino Linotype" w:cs="Palatino Linotype"/>
          <w:bCs/>
          <w:i/>
        </w:rPr>
        <w:t>XV. Coordinar y establecer las técnicas administrativas necesarias para el manejo y control del archivo de concentración, dotar al área de los implementos necesarios para la clasificación, ordenación y mantenimiento del acervo documental;</w:t>
      </w:r>
    </w:p>
    <w:p w14:paraId="200690B2" w14:textId="714157CE" w:rsidR="00983005" w:rsidRPr="005859C2" w:rsidRDefault="00983005" w:rsidP="00983005">
      <w:pPr>
        <w:ind w:left="567" w:right="567"/>
        <w:rPr>
          <w:rFonts w:eastAsia="Palatino Linotype" w:cs="Palatino Linotype"/>
          <w:bCs/>
          <w:i/>
        </w:rPr>
      </w:pPr>
      <w:r w:rsidRPr="005859C2">
        <w:rPr>
          <w:rFonts w:eastAsia="Palatino Linotype" w:cs="Palatino Linotype"/>
          <w:bCs/>
          <w:i/>
        </w:rPr>
        <w:t>XVI. Establecer y difundir las políticas y lineamientos a seguir en materia de organización, operación y control de la documentación generada por las dependencias municipales;</w:t>
      </w:r>
    </w:p>
    <w:p w14:paraId="40C627D7" w14:textId="26C63EF7" w:rsidR="00983005" w:rsidRPr="005859C2" w:rsidRDefault="00983005" w:rsidP="00983005">
      <w:pPr>
        <w:ind w:left="567" w:right="567"/>
        <w:rPr>
          <w:rFonts w:eastAsia="Palatino Linotype" w:cs="Palatino Linotype"/>
          <w:bCs/>
          <w:i/>
        </w:rPr>
      </w:pPr>
      <w:r w:rsidRPr="005859C2">
        <w:rPr>
          <w:rFonts w:eastAsia="Palatino Linotype" w:cs="Palatino Linotype"/>
          <w:bCs/>
          <w:i/>
        </w:rPr>
        <w:t>XVII. Controlar y distribuir la correspondencia oficial del Ayuntamiento, dando cuenta diaria al presidente municipal para acordar su trámite;</w:t>
      </w:r>
    </w:p>
    <w:p w14:paraId="6C44ACC3" w14:textId="6BA3CC1D" w:rsidR="00983005" w:rsidRPr="005859C2" w:rsidRDefault="00983005" w:rsidP="00983005">
      <w:pPr>
        <w:ind w:left="567" w:right="567"/>
        <w:rPr>
          <w:rFonts w:eastAsia="Palatino Linotype" w:cs="Palatino Linotype"/>
          <w:bCs/>
          <w:i/>
        </w:rPr>
      </w:pPr>
      <w:r w:rsidRPr="005859C2">
        <w:rPr>
          <w:rFonts w:eastAsia="Palatino Linotype" w:cs="Palatino Linotype"/>
          <w:bCs/>
          <w:i/>
        </w:rPr>
        <w:t>XVIII. Coordinar acciones con autoridades de los diferentes ámbitos gubernamentales para la planeación, ejecución y difusión de programas para el desarrollo regional;</w:t>
      </w:r>
    </w:p>
    <w:p w14:paraId="68CC24C3" w14:textId="2CA19204" w:rsidR="00983005" w:rsidRPr="005859C2" w:rsidRDefault="00983005" w:rsidP="00983005">
      <w:pPr>
        <w:ind w:left="567" w:right="567"/>
        <w:rPr>
          <w:rFonts w:eastAsia="Palatino Linotype" w:cs="Palatino Linotype"/>
          <w:bCs/>
          <w:i/>
        </w:rPr>
      </w:pPr>
      <w:r w:rsidRPr="005859C2">
        <w:rPr>
          <w:rFonts w:eastAsia="Palatino Linotype" w:cs="Palatino Linotype"/>
          <w:bCs/>
          <w:i/>
        </w:rPr>
        <w:t>XIX. Planear, organizar y realizar acciones de vinculación institucional, con organizaciones públicas y privadas;</w:t>
      </w:r>
      <w:r w:rsidRPr="005859C2">
        <w:t xml:space="preserve"> </w:t>
      </w:r>
      <w:r w:rsidRPr="005859C2">
        <w:rPr>
          <w:rFonts w:eastAsia="Palatino Linotype" w:cs="Palatino Linotype"/>
          <w:bCs/>
          <w:i/>
        </w:rPr>
        <w:t xml:space="preserve">XX. Elaborar y resguardar los libros especiales de visitantes y de eventos, de los salones de Cabildos “Felipe Chávez Becerril”, </w:t>
      </w:r>
      <w:r w:rsidRPr="005859C2">
        <w:rPr>
          <w:rFonts w:eastAsia="Palatino Linotype" w:cs="Palatino Linotype"/>
          <w:bCs/>
          <w:i/>
        </w:rPr>
        <w:lastRenderedPageBreak/>
        <w:t>Presidentes y Secretarios, así como registrar en los mismos, los hechos relevantes que se celebren en estos espacios;</w:t>
      </w:r>
    </w:p>
    <w:p w14:paraId="67069A74" w14:textId="748E8932" w:rsidR="00983005" w:rsidRPr="005859C2" w:rsidRDefault="00983005" w:rsidP="00983005">
      <w:pPr>
        <w:ind w:left="567" w:right="567"/>
        <w:rPr>
          <w:rFonts w:eastAsia="Palatino Linotype" w:cs="Palatino Linotype"/>
          <w:bCs/>
          <w:i/>
        </w:rPr>
      </w:pPr>
      <w:r w:rsidRPr="005859C2">
        <w:rPr>
          <w:rFonts w:eastAsia="Palatino Linotype" w:cs="Palatino Linotype"/>
          <w:bCs/>
          <w:i/>
        </w:rPr>
        <w:t>XXI. Mantener actualizado el inventario general de bienes muebles e inmuebles propiedad del municipio, en coordinación con la o el segundo síndico; así como expedir las constancias de no adeudo de bienes muebles solicitadas por los servidores públicos salientes, en coordinación con la Dirección General de Administración;</w:t>
      </w:r>
    </w:p>
    <w:p w14:paraId="1F53EA3E" w14:textId="5732771E" w:rsidR="00983005" w:rsidRPr="005859C2" w:rsidRDefault="00983005" w:rsidP="00983005">
      <w:pPr>
        <w:ind w:left="567" w:right="567"/>
        <w:rPr>
          <w:rFonts w:eastAsia="Palatino Linotype" w:cs="Palatino Linotype"/>
          <w:bCs/>
          <w:i/>
        </w:rPr>
      </w:pPr>
      <w:r w:rsidRPr="005859C2">
        <w:rPr>
          <w:rFonts w:eastAsia="Palatino Linotype" w:cs="Palatino Linotype"/>
          <w:bCs/>
          <w:i/>
        </w:rPr>
        <w:t>XXII. Verificar la integración y actualización permanente de los libros de patrimonio inmobiliario, registrando las modificaciones por enajenación, cancelación, permutas, o cualquier circunstancia que se derive de los movimientos efectuados con los predios o inmuebles propiedad del municipio;</w:t>
      </w:r>
    </w:p>
    <w:p w14:paraId="5B6DCEA0" w14:textId="3E510DBD" w:rsidR="00983005" w:rsidRPr="005859C2" w:rsidRDefault="00983005" w:rsidP="00983005">
      <w:pPr>
        <w:ind w:left="567" w:right="567"/>
        <w:rPr>
          <w:rFonts w:eastAsia="Palatino Linotype" w:cs="Palatino Linotype"/>
          <w:bCs/>
          <w:i/>
        </w:rPr>
      </w:pPr>
      <w:r w:rsidRPr="005859C2">
        <w:rPr>
          <w:rFonts w:eastAsia="Palatino Linotype" w:cs="Palatino Linotype"/>
          <w:bCs/>
          <w:i/>
        </w:rPr>
        <w:t>XXIII. Apoyar a la comisión edilicia transitoria en el proceso de elección de delegados, subdelegados y consejos de participación ciudadana;</w:t>
      </w:r>
    </w:p>
    <w:p w14:paraId="758CB595" w14:textId="5615F288" w:rsidR="00983005" w:rsidRPr="005859C2" w:rsidRDefault="00983005" w:rsidP="00983005">
      <w:pPr>
        <w:ind w:left="567" w:right="567"/>
        <w:rPr>
          <w:rFonts w:eastAsia="Palatino Linotype" w:cs="Palatino Linotype"/>
          <w:bCs/>
          <w:i/>
        </w:rPr>
      </w:pPr>
      <w:r w:rsidRPr="005859C2">
        <w:rPr>
          <w:rFonts w:eastAsia="Palatino Linotype" w:cs="Palatino Linotype"/>
          <w:bCs/>
          <w:i/>
        </w:rPr>
        <w:t>XXIV. Coadyuvar con la consejería jurídica para el seguimiento a los procedimientos civiles, penales, administrativos y laborales, en los que se encuentren involucradas autoridades auxiliares con motivo de sus funciones;</w:t>
      </w:r>
    </w:p>
    <w:p w14:paraId="6E0C296A" w14:textId="6C581F3F" w:rsidR="00983005" w:rsidRPr="005859C2" w:rsidRDefault="00983005" w:rsidP="00983005">
      <w:pPr>
        <w:ind w:left="567" w:right="567"/>
        <w:rPr>
          <w:rFonts w:eastAsia="Palatino Linotype" w:cs="Palatino Linotype"/>
          <w:bCs/>
          <w:i/>
        </w:rPr>
      </w:pPr>
      <w:r w:rsidRPr="005859C2">
        <w:rPr>
          <w:rFonts w:eastAsia="Palatino Linotype" w:cs="Palatino Linotype"/>
          <w:bCs/>
          <w:i/>
        </w:rPr>
        <w:t>XXV. Hacer cumplir las disposiciones en materia de transparencia, acceso a la información pública y protección de datos personales, de conformidad a la normatividad aplicable;</w:t>
      </w:r>
    </w:p>
    <w:p w14:paraId="639DC83C" w14:textId="77777777" w:rsidR="00983005" w:rsidRPr="005859C2" w:rsidRDefault="00983005" w:rsidP="00983005">
      <w:pPr>
        <w:ind w:left="567" w:right="567"/>
        <w:rPr>
          <w:rFonts w:eastAsia="Palatino Linotype" w:cs="Palatino Linotype"/>
          <w:bCs/>
          <w:i/>
        </w:rPr>
      </w:pPr>
      <w:r w:rsidRPr="005859C2">
        <w:rPr>
          <w:rFonts w:eastAsia="Palatino Linotype" w:cs="Palatino Linotype"/>
          <w:bCs/>
          <w:i/>
        </w:rPr>
        <w:t>XXVI. Coordinar la implementación y operación de los programas en materia de protección civil;</w:t>
      </w:r>
    </w:p>
    <w:p w14:paraId="1BE45DC0" w14:textId="04E60C93" w:rsidR="00983005" w:rsidRPr="005859C2" w:rsidRDefault="00983005" w:rsidP="00983005">
      <w:pPr>
        <w:ind w:left="567" w:right="567"/>
        <w:rPr>
          <w:rFonts w:eastAsia="Palatino Linotype" w:cs="Palatino Linotype"/>
          <w:bCs/>
          <w:i/>
        </w:rPr>
      </w:pPr>
      <w:r w:rsidRPr="005859C2">
        <w:rPr>
          <w:rFonts w:eastAsia="Palatino Linotype" w:cs="Palatino Linotype"/>
          <w:bCs/>
          <w:i/>
        </w:rPr>
        <w:t>XXVII. Desahogar los procedimientos previstos en el Código Civil del Estado de México y demás legislación aplicable para el alta, registro e inscripción de los bienes que puedan considerarse como mostrencos;</w:t>
      </w:r>
    </w:p>
    <w:p w14:paraId="063D1847" w14:textId="448CC8C3" w:rsidR="00983005" w:rsidRPr="005859C2" w:rsidRDefault="00983005" w:rsidP="00983005">
      <w:pPr>
        <w:ind w:left="567" w:right="567"/>
        <w:rPr>
          <w:rFonts w:eastAsia="Palatino Linotype" w:cs="Palatino Linotype"/>
          <w:bCs/>
          <w:i/>
        </w:rPr>
      </w:pPr>
      <w:r w:rsidRPr="005859C2">
        <w:rPr>
          <w:rFonts w:eastAsia="Palatino Linotype" w:cs="Palatino Linotype"/>
          <w:bCs/>
          <w:i/>
        </w:rPr>
        <w:lastRenderedPageBreak/>
        <w:t xml:space="preserve">XXVIII. Autorizar y registrar los libros de actas de asambleas de los </w:t>
      </w:r>
      <w:proofErr w:type="spellStart"/>
      <w:r w:rsidRPr="005859C2">
        <w:rPr>
          <w:rFonts w:eastAsia="Palatino Linotype" w:cs="Palatino Linotype"/>
          <w:bCs/>
          <w:i/>
        </w:rPr>
        <w:t>condominales</w:t>
      </w:r>
      <w:proofErr w:type="spellEnd"/>
      <w:r w:rsidRPr="005859C2">
        <w:rPr>
          <w:rFonts w:eastAsia="Palatino Linotype" w:cs="Palatino Linotype"/>
          <w:bCs/>
          <w:i/>
        </w:rPr>
        <w:t xml:space="preserve"> en coordinación con la Dirección General de Innovación, Planeación y Gestión Urbana; y</w:t>
      </w:r>
    </w:p>
    <w:p w14:paraId="651EF625" w14:textId="214A3BBA" w:rsidR="00983005" w:rsidRPr="005859C2" w:rsidRDefault="00983005" w:rsidP="00983005">
      <w:pPr>
        <w:ind w:left="567" w:right="567"/>
        <w:rPr>
          <w:rFonts w:eastAsia="Palatino Linotype" w:cs="Palatino Linotype"/>
          <w:bCs/>
          <w:i/>
        </w:rPr>
      </w:pPr>
      <w:r w:rsidRPr="005859C2">
        <w:rPr>
          <w:rFonts w:eastAsia="Palatino Linotype" w:cs="Palatino Linotype"/>
          <w:bCs/>
          <w:i/>
        </w:rPr>
        <w:t>XXIX. Las demás que le confieran otros ordenamientos jurídicos, el Ayuntamiento y la Presidenta o el Presidente Municipal.” (</w:t>
      </w:r>
      <w:proofErr w:type="gramStart"/>
      <w:r w:rsidRPr="005859C2">
        <w:rPr>
          <w:rFonts w:eastAsia="Palatino Linotype" w:cs="Palatino Linotype"/>
          <w:bCs/>
          <w:i/>
        </w:rPr>
        <w:t>sic</w:t>
      </w:r>
      <w:proofErr w:type="gramEnd"/>
      <w:r w:rsidRPr="005859C2">
        <w:rPr>
          <w:rFonts w:eastAsia="Palatino Linotype" w:cs="Palatino Linotype"/>
          <w:bCs/>
          <w:i/>
        </w:rPr>
        <w:t>)</w:t>
      </w:r>
    </w:p>
    <w:p w14:paraId="01781528" w14:textId="77777777" w:rsidR="00983005" w:rsidRPr="005859C2" w:rsidRDefault="00983005" w:rsidP="00983005">
      <w:pPr>
        <w:ind w:right="49"/>
        <w:rPr>
          <w:rFonts w:eastAsia="Palatino Linotype" w:cs="Palatino Linotype"/>
          <w:bCs/>
        </w:rPr>
      </w:pPr>
    </w:p>
    <w:p w14:paraId="0501E5FC" w14:textId="77777777" w:rsidR="00CB3ABD" w:rsidRPr="005859C2" w:rsidRDefault="00CB3ABD" w:rsidP="00CB3ABD">
      <w:pPr>
        <w:rPr>
          <w:rFonts w:eastAsia="Palatino Linotype" w:cs="Palatino Linotype"/>
        </w:rPr>
      </w:pPr>
      <w:r w:rsidRPr="005859C2">
        <w:rPr>
          <w:rFonts w:eastAsia="Palatino Linotype" w:cs="Palatino Linotype"/>
          <w:color w:val="000000"/>
          <w:szCs w:val="24"/>
        </w:rPr>
        <w:t xml:space="preserve">De lo anterior, </w:t>
      </w:r>
      <w:r w:rsidRPr="005859C2">
        <w:rPr>
          <w:rFonts w:eastAsia="Palatino Linotype" w:cs="Palatino Linotype"/>
        </w:rPr>
        <w:t xml:space="preserve">este Instituto puede advertir que el Sujeto Obligado </w:t>
      </w:r>
      <w:r w:rsidRPr="005859C2">
        <w:rPr>
          <w:rFonts w:eastAsia="Palatino Linotype" w:cs="Palatino Linotype"/>
          <w:u w:val="single"/>
        </w:rPr>
        <w:t>fue omiso en turnar la solicitud de información a todas las unidades que en el ámbito de sus competencias podrían poseer, generar o administrar la información en comento pues de manera enunciativa mas no limitativa se advierte que la solicitud no fue turnada a la Tesorería y así como tampoco fue turnada al</w:t>
      </w:r>
      <w:r w:rsidRPr="005859C2">
        <w:rPr>
          <w:rFonts w:eastAsia="Palatino Linotype" w:cs="Palatino Linotype"/>
          <w:color w:val="000000"/>
          <w:szCs w:val="24"/>
          <w:u w:val="single"/>
        </w:rPr>
        <w:t xml:space="preserve"> titular de la Justicia Cívica</w:t>
      </w:r>
      <w:r w:rsidRPr="005859C2">
        <w:rPr>
          <w:rFonts w:eastAsia="Palatino Linotype" w:cs="Palatino Linotype"/>
          <w:color w:val="000000"/>
          <w:szCs w:val="24"/>
        </w:rPr>
        <w:t>.</w:t>
      </w:r>
      <w:r w:rsidRPr="005859C2">
        <w:rPr>
          <w:rFonts w:eastAsia="Palatino Linotype" w:cs="Palatino Linotype"/>
        </w:rPr>
        <w:t xml:space="preserve"> </w:t>
      </w:r>
      <w:r w:rsidRPr="005859C2">
        <w:t>Entonces este Instituto advierte que la solicitud de información no fue turnada a todas las unidades administrativas en términos del artículo 162 de la Ley de Transparencia Local que en el ámbito de sus atribuciones o funciones podrían generar, administrar o poseer la información requerida por el Recurrente.</w:t>
      </w:r>
    </w:p>
    <w:p w14:paraId="34E09571" w14:textId="77777777" w:rsidR="00CB3ABD" w:rsidRPr="005859C2" w:rsidRDefault="00CB3ABD" w:rsidP="00CB3ABD">
      <w:pPr>
        <w:rPr>
          <w:rFonts w:eastAsia="Palatino Linotype" w:cs="Palatino Linotype"/>
        </w:rPr>
      </w:pPr>
    </w:p>
    <w:p w14:paraId="26D1DFED" w14:textId="4A7D328A" w:rsidR="00CB3ABD" w:rsidRPr="005859C2" w:rsidRDefault="00CB3ABD" w:rsidP="00CB3ABD">
      <w:pPr>
        <w:tabs>
          <w:tab w:val="left" w:pos="3962"/>
        </w:tabs>
        <w:rPr>
          <w:rFonts w:eastAsia="Palatino Linotype" w:cs="Palatino Linotype"/>
          <w:color w:val="000000"/>
          <w:szCs w:val="24"/>
        </w:rPr>
      </w:pPr>
      <w:r w:rsidRPr="005859C2">
        <w:rPr>
          <w:rFonts w:cs="Tahoma"/>
          <w:bCs/>
          <w:szCs w:val="24"/>
        </w:rPr>
        <w:t xml:space="preserve">Así este Instituto no puede tener por colmados los requerimientos de información </w:t>
      </w:r>
      <w:r w:rsidRPr="005859C2">
        <w:rPr>
          <w:rFonts w:eastAsia="Palatino Linotype" w:cs="Palatino Linotype"/>
          <w:color w:val="000000"/>
          <w:szCs w:val="24"/>
        </w:rPr>
        <w:t xml:space="preserve"> faltantes pues el Sujeto Obligado fue omiso en turnar a todas las unidades administrativas la solicitud de información, en tal sentido no se acredita el principio de búsqueda exhaustiva de la información, cuyo alcance se encuentra establecido en el Criterio Reiterado 02/19 emitido por el Pleno de este Organismo Garante</w:t>
      </w:r>
      <w:r w:rsidRPr="005859C2">
        <w:rPr>
          <w:rFonts w:cs="Tahoma"/>
          <w:bCs/>
          <w:szCs w:val="24"/>
        </w:rPr>
        <w:t>, se trae a colación el criterio anteriormente referido</w:t>
      </w:r>
      <w:r w:rsidRPr="005859C2">
        <w:rPr>
          <w:rFonts w:eastAsia="Palatino Linotype" w:cs="Palatino Linotype"/>
          <w:color w:val="000000"/>
          <w:szCs w:val="24"/>
        </w:rPr>
        <w:t xml:space="preserve"> a saber:</w:t>
      </w:r>
    </w:p>
    <w:p w14:paraId="4008B113" w14:textId="77777777" w:rsidR="00CB3ABD" w:rsidRPr="005859C2" w:rsidRDefault="00CB3ABD" w:rsidP="00CB3ABD">
      <w:pPr>
        <w:tabs>
          <w:tab w:val="left" w:pos="3962"/>
        </w:tabs>
        <w:rPr>
          <w:rFonts w:eastAsia="Palatino Linotype" w:cs="Palatino Linotype"/>
          <w:color w:val="000000"/>
          <w:szCs w:val="24"/>
        </w:rPr>
      </w:pPr>
    </w:p>
    <w:p w14:paraId="5C8852B3" w14:textId="77777777" w:rsidR="00CB3ABD" w:rsidRPr="005859C2" w:rsidRDefault="00CB3ABD" w:rsidP="00CB3ABD">
      <w:pPr>
        <w:spacing w:line="276" w:lineRule="auto"/>
        <w:ind w:left="567" w:right="706"/>
        <w:rPr>
          <w:rFonts w:eastAsia="Palatino Linotype" w:cs="Palatino Linotype"/>
          <w:i/>
          <w:color w:val="000000"/>
          <w:sz w:val="22"/>
        </w:rPr>
      </w:pPr>
      <w:r w:rsidRPr="005859C2">
        <w:rPr>
          <w:rFonts w:eastAsia="Palatino Linotype" w:cs="Palatino Linotype"/>
          <w:b/>
          <w:i/>
          <w:color w:val="000000"/>
          <w:sz w:val="22"/>
        </w:rPr>
        <w:lastRenderedPageBreak/>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5859C2">
        <w:rPr>
          <w:rFonts w:eastAsia="Palatino Linotype" w:cs="Palatino Linotype"/>
          <w:i/>
          <w:color w:val="000000"/>
          <w:sz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4D9816E" w14:textId="77777777" w:rsidR="00CB3ABD" w:rsidRPr="005859C2" w:rsidRDefault="00CB3ABD" w:rsidP="00CB3ABD">
      <w:pPr>
        <w:pBdr>
          <w:top w:val="nil"/>
          <w:left w:val="nil"/>
          <w:bottom w:val="nil"/>
          <w:right w:val="nil"/>
          <w:between w:val="nil"/>
        </w:pBdr>
        <w:rPr>
          <w:rFonts w:eastAsia="Palatino Linotype" w:cs="Palatino Linotype"/>
          <w:color w:val="000000"/>
          <w:szCs w:val="24"/>
        </w:rPr>
      </w:pPr>
    </w:p>
    <w:p w14:paraId="57474216" w14:textId="77777777" w:rsidR="00CB3ABD" w:rsidRPr="005859C2" w:rsidRDefault="00CB3ABD" w:rsidP="00CB3ABD">
      <w:pPr>
        <w:pBdr>
          <w:top w:val="nil"/>
          <w:left w:val="nil"/>
          <w:bottom w:val="nil"/>
          <w:right w:val="nil"/>
          <w:between w:val="nil"/>
        </w:pBdr>
        <w:rPr>
          <w:rFonts w:eastAsia="Palatino Linotype" w:cs="Palatino Linotype"/>
          <w:color w:val="000000"/>
          <w:szCs w:val="24"/>
        </w:rPr>
      </w:pPr>
      <w:r w:rsidRPr="005859C2">
        <w:rPr>
          <w:rFonts w:eastAsia="Palatino Linotype" w:cs="Palatino Linotype"/>
          <w:color w:val="000000"/>
          <w:szCs w:val="24"/>
        </w:rPr>
        <w:t>En tal sentido, resulta aplicable el Criterio orientador 02/17 emitido por el Peno del Instituto Nacional de Transparencia y Acceso a la Información y Protección de Datos Personales, de título y texto siguientes:</w:t>
      </w:r>
    </w:p>
    <w:p w14:paraId="354F0A66" w14:textId="77777777" w:rsidR="00CB3ABD" w:rsidRPr="005859C2" w:rsidRDefault="00CB3ABD" w:rsidP="00CB3ABD">
      <w:pPr>
        <w:pBdr>
          <w:top w:val="nil"/>
          <w:left w:val="nil"/>
          <w:bottom w:val="nil"/>
          <w:right w:val="nil"/>
          <w:between w:val="nil"/>
        </w:pBdr>
        <w:rPr>
          <w:rFonts w:eastAsia="Palatino Linotype" w:cs="Palatino Linotype"/>
          <w:color w:val="000000"/>
          <w:szCs w:val="24"/>
        </w:rPr>
      </w:pPr>
    </w:p>
    <w:p w14:paraId="63BF19D6" w14:textId="77777777" w:rsidR="00CB3ABD" w:rsidRPr="005859C2" w:rsidRDefault="00CB3ABD" w:rsidP="00CB3ABD">
      <w:pPr>
        <w:pBdr>
          <w:top w:val="nil"/>
          <w:left w:val="nil"/>
          <w:bottom w:val="nil"/>
          <w:right w:val="nil"/>
          <w:between w:val="nil"/>
        </w:pBdr>
        <w:ind w:left="851" w:right="851"/>
        <w:rPr>
          <w:rFonts w:eastAsia="Palatino Linotype" w:cs="Palatino Linotype"/>
          <w:i/>
          <w:color w:val="000000"/>
          <w:sz w:val="22"/>
        </w:rPr>
      </w:pPr>
      <w:r w:rsidRPr="005859C2">
        <w:rPr>
          <w:rFonts w:eastAsia="Palatino Linotype" w:cs="Palatino Linotype"/>
          <w:b/>
          <w:i/>
          <w:color w:val="000000"/>
          <w:sz w:val="22"/>
        </w:rPr>
        <w:t xml:space="preserve">“Congruencia y exhaustividad. Sus alcances para garantizar el derecho de acceso a la información. </w:t>
      </w:r>
      <w:r w:rsidRPr="005859C2">
        <w:rPr>
          <w:rFonts w:eastAsia="Palatino Linotype" w:cs="Palatino Linotype"/>
          <w:i/>
          <w:color w:val="000000"/>
          <w:sz w:val="22"/>
        </w:rPr>
        <w:t xml:space="preserve">De conformidad con el artículo 3 de la Ley Federal de </w:t>
      </w:r>
      <w:r w:rsidRPr="005859C2">
        <w:rPr>
          <w:rFonts w:eastAsia="Palatino Linotype" w:cs="Palatino Linotype"/>
          <w:i/>
          <w:color w:val="000000"/>
          <w:sz w:val="22"/>
        </w:rPr>
        <w:lastRenderedPageBreak/>
        <w:t xml:space="preserve">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5859C2">
        <w:rPr>
          <w:rFonts w:eastAsia="Palatino Linotype" w:cs="Palatino Linotype"/>
          <w:b/>
          <w:i/>
          <w:color w:val="000000"/>
          <w:sz w:val="22"/>
        </w:rPr>
        <w:t>la congruencia implica que exista concordancia entre el requerimiento formulado por el particular y la respuesta proporcionada por el sujeto obligado</w:t>
      </w:r>
      <w:r w:rsidRPr="005859C2">
        <w:rPr>
          <w:rFonts w:eastAsia="Palatino Linotype" w:cs="Palatino Linotype"/>
          <w:i/>
          <w:color w:val="000000"/>
          <w:sz w:val="22"/>
        </w:rPr>
        <w:t xml:space="preserve">; mientras que </w:t>
      </w:r>
      <w:r w:rsidRPr="005859C2">
        <w:rPr>
          <w:rFonts w:eastAsia="Palatino Linotype" w:cs="Palatino Linotype"/>
          <w:b/>
          <w:i/>
          <w:color w:val="000000"/>
          <w:sz w:val="22"/>
        </w:rPr>
        <w:t>la exhaustividad significa que dicha respuesta se refiera expresamente a cada uno de los puntos solicitados</w:t>
      </w:r>
      <w:r w:rsidRPr="005859C2">
        <w:rPr>
          <w:rFonts w:eastAsia="Palatino Linotype" w:cs="Palatino Linotype"/>
          <w:i/>
          <w:color w:val="000000"/>
          <w:sz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453B959B" w14:textId="0424049E" w:rsidR="006605AE" w:rsidRPr="005859C2" w:rsidRDefault="006605AE" w:rsidP="00F62375">
      <w:pPr>
        <w:contextualSpacing/>
      </w:pPr>
    </w:p>
    <w:p w14:paraId="2320BB90" w14:textId="799D01BA" w:rsidR="00983005" w:rsidRPr="005859C2" w:rsidRDefault="00983005" w:rsidP="00983005">
      <w:pPr>
        <w:rPr>
          <w:rFonts w:cs="Arial"/>
          <w:bCs/>
          <w:szCs w:val="24"/>
        </w:rPr>
      </w:pPr>
      <w:r w:rsidRPr="005859C2">
        <w:rPr>
          <w:rFonts w:cs="Arial"/>
          <w:bCs/>
          <w:szCs w:val="24"/>
        </w:rPr>
        <w:t xml:space="preserve">Por lo que este Instituto no puede tener por satisfecho el derecho al acceso a la información del Recurrente por lo que resulta dable que se turne la solicitud de información a todas las unidades administrativas que pudieran poseer, generar o administrar la información a fin de ordenar la copia actualizada o última vigente al veintiséis de mayo des mil veinticinco del </w:t>
      </w:r>
      <w:r w:rsidRPr="005859C2">
        <w:t>Reglamento General de Construcciones del Municipio de Toluca.</w:t>
      </w:r>
    </w:p>
    <w:p w14:paraId="4106E56D" w14:textId="77777777" w:rsidR="00983005" w:rsidRPr="005859C2" w:rsidRDefault="00983005" w:rsidP="00F62375">
      <w:pPr>
        <w:contextualSpacing/>
      </w:pPr>
    </w:p>
    <w:p w14:paraId="66A2F2C3" w14:textId="2ECF4202" w:rsidR="00983005" w:rsidRPr="005859C2" w:rsidRDefault="00983005" w:rsidP="00983005">
      <w:r w:rsidRPr="005859C2">
        <w:rPr>
          <w:rFonts w:cs="Arial"/>
        </w:rPr>
        <w:t>Final</w:t>
      </w:r>
      <w:r w:rsidRPr="005859C2">
        <w:t xml:space="preserve">mente, y en mérito de lo expuesto en líneas anteriores, resultan parcialmente fundados los motivos de inconformidad vertidos por </w:t>
      </w:r>
      <w:r w:rsidRPr="005859C2">
        <w:rPr>
          <w:b/>
        </w:rPr>
        <w:t>El Recurrente</w:t>
      </w:r>
      <w:r w:rsidRPr="005859C2">
        <w:t xml:space="preserve">, por ello con fundamento en la </w:t>
      </w:r>
      <w:r w:rsidRPr="005859C2">
        <w:rPr>
          <w:i/>
        </w:rPr>
        <w:t>segunda hipótesis</w:t>
      </w:r>
      <w:r w:rsidRPr="005859C2">
        <w:t xml:space="preserve"> del artículo 186, fracción III, de la Ley de Transparencia y Acceso a la Información Pública del Estado de México y Municipios, se </w:t>
      </w:r>
      <w:r w:rsidRPr="005859C2">
        <w:rPr>
          <w:b/>
        </w:rPr>
        <w:t xml:space="preserve">MODIFICA </w:t>
      </w:r>
      <w:r w:rsidRPr="005859C2">
        <w:t xml:space="preserve">la respuesta a la solicitud de </w:t>
      </w:r>
      <w:r w:rsidRPr="005859C2">
        <w:rPr>
          <w:rFonts w:eastAsia="Palatino Linotype" w:cs="Palatino Linotype"/>
          <w:color w:val="000000" w:themeColor="text1"/>
        </w:rPr>
        <w:t xml:space="preserve">información </w:t>
      </w:r>
      <w:r w:rsidRPr="005859C2">
        <w:rPr>
          <w:rFonts w:eastAsia="Palatino Linotype" w:cs="Palatino Linotype"/>
          <w:b/>
          <w:bCs/>
          <w:color w:val="000000" w:themeColor="text1"/>
        </w:rPr>
        <w:t>03039/TOLUCA/IP/2025</w:t>
      </w:r>
      <w:r w:rsidRPr="005859C2">
        <w:rPr>
          <w:rFonts w:cs="Arial"/>
        </w:rPr>
        <w:t xml:space="preserve">, </w:t>
      </w:r>
      <w:r w:rsidRPr="005859C2">
        <w:t>que ha sido materia del presente fallo.</w:t>
      </w:r>
    </w:p>
    <w:p w14:paraId="1448091F" w14:textId="77777777" w:rsidR="00983005" w:rsidRPr="005859C2" w:rsidRDefault="00983005" w:rsidP="00983005"/>
    <w:p w14:paraId="2A929B6B" w14:textId="77777777" w:rsidR="00983005" w:rsidRPr="005859C2" w:rsidRDefault="00983005" w:rsidP="00983005">
      <w:r w:rsidRPr="005859C2">
        <w:t xml:space="preserve">Por lo antes expuesto y fundado. </w:t>
      </w:r>
    </w:p>
    <w:p w14:paraId="5EE5B434" w14:textId="77777777" w:rsidR="00F839CD" w:rsidRPr="005859C2" w:rsidRDefault="00F839CD" w:rsidP="00F62375">
      <w:pPr>
        <w:contextualSpacing/>
        <w:rPr>
          <w:rFonts w:eastAsia="Palatino Linotype" w:cs="Palatino Linotype"/>
          <w:color w:val="000000"/>
          <w:szCs w:val="24"/>
        </w:rPr>
      </w:pPr>
    </w:p>
    <w:p w14:paraId="685A5497" w14:textId="77777777" w:rsidR="00A32473" w:rsidRPr="005859C2" w:rsidRDefault="00A32473" w:rsidP="00F62375">
      <w:pPr>
        <w:pStyle w:val="Ttulo1"/>
        <w:rPr>
          <w:rFonts w:eastAsia="Palatino Linotype"/>
        </w:rPr>
      </w:pPr>
      <w:r w:rsidRPr="005859C2">
        <w:rPr>
          <w:rFonts w:eastAsia="Palatino Linotype"/>
        </w:rPr>
        <w:t>R E S U E L V E</w:t>
      </w:r>
    </w:p>
    <w:p w14:paraId="6C6C255B" w14:textId="77777777" w:rsidR="00A32473" w:rsidRPr="005859C2" w:rsidRDefault="00A32473" w:rsidP="00F62375">
      <w:pPr>
        <w:pBdr>
          <w:top w:val="nil"/>
          <w:left w:val="nil"/>
          <w:bottom w:val="nil"/>
          <w:right w:val="nil"/>
          <w:between w:val="nil"/>
        </w:pBdr>
        <w:contextualSpacing/>
        <w:jc w:val="center"/>
        <w:rPr>
          <w:rFonts w:eastAsia="Palatino Linotype" w:cs="Palatino Linotype"/>
          <w:b/>
          <w:color w:val="000000"/>
          <w:szCs w:val="24"/>
        </w:rPr>
      </w:pPr>
    </w:p>
    <w:p w14:paraId="0232CA1E" w14:textId="7979E313" w:rsidR="00983005" w:rsidRPr="005859C2" w:rsidRDefault="00983005" w:rsidP="00983005">
      <w:pPr>
        <w:autoSpaceDE w:val="0"/>
        <w:autoSpaceDN w:val="0"/>
        <w:adjustRightInd w:val="0"/>
        <w:ind w:right="49"/>
        <w:rPr>
          <w:rFonts w:cs="Arial"/>
        </w:rPr>
      </w:pPr>
      <w:r w:rsidRPr="005859C2">
        <w:rPr>
          <w:rFonts w:cs="Arial"/>
          <w:b/>
          <w:sz w:val="28"/>
          <w:szCs w:val="28"/>
        </w:rPr>
        <w:t>PRIMERO.</w:t>
      </w:r>
      <w:r w:rsidRPr="005859C2">
        <w:rPr>
          <w:rFonts w:cs="Arial"/>
        </w:rPr>
        <w:t xml:space="preserve"> Se</w:t>
      </w:r>
      <w:r w:rsidRPr="005859C2">
        <w:rPr>
          <w:rFonts w:cs="Arial"/>
          <w:b/>
        </w:rPr>
        <w:t xml:space="preserve"> MODIFICA </w:t>
      </w:r>
      <w:r w:rsidRPr="005859C2">
        <w:rPr>
          <w:rFonts w:eastAsia="Arial Unicode MS" w:cs="Arial"/>
        </w:rPr>
        <w:t xml:space="preserve">la respuesta entregada por </w:t>
      </w:r>
      <w:r w:rsidRPr="005859C2">
        <w:rPr>
          <w:rFonts w:eastAsia="Arial Unicode MS" w:cs="Arial"/>
          <w:b/>
        </w:rPr>
        <w:t xml:space="preserve">El Sujeto Obligado </w:t>
      </w:r>
      <w:r w:rsidRPr="005859C2">
        <w:rPr>
          <w:rFonts w:eastAsia="Arial Unicode MS" w:cs="Arial"/>
        </w:rPr>
        <w:t xml:space="preserve">a la solicitud de información número </w:t>
      </w:r>
      <w:r w:rsidRPr="005859C2">
        <w:rPr>
          <w:rFonts w:eastAsia="Palatino Linotype" w:cs="Palatino Linotype"/>
          <w:b/>
          <w:bCs/>
          <w:color w:val="000000" w:themeColor="text1"/>
        </w:rPr>
        <w:t>03039/TOLUCA/IP/2025</w:t>
      </w:r>
      <w:r w:rsidRPr="005859C2">
        <w:rPr>
          <w:rFonts w:cs="Arial"/>
        </w:rPr>
        <w:t>, por resultar parcialmente fundados los motivos de inconformidad vertidos por el</w:t>
      </w:r>
      <w:r w:rsidRPr="005859C2">
        <w:rPr>
          <w:rFonts w:cs="Arial"/>
          <w:b/>
        </w:rPr>
        <w:t xml:space="preserve"> Recurrente</w:t>
      </w:r>
      <w:r w:rsidRPr="005859C2">
        <w:rPr>
          <w:rFonts w:cs="Arial"/>
        </w:rPr>
        <w:t xml:space="preserve">, en términos del Considerando </w:t>
      </w:r>
      <w:r w:rsidR="00132DB8" w:rsidRPr="005859C2">
        <w:rPr>
          <w:rFonts w:cs="Arial"/>
          <w:b/>
        </w:rPr>
        <w:t>CUARTO</w:t>
      </w:r>
      <w:r w:rsidRPr="005859C2">
        <w:rPr>
          <w:rFonts w:cs="Arial"/>
        </w:rPr>
        <w:t xml:space="preserve"> de esta resolución.</w:t>
      </w:r>
    </w:p>
    <w:p w14:paraId="71808550" w14:textId="77777777" w:rsidR="00983005" w:rsidRPr="005859C2" w:rsidRDefault="00983005" w:rsidP="00983005">
      <w:pPr>
        <w:autoSpaceDE w:val="0"/>
        <w:autoSpaceDN w:val="0"/>
        <w:adjustRightInd w:val="0"/>
        <w:ind w:right="49"/>
        <w:rPr>
          <w:rFonts w:cs="Arial"/>
        </w:rPr>
      </w:pPr>
    </w:p>
    <w:p w14:paraId="6A87328B" w14:textId="57940721" w:rsidR="00983005" w:rsidRPr="005859C2" w:rsidRDefault="00983005" w:rsidP="00983005">
      <w:pPr>
        <w:rPr>
          <w:rFonts w:cs="Arial"/>
        </w:rPr>
      </w:pPr>
      <w:r w:rsidRPr="005859C2">
        <w:rPr>
          <w:rFonts w:cs="Arial"/>
          <w:b/>
          <w:sz w:val="28"/>
          <w:szCs w:val="28"/>
        </w:rPr>
        <w:t>SEGUNDO.</w:t>
      </w:r>
      <w:r w:rsidRPr="005859C2">
        <w:rPr>
          <w:rFonts w:cs="Arial"/>
        </w:rPr>
        <w:t xml:space="preserve"> Se </w:t>
      </w:r>
      <w:r w:rsidRPr="005859C2">
        <w:rPr>
          <w:rFonts w:cs="Arial"/>
          <w:b/>
        </w:rPr>
        <w:t>ORDENA</w:t>
      </w:r>
      <w:r w:rsidRPr="005859C2">
        <w:rPr>
          <w:rFonts w:cs="Arial"/>
        </w:rPr>
        <w:t xml:space="preserve"> al </w:t>
      </w:r>
      <w:r w:rsidRPr="005859C2">
        <w:rPr>
          <w:rFonts w:cs="Arial"/>
          <w:b/>
        </w:rPr>
        <w:t xml:space="preserve">Sujeto Obligado </w:t>
      </w:r>
      <w:r w:rsidRPr="005859C2">
        <w:rPr>
          <w:rFonts w:cs="Arial"/>
        </w:rPr>
        <w:t xml:space="preserve">haga entrega al </w:t>
      </w:r>
      <w:r w:rsidRPr="005859C2">
        <w:rPr>
          <w:rFonts w:cs="Arial"/>
          <w:b/>
        </w:rPr>
        <w:t xml:space="preserve">Recurrente, </w:t>
      </w:r>
      <w:r w:rsidRPr="005859C2">
        <w:rPr>
          <w:rFonts w:cs="Arial"/>
        </w:rPr>
        <w:t xml:space="preserve">en términos del Considerando </w:t>
      </w:r>
      <w:r w:rsidR="00132DB8" w:rsidRPr="005859C2">
        <w:rPr>
          <w:rFonts w:cs="Arial"/>
          <w:b/>
        </w:rPr>
        <w:t>CUARTO</w:t>
      </w:r>
      <w:r w:rsidRPr="005859C2">
        <w:rPr>
          <w:rFonts w:cs="Arial"/>
          <w:b/>
        </w:rPr>
        <w:t xml:space="preserve"> </w:t>
      </w:r>
      <w:r w:rsidRPr="005859C2">
        <w:rPr>
          <w:rFonts w:cs="Arial"/>
        </w:rPr>
        <w:t>de esta resolución, a través del</w:t>
      </w:r>
      <w:r w:rsidRPr="005859C2">
        <w:rPr>
          <w:rFonts w:cs="Arial"/>
          <w:b/>
        </w:rPr>
        <w:t xml:space="preserve"> </w:t>
      </w:r>
      <w:r w:rsidRPr="005859C2">
        <w:rPr>
          <w:rFonts w:cs="Arial"/>
        </w:rPr>
        <w:t xml:space="preserve">Sistema de Acceso a la Información Mexiquense </w:t>
      </w:r>
      <w:r w:rsidRPr="005859C2">
        <w:rPr>
          <w:rFonts w:cs="Arial"/>
          <w:b/>
        </w:rPr>
        <w:t>(SAIMEX)</w:t>
      </w:r>
      <w:r w:rsidRPr="005859C2">
        <w:rPr>
          <w:rFonts w:cs="Arial"/>
        </w:rPr>
        <w:t>, previa búsqueda exhaustiva y razonable</w:t>
      </w:r>
      <w:r w:rsidR="00132DB8" w:rsidRPr="005859C2">
        <w:rPr>
          <w:rFonts w:cs="Arial"/>
        </w:rPr>
        <w:t xml:space="preserve">, </w:t>
      </w:r>
      <w:r w:rsidRPr="005859C2">
        <w:rPr>
          <w:rFonts w:cs="Arial"/>
        </w:rPr>
        <w:t>de lo siguiente:</w:t>
      </w:r>
    </w:p>
    <w:p w14:paraId="5FAADF3A" w14:textId="77777777" w:rsidR="00983005" w:rsidRPr="005859C2" w:rsidRDefault="00983005" w:rsidP="00983005">
      <w:pPr>
        <w:rPr>
          <w:rFonts w:cs="Arial"/>
        </w:rPr>
      </w:pPr>
    </w:p>
    <w:p w14:paraId="3942A104" w14:textId="7389296F" w:rsidR="00983005" w:rsidRPr="005859C2" w:rsidRDefault="00983005" w:rsidP="00983005">
      <w:pPr>
        <w:pStyle w:val="Prrafodelista"/>
        <w:numPr>
          <w:ilvl w:val="0"/>
          <w:numId w:val="67"/>
        </w:numPr>
        <w:rPr>
          <w:rFonts w:cs="Arial"/>
        </w:rPr>
      </w:pPr>
      <w:r w:rsidRPr="005859C2">
        <w:rPr>
          <w:rFonts w:eastAsiaTheme="minorHAnsi"/>
          <w:iCs/>
        </w:rPr>
        <w:t>La copia actualizada o última vigente al veintiséis de mayo des mil veinticinco del Reglamento General de Construcciones del Municipio de Toluca</w:t>
      </w:r>
      <w:r w:rsidRPr="005859C2">
        <w:rPr>
          <w:rFonts w:eastAsiaTheme="minorHAnsi"/>
        </w:rPr>
        <w:t>.</w:t>
      </w:r>
    </w:p>
    <w:p w14:paraId="4A997004" w14:textId="77777777" w:rsidR="00983005" w:rsidRPr="005859C2" w:rsidRDefault="00983005" w:rsidP="00983005">
      <w:pPr>
        <w:rPr>
          <w:rFonts w:cs="Arial"/>
        </w:rPr>
      </w:pPr>
    </w:p>
    <w:p w14:paraId="7B6B16DA" w14:textId="77777777" w:rsidR="00983005" w:rsidRPr="005859C2" w:rsidRDefault="00983005" w:rsidP="00983005">
      <w:pPr>
        <w:autoSpaceDE w:val="0"/>
        <w:autoSpaceDN w:val="0"/>
        <w:adjustRightInd w:val="0"/>
        <w:ind w:right="49"/>
        <w:rPr>
          <w:rFonts w:cs="Arial"/>
          <w:szCs w:val="28"/>
        </w:rPr>
      </w:pPr>
      <w:r w:rsidRPr="005859C2">
        <w:rPr>
          <w:rFonts w:cs="Arial"/>
          <w:b/>
          <w:sz w:val="28"/>
          <w:szCs w:val="28"/>
        </w:rPr>
        <w:t xml:space="preserve">TERCERO. </w:t>
      </w:r>
      <w:r w:rsidRPr="005859C2">
        <w:rPr>
          <w:rFonts w:cs="Arial"/>
          <w:b/>
          <w:szCs w:val="28"/>
        </w:rPr>
        <w:t xml:space="preserve">NOTIFÍQUESE </w:t>
      </w:r>
      <w:r w:rsidRPr="005859C2">
        <w:rPr>
          <w:rFonts w:cs="Arial"/>
          <w:szCs w:val="28"/>
        </w:rPr>
        <w:t xml:space="preserve">la presente resolución </w:t>
      </w:r>
      <w:r w:rsidRPr="005859C2">
        <w:rPr>
          <w:rFonts w:cs="Arial"/>
        </w:rPr>
        <w:t xml:space="preserve">a través del Sistema de Acceso a la Información Mexiquense </w:t>
      </w:r>
      <w:r w:rsidRPr="005859C2">
        <w:rPr>
          <w:rFonts w:cs="Arial"/>
          <w:b/>
        </w:rPr>
        <w:t>(SAIMEX)</w:t>
      </w:r>
      <w:r w:rsidRPr="005859C2">
        <w:rPr>
          <w:rFonts w:cs="Arial"/>
          <w:szCs w:val="28"/>
        </w:rPr>
        <w:t xml:space="preserve"> al Titular de la Unidad de Transparencia del </w:t>
      </w:r>
      <w:r w:rsidRPr="005859C2">
        <w:rPr>
          <w:rFonts w:cs="Arial"/>
          <w:b/>
          <w:szCs w:val="28"/>
        </w:rPr>
        <w:t>Sujeto Obligado</w:t>
      </w:r>
      <w:r w:rsidRPr="005859C2">
        <w:rPr>
          <w:rFonts w:cs="Arial"/>
          <w:szCs w:val="28"/>
        </w:rPr>
        <w:t xml:space="preserve">, para que conforme al artículo 186 último párrafo, 189 segundo párrafo y 194 de la Ley de Transparencia y Acceso a la Información Pública del Estado de México y Municipios; dé cumplimiento a lo ordenado dentro del plazo de diez días hábiles, e </w:t>
      </w:r>
      <w:r w:rsidRPr="005859C2">
        <w:rPr>
          <w:rFonts w:cs="Arial"/>
          <w:szCs w:val="28"/>
        </w:rPr>
        <w:lastRenderedPageBreak/>
        <w:t>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6589B63" w14:textId="77777777" w:rsidR="00983005" w:rsidRPr="005859C2" w:rsidRDefault="00983005" w:rsidP="00983005">
      <w:pPr>
        <w:autoSpaceDE w:val="0"/>
        <w:autoSpaceDN w:val="0"/>
        <w:adjustRightInd w:val="0"/>
        <w:ind w:right="49"/>
        <w:rPr>
          <w:rFonts w:cs="Arial"/>
          <w:szCs w:val="28"/>
        </w:rPr>
      </w:pPr>
    </w:p>
    <w:p w14:paraId="204DF7EA" w14:textId="77777777" w:rsidR="00983005" w:rsidRPr="005859C2" w:rsidRDefault="00983005" w:rsidP="00983005">
      <w:pPr>
        <w:rPr>
          <w:rFonts w:cs="Arial"/>
          <w:bCs/>
          <w:szCs w:val="28"/>
        </w:rPr>
      </w:pPr>
      <w:r w:rsidRPr="005859C2">
        <w:rPr>
          <w:rFonts w:cs="Arial"/>
          <w:b/>
          <w:bCs/>
          <w:sz w:val="28"/>
          <w:szCs w:val="28"/>
        </w:rPr>
        <w:t>CUARTO.</w:t>
      </w:r>
      <w:r w:rsidRPr="005859C2">
        <w:rPr>
          <w:rFonts w:cs="Arial"/>
          <w:bCs/>
          <w:szCs w:val="28"/>
        </w:rPr>
        <w:t xml:space="preserve"> De conformidad con el artículo 198, de la Ley de Transparencia y Acceso a la Información Pública del Estado de México y Municipios, de considerarlo procedente, el </w:t>
      </w:r>
      <w:r w:rsidRPr="005859C2">
        <w:rPr>
          <w:rFonts w:cs="Arial"/>
          <w:b/>
          <w:bCs/>
          <w:szCs w:val="28"/>
        </w:rPr>
        <w:t>Sujeto Obligado</w:t>
      </w:r>
      <w:r w:rsidRPr="005859C2">
        <w:rPr>
          <w:rFonts w:cs="Arial"/>
          <w:bCs/>
          <w:szCs w:val="28"/>
        </w:rPr>
        <w:t xml:space="preserve"> de manera fundada y motivada, podrá solicitar una ampliación de plazo para el cumplimiento de la presente resolución.</w:t>
      </w:r>
    </w:p>
    <w:p w14:paraId="6A2C8267" w14:textId="77777777" w:rsidR="00983005" w:rsidRPr="005859C2" w:rsidRDefault="00983005" w:rsidP="00983005">
      <w:pPr>
        <w:autoSpaceDE w:val="0"/>
        <w:autoSpaceDN w:val="0"/>
        <w:adjustRightInd w:val="0"/>
        <w:ind w:right="49"/>
        <w:rPr>
          <w:rFonts w:cs="Arial"/>
          <w:b/>
          <w:szCs w:val="28"/>
        </w:rPr>
      </w:pPr>
    </w:p>
    <w:p w14:paraId="57EE6D1D" w14:textId="4893A4AD" w:rsidR="0040171F" w:rsidRPr="005859C2" w:rsidRDefault="00983005" w:rsidP="00983005">
      <w:pPr>
        <w:pBdr>
          <w:top w:val="nil"/>
          <w:left w:val="nil"/>
          <w:bottom w:val="nil"/>
          <w:right w:val="nil"/>
          <w:between w:val="nil"/>
        </w:pBdr>
        <w:rPr>
          <w:rFonts w:cs="Arial"/>
        </w:rPr>
      </w:pPr>
      <w:r w:rsidRPr="005859C2">
        <w:rPr>
          <w:rFonts w:cs="Arial"/>
          <w:b/>
          <w:sz w:val="28"/>
          <w:szCs w:val="28"/>
        </w:rPr>
        <w:t>QUINTO.</w:t>
      </w:r>
      <w:r w:rsidRPr="005859C2">
        <w:rPr>
          <w:rFonts w:cs="Arial"/>
          <w:b/>
        </w:rPr>
        <w:t xml:space="preserve"> NOTIFÍQUESE</w:t>
      </w:r>
      <w:r w:rsidRPr="005859C2">
        <w:rPr>
          <w:rFonts w:cs="Arial"/>
        </w:rPr>
        <w:t xml:space="preserve"> al </w:t>
      </w:r>
      <w:r w:rsidRPr="005859C2">
        <w:rPr>
          <w:rFonts w:cs="Arial"/>
          <w:b/>
        </w:rPr>
        <w:t>Recurrente</w:t>
      </w:r>
      <w:r w:rsidRPr="005859C2">
        <w:rPr>
          <w:rFonts w:cs="Arial"/>
        </w:rPr>
        <w:t xml:space="preserve"> la presente resolución a través del Sistema de Acceso a la Información Mexiquense </w:t>
      </w:r>
      <w:r w:rsidRPr="005859C2">
        <w:rPr>
          <w:rFonts w:cs="Arial"/>
          <w:b/>
        </w:rPr>
        <w:t>(SAIMEX),</w:t>
      </w:r>
      <w:r w:rsidRPr="005859C2">
        <w:rPr>
          <w:rFonts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32152F8" w14:textId="41E415B9" w:rsidR="00983005" w:rsidRPr="005859C2" w:rsidRDefault="00983005" w:rsidP="00983005">
      <w:pPr>
        <w:pBdr>
          <w:top w:val="nil"/>
          <w:left w:val="nil"/>
          <w:bottom w:val="nil"/>
          <w:right w:val="nil"/>
          <w:between w:val="nil"/>
        </w:pBdr>
        <w:rPr>
          <w:rFonts w:eastAsia="Palatino Linotype" w:cs="Palatino Linotype"/>
          <w:color w:val="000000"/>
          <w:szCs w:val="24"/>
          <w:lang w:val="es-MX"/>
        </w:rPr>
      </w:pPr>
    </w:p>
    <w:p w14:paraId="662241D5" w14:textId="6E97D85C" w:rsidR="00501B72" w:rsidRPr="005859C2" w:rsidRDefault="00501B72" w:rsidP="00983005">
      <w:pPr>
        <w:pBdr>
          <w:top w:val="nil"/>
          <w:left w:val="nil"/>
          <w:bottom w:val="nil"/>
          <w:right w:val="nil"/>
          <w:between w:val="nil"/>
        </w:pBdr>
        <w:rPr>
          <w:rFonts w:eastAsia="Palatino Linotype" w:cs="Palatino Linotype"/>
          <w:color w:val="000000"/>
          <w:szCs w:val="24"/>
          <w:lang w:val="es-MX"/>
        </w:rPr>
      </w:pPr>
    </w:p>
    <w:p w14:paraId="52543A35" w14:textId="37D1673F" w:rsidR="00501B72" w:rsidRPr="005859C2" w:rsidRDefault="00501B72" w:rsidP="00983005">
      <w:pPr>
        <w:pBdr>
          <w:top w:val="nil"/>
          <w:left w:val="nil"/>
          <w:bottom w:val="nil"/>
          <w:right w:val="nil"/>
          <w:between w:val="nil"/>
        </w:pBdr>
        <w:rPr>
          <w:rFonts w:eastAsia="Palatino Linotype" w:cs="Palatino Linotype"/>
          <w:color w:val="000000"/>
          <w:szCs w:val="24"/>
          <w:lang w:val="es-MX"/>
        </w:rPr>
      </w:pPr>
    </w:p>
    <w:p w14:paraId="7772AD1B" w14:textId="4273D8E9" w:rsidR="00501B72" w:rsidRPr="005859C2" w:rsidRDefault="00501B72" w:rsidP="00983005">
      <w:pPr>
        <w:pBdr>
          <w:top w:val="nil"/>
          <w:left w:val="nil"/>
          <w:bottom w:val="nil"/>
          <w:right w:val="nil"/>
          <w:between w:val="nil"/>
        </w:pBdr>
        <w:rPr>
          <w:rFonts w:eastAsia="Palatino Linotype" w:cs="Palatino Linotype"/>
          <w:color w:val="000000"/>
          <w:szCs w:val="24"/>
          <w:lang w:val="es-MX"/>
        </w:rPr>
      </w:pPr>
    </w:p>
    <w:p w14:paraId="715534FD" w14:textId="371FD46A" w:rsidR="00501B72" w:rsidRPr="005859C2" w:rsidRDefault="00501B72" w:rsidP="00983005">
      <w:pPr>
        <w:pBdr>
          <w:top w:val="nil"/>
          <w:left w:val="nil"/>
          <w:bottom w:val="nil"/>
          <w:right w:val="nil"/>
          <w:between w:val="nil"/>
        </w:pBdr>
        <w:rPr>
          <w:rFonts w:eastAsia="Palatino Linotype" w:cs="Palatino Linotype"/>
          <w:color w:val="000000"/>
          <w:szCs w:val="24"/>
          <w:lang w:val="es-MX"/>
        </w:rPr>
      </w:pPr>
    </w:p>
    <w:p w14:paraId="5B24B4F5" w14:textId="4124D133" w:rsidR="00501B72" w:rsidRPr="005859C2" w:rsidRDefault="00501B72" w:rsidP="00983005">
      <w:pPr>
        <w:pBdr>
          <w:top w:val="nil"/>
          <w:left w:val="nil"/>
          <w:bottom w:val="nil"/>
          <w:right w:val="nil"/>
          <w:between w:val="nil"/>
        </w:pBdr>
        <w:rPr>
          <w:rFonts w:eastAsia="Palatino Linotype" w:cs="Palatino Linotype"/>
          <w:color w:val="000000"/>
          <w:szCs w:val="24"/>
          <w:lang w:val="es-MX"/>
        </w:rPr>
      </w:pPr>
    </w:p>
    <w:p w14:paraId="3C7A751C" w14:textId="7B72790E" w:rsidR="00501B72" w:rsidRPr="005859C2" w:rsidRDefault="00501B72" w:rsidP="00983005">
      <w:pPr>
        <w:pBdr>
          <w:top w:val="nil"/>
          <w:left w:val="nil"/>
          <w:bottom w:val="nil"/>
          <w:right w:val="nil"/>
          <w:between w:val="nil"/>
        </w:pBdr>
        <w:rPr>
          <w:rFonts w:eastAsia="Palatino Linotype" w:cs="Palatino Linotype"/>
          <w:color w:val="000000"/>
          <w:szCs w:val="24"/>
          <w:lang w:val="es-MX"/>
        </w:rPr>
      </w:pPr>
    </w:p>
    <w:p w14:paraId="719B122F" w14:textId="77777777" w:rsidR="00501B72" w:rsidRPr="005859C2" w:rsidRDefault="00501B72" w:rsidP="00983005">
      <w:pPr>
        <w:pBdr>
          <w:top w:val="nil"/>
          <w:left w:val="nil"/>
          <w:bottom w:val="nil"/>
          <w:right w:val="nil"/>
          <w:between w:val="nil"/>
        </w:pBdr>
        <w:rPr>
          <w:rFonts w:eastAsia="Palatino Linotype" w:cs="Palatino Linotype"/>
          <w:color w:val="000000"/>
          <w:szCs w:val="24"/>
          <w:lang w:val="es-MX"/>
        </w:rPr>
      </w:pPr>
    </w:p>
    <w:p w14:paraId="20573BFF" w14:textId="1E359EE9" w:rsidR="00A970D5" w:rsidRPr="005859C2" w:rsidRDefault="005859C2" w:rsidP="00F62375">
      <w:pPr>
        <w:pBdr>
          <w:top w:val="nil"/>
          <w:left w:val="nil"/>
          <w:bottom w:val="nil"/>
          <w:right w:val="nil"/>
          <w:between w:val="nil"/>
        </w:pBdr>
        <w:contextualSpacing/>
        <w:rPr>
          <w:rFonts w:eastAsia="Palatino Linotype" w:cs="Palatino Linotype"/>
          <w:color w:val="000000"/>
          <w:szCs w:val="24"/>
        </w:rPr>
      </w:pPr>
      <w:r w:rsidRPr="005859C2">
        <w:rPr>
          <w:rFonts w:eastAsia="Times New Roman" w:cs="Arial"/>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5859C2">
        <w:rPr>
          <w:rFonts w:eastAsia="Palatino Linotype" w:cs="Palatino Linotype"/>
          <w:color w:val="000000"/>
          <w:szCs w:val="24"/>
        </w:rPr>
        <w:t>.</w:t>
      </w:r>
      <w:r w:rsidR="001957CF" w:rsidRPr="005859C2">
        <w:rPr>
          <w:rFonts w:eastAsia="Palatino Linotype" w:cs="Palatino Linotype"/>
          <w:color w:val="000000"/>
          <w:szCs w:val="24"/>
        </w:rPr>
        <w:t>--------------</w:t>
      </w:r>
      <w:r w:rsidR="00C6512A" w:rsidRPr="005859C2">
        <w:rPr>
          <w:rFonts w:eastAsia="Palatino Linotype" w:cs="Palatino Linotype"/>
          <w:color w:val="000000"/>
          <w:szCs w:val="24"/>
        </w:rPr>
        <w:t>---------</w:t>
      </w:r>
      <w:r w:rsidR="00770254" w:rsidRPr="005859C2">
        <w:rPr>
          <w:rFonts w:eastAsia="Palatino Linotype" w:cs="Palatino Linotype"/>
          <w:color w:val="000000"/>
          <w:szCs w:val="24"/>
        </w:rPr>
        <w:t>---------------------------------------------------------------------------------------------------------------------------------------------------------------------------------------------------------------------------------------------------------------------------------------------------------------------------------------------------------------------------------------------------------------------------------------------------------------------------------------------------------------------------------------------------------------------------------------------------------------------------------------------------------------------------------------------------------------------------------------------------------------------------------------------------------------------------------------------------------------------------------------------------------------------------------------------------------------------------------------------------------------------------------------------------------------------------------------------------------------------------------------------------------------------------------------------------------------------------------------------------------------------------------------------------------------------------------------------------------------------------------------------------------------------------------------------------------------------------------------------------------------------------------------------------------------------------------------------------------------------------------------------------------------------------------------------------------------------------------------------------</w:t>
      </w:r>
      <w:r w:rsidR="00B14EB3" w:rsidRPr="005859C2">
        <w:rPr>
          <w:rFonts w:eastAsia="Palatino Linotype" w:cs="Palatino Linotype"/>
          <w:color w:val="000000"/>
          <w:szCs w:val="24"/>
        </w:rPr>
        <w:t>------------------------------------------------------------------------------------------------</w:t>
      </w:r>
      <w:r w:rsidR="00770254" w:rsidRPr="005859C2">
        <w:rPr>
          <w:rFonts w:eastAsia="Palatino Linotype" w:cs="Palatino Linotype"/>
          <w:color w:val="000000"/>
          <w:szCs w:val="24"/>
        </w:rPr>
        <w:t>-</w:t>
      </w:r>
    </w:p>
    <w:p w14:paraId="4DA57669" w14:textId="152523A5" w:rsidR="00A970D5" w:rsidRPr="004B7011" w:rsidRDefault="44E9108F" w:rsidP="00F62375">
      <w:pPr>
        <w:pBdr>
          <w:top w:val="nil"/>
          <w:left w:val="nil"/>
          <w:bottom w:val="nil"/>
          <w:right w:val="nil"/>
          <w:between w:val="nil"/>
        </w:pBdr>
        <w:contextualSpacing/>
        <w:rPr>
          <w:rFonts w:eastAsia="Palatino Linotype" w:cs="Palatino Linotype"/>
          <w:color w:val="000000"/>
          <w:sz w:val="20"/>
          <w:szCs w:val="20"/>
          <w:lang w:val="es-ES"/>
        </w:rPr>
      </w:pPr>
      <w:r w:rsidRPr="005859C2">
        <w:rPr>
          <w:rFonts w:eastAsia="Palatino Linotype" w:cs="Palatino Linotype"/>
          <w:color w:val="000000" w:themeColor="text1"/>
          <w:sz w:val="20"/>
          <w:szCs w:val="20"/>
          <w:lang w:val="es-ES"/>
        </w:rPr>
        <w:t>JMV/CCR/</w:t>
      </w:r>
    </w:p>
    <w:p w14:paraId="607C2072"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F6237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F6237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C7AD2" w14:textId="77777777" w:rsidR="00172F0E" w:rsidRDefault="00172F0E" w:rsidP="00F2498E">
      <w:pPr>
        <w:spacing w:line="240" w:lineRule="auto"/>
      </w:pPr>
      <w:r>
        <w:separator/>
      </w:r>
    </w:p>
  </w:endnote>
  <w:endnote w:type="continuationSeparator" w:id="0">
    <w:p w14:paraId="2E08630B" w14:textId="77777777" w:rsidR="00172F0E" w:rsidRDefault="00172F0E" w:rsidP="00F2498E">
      <w:pPr>
        <w:spacing w:line="240" w:lineRule="auto"/>
      </w:pPr>
      <w:r>
        <w:continuationSeparator/>
      </w:r>
    </w:p>
  </w:endnote>
  <w:endnote w:type="continuationNotice" w:id="1">
    <w:p w14:paraId="45C76624" w14:textId="77777777" w:rsidR="00172F0E" w:rsidRDefault="00172F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8B76E0C" w:rsidR="00AB1017" w:rsidRPr="00871A91" w:rsidRDefault="00AB101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F752B">
      <w:rPr>
        <w:rFonts w:ascii="Palatino Linotype" w:hAnsi="Palatino Linotype"/>
        <w:b/>
        <w:bCs/>
        <w:noProof/>
        <w:sz w:val="20"/>
      </w:rPr>
      <w:t>8</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F752B">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1C825D11" w:rsidR="00AB1017" w:rsidRPr="00871A91" w:rsidRDefault="00AB1017"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FF752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FF752B">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2CE6E3" w14:textId="77777777" w:rsidR="00172F0E" w:rsidRDefault="00172F0E" w:rsidP="00F2498E">
      <w:pPr>
        <w:spacing w:line="240" w:lineRule="auto"/>
      </w:pPr>
      <w:r>
        <w:separator/>
      </w:r>
    </w:p>
  </w:footnote>
  <w:footnote w:type="continuationSeparator" w:id="0">
    <w:p w14:paraId="239461D1" w14:textId="77777777" w:rsidR="00172F0E" w:rsidRDefault="00172F0E" w:rsidP="00F2498E">
      <w:pPr>
        <w:spacing w:line="240" w:lineRule="auto"/>
      </w:pPr>
      <w:r>
        <w:continuationSeparator/>
      </w:r>
    </w:p>
  </w:footnote>
  <w:footnote w:type="continuationNotice" w:id="1">
    <w:p w14:paraId="603C9553" w14:textId="77777777" w:rsidR="00172F0E" w:rsidRDefault="00172F0E">
      <w:pPr>
        <w:spacing w:line="240" w:lineRule="auto"/>
      </w:pPr>
    </w:p>
  </w:footnote>
  <w:footnote w:id="2">
    <w:p w14:paraId="2BCE50A0" w14:textId="77777777" w:rsidR="00AB1017" w:rsidRPr="0031280C" w:rsidRDefault="00AB1017"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AB1017" w:rsidRPr="0031280C" w:rsidRDefault="00AB1017"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AB1017" w:rsidRPr="0031280C" w:rsidRDefault="00AB1017"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AB1017" w:rsidRPr="0031280C" w:rsidRDefault="00AB1017"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1280C">
        <w:rPr>
          <w:rFonts w:eastAsia="Palatino Linotype" w:cs="Palatino Linotype"/>
          <w:i/>
          <w:sz w:val="20"/>
          <w:szCs w:val="20"/>
        </w:rPr>
        <w:t>concesoria</w:t>
      </w:r>
      <w:proofErr w:type="spellEnd"/>
      <w:r w:rsidRPr="0031280C">
        <w:rPr>
          <w:rFonts w:eastAsia="Palatino Linotype" w:cs="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AB1017" w:rsidRDefault="00172F0E">
    <w:pPr>
      <w:pStyle w:val="Encabezado"/>
    </w:pPr>
    <w:r>
      <w:rPr>
        <w:noProof/>
        <w:lang w:val="es-MX" w:eastAsia="es-MX"/>
      </w:rPr>
      <w:pict w14:anchorId="5885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AB1017" w:rsidRPr="00B17577" w14:paraId="37B9EBDE" w14:textId="77777777" w:rsidTr="003938ED">
      <w:trPr>
        <w:trHeight w:val="227"/>
      </w:trPr>
      <w:tc>
        <w:tcPr>
          <w:tcW w:w="5103" w:type="dxa"/>
          <w:hideMark/>
        </w:tcPr>
        <w:p w14:paraId="4964FBC5" w14:textId="54CDA645" w:rsidR="00AB1017" w:rsidRPr="00096248" w:rsidRDefault="00AB1017"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70C71CEE" w:rsidR="00AB1017" w:rsidRPr="00096248" w:rsidRDefault="00AB1017" w:rsidP="002A5A2E">
          <w:pPr>
            <w:spacing w:after="120" w:line="240" w:lineRule="auto"/>
            <w:ind w:right="71"/>
            <w:jc w:val="right"/>
            <w:rPr>
              <w:rFonts w:cs="Arial"/>
              <w:b/>
              <w:szCs w:val="24"/>
            </w:rPr>
          </w:pPr>
          <w:r>
            <w:rPr>
              <w:rFonts w:cs="Arial"/>
              <w:b/>
              <w:bCs/>
              <w:szCs w:val="24"/>
            </w:rPr>
            <w:t>08225/INFOEM/IP/RR/2025</w:t>
          </w:r>
        </w:p>
      </w:tc>
    </w:tr>
    <w:tr w:rsidR="00AB1017" w14:paraId="7591D3C9" w14:textId="77777777" w:rsidTr="003938ED">
      <w:trPr>
        <w:trHeight w:val="242"/>
      </w:trPr>
      <w:tc>
        <w:tcPr>
          <w:tcW w:w="5103" w:type="dxa"/>
          <w:hideMark/>
        </w:tcPr>
        <w:p w14:paraId="729A65A8" w14:textId="77777777" w:rsidR="00AB1017" w:rsidRPr="00096248" w:rsidRDefault="00AB1017"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73403DEC" w:rsidR="00AB1017" w:rsidRPr="00096248" w:rsidRDefault="00AB1017" w:rsidP="00011C4D">
          <w:pPr>
            <w:spacing w:after="120" w:line="240" w:lineRule="auto"/>
            <w:ind w:left="-81" w:right="71"/>
            <w:jc w:val="right"/>
            <w:rPr>
              <w:rFonts w:cs="Arial"/>
              <w:szCs w:val="24"/>
            </w:rPr>
          </w:pPr>
          <w:r w:rsidRPr="00782262">
            <w:rPr>
              <w:rFonts w:cs="Arial"/>
              <w:szCs w:val="24"/>
            </w:rPr>
            <w:t>Ayuntamiento de Toluca</w:t>
          </w:r>
        </w:p>
      </w:tc>
    </w:tr>
    <w:tr w:rsidR="00AB1017" w:rsidRPr="00F63239" w14:paraId="037E914D" w14:textId="77777777" w:rsidTr="003938ED">
      <w:trPr>
        <w:trHeight w:val="342"/>
      </w:trPr>
      <w:tc>
        <w:tcPr>
          <w:tcW w:w="5103" w:type="dxa"/>
          <w:hideMark/>
        </w:tcPr>
        <w:p w14:paraId="7676B68F" w14:textId="64D69EAF" w:rsidR="00AB1017" w:rsidRPr="00096248" w:rsidRDefault="00AB1017"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AB1017" w:rsidRDefault="00AB1017"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AB1017" w:rsidRPr="00711916" w:rsidRDefault="00AB1017" w:rsidP="00011C4D">
          <w:pPr>
            <w:spacing w:after="120" w:line="240" w:lineRule="auto"/>
            <w:ind w:left="-486" w:right="71" w:firstLine="567"/>
            <w:jc w:val="right"/>
            <w:rPr>
              <w:rFonts w:cs="Arial"/>
              <w:sz w:val="2"/>
              <w:szCs w:val="2"/>
            </w:rPr>
          </w:pPr>
        </w:p>
      </w:tc>
    </w:tr>
  </w:tbl>
  <w:p w14:paraId="2998DBFD" w14:textId="25A9F426" w:rsidR="00AB1017" w:rsidRPr="00871A91" w:rsidRDefault="00172F0E">
    <w:pPr>
      <w:pStyle w:val="Encabezado"/>
      <w:rPr>
        <w:sz w:val="2"/>
      </w:rPr>
    </w:pPr>
    <w:r>
      <w:rPr>
        <w:noProof/>
        <w:lang w:val="es-MX" w:eastAsia="es-MX"/>
      </w:rPr>
      <w:pict w14:anchorId="1C5DA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AB101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AB1017" w14:paraId="0F9FE9B6" w14:textId="77777777" w:rsidTr="70652167">
      <w:trPr>
        <w:trHeight w:val="227"/>
      </w:trPr>
      <w:tc>
        <w:tcPr>
          <w:tcW w:w="5103" w:type="dxa"/>
          <w:hideMark/>
        </w:tcPr>
        <w:p w14:paraId="6D1D9D71" w14:textId="11150E5A" w:rsidR="00AB1017" w:rsidRPr="00663A37" w:rsidRDefault="00AB1017"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E08E02F" w:rsidR="00AB1017" w:rsidRPr="00C81ECD" w:rsidRDefault="00AB1017" w:rsidP="002A5A2E">
          <w:pPr>
            <w:spacing w:after="120" w:line="240" w:lineRule="auto"/>
            <w:ind w:left="-486" w:right="68" w:firstLine="558"/>
            <w:jc w:val="right"/>
            <w:rPr>
              <w:rFonts w:cs="Arial"/>
              <w:b/>
              <w:szCs w:val="24"/>
            </w:rPr>
          </w:pPr>
          <w:r>
            <w:rPr>
              <w:rFonts w:cs="Arial"/>
              <w:b/>
              <w:bCs/>
              <w:szCs w:val="24"/>
            </w:rPr>
            <w:t>08225/INFOEM/IP/RR/2025</w:t>
          </w:r>
        </w:p>
      </w:tc>
    </w:tr>
    <w:tr w:rsidR="00AB1017" w:rsidRPr="001F57CD" w14:paraId="1377D264" w14:textId="77777777" w:rsidTr="70652167">
      <w:trPr>
        <w:trHeight w:val="196"/>
      </w:trPr>
      <w:tc>
        <w:tcPr>
          <w:tcW w:w="5103" w:type="dxa"/>
          <w:hideMark/>
        </w:tcPr>
        <w:p w14:paraId="04D597A1" w14:textId="77777777" w:rsidR="00AB1017" w:rsidRPr="00663A37" w:rsidRDefault="00AB1017"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720D98C" w:rsidR="00AB1017" w:rsidRPr="00663A37" w:rsidRDefault="00FF752B" w:rsidP="70652167">
          <w:pPr>
            <w:spacing w:after="120" w:line="240" w:lineRule="auto"/>
            <w:ind w:right="68"/>
            <w:jc w:val="right"/>
            <w:rPr>
              <w:rFonts w:cs="Arial"/>
              <w:lang w:val="es-ES"/>
            </w:rPr>
          </w:pPr>
          <w:proofErr w:type="spellStart"/>
          <w:r>
            <w:rPr>
              <w:rFonts w:cs="Arial"/>
              <w:lang w:val="es-ES"/>
            </w:rPr>
            <w:t>xxxx</w:t>
          </w:r>
          <w:proofErr w:type="spellEnd"/>
        </w:p>
      </w:tc>
    </w:tr>
    <w:tr w:rsidR="00AB1017" w14:paraId="4DC11993" w14:textId="77777777" w:rsidTr="70652167">
      <w:trPr>
        <w:trHeight w:val="242"/>
      </w:trPr>
      <w:tc>
        <w:tcPr>
          <w:tcW w:w="5103" w:type="dxa"/>
          <w:hideMark/>
        </w:tcPr>
        <w:p w14:paraId="76CEF1B5" w14:textId="77777777" w:rsidR="00AB1017" w:rsidRPr="00663A37" w:rsidRDefault="00AB1017"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C0E1A91" w:rsidR="00AB1017" w:rsidRPr="00663A37" w:rsidRDefault="00AB1017" w:rsidP="00512F55">
          <w:pPr>
            <w:spacing w:after="120" w:line="240" w:lineRule="auto"/>
            <w:ind w:left="-70" w:right="68"/>
            <w:jc w:val="right"/>
            <w:rPr>
              <w:rFonts w:cs="Arial"/>
              <w:szCs w:val="24"/>
            </w:rPr>
          </w:pPr>
          <w:r w:rsidRPr="00782262">
            <w:rPr>
              <w:rFonts w:cs="Arial"/>
              <w:szCs w:val="24"/>
            </w:rPr>
            <w:t>Ayuntamiento de Toluca</w:t>
          </w:r>
        </w:p>
      </w:tc>
    </w:tr>
    <w:tr w:rsidR="00AB1017" w14:paraId="5C2B511D" w14:textId="77777777" w:rsidTr="70652167">
      <w:trPr>
        <w:trHeight w:val="342"/>
      </w:trPr>
      <w:tc>
        <w:tcPr>
          <w:tcW w:w="5103" w:type="dxa"/>
          <w:hideMark/>
        </w:tcPr>
        <w:p w14:paraId="03FEF68C" w14:textId="45E91CF4" w:rsidR="00AB1017" w:rsidRPr="00663A37" w:rsidRDefault="00AB1017"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AB1017" w:rsidRPr="00663A37" w:rsidRDefault="00AB1017"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AB1017" w:rsidRPr="00871A91" w:rsidRDefault="00172F0E">
    <w:pPr>
      <w:pStyle w:val="Encabezado"/>
      <w:rPr>
        <w:sz w:val="2"/>
      </w:rPr>
    </w:pPr>
    <w:r>
      <w:rPr>
        <w:noProof/>
        <w:lang w:val="es-MX" w:eastAsia="es-MX"/>
      </w:rPr>
      <w:pict w14:anchorId="61543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AB1017">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E451AE1"/>
    <w:multiLevelType w:val="hybridMultilevel"/>
    <w:tmpl w:val="DFD46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8413CDF"/>
    <w:multiLevelType w:val="hybridMultilevel"/>
    <w:tmpl w:val="ECB47C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7"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6"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F2F00BD"/>
    <w:multiLevelType w:val="hybridMultilevel"/>
    <w:tmpl w:val="E952AF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0"/>
  </w:num>
  <w:num w:numId="2">
    <w:abstractNumId w:val="46"/>
  </w:num>
  <w:num w:numId="3">
    <w:abstractNumId w:val="18"/>
  </w:num>
  <w:num w:numId="4">
    <w:abstractNumId w:val="58"/>
  </w:num>
  <w:num w:numId="5">
    <w:abstractNumId w:val="5"/>
  </w:num>
  <w:num w:numId="6">
    <w:abstractNumId w:val="49"/>
  </w:num>
  <w:num w:numId="7">
    <w:abstractNumId w:val="14"/>
  </w:num>
  <w:num w:numId="8">
    <w:abstractNumId w:val="3"/>
  </w:num>
  <w:num w:numId="9">
    <w:abstractNumId w:val="26"/>
  </w:num>
  <w:num w:numId="10">
    <w:abstractNumId w:val="27"/>
  </w:num>
  <w:num w:numId="11">
    <w:abstractNumId w:val="63"/>
  </w:num>
  <w:num w:numId="12">
    <w:abstractNumId w:val="56"/>
  </w:num>
  <w:num w:numId="13">
    <w:abstractNumId w:val="36"/>
  </w:num>
  <w:num w:numId="14">
    <w:abstractNumId w:val="45"/>
  </w:num>
  <w:num w:numId="15">
    <w:abstractNumId w:val="23"/>
  </w:num>
  <w:num w:numId="16">
    <w:abstractNumId w:val="35"/>
  </w:num>
  <w:num w:numId="17">
    <w:abstractNumId w:val="21"/>
  </w:num>
  <w:num w:numId="18">
    <w:abstractNumId w:val="8"/>
  </w:num>
  <w:num w:numId="19">
    <w:abstractNumId w:val="9"/>
  </w:num>
  <w:num w:numId="20">
    <w:abstractNumId w:val="19"/>
  </w:num>
  <w:num w:numId="21">
    <w:abstractNumId w:val="31"/>
  </w:num>
  <w:num w:numId="22">
    <w:abstractNumId w:val="2"/>
  </w:num>
  <w:num w:numId="23">
    <w:abstractNumId w:val="41"/>
  </w:num>
  <w:num w:numId="24">
    <w:abstractNumId w:val="48"/>
  </w:num>
  <w:num w:numId="25">
    <w:abstractNumId w:val="57"/>
  </w:num>
  <w:num w:numId="26">
    <w:abstractNumId w:val="25"/>
  </w:num>
  <w:num w:numId="27">
    <w:abstractNumId w:val="52"/>
  </w:num>
  <w:num w:numId="28">
    <w:abstractNumId w:val="33"/>
  </w:num>
  <w:num w:numId="29">
    <w:abstractNumId w:val="29"/>
  </w:num>
  <w:num w:numId="30">
    <w:abstractNumId w:val="22"/>
  </w:num>
  <w:num w:numId="31">
    <w:abstractNumId w:val="43"/>
  </w:num>
  <w:num w:numId="32">
    <w:abstractNumId w:val="47"/>
  </w:num>
  <w:num w:numId="33">
    <w:abstractNumId w:val="7"/>
  </w:num>
  <w:num w:numId="34">
    <w:abstractNumId w:val="60"/>
  </w:num>
  <w:num w:numId="35">
    <w:abstractNumId w:val="64"/>
  </w:num>
  <w:num w:numId="36">
    <w:abstractNumId w:val="55"/>
  </w:num>
  <w:num w:numId="37">
    <w:abstractNumId w:val="11"/>
  </w:num>
  <w:num w:numId="38">
    <w:abstractNumId w:val="53"/>
  </w:num>
  <w:num w:numId="39">
    <w:abstractNumId w:val="12"/>
  </w:num>
  <w:num w:numId="40">
    <w:abstractNumId w:val="51"/>
  </w:num>
  <w:num w:numId="41">
    <w:abstractNumId w:val="59"/>
  </w:num>
  <w:num w:numId="42">
    <w:abstractNumId w:val="0"/>
  </w:num>
  <w:num w:numId="43">
    <w:abstractNumId w:val="1"/>
  </w:num>
  <w:num w:numId="44">
    <w:abstractNumId w:val="34"/>
  </w:num>
  <w:num w:numId="45">
    <w:abstractNumId w:val="24"/>
  </w:num>
  <w:num w:numId="46">
    <w:abstractNumId w:val="61"/>
  </w:num>
  <w:num w:numId="47">
    <w:abstractNumId w:val="32"/>
  </w:num>
  <w:num w:numId="48">
    <w:abstractNumId w:val="65"/>
  </w:num>
  <w:num w:numId="49">
    <w:abstractNumId w:val="13"/>
  </w:num>
  <w:num w:numId="50">
    <w:abstractNumId w:val="44"/>
  </w:num>
  <w:num w:numId="51">
    <w:abstractNumId w:val="42"/>
  </w:num>
  <w:num w:numId="52">
    <w:abstractNumId w:val="6"/>
  </w:num>
  <w:num w:numId="53">
    <w:abstractNumId w:val="4"/>
  </w:num>
  <w:num w:numId="54">
    <w:abstractNumId w:val="39"/>
  </w:num>
  <w:num w:numId="55">
    <w:abstractNumId w:val="17"/>
  </w:num>
  <w:num w:numId="56">
    <w:abstractNumId w:val="20"/>
  </w:num>
  <w:num w:numId="57">
    <w:abstractNumId w:val="38"/>
  </w:num>
  <w:num w:numId="58">
    <w:abstractNumId w:val="30"/>
  </w:num>
  <w:num w:numId="59">
    <w:abstractNumId w:val="62"/>
  </w:num>
  <w:num w:numId="60">
    <w:abstractNumId w:val="37"/>
  </w:num>
  <w:num w:numId="61">
    <w:abstractNumId w:val="54"/>
  </w:num>
  <w:num w:numId="62">
    <w:abstractNumId w:val="28"/>
  </w:num>
  <w:num w:numId="63">
    <w:abstractNumId w:val="16"/>
  </w:num>
  <w:num w:numId="64">
    <w:abstractNumId w:val="66"/>
  </w:num>
  <w:num w:numId="65">
    <w:abstractNumId w:val="10"/>
  </w:num>
  <w:num w:numId="66">
    <w:abstractNumId w:val="50"/>
  </w:num>
  <w:num w:numId="67">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43A2"/>
    <w:rsid w:val="0003521B"/>
    <w:rsid w:val="0003577D"/>
    <w:rsid w:val="00035A30"/>
    <w:rsid w:val="0003692B"/>
    <w:rsid w:val="000369F1"/>
    <w:rsid w:val="00036D5F"/>
    <w:rsid w:val="00036D83"/>
    <w:rsid w:val="00036EFC"/>
    <w:rsid w:val="00037938"/>
    <w:rsid w:val="00040A10"/>
    <w:rsid w:val="00041421"/>
    <w:rsid w:val="00041670"/>
    <w:rsid w:val="000417B8"/>
    <w:rsid w:val="000417BE"/>
    <w:rsid w:val="00041AE7"/>
    <w:rsid w:val="00041DEA"/>
    <w:rsid w:val="00042641"/>
    <w:rsid w:val="000429D8"/>
    <w:rsid w:val="00042C8A"/>
    <w:rsid w:val="00042C95"/>
    <w:rsid w:val="00043780"/>
    <w:rsid w:val="000452AA"/>
    <w:rsid w:val="00045F86"/>
    <w:rsid w:val="00046717"/>
    <w:rsid w:val="00046A15"/>
    <w:rsid w:val="00047890"/>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6B3"/>
    <w:rsid w:val="000670E0"/>
    <w:rsid w:val="000676A2"/>
    <w:rsid w:val="0007107B"/>
    <w:rsid w:val="00071159"/>
    <w:rsid w:val="00072987"/>
    <w:rsid w:val="00072FF9"/>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39B"/>
    <w:rsid w:val="000A3F41"/>
    <w:rsid w:val="000A4202"/>
    <w:rsid w:val="000A445D"/>
    <w:rsid w:val="000A4AC7"/>
    <w:rsid w:val="000A4BDB"/>
    <w:rsid w:val="000A53E1"/>
    <w:rsid w:val="000A5EA1"/>
    <w:rsid w:val="000A6945"/>
    <w:rsid w:val="000A6B98"/>
    <w:rsid w:val="000A6F53"/>
    <w:rsid w:val="000A7138"/>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E2"/>
    <w:rsid w:val="000E7BF6"/>
    <w:rsid w:val="000F015F"/>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295F"/>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30A89"/>
    <w:rsid w:val="00130C18"/>
    <w:rsid w:val="00131C40"/>
    <w:rsid w:val="00131C6C"/>
    <w:rsid w:val="00131F2D"/>
    <w:rsid w:val="001321ED"/>
    <w:rsid w:val="00132DB8"/>
    <w:rsid w:val="00133F26"/>
    <w:rsid w:val="0013462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2E66"/>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2F0E"/>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5E32"/>
    <w:rsid w:val="001960AD"/>
    <w:rsid w:val="0019662A"/>
    <w:rsid w:val="001967BE"/>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436"/>
    <w:rsid w:val="00204AA1"/>
    <w:rsid w:val="00205357"/>
    <w:rsid w:val="00205455"/>
    <w:rsid w:val="00205FAC"/>
    <w:rsid w:val="00206139"/>
    <w:rsid w:val="00206600"/>
    <w:rsid w:val="00207028"/>
    <w:rsid w:val="0020763C"/>
    <w:rsid w:val="00207E11"/>
    <w:rsid w:val="0021063D"/>
    <w:rsid w:val="00210714"/>
    <w:rsid w:val="00211B32"/>
    <w:rsid w:val="0021327B"/>
    <w:rsid w:val="002132F2"/>
    <w:rsid w:val="002144CB"/>
    <w:rsid w:val="0021483D"/>
    <w:rsid w:val="00214B09"/>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1E96"/>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2443"/>
    <w:rsid w:val="0025252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323F"/>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1E8B"/>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0E39"/>
    <w:rsid w:val="00281167"/>
    <w:rsid w:val="002811E3"/>
    <w:rsid w:val="002813B2"/>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A05"/>
    <w:rsid w:val="002A51B8"/>
    <w:rsid w:val="002A564E"/>
    <w:rsid w:val="002A5A2E"/>
    <w:rsid w:val="002A5ADD"/>
    <w:rsid w:val="002A5FDF"/>
    <w:rsid w:val="002A613A"/>
    <w:rsid w:val="002A629C"/>
    <w:rsid w:val="002A6FCE"/>
    <w:rsid w:val="002A7172"/>
    <w:rsid w:val="002A7501"/>
    <w:rsid w:val="002A7511"/>
    <w:rsid w:val="002B042B"/>
    <w:rsid w:val="002B0EA1"/>
    <w:rsid w:val="002B1027"/>
    <w:rsid w:val="002B1DAC"/>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549"/>
    <w:rsid w:val="002B76A5"/>
    <w:rsid w:val="002B78B9"/>
    <w:rsid w:val="002B7DE3"/>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EB"/>
    <w:rsid w:val="002C7EC4"/>
    <w:rsid w:val="002D003A"/>
    <w:rsid w:val="002D00F1"/>
    <w:rsid w:val="002D15F2"/>
    <w:rsid w:val="002D166D"/>
    <w:rsid w:val="002D1E08"/>
    <w:rsid w:val="002D2070"/>
    <w:rsid w:val="002D2BE6"/>
    <w:rsid w:val="002D2F05"/>
    <w:rsid w:val="002D2F64"/>
    <w:rsid w:val="002D4953"/>
    <w:rsid w:val="002D552F"/>
    <w:rsid w:val="002D5CCE"/>
    <w:rsid w:val="002D5FC4"/>
    <w:rsid w:val="002D639B"/>
    <w:rsid w:val="002D6F19"/>
    <w:rsid w:val="002D785E"/>
    <w:rsid w:val="002D7B83"/>
    <w:rsid w:val="002E0588"/>
    <w:rsid w:val="002E0D37"/>
    <w:rsid w:val="002E0FE2"/>
    <w:rsid w:val="002E1484"/>
    <w:rsid w:val="002E1A7A"/>
    <w:rsid w:val="002E1B5E"/>
    <w:rsid w:val="002E2D8A"/>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368E"/>
    <w:rsid w:val="002F3AAF"/>
    <w:rsid w:val="002F3AD7"/>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36F"/>
    <w:rsid w:val="00305507"/>
    <w:rsid w:val="00305C48"/>
    <w:rsid w:val="00306313"/>
    <w:rsid w:val="00307E10"/>
    <w:rsid w:val="00310825"/>
    <w:rsid w:val="00310AF9"/>
    <w:rsid w:val="00310E80"/>
    <w:rsid w:val="003110C6"/>
    <w:rsid w:val="00311EF3"/>
    <w:rsid w:val="00312106"/>
    <w:rsid w:val="003126FB"/>
    <w:rsid w:val="0031280C"/>
    <w:rsid w:val="00313170"/>
    <w:rsid w:val="00313303"/>
    <w:rsid w:val="003136B3"/>
    <w:rsid w:val="00313B18"/>
    <w:rsid w:val="00314324"/>
    <w:rsid w:val="0031447F"/>
    <w:rsid w:val="00314835"/>
    <w:rsid w:val="003158F2"/>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91A"/>
    <w:rsid w:val="00334F21"/>
    <w:rsid w:val="00335A61"/>
    <w:rsid w:val="00336329"/>
    <w:rsid w:val="003365B8"/>
    <w:rsid w:val="0033687B"/>
    <w:rsid w:val="00337088"/>
    <w:rsid w:val="0033735A"/>
    <w:rsid w:val="00337638"/>
    <w:rsid w:val="00337FA1"/>
    <w:rsid w:val="003403A1"/>
    <w:rsid w:val="00340ADD"/>
    <w:rsid w:val="00340B0F"/>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2FA"/>
    <w:rsid w:val="003505B2"/>
    <w:rsid w:val="0035063B"/>
    <w:rsid w:val="00350B04"/>
    <w:rsid w:val="00350B8B"/>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9CE"/>
    <w:rsid w:val="00357A38"/>
    <w:rsid w:val="00360189"/>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0AC"/>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71F"/>
    <w:rsid w:val="0040187C"/>
    <w:rsid w:val="00402353"/>
    <w:rsid w:val="00402424"/>
    <w:rsid w:val="00402CBA"/>
    <w:rsid w:val="00403319"/>
    <w:rsid w:val="00404754"/>
    <w:rsid w:val="004049C4"/>
    <w:rsid w:val="00404E36"/>
    <w:rsid w:val="004054C3"/>
    <w:rsid w:val="00405A0E"/>
    <w:rsid w:val="00406793"/>
    <w:rsid w:val="0040791E"/>
    <w:rsid w:val="00410D87"/>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C63"/>
    <w:rsid w:val="004310BB"/>
    <w:rsid w:val="004325EA"/>
    <w:rsid w:val="004338C7"/>
    <w:rsid w:val="00433E65"/>
    <w:rsid w:val="00434C3F"/>
    <w:rsid w:val="00434EAD"/>
    <w:rsid w:val="0043556C"/>
    <w:rsid w:val="00435D81"/>
    <w:rsid w:val="00435E0E"/>
    <w:rsid w:val="00436A9A"/>
    <w:rsid w:val="00436BDA"/>
    <w:rsid w:val="00437085"/>
    <w:rsid w:val="004406B5"/>
    <w:rsid w:val="00441804"/>
    <w:rsid w:val="00441DAF"/>
    <w:rsid w:val="00442E5E"/>
    <w:rsid w:val="004431D5"/>
    <w:rsid w:val="004434CE"/>
    <w:rsid w:val="004436C5"/>
    <w:rsid w:val="00443911"/>
    <w:rsid w:val="00444413"/>
    <w:rsid w:val="00444DD3"/>
    <w:rsid w:val="00444E7F"/>
    <w:rsid w:val="00445514"/>
    <w:rsid w:val="00445853"/>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255"/>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D8E"/>
    <w:rsid w:val="00477958"/>
    <w:rsid w:val="00480212"/>
    <w:rsid w:val="004809EF"/>
    <w:rsid w:val="00480D99"/>
    <w:rsid w:val="00482C8B"/>
    <w:rsid w:val="00482D0F"/>
    <w:rsid w:val="0048337A"/>
    <w:rsid w:val="004835C8"/>
    <w:rsid w:val="0048384C"/>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A0597"/>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D64"/>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307E"/>
    <w:rsid w:val="004D3254"/>
    <w:rsid w:val="004D571F"/>
    <w:rsid w:val="004D6095"/>
    <w:rsid w:val="004D62C0"/>
    <w:rsid w:val="004D64C0"/>
    <w:rsid w:val="004D66AD"/>
    <w:rsid w:val="004D6995"/>
    <w:rsid w:val="004D69DF"/>
    <w:rsid w:val="004E07A1"/>
    <w:rsid w:val="004E0B36"/>
    <w:rsid w:val="004E1729"/>
    <w:rsid w:val="004E1B3C"/>
    <w:rsid w:val="004E1CA8"/>
    <w:rsid w:val="004E1EF4"/>
    <w:rsid w:val="004E2176"/>
    <w:rsid w:val="004E32AA"/>
    <w:rsid w:val="004E34A8"/>
    <w:rsid w:val="004E3526"/>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A2D"/>
    <w:rsid w:val="00500E29"/>
    <w:rsid w:val="00501811"/>
    <w:rsid w:val="00501B72"/>
    <w:rsid w:val="00501E92"/>
    <w:rsid w:val="005025C7"/>
    <w:rsid w:val="005039C0"/>
    <w:rsid w:val="00504B42"/>
    <w:rsid w:val="0050566F"/>
    <w:rsid w:val="0050677F"/>
    <w:rsid w:val="00506DB2"/>
    <w:rsid w:val="00507EFE"/>
    <w:rsid w:val="0051074E"/>
    <w:rsid w:val="00510856"/>
    <w:rsid w:val="00510870"/>
    <w:rsid w:val="00510E03"/>
    <w:rsid w:val="00511301"/>
    <w:rsid w:val="0051177C"/>
    <w:rsid w:val="00511AE4"/>
    <w:rsid w:val="0051262E"/>
    <w:rsid w:val="00512A53"/>
    <w:rsid w:val="00512D03"/>
    <w:rsid w:val="00512F55"/>
    <w:rsid w:val="005139DC"/>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0B53"/>
    <w:rsid w:val="00531016"/>
    <w:rsid w:val="00531CE5"/>
    <w:rsid w:val="00531F4E"/>
    <w:rsid w:val="00532218"/>
    <w:rsid w:val="00533849"/>
    <w:rsid w:val="00533D56"/>
    <w:rsid w:val="0053468B"/>
    <w:rsid w:val="0053588F"/>
    <w:rsid w:val="00535912"/>
    <w:rsid w:val="00536373"/>
    <w:rsid w:val="005366AD"/>
    <w:rsid w:val="005367E7"/>
    <w:rsid w:val="00537A4A"/>
    <w:rsid w:val="00537D86"/>
    <w:rsid w:val="00540005"/>
    <w:rsid w:val="00540525"/>
    <w:rsid w:val="00540926"/>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D9"/>
    <w:rsid w:val="00547F03"/>
    <w:rsid w:val="0055027F"/>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6948"/>
    <w:rsid w:val="0057697F"/>
    <w:rsid w:val="005807A8"/>
    <w:rsid w:val="00580D15"/>
    <w:rsid w:val="00581587"/>
    <w:rsid w:val="00581A2E"/>
    <w:rsid w:val="00582613"/>
    <w:rsid w:val="0058344E"/>
    <w:rsid w:val="00584C51"/>
    <w:rsid w:val="00584F97"/>
    <w:rsid w:val="00585165"/>
    <w:rsid w:val="005856B3"/>
    <w:rsid w:val="005859C2"/>
    <w:rsid w:val="00585AA7"/>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7E1"/>
    <w:rsid w:val="005A7E33"/>
    <w:rsid w:val="005B03D3"/>
    <w:rsid w:val="005B10CC"/>
    <w:rsid w:val="005B12BF"/>
    <w:rsid w:val="005B265D"/>
    <w:rsid w:val="005B2942"/>
    <w:rsid w:val="005B32C9"/>
    <w:rsid w:val="005B3971"/>
    <w:rsid w:val="005B4288"/>
    <w:rsid w:val="005B4CD9"/>
    <w:rsid w:val="005B4E14"/>
    <w:rsid w:val="005B52A0"/>
    <w:rsid w:val="005B538B"/>
    <w:rsid w:val="005B5434"/>
    <w:rsid w:val="005B5555"/>
    <w:rsid w:val="005B643F"/>
    <w:rsid w:val="005B6B8A"/>
    <w:rsid w:val="005B6FFD"/>
    <w:rsid w:val="005B7199"/>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75AF"/>
    <w:rsid w:val="005C7AFE"/>
    <w:rsid w:val="005D01B4"/>
    <w:rsid w:val="005D0786"/>
    <w:rsid w:val="005D10B3"/>
    <w:rsid w:val="005D158D"/>
    <w:rsid w:val="005D1DD0"/>
    <w:rsid w:val="005D1F37"/>
    <w:rsid w:val="005D1F9B"/>
    <w:rsid w:val="005D22BC"/>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3E13"/>
    <w:rsid w:val="005F4D3D"/>
    <w:rsid w:val="005F514E"/>
    <w:rsid w:val="005F5B10"/>
    <w:rsid w:val="005F60BC"/>
    <w:rsid w:val="005F6CAB"/>
    <w:rsid w:val="005F760D"/>
    <w:rsid w:val="0060049C"/>
    <w:rsid w:val="0060129A"/>
    <w:rsid w:val="0060161C"/>
    <w:rsid w:val="0060244C"/>
    <w:rsid w:val="006024B2"/>
    <w:rsid w:val="0060270D"/>
    <w:rsid w:val="00602B07"/>
    <w:rsid w:val="00603988"/>
    <w:rsid w:val="0060429C"/>
    <w:rsid w:val="006052E7"/>
    <w:rsid w:val="006055AB"/>
    <w:rsid w:val="0060623B"/>
    <w:rsid w:val="00606D46"/>
    <w:rsid w:val="00607E5A"/>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4BE"/>
    <w:rsid w:val="00624255"/>
    <w:rsid w:val="00624E9E"/>
    <w:rsid w:val="0062573B"/>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8ED"/>
    <w:rsid w:val="00647DF7"/>
    <w:rsid w:val="00650569"/>
    <w:rsid w:val="0065060E"/>
    <w:rsid w:val="006512F6"/>
    <w:rsid w:val="00651EDD"/>
    <w:rsid w:val="0065378D"/>
    <w:rsid w:val="006538FC"/>
    <w:rsid w:val="00653B0F"/>
    <w:rsid w:val="0065439E"/>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3E3"/>
    <w:rsid w:val="00663A37"/>
    <w:rsid w:val="00663B72"/>
    <w:rsid w:val="00664BB4"/>
    <w:rsid w:val="00665519"/>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5D6"/>
    <w:rsid w:val="00696A11"/>
    <w:rsid w:val="00696FD6"/>
    <w:rsid w:val="00697B3A"/>
    <w:rsid w:val="006A04A9"/>
    <w:rsid w:val="006A1D05"/>
    <w:rsid w:val="006A1D57"/>
    <w:rsid w:val="006A281D"/>
    <w:rsid w:val="006A2A82"/>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C0BEE"/>
    <w:rsid w:val="006C14E5"/>
    <w:rsid w:val="006C167A"/>
    <w:rsid w:val="006C1705"/>
    <w:rsid w:val="006C2214"/>
    <w:rsid w:val="006C2E7C"/>
    <w:rsid w:val="006C372D"/>
    <w:rsid w:val="006C3DEF"/>
    <w:rsid w:val="006C410C"/>
    <w:rsid w:val="006C41F6"/>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48"/>
    <w:rsid w:val="0070042A"/>
    <w:rsid w:val="00700C90"/>
    <w:rsid w:val="00701F34"/>
    <w:rsid w:val="007031A2"/>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27B"/>
    <w:rsid w:val="00734855"/>
    <w:rsid w:val="0073486B"/>
    <w:rsid w:val="00734FB5"/>
    <w:rsid w:val="00735577"/>
    <w:rsid w:val="00735D93"/>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1864"/>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254"/>
    <w:rsid w:val="0077047B"/>
    <w:rsid w:val="00770D24"/>
    <w:rsid w:val="00770DC3"/>
    <w:rsid w:val="007712C7"/>
    <w:rsid w:val="00771E23"/>
    <w:rsid w:val="00772113"/>
    <w:rsid w:val="00773219"/>
    <w:rsid w:val="0077455A"/>
    <w:rsid w:val="00774AC3"/>
    <w:rsid w:val="00775B5A"/>
    <w:rsid w:val="00776581"/>
    <w:rsid w:val="007767B6"/>
    <w:rsid w:val="00777372"/>
    <w:rsid w:val="00777417"/>
    <w:rsid w:val="00777527"/>
    <w:rsid w:val="007775CA"/>
    <w:rsid w:val="00777824"/>
    <w:rsid w:val="007802A6"/>
    <w:rsid w:val="00780712"/>
    <w:rsid w:val="00780E83"/>
    <w:rsid w:val="00781849"/>
    <w:rsid w:val="00781B6F"/>
    <w:rsid w:val="00782262"/>
    <w:rsid w:val="007822D6"/>
    <w:rsid w:val="0078246A"/>
    <w:rsid w:val="007826F1"/>
    <w:rsid w:val="00782890"/>
    <w:rsid w:val="007833CB"/>
    <w:rsid w:val="00783618"/>
    <w:rsid w:val="00783967"/>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095"/>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E61"/>
    <w:rsid w:val="008121E2"/>
    <w:rsid w:val="00812323"/>
    <w:rsid w:val="008126F0"/>
    <w:rsid w:val="008140CE"/>
    <w:rsid w:val="008144C2"/>
    <w:rsid w:val="008147D1"/>
    <w:rsid w:val="008148F3"/>
    <w:rsid w:val="008151D2"/>
    <w:rsid w:val="00815716"/>
    <w:rsid w:val="00816C5A"/>
    <w:rsid w:val="00817344"/>
    <w:rsid w:val="00817678"/>
    <w:rsid w:val="008200BC"/>
    <w:rsid w:val="0082049D"/>
    <w:rsid w:val="008217BC"/>
    <w:rsid w:val="00821D5E"/>
    <w:rsid w:val="008228F5"/>
    <w:rsid w:val="00822BA1"/>
    <w:rsid w:val="00822DED"/>
    <w:rsid w:val="00822F57"/>
    <w:rsid w:val="008233DB"/>
    <w:rsid w:val="00823D90"/>
    <w:rsid w:val="00824570"/>
    <w:rsid w:val="008248B2"/>
    <w:rsid w:val="00824E58"/>
    <w:rsid w:val="008264C9"/>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505FB"/>
    <w:rsid w:val="00851748"/>
    <w:rsid w:val="00852339"/>
    <w:rsid w:val="008523FA"/>
    <w:rsid w:val="008525F9"/>
    <w:rsid w:val="008526E3"/>
    <w:rsid w:val="008529E6"/>
    <w:rsid w:val="00852CDD"/>
    <w:rsid w:val="008542A4"/>
    <w:rsid w:val="0085493E"/>
    <w:rsid w:val="008549DA"/>
    <w:rsid w:val="00854A4F"/>
    <w:rsid w:val="00855E11"/>
    <w:rsid w:val="008562D6"/>
    <w:rsid w:val="0085719C"/>
    <w:rsid w:val="008575E1"/>
    <w:rsid w:val="0085760A"/>
    <w:rsid w:val="008576D9"/>
    <w:rsid w:val="00857F5B"/>
    <w:rsid w:val="0086045A"/>
    <w:rsid w:val="00860CE1"/>
    <w:rsid w:val="0086170A"/>
    <w:rsid w:val="00861D35"/>
    <w:rsid w:val="00862113"/>
    <w:rsid w:val="008623CC"/>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EE2"/>
    <w:rsid w:val="008D17CF"/>
    <w:rsid w:val="008D1C97"/>
    <w:rsid w:val="008D29AF"/>
    <w:rsid w:val="008D2D8F"/>
    <w:rsid w:val="008D32F5"/>
    <w:rsid w:val="008D3321"/>
    <w:rsid w:val="008D344B"/>
    <w:rsid w:val="008D346A"/>
    <w:rsid w:val="008D370B"/>
    <w:rsid w:val="008D41FC"/>
    <w:rsid w:val="008D448E"/>
    <w:rsid w:val="008D47C5"/>
    <w:rsid w:val="008D4DD5"/>
    <w:rsid w:val="008D4ED9"/>
    <w:rsid w:val="008D5835"/>
    <w:rsid w:val="008D596B"/>
    <w:rsid w:val="008D6229"/>
    <w:rsid w:val="008D65A5"/>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49F3"/>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6B"/>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5F9D"/>
    <w:rsid w:val="0096624D"/>
    <w:rsid w:val="00966A2E"/>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005"/>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52B"/>
    <w:rsid w:val="009A6BA8"/>
    <w:rsid w:val="009A6BB0"/>
    <w:rsid w:val="009A70F6"/>
    <w:rsid w:val="009A7364"/>
    <w:rsid w:val="009A7F00"/>
    <w:rsid w:val="009B0E3B"/>
    <w:rsid w:val="009B139E"/>
    <w:rsid w:val="009B1548"/>
    <w:rsid w:val="009B1B4B"/>
    <w:rsid w:val="009B321A"/>
    <w:rsid w:val="009B3A1D"/>
    <w:rsid w:val="009B3A56"/>
    <w:rsid w:val="009B41F0"/>
    <w:rsid w:val="009B44F0"/>
    <w:rsid w:val="009B4620"/>
    <w:rsid w:val="009B55BC"/>
    <w:rsid w:val="009B56A2"/>
    <w:rsid w:val="009B58D1"/>
    <w:rsid w:val="009B59F0"/>
    <w:rsid w:val="009B678B"/>
    <w:rsid w:val="009B69E9"/>
    <w:rsid w:val="009B74A6"/>
    <w:rsid w:val="009B7525"/>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4222"/>
    <w:rsid w:val="00A046BB"/>
    <w:rsid w:val="00A04C7E"/>
    <w:rsid w:val="00A0565F"/>
    <w:rsid w:val="00A0616C"/>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03E"/>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122"/>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9EA"/>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E29"/>
    <w:rsid w:val="00A53511"/>
    <w:rsid w:val="00A53B80"/>
    <w:rsid w:val="00A541FE"/>
    <w:rsid w:val="00A54A9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7032E"/>
    <w:rsid w:val="00A71944"/>
    <w:rsid w:val="00A71E89"/>
    <w:rsid w:val="00A72970"/>
    <w:rsid w:val="00A72B9F"/>
    <w:rsid w:val="00A73CF9"/>
    <w:rsid w:val="00A73EF9"/>
    <w:rsid w:val="00A74912"/>
    <w:rsid w:val="00A74A2B"/>
    <w:rsid w:val="00A75123"/>
    <w:rsid w:val="00A75324"/>
    <w:rsid w:val="00A756C6"/>
    <w:rsid w:val="00A76402"/>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01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65B"/>
    <w:rsid w:val="00AC2BD0"/>
    <w:rsid w:val="00AC2E4E"/>
    <w:rsid w:val="00AC2F14"/>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F0"/>
    <w:rsid w:val="00AF434D"/>
    <w:rsid w:val="00AF4EE4"/>
    <w:rsid w:val="00AF5B98"/>
    <w:rsid w:val="00AF6B94"/>
    <w:rsid w:val="00B0026B"/>
    <w:rsid w:val="00B0036F"/>
    <w:rsid w:val="00B00A28"/>
    <w:rsid w:val="00B00C8E"/>
    <w:rsid w:val="00B02674"/>
    <w:rsid w:val="00B02AA5"/>
    <w:rsid w:val="00B031A6"/>
    <w:rsid w:val="00B045EC"/>
    <w:rsid w:val="00B04DA9"/>
    <w:rsid w:val="00B04F50"/>
    <w:rsid w:val="00B05943"/>
    <w:rsid w:val="00B05AE4"/>
    <w:rsid w:val="00B05CA6"/>
    <w:rsid w:val="00B06871"/>
    <w:rsid w:val="00B07742"/>
    <w:rsid w:val="00B10224"/>
    <w:rsid w:val="00B1073D"/>
    <w:rsid w:val="00B1129B"/>
    <w:rsid w:val="00B11CD7"/>
    <w:rsid w:val="00B1205D"/>
    <w:rsid w:val="00B128F0"/>
    <w:rsid w:val="00B13307"/>
    <w:rsid w:val="00B1367C"/>
    <w:rsid w:val="00B13B7B"/>
    <w:rsid w:val="00B14EB3"/>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39B"/>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1399"/>
    <w:rsid w:val="00B71B92"/>
    <w:rsid w:val="00B720DB"/>
    <w:rsid w:val="00B72B77"/>
    <w:rsid w:val="00B75226"/>
    <w:rsid w:val="00B75683"/>
    <w:rsid w:val="00B75985"/>
    <w:rsid w:val="00B76050"/>
    <w:rsid w:val="00B7667D"/>
    <w:rsid w:val="00B76ACC"/>
    <w:rsid w:val="00B7707A"/>
    <w:rsid w:val="00B80785"/>
    <w:rsid w:val="00B80876"/>
    <w:rsid w:val="00B8179C"/>
    <w:rsid w:val="00B81D3B"/>
    <w:rsid w:val="00B822DB"/>
    <w:rsid w:val="00B82945"/>
    <w:rsid w:val="00B82D4E"/>
    <w:rsid w:val="00B84191"/>
    <w:rsid w:val="00B84945"/>
    <w:rsid w:val="00B84A8A"/>
    <w:rsid w:val="00B850A5"/>
    <w:rsid w:val="00B85ADB"/>
    <w:rsid w:val="00B865A6"/>
    <w:rsid w:val="00B87C64"/>
    <w:rsid w:val="00B87E47"/>
    <w:rsid w:val="00B90DB5"/>
    <w:rsid w:val="00B91A82"/>
    <w:rsid w:val="00B9279C"/>
    <w:rsid w:val="00B92BCE"/>
    <w:rsid w:val="00B934BE"/>
    <w:rsid w:val="00B93569"/>
    <w:rsid w:val="00B94B37"/>
    <w:rsid w:val="00B95178"/>
    <w:rsid w:val="00B9576A"/>
    <w:rsid w:val="00B962BB"/>
    <w:rsid w:val="00B967A7"/>
    <w:rsid w:val="00B96B0F"/>
    <w:rsid w:val="00BA088E"/>
    <w:rsid w:val="00BA0A2D"/>
    <w:rsid w:val="00BA0CA5"/>
    <w:rsid w:val="00BA152C"/>
    <w:rsid w:val="00BA21B2"/>
    <w:rsid w:val="00BA2861"/>
    <w:rsid w:val="00BA3873"/>
    <w:rsid w:val="00BA441E"/>
    <w:rsid w:val="00BA4622"/>
    <w:rsid w:val="00BA5315"/>
    <w:rsid w:val="00BA636A"/>
    <w:rsid w:val="00BA6707"/>
    <w:rsid w:val="00BA6AD6"/>
    <w:rsid w:val="00BA7C0B"/>
    <w:rsid w:val="00BA7C85"/>
    <w:rsid w:val="00BB0F85"/>
    <w:rsid w:val="00BB1004"/>
    <w:rsid w:val="00BB1497"/>
    <w:rsid w:val="00BB16D5"/>
    <w:rsid w:val="00BB1940"/>
    <w:rsid w:val="00BB2A3A"/>
    <w:rsid w:val="00BB2E4D"/>
    <w:rsid w:val="00BB31AF"/>
    <w:rsid w:val="00BB3445"/>
    <w:rsid w:val="00BB36D5"/>
    <w:rsid w:val="00BB404F"/>
    <w:rsid w:val="00BB467E"/>
    <w:rsid w:val="00BB5301"/>
    <w:rsid w:val="00BB57E8"/>
    <w:rsid w:val="00BB58C8"/>
    <w:rsid w:val="00BB5B62"/>
    <w:rsid w:val="00BB63AD"/>
    <w:rsid w:val="00BB7349"/>
    <w:rsid w:val="00BB7502"/>
    <w:rsid w:val="00BB778D"/>
    <w:rsid w:val="00BB7DF0"/>
    <w:rsid w:val="00BB7F90"/>
    <w:rsid w:val="00BC0196"/>
    <w:rsid w:val="00BC0367"/>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710"/>
    <w:rsid w:val="00BD6C6F"/>
    <w:rsid w:val="00BD6DCD"/>
    <w:rsid w:val="00BD6EBE"/>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5945"/>
    <w:rsid w:val="00BF5C55"/>
    <w:rsid w:val="00BF5D6D"/>
    <w:rsid w:val="00BF5FB6"/>
    <w:rsid w:val="00BF6106"/>
    <w:rsid w:val="00BF6362"/>
    <w:rsid w:val="00BF7293"/>
    <w:rsid w:val="00BF798D"/>
    <w:rsid w:val="00BF7B4F"/>
    <w:rsid w:val="00C005BD"/>
    <w:rsid w:val="00C0066B"/>
    <w:rsid w:val="00C006C6"/>
    <w:rsid w:val="00C009C1"/>
    <w:rsid w:val="00C01AB5"/>
    <w:rsid w:val="00C01B8A"/>
    <w:rsid w:val="00C01E0C"/>
    <w:rsid w:val="00C01FED"/>
    <w:rsid w:val="00C02210"/>
    <w:rsid w:val="00C02596"/>
    <w:rsid w:val="00C027B1"/>
    <w:rsid w:val="00C03666"/>
    <w:rsid w:val="00C03B6A"/>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91E"/>
    <w:rsid w:val="00C134F6"/>
    <w:rsid w:val="00C138AA"/>
    <w:rsid w:val="00C13C38"/>
    <w:rsid w:val="00C1424F"/>
    <w:rsid w:val="00C14933"/>
    <w:rsid w:val="00C14A2C"/>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3B45"/>
    <w:rsid w:val="00C346DD"/>
    <w:rsid w:val="00C34DB4"/>
    <w:rsid w:val="00C35A64"/>
    <w:rsid w:val="00C35E7C"/>
    <w:rsid w:val="00C36835"/>
    <w:rsid w:val="00C36883"/>
    <w:rsid w:val="00C36929"/>
    <w:rsid w:val="00C36B0D"/>
    <w:rsid w:val="00C3744C"/>
    <w:rsid w:val="00C37839"/>
    <w:rsid w:val="00C37C4D"/>
    <w:rsid w:val="00C37EA0"/>
    <w:rsid w:val="00C40335"/>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3C0D"/>
    <w:rsid w:val="00C54558"/>
    <w:rsid w:val="00C5499F"/>
    <w:rsid w:val="00C5522A"/>
    <w:rsid w:val="00C55359"/>
    <w:rsid w:val="00C558A4"/>
    <w:rsid w:val="00C559CD"/>
    <w:rsid w:val="00C57E04"/>
    <w:rsid w:val="00C6057A"/>
    <w:rsid w:val="00C6060E"/>
    <w:rsid w:val="00C606E2"/>
    <w:rsid w:val="00C60938"/>
    <w:rsid w:val="00C61818"/>
    <w:rsid w:val="00C61B06"/>
    <w:rsid w:val="00C61FEC"/>
    <w:rsid w:val="00C62B4F"/>
    <w:rsid w:val="00C62DE0"/>
    <w:rsid w:val="00C62FC2"/>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37B"/>
    <w:rsid w:val="00C90FC8"/>
    <w:rsid w:val="00C91075"/>
    <w:rsid w:val="00C910BF"/>
    <w:rsid w:val="00C929B3"/>
    <w:rsid w:val="00C92A0D"/>
    <w:rsid w:val="00C93523"/>
    <w:rsid w:val="00C93568"/>
    <w:rsid w:val="00C9443B"/>
    <w:rsid w:val="00C9490F"/>
    <w:rsid w:val="00C95951"/>
    <w:rsid w:val="00C9629D"/>
    <w:rsid w:val="00C96830"/>
    <w:rsid w:val="00C96C19"/>
    <w:rsid w:val="00C96E34"/>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1D6"/>
    <w:rsid w:val="00CA39B7"/>
    <w:rsid w:val="00CA43EA"/>
    <w:rsid w:val="00CA45E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3ABD"/>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1CAA"/>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466"/>
    <w:rsid w:val="00CD39A2"/>
    <w:rsid w:val="00CD3C29"/>
    <w:rsid w:val="00CD4B87"/>
    <w:rsid w:val="00CD4D4B"/>
    <w:rsid w:val="00CD55DB"/>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4C4"/>
    <w:rsid w:val="00CE6A84"/>
    <w:rsid w:val="00CE6C8C"/>
    <w:rsid w:val="00CE7027"/>
    <w:rsid w:val="00CE7BA9"/>
    <w:rsid w:val="00CE7CC1"/>
    <w:rsid w:val="00CE7E37"/>
    <w:rsid w:val="00CF0972"/>
    <w:rsid w:val="00CF0AE0"/>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1DCF"/>
    <w:rsid w:val="00D01E03"/>
    <w:rsid w:val="00D01F15"/>
    <w:rsid w:val="00D025F0"/>
    <w:rsid w:val="00D02606"/>
    <w:rsid w:val="00D02A6F"/>
    <w:rsid w:val="00D03CEE"/>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511F"/>
    <w:rsid w:val="00D35B8D"/>
    <w:rsid w:val="00D360DF"/>
    <w:rsid w:val="00D36813"/>
    <w:rsid w:val="00D36BE0"/>
    <w:rsid w:val="00D36DB6"/>
    <w:rsid w:val="00D37258"/>
    <w:rsid w:val="00D3752B"/>
    <w:rsid w:val="00D37CE0"/>
    <w:rsid w:val="00D40470"/>
    <w:rsid w:val="00D41147"/>
    <w:rsid w:val="00D417E4"/>
    <w:rsid w:val="00D41F91"/>
    <w:rsid w:val="00D43190"/>
    <w:rsid w:val="00D4457F"/>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5A7"/>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A7A53"/>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6744"/>
    <w:rsid w:val="00DC098F"/>
    <w:rsid w:val="00DC0C9F"/>
    <w:rsid w:val="00DC1727"/>
    <w:rsid w:val="00DC1843"/>
    <w:rsid w:val="00DC3006"/>
    <w:rsid w:val="00DC30E4"/>
    <w:rsid w:val="00DC33BA"/>
    <w:rsid w:val="00DC4064"/>
    <w:rsid w:val="00DC448E"/>
    <w:rsid w:val="00DC4957"/>
    <w:rsid w:val="00DC4959"/>
    <w:rsid w:val="00DC4AE2"/>
    <w:rsid w:val="00DC5704"/>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658C"/>
    <w:rsid w:val="00DE6816"/>
    <w:rsid w:val="00DE6BED"/>
    <w:rsid w:val="00DE7558"/>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214"/>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6A9"/>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47EC3"/>
    <w:rsid w:val="00E502D6"/>
    <w:rsid w:val="00E504B0"/>
    <w:rsid w:val="00E507BE"/>
    <w:rsid w:val="00E50A06"/>
    <w:rsid w:val="00E510EB"/>
    <w:rsid w:val="00E51559"/>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02E3"/>
    <w:rsid w:val="00E719E2"/>
    <w:rsid w:val="00E71E0E"/>
    <w:rsid w:val="00E72497"/>
    <w:rsid w:val="00E7295E"/>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55FA"/>
    <w:rsid w:val="00E956FD"/>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CF7"/>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38F1"/>
    <w:rsid w:val="00EC6033"/>
    <w:rsid w:val="00EC61F5"/>
    <w:rsid w:val="00EC67DE"/>
    <w:rsid w:val="00EC6ABB"/>
    <w:rsid w:val="00EC6BF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A5A"/>
    <w:rsid w:val="00EF1DEA"/>
    <w:rsid w:val="00EF20D2"/>
    <w:rsid w:val="00EF2B23"/>
    <w:rsid w:val="00EF3A01"/>
    <w:rsid w:val="00EF4D0F"/>
    <w:rsid w:val="00EF4D9C"/>
    <w:rsid w:val="00EF52F1"/>
    <w:rsid w:val="00EF5FF8"/>
    <w:rsid w:val="00EF6F58"/>
    <w:rsid w:val="00EF6FA1"/>
    <w:rsid w:val="00EF71A3"/>
    <w:rsid w:val="00EF7935"/>
    <w:rsid w:val="00EF7C5F"/>
    <w:rsid w:val="00F01526"/>
    <w:rsid w:val="00F023A7"/>
    <w:rsid w:val="00F02EDC"/>
    <w:rsid w:val="00F039E2"/>
    <w:rsid w:val="00F041B8"/>
    <w:rsid w:val="00F04A95"/>
    <w:rsid w:val="00F058D3"/>
    <w:rsid w:val="00F05A50"/>
    <w:rsid w:val="00F05BF0"/>
    <w:rsid w:val="00F05E89"/>
    <w:rsid w:val="00F05F02"/>
    <w:rsid w:val="00F10169"/>
    <w:rsid w:val="00F1092B"/>
    <w:rsid w:val="00F10A38"/>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EAB"/>
    <w:rsid w:val="00F522E8"/>
    <w:rsid w:val="00F53747"/>
    <w:rsid w:val="00F53B5B"/>
    <w:rsid w:val="00F53EC1"/>
    <w:rsid w:val="00F541F1"/>
    <w:rsid w:val="00F54862"/>
    <w:rsid w:val="00F54AF1"/>
    <w:rsid w:val="00F54E23"/>
    <w:rsid w:val="00F551D6"/>
    <w:rsid w:val="00F55B3B"/>
    <w:rsid w:val="00F55CBC"/>
    <w:rsid w:val="00F55DCB"/>
    <w:rsid w:val="00F56426"/>
    <w:rsid w:val="00F5643F"/>
    <w:rsid w:val="00F56CB4"/>
    <w:rsid w:val="00F6040B"/>
    <w:rsid w:val="00F6068A"/>
    <w:rsid w:val="00F62332"/>
    <w:rsid w:val="00F62371"/>
    <w:rsid w:val="00F62375"/>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3053"/>
    <w:rsid w:val="00F73B22"/>
    <w:rsid w:val="00F73E96"/>
    <w:rsid w:val="00F7474D"/>
    <w:rsid w:val="00F74A3D"/>
    <w:rsid w:val="00F74A8F"/>
    <w:rsid w:val="00F74DBA"/>
    <w:rsid w:val="00F74FB9"/>
    <w:rsid w:val="00F764E0"/>
    <w:rsid w:val="00F76EF6"/>
    <w:rsid w:val="00F775A3"/>
    <w:rsid w:val="00F7795D"/>
    <w:rsid w:val="00F77D38"/>
    <w:rsid w:val="00F77F4D"/>
    <w:rsid w:val="00F809C6"/>
    <w:rsid w:val="00F81408"/>
    <w:rsid w:val="00F815F4"/>
    <w:rsid w:val="00F832E4"/>
    <w:rsid w:val="00F839CD"/>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091"/>
    <w:rsid w:val="00FA7A6F"/>
    <w:rsid w:val="00FA7F35"/>
    <w:rsid w:val="00FB074A"/>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752B"/>
    <w:rsid w:val="0EE28084"/>
    <w:rsid w:val="207EEFFE"/>
    <w:rsid w:val="23740614"/>
    <w:rsid w:val="44E9108F"/>
    <w:rsid w:val="5C35490E"/>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55189532">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0750363">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63280807">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02851299">
      <w:bodyDiv w:val="1"/>
      <w:marLeft w:val="0"/>
      <w:marRight w:val="0"/>
      <w:marTop w:val="0"/>
      <w:marBottom w:val="0"/>
      <w:divBdr>
        <w:top w:val="none" w:sz="0" w:space="0" w:color="auto"/>
        <w:left w:val="none" w:sz="0" w:space="0" w:color="auto"/>
        <w:bottom w:val="none" w:sz="0" w:space="0" w:color="auto"/>
        <w:right w:val="none" w:sz="0" w:space="0" w:color="auto"/>
      </w:divBdr>
    </w:div>
    <w:div w:id="1091975825">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29153184">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7154591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06049461">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75482930">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16226-9CCA-44C1-8D7D-B1E5513E7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6740</Words>
  <Characters>37074</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2026-06-05T16:26:00Z</cp:lastPrinted>
  <dcterms:created xsi:type="dcterms:W3CDTF">2026-05-25T21:22:00Z</dcterms:created>
  <dcterms:modified xsi:type="dcterms:W3CDTF">2026-06-09T18:02:00Z</dcterms:modified>
</cp:coreProperties>
</file>