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126" w:rsidRDefault="00E8755A">
      <w:pPr>
        <w:spacing w:line="360" w:lineRule="auto"/>
        <w:ind w:right="-1131"/>
        <w:jc w:val="both"/>
        <w:rPr>
          <w:rFonts w:ascii="Palatino Linotype" w:eastAsia="Palatino Linotype" w:hAnsi="Palatino Linotype" w:cs="Palatino Linotype"/>
          <w:b/>
          <w:bCs/>
        </w:rPr>
      </w:pPr>
      <w:r>
        <w:rPr>
          <w:rFonts w:ascii="Palatino Linotype" w:eastAsia="Palatino Linotype" w:hAnsi="Palatino Linotype" w:cs="Palatino Linotype"/>
        </w:rPr>
        <w:t xml:space="preserve">Resolución del Pleno del Instituto de Transparencia, Acceso a la Información Pública y Protección de Datos Personales del Estado de México y Municipios, con domicilio en Metepec, Estado de México; de fecha </w:t>
      </w:r>
      <w:r>
        <w:rPr>
          <w:rFonts w:ascii="Palatino Linotype" w:eastAsia="Palatino Linotype" w:hAnsi="Palatino Linotype" w:cs="Palatino Linotype"/>
          <w:b/>
          <w:bCs/>
        </w:rPr>
        <w:t>tres (03) de junio de dos mil veintiséis.</w:t>
      </w:r>
    </w:p>
    <w:p w:rsidR="00691126" w:rsidRDefault="00691126">
      <w:pPr>
        <w:spacing w:line="360" w:lineRule="auto"/>
        <w:ind w:right="-1131"/>
        <w:jc w:val="both"/>
        <w:rPr>
          <w:rFonts w:ascii="Palatino Linotype" w:eastAsia="Palatino Linotype" w:hAnsi="Palatino Linotype" w:cs="Palatino Linotype"/>
          <w:b/>
          <w:bCs/>
        </w:rPr>
      </w:pPr>
    </w:p>
    <w:p w:rsidR="00691126" w:rsidRDefault="00E8755A">
      <w:pPr>
        <w:spacing w:line="360" w:lineRule="auto"/>
        <w:ind w:right="-1131"/>
        <w:jc w:val="both"/>
        <w:rPr>
          <w:rFonts w:ascii="Palatino Linotype" w:eastAsia="Palatino Linotype" w:hAnsi="Palatino Linotype" w:cs="Palatino Linotype"/>
        </w:rPr>
      </w:pPr>
      <w:bookmarkStart w:id="0" w:name="_heading=h.gjdgxs" w:colFirst="0" w:colLast="0"/>
      <w:bookmarkEnd w:id="0"/>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Pr>
          <w:rFonts w:ascii="Palatino Linotype" w:eastAsia="Palatino Linotype" w:hAnsi="Palatino Linotype" w:cs="Palatino Linotype"/>
          <w:b/>
          <w:bCs/>
        </w:rPr>
        <w:t>10373/INFOEM/IP/RR/202</w:t>
      </w:r>
      <w:r w:rsidR="00D25A94">
        <w:rPr>
          <w:rFonts w:ascii="Palatino Linotype" w:eastAsia="Palatino Linotype" w:hAnsi="Palatino Linotype" w:cs="Palatino Linotype"/>
          <w:b/>
          <w:bCs/>
        </w:rPr>
        <w:t>5</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6602BD">
        <w:rPr>
          <w:rFonts w:ascii="Palatino Linotype" w:eastAsia="Palatino Linotype" w:hAnsi="Palatino Linotype" w:cs="Palatino Linotype"/>
          <w:b/>
          <w:bCs/>
        </w:rPr>
        <w:t>XXXX</w:t>
      </w:r>
      <w:r>
        <w:rPr>
          <w:rFonts w:ascii="Palatino Linotype" w:eastAsia="Palatino Linotype" w:hAnsi="Palatino Linotype" w:cs="Palatino Linotype"/>
        </w:rPr>
        <w:t>, a través del</w:t>
      </w:r>
      <w:r>
        <w:rPr>
          <w:rFonts w:ascii="Palatino Linotype" w:eastAsia="Palatino Linotype" w:hAnsi="Palatino Linotype" w:cs="Palatino Linotype"/>
          <w:b/>
          <w:bCs/>
        </w:rPr>
        <w:t xml:space="preserve"> Sistema de Acceso a la Información Mexiquense (SAIMEX),</w:t>
      </w:r>
      <w:r>
        <w:rPr>
          <w:rFonts w:ascii="Palatino Linotype" w:eastAsia="Palatino Linotype" w:hAnsi="Palatino Linotype" w:cs="Palatino Linotype"/>
        </w:rPr>
        <w:t xml:space="preserve"> a quien en lo sucesivo se identificará como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 xml:space="preserve">Ayuntamiento de Almoloya de Juárez, </w:t>
      </w:r>
      <w:r>
        <w:rPr>
          <w:rFonts w:ascii="Palatino Linotype" w:eastAsia="Palatino Linotype" w:hAnsi="Palatino Linotype" w:cs="Palatino Linotype"/>
        </w:rPr>
        <w:t>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por lo que se procede a dictar la presente resolución, con base en los siguientes: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spacing w:line="360" w:lineRule="auto"/>
        <w:ind w:right="-1131"/>
        <w:jc w:val="center"/>
        <w:rPr>
          <w:rFonts w:ascii="Palatino Linotype" w:eastAsia="Palatino Linotype" w:hAnsi="Palatino Linotype" w:cs="Palatino Linotype"/>
          <w:b/>
          <w:bCs/>
        </w:rPr>
      </w:pPr>
      <w:r>
        <w:rPr>
          <w:rFonts w:ascii="Palatino Linotype" w:eastAsia="Palatino Linotype" w:hAnsi="Palatino Linotype" w:cs="Palatino Linotype"/>
          <w:b/>
          <w:bCs/>
        </w:rPr>
        <w:t>A N T E C E D E N T E S</w:t>
      </w:r>
    </w:p>
    <w:p w:rsidR="00691126" w:rsidRDefault="00691126">
      <w:pPr>
        <w:spacing w:line="360" w:lineRule="auto"/>
        <w:ind w:right="-1131"/>
        <w:rPr>
          <w:rFonts w:ascii="Palatino Linotype" w:eastAsia="Palatino Linotype" w:hAnsi="Palatino Linotype" w:cs="Palatino Linotype"/>
        </w:rPr>
      </w:pPr>
    </w:p>
    <w:p w:rsidR="00691126" w:rsidRDefault="00E8755A">
      <w:pPr>
        <w:numPr>
          <w:ilvl w:val="0"/>
          <w:numId w:val="4"/>
        </w:numPr>
        <w:spacing w:line="360" w:lineRule="auto"/>
        <w:ind w:left="0" w:right="-1131" w:firstLine="0"/>
        <w:jc w:val="both"/>
      </w:pPr>
      <w:r>
        <w:rPr>
          <w:rFonts w:ascii="Palatino Linotype" w:eastAsia="Palatino Linotype" w:hAnsi="Palatino Linotype" w:cs="Palatino Linotype"/>
        </w:rPr>
        <w:t xml:space="preserve">El fecha </w:t>
      </w:r>
      <w:r>
        <w:rPr>
          <w:rFonts w:ascii="Palatino Linotype" w:eastAsia="Palatino Linotype" w:hAnsi="Palatino Linotype" w:cs="Palatino Linotype"/>
          <w:b/>
          <w:bCs/>
        </w:rPr>
        <w:t>dieciocho de julio de dos mil veinticinco</w:t>
      </w:r>
      <w:r>
        <w:rPr>
          <w:rFonts w:ascii="Palatino Linotype" w:eastAsia="Palatino Linotype" w:hAnsi="Palatino Linotype" w:cs="Palatino Linotype"/>
        </w:rPr>
        <w:t xml:space="preserv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ante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vía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presentó la solicitud de información registrada con el folio </w:t>
      </w:r>
      <w:r>
        <w:rPr>
          <w:rFonts w:ascii="Palatino Linotype" w:eastAsia="Palatino Linotype" w:hAnsi="Palatino Linotype" w:cs="Palatino Linotype"/>
          <w:b/>
          <w:bCs/>
        </w:rPr>
        <w:t xml:space="preserve">00357/ALMOJU/IP/2025, </w:t>
      </w:r>
      <w:r>
        <w:rPr>
          <w:rFonts w:ascii="Palatino Linotype" w:eastAsia="Palatino Linotype" w:hAnsi="Palatino Linotype" w:cs="Palatino Linotype"/>
        </w:rPr>
        <w:t>en la que se solicitó lo siguiente:</w:t>
      </w:r>
    </w:p>
    <w:p w:rsidR="00691126" w:rsidRDefault="00691126">
      <w:pPr>
        <w:ind w:left="1134" w:right="-1131"/>
        <w:jc w:val="both"/>
        <w:rPr>
          <w:rFonts w:ascii="Palatino Linotype" w:eastAsia="Palatino Linotype" w:hAnsi="Palatino Linotype" w:cs="Palatino Linotype"/>
          <w:i/>
          <w:iCs/>
        </w:rPr>
      </w:pPr>
    </w:p>
    <w:p w:rsidR="00691126" w:rsidRDefault="00E8755A" w:rsidP="00D25A94">
      <w:pPr>
        <w:ind w:left="1134" w:right="-142"/>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“Se solicita indique monto neto pagado por rubro de: Arrendamiento de inmuebles que ocupa el Ayuntamiento de Almoloya de Juárez, arrendamiento de vehículos utilitarios, patrullas, ambulancias y camiones recolectores de basura, arrendamiento de computadoras y fotocopiadoras, arrendamiento de lonas, carpas y mobiliario, contratación de grupos musicales y juegos mecánicos del 1 de enero 2025 a la fecha de resolución donde debe especificar los montos netos por rubro y por mes pagados a cada uno de los proveedores de éste Ayuntamiento. No se requiere nombre de empresa proveedora, sólo montos por rubro.”(Sic).</w:t>
      </w:r>
    </w:p>
    <w:p w:rsidR="006602BD" w:rsidRDefault="006602BD" w:rsidP="00D25A94">
      <w:pPr>
        <w:ind w:left="1134" w:right="-142"/>
        <w:jc w:val="both"/>
        <w:rPr>
          <w:rFonts w:ascii="Palatino Linotype" w:eastAsia="Palatino Linotype" w:hAnsi="Palatino Linotype" w:cs="Palatino Linotype"/>
          <w:i/>
          <w:iCs/>
        </w:rPr>
      </w:pPr>
    </w:p>
    <w:p w:rsidR="00691126" w:rsidRDefault="00E8755A">
      <w:pPr>
        <w:numPr>
          <w:ilvl w:val="0"/>
          <w:numId w:val="2"/>
        </w:numPr>
        <w:spacing w:line="360" w:lineRule="auto"/>
        <w:ind w:left="709" w:right="-1131"/>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Modalidad de entrega</w:t>
      </w:r>
      <w:r>
        <w:rPr>
          <w:rFonts w:ascii="Palatino Linotype" w:eastAsia="Palatino Linotype" w:hAnsi="Palatino Linotype" w:cs="Palatino Linotype"/>
        </w:rPr>
        <w:t xml:space="preserve">: a través del </w:t>
      </w:r>
      <w:r>
        <w:rPr>
          <w:rFonts w:ascii="Palatino Linotype" w:eastAsia="Palatino Linotype" w:hAnsi="Palatino Linotype" w:cs="Palatino Linotype"/>
          <w:b/>
          <w:bCs/>
        </w:rPr>
        <w:t>SAIMEX.</w:t>
      </w:r>
    </w:p>
    <w:p w:rsidR="00691126" w:rsidRDefault="00691126">
      <w:pPr>
        <w:ind w:right="-1131"/>
        <w:jc w:val="both"/>
        <w:rPr>
          <w:rFonts w:ascii="Palatino Linotype" w:eastAsia="Palatino Linotype" w:hAnsi="Palatino Linotype" w:cs="Palatino Linotype"/>
          <w:i/>
          <w:iCs/>
        </w:rPr>
      </w:pPr>
    </w:p>
    <w:p w:rsidR="00691126" w:rsidRDefault="00E8755A">
      <w:pPr>
        <w:numPr>
          <w:ilvl w:val="0"/>
          <w:numId w:val="3"/>
        </w:numPr>
        <w:pBdr>
          <w:top w:val="nil"/>
          <w:left w:val="nil"/>
          <w:bottom w:val="nil"/>
          <w:right w:val="nil"/>
          <w:between w:val="nil"/>
        </w:pBdr>
        <w:spacing w:before="240"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las constancias que obran en el expediente electrónico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se advierte que en fecha </w:t>
      </w:r>
      <w:r>
        <w:rPr>
          <w:rFonts w:ascii="Palatino Linotype" w:eastAsia="Palatino Linotype" w:hAnsi="Palatino Linotype" w:cs="Palatino Linotype"/>
          <w:b/>
          <w:bCs/>
          <w:color w:val="000000"/>
        </w:rPr>
        <w:t xml:space="preserve">veintidós de agosto de dos mil veinticinco , El Sujeto Obligado </w:t>
      </w:r>
      <w:r>
        <w:rPr>
          <w:rFonts w:ascii="Palatino Linotype" w:eastAsia="Palatino Linotype" w:hAnsi="Palatino Linotype" w:cs="Palatino Linotype"/>
          <w:color w:val="000000"/>
        </w:rPr>
        <w:t xml:space="preserve">solicitó prórroga de siete días para recabar la información solicitada y dar cumplimiento a lo requerido por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advirtiendo que dicha prórroga</w:t>
      </w:r>
      <w:r>
        <w:rPr>
          <w:rFonts w:ascii="Palatino Linotype" w:eastAsia="Palatino Linotype" w:hAnsi="Palatino Linotype" w:cs="Palatino Linotype"/>
          <w:b/>
          <w:bCs/>
          <w:color w:val="000000"/>
        </w:rPr>
        <w:t xml:space="preserve"> NO</w:t>
      </w:r>
      <w:r>
        <w:rPr>
          <w:rFonts w:ascii="Palatino Linotype" w:eastAsia="Palatino Linotype" w:hAnsi="Palatino Linotype" w:cs="Palatino Linotype"/>
          <w:color w:val="000000"/>
        </w:rPr>
        <w:t xml:space="preserve"> cumple con lo establecido en el artículo 49, fracción II, así como en el artículo 163 segundo párrafo, de la Ley de Transparencia y Acceso a la Información Pública del Estado de México y Municipios.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3"/>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dos de septiembre  de dos mil veinticinco</w:t>
      </w:r>
      <w:r>
        <w:rPr>
          <w:rFonts w:ascii="Palatino Linotype" w:eastAsia="Palatino Linotype" w:hAnsi="Palatino Linotype" w:cs="Palatino Linotype"/>
        </w:rPr>
        <w:t xml:space="preserv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dio </w:t>
      </w:r>
      <w:r>
        <w:rPr>
          <w:rFonts w:ascii="Palatino Linotype" w:eastAsia="Palatino Linotype" w:hAnsi="Palatino Linotype" w:cs="Palatino Linotype"/>
          <w:b/>
          <w:bCs/>
        </w:rPr>
        <w:t>respuesta</w:t>
      </w:r>
      <w:r>
        <w:rPr>
          <w:rFonts w:ascii="Palatino Linotype" w:eastAsia="Palatino Linotype" w:hAnsi="Palatino Linotype" w:cs="Palatino Linotype"/>
        </w:rPr>
        <w:t xml:space="preserve"> a la solicitud de información adjuntando archivo electrónico del que se desglosa su contenido grosso modo:</w:t>
      </w:r>
    </w:p>
    <w:p w:rsidR="00691126" w:rsidRDefault="00E8755A">
      <w:pPr>
        <w:spacing w:line="360" w:lineRule="auto"/>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Oficio Atención a Solicitud 00357-25.pdf: Donde tesorera municipal refiere cuatro ligas en formato cerrado para la consulta de la información requerida.</w:t>
      </w:r>
    </w:p>
    <w:p w:rsidR="00691126" w:rsidRDefault="00E8755A">
      <w:pPr>
        <w:spacing w:line="360" w:lineRule="auto"/>
        <w:ind w:right="-113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noProof/>
          <w:color w:val="333333"/>
          <w:lang w:val="es-MX"/>
        </w:rPr>
        <w:drawing>
          <wp:inline distT="0" distB="0" distL="0" distR="0">
            <wp:extent cx="3751270" cy="105508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751270" cy="1055085"/>
                    </a:xfrm>
                    <a:prstGeom prst="rect">
                      <a:avLst/>
                    </a:prstGeom>
                    <a:ln/>
                  </pic:spPr>
                </pic:pic>
              </a:graphicData>
            </a:graphic>
          </wp:inline>
        </w:drawing>
      </w:r>
    </w:p>
    <w:p w:rsidR="00691126" w:rsidRDefault="00E8755A">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i/>
          <w:iCs/>
          <w:color w:val="333333"/>
        </w:rPr>
        <w:br/>
      </w:r>
      <w:r>
        <w:rPr>
          <w:rFonts w:ascii="Palatino Linotype" w:eastAsia="Palatino Linotype" w:hAnsi="Palatino Linotype" w:cs="Palatino Linotype"/>
          <w:b/>
          <w:bCs/>
        </w:rPr>
        <w:t xml:space="preserve">4. </w:t>
      </w:r>
      <w:r>
        <w:rPr>
          <w:rFonts w:ascii="Palatino Linotype" w:eastAsia="Palatino Linotype" w:hAnsi="Palatino Linotype" w:cs="Palatino Linotype"/>
        </w:rPr>
        <w:t xml:space="preserve">En fecha </w:t>
      </w:r>
      <w:r>
        <w:rPr>
          <w:rFonts w:ascii="Palatino Linotype" w:eastAsia="Palatino Linotype" w:hAnsi="Palatino Linotype" w:cs="Palatino Linotype"/>
          <w:b/>
          <w:bCs/>
        </w:rPr>
        <w:t>dos de septiembre de dos mil veinticinco</w:t>
      </w:r>
      <w:r>
        <w:rPr>
          <w:rFonts w:ascii="Palatino Linotype" w:eastAsia="Palatino Linotype" w:hAnsi="Palatino Linotype" w:cs="Palatino Linotype"/>
        </w:rPr>
        <w:t xml:space="preserve">, el particular interpuso el recurso de revisión en contra de la respuesta, </w:t>
      </w:r>
      <w:r w:rsidR="00EF4CCB">
        <w:rPr>
          <w:rFonts w:ascii="Palatino Linotype" w:eastAsia="Palatino Linotype" w:hAnsi="Palatino Linotype" w:cs="Palatino Linotype"/>
        </w:rPr>
        <w:t>manifestando:</w:t>
      </w:r>
    </w:p>
    <w:p w:rsidR="00691126" w:rsidRDefault="00691126">
      <w:pPr>
        <w:ind w:right="-1131"/>
        <w:jc w:val="both"/>
        <w:rPr>
          <w:rFonts w:ascii="Palatino Linotype" w:eastAsia="Palatino Linotype" w:hAnsi="Palatino Linotype" w:cs="Palatino Linotype"/>
        </w:rPr>
      </w:pPr>
    </w:p>
    <w:p w:rsidR="00691126" w:rsidRDefault="00E8755A">
      <w:pPr>
        <w:numPr>
          <w:ilvl w:val="0"/>
          <w:numId w:val="1"/>
        </w:numPr>
        <w:pBdr>
          <w:top w:val="nil"/>
          <w:left w:val="nil"/>
          <w:bottom w:val="nil"/>
          <w:right w:val="nil"/>
          <w:between w:val="nil"/>
        </w:pBdr>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ACTO IMPUGNADO:</w:t>
      </w:r>
      <w:r>
        <w:rPr>
          <w:rFonts w:ascii="Palatino Linotype" w:eastAsia="Palatino Linotype" w:hAnsi="Palatino Linotype" w:cs="Palatino Linotype"/>
          <w:b/>
          <w:bCs/>
          <w:i/>
          <w:iCs/>
          <w:color w:val="000000"/>
        </w:rPr>
        <w:t xml:space="preserve"> </w:t>
      </w:r>
    </w:p>
    <w:p w:rsidR="00691126" w:rsidRDefault="00E8755A">
      <w:pPr>
        <w:ind w:left="1134" w:right="-1131"/>
        <w:jc w:val="both"/>
        <w:rPr>
          <w:rFonts w:ascii="Palatino Linotype" w:eastAsia="Palatino Linotype" w:hAnsi="Palatino Linotype" w:cs="Palatino Linotype"/>
          <w:color w:val="000000"/>
        </w:rPr>
      </w:pPr>
      <w:r>
        <w:rPr>
          <w:rFonts w:ascii="Palatino Linotype" w:eastAsia="Palatino Linotype" w:hAnsi="Palatino Linotype" w:cs="Palatino Linotype"/>
          <w:i/>
          <w:iCs/>
          <w:color w:val="000000"/>
        </w:rPr>
        <w:t xml:space="preserve">“NO ENTREGA LA INFORMACIÓN SOLICITADA. SE PIDE INDIQUE "monto neto pagado por rubro de: Arrendamiento de inmuebles que ocupa el Ayuntamiento de Almoloya </w:t>
      </w:r>
      <w:r>
        <w:rPr>
          <w:rFonts w:ascii="Palatino Linotype" w:eastAsia="Palatino Linotype" w:hAnsi="Palatino Linotype" w:cs="Palatino Linotype"/>
          <w:i/>
          <w:iCs/>
          <w:color w:val="000000"/>
        </w:rPr>
        <w:lastRenderedPageBreak/>
        <w:t>de Juárez, arrendamiento de vehículos utilitarios, patrullas, ambulancias y camiones recolectores de basura, arrendamiento de computadoras y fotocopiadoras, arrendamiento de lonas, carpas y mobiliario, contratación de grupos musicales y juegos mecánicos del 1 de enero 2025 A LA FECHA DE RESOLUCIÓN a la fecha de resolución donde debe especificar los montos netos por rubro y por mes pagados a cada uno de los proveedores de éste Ayuntamiento. No se requiere nombre de empresa proveedora, sólo montos por rubro. Solamente entrega ligas al sistema IPOMEX, el cual muestra información sólo del PRIMER TRIMESTRE 2025, cuando se ha solicitado la información a la fecha de resolución. Es decir 02 de Septiembre de 2025. Además se solicita " especificar los montos netos por rubro y por mes pagados a cada uno de los proveedores de éste Ayuntamiento" lo cual no aparece en las ligas enviadas en la contestación”(SIC)</w:t>
      </w:r>
    </w:p>
    <w:p w:rsidR="00691126" w:rsidRDefault="00691126">
      <w:pPr>
        <w:ind w:left="1134" w:right="-1131"/>
        <w:jc w:val="both"/>
        <w:rPr>
          <w:rFonts w:ascii="Palatino Linotype" w:eastAsia="Palatino Linotype" w:hAnsi="Palatino Linotype" w:cs="Palatino Linotype"/>
          <w:i/>
          <w:iCs/>
          <w:color w:val="000000"/>
        </w:rPr>
      </w:pPr>
    </w:p>
    <w:p w:rsidR="00691126" w:rsidRDefault="00E8755A">
      <w:pPr>
        <w:numPr>
          <w:ilvl w:val="0"/>
          <w:numId w:val="18"/>
        </w:numPr>
        <w:pBdr>
          <w:top w:val="nil"/>
          <w:left w:val="nil"/>
          <w:bottom w:val="nil"/>
          <w:right w:val="nil"/>
          <w:between w:val="nil"/>
        </w:pBdr>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RAZONES O MOTIVOS DE INCONFORMIDAD:</w:t>
      </w:r>
    </w:p>
    <w:p w:rsidR="00691126" w:rsidRDefault="00E8755A">
      <w:pP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ENTREGA LA INFORMACIÓN SOLICITADA. SE PIDE INDIQUE "monto neto pagado por rubro de: Arrendamiento de inmuebles que ocupa el Ayuntamiento de Almoloya de Juárez, arrendamiento de vehículos utilitarios, patrullas, ambulancias y camiones recolectores de basura, arrendamiento de computadoras y fotocopiadoras, arrendamiento de lonas, carpas y mobiliario, contratación de grupos musicales y juegos mecánicos del 1 de enero 2025 A LA FECHA DE RESOLUCIÓN a la fecha de resolución donde debe especificar los montos netos por rubro y por mes pagados a cada uno de los proveedores de éste Ayuntamiento. No se requiere nombre de empresa proveedora, sólo montos por rubro. Solamente entrega ligas al sistema IPOMEX, el cual muestra información sólo del PRIMER TRIMESTRE 2025, cuando se ha solicitado la información a la fecha de resolución. Es decir 02 de Septiembre de 2025. Además se solicita " especificar los montos netos por rubro y por mes pagados a cada uno de los proveedores de éste Ayuntamiento" lo cual no aparece en las ligas enviadas en la contestación”(Sic)</w:t>
      </w:r>
    </w:p>
    <w:p w:rsidR="00691126" w:rsidRDefault="00691126">
      <w:pPr>
        <w:spacing w:line="360" w:lineRule="auto"/>
        <w:ind w:left="1134" w:right="-1131"/>
        <w:jc w:val="both"/>
        <w:rPr>
          <w:rFonts w:ascii="Palatino Linotype" w:eastAsia="Palatino Linotype" w:hAnsi="Palatino Linotype" w:cs="Palatino Linotype"/>
        </w:rPr>
      </w:pPr>
    </w:p>
    <w:p w:rsidR="00691126" w:rsidRDefault="00E8755A">
      <w:pPr>
        <w:numPr>
          <w:ilvl w:val="0"/>
          <w:numId w:val="5"/>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bookmarkStart w:id="1" w:name="_heading=h.30j0zll" w:colFirst="0" w:colLast="0"/>
      <w:bookmarkEnd w:id="1"/>
      <w:r>
        <w:rPr>
          <w:rFonts w:ascii="Palatino Linotype" w:eastAsia="Palatino Linotype" w:hAnsi="Palatino Linotype" w:cs="Palatino Linotype"/>
          <w:color w:val="000000"/>
        </w:rPr>
        <w:t xml:space="preserve">La Comisionada Ponente, con fundamento en lo dispuesto por el artículo 185 fracción II de la ley de la materia, a través del acuerdo de admisión del </w:t>
      </w:r>
      <w:r>
        <w:rPr>
          <w:rFonts w:ascii="Palatino Linotype" w:eastAsia="Palatino Linotype" w:hAnsi="Palatino Linotype" w:cs="Palatino Linotype"/>
          <w:b/>
          <w:bCs/>
          <w:color w:val="000000"/>
        </w:rPr>
        <w:t>ocho de septiembre de dos mil veinticinco</w:t>
      </w:r>
      <w:r>
        <w:rPr>
          <w:rFonts w:ascii="Palatino Linotype" w:eastAsia="Palatino Linotype" w:hAnsi="Palatino Linotype" w:cs="Palatino Linotype"/>
          <w:color w:val="000000"/>
        </w:rPr>
        <w:t xml:space="preserve">, puso a disposición de las partes el  expediente electrónicos vía Sistema de Acceso a la Información Mexiquense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a efecto de que en un plazo máximo de siete días manifestara lo que a su derecho conviniera, ofreciera pruebas y alegatos según correspondiera </w:t>
      </w:r>
      <w:r>
        <w:rPr>
          <w:rFonts w:ascii="Palatino Linotype" w:eastAsia="Palatino Linotype" w:hAnsi="Palatino Linotype" w:cs="Palatino Linotype"/>
          <w:color w:val="000000"/>
        </w:rPr>
        <w:lastRenderedPageBreak/>
        <w:t xml:space="preserve">a los casos concretos, de esta forma para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presentará</w:t>
      </w:r>
      <w:r>
        <w:rPr>
          <w:rFonts w:ascii="Palatino Linotype" w:eastAsia="Palatino Linotype" w:hAnsi="Palatino Linotype" w:cs="Palatino Linotype"/>
          <w:color w:val="000000"/>
        </w:rPr>
        <w:t xml:space="preserve"> el Informe Justificado procedente.</w:t>
      </w: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691126" w:rsidRDefault="00E8755A">
      <w:pPr>
        <w:numPr>
          <w:ilvl w:val="0"/>
          <w:numId w:val="5"/>
        </w:numPr>
        <w:pBdr>
          <w:top w:val="nil"/>
          <w:left w:val="nil"/>
          <w:bottom w:val="nil"/>
          <w:right w:val="nil"/>
          <w:between w:val="nil"/>
        </w:pBdr>
        <w:tabs>
          <w:tab w:val="left" w:pos="0"/>
        </w:tabs>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omitió rendir el informe justificado correspondiente, 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 xml:space="preserve"> y asistieran.</w:t>
      </w:r>
    </w:p>
    <w:p w:rsidR="00691126" w:rsidRDefault="00691126">
      <w:pPr>
        <w:tabs>
          <w:tab w:val="left" w:pos="426"/>
        </w:tabs>
        <w:spacing w:line="360" w:lineRule="auto"/>
        <w:ind w:right="-1131"/>
        <w:jc w:val="both"/>
        <w:rPr>
          <w:rFonts w:ascii="Palatino Linotype" w:eastAsia="Palatino Linotype" w:hAnsi="Palatino Linotype" w:cs="Palatino Linotype"/>
          <w:b/>
          <w:bCs/>
          <w:i/>
          <w:iCs/>
          <w:shd w:val="clear" w:color="auto" w:fill="FECDE3"/>
        </w:rPr>
      </w:pPr>
    </w:p>
    <w:p w:rsidR="00691126" w:rsidRDefault="00E8755A">
      <w:pPr>
        <w:numPr>
          <w:ilvl w:val="0"/>
          <w:numId w:val="5"/>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Posteriormente en</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fecha</w:t>
      </w:r>
      <w:r>
        <w:rPr>
          <w:rFonts w:ascii="Palatino Linotype" w:eastAsia="Palatino Linotype" w:hAnsi="Palatino Linotype" w:cs="Palatino Linotype"/>
          <w:b/>
          <w:bCs/>
          <w:color w:val="000000"/>
        </w:rPr>
        <w:t xml:space="preserve"> veintisiete de mayo de dos mil veintiséis</w:t>
      </w:r>
      <w:r>
        <w:rPr>
          <w:rFonts w:ascii="Palatino Linotype" w:eastAsia="Palatino Linotype" w:hAnsi="Palatino Linotype" w:cs="Palatino Linotype"/>
          <w:color w:val="000000"/>
        </w:rPr>
        <w:t>, se acordó ampliar el término para resolver el presente asunto.</w:t>
      </w:r>
    </w:p>
    <w:p w:rsidR="00691126" w:rsidRDefault="00691126">
      <w:pPr>
        <w:pBdr>
          <w:top w:val="nil"/>
          <w:left w:val="nil"/>
          <w:bottom w:val="nil"/>
          <w:right w:val="nil"/>
          <w:between w:val="nil"/>
        </w:pBdr>
        <w:spacing w:line="360" w:lineRule="auto"/>
        <w:ind w:left="720" w:right="-1131"/>
        <w:rPr>
          <w:rFonts w:ascii="Palatino Linotype" w:eastAsia="Palatino Linotype" w:hAnsi="Palatino Linotype" w:cs="Palatino Linotype"/>
          <w:b/>
          <w:bCs/>
          <w:color w:val="000000"/>
        </w:rPr>
      </w:pPr>
    </w:p>
    <w:p w:rsidR="00691126" w:rsidRDefault="00E8755A">
      <w:pPr>
        <w:numPr>
          <w:ilvl w:val="0"/>
          <w:numId w:val="5"/>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691126" w:rsidRDefault="00E8755A">
      <w:pPr>
        <w:numPr>
          <w:ilvl w:val="0"/>
          <w:numId w:val="12"/>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 xml:space="preserve">veintisiete de mayo de dos mil veintiséis; </w:t>
      </w:r>
      <w:r>
        <w:rPr>
          <w:rFonts w:ascii="Palatino Linotype" w:eastAsia="Palatino Linotype" w:hAnsi="Palatino Linotype" w:cs="Palatino Linotype"/>
        </w:rPr>
        <w:t>por lo que en virtud de que el expediente electrónico ha sido debidamente substanciado y no existe diligencia pendiente de desahogo, se procede a emitir la presente resolución que conforme a Derecho corresponda y; —-----------</w:t>
      </w:r>
    </w:p>
    <w:p w:rsidR="00691126" w:rsidRDefault="00691126">
      <w:pPr>
        <w:spacing w:line="360" w:lineRule="auto"/>
        <w:ind w:right="-1131"/>
        <w:jc w:val="both"/>
        <w:rPr>
          <w:rFonts w:ascii="Palatino Linotype" w:eastAsia="Palatino Linotype" w:hAnsi="Palatino Linotype" w:cs="Palatino Linotype"/>
        </w:rPr>
      </w:pPr>
    </w:p>
    <w:p w:rsidR="00EF4CCB" w:rsidRDefault="00EF4CCB">
      <w:pPr>
        <w:spacing w:line="360" w:lineRule="auto"/>
        <w:ind w:right="-1131"/>
        <w:jc w:val="both"/>
        <w:rPr>
          <w:rFonts w:ascii="Palatino Linotype" w:eastAsia="Palatino Linotype" w:hAnsi="Palatino Linotype" w:cs="Palatino Linotype"/>
        </w:rPr>
      </w:pPr>
    </w:p>
    <w:p w:rsidR="00EF4CCB" w:rsidRDefault="00EF4CCB">
      <w:pPr>
        <w:spacing w:line="360" w:lineRule="auto"/>
        <w:ind w:right="-1131"/>
        <w:jc w:val="both"/>
        <w:rPr>
          <w:rFonts w:ascii="Palatino Linotype" w:eastAsia="Palatino Linotype" w:hAnsi="Palatino Linotype" w:cs="Palatino Linotype"/>
        </w:rPr>
      </w:pPr>
    </w:p>
    <w:p w:rsidR="00EF4CCB" w:rsidRDefault="00EF4CCB">
      <w:pPr>
        <w:spacing w:line="360" w:lineRule="auto"/>
        <w:ind w:right="-1131"/>
        <w:jc w:val="both"/>
        <w:rPr>
          <w:rFonts w:ascii="Palatino Linotype" w:eastAsia="Palatino Linotype" w:hAnsi="Palatino Linotype" w:cs="Palatino Linotype"/>
        </w:rPr>
      </w:pPr>
    </w:p>
    <w:p w:rsidR="00691126" w:rsidRDefault="00E8755A">
      <w:pPr>
        <w:spacing w:line="360" w:lineRule="auto"/>
        <w:ind w:right="-1131"/>
        <w:jc w:val="center"/>
        <w:rPr>
          <w:rFonts w:ascii="Palatino Linotype" w:eastAsia="Palatino Linotype" w:hAnsi="Palatino Linotype" w:cs="Palatino Linotype"/>
          <w:b/>
          <w:bCs/>
          <w:color w:val="000000"/>
        </w:rPr>
      </w:pPr>
      <w:bookmarkStart w:id="2" w:name="_heading=h.3znysh7" w:colFirst="0" w:colLast="0"/>
      <w:bookmarkEnd w:id="2"/>
      <w:r>
        <w:rPr>
          <w:rFonts w:ascii="Palatino Linotype" w:eastAsia="Palatino Linotype" w:hAnsi="Palatino Linotype" w:cs="Palatino Linotype"/>
          <w:b/>
          <w:bCs/>
          <w:color w:val="000000"/>
        </w:rPr>
        <w:lastRenderedPageBreak/>
        <w:t>C O N S I D E R A N D O</w:t>
      </w:r>
    </w:p>
    <w:p w:rsidR="00691126" w:rsidRDefault="00691126">
      <w:pPr>
        <w:spacing w:line="360" w:lineRule="auto"/>
        <w:ind w:right="-1131"/>
        <w:jc w:val="center"/>
        <w:rPr>
          <w:rFonts w:ascii="Palatino Linotype" w:eastAsia="Palatino Linotype" w:hAnsi="Palatino Linotype" w:cs="Palatino Linotype"/>
          <w:b/>
          <w:bCs/>
        </w:rPr>
      </w:pPr>
    </w:p>
    <w:p w:rsidR="00691126" w:rsidRDefault="00E8755A">
      <w:pPr>
        <w:keepNext/>
        <w:keepLines/>
        <w:spacing w:line="360" w:lineRule="auto"/>
        <w:ind w:right="-1131"/>
        <w:rPr>
          <w:rFonts w:ascii="Palatino Linotype" w:eastAsia="Palatino Linotype" w:hAnsi="Palatino Linotype" w:cs="Palatino Linotype"/>
          <w:b/>
          <w:bCs/>
        </w:rPr>
      </w:pPr>
      <w:bookmarkStart w:id="3" w:name="_heading=h.2et92p0" w:colFirst="0" w:colLast="0"/>
      <w:bookmarkEnd w:id="3"/>
      <w:r>
        <w:rPr>
          <w:rFonts w:ascii="Palatino Linotype" w:eastAsia="Palatino Linotype" w:hAnsi="Palatino Linotype" w:cs="Palatino Linotype"/>
          <w:b/>
          <w:bCs/>
        </w:rPr>
        <w:t>PRIMERO. De la competencia</w:t>
      </w:r>
    </w:p>
    <w:p w:rsidR="00691126" w:rsidRDefault="00E8755A">
      <w:pPr>
        <w:numPr>
          <w:ilvl w:val="0"/>
          <w:numId w:val="6"/>
        </w:numPr>
        <w:spacing w:line="360" w:lineRule="auto"/>
        <w:ind w:left="0" w:right="-1131" w:firstLine="0"/>
        <w:jc w:val="both"/>
        <w:rPr>
          <w:rFonts w:ascii="Palatino Linotype" w:eastAsia="Palatino Linotype" w:hAnsi="Palatino Linotype" w:cs="Palatino Linotype"/>
        </w:rPr>
      </w:pPr>
      <w:bookmarkStart w:id="4" w:name="_heading=h.tyjcwt" w:colFirst="0" w:colLast="0"/>
      <w:bookmarkEnd w:id="4"/>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tabs>
          <w:tab w:val="left" w:pos="426"/>
        </w:tabs>
        <w:spacing w:line="360" w:lineRule="auto"/>
        <w:ind w:right="-1131"/>
        <w:jc w:val="both"/>
        <w:rPr>
          <w:rFonts w:ascii="Palatino Linotype" w:eastAsia="Palatino Linotype" w:hAnsi="Palatino Linotype" w:cs="Palatino Linotype"/>
          <w:b/>
          <w:bCs/>
          <w:color w:val="000000"/>
        </w:rPr>
      </w:pPr>
      <w:bookmarkStart w:id="5" w:name="_heading=h.3dy6vkm" w:colFirst="0" w:colLast="0"/>
      <w:bookmarkEnd w:id="5"/>
      <w:r>
        <w:rPr>
          <w:rFonts w:ascii="Palatino Linotype" w:eastAsia="Palatino Linotype" w:hAnsi="Palatino Linotype" w:cs="Palatino Linotype"/>
          <w:b/>
          <w:bCs/>
          <w:color w:val="000000"/>
        </w:rPr>
        <w:t>SEGUNDO. De la oportunidad y procedencia.</w:t>
      </w:r>
    </w:p>
    <w:p w:rsidR="00691126" w:rsidRDefault="00E8755A">
      <w:pPr>
        <w:numPr>
          <w:ilvl w:val="0"/>
          <w:numId w:val="13"/>
        </w:numPr>
        <w:pBdr>
          <w:top w:val="nil"/>
          <w:left w:val="nil"/>
          <w:bottom w:val="nil"/>
          <w:right w:val="nil"/>
          <w:between w:val="nil"/>
        </w:pBdr>
        <w:spacing w:after="240" w:line="360" w:lineRule="auto"/>
        <w:ind w:left="0" w:right="-1131" w:firstLine="0"/>
        <w:jc w:val="both"/>
        <w:rPr>
          <w:rFonts w:ascii="Palatino Linotype" w:eastAsia="Palatino Linotype" w:hAnsi="Palatino Linotype" w:cs="Palatino Linotype"/>
          <w:color w:val="000000"/>
        </w:rPr>
      </w:pPr>
      <w:bookmarkStart w:id="6" w:name="_heading=h.1t3h5sf" w:colFirst="0" w:colLast="0"/>
      <w:bookmarkEnd w:id="6"/>
      <w:r>
        <w:rPr>
          <w:rFonts w:ascii="Palatino Linotype" w:eastAsia="Palatino Linotype" w:hAnsi="Palatino Linotype" w:cs="Palatino Linotype"/>
          <w:color w:val="000000"/>
        </w:rPr>
        <w:t xml:space="preserve">Los medios de impugnación fueron presentados a través del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entregó su respuesta el </w:t>
      </w:r>
      <w:r>
        <w:rPr>
          <w:rFonts w:ascii="Palatino Linotype" w:eastAsia="Palatino Linotype" w:hAnsi="Palatino Linotype" w:cs="Palatino Linotype"/>
          <w:b/>
          <w:bCs/>
          <w:color w:val="000000"/>
        </w:rPr>
        <w:t>dos de septiembre de dos mil veinticinco</w:t>
      </w:r>
      <w:r>
        <w:rPr>
          <w:rFonts w:ascii="Palatino Linotype" w:eastAsia="Palatino Linotype" w:hAnsi="Palatino Linotype" w:cs="Palatino Linotype"/>
          <w:color w:val="000000"/>
        </w:rPr>
        <w:t xml:space="preserve">, de tal forma que el plazo para interponer el recurso de revisión transcurrió del día </w:t>
      </w:r>
      <w:r>
        <w:rPr>
          <w:rFonts w:ascii="Palatino Linotype" w:eastAsia="Palatino Linotype" w:hAnsi="Palatino Linotype" w:cs="Palatino Linotype"/>
          <w:b/>
          <w:bCs/>
          <w:color w:val="000000"/>
        </w:rPr>
        <w:t>tres al veinticuatro de septiembre de dos mil veintiséis</w:t>
      </w:r>
      <w:r>
        <w:rPr>
          <w:rFonts w:ascii="Palatino Linotype" w:eastAsia="Palatino Linotype" w:hAnsi="Palatino Linotype" w:cs="Palatino Linotype"/>
          <w:color w:val="000000"/>
        </w:rPr>
        <w:t xml:space="preserve">; en consecuencia, el ahora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presentó su inconformidad el día </w:t>
      </w:r>
      <w:r>
        <w:rPr>
          <w:rFonts w:ascii="Palatino Linotype" w:eastAsia="Palatino Linotype" w:hAnsi="Palatino Linotype" w:cs="Palatino Linotype"/>
          <w:b/>
          <w:bCs/>
          <w:color w:val="000000"/>
        </w:rPr>
        <w:t xml:space="preserve">dos de </w:t>
      </w:r>
      <w:r>
        <w:rPr>
          <w:rFonts w:ascii="Palatino Linotype" w:eastAsia="Palatino Linotype" w:hAnsi="Palatino Linotype" w:cs="Palatino Linotype"/>
          <w:b/>
          <w:bCs/>
        </w:rPr>
        <w:t>septiembre</w:t>
      </w:r>
      <w:r>
        <w:rPr>
          <w:rFonts w:ascii="Palatino Linotype" w:eastAsia="Palatino Linotype" w:hAnsi="Palatino Linotype" w:cs="Palatino Linotype"/>
          <w:b/>
          <w:bCs/>
          <w:color w:val="000000"/>
        </w:rPr>
        <w:t xml:space="preserve"> de dos mil veintiséis</w:t>
      </w:r>
      <w:r>
        <w:rPr>
          <w:rFonts w:ascii="Palatino Linotype" w:eastAsia="Palatino Linotype" w:hAnsi="Palatino Linotype" w:cs="Palatino Linotype"/>
          <w:color w:val="000000"/>
        </w:rPr>
        <w:t>, dentro del lapso legalmente establecido para tal efecto.</w:t>
      </w:r>
    </w:p>
    <w:p w:rsidR="00691126" w:rsidRDefault="00691126">
      <w:pPr>
        <w:spacing w:line="360" w:lineRule="auto"/>
        <w:ind w:right="-1131"/>
        <w:jc w:val="both"/>
      </w:pPr>
    </w:p>
    <w:p w:rsidR="00691126" w:rsidRDefault="00E8755A">
      <w:pPr>
        <w:numPr>
          <w:ilvl w:val="0"/>
          <w:numId w:val="7"/>
        </w:numPr>
        <w:pBdr>
          <w:top w:val="nil"/>
          <w:left w:val="nil"/>
          <w:bottom w:val="nil"/>
          <w:right w:val="nil"/>
          <w:between w:val="nil"/>
        </w:pBdr>
        <w:spacing w:line="360" w:lineRule="auto"/>
        <w:ind w:left="0" w:right="-1131" w:firstLine="0"/>
        <w:jc w:val="both"/>
        <w:rPr>
          <w:color w:val="000000"/>
        </w:rPr>
      </w:pPr>
      <w:r>
        <w:rPr>
          <w:rFonts w:ascii="Palatino Linotype" w:eastAsia="Palatino Linotype" w:hAnsi="Palatino Linotype" w:cs="Palatino Linotype"/>
          <w:color w:val="000000"/>
        </w:rPr>
        <w:t xml:space="preserve">Al respecto resulta necesario precisar que cuando el medio de impugnación, se haya interpuesto antes que inicie el término para tal efecto, resulta insuficiente para tener por </w:t>
      </w:r>
      <w:r>
        <w:rPr>
          <w:rFonts w:ascii="Palatino Linotype" w:eastAsia="Palatino Linotype" w:hAnsi="Palatino Linotype" w:cs="Palatino Linotype"/>
          <w:color w:val="000000"/>
        </w:rPr>
        <w:lastRenderedPageBreak/>
        <w:t xml:space="preserve">extemporáneo el recurso de revisión de mérito, toda vez que el precepto legal citado, sólo establece que este medio de defensa se ha de promover dentro de los quince días hábiles siguientes en que se tenga conocimiento de la respuesta impugnada; sin embargo, no prohíbe que el recurso de revisión, se presente el mismo día en que </w:t>
      </w:r>
      <w:r>
        <w:rPr>
          <w:rFonts w:ascii="Palatino Linotype" w:eastAsia="Palatino Linotype" w:hAnsi="Palatino Linotype" w:cs="Palatino Linotype"/>
        </w:rPr>
        <w:t>ésta</w:t>
      </w:r>
      <w:r>
        <w:rPr>
          <w:rFonts w:ascii="Palatino Linotype" w:eastAsia="Palatino Linotype" w:hAnsi="Palatino Linotype" w:cs="Palatino Linotype"/>
          <w:color w:val="000000"/>
        </w:rPr>
        <w:t xml:space="preserve"> fue notificada. Por lo que es de señalar que en aras de privilegiar el derecho de acceso a la información se entra al estudio del presente recurso de revisión sin que la fecha en que se presentó afecte la resolución.</w:t>
      </w:r>
    </w:p>
    <w:p w:rsidR="00691126" w:rsidRDefault="00691126">
      <w:pPr>
        <w:spacing w:line="360" w:lineRule="auto"/>
        <w:ind w:right="-1131"/>
        <w:rPr>
          <w:rFonts w:ascii="Palatino Linotype" w:eastAsia="Palatino Linotype" w:hAnsi="Palatino Linotype" w:cs="Palatino Linotype"/>
        </w:rPr>
      </w:pPr>
    </w:p>
    <w:p w:rsidR="00691126" w:rsidRDefault="00E8755A">
      <w:pPr>
        <w:numPr>
          <w:ilvl w:val="0"/>
          <w:numId w:val="7"/>
        </w:numPr>
        <w:pBdr>
          <w:top w:val="nil"/>
          <w:left w:val="nil"/>
          <w:bottom w:val="nil"/>
          <w:right w:val="nil"/>
          <w:between w:val="nil"/>
        </w:pBdr>
        <w:spacing w:line="360" w:lineRule="auto"/>
        <w:ind w:left="0" w:right="-1131" w:firstLine="0"/>
        <w:jc w:val="both"/>
        <w:rPr>
          <w:color w:val="000000"/>
        </w:rPr>
      </w:pPr>
      <w:r>
        <w:rPr>
          <w:rFonts w:ascii="Palatino Linotype" w:eastAsia="Palatino Linotype" w:hAnsi="Palatino Linotype" w:cs="Palatino Linotype"/>
          <w:color w:val="000000"/>
        </w:rPr>
        <w:t xml:space="preserve">Lo anterior se robustece con la jurisprudencia número 1a./J. 41/2015 (10a.), Décima época, sustentada por la Primera Sala de la Suprema Corte de Justicia de la Nación, visible en la página 569, libro 19, tomo I, de la Gaceta del Semanario Judicial de la Federación, del diecinueve de junio de 2015, cuyo rubro y texto disponen: </w:t>
      </w:r>
    </w:p>
    <w:p w:rsidR="00691126" w:rsidRDefault="00E8755A">
      <w:pPr>
        <w:spacing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“RECURSO DE RECLAMACIÓN. SU INTERPOSICIÓN NO ES EXTEMPORÁNEA SI SE REALIZA ANTES DE QUE INICIE EL PLAZO PARA HACERLO</w:t>
      </w:r>
      <w:r>
        <w:rPr>
          <w:rFonts w:ascii="Palatino Linotype" w:eastAsia="Palatino Linotype" w:hAnsi="Palatino Linotype" w:cs="Palatino Linotype"/>
          <w:i/>
          <w:iCs/>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rsidR="00691126" w:rsidRDefault="00691126">
      <w:pPr>
        <w:spacing w:line="360" w:lineRule="auto"/>
        <w:ind w:left="426" w:right="-1131"/>
        <w:jc w:val="both"/>
        <w:rPr>
          <w:rFonts w:ascii="Palatino Linotype" w:eastAsia="Palatino Linotype" w:hAnsi="Palatino Linotype" w:cs="Palatino Linotype"/>
          <w:i/>
          <w:iCs/>
        </w:rPr>
      </w:pPr>
    </w:p>
    <w:p w:rsidR="00691126" w:rsidRDefault="00E8755A">
      <w:pPr>
        <w:numPr>
          <w:ilvl w:val="0"/>
          <w:numId w:val="7"/>
        </w:numPr>
        <w:pBdr>
          <w:top w:val="nil"/>
          <w:left w:val="nil"/>
          <w:bottom w:val="nil"/>
          <w:right w:val="nil"/>
          <w:between w:val="nil"/>
        </w:pBdr>
        <w:spacing w:line="360" w:lineRule="auto"/>
        <w:ind w:left="0" w:right="-1131" w:firstLine="0"/>
        <w:jc w:val="both"/>
        <w:rPr>
          <w:color w:val="000000"/>
        </w:rPr>
      </w:pPr>
      <w:r>
        <w:rPr>
          <w:rFonts w:ascii="Palatino Linotype" w:eastAsia="Palatino Linotype" w:hAnsi="Palatino Linotype" w:cs="Palatino Linotype"/>
          <w:color w:val="000000"/>
        </w:rPr>
        <w:t xml:space="preserve">Esto es así porque en primer lugar es necesario que EL RECURRENTE conozca el acto que le provoca agravio y a partir de ahí formular su recurso de revisión señalando tanto el acto impugnado como el motivo de inconformidad. Y si bien la ley señala que el plazo corre un día después de haber sido notificada la respuesta, en nada se afecta al proceso que el mismo día </w:t>
      </w:r>
      <w:r>
        <w:rPr>
          <w:rFonts w:ascii="Palatino Linotype" w:eastAsia="Palatino Linotype" w:hAnsi="Palatino Linotype" w:cs="Palatino Linotype"/>
          <w:color w:val="000000"/>
        </w:rPr>
        <w:lastRenderedPageBreak/>
        <w:t>de notificada EL RECURRENTE actúe, ya que al contrario lo que demuestra es el interés del mismo para ejercer su derecho bajo el principio constitucional de justicia expedita.</w:t>
      </w:r>
    </w:p>
    <w:p w:rsidR="00691126" w:rsidRDefault="00691126">
      <w:pPr>
        <w:tabs>
          <w:tab w:val="left" w:pos="0"/>
        </w:tabs>
        <w:spacing w:line="360" w:lineRule="auto"/>
        <w:ind w:right="-1131"/>
        <w:jc w:val="both"/>
        <w:rPr>
          <w:rFonts w:ascii="Palatino Linotype" w:eastAsia="Palatino Linotype" w:hAnsi="Palatino Linotype" w:cs="Palatino Linotype"/>
          <w:i/>
          <w:iCs/>
        </w:rPr>
      </w:pPr>
    </w:p>
    <w:p w:rsidR="00691126" w:rsidRDefault="00E8755A">
      <w:pPr>
        <w:numPr>
          <w:ilvl w:val="0"/>
          <w:numId w:val="7"/>
        </w:numPr>
        <w:pBdr>
          <w:top w:val="nil"/>
          <w:left w:val="nil"/>
          <w:bottom w:val="nil"/>
          <w:right w:val="nil"/>
          <w:between w:val="nil"/>
        </w:pBdr>
        <w:spacing w:line="360" w:lineRule="auto"/>
        <w:ind w:left="0" w:right="-1131" w:firstLine="0"/>
        <w:jc w:val="both"/>
        <w:rPr>
          <w:color w:val="000000"/>
        </w:rPr>
      </w:pPr>
      <w:r>
        <w:rPr>
          <w:rFonts w:ascii="Palatino Linotype" w:eastAsia="Palatino Linotype" w:hAnsi="Palatino Linotype" w:cs="Palatino Linotype"/>
          <w:color w:val="000000"/>
        </w:rPr>
        <w:t>Por lo que la presentación del recurso, el mismo día del conocimiento de la respuesta, -se insiste- no constituye un acto que altere el procedimiento, solo permite su gestión de manera rápida lo que no afecta ningún principio procesal y es protector del derecho de acceso a la justicia pronta y expedita.</w:t>
      </w:r>
    </w:p>
    <w:p w:rsidR="00691126" w:rsidRDefault="00691126">
      <w:pPr>
        <w:spacing w:line="360" w:lineRule="auto"/>
        <w:ind w:right="-1131"/>
        <w:rPr>
          <w:rFonts w:ascii="Palatino Linotype" w:eastAsia="Palatino Linotype" w:hAnsi="Palatino Linotype" w:cs="Palatino Linotype"/>
        </w:rPr>
      </w:pPr>
    </w:p>
    <w:p w:rsidR="00691126" w:rsidRDefault="00E8755A">
      <w:pPr>
        <w:numPr>
          <w:ilvl w:val="0"/>
          <w:numId w:val="7"/>
        </w:numPr>
        <w:pBdr>
          <w:top w:val="nil"/>
          <w:left w:val="nil"/>
          <w:bottom w:val="nil"/>
          <w:right w:val="nil"/>
          <w:between w:val="nil"/>
        </w:pBdr>
        <w:spacing w:line="360" w:lineRule="auto"/>
        <w:ind w:left="0" w:right="-1131" w:firstLine="0"/>
        <w:jc w:val="both"/>
        <w:rPr>
          <w:color w:val="000000"/>
        </w:rPr>
      </w:pPr>
      <w:r>
        <w:rPr>
          <w:rFonts w:ascii="Palatino Linotype" w:eastAsia="Palatino Linotype" w:hAnsi="Palatino Linotype" w:cs="Palatino Linotype"/>
          <w:color w:val="000000"/>
        </w:rPr>
        <w:t>Por lo tanto, la interposición del recurso de revisión antes de que inicie el plazo para su presentación no es determinante para declararlo extemporáneo, siempre y cuando ello ocurra de manera posterior a que se ha notificado la respuesta del SUJETO OBLIGADO.</w:t>
      </w:r>
    </w:p>
    <w:p w:rsidR="00691126" w:rsidRDefault="00691126">
      <w:pPr>
        <w:spacing w:line="360" w:lineRule="auto"/>
        <w:ind w:right="-1131"/>
        <w:jc w:val="both"/>
      </w:pPr>
    </w:p>
    <w:p w:rsidR="00691126" w:rsidRDefault="00E8755A">
      <w:pPr>
        <w:numPr>
          <w:ilvl w:val="0"/>
          <w:numId w:val="7"/>
        </w:numPr>
        <w:spacing w:line="360" w:lineRule="auto"/>
        <w:ind w:left="0" w:right="-1131" w:firstLine="0"/>
        <w:jc w:val="both"/>
      </w:pPr>
      <w:r>
        <w:rPr>
          <w:rFonts w:ascii="Palatino Linotype" w:eastAsia="Palatino Linotype" w:hAnsi="Palatino Linotype" w:cs="Palatino Linotype"/>
        </w:rPr>
        <w:t>Por otro lado el escrito contiene las formalidades previstas en el artículo 180 último párrafo de la citada Ley de la materia, por lo que es procedente que este Instituto conozca y resuelva el presente recurso.</w:t>
      </w:r>
    </w:p>
    <w:p w:rsidR="00691126" w:rsidRDefault="00691126">
      <w:pPr>
        <w:keepNext/>
        <w:keepLines/>
        <w:spacing w:line="360" w:lineRule="auto"/>
        <w:ind w:right="-1131"/>
        <w:rPr>
          <w:rFonts w:ascii="Palatino Linotype" w:eastAsia="Palatino Linotype" w:hAnsi="Palatino Linotype" w:cs="Palatino Linotype"/>
        </w:rPr>
      </w:pPr>
      <w:bookmarkStart w:id="7" w:name="_heading=h.y22g9f4sj2lc" w:colFirst="0" w:colLast="0"/>
      <w:bookmarkEnd w:id="7"/>
    </w:p>
    <w:p w:rsidR="00691126" w:rsidRDefault="00E8755A">
      <w:pPr>
        <w:keepNext/>
        <w:keepLines/>
        <w:spacing w:line="360" w:lineRule="auto"/>
        <w:ind w:right="-1131"/>
        <w:rPr>
          <w:rFonts w:ascii="Palatino Linotype" w:eastAsia="Palatino Linotype" w:hAnsi="Palatino Linotype" w:cs="Palatino Linotype"/>
          <w:b/>
          <w:bCs/>
          <w:color w:val="000000"/>
        </w:rPr>
      </w:pPr>
      <w:bookmarkStart w:id="8" w:name="_heading=h.4d34og8" w:colFirst="0" w:colLast="0"/>
      <w:bookmarkEnd w:id="8"/>
      <w:r>
        <w:rPr>
          <w:rFonts w:ascii="Palatino Linotype" w:eastAsia="Palatino Linotype" w:hAnsi="Palatino Linotype" w:cs="Palatino Linotype"/>
          <w:b/>
          <w:bCs/>
          <w:color w:val="000000"/>
        </w:rPr>
        <w:t xml:space="preserve">TERCERO. Del planteamiento de la </w:t>
      </w:r>
      <w:r>
        <w:rPr>
          <w:rFonts w:ascii="Palatino Linotype" w:eastAsia="Palatino Linotype" w:hAnsi="Palatino Linotype" w:cs="Palatino Linotype"/>
          <w:b/>
          <w:bCs/>
          <w:i/>
          <w:iCs/>
          <w:color w:val="000000"/>
        </w:rPr>
        <w:t>Litis</w:t>
      </w:r>
      <w:r>
        <w:rPr>
          <w:rFonts w:ascii="Palatino Linotype" w:eastAsia="Palatino Linotype" w:hAnsi="Palatino Linotype" w:cs="Palatino Linotype"/>
          <w:b/>
          <w:bCs/>
          <w:color w:val="000000"/>
        </w:rPr>
        <w:t>.</w:t>
      </w:r>
    </w:p>
    <w:p w:rsidR="00691126" w:rsidRDefault="00E8755A">
      <w:pPr>
        <w:numPr>
          <w:ilvl w:val="0"/>
          <w:numId w:val="11"/>
        </w:numPr>
        <w:spacing w:line="360" w:lineRule="auto"/>
        <w:ind w:left="0" w:right="-1131" w:firstLine="0"/>
        <w:jc w:val="both"/>
        <w:rPr>
          <w:rFonts w:ascii="Palatino Linotype" w:eastAsia="Palatino Linotype" w:hAnsi="Palatino Linotype" w:cs="Palatino Linotype"/>
          <w:b/>
          <w:bCs/>
        </w:rPr>
      </w:pPr>
      <w:r>
        <w:rPr>
          <w:rFonts w:ascii="Palatino Linotype" w:eastAsia="Palatino Linotype" w:hAnsi="Palatino Linotype" w:cs="Palatino Linotype"/>
        </w:rPr>
        <w:t>De las constancias en el expediente al rubro indicado, se desprende que el particular solicitó para el año dos mil veinticinco de la Dirección General de Seguridad y Protección :</w:t>
      </w:r>
    </w:p>
    <w:p w:rsidR="00691126" w:rsidRDefault="00E8755A">
      <w:pPr>
        <w:spacing w:line="360" w:lineRule="auto"/>
        <w:ind w:left="928" w:right="-1131"/>
        <w:jc w:val="both"/>
        <w:rPr>
          <w:rFonts w:ascii="Palatino Linotype" w:eastAsia="Palatino Linotype" w:hAnsi="Palatino Linotype" w:cs="Palatino Linotype"/>
          <w:i/>
          <w:iCs/>
        </w:rPr>
      </w:pPr>
      <w:r>
        <w:rPr>
          <w:rFonts w:ascii="Palatino Linotype" w:eastAsia="Palatino Linotype" w:hAnsi="Palatino Linotype" w:cs="Palatino Linotype"/>
          <w:i/>
          <w:iCs/>
        </w:rPr>
        <w:t>Monto neto pagado por rubro de: Arrendamiento de inmuebles que ocupa el Ayuntamiento de Almoloya de Juárez, arrendamiento de vehículos utilitarios, patrullas, ambulancias y camiones recolectores de basura, arrendamiento de computadoras y fotocopiadoras, arrendamiento de lonas, carpas y mobiliario, contratación de grupos musicales y juegos mecánicos del 1 de enero al 18 de julio de dos mil veinticinco.</w:t>
      </w:r>
    </w:p>
    <w:p w:rsidR="00691126" w:rsidRDefault="00E8755A">
      <w:pPr>
        <w:numPr>
          <w:ilvl w:val="0"/>
          <w:numId w:val="16"/>
        </w:numPr>
        <w:pBdr>
          <w:top w:val="nil"/>
          <w:left w:val="nil"/>
          <w:bottom w:val="nil"/>
          <w:right w:val="nil"/>
          <w:between w:val="nil"/>
        </w:pBdr>
        <w:tabs>
          <w:tab w:val="left" w:pos="851"/>
        </w:tabs>
        <w:spacing w:line="360" w:lineRule="auto"/>
        <w:ind w:left="0" w:right="-1131" w:firstLine="0"/>
        <w:jc w:val="both"/>
        <w:rPr>
          <w:color w:val="000000"/>
        </w:rPr>
      </w:pPr>
      <w:r>
        <w:rPr>
          <w:rFonts w:ascii="Palatino Linotype" w:eastAsia="Palatino Linotype" w:hAnsi="Palatino Linotype" w:cs="Palatino Linotype"/>
          <w:color w:val="000000"/>
        </w:rPr>
        <w:lastRenderedPageBreak/>
        <w:t>En respuesta el Sujeto Obligado, remitió el archivo ya descrito en el numeral 3. , por lo que, inconforme con la respuesta, se interpuso el recurso de revisión, argumentando sustancialmente la entrega incompleta de la información solicitada.</w:t>
      </w:r>
    </w:p>
    <w:p w:rsidR="00691126" w:rsidRDefault="00E8755A">
      <w:pPr>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rPr>
        <w:tab/>
      </w:r>
      <w:r>
        <w:rPr>
          <w:rFonts w:ascii="Palatino Linotype" w:eastAsia="Palatino Linotype" w:hAnsi="Palatino Linotype" w:cs="Palatino Linotype"/>
          <w:i/>
          <w:iCs/>
        </w:rPr>
        <w:t xml:space="preserve"> </w:t>
      </w: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dichas condiciones, la </w:t>
      </w:r>
      <w:r>
        <w:rPr>
          <w:rFonts w:ascii="Palatino Linotype" w:eastAsia="Palatino Linotype" w:hAnsi="Palatino Linotype" w:cs="Palatino Linotype"/>
          <w:i/>
          <w:iCs/>
        </w:rPr>
        <w:t>Litis</w:t>
      </w:r>
      <w:r>
        <w:rPr>
          <w:rFonts w:ascii="Palatino Linotype" w:eastAsia="Palatino Linotype" w:hAnsi="Palatino Linotype" w:cs="Palatino Linotype"/>
        </w:rPr>
        <w:t xml:space="preserve"> a resolver en este recurso se circunscribe a determinar si se actualizan las causales de procedencia previstas en el artículo 179, </w:t>
      </w:r>
      <w:r>
        <w:rPr>
          <w:rFonts w:ascii="Palatino Linotype" w:eastAsia="Palatino Linotype" w:hAnsi="Palatino Linotype" w:cs="Palatino Linotype"/>
          <w:b/>
          <w:bCs/>
        </w:rPr>
        <w:t xml:space="preserve">Fracción  V </w:t>
      </w:r>
      <w:r>
        <w:rPr>
          <w:rFonts w:ascii="Palatino Linotype" w:eastAsia="Palatino Linotype" w:hAnsi="Palatino Linotype" w:cs="Palatino Linotype"/>
        </w:rPr>
        <w:t>de la</w:t>
      </w:r>
      <w:r>
        <w:rPr>
          <w:rFonts w:ascii="Palatino Linotype" w:eastAsia="Palatino Linotype" w:hAnsi="Palatino Linotype" w:cs="Palatino Linotype"/>
          <w:color w:val="000000"/>
        </w:rPr>
        <w:t xml:space="preserve"> Ley</w:t>
      </w:r>
      <w:r>
        <w:rPr>
          <w:rFonts w:ascii="Palatino Linotype" w:eastAsia="Palatino Linotype" w:hAnsi="Palatino Linotype" w:cs="Palatino Linotype"/>
          <w:b/>
          <w:bCs/>
        </w:rPr>
        <w:t xml:space="preserve"> de Transparencia y Acceso a la Información Pública del Estado de </w:t>
      </w:r>
      <w:r>
        <w:rPr>
          <w:rFonts w:ascii="Palatino Linotype" w:eastAsia="Palatino Linotype" w:hAnsi="Palatino Linotype" w:cs="Palatino Linotype"/>
        </w:rPr>
        <w:t>México</w:t>
      </w:r>
      <w:r>
        <w:rPr>
          <w:rFonts w:ascii="Palatino Linotype" w:eastAsia="Palatino Linotype" w:hAnsi="Palatino Linotype" w:cs="Palatino Linotype"/>
          <w:b/>
          <w:bCs/>
        </w:rPr>
        <w:t xml:space="preserve">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fracciones  que </w:t>
      </w:r>
      <w:r>
        <w:rPr>
          <w:rFonts w:ascii="Palatino Linotype" w:eastAsia="Palatino Linotype" w:hAnsi="Palatino Linotype" w:cs="Palatino Linotype"/>
        </w:rPr>
        <w:t>determinan</w:t>
      </w:r>
      <w:r>
        <w:rPr>
          <w:rFonts w:ascii="Palatino Linotype" w:eastAsia="Palatino Linotype" w:hAnsi="Palatino Linotype" w:cs="Palatino Linotype"/>
          <w:color w:val="000000"/>
        </w:rPr>
        <w:t xml:space="preserve"> la hipótesis jurídica relativas a la </w:t>
      </w:r>
      <w:r>
        <w:rPr>
          <w:rFonts w:ascii="Palatino Linotype" w:eastAsia="Palatino Linotype" w:hAnsi="Palatino Linotype" w:cs="Palatino Linotype"/>
          <w:color w:val="000000"/>
        </w:rPr>
        <w:tab/>
        <w:t>entrega de información incompleta;</w:t>
      </w:r>
      <w:r>
        <w:rPr>
          <w:rFonts w:ascii="Palatino Linotype" w:eastAsia="Palatino Linotype" w:hAnsi="Palatino Linotype" w:cs="Palatino Linotype"/>
        </w:rPr>
        <w:t xml:space="preserve"> de lo cual se dolió </w:t>
      </w:r>
      <w:r>
        <w:rPr>
          <w:rFonts w:ascii="Palatino Linotype" w:eastAsia="Palatino Linotype" w:hAnsi="Palatino Linotype" w:cs="Palatino Linotype"/>
          <w:b/>
          <w:bCs/>
        </w:rPr>
        <w:t xml:space="preserve">EL RECURRENTE </w:t>
      </w:r>
      <w:r>
        <w:rPr>
          <w:rFonts w:ascii="Palatino Linotype" w:eastAsia="Palatino Linotype" w:hAnsi="Palatino Linotype" w:cs="Palatino Linotype"/>
        </w:rPr>
        <w:t>al momento de interponer su inconformidad.</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De modo tal que el recurso de revisión se abocará en determinar si el </w:t>
      </w:r>
      <w:r>
        <w:rPr>
          <w:rFonts w:ascii="Palatino Linotype" w:eastAsia="Palatino Linotype" w:hAnsi="Palatino Linotype" w:cs="Palatino Linotype"/>
          <w:b/>
          <w:bCs/>
        </w:rPr>
        <w:t>SUJETO</w:t>
      </w:r>
      <w:r>
        <w:rPr>
          <w:rFonts w:ascii="Palatino Linotype" w:eastAsia="Palatino Linotype" w:hAnsi="Palatino Linotype" w:cs="Palatino Linotype"/>
          <w:b/>
          <w:bCs/>
          <w:color w:val="000000"/>
        </w:rPr>
        <w:t xml:space="preserve"> OBLIGADO</w:t>
      </w:r>
      <w:r>
        <w:rPr>
          <w:rFonts w:ascii="Palatino Linotype" w:eastAsia="Palatino Linotype" w:hAnsi="Palatino Linotype" w:cs="Palatino Linotype"/>
          <w:color w:val="000000"/>
        </w:rPr>
        <w:t xml:space="preserve"> con sus respuestas ciertamente actualiza las causales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antes señaladas;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EF4CCB" w:rsidRDefault="00EF4CCB">
      <w:pPr>
        <w:keepNext/>
        <w:keepLines/>
        <w:spacing w:line="360" w:lineRule="auto"/>
        <w:ind w:right="-1131"/>
        <w:rPr>
          <w:rFonts w:ascii="Palatino Linotype" w:eastAsia="Palatino Linotype" w:hAnsi="Palatino Linotype" w:cs="Palatino Linotype"/>
          <w:b/>
          <w:bCs/>
          <w:color w:val="000000"/>
        </w:rPr>
      </w:pPr>
    </w:p>
    <w:p w:rsidR="00691126" w:rsidRDefault="00E8755A">
      <w:pPr>
        <w:keepNext/>
        <w:keepLines/>
        <w:spacing w:line="360" w:lineRule="auto"/>
        <w:ind w:right="-113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CUARTO. Del estudio y resolución del asunto</w:t>
      </w:r>
    </w:p>
    <w:p w:rsidR="00691126" w:rsidRDefault="00E8755A">
      <w:pPr>
        <w:keepNext/>
        <w:keepLines/>
        <w:numPr>
          <w:ilvl w:val="0"/>
          <w:numId w:val="8"/>
        </w:numPr>
        <w:spacing w:after="240" w:line="360" w:lineRule="auto"/>
        <w:ind w:left="786" w:right="-1131"/>
        <w:rPr>
          <w:rFonts w:ascii="Palatino Linotype" w:eastAsia="Palatino Linotype" w:hAnsi="Palatino Linotype" w:cs="Palatino Linotype"/>
          <w:b/>
          <w:bCs/>
        </w:rPr>
      </w:pPr>
      <w:bookmarkStart w:id="9" w:name="_heading=h.2s8eyo1" w:colFirst="0" w:colLast="0"/>
      <w:bookmarkEnd w:id="9"/>
      <w:r>
        <w:rPr>
          <w:rFonts w:ascii="Palatino Linotype" w:eastAsia="Palatino Linotype" w:hAnsi="Palatino Linotype" w:cs="Palatino Linotype"/>
          <w:b/>
          <w:bCs/>
        </w:rPr>
        <w:t>Del der</w:t>
      </w:r>
      <w:bookmarkStart w:id="10" w:name="_GoBack"/>
      <w:bookmarkEnd w:id="10"/>
      <w:r>
        <w:rPr>
          <w:rFonts w:ascii="Palatino Linotype" w:eastAsia="Palatino Linotype" w:hAnsi="Palatino Linotype" w:cs="Palatino Linotype"/>
          <w:b/>
          <w:bCs/>
        </w:rPr>
        <w:t>echo de acceso a la información.</w:t>
      </w:r>
    </w:p>
    <w:p w:rsidR="00691126" w:rsidRDefault="00E8755A">
      <w:pPr>
        <w:numPr>
          <w:ilvl w:val="0"/>
          <w:numId w:val="16"/>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w:t>
      </w:r>
      <w:r>
        <w:rPr>
          <w:rFonts w:ascii="Palatino Linotype" w:eastAsia="Palatino Linotype" w:hAnsi="Palatino Linotype" w:cs="Palatino Linotype"/>
          <w:color w:val="000000"/>
        </w:rPr>
        <w:lastRenderedPageBreak/>
        <w:t xml:space="preserve">Derechos Humanos en su artículo 13.1; en el artículo sexto de la Constitución Política de los Estados Unidos Mexicanos y en el artículo quinto de la Particular del Estado de México. </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Definiendo el Derecho de Acceso a la Información Pública como: </w:t>
      </w:r>
      <w:r>
        <w:rPr>
          <w:rFonts w:ascii="Palatino Linotype" w:eastAsia="Palatino Linotype" w:hAnsi="Palatino Linotype" w:cs="Palatino Linotype"/>
          <w:i/>
          <w:iCs/>
          <w:color w:val="000000"/>
        </w:rPr>
        <w:t>La igualdad de oportunidades para recibir, buscar e impartir información</w:t>
      </w:r>
      <w:r>
        <w:rPr>
          <w:rFonts w:ascii="Palatino Linotype" w:eastAsia="Palatino Linotype" w:hAnsi="Palatino Linotype" w:cs="Palatino Linotype"/>
          <w:i/>
          <w:iCs/>
          <w:vertAlign w:val="superscript"/>
        </w:rPr>
        <w:footnoteReference w:id="1"/>
      </w:r>
      <w:r>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Pr>
          <w:rFonts w:ascii="Palatino Linotype" w:eastAsia="Palatino Linotype" w:hAnsi="Palatino Linotype" w:cs="Palatino Linotype"/>
          <w:i/>
          <w:iCs/>
          <w:vertAlign w:val="superscript"/>
        </w:rPr>
        <w:footnoteReference w:id="2"/>
      </w:r>
      <w:r>
        <w:rPr>
          <w:rFonts w:ascii="Palatino Linotype" w:eastAsia="Palatino Linotype" w:hAnsi="Palatino Linotype" w:cs="Palatino Linotype"/>
          <w:color w:val="000000"/>
        </w:rPr>
        <w:t>que se constituye como una herramienta fundamental para ejercer</w:t>
      </w:r>
      <w:r>
        <w:rPr>
          <w:rFonts w:ascii="Palatino Linotype" w:eastAsia="Palatino Linotype" w:hAnsi="Palatino Linotype" w:cs="Palatino Linotype"/>
          <w:i/>
          <w:iCs/>
          <w:color w:val="000000"/>
        </w:rPr>
        <w:t xml:space="preserve"> el control democrático de las gestiones estatales, de forma tal que puedan cuestionar, indagar y considerar si se está dando un adecuado cumplimiento a las funciones públicas,</w:t>
      </w:r>
      <w:r>
        <w:rPr>
          <w:rFonts w:ascii="Palatino Linotype" w:eastAsia="Palatino Linotype" w:hAnsi="Palatino Linotype" w:cs="Palatino Linotype"/>
          <w:i/>
          <w:iCs/>
          <w:vertAlign w:val="superscript"/>
        </w:rPr>
        <w:footnoteReference w:id="3"/>
      </w:r>
      <w:r>
        <w:rPr>
          <w:rFonts w:ascii="Palatino Linotype" w:eastAsia="Palatino Linotype" w:hAnsi="Palatino Linotype" w:cs="Palatino Linotype"/>
          <w:color w:val="000000"/>
        </w:rPr>
        <w:t>fomentando</w:t>
      </w:r>
      <w:r>
        <w:rPr>
          <w:rFonts w:ascii="Palatino Linotype" w:eastAsia="Palatino Linotype" w:hAnsi="Palatino Linotype" w:cs="Palatino Linotype"/>
          <w:i/>
          <w:iCs/>
          <w:color w:val="000000"/>
        </w:rPr>
        <w:t xml:space="preserve"> la transparencia de las actividades estatales y </w:t>
      </w:r>
      <w:r>
        <w:rPr>
          <w:rFonts w:ascii="Palatino Linotype" w:eastAsia="Palatino Linotype" w:hAnsi="Palatino Linotype" w:cs="Palatino Linotype"/>
          <w:color w:val="000000"/>
        </w:rPr>
        <w:t>promoviendo</w:t>
      </w:r>
      <w:r>
        <w:rPr>
          <w:rFonts w:ascii="Palatino Linotype" w:eastAsia="Palatino Linotype" w:hAnsi="Palatino Linotype" w:cs="Palatino Linotype"/>
          <w:i/>
          <w:iCs/>
          <w:color w:val="000000"/>
        </w:rPr>
        <w:t xml:space="preserve"> la responsabilidad de los funcionarios sobre su gestión pública,</w:t>
      </w:r>
      <w:r>
        <w:rPr>
          <w:rFonts w:ascii="Palatino Linotype" w:eastAsia="Palatino Linotype" w:hAnsi="Palatino Linotype" w:cs="Palatino Linotype"/>
          <w:i/>
          <w:iCs/>
          <w:vertAlign w:val="superscript"/>
        </w:rPr>
        <w:footnoteReference w:id="4"/>
      </w:r>
      <w:r>
        <w:rPr>
          <w:rFonts w:ascii="Palatino Linotype" w:eastAsia="Palatino Linotype" w:hAnsi="Palatino Linotype" w:cs="Palatino Linotype"/>
          <w:color w:val="000000"/>
        </w:rPr>
        <w:t>que permite</w:t>
      </w:r>
      <w:r>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w:t>
      </w:r>
      <w:r>
        <w:rPr>
          <w:rFonts w:ascii="Palatino Linotype" w:eastAsia="Palatino Linotype" w:hAnsi="Palatino Linotype" w:cs="Palatino Linotype"/>
          <w:i/>
          <w:iCs/>
        </w:rPr>
        <w:t xml:space="preserve"> </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1126" w:rsidRDefault="00E8755A">
      <w:pPr>
        <w:spacing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Todas las</w:t>
      </w:r>
      <w:r>
        <w:rPr>
          <w:rFonts w:ascii="Palatino Linotype" w:eastAsia="Palatino Linotype" w:hAnsi="Palatino Linotype" w:cs="Palatino Linotype"/>
        </w:rPr>
        <w:t xml:space="preserve"> </w:t>
      </w:r>
      <w:r>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691126" w:rsidRDefault="00E8755A">
      <w:pPr>
        <w:ind w:left="1134" w:right="-1131"/>
        <w:jc w:val="both"/>
        <w:rPr>
          <w:rFonts w:ascii="Palatino Linotype" w:eastAsia="Palatino Linotype" w:hAnsi="Palatino Linotype" w:cs="Palatino Linotype"/>
        </w:rPr>
      </w:pPr>
      <w:r>
        <w:rPr>
          <w:rFonts w:ascii="Palatino Linotype" w:eastAsia="Palatino Linotype" w:hAnsi="Palatino Linotype" w:cs="Palatino Linotype"/>
          <w:i/>
          <w:iCs/>
        </w:rPr>
        <w:t>(…)</w:t>
      </w:r>
      <w:r>
        <w:rPr>
          <w:rFonts w:ascii="Palatino Linotype" w:eastAsia="Palatino Linotype" w:hAnsi="Palatino Linotype" w:cs="Palatino Linotype"/>
        </w:rPr>
        <w:t>”.</w:t>
      </w:r>
    </w:p>
    <w:p w:rsidR="00691126" w:rsidRDefault="00691126">
      <w:pPr>
        <w:ind w:left="1134" w:right="-1131"/>
        <w:jc w:val="both"/>
        <w:rPr>
          <w:rFonts w:ascii="Palatino Linotype" w:eastAsia="Palatino Linotype" w:hAnsi="Palatino Linotype" w:cs="Palatino Linotype"/>
          <w:b/>
          <w:bCs/>
        </w:rPr>
      </w:pPr>
    </w:p>
    <w:p w:rsidR="00691126" w:rsidRDefault="00691126">
      <w:pPr>
        <w:ind w:left="1134" w:right="-1131"/>
        <w:jc w:val="both"/>
        <w:rPr>
          <w:rFonts w:ascii="Palatino Linotype" w:eastAsia="Palatino Linotype" w:hAnsi="Palatino Linotype" w:cs="Palatino Linotype"/>
          <w:b/>
          <w:bCs/>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691126" w:rsidRDefault="00E8755A">
      <w:pPr>
        <w:tabs>
          <w:tab w:val="left" w:pos="7938"/>
        </w:tabs>
        <w:spacing w:after="240" w:line="276" w:lineRule="auto"/>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 los Estados Unidos Mexicanos</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“Artículo 6.</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Para efectos de lo dispuesto en el presente artículo se observará lo siguiente:</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A</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Para el ejercicio del derecho de acceso a la información</w:t>
      </w:r>
      <w:r>
        <w:rPr>
          <w:rFonts w:ascii="Palatino Linotype" w:eastAsia="Palatino Linotype" w:hAnsi="Palatino Linotype" w:cs="Palatino Linotype"/>
          <w:i/>
          <w:iCs/>
        </w:rPr>
        <w:t xml:space="preserve">, la Federación y </w:t>
      </w:r>
      <w:r>
        <w:rPr>
          <w:rFonts w:ascii="Palatino Linotype" w:eastAsia="Palatino Linotype" w:hAnsi="Palatino Linotype" w:cs="Palatino Linotype"/>
          <w:b/>
          <w:bCs/>
          <w:i/>
          <w:iCs/>
        </w:rPr>
        <w:t>las entidades federativas, en el ámbito de sus respectivas competencias, se regirán por los siguientes principios y bases:</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I. Toda la información en posesión de cualquier</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autoridad</w:t>
      </w:r>
      <w:r>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Pr>
          <w:rFonts w:ascii="Palatino Linotype" w:eastAsia="Palatino Linotype" w:hAnsi="Palatino Linotype" w:cs="Palatino Linotype"/>
          <w:b/>
          <w:bCs/>
          <w:i/>
          <w:iCs/>
        </w:rPr>
        <w:t>municipal</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91126" w:rsidRDefault="00691126">
      <w:pPr>
        <w:tabs>
          <w:tab w:val="left" w:pos="567"/>
          <w:tab w:val="left" w:pos="7938"/>
        </w:tabs>
        <w:spacing w:before="240"/>
        <w:ind w:left="1134" w:right="-1131"/>
        <w:jc w:val="both"/>
        <w:rPr>
          <w:rFonts w:ascii="Palatino Linotype" w:eastAsia="Palatino Linotype" w:hAnsi="Palatino Linotype" w:cs="Palatino Linotype"/>
          <w:b/>
          <w:bCs/>
          <w:i/>
          <w:iCs/>
        </w:rPr>
      </w:pPr>
    </w:p>
    <w:p w:rsidR="00691126" w:rsidRDefault="00E8755A">
      <w:pPr>
        <w:tabs>
          <w:tab w:val="left" w:pos="7938"/>
        </w:tabs>
        <w:spacing w:after="240"/>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Constitución Política del Estado Libre y Soberano de México</w:t>
      </w:r>
    </w:p>
    <w:p w:rsidR="00691126" w:rsidRDefault="00E8755A">
      <w:pPr>
        <w:tabs>
          <w:tab w:val="left" w:pos="7938"/>
        </w:tabs>
        <w:spacing w:before="240" w:after="240"/>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5</w:t>
      </w:r>
      <w:r>
        <w:rPr>
          <w:rFonts w:ascii="Palatino Linotype" w:eastAsia="Palatino Linotype" w:hAnsi="Palatino Linotype" w:cs="Palatino Linotype"/>
          <w:i/>
          <w:iCs/>
        </w:rPr>
        <w:t xml:space="preserve">.- </w:t>
      </w:r>
    </w:p>
    <w:p w:rsidR="00691126" w:rsidRDefault="00E8755A">
      <w:pPr>
        <w:tabs>
          <w:tab w:val="left" w:pos="7938"/>
        </w:tabs>
        <w:spacing w:before="240" w:after="240"/>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1126" w:rsidRDefault="00E8755A">
      <w:pPr>
        <w:tabs>
          <w:tab w:val="left" w:pos="7938"/>
        </w:tabs>
        <w:spacing w:before="240" w:after="240"/>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Pr>
          <w:rFonts w:ascii="Palatino Linotype" w:eastAsia="Palatino Linotype" w:hAnsi="Palatino Linotype" w:cs="Palatino Linotype"/>
          <w:i/>
          <w:iCs/>
        </w:rPr>
        <w:t>.</w:t>
      </w:r>
    </w:p>
    <w:p w:rsidR="00691126" w:rsidRDefault="00E8755A">
      <w:pPr>
        <w:tabs>
          <w:tab w:val="left" w:pos="7938"/>
        </w:tabs>
        <w:spacing w:before="240" w:after="240"/>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691126" w:rsidRDefault="00E8755A">
      <w:pPr>
        <w:tabs>
          <w:tab w:val="left" w:pos="7938"/>
        </w:tabs>
        <w:spacing w:before="240" w:after="240"/>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Este derecho se regirá por los principios y bases siguientes</w:t>
      </w:r>
      <w:r>
        <w:rPr>
          <w:rFonts w:ascii="Palatino Linotype" w:eastAsia="Palatino Linotype" w:hAnsi="Palatino Linotype" w:cs="Palatino Linotype"/>
          <w:i/>
          <w:iCs/>
        </w:rPr>
        <w:t>:</w:t>
      </w:r>
    </w:p>
    <w:p w:rsidR="00691126" w:rsidRDefault="00E8755A">
      <w:pPr>
        <w:tabs>
          <w:tab w:val="left" w:pos="7938"/>
        </w:tabs>
        <w:spacing w:before="240" w:after="240" w:line="276"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I. Toda la información en posesión de cualquier autoridad, entidad, órgano y organismos de los</w:t>
      </w:r>
      <w:r>
        <w:rPr>
          <w:rFonts w:ascii="Palatino Linotype" w:eastAsia="Palatino Linotype" w:hAnsi="Palatino Linotype" w:cs="Palatino Linotype"/>
          <w:i/>
          <w:iCs/>
        </w:rPr>
        <w:t xml:space="preserve"> Poderes Ejecutivo, Legislativo y Judicial, órganos autónomos, partidos políticos, fideicomisos y fondos públicos estatales y </w:t>
      </w:r>
      <w:r>
        <w:rPr>
          <w:rFonts w:ascii="Palatino Linotype" w:eastAsia="Palatino Linotype" w:hAnsi="Palatino Linotype" w:cs="Palatino Linotype"/>
          <w:b/>
          <w:bCs/>
          <w:i/>
          <w:iCs/>
        </w:rPr>
        <w:t>municipales</w:t>
      </w:r>
      <w:r>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Pr>
          <w:rFonts w:ascii="Palatino Linotype" w:eastAsia="Palatino Linotype" w:hAnsi="Palatino Linotype" w:cs="Palatino Linotype"/>
          <w:b/>
          <w:bCs/>
          <w:i/>
          <w:iCs/>
        </w:rPr>
        <w:t>es pública</w:t>
      </w:r>
      <w:r>
        <w:rPr>
          <w:rFonts w:ascii="Palatino Linotype" w:eastAsia="Palatino Linotype" w:hAnsi="Palatino Linotype" w:cs="Palatino Linotype"/>
          <w:i/>
          <w:iCs/>
        </w:rPr>
        <w:t xml:space="preserve"> y sólo podrá ser </w:t>
      </w:r>
      <w:r>
        <w:rPr>
          <w:rFonts w:ascii="Palatino Linotype" w:eastAsia="Palatino Linotype" w:hAnsi="Palatino Linotype" w:cs="Palatino Linotype"/>
          <w:i/>
          <w:iCs/>
        </w:rPr>
        <w:lastRenderedPageBreak/>
        <w:t xml:space="preserve">reservada temporalmente por razones previstas en la Constitución Política de los Estados Unidos Mexicanos de interés público y seguridad, en los términos que fijen las leyes. </w:t>
      </w:r>
      <w:r>
        <w:rPr>
          <w:rFonts w:ascii="Palatino Linotype" w:eastAsia="Palatino Linotype" w:hAnsi="Palatino Linotype" w:cs="Palatino Linotype"/>
          <w:b/>
          <w:bCs/>
          <w:i/>
          <w:iCs/>
        </w:rPr>
        <w:t>En la interpretación de este derecho deberá prevalecer el principio de máxima publicidad</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Los sujetos obligados deberán documentar todo acto que derive del ejercicio de sus facultades, competencias o funciones</w:t>
      </w:r>
      <w:r>
        <w:rPr>
          <w:rFonts w:ascii="Palatino Linotype" w:eastAsia="Palatino Linotype" w:hAnsi="Palatino Linotype" w:cs="Palatino Linotype"/>
          <w:i/>
          <w:iCs/>
        </w:rPr>
        <w:t>, la ley determinará los supuestos específicos bajo los cuales procederá la declaración de inexistencia de la información.”</w:t>
      </w:r>
    </w:p>
    <w:p w:rsidR="00691126" w:rsidRDefault="00691126">
      <w:pPr>
        <w:tabs>
          <w:tab w:val="left" w:pos="567"/>
        </w:tabs>
        <w:spacing w:before="240" w:after="240"/>
        <w:ind w:right="-1131"/>
        <w:jc w:val="both"/>
        <w:rPr>
          <w:rFonts w:ascii="Palatino Linotype" w:eastAsia="Palatino Linotype" w:hAnsi="Palatino Linotype" w:cs="Palatino Linotype"/>
          <w:b/>
          <w:bCs/>
          <w:i/>
          <w:iCs/>
        </w:rPr>
      </w:pPr>
    </w:p>
    <w:p w:rsidR="00691126" w:rsidRDefault="00E8755A">
      <w:pPr>
        <w:numPr>
          <w:ilvl w:val="0"/>
          <w:numId w:val="16"/>
        </w:numPr>
        <w:spacing w:before="240"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Pr>
          <w:rFonts w:ascii="Palatino Linotype" w:eastAsia="Palatino Linotype" w:hAnsi="Palatino Linotype" w:cs="Palatino Linotype"/>
          <w:i/>
          <w:iCs/>
        </w:rPr>
        <w:t>por los principios de simplicidad, rapidez gratuidad del procedimiento, auxilio y orientación a los particulares</w:t>
      </w:r>
      <w:r>
        <w:rPr>
          <w:rFonts w:ascii="Palatino Linotype" w:eastAsia="Palatino Linotype" w:hAnsi="Palatino Linotype" w:cs="Palatino Linotype"/>
        </w:rPr>
        <w:t>, contemplando el derecho de las personas con discapacidad y hablantes de lengua indígena.</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Derecho de Acceso a la Información se garantiza y respeta oportunamente, y según lo que dispone la Ley, las </w:t>
      </w:r>
      <w:r>
        <w:rPr>
          <w:rFonts w:ascii="Palatino Linotype" w:eastAsia="Palatino Linotype" w:hAnsi="Palatino Linotype" w:cs="Palatino Linotype"/>
          <w:i/>
          <w:iCs/>
        </w:rPr>
        <w:t>solicitudes de acceso a la información</w:t>
      </w:r>
      <w:r>
        <w:rPr>
          <w:rFonts w:ascii="Palatino Linotype" w:eastAsia="Palatino Linotype" w:hAnsi="Palatino Linotype" w:cs="Palatino Linotype"/>
        </w:rPr>
        <w:t>.</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6"/>
        </w:numPr>
        <w:spacing w:line="360" w:lineRule="auto"/>
        <w:ind w:left="0" w:right="-1131" w:firstLine="0"/>
        <w:jc w:val="both"/>
        <w:rPr>
          <w:rFonts w:ascii="Palatino Linotype" w:eastAsia="Palatino Linotype" w:hAnsi="Palatino Linotype" w:cs="Palatino Linotype"/>
        </w:rPr>
      </w:pPr>
      <w:bookmarkStart w:id="11" w:name="_heading=h.17dp8vu" w:colFirst="0" w:colLast="0"/>
      <w:bookmarkEnd w:id="11"/>
      <w:r>
        <w:rPr>
          <w:rFonts w:ascii="Palatino Linotype" w:eastAsia="Palatino Linotype" w:hAnsi="Palatino Linotype" w:cs="Palatino Linotype"/>
        </w:rPr>
        <w:t xml:space="preserve">Así entonces, se procede analizar, en primer lugar,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keepNext/>
        <w:keepLines/>
        <w:numPr>
          <w:ilvl w:val="0"/>
          <w:numId w:val="8"/>
        </w:numPr>
        <w:pBdr>
          <w:top w:val="nil"/>
          <w:left w:val="nil"/>
          <w:bottom w:val="nil"/>
          <w:right w:val="nil"/>
          <w:between w:val="nil"/>
        </w:pBdr>
        <w:spacing w:after="240"/>
        <w:ind w:left="0" w:right="-1131" w:firstLine="0"/>
        <w:rPr>
          <w:rFonts w:ascii="Palatino Linotype" w:eastAsia="Palatino Linotype" w:hAnsi="Palatino Linotype" w:cs="Palatino Linotype"/>
          <w:b/>
          <w:bCs/>
          <w:color w:val="000000"/>
        </w:rPr>
      </w:pPr>
      <w:bookmarkStart w:id="12" w:name="_heading=h.3rdcrjn" w:colFirst="0" w:colLast="0"/>
      <w:bookmarkEnd w:id="12"/>
      <w:r>
        <w:rPr>
          <w:rFonts w:ascii="Palatino Linotype" w:eastAsia="Palatino Linotype" w:hAnsi="Palatino Linotype" w:cs="Palatino Linotype"/>
          <w:b/>
          <w:bCs/>
          <w:color w:val="000000"/>
        </w:rPr>
        <w:t xml:space="preserve"> De la información solicitada y la respuesta del SUJETO OBLIGADO</w:t>
      </w:r>
    </w:p>
    <w:p w:rsidR="00691126" w:rsidRDefault="00E8755A">
      <w:pPr>
        <w:numPr>
          <w:ilvl w:val="0"/>
          <w:numId w:val="10"/>
        </w:numPr>
        <w:spacing w:line="360" w:lineRule="auto"/>
        <w:ind w:left="0" w:right="-1131" w:firstLine="0"/>
        <w:jc w:val="both"/>
        <w:rPr>
          <w:rFonts w:ascii="Palatino Linotype" w:eastAsia="Palatino Linotype" w:hAnsi="Palatino Linotype" w:cs="Palatino Linotype"/>
          <w:b/>
          <w:bCs/>
        </w:rPr>
      </w:pPr>
      <w:r>
        <w:rPr>
          <w:rFonts w:ascii="Palatino Linotype" w:eastAsia="Palatino Linotype" w:hAnsi="Palatino Linotype" w:cs="Palatino Linotype"/>
        </w:rPr>
        <w:t xml:space="preserve">Cabe recordar dentro de la solicitud que dio origen al presente Recurso que el </w:t>
      </w:r>
      <w:r>
        <w:rPr>
          <w:rFonts w:ascii="Palatino Linotype" w:eastAsia="Palatino Linotype" w:hAnsi="Palatino Linotype" w:cs="Palatino Linotype"/>
          <w:b/>
          <w:bCs/>
        </w:rPr>
        <w:t xml:space="preserve">RECURRENTE </w:t>
      </w:r>
      <w:r>
        <w:rPr>
          <w:rFonts w:ascii="Palatino Linotype" w:eastAsia="Palatino Linotype" w:hAnsi="Palatino Linotype" w:cs="Palatino Linotype"/>
        </w:rPr>
        <w:t>solicitó la siguiente información:</w:t>
      </w:r>
    </w:p>
    <w:p w:rsidR="00691126" w:rsidRDefault="00E8755A">
      <w:pPr>
        <w:spacing w:line="360"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Monto neto pagado por rubro de: Arrendamiento de inmuebles que ocupa el Ayuntamiento de Almoloya de Juárez, arrendamiento de vehículos utilitarios, patrullas, ambulancias y camiones recolectores de basura, arrendamiento de computadoras y fotocopiadoras, arrendamiento de lonas, carpas y mobiliario, contratación de grupos musicales y juegos mecánicos del 1 de enero al 18 de julio de dos mil veinticinco.</w:t>
      </w:r>
    </w:p>
    <w:p w:rsidR="00691126" w:rsidRDefault="00691126">
      <w:pPr>
        <w:spacing w:line="360" w:lineRule="auto"/>
        <w:ind w:left="928" w:right="-1131"/>
        <w:jc w:val="both"/>
        <w:rPr>
          <w:rFonts w:ascii="Palatino Linotype" w:eastAsia="Palatino Linotype" w:hAnsi="Palatino Linotype" w:cs="Palatino Linotype"/>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 lo que en respuesta la tesorera refirió cuatro ligas en formato cerrado para la consulta de la información, por lo que el recurrente se </w:t>
      </w:r>
      <w:r>
        <w:rPr>
          <w:rFonts w:ascii="Palatino Linotype" w:eastAsia="Palatino Linotype" w:hAnsi="Palatino Linotype" w:cs="Palatino Linotype"/>
        </w:rPr>
        <w:t>inconformó</w:t>
      </w:r>
      <w:r>
        <w:rPr>
          <w:rFonts w:ascii="Palatino Linotype" w:eastAsia="Palatino Linotype" w:hAnsi="Palatino Linotype" w:cs="Palatino Linotype"/>
          <w:color w:val="000000"/>
        </w:rPr>
        <w:t xml:space="preserve"> por la entrega incompleta de la información.</w:t>
      </w: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w:t>
      </w:r>
      <w:r>
        <w:rPr>
          <w:rFonts w:ascii="Palatino Linotype" w:eastAsia="Palatino Linotype" w:hAnsi="Palatino Linotype" w:cs="Palatino Linotype"/>
        </w:rPr>
        <w:t>esté</w:t>
      </w:r>
      <w:r>
        <w:rPr>
          <w:rFonts w:ascii="Palatino Linotype" w:eastAsia="Palatino Linotype" w:hAnsi="Palatino Linotype" w:cs="Palatino Linotype"/>
          <w:color w:val="000000"/>
        </w:rPr>
        <w:t xml:space="preserve"> reconoce contar con la misma.</w:t>
      </w: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i/>
          <w:iCs/>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rsidR="00691126" w:rsidRDefault="00691126">
      <w:pPr>
        <w:pBdr>
          <w:top w:val="nil"/>
          <w:left w:val="nil"/>
          <w:bottom w:val="nil"/>
          <w:right w:val="nil"/>
          <w:between w:val="nil"/>
        </w:pBdr>
        <w:ind w:right="-1131"/>
        <w:rPr>
          <w:rFonts w:ascii="Palatino Linotype" w:eastAsia="Palatino Linotype" w:hAnsi="Palatino Linotype" w:cs="Palatino Linotype"/>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691126" w:rsidRDefault="00E8755A">
      <w:pPr>
        <w:shd w:val="clear" w:color="auto" w:fill="FFFFFF"/>
        <w:ind w:left="1134" w:right="-1131"/>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lastRenderedPageBreak/>
        <w:t>“</w:t>
      </w:r>
      <w:r>
        <w:rPr>
          <w:rFonts w:ascii="Palatino Linotype" w:eastAsia="Palatino Linotype" w:hAnsi="Palatino Linotype" w:cs="Palatino Linotype"/>
          <w:b/>
          <w:bCs/>
          <w:i/>
          <w:iCs/>
          <w:color w:val="222222"/>
        </w:rPr>
        <w:t>Artículo 12.</w:t>
      </w:r>
      <w:r>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691126" w:rsidRDefault="00691126">
      <w:pPr>
        <w:shd w:val="clear" w:color="auto" w:fill="FFFFFF"/>
        <w:ind w:left="1134" w:right="-1131"/>
        <w:jc w:val="both"/>
        <w:rPr>
          <w:rFonts w:ascii="Palatino Linotype" w:eastAsia="Palatino Linotype" w:hAnsi="Palatino Linotype" w:cs="Palatino Linotype"/>
          <w:color w:val="222222"/>
        </w:rPr>
      </w:pPr>
    </w:p>
    <w:p w:rsidR="00691126" w:rsidRDefault="00E8755A">
      <w:pPr>
        <w:shd w:val="clear" w:color="auto" w:fill="FFFFFF"/>
        <w:ind w:left="1134" w:right="-1131"/>
        <w:jc w:val="both"/>
        <w:rPr>
          <w:rFonts w:ascii="Palatino Linotype" w:eastAsia="Palatino Linotype" w:hAnsi="Palatino Linotype" w:cs="Palatino Linotype"/>
          <w:i/>
          <w:iCs/>
          <w:color w:val="222222"/>
        </w:rPr>
      </w:pPr>
      <w:r>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Una vez precisado lo anterior, resulta necesario comenzar con el estudio señalando que el artículo 18 de la Ley de Transparencia y Acceso a la Información Pública del Estado de México y Municipios, contempla que los sujetos obligados deberán documentar todo acto que derive del ejercicio de sus facultades, competencias o funciones, precepto normativo que textualmente establece lo siguiente:</w:t>
      </w:r>
    </w:p>
    <w:p w:rsidR="00691126" w:rsidRDefault="00E8755A">
      <w:pPr>
        <w:spacing w:line="360" w:lineRule="auto"/>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rsidR="00691126" w:rsidRDefault="00691126">
      <w:pPr>
        <w:spacing w:line="360" w:lineRule="auto"/>
        <w:ind w:left="1134" w:right="-1131"/>
        <w:jc w:val="both"/>
        <w:rPr>
          <w:rFonts w:ascii="Palatino Linotype" w:eastAsia="Palatino Linotype" w:hAnsi="Palatino Linotype" w:cs="Palatino Linotype"/>
          <w:i/>
          <w:iCs/>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Precisado lo anterior, Precisado que la Tesorería Municipal es el área que, por disposición normativa, interviene en la autorización, registro, control y ejecución del gasto público, resulta jurídicamente consecuente analizar cuál es la naturaleza de los documentos que ordinariamente se generan con motivo de una erogación realizada con recursos municipales.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efecto, si toda operación financiera debe transitar por un proceso de registro contable y presupuestal, y si dicho registro debe estar necesariamente soportado por documentación justificativa y comprobatoria, entonces la existencia del gasto presupone la existencia de documentos que lo acrediten materialmente. Es decir, el asiento contable no constituye el gasto en sí mismo, sino la manifestación registral de una operación previamente documentada.</w:t>
      </w: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Bajo esta premisa, los documentos donde consten los gastos pagados al Presidente Municipal no pueden reducirse a informes globales o concentrados presupuestales, sino que deben comprender los soportes documentales que dieron origen al registro contable correspondiente. Dentro de ese universo documental, de manera enunciativa más no limitativa, se encuentran las facturas o comprobantes fiscales digitales que amparen la adquisición de bienes o servicios, las pólizas contables con su respectiva documentación soporte, los registros presupuestarios individualizados, así como cualquier otro documento financiero que acredite la materialidad de la erogación.</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Al respecto, el Glosario de Términos Hacendarios emitido por el Instituto Hacendario del Estado de México define la factura como el documento fiscal que emite una persona física o moral para comprobar la venta o adquisición de un bien y/o servicio. Cuando tales facturas amparan erogaciones realizadas con erario público, adquieren naturaleza pública, pues constituyen un medio idóneo para evidenciar el destino de los recursos y permitir su fiscalización.</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la referencia a las facturas no implica que éstas sean el único documento susceptible de satisfacer la solicitud, sino que representan una manifestación típica y ordinaria del soporte comprobatorio del gasto público, dentro del sistema de registro contable y financiero previsto por el Código Financiero del Estado de México y Municipios.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La obligación de generar y conservar dicha documentación no es potestativa. Los artículos 342, 343, 344 y 345 del Código Financiero del Estado de México y Municipios establecen que el registro contable del efecto patrimonial y presupuestal de las operaciones </w:t>
      </w:r>
      <w:r>
        <w:rPr>
          <w:rFonts w:ascii="Palatino Linotype" w:eastAsia="Palatino Linotype" w:hAnsi="Palatino Linotype" w:cs="Palatino Linotype"/>
          <w:color w:val="000000"/>
        </w:rPr>
        <w:lastRenderedPageBreak/>
        <w:t xml:space="preserve">financieras debe realizarse conforme al sistema de contabilidad gubernamental aprobado; que dicho sistema debe permitir la fiscalización de ingresos y egresos; y, de manera expresa, que todo registro contable y presupuestal deberá estar soportado con documentos justificativos y comprobatorios originales, en copia certificada o en medios electrónicos, los cuales deberán permanecer en custodia de los entes públicos ejecutores del gasto. Tratándose de </w:t>
      </w:r>
      <w:r>
        <w:rPr>
          <w:rFonts w:ascii="Palatino Linotype" w:eastAsia="Palatino Linotype" w:hAnsi="Palatino Linotype" w:cs="Palatino Linotype"/>
        </w:rPr>
        <w:t>municipios</w:t>
      </w:r>
      <w:r>
        <w:rPr>
          <w:rFonts w:ascii="Palatino Linotype" w:eastAsia="Palatino Linotype" w:hAnsi="Palatino Linotype" w:cs="Palatino Linotype"/>
          <w:color w:val="000000"/>
        </w:rPr>
        <w:t>, dicha obligación corresponde a la Tesorería. Asimismo, se dispone que los comprobantes fiscales digitales deberán agregarse electrónicamente a cada póliza contable.</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la interpretación sistemática de estas disposiciones se desprende que el gasto público no puede existir desvinculado de soporte documental; el registro contable no es un asiento abstracto, sino la consecuencia de una operación financiera previamente documentada; y toda erogación presupuestal debe estar respaldada por comprobantes que acrediten su legalidad y materialidad. Así, si el Ayuntamiento efectuó gastos en favor del Presidente Municipal durante el periodo solicitado, necesariamente debieron generarse documentos justificativos y comprobatorios, tales como facturas, comprobantes fiscales digitales, pólizas contables y demás documentación soporte que permita identificar el concepto, monto, fecha y fundamento de cada pago.</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Bajo esta lógica, el Presupuesto Asignado, Ejercicio de los Egresos presupuestarios, Gasto por Capítulo y Partida e Informes Financieros, Contables, Presupuestales, proporcionados por el Sujeto Obligado, constituye un instrumento de sistematización presupuestal de carácter agregado que refleja el comportamiento global del gasto municipal, pero no individualiza erogaciones concretas ni acredita pagos específicos realizados. Dicho documento no incorpora comprobantes fiscales, no contiene pólizas con su respectivo soporte </w:t>
      </w:r>
      <w:r>
        <w:rPr>
          <w:rFonts w:ascii="Palatino Linotype" w:eastAsia="Palatino Linotype" w:hAnsi="Palatino Linotype" w:cs="Palatino Linotype"/>
          <w:color w:val="000000"/>
        </w:rPr>
        <w:lastRenderedPageBreak/>
        <w:t>documental, ni permite identificar de manera directa qué montos corresponden a lo requerido por el particular.</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relación a las facturas es necesario referir que los artículos 342, 343, 344 y 345, del Código Financiero del Estado de México y Municipios, disponen el sistema y las políticas que deben seguirse para llevar el registro contable y presupuestal de las operaciones financieras, en los siguientes términos:</w:t>
      </w:r>
    </w:p>
    <w:p w:rsidR="00691126" w:rsidRDefault="00691126">
      <w:pPr>
        <w:ind w:right="-1131"/>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342.-</w:t>
      </w:r>
      <w:r>
        <w:rPr>
          <w:rFonts w:ascii="Palatino Linotype" w:eastAsia="Palatino Linotype" w:hAnsi="Palatino Linotype" w:cs="Palatino Linotype"/>
          <w:i/>
          <w:iCs/>
        </w:rPr>
        <w:t xml:space="preserv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691126" w:rsidRDefault="00691126">
      <w:pPr>
        <w:ind w:left="1134" w:right="-1131"/>
        <w:jc w:val="both"/>
        <w:rPr>
          <w:rFonts w:ascii="Palatino Linotype" w:eastAsia="Palatino Linotype" w:hAnsi="Palatino Linotype" w:cs="Palatino Linotype"/>
          <w:i/>
          <w:iCs/>
        </w:rPr>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En el caso de los municipios,</w:t>
      </w:r>
      <w:r>
        <w:rPr>
          <w:rFonts w:ascii="Palatino Linotype" w:eastAsia="Palatino Linotype" w:hAnsi="Palatino Linotype" w:cs="Palatino Linotype"/>
          <w:i/>
          <w:iCs/>
        </w:rPr>
        <w:t xml:space="preserve"> el registro a que se refiere el párrafo anterior, se realizará conforme al sistema y a las disposiciones en materia de </w:t>
      </w:r>
      <w:r>
        <w:rPr>
          <w:rFonts w:ascii="Palatino Linotype" w:eastAsia="Palatino Linotype" w:hAnsi="Palatino Linotype" w:cs="Palatino Linotype"/>
          <w:b/>
          <w:bCs/>
          <w:i/>
          <w:iCs/>
        </w:rPr>
        <w:t>planeación, programación, presupuestación, evaluación y contabilidad gubernamental</w:t>
      </w:r>
      <w:r>
        <w:rPr>
          <w:rFonts w:ascii="Palatino Linotype" w:eastAsia="Palatino Linotype" w:hAnsi="Palatino Linotype" w:cs="Palatino Linotype"/>
          <w:i/>
          <w:iCs/>
        </w:rPr>
        <w:t>, que se aprueben en el marco del Sistema de Coordinación Hacendaria del Estado de México.</w:t>
      </w:r>
    </w:p>
    <w:p w:rsidR="00691126" w:rsidRDefault="00691126">
      <w:pPr>
        <w:ind w:left="1134" w:right="-1131"/>
        <w:jc w:val="both"/>
        <w:rPr>
          <w:rFonts w:ascii="Palatino Linotype" w:eastAsia="Palatino Linotype" w:hAnsi="Palatino Linotype" w:cs="Palatino Linotype"/>
          <w:b/>
          <w:bCs/>
          <w:i/>
          <w:iCs/>
        </w:rPr>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343.-</w:t>
      </w:r>
      <w:r>
        <w:rPr>
          <w:rFonts w:ascii="Palatino Linotype" w:eastAsia="Palatino Linotype" w:hAnsi="Palatino Linotype" w:cs="Palatino Linotype"/>
          <w:i/>
          <w:iCs/>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El sistema de contabilidad sobre base acumulativa total, se sustentará en las normas emitidas por el Consejo Nacional de Armonización Contable.</w:t>
      </w:r>
    </w:p>
    <w:p w:rsidR="00691126" w:rsidRDefault="00691126">
      <w:pPr>
        <w:ind w:left="1134" w:right="-1131"/>
        <w:jc w:val="both"/>
        <w:rPr>
          <w:rFonts w:ascii="Palatino Linotype" w:eastAsia="Palatino Linotype" w:hAnsi="Palatino Linotype" w:cs="Palatino Linotype"/>
          <w:b/>
          <w:bCs/>
          <w:i/>
          <w:iCs/>
        </w:rPr>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Artículo 344.- </w:t>
      </w:r>
      <w:r>
        <w:rPr>
          <w:rFonts w:ascii="Palatino Linotype" w:eastAsia="Palatino Linotype" w:hAnsi="Palatino Linotype" w:cs="Palatino Linotype"/>
          <w:i/>
          <w:iCs/>
        </w:rPr>
        <w:t xml:space="preserve">Los Entes Públicos, a través de cualquiera de sus unidades administrativas, de acuerdo con su naturaleza jurídica y según corresponda, </w:t>
      </w:r>
      <w:r>
        <w:rPr>
          <w:rFonts w:ascii="Palatino Linotype" w:eastAsia="Palatino Linotype" w:hAnsi="Palatino Linotype" w:cs="Palatino Linotype"/>
          <w:i/>
          <w:iCs/>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r>
        <w:rPr>
          <w:rFonts w:ascii="Palatino Linotype" w:eastAsia="Palatino Linotype" w:hAnsi="Palatino Linotype" w:cs="Palatino Linotype"/>
          <w:i/>
          <w:iCs/>
        </w:rPr>
        <w:t>.</w:t>
      </w:r>
    </w:p>
    <w:p w:rsidR="00691126" w:rsidRDefault="00691126">
      <w:pPr>
        <w:ind w:left="1134" w:right="-1131"/>
        <w:jc w:val="both"/>
        <w:rPr>
          <w:rFonts w:ascii="Palatino Linotype" w:eastAsia="Palatino Linotype" w:hAnsi="Palatino Linotype" w:cs="Palatino Linotype"/>
          <w:b/>
          <w:bCs/>
          <w:i/>
          <w:iCs/>
        </w:rPr>
      </w:pPr>
    </w:p>
    <w:p w:rsidR="00691126" w:rsidRDefault="00E8755A">
      <w:pPr>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Todo registro contable y presupuestal deberá estar soportado con los documentos comprobatorios originales o en medios electrónicos, los que deberán permanecer en custodia y conservación de los Entes Públicos a través de las unidades </w:t>
      </w:r>
      <w:r>
        <w:rPr>
          <w:rFonts w:ascii="Palatino Linotype" w:eastAsia="Palatino Linotype" w:hAnsi="Palatino Linotype" w:cs="Palatino Linotype"/>
          <w:b/>
          <w:bCs/>
          <w:i/>
          <w:iCs/>
        </w:rPr>
        <w:lastRenderedPageBreak/>
        <w:t xml:space="preserve">administrativas que ejercieron el gasto y a disposición de los Órganos de Fiscalización locales y federales, </w:t>
      </w:r>
      <w:r>
        <w:rPr>
          <w:rFonts w:ascii="Palatino Linotype" w:eastAsia="Palatino Linotype" w:hAnsi="Palatino Linotype" w:cs="Palatino Linotype"/>
          <w:i/>
          <w:iCs/>
        </w:rPr>
        <w:t xml:space="preserve">según corresponda, así como de los órganos internos de control, </w:t>
      </w:r>
      <w:r>
        <w:rPr>
          <w:rFonts w:ascii="Palatino Linotype" w:eastAsia="Palatino Linotype" w:hAnsi="Palatino Linotype" w:cs="Palatino Linotype"/>
          <w:b/>
          <w:bCs/>
          <w:i/>
          <w:iCs/>
        </w:rPr>
        <w:t>por un término de cinco años,</w:t>
      </w:r>
      <w:r>
        <w:rPr>
          <w:rFonts w:ascii="Palatino Linotype" w:eastAsia="Palatino Linotype" w:hAnsi="Palatino Linotype" w:cs="Palatino Linotype"/>
          <w:i/>
          <w:iCs/>
        </w:rPr>
        <w:t xml:space="preserve"> contados a partir del ejercicio presupuestal siguiente al que corresponda,</w:t>
      </w:r>
      <w:r>
        <w:rPr>
          <w:rFonts w:ascii="Palatino Linotype" w:eastAsia="Palatino Linotype" w:hAnsi="Palatino Linotype" w:cs="Palatino Linotype"/>
          <w:b/>
          <w:bCs/>
          <w:i/>
          <w:iCs/>
        </w:rPr>
        <w:t xml:space="preserve"> en el caso de los Municipios, dicha obligación corresponderá a la Tesorería.</w:t>
      </w:r>
    </w:p>
    <w:p w:rsidR="00691126" w:rsidRDefault="00691126">
      <w:pPr>
        <w:ind w:left="1134" w:right="-1131"/>
        <w:jc w:val="both"/>
        <w:rPr>
          <w:rFonts w:ascii="Palatino Linotype" w:eastAsia="Palatino Linotype" w:hAnsi="Palatino Linotype" w:cs="Palatino Linotype"/>
          <w:i/>
          <w:iCs/>
        </w:rPr>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Tratándose de documentos de carácter histórico, se estará a lo dispuesto por la legislación de la materia.</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345.-</w:t>
      </w:r>
      <w:r>
        <w:rPr>
          <w:rFonts w:ascii="Palatino Linotype" w:eastAsia="Palatino Linotype" w:hAnsi="Palatino Linotype" w:cs="Palatino Linotype"/>
          <w:i/>
          <w:iCs/>
        </w:rPr>
        <w:t xml:space="preserve">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Pr>
          <w:rFonts w:ascii="Palatino Linotype" w:eastAsia="Palatino Linotype" w:hAnsi="Palatino Linotype" w:cs="Palatino Linotype"/>
          <w:i/>
          <w:iCs/>
          <w:u w:val="single"/>
        </w:rPr>
        <w:t>Tratándose de los comprobantes fiscales digitales, estos deberán estar agregados en forma electrónica a cada póliza de registro contable</w:t>
      </w:r>
      <w:r>
        <w:rPr>
          <w:rFonts w:ascii="Palatino Linotype" w:eastAsia="Palatino Linotype" w:hAnsi="Palatino Linotype" w:cs="Palatino Linotype"/>
          <w:i/>
          <w:iCs/>
        </w:rPr>
        <w:t>.</w:t>
      </w:r>
    </w:p>
    <w:p w:rsidR="00691126" w:rsidRDefault="00691126">
      <w:pPr>
        <w:ind w:left="1134" w:right="-1131"/>
        <w:jc w:val="both"/>
        <w:rPr>
          <w:rFonts w:ascii="Palatino Linotype" w:eastAsia="Palatino Linotype" w:hAnsi="Palatino Linotype" w:cs="Palatino Linotype"/>
          <w:i/>
          <w:iCs/>
        </w:rPr>
      </w:pP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Pr>
          <w:rFonts w:ascii="Palatino Linotype" w:eastAsia="Palatino Linotype" w:hAnsi="Palatino Linotype" w:cs="Palatino Linotype"/>
          <w:b/>
          <w:bCs/>
          <w:i/>
          <w:iCs/>
        </w:rPr>
        <w:t>deberán estar agregados en forma electrónica a cada póliza de registro contable</w:t>
      </w:r>
      <w:r>
        <w:rPr>
          <w:rFonts w:ascii="Palatino Linotype" w:eastAsia="Palatino Linotype" w:hAnsi="Palatino Linotype" w:cs="Palatino Linotype"/>
          <w:i/>
          <w:iCs/>
        </w:rPr>
        <w:t>.</w:t>
      </w:r>
    </w:p>
    <w:p w:rsidR="00691126" w:rsidRDefault="00691126">
      <w:pPr>
        <w:ind w:left="1134" w:right="-1131"/>
        <w:jc w:val="both"/>
        <w:rPr>
          <w:rFonts w:ascii="Palatino Linotype" w:eastAsia="Palatino Linotype" w:hAnsi="Palatino Linotype" w:cs="Palatino Linotype"/>
          <w:i/>
          <w:iCs/>
        </w:rPr>
      </w:pPr>
    </w:p>
    <w:p w:rsidR="00691126" w:rsidRDefault="00E8755A">
      <w:pPr>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i/>
          <w:iCs/>
        </w:rPr>
        <w:t>El plazo señalado en este artículo empezará a contar a partir de la publicación en el Periódico Oficial, del decreto correspondiente.”</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si bien es cierto que el Código Financiero del Estado de México y Municipios establece la obligación de los Municipios para llevar los registros contables y </w:t>
      </w:r>
      <w:r>
        <w:rPr>
          <w:rFonts w:ascii="Palatino Linotype" w:eastAsia="Palatino Linotype" w:hAnsi="Palatino Linotype" w:cs="Palatino Linotype"/>
          <w:color w:val="000000"/>
        </w:rPr>
        <w:lastRenderedPageBreak/>
        <w:t xml:space="preserve">presupuestales; también lo es que, dicho ordenamiento jurídico no establece </w:t>
      </w:r>
      <w:r>
        <w:rPr>
          <w:rFonts w:ascii="Palatino Linotype" w:eastAsia="Palatino Linotype" w:hAnsi="Palatino Linotype" w:cs="Palatino Linotype"/>
        </w:rPr>
        <w:t>qué</w:t>
      </w:r>
      <w:r>
        <w:rPr>
          <w:rFonts w:ascii="Palatino Linotype" w:eastAsia="Palatino Linotype" w:hAnsi="Palatino Linotype" w:cs="Palatino Linotype"/>
          <w:color w:val="000000"/>
        </w:rPr>
        <w:t xml:space="preserve"> debemos entender por registro contable y presupuestal; sin embargo, el “Glosario de Términos para el Proceso de Planeación, Programación, Presupuestación y Evaluación en la Administración Pública”</w:t>
      </w:r>
      <w:r>
        <w:rPr>
          <w:color w:val="000000"/>
          <w:vertAlign w:val="superscript"/>
        </w:rPr>
        <w:footnoteReference w:id="5"/>
      </w:r>
      <w:r>
        <w:rPr>
          <w:rFonts w:ascii="Palatino Linotype" w:eastAsia="Palatino Linotype" w:hAnsi="Palatino Linotype" w:cs="Palatino Linotype"/>
          <w:color w:val="000000"/>
        </w:rPr>
        <w:t>,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w:t>
      </w:r>
    </w:p>
    <w:p w:rsidR="00691126" w:rsidRDefault="00E8755A">
      <w:pPr>
        <w:tabs>
          <w:tab w:val="left" w:pos="7938"/>
        </w:tabs>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“REGISTRO CONTABLE</w:t>
      </w:r>
    </w:p>
    <w:p w:rsidR="00691126" w:rsidRDefault="00E8755A">
      <w:pPr>
        <w:tabs>
          <w:tab w:val="left" w:pos="7938"/>
        </w:tabs>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Asiento que se realiza en los libros de contabilidad de las actividades relacionadas con el ingreso y egresos de un ente económico.”</w:t>
      </w:r>
    </w:p>
    <w:p w:rsidR="00691126" w:rsidRDefault="00691126">
      <w:pPr>
        <w:tabs>
          <w:tab w:val="left" w:pos="7938"/>
        </w:tabs>
        <w:ind w:left="1134" w:right="-1131"/>
        <w:jc w:val="both"/>
        <w:rPr>
          <w:rFonts w:ascii="Palatino Linotype" w:eastAsia="Palatino Linotype" w:hAnsi="Palatino Linotype" w:cs="Palatino Linotype"/>
          <w:b/>
          <w:bCs/>
          <w:i/>
          <w:iCs/>
        </w:rPr>
      </w:pPr>
    </w:p>
    <w:p w:rsidR="00691126" w:rsidRDefault="00E8755A">
      <w:pPr>
        <w:tabs>
          <w:tab w:val="left" w:pos="7938"/>
        </w:tabs>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“REGISTRO PRESUPUESTARIO</w:t>
      </w:r>
    </w:p>
    <w:p w:rsidR="00691126" w:rsidRDefault="00E8755A">
      <w:pPr>
        <w:tabs>
          <w:tab w:val="left" w:pos="7938"/>
        </w:tabs>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Asiento contable de las erogaciones realizadas por las dependencias y entidades con relación a la asignación, modificación y ejercicio de los recursos presupuestarios que se les hayan autorizado.”</w:t>
      </w:r>
    </w:p>
    <w:p w:rsidR="00691126" w:rsidRDefault="00691126">
      <w:pPr>
        <w:tabs>
          <w:tab w:val="left" w:pos="7938"/>
        </w:tabs>
        <w:spacing w:line="360" w:lineRule="auto"/>
        <w:ind w:left="1134"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Como bien se desprende de las definiciones, los registros contables y presupuestarios son asientos o anotaciones contables que se realizan tanto de los ingresos como de los egresos, a decir se trata de un control financiero en el que se reconoce la obligación del Tesorero de llevar dicho registro.</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Por otra parte, se establece que el sistema de contabilidad sobre base acumulativa total se sustentará en los principios de contabilidad gubernamental. Igualmente, los preceptos legales citados señalan que los Sujetos Obligados deben contar con una unidad administrativa </w:t>
      </w:r>
      <w:r>
        <w:rPr>
          <w:rFonts w:ascii="Palatino Linotype" w:eastAsia="Palatino Linotype" w:hAnsi="Palatino Linotype" w:cs="Palatino Linotype"/>
          <w:color w:val="000000"/>
        </w:rPr>
        <w:lastRenderedPageBreak/>
        <w:t>que registra contablemente el efecto patrimonial y presupuestal de las operaciones financieras que realizan, en el momento en que ocurran, con base en el sistema y políticas de registro establecidas.</w:t>
      </w:r>
    </w:p>
    <w:p w:rsidR="00EF4CCB" w:rsidRDefault="00EF4CCB" w:rsidP="00EF4CCB">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Correlativo a lo anterior, es preciso referir una definición de </w:t>
      </w:r>
      <w:r>
        <w:rPr>
          <w:rFonts w:ascii="Palatino Linotype" w:eastAsia="Palatino Linotype" w:hAnsi="Palatino Linotype" w:cs="Palatino Linotype"/>
          <w:i/>
          <w:iCs/>
          <w:color w:val="000000"/>
        </w:rPr>
        <w:t>póliza contable</w:t>
      </w:r>
      <w:r>
        <w:rPr>
          <w:rFonts w:ascii="Palatino Linotype" w:eastAsia="Palatino Linotype" w:hAnsi="Palatino Linotype" w:cs="Palatino Linotype"/>
          <w:color w:val="000000"/>
        </w:rPr>
        <w:t>, la cual, primeramente, no está definida en el Código Financiero del Estado de México y Municipios; no obstante, el ya mencionado Glosario la define como:</w:t>
      </w:r>
    </w:p>
    <w:p w:rsidR="00691126" w:rsidRDefault="00E8755A">
      <w:pPr>
        <w:ind w:left="1134" w:right="-1131"/>
        <w:jc w:val="both"/>
        <w:rPr>
          <w:rFonts w:ascii="Palatino Linotype" w:eastAsia="Palatino Linotype" w:hAnsi="Palatino Linotype" w:cs="Palatino Linotype"/>
          <w:b/>
          <w:bCs/>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PÓLIZA CONTABLE</w:t>
      </w:r>
    </w:p>
    <w:p w:rsidR="00691126" w:rsidRDefault="00E8755A">
      <w:pPr>
        <w:ind w:left="1134"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Documento en el cual se asientan en forma individual todas y cada una de las operaciones desarrolladas por una institución, así como la información necesaria para la identificación de dichas operaciones.” </w:t>
      </w:r>
    </w:p>
    <w:p w:rsidR="00691126" w:rsidRDefault="00691126">
      <w:pPr>
        <w:spacing w:line="360" w:lineRule="auto"/>
        <w:ind w:left="1134"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Así, se advierte que la </w:t>
      </w:r>
      <w:r>
        <w:rPr>
          <w:rFonts w:ascii="Palatino Linotype" w:eastAsia="Palatino Linotype" w:hAnsi="Palatino Linotype" w:cs="Palatino Linotype"/>
          <w:i/>
          <w:iCs/>
          <w:color w:val="000000"/>
        </w:rPr>
        <w:t>póliza contable</w:t>
      </w:r>
      <w:r>
        <w:rPr>
          <w:rFonts w:ascii="Palatino Linotype" w:eastAsia="Palatino Linotype" w:hAnsi="Palatino Linotype" w:cs="Palatino Linotype"/>
          <w:color w:val="000000"/>
        </w:rPr>
        <w:t xml:space="preserve"> constituye un registro contable y presupuestal con el que cuentan los Municipios para el registro de operaciones relacionadas con </w:t>
      </w:r>
      <w:r>
        <w:rPr>
          <w:rFonts w:ascii="Palatino Linotype" w:eastAsia="Palatino Linotype" w:hAnsi="Palatino Linotype" w:cs="Palatino Linotype"/>
          <w:color w:val="000000"/>
          <w:u w:val="single"/>
        </w:rPr>
        <w:t>ingresos y egresos</w:t>
      </w:r>
      <w:r>
        <w:rPr>
          <w:rFonts w:ascii="Palatino Linotype" w:eastAsia="Palatino Linotype" w:hAnsi="Palatino Linotype" w:cs="Palatino Linotype"/>
          <w:color w:val="000000"/>
        </w:rPr>
        <w:t xml:space="preserve"> y se anexan los documentos o comprobantes que justifiquen las anotaciones y cantidades en ellas registradas, lo que permite la identificación plena de dichas operaciones.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este sentido, existen diversos tipos de pólizas contables de acuerdo a las operaciones realizadas, dentro de las cuales, encontramos las </w:t>
      </w:r>
      <w:r>
        <w:rPr>
          <w:rFonts w:ascii="Palatino Linotype" w:eastAsia="Palatino Linotype" w:hAnsi="Palatino Linotype" w:cs="Palatino Linotype"/>
          <w:i/>
          <w:iCs/>
          <w:color w:val="000000"/>
        </w:rPr>
        <w:t>pólizas de egresos e ingresos</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b/>
          <w:bCs/>
          <w:color w:val="000000"/>
        </w:rPr>
        <w:t xml:space="preserve">las primeras son aquellas en las cuales </w:t>
      </w:r>
      <w:r>
        <w:rPr>
          <w:rFonts w:ascii="Palatino Linotype" w:eastAsia="Palatino Linotype" w:hAnsi="Palatino Linotype" w:cs="Palatino Linotype"/>
          <w:b/>
          <w:bCs/>
          <w:color w:val="000000"/>
          <w:u w:val="single"/>
        </w:rPr>
        <w:t>se anotan diariamente las operaciones que representan gastos, es decir, salidas de dinero</w:t>
      </w:r>
      <w:r>
        <w:rPr>
          <w:rFonts w:ascii="Palatino Linotype" w:eastAsia="Palatino Linotype" w:hAnsi="Palatino Linotype" w:cs="Palatino Linotype"/>
          <w:color w:val="000000"/>
        </w:rPr>
        <w:t xml:space="preserve"> para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las que además, </w:t>
      </w:r>
      <w:r>
        <w:rPr>
          <w:rFonts w:ascii="Palatino Linotype" w:eastAsia="Palatino Linotype" w:hAnsi="Palatino Linotype" w:cs="Palatino Linotype"/>
          <w:b/>
          <w:bCs/>
          <w:color w:val="000000"/>
        </w:rPr>
        <w:t>deben encontrarse acompañadas de las documentales que sirven de soporte de dicho movimiento</w:t>
      </w:r>
      <w:r>
        <w:rPr>
          <w:rFonts w:ascii="Palatino Linotype" w:eastAsia="Palatino Linotype" w:hAnsi="Palatino Linotype" w:cs="Palatino Linotype"/>
          <w:color w:val="000000"/>
        </w:rPr>
        <w:t>, en atención a las segundas, registran todas la entradas de dinero independientemente de la modalidad, ya sea en efectivo, transferencia, cheque o pagaré, mediante la expedición de facturas.</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Atento a lo anterior, como ya ha sido mencionado en la normatividad antes citada, todo registro contable y presupuestal deberá estar soportado con los documentos comprobatorios originales, como lo son las facturas o comprobantes fiscales digitales por internet,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w:t>
      </w:r>
    </w:p>
    <w:p w:rsidR="00691126" w:rsidRDefault="00691126">
      <w:pPr>
        <w:pBdr>
          <w:top w:val="nil"/>
          <w:left w:val="nil"/>
          <w:bottom w:val="nil"/>
          <w:right w:val="nil"/>
          <w:between w:val="nil"/>
        </w:pBdr>
        <w:ind w:left="720" w:right="-1131"/>
        <w:rPr>
          <w:rFonts w:ascii="Palatino Linotype" w:eastAsia="Palatino Linotype" w:hAnsi="Palatino Linotype" w:cs="Palatino Linotype"/>
          <w:color w:val="000000"/>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En consecuencia, el documento entregado no colma el requerimiento formulado, pues no constituye el tipo de documentación donde consten los gastos pagados por arrendamiento de inmuebles, arrendamiento de vehículos utilitarios, patrullas, ambulancias y camiones recolectores de basura, arrendamiento de computadoras y fotocopiadoras, arrendamiento de lonas, carpas y mobiliario, contratación de grupos musicales y juegos mecánicos; se trata de una respuesta materialmente incongruente con la naturaleza de lo solicitado.</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todo lo expuesto, se concluye que el Sujeto Obligado no proporcionó los documentos donde consten las erogaciones previamente expuestas en el periodo comprendido del primero de enero al siete de julio de dos mil veinticinco, limitándose a entregar información presupuestal general que no acredita erogaciones individualizadas, pese a que, conforme a su marco competencial y a la normativa financiera aplicable, se encuentra obligado a generar y resguardar la documentación comprobatoria correspondiente.</w:t>
      </w:r>
    </w:p>
    <w:p w:rsidR="00691126" w:rsidRDefault="00691126">
      <w:pPr>
        <w:pBdr>
          <w:top w:val="nil"/>
          <w:left w:val="nil"/>
          <w:bottom w:val="nil"/>
          <w:right w:val="nil"/>
          <w:between w:val="nil"/>
        </w:pBdr>
        <w:spacing w:line="360" w:lineRule="auto"/>
        <w:ind w:left="360" w:right="-1131"/>
        <w:jc w:val="both"/>
        <w:rPr>
          <w:rFonts w:ascii="Palatino Linotype" w:eastAsia="Palatino Linotype" w:hAnsi="Palatino Linotype" w:cs="Palatino Linotype"/>
        </w:rPr>
      </w:pPr>
    </w:p>
    <w:p w:rsidR="00691126" w:rsidRDefault="00E8755A">
      <w:pPr>
        <w:numPr>
          <w:ilvl w:val="0"/>
          <w:numId w:val="14"/>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consecuencia, lo procedente es ordenar al Sujeto Obligado que, a través de la Tesorería Municipal y de las demás unidades administrativas que resulten competentes, </w:t>
      </w:r>
      <w:r>
        <w:rPr>
          <w:rFonts w:ascii="Palatino Linotype" w:eastAsia="Palatino Linotype" w:hAnsi="Palatino Linotype" w:cs="Palatino Linotype"/>
          <w:color w:val="000000"/>
        </w:rPr>
        <w:lastRenderedPageBreak/>
        <w:t>realice una búsqueda exhaustiva y razonable en sus archivos físicos y electrónicos y entregue los documentos justificativos y comprobatorios donde consten los gastos referidos en la solicitud.</w:t>
      </w: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i/>
          <w:iCs/>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4. El derecho humano de acceso a la información pública es la prerrogativa de las personas para buscar, difundir, investigar, recabar, recibir y solicitar información pública, sin necesidad de acreditar personalidad ni interés jurídico. </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rsidR="00691126" w:rsidRDefault="00691126">
      <w:pPr>
        <w:pBdr>
          <w:top w:val="nil"/>
          <w:left w:val="nil"/>
          <w:bottom w:val="nil"/>
          <w:right w:val="nil"/>
          <w:between w:val="nil"/>
        </w:pBdr>
        <w:ind w:left="1134" w:right="-1131"/>
        <w:jc w:val="both"/>
        <w:rPr>
          <w:rFonts w:ascii="Palatino Linotype" w:eastAsia="Palatino Linotype" w:hAnsi="Palatino Linotype" w:cs="Palatino Linotype"/>
          <w:i/>
          <w:iCs/>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691126" w:rsidRDefault="00E8755A">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rsidR="00691126" w:rsidRDefault="00E8755A">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691126" w:rsidRDefault="00691126">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p>
    <w:p w:rsidR="00691126" w:rsidRDefault="00691126">
      <w:pPr>
        <w:pBdr>
          <w:top w:val="nil"/>
          <w:left w:val="nil"/>
          <w:bottom w:val="nil"/>
          <w:right w:val="nil"/>
          <w:between w:val="nil"/>
        </w:pBdr>
        <w:ind w:right="-1131"/>
        <w:jc w:val="both"/>
        <w:rPr>
          <w:rFonts w:ascii="Palatino Linotype" w:eastAsia="Palatino Linotype" w:hAnsi="Palatino Linotype" w:cs="Palatino Linotype"/>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rsidR="00691126" w:rsidRDefault="00E8755A">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03/17</w:t>
      </w:r>
    </w:p>
    <w:p w:rsidR="00691126" w:rsidRDefault="00E8755A">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EXISTE OBLIGACIÓN DE ELABORAR DOCUMENTOS AD HOC PARA ATENDER LAS SOLICITUDES DE ACCESO A LA INFORMACIÓN.</w:t>
      </w:r>
    </w:p>
    <w:p w:rsidR="00691126" w:rsidRDefault="00E8755A">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129 de la Ley General de Transparencia y Acceso a la Información Pública y 130, párrafo cuarto, vigente a la fecha de la solicitud, de la Ley Federal de Transparencia y Acceso a la Información Pública, señalan que los sujetos obligados deberán otorgar acceso a </w:t>
      </w:r>
      <w:r>
        <w:rPr>
          <w:rFonts w:ascii="Palatino Linotype" w:eastAsia="Palatino Linotype" w:hAnsi="Palatino Linotype" w:cs="Palatino Linotype"/>
          <w:i/>
          <w:iCs/>
          <w:color w:val="000000"/>
        </w:rPr>
        <w:lastRenderedPageBreak/>
        <w:t>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691126" w:rsidRDefault="00691126">
      <w:pPr>
        <w:pBdr>
          <w:top w:val="nil"/>
          <w:left w:val="nil"/>
          <w:bottom w:val="nil"/>
          <w:right w:val="nil"/>
          <w:between w:val="nil"/>
        </w:pBdr>
        <w:spacing w:line="276" w:lineRule="auto"/>
        <w:ind w:left="1134" w:right="-1131"/>
        <w:jc w:val="both"/>
        <w:rPr>
          <w:rFonts w:ascii="Palatino Linotype" w:eastAsia="Palatino Linotype" w:hAnsi="Palatino Linotype" w:cs="Palatino Linotype"/>
          <w:i/>
          <w:iCs/>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691126" w:rsidRDefault="00691126">
      <w:pPr>
        <w:pBdr>
          <w:top w:val="nil"/>
          <w:left w:val="nil"/>
          <w:bottom w:val="nil"/>
          <w:right w:val="nil"/>
          <w:between w:val="nil"/>
        </w:pBdr>
        <w:ind w:right="-1131"/>
        <w:jc w:val="both"/>
        <w:rPr>
          <w:rFonts w:ascii="Palatino Linotype" w:eastAsia="Palatino Linotype" w:hAnsi="Palatino Linotype" w:cs="Palatino Linotype"/>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691126" w:rsidRDefault="00691126">
      <w:pPr>
        <w:pBdr>
          <w:top w:val="nil"/>
          <w:left w:val="nil"/>
          <w:bottom w:val="nil"/>
          <w:right w:val="nil"/>
          <w:between w:val="nil"/>
        </w:pBdr>
        <w:ind w:right="-1131"/>
        <w:jc w:val="both"/>
        <w:rPr>
          <w:rFonts w:ascii="Palatino Linotype" w:eastAsia="Palatino Linotype" w:hAnsi="Palatino Linotype" w:cs="Palatino Linotype"/>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w:t>
      </w:r>
      <w:r>
        <w:rPr>
          <w:rFonts w:ascii="Palatino Linotype" w:eastAsia="Palatino Linotype" w:hAnsi="Palatino Linotype" w:cs="Palatino Linotype"/>
          <w:color w:val="000000"/>
        </w:rPr>
        <w:lastRenderedPageBreak/>
        <w:t xml:space="preserve">sea escrito, impreso, sonoro, visual, electrónico, informático u holográfico de conformidad con el artículo 3, fracción XI de la Ley de la materia, el cual señala lo siguiente: </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 Para los efectos de la presente Ley se entenderá por:</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rsidR="00691126" w:rsidRDefault="00691126">
      <w:pPr>
        <w:pBdr>
          <w:top w:val="nil"/>
          <w:left w:val="nil"/>
          <w:bottom w:val="nil"/>
          <w:right w:val="nil"/>
          <w:between w:val="nil"/>
        </w:pBdr>
        <w:ind w:left="1134" w:right="-1131"/>
        <w:jc w:val="both"/>
        <w:rPr>
          <w:rFonts w:ascii="Palatino Linotype" w:eastAsia="Palatino Linotype" w:hAnsi="Palatino Linotype" w:cs="Palatino Linotype"/>
          <w:i/>
          <w:iCs/>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0002-11</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2)</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rsidR="00691126" w:rsidRDefault="00E8755A">
      <w:pPr>
        <w:pBdr>
          <w:top w:val="nil"/>
          <w:left w:val="nil"/>
          <w:bottom w:val="nil"/>
          <w:right w:val="nil"/>
          <w:between w:val="nil"/>
        </w:pBdr>
        <w:ind w:left="1134" w:right="-113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3) Que se trate de información registrada en cualquier soporte documental, que en ejercicio de las atribuciones conferidas, se encuentre en posesión de los Sujetos Obligados.” (Sic)</w:t>
      </w:r>
    </w:p>
    <w:p w:rsidR="00691126" w:rsidRDefault="00691126">
      <w:pPr>
        <w:pBdr>
          <w:top w:val="nil"/>
          <w:left w:val="nil"/>
          <w:bottom w:val="nil"/>
          <w:right w:val="nil"/>
          <w:between w:val="nil"/>
        </w:pBdr>
        <w:ind w:left="1134" w:right="-1131"/>
        <w:jc w:val="both"/>
        <w:rPr>
          <w:rFonts w:ascii="Palatino Linotype" w:eastAsia="Palatino Linotype" w:hAnsi="Palatino Linotype" w:cs="Palatino Linotype"/>
          <w:i/>
          <w:iCs/>
          <w:color w:val="000000"/>
        </w:rPr>
      </w:pPr>
    </w:p>
    <w:p w:rsidR="00691126" w:rsidRDefault="00E8755A">
      <w:pPr>
        <w:numPr>
          <w:ilvl w:val="0"/>
          <w:numId w:val="9"/>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para la sociedad y no simplemente de interés individual, y cuya divulgación resulta útil para que el público comprenda las actividades que llevan a cabo los Sujetos Obligados .</w:t>
      </w:r>
    </w:p>
    <w:p w:rsidR="00691126" w:rsidRDefault="00691126">
      <w:pPr>
        <w:pBdr>
          <w:top w:val="nil"/>
          <w:left w:val="nil"/>
          <w:bottom w:val="nil"/>
          <w:right w:val="nil"/>
          <w:between w:val="nil"/>
        </w:pBdr>
        <w:spacing w:line="360" w:lineRule="auto"/>
        <w:ind w:left="1495" w:right="-1131"/>
        <w:jc w:val="both"/>
        <w:rPr>
          <w:rFonts w:ascii="Palatino Linotype" w:eastAsia="Palatino Linotype" w:hAnsi="Palatino Linotype" w:cs="Palatino Linotype"/>
        </w:rPr>
      </w:pPr>
    </w:p>
    <w:p w:rsidR="00691126" w:rsidRDefault="00E8755A">
      <w:pPr>
        <w:numPr>
          <w:ilvl w:val="0"/>
          <w:numId w:val="9"/>
        </w:numPr>
        <w:pBdr>
          <w:top w:val="nil"/>
          <w:left w:val="nil"/>
          <w:bottom w:val="nil"/>
          <w:right w:val="nil"/>
          <w:between w:val="nil"/>
        </w:pBdr>
        <w:spacing w:before="80"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Al respecto de lo expuesto, se destaca que la versión pública que elabore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w:t>
      </w:r>
    </w:p>
    <w:p w:rsidR="00691126" w:rsidRDefault="00E8755A">
      <w:pPr>
        <w:tabs>
          <w:tab w:val="left" w:pos="426"/>
        </w:tabs>
        <w:spacing w:before="240" w:line="360" w:lineRule="auto"/>
        <w:ind w:right="-113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691126" w:rsidRDefault="00E8755A">
      <w:pPr>
        <w:numPr>
          <w:ilvl w:val="0"/>
          <w:numId w:val="17"/>
        </w:numP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Debe destacarse, que debido a que en la información solicitada por el </w:t>
      </w:r>
      <w:r>
        <w:rPr>
          <w:rFonts w:ascii="Palatino Linotype" w:eastAsia="Palatino Linotype" w:hAnsi="Palatino Linotype" w:cs="Palatino Linotype"/>
          <w:b/>
          <w:bCs/>
          <w:color w:val="000000"/>
        </w:rPr>
        <w:t xml:space="preserve">RECURRENTE, pueden obrar </w:t>
      </w:r>
      <w:r>
        <w:rPr>
          <w:rFonts w:ascii="Palatino Linotype" w:eastAsia="Palatino Linotype" w:hAnsi="Palatino Linotype" w:cs="Palatino Linotype"/>
          <w:color w:val="000000"/>
        </w:rPr>
        <w:t xml:space="preserve">datos personales susceptibles de protegerse, así como información susceptible de clasificarse como confidencial,  por lo que el </w:t>
      </w:r>
      <w:r>
        <w:rPr>
          <w:rFonts w:ascii="Palatino Linotype" w:eastAsia="Palatino Linotype" w:hAnsi="Palatino Linotype" w:cs="Palatino Linotype"/>
          <w:b/>
          <w:bCs/>
          <w:color w:val="000000"/>
        </w:rPr>
        <w:t xml:space="preserve">SUJETO OBLIGADO </w:t>
      </w:r>
      <w:r>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691126" w:rsidRDefault="00691126">
      <w:pPr>
        <w:tabs>
          <w:tab w:val="left" w:pos="0"/>
          <w:tab w:val="left" w:pos="284"/>
        </w:tabs>
        <w:spacing w:line="360" w:lineRule="auto"/>
        <w:ind w:right="-1131"/>
        <w:jc w:val="both"/>
        <w:rPr>
          <w:rFonts w:ascii="Palatino Linotype" w:eastAsia="Palatino Linotype" w:hAnsi="Palatino Linotype" w:cs="Palatino Linotype"/>
          <w:highlight w:val="yellow"/>
        </w:rPr>
      </w:pPr>
    </w:p>
    <w:p w:rsidR="00691126" w:rsidRDefault="00E8755A">
      <w:pPr>
        <w:numPr>
          <w:ilvl w:val="0"/>
          <w:numId w:val="17"/>
        </w:numP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691126" w:rsidRDefault="00691126">
      <w:pPr>
        <w:tabs>
          <w:tab w:val="left" w:pos="284"/>
        </w:tabs>
        <w:spacing w:after="160" w:line="360" w:lineRule="auto"/>
        <w:ind w:right="-1131"/>
        <w:jc w:val="both"/>
        <w:rPr>
          <w:rFonts w:ascii="Palatino Linotype" w:eastAsia="Palatino Linotype" w:hAnsi="Palatino Linotype" w:cs="Palatino Linotype"/>
          <w:color w:val="000000"/>
        </w:rPr>
      </w:pPr>
    </w:p>
    <w:tbl>
      <w:tblPr>
        <w:tblStyle w:val="a"/>
        <w:tblW w:w="982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895"/>
        <w:gridCol w:w="6930"/>
      </w:tblGrid>
      <w:tr w:rsidR="00691126">
        <w:tc>
          <w:tcPr>
            <w:tcW w:w="2895" w:type="dxa"/>
          </w:tcPr>
          <w:p w:rsidR="00691126" w:rsidRDefault="00E8755A">
            <w:pPr>
              <w:tabs>
                <w:tab w:val="left" w:pos="284"/>
              </w:tabs>
              <w:spacing w:line="360" w:lineRule="auto"/>
              <w:ind w:right="-37"/>
              <w:rPr>
                <w:rFonts w:ascii="Palatino Linotype" w:eastAsia="Palatino Linotype" w:hAnsi="Palatino Linotype" w:cs="Palatino Linotype"/>
                <w:b/>
                <w:bCs/>
              </w:rPr>
            </w:pPr>
            <w:r>
              <w:rPr>
                <w:rFonts w:ascii="Palatino Linotype" w:eastAsia="Palatino Linotype" w:hAnsi="Palatino Linotype" w:cs="Palatino Linotype"/>
                <w:color w:val="000000"/>
              </w:rPr>
              <w:tab/>
            </w:r>
            <w:r>
              <w:rPr>
                <w:rFonts w:ascii="Palatino Linotype" w:eastAsia="Palatino Linotype" w:hAnsi="Palatino Linotype" w:cs="Palatino Linotype"/>
                <w:b/>
                <w:bCs/>
              </w:rPr>
              <w:t>a) Requisitos previos.</w:t>
            </w:r>
          </w:p>
        </w:tc>
        <w:tc>
          <w:tcPr>
            <w:tcW w:w="6930" w:type="dxa"/>
          </w:tcPr>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691126" w:rsidRDefault="00E8755A">
            <w:pPr>
              <w:tabs>
                <w:tab w:val="left" w:pos="284"/>
              </w:tabs>
              <w:spacing w:line="276" w:lineRule="auto"/>
              <w:ind w:right="-3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691126">
        <w:tc>
          <w:tcPr>
            <w:tcW w:w="2895" w:type="dxa"/>
            <w:shd w:val="clear" w:color="auto" w:fill="D9D9D9"/>
          </w:tcPr>
          <w:p w:rsidR="00691126" w:rsidRDefault="00E8755A">
            <w:pPr>
              <w:tabs>
                <w:tab w:val="left" w:pos="284"/>
              </w:tabs>
              <w:spacing w:line="360" w:lineRule="auto"/>
              <w:ind w:right="-37"/>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6930" w:type="dxa"/>
            <w:shd w:val="clear" w:color="auto" w:fill="D9D9D9"/>
          </w:tcPr>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w:t>
            </w:r>
            <w:r>
              <w:rPr>
                <w:rFonts w:ascii="Palatino Linotype" w:eastAsia="Palatino Linotype" w:hAnsi="Palatino Linotype" w:cs="Palatino Linotype"/>
                <w:i/>
                <w:iCs/>
                <w:color w:val="000000"/>
              </w:rPr>
              <w:lastRenderedPageBreak/>
              <w:t>ampliar las excepciones o supuestos de clasificación aduciendo analogía o mayoría de razón.</w:t>
            </w:r>
          </w:p>
          <w:p w:rsidR="00691126" w:rsidRDefault="00E8755A">
            <w:pPr>
              <w:tabs>
                <w:tab w:val="left" w:pos="284"/>
              </w:tabs>
              <w:spacing w:line="276" w:lineRule="auto"/>
              <w:ind w:right="-3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691126">
        <w:tc>
          <w:tcPr>
            <w:tcW w:w="2895" w:type="dxa"/>
          </w:tcPr>
          <w:p w:rsidR="00691126" w:rsidRDefault="00E8755A">
            <w:pPr>
              <w:tabs>
                <w:tab w:val="left" w:pos="284"/>
              </w:tabs>
              <w:spacing w:line="360" w:lineRule="auto"/>
              <w:ind w:right="-37"/>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6930" w:type="dxa"/>
          </w:tcPr>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691126" w:rsidRDefault="00E8755A">
            <w:pPr>
              <w:tabs>
                <w:tab w:val="left" w:pos="284"/>
              </w:tabs>
              <w:spacing w:line="276" w:lineRule="auto"/>
              <w:ind w:right="-37"/>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691126">
        <w:tc>
          <w:tcPr>
            <w:tcW w:w="2895" w:type="dxa"/>
            <w:shd w:val="clear" w:color="auto" w:fill="D9D9D9"/>
          </w:tcPr>
          <w:p w:rsidR="00691126" w:rsidRDefault="00691126">
            <w:pPr>
              <w:tabs>
                <w:tab w:val="left" w:pos="284"/>
              </w:tabs>
              <w:spacing w:line="360" w:lineRule="auto"/>
              <w:ind w:right="-37"/>
              <w:rPr>
                <w:rFonts w:ascii="Palatino Linotype" w:eastAsia="Palatino Linotype" w:hAnsi="Palatino Linotype" w:cs="Palatino Linotype"/>
                <w:b/>
                <w:bCs/>
              </w:rPr>
            </w:pPr>
          </w:p>
          <w:p w:rsidR="00691126" w:rsidRDefault="00E8755A">
            <w:pPr>
              <w:tabs>
                <w:tab w:val="left" w:pos="284"/>
              </w:tabs>
              <w:spacing w:line="360" w:lineRule="auto"/>
              <w:ind w:right="-37"/>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6930" w:type="dxa"/>
            <w:shd w:val="clear" w:color="auto" w:fill="D9D9D9"/>
          </w:tcPr>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xml:space="preserve">, esto es determinar los datos que se suprimen en las versiones públicas, es necesario fundar y motivar, de manera correcta, la </w:t>
            </w:r>
            <w:r>
              <w:rPr>
                <w:rFonts w:ascii="Palatino Linotype" w:eastAsia="Palatino Linotype" w:hAnsi="Palatino Linotype" w:cs="Palatino Linotype"/>
                <w:i/>
                <w:iCs/>
                <w:color w:val="000000"/>
              </w:rPr>
              <w:lastRenderedPageBreak/>
              <w:t>clasificación; considerando que todo acto que la autoridad pronuncie en el ejercicio de sus atribuciones, debe expresar los fundamentos legales que le dieron origen y las razones por las que se deben aplicar al caso concreto.</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691126">
        <w:tc>
          <w:tcPr>
            <w:tcW w:w="2895" w:type="dxa"/>
          </w:tcPr>
          <w:p w:rsidR="00691126" w:rsidRDefault="00E8755A">
            <w:pPr>
              <w:tabs>
                <w:tab w:val="left" w:pos="284"/>
              </w:tabs>
              <w:spacing w:line="360" w:lineRule="auto"/>
              <w:ind w:right="-37"/>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6930" w:type="dxa"/>
          </w:tcPr>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691126" w:rsidRDefault="00E8755A">
            <w:pPr>
              <w:tabs>
                <w:tab w:val="left" w:pos="284"/>
              </w:tabs>
              <w:spacing w:line="276" w:lineRule="auto"/>
              <w:ind w:right="-37"/>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691126" w:rsidRDefault="00E8755A">
            <w:pPr>
              <w:tabs>
                <w:tab w:val="left" w:pos="284"/>
              </w:tabs>
              <w:spacing w:line="276" w:lineRule="auto"/>
              <w:ind w:right="-37"/>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Pero si la información que se pretende clasificar como confidencial no se encuentra en los supuestos de los artículos señalados y es posible, </w:t>
            </w:r>
            <w:r>
              <w:rPr>
                <w:rFonts w:ascii="Palatino Linotype" w:eastAsia="Palatino Linotype" w:hAnsi="Palatino Linotype" w:cs="Palatino Linotype"/>
                <w:i/>
                <w:iCs/>
                <w:color w:val="000000"/>
              </w:rPr>
              <w:lastRenderedPageBreak/>
              <w:t>se deberá consultar al titular de los datos si permite o no el acceso. De no ser posible, la realización de la consulta, procede, fundando y motivando, la clasificación.</w:t>
            </w:r>
          </w:p>
        </w:tc>
      </w:tr>
    </w:tbl>
    <w:p w:rsidR="00691126" w:rsidRDefault="00691126">
      <w:pPr>
        <w:tabs>
          <w:tab w:val="left" w:pos="284"/>
        </w:tabs>
        <w:spacing w:line="360" w:lineRule="auto"/>
        <w:ind w:right="-1131"/>
        <w:jc w:val="both"/>
        <w:rPr>
          <w:rFonts w:ascii="Palatino Linotype" w:eastAsia="Palatino Linotype" w:hAnsi="Palatino Linotype" w:cs="Palatino Linotype"/>
          <w:color w:val="000000"/>
        </w:rPr>
      </w:pPr>
    </w:p>
    <w:p w:rsidR="00691126" w:rsidRDefault="00E8755A">
      <w:pPr>
        <w:numPr>
          <w:ilvl w:val="0"/>
          <w:numId w:val="17"/>
        </w:numPr>
        <w:pBdr>
          <w:top w:val="nil"/>
          <w:left w:val="nil"/>
          <w:bottom w:val="nil"/>
          <w:right w:val="nil"/>
          <w:between w:val="nil"/>
        </w:pBdr>
        <w:spacing w:line="360" w:lineRule="auto"/>
        <w:ind w:left="0" w:right="-113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numPr>
          <w:ilvl w:val="0"/>
          <w:numId w:val="17"/>
        </w:numPr>
        <w:spacing w:line="360" w:lineRule="auto"/>
        <w:ind w:left="0" w:right="-113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691126" w:rsidRDefault="00691126">
      <w:pPr>
        <w:pBdr>
          <w:top w:val="nil"/>
          <w:left w:val="nil"/>
          <w:bottom w:val="nil"/>
          <w:right w:val="nil"/>
          <w:between w:val="nil"/>
        </w:pBdr>
        <w:ind w:left="720" w:right="-1131"/>
        <w:rPr>
          <w:rFonts w:ascii="Palatino Linotype" w:eastAsia="Palatino Linotype" w:hAnsi="Palatino Linotype" w:cs="Palatino Linotype"/>
          <w:color w:val="000000"/>
        </w:rPr>
      </w:pPr>
    </w:p>
    <w:p w:rsidR="00691126" w:rsidRPr="00EF4CCB" w:rsidRDefault="00E8755A">
      <w:pPr>
        <w:numPr>
          <w:ilvl w:val="0"/>
          <w:numId w:val="15"/>
        </w:numPr>
        <w:pBdr>
          <w:top w:val="nil"/>
          <w:left w:val="nil"/>
          <w:bottom w:val="nil"/>
          <w:right w:val="nil"/>
          <w:between w:val="nil"/>
        </w:pBdr>
        <w:spacing w:line="360" w:lineRule="auto"/>
        <w:ind w:left="0" w:right="-1131" w:firstLine="0"/>
        <w:jc w:val="both"/>
        <w:rPr>
          <w:rFonts w:ascii="Century Gothic" w:eastAsia="Century Gothic" w:hAnsi="Century Gothic" w:cs="Century Gothic"/>
          <w:color w:val="000000"/>
        </w:rPr>
      </w:pPr>
      <w:r>
        <w:rPr>
          <w:rFonts w:ascii="Palatino Linotype" w:eastAsia="Palatino Linotype" w:hAnsi="Palatino Linotype" w:cs="Palatino Linotype"/>
          <w:color w:val="000000"/>
        </w:rPr>
        <w:t>Por lo anteriormente expuesto, este Órgano Garante considera parcialmente fundadas las razones o motivos de inconformidad que plantea el</w:t>
      </w:r>
      <w:r>
        <w:rPr>
          <w:rFonts w:ascii="Palatino Linotype" w:eastAsia="Palatino Linotype" w:hAnsi="Palatino Linotype" w:cs="Palatino Linotype"/>
          <w:b/>
          <w:bCs/>
          <w:color w:val="000000"/>
        </w:rPr>
        <w:t xml:space="preserve"> RECURRENTE</w:t>
      </w:r>
      <w:r>
        <w:rPr>
          <w:rFonts w:ascii="Palatino Linotype" w:eastAsia="Palatino Linotype" w:hAnsi="Palatino Linotype" w:cs="Palatino Linotype"/>
          <w:color w:val="000000"/>
        </w:rPr>
        <w:t xml:space="preserve">, determinando </w:t>
      </w:r>
      <w:r>
        <w:rPr>
          <w:rFonts w:ascii="Palatino Linotype" w:eastAsia="Palatino Linotype" w:hAnsi="Palatino Linotype" w:cs="Palatino Linotype"/>
          <w:b/>
          <w:bCs/>
          <w:smallCaps/>
          <w:color w:val="000000"/>
        </w:rPr>
        <w:t>MODIFICAR</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la respuesta del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este </w:t>
      </w:r>
      <w:r>
        <w:rPr>
          <w:rFonts w:ascii="Palatino Linotype" w:eastAsia="Palatino Linotype" w:hAnsi="Palatino Linotype" w:cs="Palatino Linotype"/>
          <w:b/>
          <w:bCs/>
          <w:color w:val="000000"/>
        </w:rPr>
        <w:t>ÓRGANO GARANTE</w:t>
      </w:r>
      <w:r>
        <w:rPr>
          <w:rFonts w:ascii="Palatino Linotype" w:eastAsia="Palatino Linotype" w:hAnsi="Palatino Linotype" w:cs="Palatino Linotype"/>
          <w:color w:val="000000"/>
        </w:rPr>
        <w:t xml:space="preserve"> emite los siguientes</w:t>
      </w:r>
      <w:r>
        <w:rPr>
          <w:rFonts w:ascii="Palatino Linotype" w:eastAsia="Palatino Linotype" w:hAnsi="Palatino Linotype" w:cs="Palatino Linotype"/>
          <w:color w:val="222222"/>
        </w:rPr>
        <w:t>:</w:t>
      </w:r>
      <w:r w:rsidR="00EF4CCB">
        <w:rPr>
          <w:rFonts w:ascii="Palatino Linotype" w:eastAsia="Palatino Linotype" w:hAnsi="Palatino Linotype" w:cs="Palatino Linotype"/>
          <w:color w:val="222222"/>
        </w:rPr>
        <w:t xml:space="preserve"> -----------</w:t>
      </w:r>
    </w:p>
    <w:p w:rsidR="00EF4CCB" w:rsidRDefault="00EF4CCB" w:rsidP="00EF4CCB">
      <w:pPr>
        <w:pBdr>
          <w:top w:val="nil"/>
          <w:left w:val="nil"/>
          <w:bottom w:val="nil"/>
          <w:right w:val="nil"/>
          <w:between w:val="nil"/>
        </w:pBdr>
        <w:spacing w:line="360" w:lineRule="auto"/>
        <w:ind w:right="-1131"/>
        <w:jc w:val="both"/>
        <w:rPr>
          <w:rFonts w:ascii="Palatino Linotype" w:eastAsia="Palatino Linotype" w:hAnsi="Palatino Linotype" w:cs="Palatino Linotype"/>
          <w:color w:val="222222"/>
        </w:rPr>
      </w:pPr>
    </w:p>
    <w:p w:rsidR="00EF4CCB" w:rsidRDefault="00EF4CCB" w:rsidP="00EF4CCB">
      <w:pPr>
        <w:pBdr>
          <w:top w:val="nil"/>
          <w:left w:val="nil"/>
          <w:bottom w:val="nil"/>
          <w:right w:val="nil"/>
          <w:between w:val="nil"/>
        </w:pBdr>
        <w:spacing w:line="360" w:lineRule="auto"/>
        <w:ind w:right="-1131"/>
        <w:jc w:val="both"/>
        <w:rPr>
          <w:rFonts w:ascii="Century Gothic" w:eastAsia="Century Gothic" w:hAnsi="Century Gothic" w:cs="Century Gothic"/>
          <w:color w:val="000000"/>
        </w:rPr>
      </w:pPr>
    </w:p>
    <w:p w:rsidR="00691126" w:rsidRDefault="00691126">
      <w:pPr>
        <w:pBdr>
          <w:top w:val="nil"/>
          <w:left w:val="nil"/>
          <w:bottom w:val="nil"/>
          <w:right w:val="nil"/>
          <w:between w:val="nil"/>
        </w:pBdr>
        <w:ind w:left="720" w:right="-1131"/>
        <w:rPr>
          <w:rFonts w:ascii="Palatino Linotype" w:eastAsia="Palatino Linotype" w:hAnsi="Palatino Linotype" w:cs="Palatino Linotype"/>
          <w:color w:val="000000"/>
        </w:rPr>
      </w:pPr>
    </w:p>
    <w:p w:rsidR="00691126" w:rsidRDefault="00691126">
      <w:pPr>
        <w:pBdr>
          <w:top w:val="nil"/>
          <w:left w:val="nil"/>
          <w:bottom w:val="nil"/>
          <w:right w:val="nil"/>
          <w:between w:val="nil"/>
        </w:pBdr>
        <w:spacing w:line="360" w:lineRule="auto"/>
        <w:ind w:right="-1131"/>
        <w:jc w:val="both"/>
        <w:rPr>
          <w:rFonts w:ascii="Palatino Linotype" w:eastAsia="Palatino Linotype" w:hAnsi="Palatino Linotype" w:cs="Palatino Linotype"/>
          <w:color w:val="000000"/>
        </w:rPr>
      </w:pPr>
    </w:p>
    <w:p w:rsidR="00691126" w:rsidRDefault="00E8755A">
      <w:pPr>
        <w:keepNext/>
        <w:keepLines/>
        <w:spacing w:line="360" w:lineRule="auto"/>
        <w:ind w:right="-1131"/>
        <w:jc w:val="center"/>
        <w:rPr>
          <w:rFonts w:ascii="Palatino Linotype" w:eastAsia="Palatino Linotype" w:hAnsi="Palatino Linotype" w:cs="Palatino Linotype"/>
          <w:b/>
          <w:bCs/>
          <w:color w:val="000000"/>
        </w:rPr>
      </w:pPr>
      <w:bookmarkStart w:id="13" w:name="_heading=h.35nkun2" w:colFirst="0" w:colLast="0"/>
      <w:bookmarkEnd w:id="13"/>
      <w:r>
        <w:rPr>
          <w:rFonts w:ascii="Palatino Linotype" w:eastAsia="Palatino Linotype" w:hAnsi="Palatino Linotype" w:cs="Palatino Linotype"/>
          <w:b/>
          <w:bCs/>
          <w:color w:val="000000"/>
        </w:rPr>
        <w:lastRenderedPageBreak/>
        <w:t xml:space="preserve">R E S O L U T I V O S </w:t>
      </w:r>
    </w:p>
    <w:p w:rsidR="00691126" w:rsidRDefault="00691126">
      <w:pPr>
        <w:spacing w:line="360" w:lineRule="auto"/>
        <w:ind w:right="-1131"/>
        <w:rPr>
          <w:rFonts w:ascii="Palatino Linotype" w:eastAsia="Palatino Linotype" w:hAnsi="Palatino Linotype" w:cs="Palatino Linotype"/>
        </w:rPr>
      </w:pPr>
    </w:p>
    <w:p w:rsidR="00691126" w:rsidRDefault="00E8755A">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PRIMERO. </w:t>
      </w:r>
      <w:r>
        <w:rPr>
          <w:rFonts w:ascii="Palatino Linotype" w:eastAsia="Palatino Linotype" w:hAnsi="Palatino Linotype" w:cs="Palatino Linotype"/>
        </w:rPr>
        <w:t>Resultan parcialmente fundadas las</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razones o motivos de inconformidad hechos valer en el recurso de revisión </w:t>
      </w:r>
      <w:r>
        <w:rPr>
          <w:rFonts w:ascii="Palatino Linotype" w:eastAsia="Palatino Linotype" w:hAnsi="Palatino Linotype" w:cs="Palatino Linotype"/>
          <w:b/>
          <w:bCs/>
        </w:rPr>
        <w:t xml:space="preserve">10373/INFOEM/IP/RR/2025, </w:t>
      </w:r>
      <w:r>
        <w:rPr>
          <w:rFonts w:ascii="Palatino Linotype" w:eastAsia="Palatino Linotype" w:hAnsi="Palatino Linotype" w:cs="Palatino Linotype"/>
        </w:rPr>
        <w:t>en términos del</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considerandos </w:t>
      </w:r>
      <w:r>
        <w:rPr>
          <w:rFonts w:ascii="Palatino Linotype" w:eastAsia="Palatino Linotype" w:hAnsi="Palatino Linotype" w:cs="Palatino Linotype"/>
          <w:b/>
          <w:bCs/>
        </w:rPr>
        <w:t xml:space="preserve">CUARTO Y QUINTO </w:t>
      </w:r>
      <w:r>
        <w:rPr>
          <w:rFonts w:ascii="Palatino Linotype" w:eastAsia="Palatino Linotype" w:hAnsi="Palatino Linotype" w:cs="Palatino Linotype"/>
        </w:rPr>
        <w:t>de la presente resolución.</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spacing w:line="360" w:lineRule="auto"/>
        <w:ind w:right="-113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 xml:space="preserve">SEGUNDO.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la respuesta y se </w:t>
      </w:r>
      <w:r>
        <w:rPr>
          <w:rFonts w:ascii="Palatino Linotype" w:eastAsia="Palatino Linotype" w:hAnsi="Palatino Linotype" w:cs="Palatino Linotype"/>
          <w:b/>
          <w:bCs/>
          <w:color w:val="000000"/>
        </w:rPr>
        <w:t xml:space="preserve">ORDENA </w:t>
      </w:r>
      <w:r>
        <w:rPr>
          <w:rFonts w:ascii="Palatino Linotype" w:eastAsia="Palatino Linotype" w:hAnsi="Palatino Linotype" w:cs="Palatino Linotype"/>
          <w:color w:val="000000"/>
        </w:rPr>
        <w:t xml:space="preserve">al </w:t>
      </w:r>
      <w:r>
        <w:rPr>
          <w:rFonts w:ascii="Palatino Linotype" w:eastAsia="Palatino Linotype" w:hAnsi="Palatino Linotype" w:cs="Palatino Linotype"/>
          <w:b/>
          <w:bCs/>
          <w:color w:val="000000"/>
        </w:rPr>
        <w:t xml:space="preserve">Ayuntamiento de Almoloya de Juárez, </w:t>
      </w:r>
      <w:r>
        <w:rPr>
          <w:rFonts w:ascii="Palatino Linotype" w:eastAsia="Palatino Linotype" w:hAnsi="Palatino Linotype" w:cs="Palatino Linotype"/>
          <w:b/>
          <w:bCs/>
        </w:rPr>
        <w:t xml:space="preserve"> </w:t>
      </w:r>
      <w:r>
        <w:rPr>
          <w:rFonts w:ascii="Palatino Linotype" w:eastAsia="Palatino Linotype" w:hAnsi="Palatino Linotype" w:cs="Palatino Linotype"/>
          <w:color w:val="000000"/>
        </w:rPr>
        <w:t xml:space="preserve">entregar vía Sistema de 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color w:val="000000"/>
        </w:rPr>
        <w:t xml:space="preserve">, del uno de enero al dieciocho de julio de dos mil veinticinco,  de ser procedente en versión pública la siguiente información </w:t>
      </w:r>
    </w:p>
    <w:p w:rsidR="00691126" w:rsidRDefault="00691126">
      <w:pPr>
        <w:spacing w:line="360" w:lineRule="auto"/>
        <w:ind w:right="-1131"/>
        <w:jc w:val="both"/>
        <w:rPr>
          <w:rFonts w:ascii="Palatino Linotype" w:eastAsia="Palatino Linotype" w:hAnsi="Palatino Linotype" w:cs="Palatino Linotype"/>
          <w:color w:val="000000"/>
        </w:rPr>
      </w:pPr>
    </w:p>
    <w:p w:rsidR="00691126" w:rsidRDefault="00E8755A">
      <w:pPr>
        <w:pBdr>
          <w:top w:val="nil"/>
          <w:left w:val="nil"/>
          <w:bottom w:val="nil"/>
          <w:right w:val="nil"/>
          <w:between w:val="nil"/>
        </w:pBdr>
        <w:spacing w:line="276" w:lineRule="auto"/>
        <w:ind w:left="709" w:right="-1131"/>
        <w:rPr>
          <w:rFonts w:ascii="Palatino Linotype" w:eastAsia="Palatino Linotype" w:hAnsi="Palatino Linotype" w:cs="Palatino Linotype"/>
          <w:b/>
          <w:bCs/>
          <w:i/>
          <w:iCs/>
        </w:rPr>
      </w:pPr>
      <w:r>
        <w:rPr>
          <w:rFonts w:ascii="Palatino Linotype" w:eastAsia="Palatino Linotype" w:hAnsi="Palatino Linotype" w:cs="Palatino Linotype"/>
          <w:b/>
          <w:bCs/>
          <w:i/>
          <w:iCs/>
        </w:rPr>
        <w:t>Soportes contables donde conste el monto neto pagado por concepto de:</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Arrendamiento de inmuebles;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Arrendamiento de vehículos utilitarios;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Arrendamiento de Patrullas;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Arrendamiento de Ambulancias;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Camiones recolectores de basura,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Arrendamiento de computadoras y fotocopiadoras, </w:t>
      </w:r>
    </w:p>
    <w:p w:rsidR="00691126" w:rsidRDefault="00E8755A">
      <w:pPr>
        <w:numPr>
          <w:ilvl w:val="3"/>
          <w:numId w:val="1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Arrendamiento de lonas, carpas;</w:t>
      </w:r>
    </w:p>
    <w:p w:rsidR="00691126" w:rsidRDefault="00E8755A">
      <w:pPr>
        <w:numPr>
          <w:ilvl w:val="0"/>
          <w:numId w:val="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Arrendamiento de  mobiliario;</w:t>
      </w:r>
    </w:p>
    <w:p w:rsidR="00691126" w:rsidRDefault="00E8755A">
      <w:pPr>
        <w:numPr>
          <w:ilvl w:val="0"/>
          <w:numId w:val="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Contratación de grupos musicales; </w:t>
      </w:r>
    </w:p>
    <w:p w:rsidR="00691126" w:rsidRDefault="00E8755A">
      <w:pPr>
        <w:numPr>
          <w:ilvl w:val="0"/>
          <w:numId w:val="5"/>
        </w:num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 xml:space="preserve"> Juegos mecánicos </w:t>
      </w:r>
    </w:p>
    <w:p w:rsidR="00691126" w:rsidRDefault="00691126">
      <w:pPr>
        <w:pBdr>
          <w:top w:val="nil"/>
          <w:left w:val="nil"/>
          <w:bottom w:val="nil"/>
          <w:right w:val="nil"/>
          <w:between w:val="nil"/>
        </w:pBdr>
        <w:spacing w:line="276" w:lineRule="auto"/>
        <w:ind w:left="1134" w:right="-1131"/>
        <w:rPr>
          <w:rFonts w:ascii="Palatino Linotype" w:eastAsia="Palatino Linotype" w:hAnsi="Palatino Linotype" w:cs="Palatino Linotype"/>
          <w:b/>
          <w:bCs/>
          <w:i/>
          <w:iCs/>
          <w:color w:val="000000"/>
        </w:rPr>
      </w:pPr>
    </w:p>
    <w:p w:rsidR="00691126" w:rsidRDefault="00E8755A">
      <w:pPr>
        <w:spacing w:line="276" w:lineRule="auto"/>
        <w:ind w:left="709" w:right="-1131"/>
        <w:jc w:val="both"/>
        <w:rPr>
          <w:rFonts w:ascii="Palatino Linotype" w:eastAsia="Palatino Linotype" w:hAnsi="Palatino Linotype" w:cs="Palatino Linotype"/>
        </w:rPr>
      </w:pPr>
      <w:r>
        <w:rPr>
          <w:rFonts w:ascii="Palatino Linotype" w:eastAsia="Palatino Linotype" w:hAnsi="Palatino Linotype" w:cs="Palatino Linotype"/>
          <w:i/>
          <w:iCs/>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RECURRENTE</w:t>
      </w:r>
      <w:r>
        <w:rPr>
          <w:rFonts w:ascii="Palatino Linotype" w:eastAsia="Palatino Linotype" w:hAnsi="Palatino Linotype" w:cs="Palatino Linotype"/>
        </w:rPr>
        <w:t>.</w:t>
      </w:r>
    </w:p>
    <w:p w:rsidR="00691126" w:rsidRDefault="00691126">
      <w:pPr>
        <w:spacing w:line="276" w:lineRule="auto"/>
        <w:ind w:left="709" w:right="-1131"/>
        <w:jc w:val="both"/>
        <w:rPr>
          <w:rFonts w:ascii="Palatino Linotype" w:eastAsia="Palatino Linotype" w:hAnsi="Palatino Linotype" w:cs="Palatino Linotype"/>
        </w:rPr>
      </w:pPr>
    </w:p>
    <w:p w:rsidR="00691126" w:rsidRDefault="00E8755A">
      <w:pPr>
        <w:spacing w:line="276" w:lineRule="auto"/>
        <w:ind w:left="709" w:right="-113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Sin embargo para el caso en que no se cuente con la información por no haber realizado erogaciones en alguno de los puntos, bastará con que así se haga del conocimiento a </w:t>
      </w:r>
      <w:r>
        <w:rPr>
          <w:rFonts w:ascii="Palatino Linotype" w:eastAsia="Palatino Linotype" w:hAnsi="Palatino Linotype" w:cs="Palatino Linotype"/>
          <w:b/>
          <w:bCs/>
          <w:i/>
          <w:iCs/>
        </w:rPr>
        <w:t xml:space="preserve">LA PARTE RECURRENTE </w:t>
      </w:r>
      <w:r>
        <w:rPr>
          <w:rFonts w:ascii="Palatino Linotype" w:eastAsia="Palatino Linotype" w:hAnsi="Palatino Linotype" w:cs="Palatino Linotype"/>
          <w:i/>
          <w:iCs/>
        </w:rPr>
        <w:t>en términos de lo que establece el artículo 19 segundo párrafo de la Ley de Transparencia Local.</w:t>
      </w:r>
    </w:p>
    <w:p w:rsidR="00691126" w:rsidRDefault="00691126">
      <w:pPr>
        <w:spacing w:line="276" w:lineRule="auto"/>
        <w:ind w:left="709" w:right="-1131"/>
        <w:jc w:val="both"/>
        <w:rPr>
          <w:rFonts w:ascii="Palatino Linotype" w:eastAsia="Palatino Linotype" w:hAnsi="Palatino Linotype" w:cs="Palatino Linotype"/>
          <w:i/>
          <w:iCs/>
        </w:rPr>
      </w:pPr>
    </w:p>
    <w:p w:rsidR="00691126" w:rsidRDefault="00E8755A">
      <w:pPr>
        <w:spacing w:line="360" w:lineRule="auto"/>
        <w:ind w:right="-1131"/>
        <w:jc w:val="both"/>
        <w:rPr>
          <w:rFonts w:ascii="Palatino Linotype" w:eastAsia="Palatino Linotype" w:hAnsi="Palatino Linotype" w:cs="Palatino Linotype"/>
          <w:b/>
          <w:bCs/>
        </w:rPr>
      </w:pPr>
      <w:bookmarkStart w:id="14" w:name="_heading=h.cfbkch8m6hi" w:colFirst="0" w:colLast="0"/>
      <w:bookmarkEnd w:id="14"/>
      <w:r>
        <w:rPr>
          <w:rFonts w:ascii="Palatino Linotype" w:eastAsia="Palatino Linotype" w:hAnsi="Palatino Linotype" w:cs="Palatino Linotype"/>
          <w:b/>
          <w:bCs/>
        </w:rPr>
        <w:t xml:space="preserve">TERCERO. NOTIFÍQUESE </w:t>
      </w:r>
      <w:r>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25A94">
        <w:rPr>
          <w:rFonts w:ascii="Palatino Linotype" w:eastAsia="Palatino Linotype" w:hAnsi="Palatino Linotype" w:cs="Palatino Linotype"/>
          <w:b/>
        </w:rPr>
        <w:t>dé cumplimiento a lo</w:t>
      </w:r>
      <w:r>
        <w:rPr>
          <w:rFonts w:ascii="Palatino Linotype" w:eastAsia="Palatino Linotype" w:hAnsi="Palatino Linotype" w:cs="Palatino Linotype"/>
        </w:rPr>
        <w:t xml:space="preserve"> </w:t>
      </w:r>
      <w:r>
        <w:rPr>
          <w:rFonts w:ascii="Palatino Linotype" w:eastAsia="Palatino Linotype" w:hAnsi="Palatino Linotype" w:cs="Palatino Linotype"/>
          <w:b/>
          <w:bCs/>
        </w:rPr>
        <w:t>ordenado dentro del plazo de diez días hábiles</w:t>
      </w:r>
      <w:r>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691126" w:rsidRDefault="00691126">
      <w:pPr>
        <w:spacing w:line="360" w:lineRule="auto"/>
        <w:ind w:right="-1131"/>
        <w:jc w:val="both"/>
        <w:rPr>
          <w:rFonts w:ascii="Palatino Linotype" w:eastAsia="Palatino Linotype" w:hAnsi="Palatino Linotype" w:cs="Palatino Linotype"/>
          <w:b/>
          <w:bCs/>
        </w:rPr>
      </w:pPr>
    </w:p>
    <w:p w:rsidR="00691126" w:rsidRDefault="00E8755A">
      <w:pPr>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691126" w:rsidRDefault="00691126">
      <w:pPr>
        <w:spacing w:line="360" w:lineRule="auto"/>
        <w:ind w:right="-1131"/>
        <w:jc w:val="both"/>
        <w:rPr>
          <w:rFonts w:ascii="Palatino Linotype" w:eastAsia="Palatino Linotype" w:hAnsi="Palatino Linotype" w:cs="Palatino Linotype"/>
        </w:rPr>
      </w:pPr>
    </w:p>
    <w:p w:rsidR="00691126" w:rsidRDefault="00E8755A">
      <w:pPr>
        <w:tabs>
          <w:tab w:val="left" w:pos="8080"/>
        </w:tabs>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 xml:space="preserve">QUINTO. </w:t>
      </w:r>
      <w:r>
        <w:rPr>
          <w:rFonts w:ascii="Palatino Linotype" w:eastAsia="Palatino Linotype" w:hAnsi="Palatino Linotype" w:cs="Palatino Linotype"/>
        </w:rPr>
        <w:t xml:space="preserve">Notifíquese a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la presente resolución, vía SAIMEX.</w:t>
      </w:r>
    </w:p>
    <w:p w:rsidR="00691126" w:rsidRDefault="00691126">
      <w:pPr>
        <w:tabs>
          <w:tab w:val="left" w:pos="8080"/>
        </w:tabs>
        <w:spacing w:line="360" w:lineRule="auto"/>
        <w:ind w:right="-1131"/>
        <w:jc w:val="both"/>
        <w:rPr>
          <w:rFonts w:ascii="Palatino Linotype" w:eastAsia="Palatino Linotype" w:hAnsi="Palatino Linotype" w:cs="Palatino Linotype"/>
        </w:rPr>
      </w:pPr>
    </w:p>
    <w:p w:rsidR="00691126" w:rsidRDefault="00E8755A">
      <w:pPr>
        <w:shd w:val="clear" w:color="auto" w:fill="FFFFFF"/>
        <w:spacing w:line="360" w:lineRule="auto"/>
        <w:ind w:right="-1131"/>
        <w:jc w:val="both"/>
        <w:rPr>
          <w:rFonts w:ascii="Palatino Linotype" w:eastAsia="Palatino Linotype" w:hAnsi="Palatino Linotype" w:cs="Palatino Linotype"/>
        </w:rPr>
      </w:pPr>
      <w:r>
        <w:rPr>
          <w:rFonts w:ascii="Palatino Linotype" w:eastAsia="Palatino Linotype" w:hAnsi="Palatino Linotype" w:cs="Palatino Linotype"/>
          <w:b/>
          <w:bCs/>
        </w:rPr>
        <w:t>SEXTO.</w:t>
      </w:r>
      <w:r>
        <w:rPr>
          <w:rFonts w:ascii="Palatino Linotype" w:eastAsia="Palatino Linotype" w:hAnsi="Palatino Linotype" w:cs="Palatino Linotype"/>
        </w:rPr>
        <w:t xml:space="preserve"> Se hace del conocimiento de </w:t>
      </w:r>
      <w:r>
        <w:rPr>
          <w:rFonts w:ascii="Palatino Linotype" w:eastAsia="Palatino Linotype" w:hAnsi="Palatino Linotype" w:cs="Palatino Linotype"/>
          <w:b/>
          <w:bCs/>
        </w:rPr>
        <w:t>EL RECURRENTE</w:t>
      </w:r>
      <w:r>
        <w:rPr>
          <w:rFonts w:ascii="Palatino Linotype" w:eastAsia="Palatino Linotype" w:hAnsi="Palatino Linotype" w:cs="Palatino Linotype"/>
        </w:rPr>
        <w:t xml:space="preserve"> que, de conformidad con lo establecido en el artículo 196 de la Ley de Transparencia y Acceso a la Información Pública del </w:t>
      </w:r>
      <w:r>
        <w:rPr>
          <w:rFonts w:ascii="Palatino Linotype" w:eastAsia="Palatino Linotype" w:hAnsi="Palatino Linotype" w:cs="Palatino Linotype"/>
        </w:rPr>
        <w:lastRenderedPageBreak/>
        <w:t>Estado de México y Municipios, en caso de que considere que la resolución le cause algún perjuicio podrá impugnar vía juicio de amparo en los términos de las leyes aplicables.</w:t>
      </w:r>
    </w:p>
    <w:p w:rsidR="00691126" w:rsidRDefault="00691126">
      <w:pPr>
        <w:shd w:val="clear" w:color="auto" w:fill="FFFFFF"/>
        <w:spacing w:line="360" w:lineRule="auto"/>
        <w:ind w:right="-1131"/>
        <w:jc w:val="both"/>
        <w:rPr>
          <w:rFonts w:ascii="Palatino Linotype" w:eastAsia="Palatino Linotype" w:hAnsi="Palatino Linotype" w:cs="Palatino Linotype"/>
        </w:rPr>
      </w:pPr>
    </w:p>
    <w:p w:rsidR="00D25A94" w:rsidRPr="003E2295" w:rsidRDefault="00D25A94" w:rsidP="00D25A94">
      <w:pPr>
        <w:spacing w:before="240" w:after="240" w:line="360" w:lineRule="auto"/>
        <w:ind w:right="-992" w:firstLine="1"/>
        <w:jc w:val="both"/>
        <w:rPr>
          <w:rFonts w:ascii="Palatino Linotype" w:hAnsi="Palatino Linotype"/>
        </w:rPr>
      </w:pPr>
      <w:bookmarkStart w:id="15" w:name="_heading=h.arq8eeogzoa0" w:colFirst="0" w:colLast="0"/>
      <w:bookmarkStart w:id="16" w:name="_Hlk99014733"/>
      <w:bookmarkEnd w:id="15"/>
      <w:r w:rsidRPr="003E2295">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Pr>
          <w:rFonts w:ascii="Palatino Linotype" w:hAnsi="Palatino Linotype" w:cs="Palatino Linotype"/>
        </w:rPr>
        <w:t xml:space="preserve">VIGÉSIMA </w:t>
      </w:r>
      <w:r w:rsidRPr="003E2295">
        <w:rPr>
          <w:rFonts w:ascii="Palatino Linotype" w:hAnsi="Palatino Linotype" w:cs="Palatino Linotype"/>
        </w:rPr>
        <w:t>SESIÓN O</w:t>
      </w:r>
      <w:r>
        <w:rPr>
          <w:rFonts w:ascii="Palatino Linotype" w:hAnsi="Palatino Linotype" w:cs="Palatino Linotype"/>
        </w:rPr>
        <w:t>RDINARIA, CELEBRADA EL TRES (03</w:t>
      </w:r>
      <w:r w:rsidRPr="003E2295">
        <w:rPr>
          <w:rFonts w:ascii="Palatino Linotype" w:hAnsi="Palatino Linotype" w:cs="Palatino Linotype"/>
        </w:rPr>
        <w:t xml:space="preserve">) DE </w:t>
      </w:r>
      <w:r>
        <w:rPr>
          <w:rFonts w:ascii="Palatino Linotype" w:hAnsi="Palatino Linotype" w:cs="Palatino Linotype"/>
        </w:rPr>
        <w:t>JUNIO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16"/>
    <w:p w:rsidR="00691126" w:rsidRDefault="00691126" w:rsidP="00D25A94">
      <w:pPr>
        <w:spacing w:line="360" w:lineRule="auto"/>
        <w:ind w:right="-992"/>
        <w:rPr>
          <w:rFonts w:ascii="Palatino Linotype" w:eastAsia="Palatino Linotype" w:hAnsi="Palatino Linotype" w:cs="Palatino Linotype"/>
        </w:rPr>
      </w:pPr>
    </w:p>
    <w:p w:rsidR="00691126" w:rsidRDefault="00691126" w:rsidP="00D25A94">
      <w:pPr>
        <w:spacing w:line="360" w:lineRule="auto"/>
        <w:ind w:right="-992"/>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691126" w:rsidRDefault="00691126">
      <w:pPr>
        <w:spacing w:line="360" w:lineRule="auto"/>
        <w:ind w:right="-1131"/>
        <w:rPr>
          <w:rFonts w:ascii="Palatino Linotype" w:eastAsia="Palatino Linotype" w:hAnsi="Palatino Linotype" w:cs="Palatino Linotype"/>
        </w:rPr>
      </w:pPr>
    </w:p>
    <w:p w:rsidR="00E46BDF" w:rsidRDefault="00E46BDF">
      <w:pPr>
        <w:spacing w:line="360" w:lineRule="auto"/>
        <w:ind w:right="-1131"/>
        <w:rPr>
          <w:rFonts w:ascii="Palatino Linotype" w:eastAsia="Palatino Linotype" w:hAnsi="Palatino Linotype" w:cs="Palatino Linotype"/>
        </w:rPr>
      </w:pPr>
    </w:p>
    <w:p w:rsidR="00E46BDF" w:rsidRDefault="00E46BDF">
      <w:pPr>
        <w:spacing w:line="360" w:lineRule="auto"/>
        <w:ind w:right="-1131"/>
        <w:rPr>
          <w:rFonts w:ascii="Palatino Linotype" w:eastAsia="Palatino Linotype" w:hAnsi="Palatino Linotype" w:cs="Palatino Linotype"/>
        </w:rPr>
      </w:pPr>
    </w:p>
    <w:p w:rsidR="00E46BDF" w:rsidRDefault="00E46BDF">
      <w:pPr>
        <w:spacing w:line="360" w:lineRule="auto"/>
        <w:ind w:right="-1131"/>
        <w:rPr>
          <w:rFonts w:ascii="Palatino Linotype" w:eastAsia="Palatino Linotype" w:hAnsi="Palatino Linotype" w:cs="Palatino Linotype"/>
        </w:rPr>
      </w:pPr>
    </w:p>
    <w:p w:rsidR="00E46BDF" w:rsidRDefault="00E46BDF">
      <w:pPr>
        <w:spacing w:line="360" w:lineRule="auto"/>
        <w:ind w:right="-1131"/>
        <w:rPr>
          <w:rFonts w:ascii="Palatino Linotype" w:eastAsia="Palatino Linotype" w:hAnsi="Palatino Linotype" w:cs="Palatino Linotype"/>
        </w:rPr>
      </w:pPr>
    </w:p>
    <w:p w:rsidR="00691126" w:rsidRDefault="00691126">
      <w:pPr>
        <w:ind w:right="-1131"/>
      </w:pPr>
    </w:p>
    <w:sectPr w:rsidR="00691126">
      <w:headerReference w:type="even" r:id="rId9"/>
      <w:headerReference w:type="default" r:id="rId10"/>
      <w:footerReference w:type="default" r:id="rId11"/>
      <w:headerReference w:type="first" r:id="rId12"/>
      <w:footerReference w:type="first" r:id="rId13"/>
      <w:pgSz w:w="12240" w:h="15840"/>
      <w:pgMar w:top="2268" w:right="1750"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803" w:rsidRDefault="00BD5803">
      <w:r>
        <w:separator/>
      </w:r>
    </w:p>
  </w:endnote>
  <w:endnote w:type="continuationSeparator" w:id="0">
    <w:p w:rsidR="00BD5803" w:rsidRDefault="00BD5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06549B4B-FF1A-4711-AEEE-56B8C9A4828E}"/>
    <w:embedBold r:id="rId2" w:fontKey="{0F363489-C32E-4AD1-BC19-E3CE7FF197FE}"/>
    <w:embedItalic r:id="rId3" w:fontKey="{EB4D6D25-BD40-48FB-9194-5DB97B061DC2}"/>
    <w:embedBoldItalic r:id="rId4" w:fontKey="{32D6011A-7DB3-4899-9BA4-9EB67350548C}"/>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2FC58314-6847-423C-A5A1-08770E3E358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F35B088A-2456-4684-AC3F-D536307A2255}"/>
    <w:embedBold r:id="rId7" w:fontKey="{F67488C1-723C-4093-B9D1-440A8DC043E6}"/>
  </w:font>
  <w:font w:name="Georgia">
    <w:panose1 w:val="02040502050405020303"/>
    <w:charset w:val="00"/>
    <w:family w:val="roman"/>
    <w:pitch w:val="variable"/>
    <w:sig w:usb0="00000287" w:usb1="00000000" w:usb2="00000000" w:usb3="00000000" w:csb0="0000009F" w:csb1="00000000"/>
    <w:embedItalic r:id="rId8" w:fontKey="{09A96982-66F5-4100-9E4A-86A1A1824563}"/>
  </w:font>
  <w:font w:name="Century Gothic">
    <w:panose1 w:val="020B0502020202020204"/>
    <w:charset w:val="00"/>
    <w:family w:val="swiss"/>
    <w:pitch w:val="variable"/>
    <w:sig w:usb0="00000287" w:usb1="00000000" w:usb2="00000000" w:usb3="00000000" w:csb0="0000009F" w:csb1="00000000"/>
    <w:embedRegular r:id="rId9" w:fontKey="{976CBAA3-EF99-4D10-82BA-FC7CEBAF5296}"/>
  </w:font>
  <w:font w:name="Cambria">
    <w:panose1 w:val="02040503050406030204"/>
    <w:charset w:val="00"/>
    <w:family w:val="roman"/>
    <w:pitch w:val="variable"/>
    <w:sig w:usb0="E00006FF" w:usb1="420024FF" w:usb2="02000000" w:usb3="00000000" w:csb0="0000019F" w:csb1="00000000"/>
    <w:embedRegular r:id="rId10" w:fontKey="{17A15E6C-8E73-43E1-953B-9C30FC934DF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126" w:rsidRDefault="00E8755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602BD">
      <w:rPr>
        <w:rFonts w:ascii="Palatino Linotype" w:eastAsia="Palatino Linotype" w:hAnsi="Palatino Linotype" w:cs="Palatino Linotype"/>
        <w:noProof/>
        <w:color w:val="000000"/>
        <w:sz w:val="22"/>
        <w:szCs w:val="22"/>
      </w:rPr>
      <w:t>21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602BD">
      <w:rPr>
        <w:rFonts w:ascii="Palatino Linotype" w:eastAsia="Palatino Linotype" w:hAnsi="Palatino Linotype" w:cs="Palatino Linotype"/>
        <w:noProof/>
        <w:color w:val="000000"/>
        <w:sz w:val="22"/>
        <w:szCs w:val="22"/>
      </w:rPr>
      <w:t>35</w:t>
    </w:r>
    <w:r>
      <w:rPr>
        <w:rFonts w:ascii="Palatino Linotype" w:eastAsia="Palatino Linotype" w:hAnsi="Palatino Linotype" w:cs="Palatino Linotype"/>
        <w:color w:val="000000"/>
        <w:sz w:val="22"/>
        <w:szCs w:val="22"/>
      </w:rPr>
      <w:fldChar w:fldCharType="end"/>
    </w:r>
  </w:p>
  <w:p w:rsidR="00691126" w:rsidRDefault="0069112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126" w:rsidRDefault="00E8755A">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6602BD">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6602BD">
      <w:rPr>
        <w:rFonts w:ascii="Palatino Linotype" w:eastAsia="Palatino Linotype" w:hAnsi="Palatino Linotype" w:cs="Palatino Linotype"/>
        <w:noProof/>
        <w:color w:val="000000"/>
        <w:sz w:val="22"/>
        <w:szCs w:val="22"/>
      </w:rPr>
      <w:t>35</w:t>
    </w:r>
    <w:r>
      <w:rPr>
        <w:rFonts w:ascii="Palatino Linotype" w:eastAsia="Palatino Linotype" w:hAnsi="Palatino Linotype" w:cs="Palatino Linotype"/>
        <w:color w:val="000000"/>
        <w:sz w:val="22"/>
        <w:szCs w:val="22"/>
      </w:rPr>
      <w:fldChar w:fldCharType="end"/>
    </w:r>
  </w:p>
  <w:p w:rsidR="00691126" w:rsidRDefault="0069112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803" w:rsidRDefault="00BD5803">
      <w:r>
        <w:separator/>
      </w:r>
    </w:p>
  </w:footnote>
  <w:footnote w:type="continuationSeparator" w:id="0">
    <w:p w:rsidR="00BD5803" w:rsidRDefault="00BD5803">
      <w:r>
        <w:continuationSeparator/>
      </w:r>
    </w:p>
  </w:footnote>
  <w:footnote w:id="1">
    <w:p w:rsidR="00691126" w:rsidRDefault="00E8755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691126" w:rsidRDefault="00E8755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691126" w:rsidRDefault="00E8755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691126" w:rsidRDefault="00E8755A">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 w:id="5">
    <w:p w:rsidR="00691126" w:rsidRDefault="00E8755A">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Consultable en: </w:t>
      </w:r>
    </w:p>
    <w:p w:rsidR="00691126" w:rsidRDefault="00BD5803">
      <w:pPr>
        <w:pBdr>
          <w:top w:val="nil"/>
          <w:left w:val="nil"/>
          <w:bottom w:val="nil"/>
          <w:right w:val="nil"/>
          <w:between w:val="nil"/>
        </w:pBdr>
        <w:jc w:val="both"/>
        <w:rPr>
          <w:rFonts w:ascii="Palatino Linotype" w:eastAsia="Palatino Linotype" w:hAnsi="Palatino Linotype" w:cs="Palatino Linotype"/>
          <w:color w:val="000000"/>
          <w:sz w:val="16"/>
          <w:szCs w:val="16"/>
        </w:rPr>
      </w:pPr>
      <w:hyperlink r:id="rId1">
        <w:r w:rsidR="00E8755A">
          <w:rPr>
            <w:rFonts w:ascii="Palatino Linotype" w:eastAsia="Palatino Linotype" w:hAnsi="Palatino Linotype" w:cs="Palatino Linotype"/>
            <w:color w:val="0000FF"/>
            <w:sz w:val="16"/>
            <w:szCs w:val="16"/>
            <w:u w:val="single"/>
          </w:rPr>
          <w:t>https://www.indetec.gob.mx/delivery?srv=0&amp;sl=3&amp;path=/biblioteca/Especiales/386_Glosario_Terminos_Proceso_Planeacion.pdf</w:t>
        </w:r>
      </w:hyperlink>
      <w:r w:rsidR="00E8755A">
        <w:rPr>
          <w:rFonts w:ascii="Palatino Linotype" w:eastAsia="Palatino Linotype" w:hAnsi="Palatino Linotype" w:cs="Palatino Linotype"/>
          <w:color w:val="000000"/>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1126" w:rsidRDefault="00BD5803">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605" w:type="dxa"/>
      <w:tblInd w:w="2694" w:type="dxa"/>
      <w:tblLayout w:type="fixed"/>
      <w:tblLook w:val="0400" w:firstRow="0" w:lastRow="0" w:firstColumn="0" w:lastColumn="0" w:noHBand="0" w:noVBand="1"/>
    </w:tblPr>
    <w:tblGrid>
      <w:gridCol w:w="3465"/>
      <w:gridCol w:w="4140"/>
    </w:tblGrid>
    <w:tr w:rsidR="00691126">
      <w:trPr>
        <w:trHeight w:val="227"/>
      </w:trPr>
      <w:tc>
        <w:tcPr>
          <w:tcW w:w="3465" w:type="dxa"/>
          <w:vAlign w:val="center"/>
        </w:tcPr>
        <w:p w:rsidR="00691126" w:rsidRDefault="00E8755A" w:rsidP="00EF4CCB">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140" w:type="dxa"/>
          <w:vAlign w:val="center"/>
        </w:tcPr>
        <w:p w:rsidR="00691126" w:rsidRDefault="00E8755A" w:rsidP="00EF4CCB">
          <w:pPr>
            <w:pBdr>
              <w:top w:val="nil"/>
              <w:left w:val="nil"/>
              <w:bottom w:val="nil"/>
              <w:right w:val="nil"/>
              <w:between w:val="nil"/>
            </w:pBdr>
            <w:tabs>
              <w:tab w:val="center" w:pos="4419"/>
              <w:tab w:val="right" w:pos="8838"/>
            </w:tabs>
            <w:ind w:right="-31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10373/INFOEM/IP/RR/2025</w:t>
          </w:r>
        </w:p>
      </w:tc>
    </w:tr>
    <w:tr w:rsidR="00691126">
      <w:trPr>
        <w:trHeight w:val="242"/>
      </w:trPr>
      <w:tc>
        <w:tcPr>
          <w:tcW w:w="3465" w:type="dxa"/>
          <w:vAlign w:val="center"/>
        </w:tcPr>
        <w:p w:rsidR="00691126" w:rsidRDefault="00E8755A" w:rsidP="00EF4CCB">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140" w:type="dxa"/>
          <w:vAlign w:val="center"/>
        </w:tcPr>
        <w:p w:rsidR="00691126" w:rsidRDefault="00E8755A" w:rsidP="00EF4CCB">
          <w:pPr>
            <w:pBdr>
              <w:top w:val="nil"/>
              <w:left w:val="nil"/>
              <w:bottom w:val="nil"/>
              <w:right w:val="nil"/>
              <w:between w:val="nil"/>
            </w:pBdr>
            <w:tabs>
              <w:tab w:val="center" w:pos="4419"/>
              <w:tab w:val="right" w:pos="8838"/>
            </w:tabs>
            <w:ind w:right="-315"/>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Almoloya de Juárez</w:t>
          </w:r>
        </w:p>
      </w:tc>
    </w:tr>
    <w:tr w:rsidR="00691126">
      <w:trPr>
        <w:trHeight w:val="342"/>
      </w:trPr>
      <w:tc>
        <w:tcPr>
          <w:tcW w:w="3465" w:type="dxa"/>
          <w:vAlign w:val="center"/>
        </w:tcPr>
        <w:p w:rsidR="00691126" w:rsidRDefault="00E8755A" w:rsidP="00EF4CCB">
          <w:pPr>
            <w:spacing w:line="360" w:lineRule="auto"/>
            <w:ind w:right="34"/>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140" w:type="dxa"/>
          <w:vAlign w:val="center"/>
        </w:tcPr>
        <w:p w:rsidR="00691126" w:rsidRDefault="00E8755A" w:rsidP="00EF4CCB">
          <w:pPr>
            <w:pBdr>
              <w:top w:val="nil"/>
              <w:left w:val="nil"/>
              <w:bottom w:val="nil"/>
              <w:right w:val="nil"/>
              <w:between w:val="nil"/>
            </w:pBdr>
            <w:tabs>
              <w:tab w:val="center" w:pos="4419"/>
              <w:tab w:val="right" w:pos="8838"/>
            </w:tabs>
            <w:ind w:right="-315"/>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691126" w:rsidRDefault="00BD5803">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7.55pt;margin-top:-125.75pt;width:609.4pt;height:793.75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725" w:type="dxa"/>
      <w:tblInd w:w="2552" w:type="dxa"/>
      <w:tblLayout w:type="fixed"/>
      <w:tblLook w:val="0400" w:firstRow="0" w:lastRow="0" w:firstColumn="0" w:lastColumn="0" w:noHBand="0" w:noVBand="1"/>
    </w:tblPr>
    <w:tblGrid>
      <w:gridCol w:w="3450"/>
      <w:gridCol w:w="4275"/>
    </w:tblGrid>
    <w:tr w:rsidR="00691126">
      <w:trPr>
        <w:trHeight w:val="227"/>
      </w:trPr>
      <w:tc>
        <w:tcPr>
          <w:tcW w:w="3450" w:type="dxa"/>
          <w:vAlign w:val="center"/>
        </w:tcPr>
        <w:p w:rsidR="00691126" w:rsidRDefault="00E8755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275" w:type="dxa"/>
          <w:vAlign w:val="center"/>
        </w:tcPr>
        <w:p w:rsidR="00691126" w:rsidRDefault="00E8755A">
          <w:pPr>
            <w:pBdr>
              <w:top w:val="nil"/>
              <w:left w:val="nil"/>
              <w:bottom w:val="nil"/>
              <w:right w:val="nil"/>
              <w:between w:val="nil"/>
            </w:pBdr>
            <w:tabs>
              <w:tab w:val="center" w:pos="4419"/>
              <w:tab w:val="right" w:pos="8838"/>
            </w:tabs>
            <w:ind w:right="-22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10373/INFOEM/IP/RR/2025</w:t>
          </w:r>
        </w:p>
      </w:tc>
    </w:tr>
    <w:tr w:rsidR="00691126">
      <w:trPr>
        <w:trHeight w:val="242"/>
      </w:trPr>
      <w:tc>
        <w:tcPr>
          <w:tcW w:w="3450" w:type="dxa"/>
          <w:vAlign w:val="center"/>
        </w:tcPr>
        <w:p w:rsidR="00691126" w:rsidRDefault="00E8755A">
          <w:pPr>
            <w:jc w:val="right"/>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275" w:type="dxa"/>
        </w:tcPr>
        <w:p w:rsidR="00691126" w:rsidRDefault="006602BD">
          <w:pPr>
            <w:pBdr>
              <w:top w:val="nil"/>
              <w:left w:val="nil"/>
              <w:bottom w:val="nil"/>
              <w:right w:val="nil"/>
              <w:between w:val="nil"/>
            </w:pBdr>
            <w:tabs>
              <w:tab w:val="center" w:pos="4419"/>
              <w:tab w:val="right" w:pos="8838"/>
              <w:tab w:val="left" w:pos="521"/>
            </w:tabs>
            <w:ind w:right="-22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XXXX</w:t>
          </w:r>
        </w:p>
      </w:tc>
    </w:tr>
    <w:tr w:rsidR="00691126">
      <w:trPr>
        <w:trHeight w:val="342"/>
      </w:trPr>
      <w:tc>
        <w:tcPr>
          <w:tcW w:w="3450" w:type="dxa"/>
          <w:vAlign w:val="center"/>
        </w:tcPr>
        <w:p w:rsidR="00691126" w:rsidRDefault="00E8755A">
          <w:pPr>
            <w:jc w:val="right"/>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275" w:type="dxa"/>
          <w:vAlign w:val="center"/>
        </w:tcPr>
        <w:p w:rsidR="00691126" w:rsidRDefault="00E8755A">
          <w:pPr>
            <w:pBdr>
              <w:top w:val="nil"/>
              <w:left w:val="nil"/>
              <w:bottom w:val="nil"/>
              <w:right w:val="nil"/>
              <w:between w:val="nil"/>
            </w:pBdr>
            <w:tabs>
              <w:tab w:val="center" w:pos="4419"/>
              <w:tab w:val="right" w:pos="8838"/>
            </w:tabs>
            <w:ind w:right="-220"/>
            <w:rPr>
              <w:rFonts w:ascii="Palatino Linotype" w:eastAsia="Palatino Linotype" w:hAnsi="Palatino Linotype" w:cs="Palatino Linotype"/>
              <w:color w:val="000000"/>
              <w:highlight w:val="green"/>
            </w:rPr>
          </w:pPr>
          <w:r>
            <w:rPr>
              <w:rFonts w:ascii="Palatino Linotype" w:eastAsia="Palatino Linotype" w:hAnsi="Palatino Linotype" w:cs="Palatino Linotype"/>
              <w:color w:val="000000"/>
            </w:rPr>
            <w:t>Ayuntamiento de Almoloya de Juárez</w:t>
          </w:r>
        </w:p>
      </w:tc>
    </w:tr>
    <w:tr w:rsidR="00691126">
      <w:trPr>
        <w:trHeight w:val="342"/>
      </w:trPr>
      <w:tc>
        <w:tcPr>
          <w:tcW w:w="3450" w:type="dxa"/>
          <w:vAlign w:val="center"/>
        </w:tcPr>
        <w:p w:rsidR="00691126" w:rsidRDefault="00E8755A">
          <w:pPr>
            <w:jc w:val="right"/>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275" w:type="dxa"/>
          <w:vAlign w:val="center"/>
        </w:tcPr>
        <w:p w:rsidR="00691126" w:rsidRDefault="00E8755A">
          <w:pPr>
            <w:pBdr>
              <w:top w:val="nil"/>
              <w:left w:val="nil"/>
              <w:bottom w:val="nil"/>
              <w:right w:val="nil"/>
              <w:between w:val="nil"/>
            </w:pBdr>
            <w:tabs>
              <w:tab w:val="center" w:pos="4419"/>
              <w:tab w:val="right" w:pos="8838"/>
            </w:tabs>
            <w:ind w:right="-220"/>
            <w:rPr>
              <w:rFonts w:ascii="Palatino Linotype" w:eastAsia="Palatino Linotype" w:hAnsi="Palatino Linotype" w:cs="Palatino Linotype"/>
              <w:color w:val="000000"/>
            </w:rPr>
          </w:pPr>
          <w:r>
            <w:rPr>
              <w:rFonts w:ascii="Palatino Linotype" w:eastAsia="Palatino Linotype" w:hAnsi="Palatino Linotype" w:cs="Palatino Linotype"/>
              <w:color w:val="000000"/>
            </w:rPr>
            <w:t>María del Rosario Mejía Ayala</w:t>
          </w:r>
        </w:p>
      </w:tc>
    </w:tr>
  </w:tbl>
  <w:p w:rsidR="00691126" w:rsidRDefault="00BD5803">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83669"/>
    <w:multiLevelType w:val="multilevel"/>
    <w:tmpl w:val="0D0E371E"/>
    <w:lvl w:ilvl="0">
      <w:start w:val="7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BE7E5B"/>
    <w:multiLevelType w:val="multilevel"/>
    <w:tmpl w:val="785CC5A6"/>
    <w:lvl w:ilvl="0">
      <w:start w:val="2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5325D8"/>
    <w:multiLevelType w:val="multilevel"/>
    <w:tmpl w:val="1768449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0FC518CA"/>
    <w:multiLevelType w:val="multilevel"/>
    <w:tmpl w:val="53206BCE"/>
    <w:lvl w:ilvl="0">
      <w:start w:val="58"/>
      <w:numFmt w:val="decimal"/>
      <w:lvlText w:val="%1."/>
      <w:lvlJc w:val="left"/>
      <w:pPr>
        <w:ind w:left="1495" w:hanging="360"/>
      </w:pPr>
      <w:rPr>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3A4415"/>
    <w:multiLevelType w:val="multilevel"/>
    <w:tmpl w:val="571C21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E7407CB"/>
    <w:multiLevelType w:val="multilevel"/>
    <w:tmpl w:val="2DA22756"/>
    <w:lvl w:ilvl="0">
      <w:start w:val="1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757144"/>
    <w:multiLevelType w:val="multilevel"/>
    <w:tmpl w:val="35EAE140"/>
    <w:lvl w:ilvl="0">
      <w:start w:val="30"/>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4F62807"/>
    <w:multiLevelType w:val="multilevel"/>
    <w:tmpl w:val="8F72AD28"/>
    <w:lvl w:ilvl="0">
      <w:start w:val="2"/>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225EDB"/>
    <w:multiLevelType w:val="multilevel"/>
    <w:tmpl w:val="6B36555C"/>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4347B9"/>
    <w:multiLevelType w:val="multilevel"/>
    <w:tmpl w:val="9AC84FF8"/>
    <w:lvl w:ilvl="0">
      <w:start w:val="9"/>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A79783C"/>
    <w:multiLevelType w:val="multilevel"/>
    <w:tmpl w:val="CF605188"/>
    <w:lvl w:ilvl="0">
      <w:start w:val="9"/>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0F5547"/>
    <w:multiLevelType w:val="multilevel"/>
    <w:tmpl w:val="AD981064"/>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2" w15:restartNumberingAfterBreak="0">
    <w:nsid w:val="415778A9"/>
    <w:multiLevelType w:val="multilevel"/>
    <w:tmpl w:val="9EBE7C0E"/>
    <w:lvl w:ilvl="0">
      <w:start w:val="1"/>
      <w:numFmt w:val="decimal"/>
      <w:lvlText w:val="%1."/>
      <w:lvlJc w:val="left"/>
      <w:pPr>
        <w:ind w:left="644"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C52F46"/>
    <w:multiLevelType w:val="multilevel"/>
    <w:tmpl w:val="8A22A87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56792C4F"/>
    <w:multiLevelType w:val="multilevel"/>
    <w:tmpl w:val="26969C44"/>
    <w:lvl w:ilvl="0">
      <w:start w:val="5"/>
      <w:numFmt w:val="decimal"/>
      <w:lvlText w:val="%1."/>
      <w:lvlJc w:val="left"/>
      <w:pPr>
        <w:ind w:left="925" w:hanging="357"/>
      </w:pPr>
      <w:rPr>
        <w:rFonts w:ascii="Palatino Linotype" w:eastAsia="Palatino Linotype" w:hAnsi="Palatino Linotype" w:cs="Palatino Linotype"/>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rPr>
        <w:b/>
        <w:bCs/>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8E975E5"/>
    <w:multiLevelType w:val="multilevel"/>
    <w:tmpl w:val="680E7408"/>
    <w:lvl w:ilvl="0">
      <w:start w:val="18"/>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931E2C"/>
    <w:multiLevelType w:val="multilevel"/>
    <w:tmpl w:val="57023CAE"/>
    <w:lvl w:ilvl="0">
      <w:start w:val="17"/>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BC57583"/>
    <w:multiLevelType w:val="multilevel"/>
    <w:tmpl w:val="E3AAA43C"/>
    <w:lvl w:ilvl="0">
      <w:start w:val="67"/>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3"/>
  </w:num>
  <w:num w:numId="2">
    <w:abstractNumId w:val="2"/>
  </w:num>
  <w:num w:numId="3">
    <w:abstractNumId w:val="7"/>
  </w:num>
  <w:num w:numId="4">
    <w:abstractNumId w:val="12"/>
  </w:num>
  <w:num w:numId="5">
    <w:abstractNumId w:val="14"/>
  </w:num>
  <w:num w:numId="6">
    <w:abstractNumId w:val="10"/>
  </w:num>
  <w:num w:numId="7">
    <w:abstractNumId w:val="5"/>
  </w:num>
  <w:num w:numId="8">
    <w:abstractNumId w:val="11"/>
  </w:num>
  <w:num w:numId="9">
    <w:abstractNumId w:val="3"/>
  </w:num>
  <w:num w:numId="10">
    <w:abstractNumId w:val="1"/>
  </w:num>
  <w:num w:numId="11">
    <w:abstractNumId w:val="16"/>
  </w:num>
  <w:num w:numId="12">
    <w:abstractNumId w:val="9"/>
  </w:num>
  <w:num w:numId="13">
    <w:abstractNumId w:val="8"/>
  </w:num>
  <w:num w:numId="14">
    <w:abstractNumId w:val="6"/>
  </w:num>
  <w:num w:numId="15">
    <w:abstractNumId w:val="0"/>
  </w:num>
  <w:num w:numId="16">
    <w:abstractNumId w:val="15"/>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26"/>
    <w:rsid w:val="00322002"/>
    <w:rsid w:val="003D2082"/>
    <w:rsid w:val="006602BD"/>
    <w:rsid w:val="00691126"/>
    <w:rsid w:val="00B5537F"/>
    <w:rsid w:val="00BD5803"/>
    <w:rsid w:val="00D25A94"/>
    <w:rsid w:val="00E46BDF"/>
    <w:rsid w:val="00E8755A"/>
    <w:rsid w:val="00EF4CCB"/>
    <w:rsid w:val="00EF57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8F5D5F42-8022-439D-8967-C451B420CF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 w:type="table" w:customStyle="1" w:styleId="a1">
    <w:basedOn w:val="TableNormal"/>
    <w:tblPr>
      <w:tblStyleRowBandSize w:val="1"/>
      <w:tblStyleColBandSize w:val="1"/>
      <w:tblCellMar>
        <w:top w:w="0" w:type="dxa"/>
        <w:left w:w="70" w:type="dxa"/>
        <w:bottom w:w="0" w:type="dxa"/>
        <w:right w:w="70" w:type="dxa"/>
      </w:tblCellMar>
    </w:tblPr>
  </w:style>
  <w:style w:type="paragraph" w:styleId="Piedepgina">
    <w:name w:val="footer"/>
    <w:basedOn w:val="Normal"/>
    <w:link w:val="PiedepginaCar"/>
    <w:uiPriority w:val="99"/>
    <w:unhideWhenUsed/>
    <w:rsid w:val="00EF4CCB"/>
    <w:pPr>
      <w:tabs>
        <w:tab w:val="center" w:pos="4419"/>
        <w:tab w:val="right" w:pos="8838"/>
      </w:tabs>
    </w:pPr>
  </w:style>
  <w:style w:type="character" w:customStyle="1" w:styleId="PiedepginaCar">
    <w:name w:val="Pie de página Car"/>
    <w:basedOn w:val="Fuentedeprrafopredeter"/>
    <w:link w:val="Piedepgina"/>
    <w:uiPriority w:val="99"/>
    <w:rsid w:val="00EF4CCB"/>
  </w:style>
  <w:style w:type="paragraph" w:styleId="Prrafodelista">
    <w:name w:val="List Paragraph"/>
    <w:basedOn w:val="Normal"/>
    <w:uiPriority w:val="34"/>
    <w:qFormat/>
    <w:rsid w:val="00EF4C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1" Type="http://schemas.openxmlformats.org/officeDocument/2006/relationships/hyperlink" Target="https://www.indetec.gob.mx/delivery?srv=0&amp;sl=3&amp;path=/biblioteca/Especiales/386_Glosario_Terminos_Proceso_Planeacion.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LwvcNxy9QjNnwWGOYHuyjIFimw==">CgMxLjAyCGguZ2pkZ3hzMgloLjMwajB6bGwyCWguM3pueXNoNzIJaC4yZXQ5MnAwMghoLnR5amN3dDIJaC4zZHk2dmttMgloLjF0M2g1c2YyDmgueTIyZzlmNHNqMmxjMgloLjRkMzRvZzgyCWguMnM4ZXlvMTIJaC4xN2RwOHZ1MgloLjNyZGNyam4yCWguMzVua3VuMjINaC5jZmJrY2g4bTZoaTIOaC5hcnE4ZWVvZ3pvYTA4AHIhMU4xQlRVa3Q4RVpQU18xYk8yekVRTjRLenRwZnQzbX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35</Pages>
  <Words>9071</Words>
  <Characters>49894</Characters>
  <Application>Microsoft Office Word</Application>
  <DocSecurity>0</DocSecurity>
  <Lines>415</Lines>
  <Paragraphs>117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58848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7</cp:revision>
  <cp:lastPrinted>2026-06-05T16:46:00Z</cp:lastPrinted>
  <dcterms:created xsi:type="dcterms:W3CDTF">2026-06-03T20:40:00Z</dcterms:created>
  <dcterms:modified xsi:type="dcterms:W3CDTF">2026-06-09T23:47:00Z</dcterms:modified>
</cp:coreProperties>
</file>