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C9F" w:rsidRPr="001B22C0" w:rsidRDefault="004E397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fecha veintiocho</w:t>
      </w:r>
      <w:r w:rsidR="001B22C0">
        <w:rPr>
          <w:rFonts w:ascii="Palatino Linotype" w:eastAsia="Palatino Linotype" w:hAnsi="Palatino Linotype" w:cs="Palatino Linotype"/>
          <w:color w:val="000000"/>
        </w:rPr>
        <w:t xml:space="preserve"> (28)</w:t>
      </w:r>
      <w:r w:rsidRPr="001B22C0">
        <w:rPr>
          <w:rFonts w:ascii="Palatino Linotype" w:eastAsia="Palatino Linotype" w:hAnsi="Palatino Linotype" w:cs="Palatino Linotype"/>
          <w:color w:val="000000"/>
        </w:rPr>
        <w:t xml:space="preserve"> </w:t>
      </w:r>
      <w:r w:rsidR="004530A2" w:rsidRPr="001B22C0">
        <w:rPr>
          <w:rFonts w:ascii="Palatino Linotype" w:eastAsia="Palatino Linotype" w:hAnsi="Palatino Linotype" w:cs="Palatino Linotype"/>
          <w:color w:val="000000"/>
        </w:rPr>
        <w:t>de abril de dos mil veintiséis.</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50C9F" w:rsidRPr="001B22C0" w:rsidRDefault="004E397F">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0" w:name="_heading=h.gjdgxs" w:colFirst="0" w:colLast="0"/>
      <w:bookmarkEnd w:id="0"/>
      <w:r w:rsidRPr="001B22C0">
        <w:rPr>
          <w:rFonts w:ascii="Palatino Linotype" w:eastAsia="Palatino Linotype" w:hAnsi="Palatino Linotype" w:cs="Palatino Linotype"/>
          <w:b/>
          <w:bCs/>
          <w:color w:val="000000"/>
        </w:rPr>
        <w:t>VISTO</w:t>
      </w:r>
      <w:r w:rsidRPr="001B22C0">
        <w:rPr>
          <w:rFonts w:ascii="Palatino Linotype" w:eastAsia="Palatino Linotype" w:hAnsi="Palatino Linotype" w:cs="Palatino Linotype"/>
          <w:color w:val="000000"/>
        </w:rPr>
        <w:t xml:space="preserve"> el expediente electrónico formado con motivo   del Recursos de Revisión </w:t>
      </w:r>
      <w:r w:rsidRPr="001B22C0">
        <w:rPr>
          <w:rFonts w:ascii="Palatino Linotype" w:eastAsia="Palatino Linotype" w:hAnsi="Palatino Linotype" w:cs="Palatino Linotype"/>
          <w:b/>
          <w:bCs/>
          <w:color w:val="000000"/>
        </w:rPr>
        <w:t xml:space="preserve">1953/INFOEM/IP/RR/2026 </w:t>
      </w:r>
      <w:r w:rsidRPr="001B22C0">
        <w:rPr>
          <w:rFonts w:ascii="Palatino Linotype" w:eastAsia="Palatino Linotype" w:hAnsi="Palatino Linotype" w:cs="Palatino Linotype"/>
          <w:color w:val="000000"/>
        </w:rPr>
        <w:t xml:space="preserve">promovido </w:t>
      </w:r>
      <w:r w:rsidRPr="001B22C0">
        <w:rPr>
          <w:rFonts w:ascii="Palatino Linotype" w:eastAsia="Palatino Linotype" w:hAnsi="Palatino Linotype" w:cs="Palatino Linotype"/>
          <w:b/>
          <w:bCs/>
          <w:color w:val="000000"/>
        </w:rPr>
        <w:t>por una persona que no proporcionó datos de identificación,</w:t>
      </w:r>
      <w:r w:rsidRPr="001B22C0">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1B22C0">
        <w:rPr>
          <w:rFonts w:ascii="Palatino Linotype" w:eastAsia="Palatino Linotype" w:hAnsi="Palatino Linotype" w:cs="Palatino Linotype"/>
          <w:b/>
          <w:bCs/>
          <w:color w:val="000000"/>
        </w:rPr>
        <w:t>EL RECURRENTE</w:t>
      </w:r>
      <w:r w:rsidR="004530A2" w:rsidRPr="001B22C0">
        <w:rPr>
          <w:rFonts w:ascii="Palatino Linotype" w:eastAsia="Palatino Linotype" w:hAnsi="Palatino Linotype" w:cs="Palatino Linotype"/>
          <w:color w:val="000000"/>
        </w:rPr>
        <w:t>, en contra de la respuesta</w:t>
      </w:r>
      <w:r w:rsidRPr="001B22C0">
        <w:rPr>
          <w:rFonts w:ascii="Palatino Linotype" w:eastAsia="Palatino Linotype" w:hAnsi="Palatino Linotype" w:cs="Palatino Linotype"/>
          <w:color w:val="000000"/>
        </w:rPr>
        <w:t xml:space="preserve"> del </w:t>
      </w:r>
      <w:r w:rsidRPr="001B22C0">
        <w:rPr>
          <w:rFonts w:ascii="Palatino Linotype" w:eastAsia="Palatino Linotype" w:hAnsi="Palatino Linotype" w:cs="Palatino Linotype"/>
          <w:b/>
          <w:bCs/>
          <w:color w:val="000000"/>
        </w:rPr>
        <w:t xml:space="preserve">Ayuntamiento de Metepec </w:t>
      </w:r>
      <w:r w:rsidRPr="001B22C0">
        <w:rPr>
          <w:rFonts w:ascii="Palatino Linotype" w:eastAsia="Palatino Linotype" w:hAnsi="Palatino Linotype" w:cs="Palatino Linotype"/>
          <w:color w:val="000000"/>
        </w:rPr>
        <w:t xml:space="preserve">en </w:t>
      </w:r>
      <w:r w:rsidRPr="001B22C0">
        <w:rPr>
          <w:rFonts w:ascii="Palatino Linotype" w:eastAsia="Palatino Linotype" w:hAnsi="Palatino Linotype" w:cs="Palatino Linotype"/>
        </w:rPr>
        <w:t>adelante</w:t>
      </w:r>
      <w:r w:rsidRPr="001B22C0">
        <w:rPr>
          <w:rFonts w:ascii="Palatino Linotype" w:eastAsia="Palatino Linotype" w:hAnsi="Palatino Linotype" w:cs="Palatino Linotype"/>
          <w:color w:val="000000"/>
        </w:rPr>
        <w:t xml:space="preserve"> </w:t>
      </w:r>
      <w:r w:rsidRPr="001B22C0">
        <w:rPr>
          <w:rFonts w:ascii="Palatino Linotype" w:eastAsia="Palatino Linotype" w:hAnsi="Palatino Linotype" w:cs="Palatino Linotype"/>
          <w:b/>
          <w:bCs/>
          <w:color w:val="000000"/>
        </w:rPr>
        <w:t>EL SUJETO OBLIGADO</w:t>
      </w:r>
      <w:r w:rsidRPr="001B22C0">
        <w:rPr>
          <w:rFonts w:ascii="Palatino Linotype" w:eastAsia="Palatino Linotype" w:hAnsi="Palatino Linotype" w:cs="Palatino Linotype"/>
          <w:color w:val="000000"/>
        </w:rPr>
        <w:t>, se procede a dictar la presente resolución, con base en los siguientes:</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50C9F" w:rsidRPr="001B22C0" w:rsidRDefault="004E397F">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1B22C0">
        <w:rPr>
          <w:rFonts w:ascii="Palatino Linotype" w:eastAsia="Palatino Linotype" w:hAnsi="Palatino Linotype" w:cs="Palatino Linotype"/>
          <w:b/>
          <w:bCs/>
          <w:color w:val="000000"/>
        </w:rPr>
        <w:t>A N T E C E D E N T E S</w:t>
      </w:r>
    </w:p>
    <w:p w:rsidR="00250C9F" w:rsidRPr="001B22C0" w:rsidRDefault="00250C9F">
      <w:pPr>
        <w:spacing w:line="360" w:lineRule="auto"/>
        <w:rPr>
          <w:rFonts w:ascii="Palatino Linotype" w:eastAsia="Palatino Linotype" w:hAnsi="Palatino Linotype" w:cs="Palatino Linotype"/>
        </w:rPr>
      </w:pPr>
    </w:p>
    <w:p w:rsidR="00250C9F" w:rsidRPr="001B22C0" w:rsidRDefault="004E397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El </w:t>
      </w:r>
      <w:r w:rsidRPr="001B22C0">
        <w:rPr>
          <w:rFonts w:ascii="Palatino Linotype" w:eastAsia="Palatino Linotype" w:hAnsi="Palatino Linotype" w:cs="Palatino Linotype"/>
          <w:b/>
          <w:bCs/>
          <w:color w:val="000000"/>
        </w:rPr>
        <w:t xml:space="preserve">doce de enero de dos mil veintiséis, </w:t>
      </w:r>
      <w:r w:rsidRPr="001B22C0">
        <w:rPr>
          <w:rFonts w:ascii="Palatino Linotype" w:eastAsia="Palatino Linotype" w:hAnsi="Palatino Linotype" w:cs="Palatino Linotype"/>
          <w:color w:val="000000"/>
        </w:rPr>
        <w:t xml:space="preserve">el </w:t>
      </w:r>
      <w:r w:rsidRPr="001B22C0">
        <w:rPr>
          <w:rFonts w:ascii="Palatino Linotype" w:eastAsia="Palatino Linotype" w:hAnsi="Palatino Linotype" w:cs="Palatino Linotype"/>
          <w:b/>
          <w:bCs/>
          <w:color w:val="000000"/>
        </w:rPr>
        <w:t>RECURRENTE</w:t>
      </w:r>
      <w:r w:rsidRPr="001B22C0">
        <w:rPr>
          <w:rFonts w:ascii="Palatino Linotype" w:eastAsia="Palatino Linotype" w:hAnsi="Palatino Linotype" w:cs="Palatino Linotype"/>
          <w:color w:val="000000"/>
        </w:rPr>
        <w:t xml:space="preserve"> </w:t>
      </w:r>
      <w:r w:rsidRPr="001B22C0">
        <w:rPr>
          <w:rFonts w:ascii="Palatino Linotype" w:eastAsia="Palatino Linotype" w:hAnsi="Palatino Linotype" w:cs="Palatino Linotype"/>
        </w:rPr>
        <w:t>ingresó</w:t>
      </w:r>
      <w:r w:rsidRPr="001B22C0">
        <w:rPr>
          <w:rFonts w:ascii="Palatino Linotype" w:eastAsia="Palatino Linotype" w:hAnsi="Palatino Linotype" w:cs="Palatino Linotype"/>
          <w:color w:val="000000"/>
        </w:rPr>
        <w:t xml:space="preserve"> la solicitud de información, el Sistema de Acceso a la Información</w:t>
      </w:r>
      <w:r w:rsidRPr="001B22C0">
        <w:rPr>
          <w:rFonts w:ascii="Palatino Linotype" w:eastAsia="Palatino Linotype" w:hAnsi="Palatino Linotype" w:cs="Palatino Linotype"/>
          <w:b/>
          <w:bCs/>
          <w:color w:val="000000"/>
        </w:rPr>
        <w:t xml:space="preserve"> , </w:t>
      </w:r>
      <w:r w:rsidRPr="001B22C0">
        <w:rPr>
          <w:rFonts w:ascii="Palatino Linotype" w:eastAsia="Palatino Linotype" w:hAnsi="Palatino Linotype" w:cs="Palatino Linotype"/>
          <w:color w:val="000000"/>
        </w:rPr>
        <w:t xml:space="preserve">quedando  registrada con el número </w:t>
      </w:r>
      <w:r w:rsidRPr="001B22C0">
        <w:rPr>
          <w:rFonts w:ascii="Palatino Linotype" w:eastAsia="Palatino Linotype" w:hAnsi="Palatino Linotype" w:cs="Palatino Linotype"/>
          <w:b/>
          <w:bCs/>
          <w:color w:val="000000"/>
        </w:rPr>
        <w:t xml:space="preserve">00011/METEPEC/IP/2026, </w:t>
      </w:r>
      <w:r w:rsidRPr="001B22C0">
        <w:rPr>
          <w:rFonts w:ascii="Palatino Linotype" w:eastAsia="Palatino Linotype" w:hAnsi="Palatino Linotype" w:cs="Palatino Linotype"/>
        </w:rPr>
        <w:t xml:space="preserve">en la que </w:t>
      </w:r>
      <w:r w:rsidRPr="001B22C0">
        <w:rPr>
          <w:rFonts w:ascii="Palatino Linotype" w:eastAsia="Palatino Linotype" w:hAnsi="Palatino Linotype" w:cs="Palatino Linotype"/>
          <w:color w:val="000000"/>
        </w:rPr>
        <w:t>se solicitó la siguiente información:</w:t>
      </w:r>
    </w:p>
    <w:p w:rsidR="00250C9F" w:rsidRPr="001B22C0" w:rsidRDefault="00250C9F">
      <w:pPr>
        <w:jc w:val="both"/>
        <w:rPr>
          <w:rFonts w:ascii="Palatino Linotype" w:eastAsia="Palatino Linotype" w:hAnsi="Palatino Linotype" w:cs="Palatino Linotype"/>
          <w:i/>
          <w:iCs/>
        </w:rPr>
      </w:pP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“Solicitud de información sobre la relación laboral de Juan Francisco Muciño Márquez con el Municipio de Metepec Con fundamento en los artículos 6° de la Constitución Política de los Estados Unidos Mexicanos, 5° de la Constitución Política del Estado Libre y Soberano de México, así como en los artículos 1°, 2°, 3°, 12, 13, 109, 110 y demás relativos y aplicables de la Ley de Transparencia y Acceso a la Información Pública del Estado de México y Municipios, solicito respetuosamente se me proporcione la siguiente información en poder de ese honorable Ayuntamiento: A la fecha de recepción de la presente solicitud, ¿el C. Juan Francisco Muciño Márquez, con clave ISSEMYM </w:t>
      </w:r>
      <w:r w:rsidR="007B6ED2">
        <w:rPr>
          <w:rFonts w:ascii="Palatino Linotype" w:eastAsia="Palatino Linotype" w:hAnsi="Palatino Linotype" w:cs="Palatino Linotype"/>
          <w:i/>
          <w:iCs/>
          <w:color w:val="000000"/>
        </w:rPr>
        <w:t>XXXX</w:t>
      </w:r>
      <w:r w:rsidRPr="001B22C0">
        <w:rPr>
          <w:rFonts w:ascii="Palatino Linotype" w:eastAsia="Palatino Linotype" w:hAnsi="Palatino Linotype" w:cs="Palatino Linotype"/>
          <w:i/>
          <w:iCs/>
          <w:color w:val="000000"/>
        </w:rPr>
        <w:t xml:space="preserve">, se encuentra prestando sus servicios laborales o desempeñando algún cargo, empleo o </w:t>
      </w:r>
      <w:r w:rsidRPr="001B22C0">
        <w:rPr>
          <w:rFonts w:ascii="Palatino Linotype" w:eastAsia="Palatino Linotype" w:hAnsi="Palatino Linotype" w:cs="Palatino Linotype"/>
          <w:i/>
          <w:iCs/>
          <w:color w:val="000000"/>
        </w:rPr>
        <w:lastRenderedPageBreak/>
        <w:t>comisión en el Municipio de Metepec? Indicar: SÍ o NO. En caso de respuesta afirmativa a la pregunta 1, proporcionar los siguientes datos: a) Fecha de ingreso al servicio del Municipio de Metepec. b) Denominación del puesto o cargo que desempeña actualmente. c) Área, dirección, departamento o unidad administrativa a la que se encuentra adscrito o en la que reporta. d) Remuneración bruta y neta mensual (incluyendo todas las percepciones ordinarias y extraordinarias que correspondan conforme a la fracción VIII del artículo 92 de la Ley de Transparencia y Acceso a la Información Pública del Estado de México y Municipios). En caso de respuesta negativa a la pregunta 1, pero habiendo laborado con anterioridad en el Municipio de Metepec, proporcionar los siguientes datos del periodo en que prestó sus servicios: a) Fecha de ingreso al servicio del Municipio de Metepec. b) Denominación del último puesto o cargo desempeñado. c) Área, dirección, departamento o unidad administrativa en la que se encontraba adscrito o reportaba al momento de la baja. d) Remuneración bruta y neta mensual correspondiente al último periodo laborado (incluyendo todas las percepciones ordinarias y extraordinarias). e) Fecha en que causó baja en el Municipio de Metepec. Preciso que la presente solicitud se limita a la información que, conforme a la legislación aplicable, constituye información pública relacionada con funciones públicas, ejercicio del gasto público y remuneraciones de servidores públicos (artículos 92 fracción VIII, 109 y concordantes de la Ley de Transparencia del Estado de México y Municipios), por lo que no solicito datos personales confidenciales ajenos a lo anterior.”(Sic)</w:t>
      </w:r>
    </w:p>
    <w:p w:rsidR="00250C9F" w:rsidRPr="001B22C0" w:rsidRDefault="00250C9F">
      <w:pPr>
        <w:pBdr>
          <w:top w:val="nil"/>
          <w:left w:val="nil"/>
          <w:bottom w:val="nil"/>
          <w:right w:val="nil"/>
          <w:between w:val="nil"/>
        </w:pBdr>
        <w:spacing w:line="360" w:lineRule="auto"/>
        <w:ind w:left="1134" w:right="1134"/>
        <w:jc w:val="both"/>
        <w:rPr>
          <w:rFonts w:ascii="Palatino Linotype" w:eastAsia="Palatino Linotype" w:hAnsi="Palatino Linotype" w:cs="Palatino Linotype"/>
          <w:i/>
          <w:iCs/>
        </w:rPr>
      </w:pPr>
    </w:p>
    <w:p w:rsidR="00250C9F" w:rsidRPr="001B22C0" w:rsidRDefault="004E397F">
      <w:pPr>
        <w:numPr>
          <w:ilvl w:val="0"/>
          <w:numId w:val="1"/>
        </w:numPr>
        <w:pBdr>
          <w:top w:val="nil"/>
          <w:left w:val="nil"/>
          <w:bottom w:val="nil"/>
          <w:right w:val="nil"/>
          <w:between w:val="nil"/>
        </w:pBdr>
        <w:spacing w:line="360" w:lineRule="auto"/>
        <w:ind w:left="1134"/>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b/>
          <w:bCs/>
          <w:color w:val="000000"/>
        </w:rPr>
        <w:t>Modalidad de entrega</w:t>
      </w:r>
      <w:r w:rsidRPr="001B22C0">
        <w:rPr>
          <w:rFonts w:ascii="Palatino Linotype" w:eastAsia="Palatino Linotype" w:hAnsi="Palatino Linotype" w:cs="Palatino Linotype"/>
          <w:color w:val="000000"/>
        </w:rPr>
        <w:t xml:space="preserve">: Sistema de Acceso a la Información </w:t>
      </w:r>
      <w:r w:rsidRPr="001B22C0">
        <w:rPr>
          <w:rFonts w:ascii="Palatino Linotype" w:eastAsia="Palatino Linotype" w:hAnsi="Palatino Linotype" w:cs="Palatino Linotype"/>
          <w:b/>
          <w:bCs/>
          <w:color w:val="000000"/>
        </w:rPr>
        <w:t>(SAIMEX)</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50C9F" w:rsidRPr="001B22C0" w:rsidRDefault="004E397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El </w:t>
      </w:r>
      <w:r w:rsidRPr="001B22C0">
        <w:rPr>
          <w:rFonts w:ascii="Palatino Linotype" w:eastAsia="Palatino Linotype" w:hAnsi="Palatino Linotype" w:cs="Palatino Linotype"/>
          <w:b/>
          <w:bCs/>
          <w:color w:val="000000"/>
        </w:rPr>
        <w:t xml:space="preserve">doce de febrero de dos mil veintiséis, </w:t>
      </w:r>
      <w:r w:rsidRPr="001B22C0">
        <w:rPr>
          <w:rFonts w:ascii="Palatino Linotype" w:eastAsia="Palatino Linotype" w:hAnsi="Palatino Linotype" w:cs="Palatino Linotype"/>
          <w:color w:val="000000"/>
        </w:rPr>
        <w:t xml:space="preserve">el </w:t>
      </w:r>
      <w:r w:rsidRPr="001B22C0">
        <w:rPr>
          <w:rFonts w:ascii="Palatino Linotype" w:eastAsia="Palatino Linotype" w:hAnsi="Palatino Linotype" w:cs="Palatino Linotype"/>
          <w:b/>
          <w:bCs/>
          <w:color w:val="000000"/>
        </w:rPr>
        <w:t xml:space="preserve">SUJETO OBLIGADO </w:t>
      </w:r>
      <w:r w:rsidRPr="001B22C0">
        <w:rPr>
          <w:rFonts w:ascii="Palatino Linotype" w:eastAsia="Palatino Linotype" w:hAnsi="Palatino Linotype" w:cs="Palatino Linotype"/>
          <w:color w:val="000000"/>
        </w:rPr>
        <w:t>dio respuesta por medio de un archivo electrónico en formato pdf, de cuyo contenido se desprende lo siguiente:</w:t>
      </w:r>
    </w:p>
    <w:p w:rsidR="00250C9F" w:rsidRPr="001B22C0" w:rsidRDefault="00250C9F">
      <w:pPr>
        <w:pBdr>
          <w:top w:val="nil"/>
          <w:left w:val="nil"/>
          <w:bottom w:val="nil"/>
          <w:right w:val="nil"/>
          <w:between w:val="nil"/>
        </w:pBdr>
        <w:ind w:left="720"/>
        <w:rPr>
          <w:rFonts w:ascii="Palatino Linotype" w:eastAsia="Palatino Linotype" w:hAnsi="Palatino Linotype" w:cs="Palatino Linotype"/>
          <w:color w:val="000000"/>
        </w:rPr>
      </w:pP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b/>
          <w:bCs/>
          <w:i/>
          <w:iCs/>
          <w:color w:val="000000"/>
        </w:rPr>
      </w:pPr>
      <w:r w:rsidRPr="001B22C0">
        <w:rPr>
          <w:rFonts w:ascii="Palatino Linotype" w:eastAsia="Palatino Linotype" w:hAnsi="Palatino Linotype" w:cs="Palatino Linotype"/>
          <w:b/>
          <w:bCs/>
          <w:i/>
          <w:iCs/>
          <w:color w:val="000000"/>
        </w:rPr>
        <w:t xml:space="preserve">010 y 011_2026.pdf: </w:t>
      </w:r>
      <w:r w:rsidRPr="001B22C0">
        <w:rPr>
          <w:rFonts w:ascii="Palatino Linotype" w:eastAsia="Palatino Linotype" w:hAnsi="Palatino Linotype" w:cs="Palatino Linotype"/>
          <w:i/>
          <w:iCs/>
          <w:color w:val="000000"/>
        </w:rPr>
        <w:t>Donde Director de Administración refiere que no localizó información relativa al servidor público referido en la solicitud.</w:t>
      </w:r>
    </w:p>
    <w:p w:rsidR="00250C9F" w:rsidRPr="001B22C0" w:rsidRDefault="00250C9F">
      <w:pPr>
        <w:pBdr>
          <w:top w:val="nil"/>
          <w:left w:val="nil"/>
          <w:bottom w:val="nil"/>
          <w:right w:val="nil"/>
          <w:between w:val="nil"/>
        </w:pBdr>
        <w:ind w:left="720"/>
        <w:jc w:val="both"/>
        <w:rPr>
          <w:rFonts w:ascii="Palatino Linotype" w:eastAsia="Palatino Linotype" w:hAnsi="Palatino Linotype" w:cs="Palatino Linotype"/>
          <w:b/>
          <w:bCs/>
          <w:i/>
          <w:iCs/>
          <w:color w:val="000000"/>
        </w:rPr>
      </w:pPr>
    </w:p>
    <w:p w:rsidR="00250C9F" w:rsidRPr="001B22C0" w:rsidRDefault="004E397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lastRenderedPageBreak/>
        <w:t xml:space="preserve">El </w:t>
      </w:r>
      <w:r w:rsidRPr="001B22C0">
        <w:rPr>
          <w:rFonts w:ascii="Palatino Linotype" w:eastAsia="Palatino Linotype" w:hAnsi="Palatino Linotype" w:cs="Palatino Linotype"/>
          <w:b/>
          <w:bCs/>
          <w:color w:val="000000"/>
        </w:rPr>
        <w:t>dieciséis de febrero de dos mil veintiséis</w:t>
      </w:r>
      <w:r w:rsidRPr="001B22C0">
        <w:rPr>
          <w:rFonts w:ascii="Palatino Linotype" w:eastAsia="Palatino Linotype" w:hAnsi="Palatino Linotype" w:cs="Palatino Linotype"/>
          <w:color w:val="000000"/>
        </w:rPr>
        <w:t xml:space="preserve">, el </w:t>
      </w:r>
      <w:r w:rsidRPr="001B22C0">
        <w:rPr>
          <w:rFonts w:ascii="Palatino Linotype" w:eastAsia="Palatino Linotype" w:hAnsi="Palatino Linotype" w:cs="Palatino Linotype"/>
          <w:b/>
          <w:bCs/>
          <w:color w:val="000000"/>
        </w:rPr>
        <w:t>RECURRENTE</w:t>
      </w:r>
      <w:r w:rsidRPr="001B22C0">
        <w:rPr>
          <w:rFonts w:ascii="Palatino Linotype" w:eastAsia="Palatino Linotype" w:hAnsi="Palatino Linotype" w:cs="Palatino Linotype"/>
          <w:color w:val="000000"/>
        </w:rPr>
        <w:t xml:space="preserve"> interpuso recurso de revisión en contra de la respuestas emitida por el </w:t>
      </w:r>
      <w:r w:rsidRPr="001B22C0">
        <w:rPr>
          <w:rFonts w:ascii="Palatino Linotype" w:eastAsia="Palatino Linotype" w:hAnsi="Palatino Linotype" w:cs="Palatino Linotype"/>
          <w:b/>
          <w:bCs/>
          <w:color w:val="000000"/>
        </w:rPr>
        <w:t>SUJETO OBLIGADO</w:t>
      </w:r>
      <w:r w:rsidRPr="001B22C0">
        <w:rPr>
          <w:rFonts w:ascii="Palatino Linotype" w:eastAsia="Palatino Linotype" w:hAnsi="Palatino Linotype" w:cs="Palatino Linotype"/>
          <w:color w:val="000000"/>
        </w:rPr>
        <w:t>, señalando las siguientes razones o motivos de inconformidad:</w:t>
      </w:r>
    </w:p>
    <w:p w:rsidR="00250C9F" w:rsidRPr="001B22C0" w:rsidRDefault="00250C9F">
      <w:pPr>
        <w:jc w:val="both"/>
        <w:rPr>
          <w:rFonts w:ascii="Palatino Linotype" w:eastAsia="Palatino Linotype" w:hAnsi="Palatino Linotype" w:cs="Palatino Linotype"/>
          <w:color w:val="000000"/>
        </w:rPr>
      </w:pPr>
    </w:p>
    <w:p w:rsidR="00250C9F" w:rsidRPr="001B22C0" w:rsidRDefault="004E397F">
      <w:pPr>
        <w:ind w:left="1134" w:right="1134"/>
        <w:jc w:val="both"/>
        <w:rPr>
          <w:rFonts w:ascii="Palatino Linotype" w:eastAsia="Palatino Linotype" w:hAnsi="Palatino Linotype" w:cs="Palatino Linotype"/>
          <w:i/>
          <w:iCs/>
        </w:rPr>
      </w:pPr>
      <w:bookmarkStart w:id="1" w:name="_heading=h.1fob9te" w:colFirst="0" w:colLast="0"/>
      <w:bookmarkEnd w:id="1"/>
      <w:r w:rsidRPr="001B22C0">
        <w:rPr>
          <w:rFonts w:ascii="Palatino Linotype" w:eastAsia="Palatino Linotype" w:hAnsi="Palatino Linotype" w:cs="Palatino Linotype"/>
          <w:b/>
          <w:bCs/>
          <w:color w:val="000000"/>
        </w:rPr>
        <w:t xml:space="preserve">Acto impugnado: </w:t>
      </w:r>
      <w:r w:rsidRPr="001B22C0">
        <w:rPr>
          <w:rFonts w:ascii="Palatino Linotype" w:eastAsia="Palatino Linotype" w:hAnsi="Palatino Linotype" w:cs="Palatino Linotype"/>
          <w:i/>
          <w:iCs/>
          <w:color w:val="000000"/>
        </w:rPr>
        <w:t>“LA FALSA RESPUESTA QUE EL DIRECTOR DE ADMINISTRACION DEL MUNICIPIO DE METEPEC ESTADO DE MEXICO, PROPORCIONA EN FECHA 10 DE FEBRERO DE 2026, MEDIANTE OFICIO DEA/0582/2026 EN RESPUESTA A LA PRESENTE SOLICITUD CON NO. DE FOLIO 0011/METEPEC/2026 DONDE DECLARA QUE RESPONDE EL SERVIDOR PÚBLICO AL QUE SE LE SOLICITÓ LA INFORMACIÓN, QUE “NO OBRA EN SUS ARCHIVOS INFORMACIÓN ALGUNA RELACIONADA CON EL C. JUAN FRANCISCO MUCIÑO MARQUES; PUES TEXTUALMENTE EN SU OFICIO DECLARÓ QUE "…REALIZADA LA BÚSQUEDA MINUCIOSA Y EXHAUSTIVA EN SUS ARCHIVOS FÍSICOS Y ELECTRÓNICOS, NO LOCALIZO INFORMACIÓN ALGUNA QUE CORRESPONDA AL NOMBRE PROPIO, PRIMERO Y SEGUNDOS APELLIDOS QUE SEÑALA EL PARTICULAR EN SU SOLICITUD. EN CONSECUENCIA, SE INVOCA A LO PREVISTO DEL SEGUNDO PÁRRAFO DEL ARTÍCULO 12 DE LA LEY DE TRANSPARENCIA Y ACCESO A LA INFORMACIÓN DEL ESTADO DE MÉXICO Y MUNICIPIOS… IN FINE".</w:t>
      </w:r>
      <w:r w:rsidRPr="001B22C0">
        <w:rPr>
          <w:rFonts w:ascii="Palatino Linotype" w:eastAsia="Palatino Linotype" w:hAnsi="Palatino Linotype" w:cs="Palatino Linotype"/>
          <w:i/>
          <w:iCs/>
        </w:rPr>
        <w:t>”(Sic.)</w:t>
      </w:r>
    </w:p>
    <w:p w:rsidR="00250C9F" w:rsidRPr="001B22C0" w:rsidRDefault="00250C9F">
      <w:pPr>
        <w:pBdr>
          <w:top w:val="nil"/>
          <w:left w:val="nil"/>
          <w:bottom w:val="nil"/>
          <w:right w:val="nil"/>
          <w:between w:val="nil"/>
        </w:pBdr>
        <w:ind w:left="1134"/>
        <w:jc w:val="both"/>
        <w:rPr>
          <w:rFonts w:ascii="Palatino Linotype" w:eastAsia="Palatino Linotype" w:hAnsi="Palatino Linotype" w:cs="Palatino Linotype"/>
          <w:color w:val="000000"/>
        </w:rPr>
      </w:pPr>
    </w:p>
    <w:p w:rsidR="00250C9F" w:rsidRPr="001B22C0" w:rsidRDefault="004E397F">
      <w:pPr>
        <w:ind w:left="1134" w:right="1134"/>
        <w:jc w:val="both"/>
        <w:rPr>
          <w:rFonts w:ascii="Palatino Linotype" w:eastAsia="Palatino Linotype" w:hAnsi="Palatino Linotype" w:cs="Palatino Linotype"/>
          <w:i/>
          <w:iCs/>
        </w:rPr>
      </w:pPr>
      <w:bookmarkStart w:id="2" w:name="_heading=h.3znysh7" w:colFirst="0" w:colLast="0"/>
      <w:bookmarkEnd w:id="2"/>
      <w:r w:rsidRPr="001B22C0">
        <w:rPr>
          <w:rFonts w:ascii="Palatino Linotype" w:eastAsia="Palatino Linotype" w:hAnsi="Palatino Linotype" w:cs="Palatino Linotype"/>
          <w:b/>
          <w:bCs/>
          <w:color w:val="000000"/>
        </w:rPr>
        <w:t xml:space="preserve">Razones o Motivos de inconformidad: </w:t>
      </w:r>
      <w:r w:rsidRPr="001B22C0">
        <w:rPr>
          <w:rFonts w:ascii="Palatino Linotype" w:eastAsia="Palatino Linotype" w:hAnsi="Palatino Linotype" w:cs="Palatino Linotype"/>
          <w:i/>
          <w:iCs/>
          <w:color w:val="000000"/>
        </w:rPr>
        <w:t>“</w:t>
      </w:r>
      <w:r w:rsidRPr="001B22C0">
        <w:rPr>
          <w:rFonts w:ascii="Palatino Linotype" w:eastAsia="Palatino Linotype" w:hAnsi="Palatino Linotype" w:cs="Palatino Linotype"/>
          <w:i/>
          <w:iCs/>
        </w:rPr>
        <w:t xml:space="preserve">QUE DE ACUERDO A LOS OFICIOS QUE ESTE FUNCIONARIO PRESENTÓ ANTE EL JUEZ SEGUNDO DE LO FAMILIAR DEL DISTRITO JUDICIAL DE TOLUCA EN EL EXPEDIENTE 104/2019, DONDE MEDIANTE EL OFICIO OFICIO/DA/062/2026 DE FECHA 08 DE ENERO DE 2026, DONDE INFORMÓ QUE EL C. JUAN FRANCISCO MUCIÑO MÁRQUES, SÍ ERA SERVIDOR PÚBLICO DEL AYUNTAMIENTO, QUE INGRESÓ A LABORAR EL 01/03/2024 CON CLAVE ISSEMYM </w:t>
      </w:r>
      <w:r w:rsidR="007B6ED2">
        <w:rPr>
          <w:rFonts w:ascii="Palatino Linotype" w:eastAsia="Palatino Linotype" w:hAnsi="Palatino Linotype" w:cs="Palatino Linotype"/>
          <w:i/>
          <w:iCs/>
        </w:rPr>
        <w:t>XXXX</w:t>
      </w:r>
      <w:r w:rsidRPr="001B22C0">
        <w:rPr>
          <w:rFonts w:ascii="Palatino Linotype" w:eastAsia="Palatino Linotype" w:hAnsi="Palatino Linotype" w:cs="Palatino Linotype"/>
          <w:i/>
          <w:iCs/>
        </w:rPr>
        <w:t xml:space="preserve">, CON CLAVE DE LA INSTITUCIÓN 31054. ACLARANDO QUE FUE DADO DE BAJA POR “BAJO DESEMPEÑO LABORAL” EL 15/09/2025, INFORME QUE </w:t>
      </w:r>
      <w:r w:rsidRPr="001B22C0">
        <w:rPr>
          <w:rFonts w:ascii="Palatino Linotype" w:eastAsia="Palatino Linotype" w:hAnsi="Palatino Linotype" w:cs="Palatino Linotype"/>
          <w:i/>
          <w:iCs/>
        </w:rPr>
        <w:lastRenderedPageBreak/>
        <w:t>REITERÓ AL MISMO TRIBUNAL MEDIANTE OFICIO OFICIO/DA/0409/2026, FECHADO EL 29 DE ENERO DE 2026, MANIFESTANDO LO MISMO, Y ANEXANDO CONSTANCIAS. SITUACIÓN QUE SE CONTROVIERTE CON LO MANIFESTADO EN LA RESPUESTA QUE PRESENTÓ AL DIRECTOR DE TRANSPARENCIA Y GOBIERNO ABIERTO EN EL OFICIO QUE SE IMPUGNA. SOSLAYANDOQUE SE TRATA DE UN JUICIO ESPECIAL(CONTROVERTSIA SOBRE VIOLENCIA FAMILIAR) EN CONTRA DE UNA MENOR DE EDAD, DONDE EL AYUNTAMIENTO PROTEGIENDO AL GENERADOR DE VIOLENCIA OCULTA DATOS A LA AUTORIDAD, COLOCANDOLO EN UN APARENTE ESTADO DE INSOLVENCIA PARA EVADIR SU OBLIGACIÓN ALIMENTARIA”(Sic).</w:t>
      </w: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i/>
          <w:iCs/>
          <w:color w:val="000000"/>
        </w:rPr>
        <w:t>”</w:t>
      </w:r>
    </w:p>
    <w:p w:rsidR="00250C9F" w:rsidRPr="001B22C0" w:rsidRDefault="004E397F">
      <w:pP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Adjuntó así mismo el archivo</w:t>
      </w:r>
      <w:r w:rsidRPr="001B22C0">
        <w:rPr>
          <w:rFonts w:ascii="Palatino Linotype" w:eastAsia="Palatino Linotype" w:hAnsi="Palatino Linotype" w:cs="Palatino Linotype"/>
          <w:b/>
          <w:bCs/>
          <w:color w:val="000000"/>
        </w:rPr>
        <w:t xml:space="preserve"> OFICIO-DA-0409-2026.pdf </w:t>
      </w:r>
      <w:r w:rsidRPr="001B22C0">
        <w:rPr>
          <w:rFonts w:ascii="Palatino Linotype" w:eastAsia="Palatino Linotype" w:hAnsi="Palatino Linotype" w:cs="Palatino Linotype"/>
          <w:color w:val="000000"/>
        </w:rPr>
        <w:t xml:space="preserve">donde se advierte oficio del Director de Administración a Juzgado Segundo de Toluca señalando evaluación de desempeño de Juan Francisco Muciño Marques, aviso de movimientos ante el Instituto de Seguridad Social del Estado de México y Municipios refiriendo la baja del Ayuntamiento de Metepec de Muciño Marques Juan Francisco; del archivo </w:t>
      </w:r>
      <w:r w:rsidRPr="001B22C0">
        <w:rPr>
          <w:rFonts w:ascii="Palatino Linotype" w:eastAsia="Palatino Linotype" w:hAnsi="Palatino Linotype" w:cs="Palatino Linotype"/>
          <w:b/>
          <w:bCs/>
          <w:color w:val="000000"/>
        </w:rPr>
        <w:t xml:space="preserve">OFICIO-DA-026-2026.pdf </w:t>
      </w:r>
      <w:r w:rsidRPr="001B22C0">
        <w:rPr>
          <w:rFonts w:ascii="Palatino Linotype" w:eastAsia="Palatino Linotype" w:hAnsi="Palatino Linotype" w:cs="Palatino Linotype"/>
          <w:color w:val="000000"/>
        </w:rPr>
        <w:t>adicional a lo ya descrito, adjunta cálculo de liquidación y demás prestaciones proporcionales de MUCIÑO MARQUES JUAN FRANCISCO, evaluación al desempeño personal de MUCIÑO MARQUEZ JUAN FRANCISCO y certificaciones de juzgado.</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250C9F" w:rsidRPr="001B22C0" w:rsidRDefault="004E397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Consecutivamente</w:t>
      </w:r>
      <w:r w:rsidRPr="001B22C0">
        <w:rPr>
          <w:rFonts w:ascii="Palatino Linotype" w:eastAsia="Palatino Linotype" w:hAnsi="Palatino Linotype" w:cs="Palatino Linotype"/>
          <w:i/>
          <w:iCs/>
          <w:color w:val="000000"/>
        </w:rPr>
        <w:t xml:space="preserve">, </w:t>
      </w:r>
      <w:r w:rsidRPr="001B22C0">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el recurso fue turnado a la ponencia de la </w:t>
      </w:r>
      <w:r w:rsidRPr="001B22C0">
        <w:rPr>
          <w:rFonts w:ascii="Palatino Linotype" w:eastAsia="Palatino Linotype" w:hAnsi="Palatino Linotype" w:cs="Palatino Linotype"/>
          <w:b/>
          <w:bCs/>
          <w:color w:val="000000"/>
        </w:rPr>
        <w:t>Comisionada</w:t>
      </w:r>
      <w:r w:rsidRPr="001B22C0">
        <w:rPr>
          <w:rFonts w:ascii="Palatino Linotype" w:eastAsia="Palatino Linotype" w:hAnsi="Palatino Linotype" w:cs="Palatino Linotype"/>
          <w:color w:val="000000"/>
        </w:rPr>
        <w:t xml:space="preserve"> </w:t>
      </w:r>
      <w:r w:rsidRPr="001B22C0">
        <w:rPr>
          <w:rFonts w:ascii="Palatino Linotype" w:eastAsia="Palatino Linotype" w:hAnsi="Palatino Linotype" w:cs="Palatino Linotype"/>
          <w:b/>
          <w:bCs/>
          <w:color w:val="000000"/>
        </w:rPr>
        <w:t>María del Rosario Mejía Ayala</w:t>
      </w:r>
      <w:r w:rsidRPr="001B22C0">
        <w:rPr>
          <w:rFonts w:ascii="Palatino Linotype" w:eastAsia="Palatino Linotype" w:hAnsi="Palatino Linotype" w:cs="Palatino Linotype"/>
          <w:color w:val="000000"/>
        </w:rPr>
        <w:t>,</w:t>
      </w:r>
      <w:r w:rsidRPr="001B22C0">
        <w:rPr>
          <w:rFonts w:ascii="Palatino Linotype" w:eastAsia="Palatino Linotype" w:hAnsi="Palatino Linotype" w:cs="Palatino Linotype"/>
          <w:b/>
          <w:bCs/>
          <w:color w:val="000000"/>
        </w:rPr>
        <w:t xml:space="preserve"> </w:t>
      </w:r>
      <w:r w:rsidRPr="001B22C0">
        <w:rPr>
          <w:rFonts w:ascii="Palatino Linotype" w:eastAsia="Palatino Linotype" w:hAnsi="Palatino Linotype" w:cs="Palatino Linotype"/>
          <w:color w:val="000000"/>
        </w:rPr>
        <w:t>con el objeto de su análisis.</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50C9F" w:rsidRPr="001B22C0" w:rsidRDefault="004E397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lastRenderedPageBreak/>
        <w:t xml:space="preserve">La Comisionada Ponente con fundamento en lo dispuesto por el artículo 185 fracción II de la ley de la materia, a través del </w:t>
      </w:r>
      <w:r w:rsidRPr="001B22C0">
        <w:rPr>
          <w:rFonts w:ascii="Palatino Linotype" w:eastAsia="Palatino Linotype" w:hAnsi="Palatino Linotype" w:cs="Palatino Linotype"/>
          <w:b/>
          <w:bCs/>
          <w:color w:val="000000"/>
        </w:rPr>
        <w:t xml:space="preserve">acuerdo de admisión </w:t>
      </w:r>
      <w:r w:rsidRPr="001B22C0">
        <w:rPr>
          <w:rFonts w:ascii="Palatino Linotype" w:eastAsia="Palatino Linotype" w:hAnsi="Palatino Linotype" w:cs="Palatino Linotype"/>
          <w:color w:val="000000"/>
        </w:rPr>
        <w:t xml:space="preserve">del </w:t>
      </w:r>
      <w:r w:rsidRPr="001B22C0">
        <w:rPr>
          <w:rFonts w:ascii="Palatino Linotype" w:eastAsia="Palatino Linotype" w:hAnsi="Palatino Linotype" w:cs="Palatino Linotype"/>
          <w:b/>
          <w:bCs/>
          <w:color w:val="000000"/>
        </w:rPr>
        <w:t xml:space="preserve">diecinueve de febrero de dos mil veintiséis, </w:t>
      </w:r>
      <w:r w:rsidRPr="001B22C0">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1B22C0">
        <w:rPr>
          <w:rFonts w:ascii="Palatino Linotype" w:eastAsia="Palatino Linotype" w:hAnsi="Palatino Linotype" w:cs="Palatino Linotype"/>
        </w:rPr>
        <w:t>manifestara</w:t>
      </w:r>
      <w:r w:rsidRPr="001B22C0">
        <w:rPr>
          <w:rFonts w:ascii="Palatino Linotype" w:eastAsia="Palatino Linotype" w:hAnsi="Palatino Linotype" w:cs="Palatino Linotype"/>
          <w:color w:val="000000"/>
        </w:rPr>
        <w:t xml:space="preserve"> lo que a su derecho conviniera, </w:t>
      </w:r>
      <w:r w:rsidRPr="001B22C0">
        <w:rPr>
          <w:rFonts w:ascii="Palatino Linotype" w:eastAsia="Palatino Linotype" w:hAnsi="Palatino Linotype" w:cs="Palatino Linotype"/>
        </w:rPr>
        <w:t>ofreciera</w:t>
      </w:r>
      <w:r w:rsidRPr="001B22C0">
        <w:rPr>
          <w:rFonts w:ascii="Palatino Linotype" w:eastAsia="Palatino Linotype" w:hAnsi="Palatino Linotype" w:cs="Palatino Linotype"/>
          <w:color w:val="000000"/>
        </w:rPr>
        <w:t xml:space="preserve"> pruebas y alegatos según corresponda al caso concreto, de esta forma para que el </w:t>
      </w:r>
      <w:r w:rsidRPr="001B22C0">
        <w:rPr>
          <w:rFonts w:ascii="Palatino Linotype" w:eastAsia="Palatino Linotype" w:hAnsi="Palatino Linotype" w:cs="Palatino Linotype"/>
          <w:b/>
          <w:bCs/>
          <w:color w:val="000000"/>
        </w:rPr>
        <w:t xml:space="preserve">SUJETO OBLIGADO </w:t>
      </w:r>
      <w:r w:rsidRPr="001B22C0">
        <w:rPr>
          <w:rFonts w:ascii="Palatino Linotype" w:eastAsia="Palatino Linotype" w:hAnsi="Palatino Linotype" w:cs="Palatino Linotype"/>
        </w:rPr>
        <w:t>presentase</w:t>
      </w:r>
      <w:r w:rsidRPr="001B22C0">
        <w:rPr>
          <w:rFonts w:ascii="Palatino Linotype" w:eastAsia="Palatino Linotype" w:hAnsi="Palatino Linotype" w:cs="Palatino Linotype"/>
          <w:color w:val="000000"/>
        </w:rPr>
        <w:t xml:space="preserve"> el Informe Justificado procedente.</w:t>
      </w:r>
    </w:p>
    <w:p w:rsidR="00250C9F" w:rsidRPr="001B22C0" w:rsidRDefault="00250C9F">
      <w:pPr>
        <w:pBdr>
          <w:top w:val="nil"/>
          <w:left w:val="nil"/>
          <w:bottom w:val="nil"/>
          <w:right w:val="nil"/>
          <w:between w:val="nil"/>
        </w:pBdr>
        <w:ind w:left="708"/>
        <w:rPr>
          <w:rFonts w:ascii="Palatino Linotype" w:eastAsia="Palatino Linotype" w:hAnsi="Palatino Linotype" w:cs="Palatino Linotype"/>
          <w:color w:val="000000"/>
        </w:rPr>
      </w:pPr>
    </w:p>
    <w:p w:rsidR="00250C9F" w:rsidRPr="001B22C0" w:rsidRDefault="004E397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color w:val="000000"/>
        </w:rPr>
        <w:t xml:space="preserve">En esa línea, tal y como se observa en el expediente electrónico el </w:t>
      </w:r>
      <w:r w:rsidRPr="001B22C0">
        <w:rPr>
          <w:rFonts w:ascii="Palatino Linotype" w:eastAsia="Palatino Linotype" w:hAnsi="Palatino Linotype" w:cs="Palatino Linotype"/>
          <w:b/>
          <w:bCs/>
          <w:color w:val="000000"/>
        </w:rPr>
        <w:t xml:space="preserve">SUJETO OBLIGADO </w:t>
      </w:r>
      <w:r w:rsidRPr="001B22C0">
        <w:rPr>
          <w:rFonts w:ascii="Palatino Linotype" w:eastAsia="Palatino Linotype" w:hAnsi="Palatino Linotype" w:cs="Palatino Linotype"/>
          <w:color w:val="000000"/>
        </w:rPr>
        <w:t>en fecha veinticuatro de febrero de dos mil veintiséis remitió dos archivos electrónicos donde medularmente refiere lo siguiente:</w:t>
      </w: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b/>
          <w:bCs/>
          <w:color w:val="000000"/>
        </w:rPr>
        <w:t xml:space="preserve">RR 1953 SOL.11-26 MANIF.ADMON..pdf: </w:t>
      </w:r>
      <w:r w:rsidRPr="001B22C0">
        <w:rPr>
          <w:rFonts w:ascii="Palatino Linotype" w:eastAsia="Palatino Linotype" w:hAnsi="Palatino Linotype" w:cs="Palatino Linotype"/>
          <w:i/>
          <w:iCs/>
          <w:color w:val="000000"/>
        </w:rPr>
        <w:t>Donde Director de Administración ratifica su respuesta inicial y refiere que al modificar el particular el nombre del servidor público en la solicitud se está ante una nueva petición .</w:t>
      </w:r>
    </w:p>
    <w:p w:rsidR="00250C9F" w:rsidRPr="001B22C0" w:rsidRDefault="00250C9F">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p>
    <w:p w:rsidR="00250C9F" w:rsidRPr="001B22C0" w:rsidRDefault="004E397F">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color w:val="000000"/>
        </w:rPr>
        <w:t xml:space="preserve">Por su parte el </w:t>
      </w:r>
      <w:r w:rsidRPr="001B22C0">
        <w:rPr>
          <w:rFonts w:ascii="Palatino Linotype" w:eastAsia="Palatino Linotype" w:hAnsi="Palatino Linotype" w:cs="Palatino Linotype"/>
          <w:b/>
          <w:bCs/>
          <w:color w:val="000000"/>
        </w:rPr>
        <w:t xml:space="preserve">RECURRENTE </w:t>
      </w:r>
      <w:r w:rsidRPr="001B22C0">
        <w:rPr>
          <w:rFonts w:ascii="Palatino Linotype" w:eastAsia="Palatino Linotype" w:hAnsi="Palatino Linotype" w:cs="Palatino Linotype"/>
          <w:color w:val="000000"/>
        </w:rPr>
        <w:t xml:space="preserve"> en fecha dieciocho de marzo de dos mil veintiséis mediante el archivo</w:t>
      </w:r>
      <w:r w:rsidRPr="001B22C0">
        <w:t xml:space="preserve"> </w:t>
      </w:r>
      <w:r w:rsidRPr="001B22C0">
        <w:rPr>
          <w:rFonts w:ascii="Palatino Linotype" w:eastAsia="Palatino Linotype" w:hAnsi="Palatino Linotype" w:cs="Palatino Linotype"/>
          <w:b/>
          <w:bCs/>
          <w:color w:val="000000"/>
        </w:rPr>
        <w:t>Oficio de respuesta por ISSEMYM de Jose Fco Muciño.pdf</w:t>
      </w:r>
      <w:r w:rsidRPr="001B22C0">
        <w:rPr>
          <w:rFonts w:ascii="Palatino Linotype" w:eastAsia="Palatino Linotype" w:hAnsi="Palatino Linotype" w:cs="Palatino Linotype"/>
          <w:color w:val="000000"/>
        </w:rPr>
        <w:t xml:space="preserve">  presenta respuesta a solicitud de información del Instituto de Seguridad Social del Estado de México y Municipios con respecto a JUAN FRANCISCO MUCIÑO MARQUEZ donde se avierte estatus de baja, fecha de alta, fecha de baja y al Municipio de Metepec como entidad empleadora donde cotizó por </w:t>
      </w:r>
      <w:r w:rsidR="001B22C0" w:rsidRPr="001B22C0">
        <w:rPr>
          <w:rFonts w:ascii="Palatino Linotype" w:eastAsia="Palatino Linotype" w:hAnsi="Palatino Linotype" w:cs="Palatino Linotype"/>
          <w:color w:val="000000"/>
        </w:rPr>
        <w:t>última</w:t>
      </w:r>
      <w:r w:rsidRPr="001B22C0">
        <w:rPr>
          <w:rFonts w:ascii="Palatino Linotype" w:eastAsia="Palatino Linotype" w:hAnsi="Palatino Linotype" w:cs="Palatino Linotype"/>
          <w:color w:val="000000"/>
        </w:rPr>
        <w:t xml:space="preserve"> vez.</w:t>
      </w:r>
    </w:p>
    <w:p w:rsidR="00250C9F" w:rsidRPr="001B22C0" w:rsidRDefault="004E397F">
      <w:pPr>
        <w:pBdr>
          <w:top w:val="nil"/>
          <w:left w:val="nil"/>
          <w:bottom w:val="nil"/>
          <w:right w:val="nil"/>
          <w:between w:val="nil"/>
        </w:pBdr>
        <w:spacing w:line="360" w:lineRule="auto"/>
        <w:ind w:left="786"/>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 </w:t>
      </w:r>
    </w:p>
    <w:p w:rsidR="00250C9F" w:rsidRPr="001B22C0" w:rsidRDefault="004E397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3" w:name="_heading=h.2et92p0" w:colFirst="0" w:colLast="0"/>
      <w:bookmarkEnd w:id="3"/>
      <w:r w:rsidRPr="001B22C0">
        <w:rPr>
          <w:rFonts w:ascii="Palatino Linotype" w:eastAsia="Palatino Linotype" w:hAnsi="Palatino Linotype" w:cs="Palatino Linotype"/>
          <w:color w:val="000000"/>
        </w:rPr>
        <w:t xml:space="preserve">En </w:t>
      </w:r>
      <w:r w:rsidRPr="001B22C0">
        <w:rPr>
          <w:rFonts w:ascii="Palatino Linotype" w:eastAsia="Palatino Linotype" w:hAnsi="Palatino Linotype" w:cs="Palatino Linotype"/>
          <w:b/>
          <w:bCs/>
          <w:color w:val="000000"/>
        </w:rPr>
        <w:t>fecha nueve de abril de dos mil veintiséis</w:t>
      </w:r>
      <w:r w:rsidRPr="001B22C0">
        <w:rPr>
          <w:rFonts w:ascii="Palatino Linotype" w:eastAsia="Palatino Linotype" w:hAnsi="Palatino Linotype" w:cs="Palatino Linotype"/>
          <w:color w:val="000000"/>
        </w:rPr>
        <w:t>, se acordó ampliar el término para resolver el presente asunto.</w:t>
      </w:r>
    </w:p>
    <w:p w:rsidR="00250C9F" w:rsidRPr="001B22C0" w:rsidRDefault="00250C9F">
      <w:pPr>
        <w:pBdr>
          <w:top w:val="nil"/>
          <w:left w:val="nil"/>
          <w:bottom w:val="nil"/>
          <w:right w:val="nil"/>
          <w:between w:val="nil"/>
        </w:pBdr>
        <w:ind w:left="720"/>
        <w:rPr>
          <w:rFonts w:ascii="Palatino Linotype" w:eastAsia="Palatino Linotype" w:hAnsi="Palatino Linotype" w:cs="Palatino Linotype"/>
          <w:b/>
          <w:bCs/>
          <w:color w:val="000000"/>
        </w:rPr>
      </w:pPr>
    </w:p>
    <w:p w:rsidR="00250C9F" w:rsidRPr="001B22C0" w:rsidRDefault="004E397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250C9F" w:rsidRPr="001B22C0" w:rsidRDefault="00250C9F">
      <w:pPr>
        <w:pBdr>
          <w:top w:val="nil"/>
          <w:left w:val="nil"/>
          <w:bottom w:val="nil"/>
          <w:right w:val="nil"/>
          <w:between w:val="nil"/>
        </w:pBdr>
        <w:ind w:left="720"/>
        <w:rPr>
          <w:rFonts w:ascii="Palatino Linotype" w:eastAsia="Palatino Linotype" w:hAnsi="Palatino Linotype" w:cs="Palatino Linotype"/>
          <w:color w:val="000000"/>
        </w:rPr>
      </w:pPr>
    </w:p>
    <w:p w:rsidR="00250C9F" w:rsidRPr="001B22C0" w:rsidRDefault="004E397F">
      <w:pPr>
        <w:numPr>
          <w:ilvl w:val="0"/>
          <w:numId w:val="9"/>
        </w:numPr>
        <w:spacing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rPr>
        <w:t xml:space="preserve">La Comisionada Ponente decretó el cierre de instrucción mediante el acuerdo del </w:t>
      </w:r>
      <w:r w:rsidRPr="001B22C0">
        <w:rPr>
          <w:rFonts w:ascii="Palatino Linotype" w:eastAsia="Palatino Linotype" w:hAnsi="Palatino Linotype" w:cs="Palatino Linotype"/>
          <w:b/>
          <w:bCs/>
        </w:rPr>
        <w:t xml:space="preserve">veintiocho de abril de dos mil veintiséis; </w:t>
      </w:r>
      <w:r w:rsidRPr="001B22C0">
        <w:rPr>
          <w:rFonts w:ascii="Palatino Linotype" w:eastAsia="Palatino Linotype" w:hAnsi="Palatino Linotype" w:cs="Palatino Linotype"/>
        </w:rPr>
        <w:t xml:space="preserve">por lo que en virtud de que el expediente electrónico ha sido debidamente substanciado y no existe diligencia pendiente de desahogo, se procede a emitir la presente resolución que conforme a Derecho corresponda y </w:t>
      </w:r>
    </w:p>
    <w:p w:rsidR="001B22C0" w:rsidRDefault="001B22C0">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rsidR="00250C9F" w:rsidRPr="001B22C0" w:rsidRDefault="004E397F">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1B22C0">
        <w:rPr>
          <w:rFonts w:ascii="Palatino Linotype" w:eastAsia="Palatino Linotype" w:hAnsi="Palatino Linotype" w:cs="Palatino Linotype"/>
          <w:b/>
          <w:bCs/>
          <w:color w:val="000000"/>
        </w:rPr>
        <w:t xml:space="preserve">C O N S I D E R A N D O </w:t>
      </w:r>
    </w:p>
    <w:p w:rsidR="00250C9F" w:rsidRPr="001B22C0" w:rsidRDefault="00250C9F">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rsidR="00250C9F" w:rsidRPr="001B22C0" w:rsidRDefault="004E397F">
      <w:pPr>
        <w:pStyle w:val="Ttulo2"/>
        <w:spacing w:before="0" w:line="360" w:lineRule="auto"/>
        <w:rPr>
          <w:rFonts w:ascii="Palatino Linotype" w:eastAsia="Palatino Linotype" w:hAnsi="Palatino Linotype" w:cs="Palatino Linotype"/>
          <w:b/>
          <w:bCs/>
          <w:color w:val="000000"/>
          <w:sz w:val="24"/>
          <w:szCs w:val="24"/>
        </w:rPr>
      </w:pPr>
      <w:bookmarkStart w:id="4" w:name="_heading=h.tyjcwt" w:colFirst="0" w:colLast="0"/>
      <w:bookmarkEnd w:id="4"/>
      <w:r w:rsidRPr="001B22C0">
        <w:rPr>
          <w:rFonts w:ascii="Palatino Linotype" w:eastAsia="Palatino Linotype" w:hAnsi="Palatino Linotype" w:cs="Palatino Linotype"/>
          <w:b/>
          <w:bCs/>
          <w:color w:val="000000"/>
          <w:sz w:val="24"/>
          <w:szCs w:val="24"/>
        </w:rPr>
        <w:t>PRIMERO. De la competencia</w:t>
      </w:r>
    </w:p>
    <w:p w:rsidR="00250C9F" w:rsidRPr="001B22C0" w:rsidRDefault="004E397F">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1B22C0">
        <w:rPr>
          <w:rFonts w:ascii="Palatino Linotype" w:eastAsia="Palatino Linotype" w:hAnsi="Palatino Linotype" w:cs="Palatino Linotype"/>
          <w:color w:val="000000"/>
        </w:rPr>
        <w:lastRenderedPageBreak/>
        <w:t>Transparencia, Acceso a la Información Pública y Protección de Datos Personales del Estado de México y Municipios.</w:t>
      </w:r>
    </w:p>
    <w:p w:rsidR="001B22C0" w:rsidRDefault="001B22C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5" w:name="_heading=h.1t3h5sf" w:colFirst="0" w:colLast="0"/>
      <w:bookmarkEnd w:id="5"/>
    </w:p>
    <w:p w:rsidR="00250C9F" w:rsidRPr="001B22C0" w:rsidRDefault="004E397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r w:rsidRPr="001B22C0">
        <w:rPr>
          <w:rFonts w:ascii="Palatino Linotype" w:eastAsia="Palatino Linotype" w:hAnsi="Palatino Linotype" w:cs="Palatino Linotype"/>
          <w:b/>
          <w:bCs/>
          <w:color w:val="000000"/>
        </w:rPr>
        <w:t>SEGUNDO. De la oportunidad y procedencia.</w:t>
      </w:r>
    </w:p>
    <w:p w:rsidR="00250C9F" w:rsidRPr="001B22C0" w:rsidRDefault="004E397F">
      <w:pPr>
        <w:numPr>
          <w:ilvl w:val="0"/>
          <w:numId w:val="3"/>
        </w:numPr>
        <w:pBdr>
          <w:top w:val="nil"/>
          <w:left w:val="nil"/>
          <w:bottom w:val="nil"/>
          <w:right w:val="nil"/>
          <w:between w:val="nil"/>
        </w:pBdr>
        <w:spacing w:line="360" w:lineRule="auto"/>
        <w:ind w:left="0" w:firstLine="0"/>
        <w:jc w:val="both"/>
        <w:rPr>
          <w:color w:val="000000"/>
        </w:rPr>
      </w:pPr>
      <w:bookmarkStart w:id="6" w:name="_heading=h.4d34og8" w:colFirst="0" w:colLast="0"/>
      <w:bookmarkEnd w:id="6"/>
      <w:r w:rsidRPr="001B22C0">
        <w:rPr>
          <w:rFonts w:ascii="Palatino Linotype" w:eastAsia="Palatino Linotype" w:hAnsi="Palatino Linotype" w:cs="Palatino Linotype"/>
          <w:color w:val="000000"/>
        </w:rPr>
        <w:t xml:space="preserve">Los medios de impugnación fueron presentados a través del </w:t>
      </w:r>
      <w:r w:rsidRPr="001B22C0">
        <w:rPr>
          <w:rFonts w:ascii="Palatino Linotype" w:eastAsia="Palatino Linotype" w:hAnsi="Palatino Linotype" w:cs="Palatino Linotype"/>
          <w:b/>
          <w:bCs/>
          <w:color w:val="000000"/>
        </w:rPr>
        <w:t>SAIMEX,</w:t>
      </w:r>
      <w:r w:rsidRPr="001B22C0">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1B22C0">
        <w:rPr>
          <w:rFonts w:ascii="Palatino Linotype" w:eastAsia="Palatino Linotype" w:hAnsi="Palatino Linotype" w:cs="Palatino Linotype"/>
          <w:b/>
          <w:bCs/>
          <w:color w:val="000000"/>
        </w:rPr>
        <w:t>SUJETO OBLIGADO</w:t>
      </w:r>
      <w:r w:rsidRPr="001B22C0">
        <w:rPr>
          <w:rFonts w:ascii="Palatino Linotype" w:eastAsia="Palatino Linotype" w:hAnsi="Palatino Linotype" w:cs="Palatino Linotype"/>
          <w:color w:val="000000"/>
        </w:rPr>
        <w:t xml:space="preserve"> entregó su respuesta el </w:t>
      </w:r>
      <w:r w:rsidRPr="001B22C0">
        <w:rPr>
          <w:rFonts w:ascii="Palatino Linotype" w:eastAsia="Palatino Linotype" w:hAnsi="Palatino Linotype" w:cs="Palatino Linotype"/>
          <w:b/>
          <w:bCs/>
          <w:color w:val="000000"/>
        </w:rPr>
        <w:t>once de febrero de dos mil veintiséis</w:t>
      </w:r>
      <w:r w:rsidRPr="001B22C0">
        <w:rPr>
          <w:rFonts w:ascii="Palatino Linotype" w:eastAsia="Palatino Linotype" w:hAnsi="Palatino Linotype" w:cs="Palatino Linotype"/>
          <w:color w:val="000000"/>
        </w:rPr>
        <w:t xml:space="preserve">, de tal forma que el plazo para interponer el recurso de revisión transcurrió del día </w:t>
      </w:r>
      <w:r w:rsidRPr="001B22C0">
        <w:rPr>
          <w:rFonts w:ascii="Palatino Linotype" w:eastAsia="Palatino Linotype" w:hAnsi="Palatino Linotype" w:cs="Palatino Linotype"/>
          <w:b/>
          <w:bCs/>
          <w:color w:val="000000"/>
        </w:rPr>
        <w:t>doce de febrero al cinco de marzo de dos mil veintiséis</w:t>
      </w:r>
      <w:r w:rsidRPr="001B22C0">
        <w:rPr>
          <w:rFonts w:ascii="Palatino Linotype" w:eastAsia="Palatino Linotype" w:hAnsi="Palatino Linotype" w:cs="Palatino Linotype"/>
          <w:color w:val="000000"/>
        </w:rPr>
        <w:t xml:space="preserve">; en consecuencia, el ahora </w:t>
      </w:r>
      <w:r w:rsidRPr="001B22C0">
        <w:rPr>
          <w:rFonts w:ascii="Palatino Linotype" w:eastAsia="Palatino Linotype" w:hAnsi="Palatino Linotype" w:cs="Palatino Linotype"/>
          <w:b/>
          <w:bCs/>
          <w:color w:val="000000"/>
        </w:rPr>
        <w:t>RECURRENTE</w:t>
      </w:r>
      <w:r w:rsidRPr="001B22C0">
        <w:rPr>
          <w:rFonts w:ascii="Palatino Linotype" w:eastAsia="Palatino Linotype" w:hAnsi="Palatino Linotype" w:cs="Palatino Linotype"/>
          <w:color w:val="000000"/>
        </w:rPr>
        <w:t xml:space="preserve"> presentó su inconformidad el día </w:t>
      </w:r>
      <w:r w:rsidRPr="001B22C0">
        <w:rPr>
          <w:rFonts w:ascii="Palatino Linotype" w:eastAsia="Palatino Linotype" w:hAnsi="Palatino Linotype" w:cs="Palatino Linotype"/>
          <w:b/>
          <w:bCs/>
          <w:color w:val="000000"/>
        </w:rPr>
        <w:t>doce de febrero de dos mil veintiséis</w:t>
      </w:r>
      <w:r w:rsidRPr="001B22C0">
        <w:rPr>
          <w:rFonts w:ascii="Palatino Linotype" w:eastAsia="Palatino Linotype" w:hAnsi="Palatino Linotype" w:cs="Palatino Linotype"/>
          <w:color w:val="000000"/>
        </w:rPr>
        <w:t>; es decir dentro del lapso legalmente establecido para tal efecto.</w:t>
      </w:r>
    </w:p>
    <w:p w:rsidR="00250C9F" w:rsidRPr="001B22C0" w:rsidRDefault="00250C9F">
      <w:pPr>
        <w:pBdr>
          <w:top w:val="nil"/>
          <w:left w:val="nil"/>
          <w:bottom w:val="nil"/>
          <w:right w:val="nil"/>
          <w:between w:val="nil"/>
        </w:pBdr>
        <w:spacing w:line="360" w:lineRule="auto"/>
        <w:jc w:val="both"/>
        <w:rPr>
          <w:color w:val="000000"/>
        </w:rPr>
      </w:pPr>
    </w:p>
    <w:p w:rsidR="00250C9F" w:rsidRPr="001B22C0" w:rsidRDefault="004E397F">
      <w:pPr>
        <w:numPr>
          <w:ilvl w:val="0"/>
          <w:numId w:val="1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50C9F" w:rsidRPr="001B22C0" w:rsidRDefault="00250C9F">
      <w:pPr>
        <w:spacing w:line="360" w:lineRule="auto"/>
        <w:ind w:right="27"/>
        <w:jc w:val="both"/>
        <w:rPr>
          <w:rFonts w:ascii="Palatino Linotype" w:eastAsia="Palatino Linotype" w:hAnsi="Palatino Linotype" w:cs="Palatino Linotype"/>
        </w:rPr>
      </w:pPr>
    </w:p>
    <w:p w:rsidR="00250C9F" w:rsidRPr="001B22C0" w:rsidRDefault="004E397F">
      <w:pPr>
        <w:pBdr>
          <w:top w:val="nil"/>
          <w:left w:val="nil"/>
          <w:bottom w:val="nil"/>
          <w:right w:val="nil"/>
          <w:between w:val="nil"/>
        </w:pBdr>
        <w:tabs>
          <w:tab w:val="left" w:pos="7938"/>
        </w:tabs>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w:t>
      </w:r>
      <w:r w:rsidRPr="001B22C0">
        <w:rPr>
          <w:rFonts w:ascii="Palatino Linotype" w:eastAsia="Palatino Linotype" w:hAnsi="Palatino Linotype" w:cs="Palatino Linotype"/>
          <w:b/>
          <w:bCs/>
          <w:i/>
          <w:iCs/>
          <w:color w:val="000000"/>
        </w:rPr>
        <w:t>Las solicitudes anónimas</w:t>
      </w:r>
      <w:r w:rsidRPr="001B22C0">
        <w:rPr>
          <w:rFonts w:ascii="Palatino Linotype" w:eastAsia="Palatino Linotype" w:hAnsi="Palatino Linotype" w:cs="Palatino Linotype"/>
          <w:i/>
          <w:iCs/>
          <w:color w:val="000000"/>
        </w:rPr>
        <w:t xml:space="preserve">, con nombre incompleto o seudónimo </w:t>
      </w:r>
      <w:r w:rsidRPr="001B22C0">
        <w:rPr>
          <w:rFonts w:ascii="Palatino Linotype" w:eastAsia="Palatino Linotype" w:hAnsi="Palatino Linotype" w:cs="Palatino Linotype"/>
          <w:b/>
          <w:bCs/>
          <w:i/>
          <w:iCs/>
          <w:color w:val="000000"/>
        </w:rPr>
        <w:t>serán procedentes para su trámite por parte del sujeto obligado ante quien se presente</w:t>
      </w:r>
      <w:r w:rsidRPr="001B22C0">
        <w:rPr>
          <w:rFonts w:ascii="Palatino Linotype" w:eastAsia="Palatino Linotype" w:hAnsi="Palatino Linotype" w:cs="Palatino Linotype"/>
          <w:i/>
          <w:iCs/>
          <w:color w:val="000000"/>
        </w:rPr>
        <w:t xml:space="preserve">. No podrá requerirse información adicional con motivo del nombre proporcionado por el solicitante.” </w:t>
      </w:r>
      <w:r w:rsidRPr="001B22C0">
        <w:rPr>
          <w:rFonts w:ascii="Palatino Linotype" w:eastAsia="Palatino Linotype" w:hAnsi="Palatino Linotype" w:cs="Palatino Linotype"/>
          <w:color w:val="000000"/>
        </w:rPr>
        <w:t>(Sic)</w:t>
      </w:r>
    </w:p>
    <w:p w:rsidR="00250C9F" w:rsidRPr="001B22C0" w:rsidRDefault="00250C9F">
      <w:pPr>
        <w:pBdr>
          <w:top w:val="nil"/>
          <w:left w:val="nil"/>
          <w:bottom w:val="nil"/>
          <w:right w:val="nil"/>
          <w:between w:val="nil"/>
        </w:pBdr>
        <w:spacing w:line="360" w:lineRule="auto"/>
        <w:ind w:right="27"/>
        <w:rPr>
          <w:rFonts w:ascii="Palatino Linotype" w:eastAsia="Palatino Linotype" w:hAnsi="Palatino Linotype" w:cs="Palatino Linotype"/>
          <w:i/>
          <w:iCs/>
          <w:color w:val="000000"/>
        </w:rPr>
      </w:pPr>
    </w:p>
    <w:p w:rsidR="00250C9F" w:rsidRPr="001B22C0" w:rsidRDefault="004E397F">
      <w:pPr>
        <w:numPr>
          <w:ilvl w:val="0"/>
          <w:numId w:val="1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lastRenderedPageBreak/>
        <w:t>Robusteciendo lo anterior se encuentra lo dispuesto en el artículo 6, Apartado A, fracciones III de la Constitución Política de los Estados Unidos Mexicanos que establece:</w:t>
      </w:r>
    </w:p>
    <w:p w:rsidR="00250C9F" w:rsidRPr="001B22C0" w:rsidRDefault="00250C9F">
      <w:pPr>
        <w:spacing w:line="360" w:lineRule="auto"/>
        <w:ind w:right="27"/>
        <w:jc w:val="both"/>
        <w:rPr>
          <w:rFonts w:ascii="Palatino Linotype" w:eastAsia="Palatino Linotype" w:hAnsi="Palatino Linotype" w:cs="Palatino Linotype"/>
          <w:i/>
          <w:iCs/>
        </w:rPr>
      </w:pP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w:t>
      </w:r>
      <w:r w:rsidRPr="001B22C0">
        <w:rPr>
          <w:rFonts w:ascii="Palatino Linotype" w:eastAsia="Palatino Linotype" w:hAnsi="Palatino Linotype" w:cs="Palatino Linotype"/>
          <w:b/>
          <w:bCs/>
          <w:i/>
          <w:iCs/>
          <w:color w:val="000000"/>
        </w:rPr>
        <w:t>Artículo 6.-</w:t>
      </w:r>
      <w:r w:rsidRPr="001B22C0">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Para efectos de lo dispuesto en el presente artículo se observará lo siguiente:</w:t>
      </w: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A. Para el ejercicio del derecho de acceso a la información, la Federación, los Estados y el Distrito Federal, en el ámbito de sus respectivas competencias, se regirán por los siguientes principios y bases:</w:t>
      </w: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r w:rsidRPr="001B22C0">
        <w:rPr>
          <w:rFonts w:ascii="Palatino Linotype" w:eastAsia="Palatino Linotype" w:hAnsi="Palatino Linotype" w:cs="Palatino Linotype"/>
          <w:color w:val="000000"/>
        </w:rPr>
        <w:t>(Sic)</w:t>
      </w:r>
    </w:p>
    <w:p w:rsidR="00250C9F" w:rsidRPr="001B22C0" w:rsidRDefault="00250C9F">
      <w:pPr>
        <w:pBdr>
          <w:top w:val="nil"/>
          <w:left w:val="nil"/>
          <w:bottom w:val="nil"/>
          <w:right w:val="nil"/>
          <w:between w:val="nil"/>
        </w:pBdr>
        <w:spacing w:line="360" w:lineRule="auto"/>
        <w:ind w:right="27"/>
        <w:rPr>
          <w:rFonts w:ascii="Palatino Linotype" w:eastAsia="Palatino Linotype" w:hAnsi="Palatino Linotype" w:cs="Palatino Linotype"/>
          <w:i/>
          <w:iCs/>
          <w:color w:val="000000"/>
        </w:rPr>
      </w:pPr>
    </w:p>
    <w:p w:rsidR="00250C9F" w:rsidRPr="001B22C0" w:rsidRDefault="004E397F">
      <w:pPr>
        <w:numPr>
          <w:ilvl w:val="0"/>
          <w:numId w:val="1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250C9F" w:rsidRPr="001B22C0" w:rsidRDefault="00250C9F">
      <w:pPr>
        <w:spacing w:line="360" w:lineRule="auto"/>
        <w:ind w:right="27"/>
        <w:jc w:val="both"/>
        <w:rPr>
          <w:rFonts w:ascii="Palatino Linotype" w:eastAsia="Palatino Linotype" w:hAnsi="Palatino Linotype" w:cs="Palatino Linotype"/>
        </w:rPr>
      </w:pP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w:t>
      </w:r>
      <w:r w:rsidRPr="001B22C0">
        <w:rPr>
          <w:rFonts w:ascii="Palatino Linotype" w:eastAsia="Palatino Linotype" w:hAnsi="Palatino Linotype" w:cs="Palatino Linotype"/>
          <w:b/>
          <w:bCs/>
          <w:i/>
          <w:iCs/>
          <w:color w:val="000000"/>
        </w:rPr>
        <w:t>Artículo 5.-</w:t>
      </w:r>
      <w:r w:rsidRPr="001B22C0">
        <w:rPr>
          <w:rFonts w:ascii="Palatino Linotype" w:eastAsia="Palatino Linotype" w:hAnsi="Palatino Linotype" w:cs="Palatino Linotype"/>
          <w:i/>
          <w:iCs/>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Toda persona en el Estado de México, tiene derecho al libre acceso a la información plural y oportuna, así como a buscar recibir y difundir información e ideas de toda índole por cualquier medio de expresión.</w:t>
      </w: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lastRenderedPageBreak/>
        <w:t>...</w:t>
      </w: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rsidR="00250C9F" w:rsidRPr="001B22C0" w:rsidRDefault="00250C9F">
      <w:pPr>
        <w:pBdr>
          <w:top w:val="nil"/>
          <w:left w:val="nil"/>
          <w:bottom w:val="nil"/>
          <w:right w:val="nil"/>
          <w:between w:val="nil"/>
        </w:pBdr>
        <w:ind w:left="1134" w:right="1134"/>
        <w:jc w:val="both"/>
        <w:rPr>
          <w:rFonts w:ascii="Palatino Linotype" w:eastAsia="Palatino Linotype" w:hAnsi="Palatino Linotype" w:cs="Palatino Linotype"/>
          <w:i/>
          <w:iCs/>
          <w:color w:val="000000"/>
        </w:rPr>
      </w:pP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p>
    <w:p w:rsidR="00250C9F" w:rsidRPr="001B22C0" w:rsidRDefault="004E397F">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250C9F" w:rsidRPr="001B22C0" w:rsidRDefault="00250C9F">
      <w:pPr>
        <w:pBdr>
          <w:top w:val="nil"/>
          <w:left w:val="nil"/>
          <w:bottom w:val="nil"/>
          <w:right w:val="nil"/>
          <w:between w:val="nil"/>
        </w:pBdr>
        <w:spacing w:line="360" w:lineRule="auto"/>
        <w:ind w:right="1134"/>
        <w:rPr>
          <w:rFonts w:ascii="Palatino Linotype" w:eastAsia="Palatino Linotype" w:hAnsi="Palatino Linotype" w:cs="Palatino Linotype"/>
          <w:i/>
          <w:iCs/>
          <w:color w:val="000000"/>
        </w:rPr>
      </w:pPr>
    </w:p>
    <w:p w:rsidR="00250C9F" w:rsidRPr="001B22C0" w:rsidRDefault="004E397F">
      <w:pPr>
        <w:numPr>
          <w:ilvl w:val="0"/>
          <w:numId w:val="1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250C9F" w:rsidRPr="001B22C0" w:rsidRDefault="00250C9F">
      <w:pPr>
        <w:spacing w:line="360" w:lineRule="auto"/>
        <w:ind w:right="27"/>
        <w:jc w:val="both"/>
        <w:rPr>
          <w:rFonts w:ascii="Palatino Linotype" w:eastAsia="Palatino Linotype" w:hAnsi="Palatino Linotype" w:cs="Palatino Linotype"/>
        </w:rPr>
      </w:pPr>
    </w:p>
    <w:p w:rsidR="00250C9F" w:rsidRPr="001B22C0" w:rsidRDefault="004E397F">
      <w:pPr>
        <w:pBdr>
          <w:top w:val="nil"/>
          <w:left w:val="nil"/>
          <w:bottom w:val="nil"/>
          <w:right w:val="nil"/>
          <w:between w:val="nil"/>
        </w:pBdr>
        <w:tabs>
          <w:tab w:val="left" w:pos="7938"/>
        </w:tabs>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w:t>
      </w:r>
      <w:r w:rsidRPr="001B22C0">
        <w:rPr>
          <w:rFonts w:ascii="Palatino Linotype" w:eastAsia="Palatino Linotype" w:hAnsi="Palatino Linotype" w:cs="Palatino Linotype"/>
          <w:b/>
          <w:bCs/>
          <w:i/>
          <w:iCs/>
          <w:color w:val="000000"/>
        </w:rPr>
        <w:t>Artículo 1</w:t>
      </w:r>
      <w:r w:rsidRPr="001B22C0">
        <w:rPr>
          <w:rFonts w:ascii="Palatino Linotype" w:eastAsia="Palatino Linotype" w:hAnsi="Palatino Linotype" w:cs="Palatino Linotype"/>
          <w:i/>
          <w:iCs/>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50C9F" w:rsidRPr="001B22C0" w:rsidRDefault="004E397F">
      <w:pPr>
        <w:pBdr>
          <w:top w:val="nil"/>
          <w:left w:val="nil"/>
          <w:bottom w:val="nil"/>
          <w:right w:val="nil"/>
          <w:between w:val="nil"/>
        </w:pBdr>
        <w:tabs>
          <w:tab w:val="left" w:pos="7938"/>
        </w:tabs>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Las normas relativas a los derechos humanos se interpretarán de conformidad con esta Constitución y con los tratados internacionales de la materia favoreciendo en todo tiempo a las personas la protección más amplia.</w:t>
      </w:r>
    </w:p>
    <w:p w:rsidR="00250C9F" w:rsidRPr="001B22C0" w:rsidRDefault="004E397F">
      <w:pPr>
        <w:pBdr>
          <w:top w:val="nil"/>
          <w:left w:val="nil"/>
          <w:bottom w:val="nil"/>
          <w:right w:val="nil"/>
          <w:between w:val="nil"/>
        </w:pBdr>
        <w:tabs>
          <w:tab w:val="left" w:pos="7938"/>
        </w:tabs>
        <w:ind w:left="1134"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250C9F" w:rsidRPr="001B22C0" w:rsidRDefault="00250C9F">
      <w:pPr>
        <w:pBdr>
          <w:top w:val="nil"/>
          <w:left w:val="nil"/>
          <w:bottom w:val="nil"/>
          <w:right w:val="nil"/>
          <w:between w:val="nil"/>
        </w:pBdr>
        <w:spacing w:line="360" w:lineRule="auto"/>
        <w:ind w:right="1134"/>
        <w:rPr>
          <w:rFonts w:ascii="Palatino Linotype" w:eastAsia="Palatino Linotype" w:hAnsi="Palatino Linotype" w:cs="Palatino Linotype"/>
          <w:i/>
          <w:iCs/>
          <w:color w:val="000000"/>
        </w:rPr>
      </w:pPr>
    </w:p>
    <w:p w:rsidR="00250C9F" w:rsidRPr="001B22C0" w:rsidRDefault="004E397F">
      <w:pPr>
        <w:numPr>
          <w:ilvl w:val="0"/>
          <w:numId w:val="1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sidRPr="001B22C0">
        <w:rPr>
          <w:rFonts w:ascii="Palatino Linotype" w:eastAsia="Palatino Linotype" w:hAnsi="Palatino Linotype" w:cs="Palatino Linotype"/>
          <w:i/>
          <w:iCs/>
          <w:color w:val="000000"/>
        </w:rPr>
        <w:t>derecho fundamental exime a quien lo ejerce</w:t>
      </w:r>
      <w:r w:rsidRPr="001B22C0">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250C9F" w:rsidRPr="001B22C0" w:rsidRDefault="00250C9F">
      <w:pPr>
        <w:spacing w:line="360" w:lineRule="auto"/>
        <w:ind w:right="27"/>
        <w:jc w:val="both"/>
        <w:rPr>
          <w:rFonts w:ascii="Palatino Linotype" w:eastAsia="Palatino Linotype" w:hAnsi="Palatino Linotype" w:cs="Palatino Linotype"/>
        </w:rPr>
      </w:pPr>
    </w:p>
    <w:p w:rsidR="00250C9F" w:rsidRPr="001B22C0" w:rsidRDefault="004E397F">
      <w:pPr>
        <w:numPr>
          <w:ilvl w:val="0"/>
          <w:numId w:val="1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250C9F" w:rsidRPr="001B22C0" w:rsidRDefault="00250C9F">
      <w:pPr>
        <w:spacing w:line="360" w:lineRule="auto"/>
        <w:ind w:right="1134"/>
        <w:jc w:val="both"/>
        <w:rPr>
          <w:rFonts w:ascii="Palatino Linotype" w:eastAsia="Palatino Linotype" w:hAnsi="Palatino Linotype" w:cs="Palatino Linotype"/>
        </w:rPr>
      </w:pPr>
    </w:p>
    <w:p w:rsidR="00250C9F" w:rsidRPr="001B22C0" w:rsidRDefault="004E397F">
      <w:pPr>
        <w:pBdr>
          <w:top w:val="nil"/>
          <w:left w:val="nil"/>
          <w:bottom w:val="nil"/>
          <w:right w:val="nil"/>
          <w:between w:val="nil"/>
        </w:pBdr>
        <w:ind w:left="1060" w:right="1134"/>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w:t>
      </w:r>
      <w:r w:rsidRPr="001B22C0">
        <w:rPr>
          <w:rFonts w:ascii="Palatino Linotype" w:eastAsia="Palatino Linotype" w:hAnsi="Palatino Linotype" w:cs="Palatino Linotype"/>
          <w:i/>
          <w:iCs/>
          <w:color w:val="000000"/>
        </w:rPr>
        <w:lastRenderedPageBreak/>
        <w:t>se haya cubierto el pago de reproducción y envío de la información, mediante la exhibición del recibo correspondiente.”(Sic)</w:t>
      </w:r>
    </w:p>
    <w:p w:rsidR="00250C9F" w:rsidRPr="001B22C0" w:rsidRDefault="00250C9F">
      <w:pPr>
        <w:spacing w:line="360" w:lineRule="auto"/>
        <w:ind w:right="1134"/>
        <w:jc w:val="both"/>
        <w:rPr>
          <w:rFonts w:ascii="Palatino Linotype" w:eastAsia="Palatino Linotype" w:hAnsi="Palatino Linotype" w:cs="Palatino Linotype"/>
          <w:color w:val="7030A0"/>
        </w:rPr>
      </w:pPr>
    </w:p>
    <w:p w:rsidR="00250C9F" w:rsidRPr="001B22C0" w:rsidRDefault="004E397F">
      <w:pPr>
        <w:numPr>
          <w:ilvl w:val="0"/>
          <w:numId w:val="12"/>
        </w:numPr>
        <w:pBdr>
          <w:top w:val="nil"/>
          <w:left w:val="nil"/>
          <w:bottom w:val="nil"/>
          <w:right w:val="nil"/>
          <w:between w:val="nil"/>
        </w:pBdr>
        <w:spacing w:line="360" w:lineRule="auto"/>
        <w:ind w:left="0" w:firstLine="0"/>
        <w:jc w:val="both"/>
        <w:rPr>
          <w:color w:val="000000"/>
        </w:rPr>
      </w:pPr>
      <w:r w:rsidRPr="001B22C0">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B22C0" w:rsidRDefault="001B22C0">
      <w:pPr>
        <w:pStyle w:val="Ttulo1"/>
        <w:spacing w:before="0" w:line="360" w:lineRule="auto"/>
        <w:rPr>
          <w:rFonts w:ascii="Palatino Linotype" w:eastAsia="Palatino Linotype" w:hAnsi="Palatino Linotype" w:cs="Palatino Linotype"/>
          <w:b/>
          <w:bCs/>
          <w:color w:val="000000"/>
          <w:sz w:val="24"/>
          <w:szCs w:val="24"/>
        </w:rPr>
      </w:pPr>
      <w:bookmarkStart w:id="7" w:name="_heading=h.2s8eyo1" w:colFirst="0" w:colLast="0"/>
      <w:bookmarkEnd w:id="7"/>
    </w:p>
    <w:p w:rsidR="00250C9F" w:rsidRPr="001B22C0" w:rsidRDefault="004E397F">
      <w:pPr>
        <w:pStyle w:val="Ttulo1"/>
        <w:spacing w:before="0" w:line="360" w:lineRule="auto"/>
        <w:rPr>
          <w:rFonts w:ascii="Palatino Linotype" w:eastAsia="Palatino Linotype" w:hAnsi="Palatino Linotype" w:cs="Palatino Linotype"/>
          <w:b/>
          <w:bCs/>
          <w:color w:val="000000"/>
          <w:sz w:val="24"/>
          <w:szCs w:val="24"/>
        </w:rPr>
      </w:pPr>
      <w:r w:rsidRPr="001B22C0">
        <w:rPr>
          <w:rFonts w:ascii="Palatino Linotype" w:eastAsia="Palatino Linotype" w:hAnsi="Palatino Linotype" w:cs="Palatino Linotype"/>
          <w:b/>
          <w:bCs/>
          <w:color w:val="000000"/>
          <w:sz w:val="24"/>
          <w:szCs w:val="24"/>
        </w:rPr>
        <w:t xml:space="preserve">TERCERO. Del planteamiento de la </w:t>
      </w:r>
      <w:r w:rsidRPr="001B22C0">
        <w:rPr>
          <w:rFonts w:ascii="Palatino Linotype" w:eastAsia="Palatino Linotype" w:hAnsi="Palatino Linotype" w:cs="Palatino Linotype"/>
          <w:b/>
          <w:bCs/>
          <w:i/>
          <w:iCs/>
          <w:color w:val="000000"/>
          <w:sz w:val="24"/>
          <w:szCs w:val="24"/>
        </w:rPr>
        <w:t>Litis</w:t>
      </w:r>
      <w:r w:rsidRPr="001B22C0">
        <w:rPr>
          <w:rFonts w:ascii="Palatino Linotype" w:eastAsia="Palatino Linotype" w:hAnsi="Palatino Linotype" w:cs="Palatino Linotype"/>
          <w:b/>
          <w:bCs/>
          <w:color w:val="000000"/>
          <w:sz w:val="24"/>
          <w:szCs w:val="24"/>
        </w:rPr>
        <w:t>.</w:t>
      </w:r>
    </w:p>
    <w:p w:rsidR="00250C9F" w:rsidRPr="001B22C0" w:rsidRDefault="004E397F">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1B22C0">
        <w:rPr>
          <w:rFonts w:ascii="Palatino Linotype" w:eastAsia="Palatino Linotype" w:hAnsi="Palatino Linotype" w:cs="Palatino Linotype"/>
          <w:color w:val="000000"/>
        </w:rPr>
        <w:t>De las constancias en el expediente al rubro indicado, se desprende que el particular solicitó la información que a continuación se desagrega:</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250C9F" w:rsidRPr="001B22C0" w:rsidRDefault="004E397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 xml:space="preserve">A la fecha de recepción de la presente solicitud, ¿el C. Juan Francisco Muciño Márquez, con clave ISSEMYM </w:t>
      </w:r>
      <w:r w:rsidR="007B6ED2">
        <w:rPr>
          <w:rFonts w:ascii="Palatino Linotype" w:eastAsia="Palatino Linotype" w:hAnsi="Palatino Linotype" w:cs="Palatino Linotype"/>
          <w:i/>
          <w:iCs/>
        </w:rPr>
        <w:t>XXXX</w:t>
      </w:r>
      <w:bookmarkStart w:id="8" w:name="_GoBack"/>
      <w:bookmarkEnd w:id="8"/>
      <w:r w:rsidRPr="001B22C0">
        <w:rPr>
          <w:rFonts w:ascii="Palatino Linotype" w:eastAsia="Palatino Linotype" w:hAnsi="Palatino Linotype" w:cs="Palatino Linotype"/>
          <w:i/>
          <w:iCs/>
        </w:rPr>
        <w:t xml:space="preserve">, se encuentra prestando sus servicios laborales o desempeñando algún cargo, empleo o comisión en el Municipio de Metepec? Indicar: SÍ o NO. </w:t>
      </w:r>
    </w:p>
    <w:p w:rsidR="00250C9F" w:rsidRPr="001B22C0" w:rsidRDefault="004E397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 xml:space="preserve">1. En caso de respuesta afirmativa a la pregunta 1, proporcionar los siguientes datos: </w:t>
      </w:r>
    </w:p>
    <w:p w:rsidR="00250C9F" w:rsidRPr="001B22C0" w:rsidRDefault="004E397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 xml:space="preserve">a) Fecha de ingreso al servicio del Municipio de Metepec. </w:t>
      </w:r>
    </w:p>
    <w:p w:rsidR="00250C9F" w:rsidRPr="001B22C0" w:rsidRDefault="004E397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 xml:space="preserve">b) Denominación del puesto o cargo que desempeña actualmente. </w:t>
      </w:r>
    </w:p>
    <w:p w:rsidR="00250C9F" w:rsidRPr="001B22C0" w:rsidRDefault="004E397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 xml:space="preserve">c) Área, dirección, departamento o unidad administrativa a la que se encuentra adscrito o en la que reporta. </w:t>
      </w:r>
    </w:p>
    <w:p w:rsidR="00250C9F" w:rsidRPr="001B22C0" w:rsidRDefault="004E397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 xml:space="preserve">d) Remuneración bruta y neta mensual (incluyendo todas las percepciones ordinarias y extraordinarias que correspondan. </w:t>
      </w:r>
    </w:p>
    <w:p w:rsidR="00250C9F" w:rsidRPr="001B22C0" w:rsidRDefault="004E397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lastRenderedPageBreak/>
        <w:t xml:space="preserve">2. En caso de respuesta negativa a la pregunta 1, habiendo laborado con anterioridad en el Municipio de Metepec, proporcionar los siguientes datos del periodo en que prestó sus servicios: </w:t>
      </w:r>
    </w:p>
    <w:p w:rsidR="00250C9F" w:rsidRPr="001B22C0" w:rsidRDefault="004E397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 xml:space="preserve">a) Fecha de ingreso al servicio del Municipio de Metepec. </w:t>
      </w:r>
    </w:p>
    <w:p w:rsidR="00250C9F" w:rsidRPr="001B22C0" w:rsidRDefault="004E397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 xml:space="preserve">b) Denominación del último puesto o cargo desempeñado. </w:t>
      </w:r>
    </w:p>
    <w:p w:rsidR="00250C9F" w:rsidRPr="001B22C0" w:rsidRDefault="004E397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 xml:space="preserve">c) Área, dirección, departamento o unidad administrativa en la que se encontraba adscrito o reportaba al momento de la baja. </w:t>
      </w:r>
    </w:p>
    <w:p w:rsidR="00250C9F" w:rsidRPr="001B22C0" w:rsidRDefault="004E397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 xml:space="preserve">d) Remuneración bruta y neta mensual correspondiente al último periodo laborado (incluyendo todas las percepciones ordinarias y extraordinarias). </w:t>
      </w:r>
    </w:p>
    <w:p w:rsidR="00250C9F" w:rsidRPr="001B22C0" w:rsidRDefault="004E397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e) Fecha en que causó baja en el Municipio de Metepec</w:t>
      </w:r>
    </w:p>
    <w:p w:rsidR="00250C9F" w:rsidRPr="001B22C0" w:rsidRDefault="00250C9F">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p>
    <w:p w:rsidR="00250C9F" w:rsidRPr="001B22C0" w:rsidRDefault="004E397F">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En respuesta,</w:t>
      </w:r>
      <w:r w:rsidRPr="001B22C0">
        <w:rPr>
          <w:rFonts w:ascii="Palatino Linotype" w:eastAsia="Palatino Linotype" w:hAnsi="Palatino Linotype" w:cs="Palatino Linotype"/>
          <w:i/>
          <w:iCs/>
          <w:color w:val="000000"/>
        </w:rPr>
        <w:t xml:space="preserve"> </w:t>
      </w:r>
      <w:r w:rsidRPr="001B22C0">
        <w:rPr>
          <w:rFonts w:ascii="Palatino Linotype" w:eastAsia="Palatino Linotype" w:hAnsi="Palatino Linotype" w:cs="Palatino Linotype"/>
          <w:color w:val="000000"/>
        </w:rPr>
        <w:t>el</w:t>
      </w:r>
      <w:r w:rsidRPr="001B22C0">
        <w:rPr>
          <w:rFonts w:ascii="Palatino Linotype" w:eastAsia="Palatino Linotype" w:hAnsi="Palatino Linotype" w:cs="Palatino Linotype"/>
          <w:i/>
          <w:iCs/>
          <w:color w:val="000000"/>
        </w:rPr>
        <w:t xml:space="preserve"> </w:t>
      </w:r>
      <w:r w:rsidRPr="001B22C0">
        <w:rPr>
          <w:rFonts w:ascii="Palatino Linotype" w:eastAsia="Palatino Linotype" w:hAnsi="Palatino Linotype" w:cs="Palatino Linotype"/>
          <w:b/>
          <w:bCs/>
          <w:color w:val="000000"/>
        </w:rPr>
        <w:t>SUJETO</w:t>
      </w:r>
      <w:r w:rsidRPr="001B22C0">
        <w:rPr>
          <w:rFonts w:ascii="Palatino Linotype" w:eastAsia="Palatino Linotype" w:hAnsi="Palatino Linotype" w:cs="Palatino Linotype"/>
          <w:b/>
          <w:bCs/>
          <w:i/>
          <w:iCs/>
          <w:color w:val="000000"/>
        </w:rPr>
        <w:t xml:space="preserve"> </w:t>
      </w:r>
      <w:r w:rsidRPr="001B22C0">
        <w:rPr>
          <w:rFonts w:ascii="Palatino Linotype" w:eastAsia="Palatino Linotype" w:hAnsi="Palatino Linotype" w:cs="Palatino Linotype"/>
          <w:b/>
          <w:bCs/>
          <w:color w:val="000000"/>
        </w:rPr>
        <w:t xml:space="preserve">OBLIGADO </w:t>
      </w:r>
      <w:r w:rsidRPr="001B22C0">
        <w:rPr>
          <w:rFonts w:ascii="Palatino Linotype" w:eastAsia="Palatino Linotype" w:hAnsi="Palatino Linotype" w:cs="Palatino Linotype"/>
          <w:color w:val="000000"/>
        </w:rPr>
        <w:t>por medio del Titular de la Unidad de Transparencia, adjuntó el archivo electrónico descrito en el numeral segundo de la presente Resolución.</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250C9F" w:rsidRPr="001B22C0" w:rsidRDefault="004E397F">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 xml:space="preserve">En dichas condiciones, la </w:t>
      </w:r>
      <w:r w:rsidRPr="001B22C0">
        <w:rPr>
          <w:rFonts w:ascii="Palatino Linotype" w:eastAsia="Palatino Linotype" w:hAnsi="Palatino Linotype" w:cs="Palatino Linotype"/>
          <w:i/>
          <w:iCs/>
        </w:rPr>
        <w:t>Litis</w:t>
      </w:r>
      <w:r w:rsidRPr="001B22C0">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Pr="001B22C0">
        <w:rPr>
          <w:rFonts w:ascii="Palatino Linotype" w:eastAsia="Palatino Linotype" w:hAnsi="Palatino Linotype" w:cs="Palatino Linotype"/>
          <w:b/>
          <w:bCs/>
        </w:rPr>
        <w:t>I</w:t>
      </w:r>
      <w:r w:rsidRPr="001B22C0">
        <w:rPr>
          <w:rFonts w:ascii="Palatino Linotype" w:eastAsia="Palatino Linotype" w:hAnsi="Palatino Linotype" w:cs="Palatino Linotype"/>
        </w:rPr>
        <w:t xml:space="preserve"> de la </w:t>
      </w:r>
      <w:r w:rsidRPr="001B22C0">
        <w:rPr>
          <w:rFonts w:ascii="Palatino Linotype" w:eastAsia="Palatino Linotype" w:hAnsi="Palatino Linotype" w:cs="Palatino Linotype"/>
          <w:b/>
          <w:bCs/>
        </w:rPr>
        <w:t xml:space="preserve">Ley de Transparencia y Acceso a la </w:t>
      </w:r>
      <w:r w:rsidRPr="001B22C0">
        <w:rPr>
          <w:rFonts w:ascii="Palatino Linotype" w:eastAsia="Palatino Linotype" w:hAnsi="Palatino Linotype" w:cs="Palatino Linotype"/>
        </w:rPr>
        <w:t>Información</w:t>
      </w:r>
      <w:r w:rsidRPr="001B22C0">
        <w:rPr>
          <w:rFonts w:ascii="Palatino Linotype" w:eastAsia="Palatino Linotype" w:hAnsi="Palatino Linotype" w:cs="Palatino Linotype"/>
          <w:b/>
          <w:bCs/>
        </w:rPr>
        <w:t xml:space="preserve"> Pública del Estado de México y Municipios</w:t>
      </w:r>
      <w:r w:rsidRPr="001B22C0">
        <w:rPr>
          <w:rFonts w:ascii="Palatino Linotype" w:eastAsia="Palatino Linotype" w:hAnsi="Palatino Linotype" w:cs="Palatino Linotype"/>
        </w:rPr>
        <w:t xml:space="preserve">; </w:t>
      </w:r>
      <w:r w:rsidRPr="001B22C0">
        <w:rPr>
          <w:rFonts w:ascii="Palatino Linotype" w:eastAsia="Palatino Linotype" w:hAnsi="Palatino Linotype" w:cs="Palatino Linotype"/>
          <w:color w:val="000000"/>
        </w:rPr>
        <w:t xml:space="preserve">fracción que determina la hipótesis jurídica relativa a la negativa a la entrega de información solicitada; </w:t>
      </w:r>
      <w:r w:rsidRPr="001B22C0">
        <w:rPr>
          <w:rFonts w:ascii="Palatino Linotype" w:eastAsia="Palatino Linotype" w:hAnsi="Palatino Linotype" w:cs="Palatino Linotype"/>
        </w:rPr>
        <w:t xml:space="preserve">contexto del cual se dolió el </w:t>
      </w:r>
      <w:r w:rsidRPr="001B22C0">
        <w:rPr>
          <w:rFonts w:ascii="Palatino Linotype" w:eastAsia="Palatino Linotype" w:hAnsi="Palatino Linotype" w:cs="Palatino Linotype"/>
          <w:b/>
          <w:bCs/>
        </w:rPr>
        <w:t>RECURRENTE</w:t>
      </w:r>
      <w:r w:rsidRPr="001B22C0">
        <w:rPr>
          <w:rFonts w:ascii="Palatino Linotype" w:eastAsia="Palatino Linotype" w:hAnsi="Palatino Linotype" w:cs="Palatino Linotype"/>
        </w:rPr>
        <w:t xml:space="preserve"> al momento de interponer su recurso de revisión</w:t>
      </w:r>
      <w:r w:rsidRPr="001B22C0">
        <w:rPr>
          <w:rFonts w:ascii="Palatino Linotype" w:eastAsia="Palatino Linotype" w:hAnsi="Palatino Linotype" w:cs="Palatino Linotype"/>
          <w:color w:val="000000"/>
        </w:rPr>
        <w:t>.</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50C9F" w:rsidRPr="001B22C0" w:rsidRDefault="004E397F">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lastRenderedPageBreak/>
        <w:t xml:space="preserve">De modo tal que el presente recurso de revisión se </w:t>
      </w:r>
      <w:r w:rsidRPr="001B22C0">
        <w:rPr>
          <w:rFonts w:ascii="Palatino Linotype" w:eastAsia="Palatino Linotype" w:hAnsi="Palatino Linotype" w:cs="Palatino Linotype"/>
        </w:rPr>
        <w:t>abocará</w:t>
      </w:r>
      <w:r w:rsidRPr="001B22C0">
        <w:rPr>
          <w:rFonts w:ascii="Palatino Linotype" w:eastAsia="Palatino Linotype" w:hAnsi="Palatino Linotype" w:cs="Palatino Linotype"/>
          <w:color w:val="000000"/>
        </w:rPr>
        <w:t xml:space="preserve"> en determinar si el </w:t>
      </w:r>
      <w:r w:rsidRPr="001B22C0">
        <w:rPr>
          <w:rFonts w:ascii="Palatino Linotype" w:eastAsia="Palatino Linotype" w:hAnsi="Palatino Linotype" w:cs="Palatino Linotype"/>
          <w:b/>
          <w:bCs/>
          <w:color w:val="000000"/>
        </w:rPr>
        <w:t>SUJETO OBLIGADO</w:t>
      </w:r>
      <w:r w:rsidRPr="001B22C0">
        <w:rPr>
          <w:rFonts w:ascii="Palatino Linotype" w:eastAsia="Palatino Linotype" w:hAnsi="Palatino Linotype" w:cs="Palatino Linotype"/>
          <w:color w:val="000000"/>
        </w:rPr>
        <w:t xml:space="preserve"> con su respuesta ciertamente actualiza la causal de procedencia</w:t>
      </w:r>
      <w:r w:rsidRPr="001B22C0">
        <w:rPr>
          <w:rFonts w:ascii="Palatino Linotype" w:eastAsia="Palatino Linotype" w:hAnsi="Palatino Linotype" w:cs="Palatino Linotype"/>
          <w:b/>
          <w:bCs/>
          <w:color w:val="000000"/>
        </w:rPr>
        <w:t xml:space="preserve"> </w:t>
      </w:r>
      <w:r w:rsidRPr="001B22C0">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1B22C0" w:rsidRDefault="001B22C0">
      <w:pPr>
        <w:keepNext/>
        <w:keepLines/>
        <w:spacing w:line="360" w:lineRule="auto"/>
        <w:rPr>
          <w:rFonts w:ascii="Palatino Linotype" w:eastAsia="Palatino Linotype" w:hAnsi="Palatino Linotype" w:cs="Palatino Linotype"/>
          <w:b/>
          <w:bCs/>
          <w:color w:val="000000"/>
        </w:rPr>
      </w:pPr>
    </w:p>
    <w:p w:rsidR="00250C9F" w:rsidRPr="001B22C0" w:rsidRDefault="004E397F">
      <w:pPr>
        <w:keepNext/>
        <w:keepLines/>
        <w:spacing w:line="360" w:lineRule="auto"/>
        <w:rPr>
          <w:rFonts w:ascii="Palatino Linotype" w:eastAsia="Palatino Linotype" w:hAnsi="Palatino Linotype" w:cs="Palatino Linotype"/>
          <w:b/>
          <w:bCs/>
          <w:color w:val="000000"/>
        </w:rPr>
      </w:pPr>
      <w:r w:rsidRPr="001B22C0">
        <w:rPr>
          <w:rFonts w:ascii="Palatino Linotype" w:eastAsia="Palatino Linotype" w:hAnsi="Palatino Linotype" w:cs="Palatino Linotype"/>
          <w:b/>
          <w:bCs/>
          <w:color w:val="000000"/>
        </w:rPr>
        <w:t>CUARTO. Del estudio y resolución del estudio.</w:t>
      </w:r>
    </w:p>
    <w:p w:rsidR="00250C9F" w:rsidRPr="001B22C0" w:rsidRDefault="004E397F">
      <w:pPr>
        <w:keepNext/>
        <w:keepLines/>
        <w:numPr>
          <w:ilvl w:val="0"/>
          <w:numId w:val="8"/>
        </w:numPr>
        <w:spacing w:after="240" w:line="360" w:lineRule="auto"/>
        <w:ind w:left="786"/>
        <w:rPr>
          <w:rFonts w:ascii="Palatino Linotype" w:eastAsia="Palatino Linotype" w:hAnsi="Palatino Linotype" w:cs="Palatino Linotype"/>
          <w:b/>
          <w:bCs/>
          <w:color w:val="000000"/>
        </w:rPr>
      </w:pPr>
      <w:bookmarkStart w:id="9" w:name="_heading=h.17dp8vu" w:colFirst="0" w:colLast="0"/>
      <w:bookmarkEnd w:id="9"/>
      <w:r w:rsidRPr="001B22C0">
        <w:rPr>
          <w:rFonts w:ascii="Palatino Linotype" w:eastAsia="Palatino Linotype" w:hAnsi="Palatino Linotype" w:cs="Palatino Linotype"/>
          <w:b/>
          <w:bCs/>
          <w:color w:val="000000"/>
        </w:rPr>
        <w:t>Del derecho de acceso a la información.</w:t>
      </w:r>
    </w:p>
    <w:p w:rsidR="00250C9F" w:rsidRPr="001B22C0" w:rsidRDefault="004E397F">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250C9F" w:rsidRPr="001B22C0" w:rsidRDefault="004E397F">
      <w:pPr>
        <w:numPr>
          <w:ilvl w:val="0"/>
          <w:numId w:val="12"/>
        </w:numPr>
        <w:spacing w:before="240"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rPr>
        <w:t xml:space="preserve">Definiendo el Derecho de Acceso a la Información Pública como: </w:t>
      </w:r>
      <w:r w:rsidRPr="001B22C0">
        <w:rPr>
          <w:rFonts w:ascii="Palatino Linotype" w:eastAsia="Palatino Linotype" w:hAnsi="Palatino Linotype" w:cs="Palatino Linotype"/>
          <w:i/>
          <w:iCs/>
          <w:color w:val="000000"/>
        </w:rPr>
        <w:t>La igualdad de oportunidades para recibir, buscar e impartir información</w:t>
      </w:r>
      <w:r w:rsidRPr="001B22C0">
        <w:rPr>
          <w:rFonts w:ascii="Palatino Linotype" w:eastAsia="Palatino Linotype" w:hAnsi="Palatino Linotype" w:cs="Palatino Linotype"/>
          <w:i/>
          <w:iCs/>
          <w:vertAlign w:val="superscript"/>
        </w:rPr>
        <w:footnoteReference w:id="1"/>
      </w:r>
      <w:r w:rsidRPr="001B22C0">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B22C0">
        <w:rPr>
          <w:rFonts w:ascii="Palatino Linotype" w:eastAsia="Palatino Linotype" w:hAnsi="Palatino Linotype" w:cs="Palatino Linotype"/>
          <w:i/>
          <w:iCs/>
          <w:vertAlign w:val="superscript"/>
        </w:rPr>
        <w:footnoteReference w:id="2"/>
      </w:r>
      <w:r w:rsidRPr="001B22C0">
        <w:rPr>
          <w:rFonts w:ascii="Palatino Linotype" w:eastAsia="Palatino Linotype" w:hAnsi="Palatino Linotype" w:cs="Palatino Linotype"/>
          <w:color w:val="000000"/>
        </w:rPr>
        <w:t>que se constituye como una herramienta fundamental para ejercer</w:t>
      </w:r>
      <w:r w:rsidRPr="001B22C0">
        <w:rPr>
          <w:rFonts w:ascii="Palatino Linotype" w:eastAsia="Palatino Linotype" w:hAnsi="Palatino Linotype" w:cs="Palatino Linotype"/>
          <w:i/>
          <w:iCs/>
          <w:color w:val="000000"/>
        </w:rPr>
        <w:t xml:space="preserve"> el control democrático de las </w:t>
      </w:r>
      <w:r w:rsidRPr="001B22C0">
        <w:rPr>
          <w:rFonts w:ascii="Palatino Linotype" w:eastAsia="Palatino Linotype" w:hAnsi="Palatino Linotype" w:cs="Palatino Linotype"/>
          <w:i/>
          <w:iCs/>
          <w:color w:val="000000"/>
        </w:rPr>
        <w:lastRenderedPageBreak/>
        <w:t>gestiones estatales, de forma tal que puedan cuestionar, indagar y considerar si se está dando un adecuado cumplimiento a las funciones públicas,</w:t>
      </w:r>
      <w:r w:rsidRPr="001B22C0">
        <w:rPr>
          <w:rFonts w:ascii="Palatino Linotype" w:eastAsia="Palatino Linotype" w:hAnsi="Palatino Linotype" w:cs="Palatino Linotype"/>
          <w:i/>
          <w:iCs/>
          <w:vertAlign w:val="superscript"/>
        </w:rPr>
        <w:footnoteReference w:id="3"/>
      </w:r>
      <w:r w:rsidRPr="001B22C0">
        <w:rPr>
          <w:rFonts w:ascii="Palatino Linotype" w:eastAsia="Palatino Linotype" w:hAnsi="Palatino Linotype" w:cs="Palatino Linotype"/>
          <w:color w:val="000000"/>
        </w:rPr>
        <w:t>fomentando</w:t>
      </w:r>
      <w:r w:rsidRPr="001B22C0">
        <w:rPr>
          <w:rFonts w:ascii="Palatino Linotype" w:eastAsia="Palatino Linotype" w:hAnsi="Palatino Linotype" w:cs="Palatino Linotype"/>
          <w:i/>
          <w:iCs/>
          <w:color w:val="000000"/>
        </w:rPr>
        <w:t xml:space="preserve"> la transparencia de las actividades estatales y </w:t>
      </w:r>
      <w:r w:rsidRPr="001B22C0">
        <w:rPr>
          <w:rFonts w:ascii="Palatino Linotype" w:eastAsia="Palatino Linotype" w:hAnsi="Palatino Linotype" w:cs="Palatino Linotype"/>
          <w:color w:val="000000"/>
        </w:rPr>
        <w:t>promoviendo</w:t>
      </w:r>
      <w:r w:rsidRPr="001B22C0">
        <w:rPr>
          <w:rFonts w:ascii="Palatino Linotype" w:eastAsia="Palatino Linotype" w:hAnsi="Palatino Linotype" w:cs="Palatino Linotype"/>
          <w:i/>
          <w:iCs/>
          <w:color w:val="000000"/>
        </w:rPr>
        <w:t xml:space="preserve"> la responsabilidad de los funcionarios sobre su gestión pública,</w:t>
      </w:r>
      <w:r w:rsidRPr="001B22C0">
        <w:rPr>
          <w:rFonts w:ascii="Palatino Linotype" w:eastAsia="Palatino Linotype" w:hAnsi="Palatino Linotype" w:cs="Palatino Linotype"/>
          <w:i/>
          <w:iCs/>
          <w:vertAlign w:val="superscript"/>
        </w:rPr>
        <w:footnoteReference w:id="4"/>
      </w:r>
      <w:r w:rsidRPr="001B22C0">
        <w:rPr>
          <w:rFonts w:ascii="Palatino Linotype" w:eastAsia="Palatino Linotype" w:hAnsi="Palatino Linotype" w:cs="Palatino Linotype"/>
          <w:color w:val="000000"/>
        </w:rPr>
        <w:t>que permite</w:t>
      </w:r>
      <w:r w:rsidRPr="001B22C0">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4E397F">
      <w:pPr>
        <w:numPr>
          <w:ilvl w:val="0"/>
          <w:numId w:val="12"/>
        </w:numPr>
        <w:spacing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250C9F" w:rsidRPr="001B22C0" w:rsidRDefault="004E397F">
      <w:pPr>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r w:rsidRPr="001B22C0">
        <w:rPr>
          <w:rFonts w:ascii="Palatino Linotype" w:eastAsia="Palatino Linotype" w:hAnsi="Palatino Linotype" w:cs="Palatino Linotype"/>
          <w:b/>
          <w:bCs/>
          <w:i/>
          <w:iCs/>
        </w:rPr>
        <w:t>Artículo 1.-</w:t>
      </w:r>
      <w:r w:rsidRPr="001B22C0">
        <w:rPr>
          <w:rFonts w:ascii="Palatino Linotype" w:eastAsia="Palatino Linotype" w:hAnsi="Palatino Linotype" w:cs="Palatino Linotype"/>
          <w:i/>
          <w:iCs/>
        </w:rPr>
        <w:t xml:space="preserve"> </w:t>
      </w:r>
    </w:p>
    <w:p w:rsidR="00250C9F" w:rsidRPr="001B22C0" w:rsidRDefault="004E397F">
      <w:pPr>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p>
    <w:p w:rsidR="00250C9F" w:rsidRPr="001B22C0" w:rsidRDefault="004E397F">
      <w:pPr>
        <w:ind w:lef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Todas las</w:t>
      </w:r>
      <w:r w:rsidRPr="001B22C0">
        <w:rPr>
          <w:rFonts w:ascii="Palatino Linotype" w:eastAsia="Palatino Linotype" w:hAnsi="Palatino Linotype" w:cs="Palatino Linotype"/>
        </w:rPr>
        <w:t xml:space="preserve"> </w:t>
      </w:r>
      <w:r w:rsidRPr="001B22C0">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50C9F" w:rsidRPr="001B22C0" w:rsidRDefault="004E397F">
      <w:pPr>
        <w:ind w:left="1134"/>
        <w:jc w:val="both"/>
        <w:rPr>
          <w:rFonts w:ascii="Palatino Linotype" w:eastAsia="Palatino Linotype" w:hAnsi="Palatino Linotype" w:cs="Palatino Linotype"/>
        </w:rPr>
      </w:pPr>
      <w:r w:rsidRPr="001B22C0">
        <w:rPr>
          <w:rFonts w:ascii="Palatino Linotype" w:eastAsia="Palatino Linotype" w:hAnsi="Palatino Linotype" w:cs="Palatino Linotype"/>
          <w:i/>
          <w:iCs/>
        </w:rPr>
        <w:t>(…)</w:t>
      </w:r>
      <w:r w:rsidRPr="001B22C0">
        <w:rPr>
          <w:rFonts w:ascii="Palatino Linotype" w:eastAsia="Palatino Linotype" w:hAnsi="Palatino Linotype" w:cs="Palatino Linotype"/>
        </w:rPr>
        <w:t>”.</w:t>
      </w:r>
    </w:p>
    <w:p w:rsidR="00250C9F" w:rsidRPr="001B22C0" w:rsidRDefault="00250C9F">
      <w:pPr>
        <w:jc w:val="both"/>
        <w:rPr>
          <w:rFonts w:ascii="Palatino Linotype" w:eastAsia="Palatino Linotype" w:hAnsi="Palatino Linotype" w:cs="Palatino Linotype"/>
          <w:b/>
          <w:bCs/>
        </w:rPr>
      </w:pPr>
    </w:p>
    <w:p w:rsidR="00250C9F" w:rsidRPr="001B22C0" w:rsidRDefault="004E397F">
      <w:pPr>
        <w:numPr>
          <w:ilvl w:val="0"/>
          <w:numId w:val="12"/>
        </w:numPr>
        <w:spacing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4E397F">
      <w:pPr>
        <w:numPr>
          <w:ilvl w:val="0"/>
          <w:numId w:val="12"/>
        </w:numPr>
        <w:spacing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4E397F">
      <w:pPr>
        <w:spacing w:after="240"/>
        <w:ind w:left="1134" w:right="1134"/>
        <w:jc w:val="both"/>
        <w:rPr>
          <w:rFonts w:ascii="Palatino Linotype" w:eastAsia="Palatino Linotype" w:hAnsi="Palatino Linotype" w:cs="Palatino Linotype"/>
          <w:b/>
          <w:bCs/>
          <w:i/>
          <w:iCs/>
        </w:rPr>
      </w:pPr>
      <w:r w:rsidRPr="001B22C0">
        <w:rPr>
          <w:rFonts w:ascii="Palatino Linotype" w:eastAsia="Palatino Linotype" w:hAnsi="Palatino Linotype" w:cs="Palatino Linotype"/>
          <w:b/>
          <w:bCs/>
          <w:i/>
          <w:iCs/>
        </w:rPr>
        <w:t>Constitución Política de los Estados Unidos Mexicanos</w:t>
      </w:r>
    </w:p>
    <w:p w:rsidR="00250C9F" w:rsidRPr="001B22C0" w:rsidRDefault="004E397F">
      <w:pPr>
        <w:spacing w:before="240" w:after="240"/>
        <w:ind w:left="1134" w:right="1134"/>
        <w:jc w:val="both"/>
        <w:rPr>
          <w:rFonts w:ascii="Palatino Linotype" w:eastAsia="Palatino Linotype" w:hAnsi="Palatino Linotype" w:cs="Palatino Linotype"/>
          <w:b/>
          <w:bCs/>
          <w:i/>
          <w:iCs/>
        </w:rPr>
      </w:pPr>
      <w:r w:rsidRPr="001B22C0">
        <w:rPr>
          <w:rFonts w:ascii="Palatino Linotype" w:eastAsia="Palatino Linotype" w:hAnsi="Palatino Linotype" w:cs="Palatino Linotype"/>
          <w:b/>
          <w:bCs/>
          <w:i/>
          <w:iCs/>
        </w:rPr>
        <w:t>“Artículo 6.</w:t>
      </w:r>
    </w:p>
    <w:p w:rsidR="00250C9F" w:rsidRPr="001B22C0" w:rsidRDefault="004E397F">
      <w:pPr>
        <w:spacing w:before="240" w:after="240"/>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p>
    <w:p w:rsidR="00250C9F" w:rsidRPr="001B22C0" w:rsidRDefault="004E397F">
      <w:pPr>
        <w:spacing w:before="240" w:after="240"/>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Para efectos de lo dispuesto en el presente artículo se observará lo siguiente:</w:t>
      </w:r>
    </w:p>
    <w:p w:rsidR="00250C9F" w:rsidRPr="001B22C0" w:rsidRDefault="004E397F">
      <w:pPr>
        <w:spacing w:before="240" w:after="240"/>
        <w:ind w:left="1134" w:right="1134"/>
        <w:jc w:val="both"/>
        <w:rPr>
          <w:rFonts w:ascii="Palatino Linotype" w:eastAsia="Palatino Linotype" w:hAnsi="Palatino Linotype" w:cs="Palatino Linotype"/>
          <w:b/>
          <w:bCs/>
          <w:i/>
          <w:iCs/>
        </w:rPr>
      </w:pPr>
      <w:r w:rsidRPr="001B22C0">
        <w:rPr>
          <w:rFonts w:ascii="Palatino Linotype" w:eastAsia="Palatino Linotype" w:hAnsi="Palatino Linotype" w:cs="Palatino Linotype"/>
          <w:b/>
          <w:bCs/>
          <w:i/>
          <w:iCs/>
        </w:rPr>
        <w:t>A</w:t>
      </w:r>
      <w:r w:rsidRPr="001B22C0">
        <w:rPr>
          <w:rFonts w:ascii="Palatino Linotype" w:eastAsia="Palatino Linotype" w:hAnsi="Palatino Linotype" w:cs="Palatino Linotype"/>
          <w:i/>
          <w:iCs/>
        </w:rPr>
        <w:t xml:space="preserve">. </w:t>
      </w:r>
      <w:r w:rsidRPr="001B22C0">
        <w:rPr>
          <w:rFonts w:ascii="Palatino Linotype" w:eastAsia="Palatino Linotype" w:hAnsi="Palatino Linotype" w:cs="Palatino Linotype"/>
          <w:b/>
          <w:bCs/>
          <w:i/>
          <w:iCs/>
        </w:rPr>
        <w:t>Para el ejercicio del derecho de acceso a la información</w:t>
      </w:r>
      <w:r w:rsidRPr="001B22C0">
        <w:rPr>
          <w:rFonts w:ascii="Palatino Linotype" w:eastAsia="Palatino Linotype" w:hAnsi="Palatino Linotype" w:cs="Palatino Linotype"/>
          <w:i/>
          <w:iCs/>
        </w:rPr>
        <w:t xml:space="preserve">, la Federación y </w:t>
      </w:r>
      <w:r w:rsidRPr="001B22C0">
        <w:rPr>
          <w:rFonts w:ascii="Palatino Linotype" w:eastAsia="Palatino Linotype" w:hAnsi="Palatino Linotype" w:cs="Palatino Linotype"/>
          <w:b/>
          <w:bCs/>
          <w:i/>
          <w:iCs/>
        </w:rPr>
        <w:t>las entidades federativas, en el ámbito de sus respectivas competencias, se regirán por los siguientes principios y bases:</w:t>
      </w:r>
    </w:p>
    <w:p w:rsidR="00250C9F" w:rsidRPr="001B22C0" w:rsidRDefault="004E397F">
      <w:pPr>
        <w:spacing w:before="240" w:after="240"/>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 xml:space="preserve">I. </w:t>
      </w:r>
      <w:r w:rsidRPr="001B22C0">
        <w:rPr>
          <w:rFonts w:ascii="Palatino Linotype" w:eastAsia="Palatino Linotype" w:hAnsi="Palatino Linotype" w:cs="Palatino Linotype"/>
          <w:b/>
          <w:bCs/>
          <w:i/>
          <w:iCs/>
        </w:rPr>
        <w:tab/>
        <w:t>Toda la información en posesión de cualquier</w:t>
      </w:r>
      <w:r w:rsidRPr="001B22C0">
        <w:rPr>
          <w:rFonts w:ascii="Palatino Linotype" w:eastAsia="Palatino Linotype" w:hAnsi="Palatino Linotype" w:cs="Palatino Linotype"/>
          <w:i/>
          <w:iCs/>
        </w:rPr>
        <w:t xml:space="preserve"> </w:t>
      </w:r>
      <w:r w:rsidRPr="001B22C0">
        <w:rPr>
          <w:rFonts w:ascii="Palatino Linotype" w:eastAsia="Palatino Linotype" w:hAnsi="Palatino Linotype" w:cs="Palatino Linotype"/>
          <w:b/>
          <w:bCs/>
          <w:i/>
          <w:iCs/>
        </w:rPr>
        <w:t>autoridad</w:t>
      </w:r>
      <w:r w:rsidRPr="001B22C0">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B22C0">
        <w:rPr>
          <w:rFonts w:ascii="Palatino Linotype" w:eastAsia="Palatino Linotype" w:hAnsi="Palatino Linotype" w:cs="Palatino Linotype"/>
          <w:b/>
          <w:bCs/>
          <w:i/>
          <w:iCs/>
        </w:rPr>
        <w:t>municipal</w:t>
      </w:r>
      <w:r w:rsidRPr="001B22C0">
        <w:rPr>
          <w:rFonts w:ascii="Palatino Linotype" w:eastAsia="Palatino Linotype" w:hAnsi="Palatino Linotype" w:cs="Palatino Linotype"/>
          <w:i/>
          <w:iCs/>
        </w:rPr>
        <w:t xml:space="preserve">, </w:t>
      </w:r>
      <w:r w:rsidRPr="001B22C0">
        <w:rPr>
          <w:rFonts w:ascii="Palatino Linotype" w:eastAsia="Palatino Linotype" w:hAnsi="Palatino Linotype" w:cs="Palatino Linotype"/>
          <w:b/>
          <w:bCs/>
          <w:i/>
          <w:iCs/>
        </w:rPr>
        <w:t>es pública</w:t>
      </w:r>
      <w:r w:rsidRPr="001B22C0">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1B22C0">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1B22C0">
        <w:rPr>
          <w:rFonts w:ascii="Palatino Linotype" w:eastAsia="Palatino Linotype" w:hAnsi="Palatino Linotype" w:cs="Palatino Linotype"/>
          <w:i/>
          <w:iCs/>
        </w:rPr>
        <w:t>, la ley determinará los supuestos específicos bajo los cuales procederá la declaración de inexistencia de la información.”</w:t>
      </w:r>
    </w:p>
    <w:p w:rsidR="00250C9F" w:rsidRPr="001B22C0" w:rsidRDefault="00250C9F">
      <w:pPr>
        <w:pBdr>
          <w:top w:val="nil"/>
          <w:left w:val="nil"/>
          <w:bottom w:val="nil"/>
          <w:right w:val="nil"/>
          <w:between w:val="nil"/>
        </w:pBdr>
        <w:tabs>
          <w:tab w:val="left" w:pos="567"/>
        </w:tabs>
        <w:spacing w:before="240" w:after="240"/>
        <w:ind w:left="1134" w:right="1134"/>
        <w:jc w:val="both"/>
        <w:rPr>
          <w:rFonts w:ascii="Palatino Linotype" w:eastAsia="Palatino Linotype" w:hAnsi="Palatino Linotype" w:cs="Palatino Linotype"/>
          <w:b/>
          <w:bCs/>
          <w:i/>
          <w:iCs/>
          <w:color w:val="000000"/>
        </w:rPr>
      </w:pPr>
    </w:p>
    <w:p w:rsidR="00250C9F" w:rsidRPr="001B22C0" w:rsidRDefault="004E397F">
      <w:pPr>
        <w:spacing w:before="240" w:after="240"/>
        <w:ind w:left="1134" w:right="1134"/>
        <w:jc w:val="both"/>
        <w:rPr>
          <w:rFonts w:ascii="Palatino Linotype" w:eastAsia="Palatino Linotype" w:hAnsi="Palatino Linotype" w:cs="Palatino Linotype"/>
          <w:b/>
          <w:bCs/>
          <w:i/>
          <w:iCs/>
        </w:rPr>
      </w:pPr>
      <w:r w:rsidRPr="001B22C0">
        <w:rPr>
          <w:rFonts w:ascii="Palatino Linotype" w:eastAsia="Palatino Linotype" w:hAnsi="Palatino Linotype" w:cs="Palatino Linotype"/>
          <w:b/>
          <w:bCs/>
          <w:i/>
          <w:iCs/>
        </w:rPr>
        <w:t>Constitución Política del Estado Libre y Soberano de México</w:t>
      </w:r>
    </w:p>
    <w:p w:rsidR="00250C9F" w:rsidRPr="001B22C0" w:rsidRDefault="004E397F">
      <w:pPr>
        <w:spacing w:before="240" w:after="240"/>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lastRenderedPageBreak/>
        <w:t>“Artículo 5</w:t>
      </w:r>
      <w:r w:rsidRPr="001B22C0">
        <w:rPr>
          <w:rFonts w:ascii="Palatino Linotype" w:eastAsia="Palatino Linotype" w:hAnsi="Palatino Linotype" w:cs="Palatino Linotype"/>
          <w:i/>
          <w:iCs/>
        </w:rPr>
        <w:t xml:space="preserve">.- </w:t>
      </w:r>
    </w:p>
    <w:p w:rsidR="00250C9F" w:rsidRPr="001B22C0" w:rsidRDefault="004E397F">
      <w:pPr>
        <w:spacing w:before="240" w:after="240"/>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p>
    <w:p w:rsidR="00250C9F" w:rsidRPr="001B22C0" w:rsidRDefault="004E397F">
      <w:pPr>
        <w:spacing w:before="240" w:after="240"/>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1B22C0">
        <w:rPr>
          <w:rFonts w:ascii="Palatino Linotype" w:eastAsia="Palatino Linotype" w:hAnsi="Palatino Linotype" w:cs="Palatino Linotype"/>
          <w:i/>
          <w:iCs/>
        </w:rPr>
        <w:t>.</w:t>
      </w:r>
    </w:p>
    <w:p w:rsidR="00250C9F" w:rsidRPr="001B22C0" w:rsidRDefault="004E397F">
      <w:pPr>
        <w:spacing w:before="240" w:after="240"/>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0C9F" w:rsidRPr="001B22C0" w:rsidRDefault="004E397F">
      <w:pPr>
        <w:spacing w:before="240" w:after="240"/>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Este derecho se regirá por los principios y bases siguientes</w:t>
      </w:r>
      <w:r w:rsidRPr="001B22C0">
        <w:rPr>
          <w:rFonts w:ascii="Palatino Linotype" w:eastAsia="Palatino Linotype" w:hAnsi="Palatino Linotype" w:cs="Palatino Linotype"/>
          <w:i/>
          <w:iCs/>
        </w:rPr>
        <w:t>:</w:t>
      </w:r>
    </w:p>
    <w:p w:rsidR="00250C9F" w:rsidRPr="001B22C0" w:rsidRDefault="004E397F">
      <w:pPr>
        <w:spacing w:before="240" w:after="240"/>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I. Toda la información en posesión de cualquier autoridad, entidad, órgano y organismos de los</w:t>
      </w:r>
      <w:r w:rsidRPr="001B22C0">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1B22C0">
        <w:rPr>
          <w:rFonts w:ascii="Palatino Linotype" w:eastAsia="Palatino Linotype" w:hAnsi="Palatino Linotype" w:cs="Palatino Linotype"/>
          <w:b/>
          <w:bCs/>
          <w:i/>
          <w:iCs/>
        </w:rPr>
        <w:t>municipales</w:t>
      </w:r>
      <w:r w:rsidRPr="001B22C0">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B22C0">
        <w:rPr>
          <w:rFonts w:ascii="Palatino Linotype" w:eastAsia="Palatino Linotype" w:hAnsi="Palatino Linotype" w:cs="Palatino Linotype"/>
          <w:b/>
          <w:bCs/>
          <w:i/>
          <w:iCs/>
        </w:rPr>
        <w:t>es pública</w:t>
      </w:r>
      <w:r w:rsidRPr="001B22C0">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1B22C0">
        <w:rPr>
          <w:rFonts w:ascii="Palatino Linotype" w:eastAsia="Palatino Linotype" w:hAnsi="Palatino Linotype" w:cs="Palatino Linotype"/>
          <w:b/>
          <w:bCs/>
          <w:i/>
          <w:iCs/>
        </w:rPr>
        <w:t>En la interpretación de este derecho deberá prevalecer el principio de máxima publicidad</w:t>
      </w:r>
      <w:r w:rsidRPr="001B22C0">
        <w:rPr>
          <w:rFonts w:ascii="Palatino Linotype" w:eastAsia="Palatino Linotype" w:hAnsi="Palatino Linotype" w:cs="Palatino Linotype"/>
          <w:i/>
          <w:iCs/>
        </w:rPr>
        <w:t xml:space="preserve">. </w:t>
      </w:r>
      <w:r w:rsidRPr="001B22C0">
        <w:rPr>
          <w:rFonts w:ascii="Palatino Linotype" w:eastAsia="Palatino Linotype" w:hAnsi="Palatino Linotype" w:cs="Palatino Linotype"/>
          <w:b/>
          <w:bCs/>
          <w:i/>
          <w:iCs/>
        </w:rPr>
        <w:t>Los sujetos obligados deberán documentar todo acto que derive del ejercicio de sus facultades, competencias o funciones</w:t>
      </w:r>
      <w:r w:rsidRPr="001B22C0">
        <w:rPr>
          <w:rFonts w:ascii="Palatino Linotype" w:eastAsia="Palatino Linotype" w:hAnsi="Palatino Linotype" w:cs="Palatino Linotype"/>
          <w:i/>
          <w:iCs/>
        </w:rPr>
        <w:t>, la ley determinará los supuestos específicos bajo los cuales procederá la declaración de inexistencia de la información.”</w:t>
      </w:r>
    </w:p>
    <w:p w:rsidR="00250C9F" w:rsidRPr="001B22C0" w:rsidRDefault="00250C9F">
      <w:pPr>
        <w:tabs>
          <w:tab w:val="left" w:pos="567"/>
        </w:tabs>
        <w:spacing w:before="240" w:after="240"/>
        <w:jc w:val="both"/>
        <w:rPr>
          <w:rFonts w:ascii="Palatino Linotype" w:eastAsia="Palatino Linotype" w:hAnsi="Palatino Linotype" w:cs="Palatino Linotype"/>
          <w:b/>
          <w:bCs/>
          <w:i/>
          <w:iCs/>
        </w:rPr>
      </w:pPr>
    </w:p>
    <w:p w:rsidR="00250C9F" w:rsidRPr="001B22C0" w:rsidRDefault="004E397F">
      <w:pPr>
        <w:numPr>
          <w:ilvl w:val="0"/>
          <w:numId w:val="12"/>
        </w:numPr>
        <w:spacing w:before="240"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1B22C0">
        <w:rPr>
          <w:rFonts w:ascii="Palatino Linotype" w:eastAsia="Palatino Linotype" w:hAnsi="Palatino Linotype" w:cs="Palatino Linotype"/>
          <w:i/>
          <w:iCs/>
        </w:rPr>
        <w:t xml:space="preserve">por los </w:t>
      </w:r>
      <w:r w:rsidRPr="001B22C0">
        <w:rPr>
          <w:rFonts w:ascii="Palatino Linotype" w:eastAsia="Palatino Linotype" w:hAnsi="Palatino Linotype" w:cs="Palatino Linotype"/>
          <w:i/>
          <w:iCs/>
        </w:rPr>
        <w:lastRenderedPageBreak/>
        <w:t>principios de simplicidad, rapidez gratuidad del procedimiento, auxilio y orientación a los particulares</w:t>
      </w:r>
      <w:r w:rsidRPr="001B22C0">
        <w:rPr>
          <w:rFonts w:ascii="Palatino Linotype" w:eastAsia="Palatino Linotype" w:hAnsi="Palatino Linotype" w:cs="Palatino Linotype"/>
        </w:rPr>
        <w:t>, contemplando el derecho de las personas con discapacidad y hablantes de lengua indígena.</w:t>
      </w:r>
    </w:p>
    <w:p w:rsidR="00250C9F" w:rsidRPr="001B22C0" w:rsidRDefault="00250C9F">
      <w:pPr>
        <w:spacing w:before="240" w:line="360" w:lineRule="auto"/>
        <w:jc w:val="both"/>
        <w:rPr>
          <w:rFonts w:ascii="Palatino Linotype" w:eastAsia="Palatino Linotype" w:hAnsi="Palatino Linotype" w:cs="Palatino Linotype"/>
        </w:rPr>
      </w:pPr>
    </w:p>
    <w:p w:rsidR="00250C9F" w:rsidRPr="001B22C0" w:rsidRDefault="004E397F">
      <w:pPr>
        <w:numPr>
          <w:ilvl w:val="0"/>
          <w:numId w:val="12"/>
        </w:numPr>
        <w:spacing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rPr>
        <w:t xml:space="preserve">El Derecho de Acceso a la Información se garantiza y respeta oportunamente, y según lo que dispone la Ley, las </w:t>
      </w:r>
      <w:r w:rsidRPr="001B22C0">
        <w:rPr>
          <w:rFonts w:ascii="Palatino Linotype" w:eastAsia="Palatino Linotype" w:hAnsi="Palatino Linotype" w:cs="Palatino Linotype"/>
          <w:i/>
          <w:iCs/>
        </w:rPr>
        <w:t>solicitudes de acceso a la información</w:t>
      </w:r>
      <w:r w:rsidRPr="001B22C0">
        <w:rPr>
          <w:rFonts w:ascii="Palatino Linotype" w:eastAsia="Palatino Linotype" w:hAnsi="Palatino Linotype" w:cs="Palatino Linotype"/>
        </w:rPr>
        <w:t>.</w:t>
      </w: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4E397F">
      <w:pPr>
        <w:numPr>
          <w:ilvl w:val="0"/>
          <w:numId w:val="12"/>
        </w:numPr>
        <w:spacing w:line="360" w:lineRule="auto"/>
        <w:ind w:left="0" w:firstLine="0"/>
        <w:jc w:val="both"/>
      </w:pPr>
      <w:r w:rsidRPr="001B22C0">
        <w:rPr>
          <w:rFonts w:ascii="Palatino Linotype" w:eastAsia="Palatino Linotype" w:hAnsi="Palatino Linotype" w:cs="Palatino Linotype"/>
        </w:rPr>
        <w:t xml:space="preserve">Así entonces, se procede analizar, en primer lugar, si el </w:t>
      </w:r>
      <w:r w:rsidRPr="001B22C0">
        <w:rPr>
          <w:rFonts w:ascii="Palatino Linotype" w:eastAsia="Palatino Linotype" w:hAnsi="Palatino Linotype" w:cs="Palatino Linotype"/>
          <w:b/>
          <w:bCs/>
        </w:rPr>
        <w:t>SUJETO OBLIGADO</w:t>
      </w:r>
      <w:r w:rsidRPr="001B22C0">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rPr>
      </w:pPr>
    </w:p>
    <w:p w:rsidR="00250C9F" w:rsidRPr="001B22C0" w:rsidRDefault="004E397F">
      <w:pPr>
        <w:pStyle w:val="Ttulo1"/>
        <w:spacing w:before="0" w:after="240" w:line="360" w:lineRule="auto"/>
        <w:rPr>
          <w:rFonts w:ascii="Palatino Linotype" w:eastAsia="Palatino Linotype" w:hAnsi="Palatino Linotype" w:cs="Palatino Linotype"/>
          <w:b/>
          <w:bCs/>
          <w:color w:val="000000"/>
          <w:sz w:val="24"/>
          <w:szCs w:val="24"/>
        </w:rPr>
      </w:pPr>
      <w:bookmarkStart w:id="10" w:name="_heading=h.26in1rg" w:colFirst="0" w:colLast="0"/>
      <w:bookmarkEnd w:id="10"/>
      <w:r w:rsidRPr="001B22C0">
        <w:rPr>
          <w:rFonts w:ascii="Palatino Linotype" w:eastAsia="Palatino Linotype" w:hAnsi="Palatino Linotype" w:cs="Palatino Linotype"/>
          <w:b/>
          <w:bCs/>
          <w:color w:val="000000"/>
          <w:sz w:val="24"/>
          <w:szCs w:val="24"/>
        </w:rPr>
        <w:t>II. De la información solicitada y la respuesta del SUJETO OBLIGADO</w:t>
      </w:r>
    </w:p>
    <w:p w:rsidR="00250C9F" w:rsidRPr="001B22C0" w:rsidRDefault="004E397F">
      <w:pPr>
        <w:numPr>
          <w:ilvl w:val="0"/>
          <w:numId w:val="12"/>
        </w:numPr>
        <w:spacing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color w:val="000000"/>
        </w:rPr>
        <w:t xml:space="preserve">Acotada la </w:t>
      </w:r>
      <w:r w:rsidRPr="001B22C0">
        <w:rPr>
          <w:rFonts w:ascii="Palatino Linotype" w:eastAsia="Palatino Linotype" w:hAnsi="Palatino Linotype" w:cs="Palatino Linotype"/>
          <w:i/>
          <w:iCs/>
          <w:color w:val="000000"/>
        </w:rPr>
        <w:t>Litis</w:t>
      </w:r>
      <w:r w:rsidRPr="001B22C0">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 la negativa a la entrega de la información por el Sujeto Obligado.</w:t>
      </w: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4E397F">
      <w:pPr>
        <w:numPr>
          <w:ilvl w:val="0"/>
          <w:numId w:val="13"/>
        </w:numPr>
        <w:tabs>
          <w:tab w:val="left" w:pos="0"/>
          <w:tab w:val="left" w:pos="567"/>
        </w:tabs>
        <w:spacing w:after="240"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rPr>
        <w:t>En este sentido, este Instituto de Transparencia, de conformidad con los principios de eficacia y profesionalismo</w:t>
      </w:r>
      <w:r w:rsidRPr="001B22C0">
        <w:rPr>
          <w:rFonts w:ascii="Palatino Linotype" w:eastAsia="Palatino Linotype" w:hAnsi="Palatino Linotype" w:cs="Palatino Linotype"/>
          <w:vertAlign w:val="superscript"/>
        </w:rPr>
        <w:t xml:space="preserve">, </w:t>
      </w:r>
      <w:r w:rsidRPr="001B22C0">
        <w:rPr>
          <w:rFonts w:ascii="Palatino Linotype" w:eastAsia="Palatino Linotype" w:hAnsi="Palatino Linotype" w:cs="Palatino Linotype"/>
        </w:rPr>
        <w:t xml:space="preserve">procederá a verificar la información remitida por el </w:t>
      </w:r>
      <w:r w:rsidRPr="001B22C0">
        <w:rPr>
          <w:rFonts w:ascii="Palatino Linotype" w:eastAsia="Palatino Linotype" w:hAnsi="Palatino Linotype" w:cs="Palatino Linotype"/>
          <w:b/>
          <w:bCs/>
        </w:rPr>
        <w:t>SUJETO OBLIGADO y</w:t>
      </w:r>
      <w:r w:rsidRPr="001B22C0">
        <w:rPr>
          <w:rFonts w:ascii="Palatino Linotype" w:eastAsia="Palatino Linotype" w:hAnsi="Palatino Linotype" w:cs="Palatino Linotype"/>
        </w:rPr>
        <w:t xml:space="preserve"> las manifestaciones realizadas por el </w:t>
      </w:r>
      <w:r w:rsidRPr="001B22C0">
        <w:rPr>
          <w:rFonts w:ascii="Palatino Linotype" w:eastAsia="Palatino Linotype" w:hAnsi="Palatino Linotype" w:cs="Palatino Linotype"/>
          <w:b/>
          <w:bCs/>
        </w:rPr>
        <w:t xml:space="preserve">SOLICITANTE </w:t>
      </w:r>
      <w:r w:rsidRPr="001B22C0">
        <w:rPr>
          <w:rFonts w:ascii="Palatino Linotype" w:eastAsia="Palatino Linotype" w:hAnsi="Palatino Linotype" w:cs="Palatino Linotype"/>
        </w:rPr>
        <w:t xml:space="preserve">a efecto de determinar si la información remitida se encuentra apegada a lo que establece la Ley en materia de Transparencia. </w:t>
      </w:r>
    </w:p>
    <w:p w:rsidR="00250C9F" w:rsidRPr="001B22C0" w:rsidRDefault="004E397F">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lastRenderedPageBreak/>
        <w:t xml:space="preserve">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1B22C0">
        <w:rPr>
          <w:rFonts w:ascii="Palatino Linotype" w:eastAsia="Palatino Linotype" w:hAnsi="Palatino Linotype" w:cs="Palatino Linotype"/>
          <w:i/>
          <w:iCs/>
          <w:color w:val="000000"/>
        </w:rPr>
        <w:t xml:space="preserve">en el ámbito de sus atribuciones, de promover, respetar, proteger y </w:t>
      </w:r>
      <w:r w:rsidRPr="001B22C0">
        <w:rPr>
          <w:rFonts w:ascii="Palatino Linotype" w:eastAsia="Palatino Linotype" w:hAnsi="Palatino Linotype" w:cs="Palatino Linotype"/>
          <w:b/>
          <w:bCs/>
          <w:i/>
          <w:iCs/>
          <w:color w:val="000000"/>
        </w:rPr>
        <w:t>garantizar</w:t>
      </w:r>
      <w:r w:rsidRPr="001B22C0">
        <w:rPr>
          <w:rFonts w:ascii="Palatino Linotype" w:eastAsia="Palatino Linotype" w:hAnsi="Palatino Linotype" w:cs="Palatino Linotype"/>
          <w:i/>
          <w:iCs/>
          <w:color w:val="000000"/>
        </w:rPr>
        <w:t xml:space="preserve"> los derechos humanos. </w:t>
      </w:r>
      <w:r w:rsidRPr="001B22C0">
        <w:rPr>
          <w:rFonts w:ascii="Palatino Linotype" w:eastAsia="Palatino Linotype" w:hAnsi="Palatino Linotype" w:cs="Palatino Linotype"/>
          <w:b/>
          <w:bCs/>
          <w:i/>
          <w:iCs/>
          <w:color w:val="000000"/>
        </w:rPr>
        <w:t>En cuanto al derecho de acceso a la información, la Ley de Transparencia y Acceso a la Información Pública del Estado de México y Municipios prevé establece que e</w:t>
      </w:r>
      <w:r w:rsidRPr="001B22C0">
        <w:rPr>
          <w:rFonts w:ascii="Palatino Linotype" w:eastAsia="Palatino Linotype" w:hAnsi="Palatino Linotype" w:cs="Palatino Linotype"/>
          <w:i/>
          <w:iCs/>
          <w:color w:val="000000"/>
        </w:rPr>
        <w:t>l procedimiento de acceso a la información es la garantía primaria del derecho en cuestión y se rige por los principios de simplicidad, rapidez y gratuidad del procedimiento, auxilio y orientación a los particulares</w:t>
      </w:r>
      <w:r w:rsidRPr="001B22C0">
        <w:rPr>
          <w:rFonts w:ascii="Palatino Linotype" w:eastAsia="Palatino Linotype" w:hAnsi="Palatino Linotype" w:cs="Palatino Linotype"/>
          <w:i/>
          <w:iCs/>
          <w:color w:val="000000"/>
          <w:vertAlign w:val="superscript"/>
        </w:rPr>
        <w:footnoteReference w:id="5"/>
      </w:r>
      <w:r w:rsidRPr="001B22C0">
        <w:rPr>
          <w:rFonts w:ascii="Palatino Linotype" w:eastAsia="Palatino Linotype" w:hAnsi="Palatino Linotype" w:cs="Palatino Linotype"/>
          <w:i/>
          <w:iCs/>
          <w:color w:val="000000"/>
        </w:rPr>
        <w:t xml:space="preserve">, </w:t>
      </w:r>
      <w:r w:rsidRPr="001B22C0">
        <w:rPr>
          <w:rFonts w:ascii="Palatino Linotype" w:eastAsia="Palatino Linotype" w:hAnsi="Palatino Linotype" w:cs="Palatino Linotype"/>
          <w:color w:val="000000"/>
        </w:rPr>
        <w:t>asimismo establece</w:t>
      </w:r>
      <w:r w:rsidRPr="001B22C0">
        <w:rPr>
          <w:rFonts w:ascii="Palatino Linotype" w:eastAsia="Palatino Linotype" w:hAnsi="Palatino Linotype" w:cs="Palatino Linotype"/>
          <w:i/>
          <w:iCs/>
          <w:color w:val="000000"/>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50C9F" w:rsidRPr="001B22C0" w:rsidRDefault="00250C9F">
      <w:pPr>
        <w:pBdr>
          <w:top w:val="nil"/>
          <w:left w:val="nil"/>
          <w:bottom w:val="nil"/>
          <w:right w:val="nil"/>
          <w:between w:val="nil"/>
        </w:pBdr>
        <w:jc w:val="both"/>
        <w:rPr>
          <w:rFonts w:ascii="Palatino Linotype" w:eastAsia="Palatino Linotype" w:hAnsi="Palatino Linotype" w:cs="Palatino Linotype"/>
          <w:color w:val="000000"/>
        </w:rPr>
      </w:pPr>
    </w:p>
    <w:p w:rsidR="00250C9F" w:rsidRPr="001B22C0" w:rsidRDefault="004E397F">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250C9F" w:rsidRPr="001B22C0" w:rsidRDefault="00250C9F">
      <w:pPr>
        <w:pBdr>
          <w:top w:val="nil"/>
          <w:left w:val="nil"/>
          <w:bottom w:val="nil"/>
          <w:right w:val="nil"/>
          <w:between w:val="nil"/>
        </w:pBdr>
        <w:jc w:val="both"/>
        <w:rPr>
          <w:rFonts w:ascii="Palatino Linotype" w:eastAsia="Palatino Linotype" w:hAnsi="Palatino Linotype" w:cs="Palatino Linotype"/>
          <w:color w:val="000000"/>
        </w:rPr>
      </w:pPr>
    </w:p>
    <w:p w:rsidR="00250C9F" w:rsidRPr="001B22C0" w:rsidRDefault="004E397F">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lastRenderedPageBreak/>
        <w:t xml:space="preserve">Es así que, su obligación es </w:t>
      </w:r>
      <w:r w:rsidRPr="001B22C0">
        <w:rPr>
          <w:rFonts w:ascii="Palatino Linotype" w:eastAsia="Palatino Linotype" w:hAnsi="Palatino Linotype" w:cs="Palatino Linotype"/>
          <w:i/>
          <w:iCs/>
          <w:color w:val="000000"/>
        </w:rPr>
        <w:t>realizar, con efectividad, los trámites internos necesarios para la atención de las solicitudes de información</w:t>
      </w:r>
      <w:r w:rsidRPr="001B22C0">
        <w:rPr>
          <w:rFonts w:ascii="Palatino Linotype" w:eastAsia="Palatino Linotype" w:hAnsi="Palatino Linotype" w:cs="Palatino Linotype"/>
          <w:color w:val="000000"/>
          <w:vertAlign w:val="superscript"/>
        </w:rPr>
        <w:footnoteReference w:id="6"/>
      </w:r>
      <w:r w:rsidRPr="001B22C0">
        <w:rPr>
          <w:rFonts w:ascii="Palatino Linotype" w:eastAsia="Palatino Linotype" w:hAnsi="Palatino Linotype" w:cs="Palatino Linotype"/>
          <w:color w:val="000000"/>
        </w:rPr>
        <w:t>, es decir, deben otorgar respuestas concisas, contundentes y sobre todo que den la certeza de los actos que realizan.</w:t>
      </w:r>
    </w:p>
    <w:p w:rsidR="00250C9F" w:rsidRPr="001B22C0" w:rsidRDefault="00250C9F">
      <w:pPr>
        <w:pBdr>
          <w:top w:val="nil"/>
          <w:left w:val="nil"/>
          <w:bottom w:val="nil"/>
          <w:right w:val="nil"/>
          <w:between w:val="nil"/>
        </w:pBdr>
        <w:jc w:val="both"/>
        <w:rPr>
          <w:rFonts w:ascii="Palatino Linotype" w:eastAsia="Palatino Linotype" w:hAnsi="Palatino Linotype" w:cs="Palatino Linotype"/>
          <w:color w:val="000000"/>
        </w:rPr>
      </w:pPr>
    </w:p>
    <w:p w:rsidR="00250C9F" w:rsidRPr="001B22C0" w:rsidRDefault="004E397F">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 xml:space="preserve">Artículo 50. </w:t>
      </w:r>
      <w:r w:rsidRPr="001B22C0">
        <w:rPr>
          <w:rFonts w:ascii="Palatino Linotype" w:eastAsia="Palatino Linotype" w:hAnsi="Palatino Linotype" w:cs="Palatino Linotype"/>
          <w:i/>
          <w:iCs/>
        </w:rPr>
        <w:t>Los sujetos obligados contarán con un área responsable para la atención de las solicitudes de información, a la que se le denominará Unidad de Transparencia.</w:t>
      </w:r>
    </w:p>
    <w:p w:rsidR="00250C9F" w:rsidRPr="001B22C0" w:rsidRDefault="00250C9F">
      <w:pPr>
        <w:ind w:left="1134" w:right="1134"/>
        <w:jc w:val="both"/>
        <w:rPr>
          <w:rFonts w:ascii="Palatino Linotype" w:eastAsia="Palatino Linotype" w:hAnsi="Palatino Linotype" w:cs="Palatino Linotype"/>
          <w:i/>
          <w:iCs/>
        </w:rPr>
      </w:pP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 xml:space="preserve">Artículo 53. </w:t>
      </w:r>
      <w:r w:rsidRPr="001B22C0">
        <w:rPr>
          <w:rFonts w:ascii="Palatino Linotype" w:eastAsia="Palatino Linotype" w:hAnsi="Palatino Linotype" w:cs="Palatino Linotype"/>
          <w:i/>
          <w:iCs/>
        </w:rPr>
        <w:t>Las Unidades de Transparencia tendrán las siguientes funciones:</w:t>
      </w: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II.</w:t>
      </w:r>
      <w:r w:rsidRPr="001B22C0">
        <w:rPr>
          <w:rFonts w:ascii="Palatino Linotype" w:eastAsia="Palatino Linotype" w:hAnsi="Palatino Linotype" w:cs="Palatino Linotype"/>
          <w:i/>
          <w:iCs/>
        </w:rPr>
        <w:t xml:space="preserve"> Recibir, tramitar y dar respuesta a las solicitudes de acceso a la información;</w:t>
      </w: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IV.</w:t>
      </w:r>
      <w:r w:rsidRPr="001B22C0">
        <w:rPr>
          <w:rFonts w:ascii="Palatino Linotype" w:eastAsia="Palatino Linotype" w:hAnsi="Palatino Linotype" w:cs="Palatino Linotype"/>
          <w:i/>
          <w:iCs/>
        </w:rPr>
        <w:t xml:space="preserve"> Realizar, con efectividad, los trámites internos necesarios para la atención de las solicitudes de acceso a la información;</w:t>
      </w: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V.</w:t>
      </w:r>
      <w:r w:rsidRPr="001B22C0">
        <w:rPr>
          <w:rFonts w:ascii="Palatino Linotype" w:eastAsia="Palatino Linotype" w:hAnsi="Palatino Linotype" w:cs="Palatino Linotype"/>
          <w:i/>
          <w:iCs/>
        </w:rPr>
        <w:t xml:space="preserve"> Entregar, en su caso, a los particulares la información solicitada;</w:t>
      </w: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p>
    <w:p w:rsidR="00250C9F" w:rsidRPr="001B22C0" w:rsidRDefault="00250C9F">
      <w:pPr>
        <w:ind w:left="1134" w:right="1134"/>
        <w:jc w:val="both"/>
        <w:rPr>
          <w:rFonts w:ascii="Palatino Linotype" w:eastAsia="Palatino Linotype" w:hAnsi="Palatino Linotype" w:cs="Palatino Linotype"/>
          <w:i/>
          <w:iCs/>
        </w:rPr>
      </w:pP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 xml:space="preserve">Artículo 58. </w:t>
      </w:r>
      <w:r w:rsidRPr="001B22C0">
        <w:rPr>
          <w:rFonts w:ascii="Palatino Linotype" w:eastAsia="Palatino Linotype" w:hAnsi="Palatino Linotype" w:cs="Palatino Linotype"/>
          <w:i/>
          <w:iCs/>
        </w:rPr>
        <w:t>Los servidores públicos habilitados serán designados por el titular del sujeto obligado a propuesta del responsable de la Unidad de Transparencia.</w:t>
      </w:r>
    </w:p>
    <w:p w:rsidR="00250C9F" w:rsidRPr="001B22C0" w:rsidRDefault="00250C9F">
      <w:pPr>
        <w:ind w:left="1134" w:right="1134"/>
        <w:jc w:val="both"/>
        <w:rPr>
          <w:rFonts w:ascii="Palatino Linotype" w:eastAsia="Palatino Linotype" w:hAnsi="Palatino Linotype" w:cs="Palatino Linotype"/>
          <w:i/>
          <w:iCs/>
        </w:rPr>
      </w:pP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 xml:space="preserve">Artículo 59. </w:t>
      </w:r>
      <w:r w:rsidRPr="001B22C0">
        <w:rPr>
          <w:rFonts w:ascii="Palatino Linotype" w:eastAsia="Palatino Linotype" w:hAnsi="Palatino Linotype" w:cs="Palatino Linotype"/>
          <w:i/>
          <w:iCs/>
        </w:rPr>
        <w:t>Los servidores públicos habilitados tendrán las funciones siguientes:</w:t>
      </w:r>
    </w:p>
    <w:p w:rsidR="00250C9F" w:rsidRPr="001B22C0" w:rsidRDefault="00250C9F">
      <w:pPr>
        <w:ind w:left="1134" w:right="1134"/>
        <w:jc w:val="both"/>
        <w:rPr>
          <w:rFonts w:ascii="Palatino Linotype" w:eastAsia="Palatino Linotype" w:hAnsi="Palatino Linotype" w:cs="Palatino Linotype"/>
          <w:i/>
          <w:iCs/>
        </w:rPr>
      </w:pP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I.</w:t>
      </w:r>
      <w:r w:rsidRPr="001B22C0">
        <w:rPr>
          <w:rFonts w:ascii="Palatino Linotype" w:eastAsia="Palatino Linotype" w:hAnsi="Palatino Linotype" w:cs="Palatino Linotype"/>
          <w:i/>
          <w:iCs/>
        </w:rPr>
        <w:t xml:space="preserve"> Localizar la información que le solicite la Unidad de Transparencia;</w:t>
      </w: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II.</w:t>
      </w:r>
      <w:r w:rsidRPr="001B22C0">
        <w:rPr>
          <w:rFonts w:ascii="Palatino Linotype" w:eastAsia="Palatino Linotype" w:hAnsi="Palatino Linotype" w:cs="Palatino Linotype"/>
          <w:i/>
          <w:iCs/>
        </w:rPr>
        <w:t xml:space="preserve"> Proporcionar la información que obre en los archivos y que le sea solicitada por la Unidad de Transparencia;</w:t>
      </w: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lastRenderedPageBreak/>
        <w:t>(...)</w:t>
      </w:r>
    </w:p>
    <w:p w:rsidR="00250C9F" w:rsidRPr="001B22C0" w:rsidRDefault="00250C9F">
      <w:pPr>
        <w:ind w:left="1134" w:right="1134"/>
        <w:jc w:val="both"/>
        <w:rPr>
          <w:rFonts w:ascii="Palatino Linotype" w:eastAsia="Palatino Linotype" w:hAnsi="Palatino Linotype" w:cs="Palatino Linotype"/>
          <w:i/>
          <w:iCs/>
        </w:rPr>
      </w:pPr>
    </w:p>
    <w:p w:rsidR="00250C9F" w:rsidRPr="001B22C0" w:rsidRDefault="004E397F">
      <w:pPr>
        <w:ind w:left="1134" w:right="1134"/>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 xml:space="preserve">Artículo 162. </w:t>
      </w:r>
      <w:r w:rsidRPr="001B22C0">
        <w:rPr>
          <w:rFonts w:ascii="Palatino Linotype" w:eastAsia="Palatino Linotype" w:hAnsi="Palatino Linotype" w:cs="Palatino Linotype"/>
          <w:i/>
          <w:iC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4E397F">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las Unidades de Transparencia turnar a todas las áreas que se consideren competentes para que realicen una búsqueda exhaustiva y razonable de la información solicitada a fin de que ésta sea entregada a los solicitantes.</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50C9F" w:rsidRPr="001B22C0" w:rsidRDefault="004E397F">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 En el caso que se resuelve, la respuesta fue emitida por la Dirección de Administración, área que de acuerdo a sus facultades genera, posee y administra la información solicitada. </w:t>
      </w:r>
    </w:p>
    <w:p w:rsidR="00250C9F" w:rsidRPr="001B22C0" w:rsidRDefault="004E397F">
      <w:pPr>
        <w:numPr>
          <w:ilvl w:val="0"/>
          <w:numId w:val="13"/>
        </w:numPr>
        <w:spacing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rPr>
        <w:lastRenderedPageBreak/>
        <w:t xml:space="preserve">Ahora bien, es necesario señalar que en la solicitud de información se advierten diversos cuestionamiento en los que, de forma medular, se concretan a una respuesta en sentido afirmativo o negativo, lo que no reviste una solicitud de acceso a la información, por ende, al advertirse que no corresponde a derecho de acceso a la información no se considera procedente entrar al estudio, sin embargo, debemos precisar que el Sujeto Obligado refirió no contar con información del servidor público señalado en la solicitud. </w:t>
      </w:r>
    </w:p>
    <w:p w:rsidR="00250C9F" w:rsidRPr="001B22C0" w:rsidRDefault="00250C9F">
      <w:pPr>
        <w:pBdr>
          <w:top w:val="nil"/>
          <w:left w:val="nil"/>
          <w:bottom w:val="nil"/>
          <w:right w:val="nil"/>
          <w:between w:val="nil"/>
        </w:pBdr>
        <w:rPr>
          <w:rFonts w:ascii="Palatino Linotype" w:eastAsia="Palatino Linotype" w:hAnsi="Palatino Linotype" w:cs="Palatino Linotype"/>
          <w:color w:val="000000"/>
        </w:rPr>
      </w:pPr>
    </w:p>
    <w:p w:rsidR="00250C9F" w:rsidRPr="001B22C0" w:rsidRDefault="004E397F">
      <w:pPr>
        <w:numPr>
          <w:ilvl w:val="0"/>
          <w:numId w:val="13"/>
        </w:numPr>
        <w:spacing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rPr>
        <w:t xml:space="preserve">Asimismo, se puede advertir cuestionamientos que dependen de la respuesta afirmativa o negativa del Sujeto Obligado, mismas que también se tendrán por colmadas siempre y cuando no se trate de una obligación por parte del Sujeto Obligado para generar, poseer o administrar la información, que para el asunto en particular refieren al interés del particular de conocer el cargo, área de adscripción, remuneración bruta y neta incluyendo sus percepciones extraordinarias y, en caso de que el servidor público ya no labore en el Sujeto Obligado señalar su fecha de ingreso a laborar en el Ayuntamiento, denominación de su último cargo, área de adscripción a la fecha de su baja, última remuneración neta y bruta incluyendo sus percepciones extraordinarias y fecha en que causó baja al Sujeto Obligado. </w:t>
      </w:r>
    </w:p>
    <w:p w:rsidR="00250C9F" w:rsidRPr="001B22C0" w:rsidRDefault="00250C9F">
      <w:pPr>
        <w:pBdr>
          <w:top w:val="nil"/>
          <w:left w:val="nil"/>
          <w:bottom w:val="nil"/>
          <w:right w:val="nil"/>
          <w:between w:val="nil"/>
        </w:pBdr>
        <w:ind w:left="720"/>
        <w:rPr>
          <w:rFonts w:ascii="Palatino Linotype" w:eastAsia="Palatino Linotype" w:hAnsi="Palatino Linotype" w:cs="Palatino Linotype"/>
          <w:color w:val="000000"/>
        </w:rPr>
      </w:pPr>
    </w:p>
    <w:p w:rsidR="00250C9F" w:rsidRPr="001B22C0" w:rsidRDefault="004E397F">
      <w:pPr>
        <w:numPr>
          <w:ilvl w:val="0"/>
          <w:numId w:val="13"/>
        </w:numPr>
        <w:spacing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rPr>
        <w:t xml:space="preserve">Y es que se considera que al referir el sujeto Obligado la inexistencia de la información por no constar en sus archivos, sin embargo éste Instituto al consultar en </w:t>
      </w:r>
      <w:r w:rsidRPr="001B22C0">
        <w:rPr>
          <w:rFonts w:ascii="Palatino Linotype" w:eastAsia="Palatino Linotype" w:hAnsi="Palatino Linotype" w:cs="Palatino Linotype"/>
          <w:i/>
          <w:iCs/>
        </w:rPr>
        <w:t>IPOMEX en el Artículo 92(93) en su fracción VIII A- Remuneraciones</w:t>
      </w:r>
      <w:r w:rsidRPr="001B22C0">
        <w:rPr>
          <w:rFonts w:ascii="Palatino Linotype" w:eastAsia="Palatino Linotype" w:hAnsi="Palatino Linotype" w:cs="Palatino Linotype"/>
        </w:rPr>
        <w:t xml:space="preserve"> y teclear el nombre de la persona referida en la solicitud, se encontró lo referido en la siguiente captura de pantalla: </w:t>
      </w:r>
    </w:p>
    <w:p w:rsidR="00250C9F" w:rsidRPr="001B22C0" w:rsidRDefault="00250C9F">
      <w:pPr>
        <w:pBdr>
          <w:top w:val="nil"/>
          <w:left w:val="nil"/>
          <w:bottom w:val="nil"/>
          <w:right w:val="nil"/>
          <w:between w:val="nil"/>
        </w:pBdr>
        <w:ind w:left="720"/>
        <w:rPr>
          <w:rFonts w:ascii="Palatino Linotype" w:eastAsia="Palatino Linotype" w:hAnsi="Palatino Linotype" w:cs="Palatino Linotype"/>
          <w:color w:val="000000"/>
        </w:rPr>
      </w:pPr>
    </w:p>
    <w:p w:rsidR="00250C9F" w:rsidRPr="001B22C0" w:rsidRDefault="004E397F">
      <w:pPr>
        <w:spacing w:line="360" w:lineRule="auto"/>
        <w:jc w:val="both"/>
        <w:rPr>
          <w:rFonts w:ascii="Palatino Linotype" w:eastAsia="Palatino Linotype" w:hAnsi="Palatino Linotype" w:cs="Palatino Linotype"/>
        </w:rPr>
      </w:pPr>
      <w:r w:rsidRPr="001B22C0">
        <w:rPr>
          <w:rFonts w:ascii="Palatino Linotype" w:eastAsia="Palatino Linotype" w:hAnsi="Palatino Linotype" w:cs="Palatino Linotype"/>
          <w:noProof/>
        </w:rPr>
        <w:lastRenderedPageBreak/>
        <w:drawing>
          <wp:inline distT="0" distB="0" distL="0" distR="0">
            <wp:extent cx="6091141" cy="122085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91141" cy="1220857"/>
                    </a:xfrm>
                    <a:prstGeom prst="rect">
                      <a:avLst/>
                    </a:prstGeom>
                    <a:ln/>
                  </pic:spPr>
                </pic:pic>
              </a:graphicData>
            </a:graphic>
          </wp:inline>
        </w:drawing>
      </w: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4E397F">
      <w:pPr>
        <w:spacing w:line="360" w:lineRule="auto"/>
        <w:jc w:val="both"/>
        <w:rPr>
          <w:rFonts w:ascii="Palatino Linotype" w:eastAsia="Palatino Linotype" w:hAnsi="Palatino Linotype" w:cs="Palatino Linotype"/>
        </w:rPr>
      </w:pPr>
      <w:r w:rsidRPr="001B22C0">
        <w:rPr>
          <w:rFonts w:ascii="Palatino Linotype" w:eastAsia="Palatino Linotype" w:hAnsi="Palatino Linotype" w:cs="Palatino Linotype"/>
        </w:rPr>
        <w:t xml:space="preserve">De ahí que consta que el referido servidor público se encontraba adscrito al Sujeto Obligado hasta el segundo trimestre de dos mil veinticinco, de lo anterior. </w:t>
      </w: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4E397F">
      <w:pPr>
        <w:numPr>
          <w:ilvl w:val="0"/>
          <w:numId w:val="13"/>
        </w:numP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Así mismo de las documentales adjuntas por el Recurrente tanto en su solicitud como en la etapa de manifestaciones donde es notoria la serie de respuestas otorgadas al Juzgado Segundo Familiar del Distrito Judicial de Toluca, por parte del Sujeto Obligado y en particular por el propio Director de Administración del Ayuntamiento de Metepec y, de donde se percibe la utilización de forma indistinta del segundo apellido del multicitado servidor público, al referirse al  mismo como  MARQUEZ o MARQUES.</w:t>
      </w:r>
    </w:p>
    <w:p w:rsidR="00250C9F" w:rsidRPr="001B22C0" w:rsidRDefault="00250C9F">
      <w:pPr>
        <w:spacing w:line="360" w:lineRule="auto"/>
        <w:ind w:left="1495"/>
        <w:jc w:val="both"/>
        <w:rPr>
          <w:rFonts w:ascii="Palatino Linotype" w:eastAsia="Palatino Linotype" w:hAnsi="Palatino Linotype" w:cs="Palatino Linotype"/>
        </w:rPr>
      </w:pPr>
    </w:p>
    <w:p w:rsidR="00250C9F" w:rsidRPr="001B22C0" w:rsidRDefault="004E397F">
      <w:pPr>
        <w:numPr>
          <w:ilvl w:val="0"/>
          <w:numId w:val="13"/>
        </w:numPr>
        <w:spacing w:line="360" w:lineRule="auto"/>
        <w:ind w:left="0" w:firstLine="0"/>
        <w:jc w:val="both"/>
        <w:rPr>
          <w:rFonts w:ascii="Palatino Linotype" w:eastAsia="Palatino Linotype" w:hAnsi="Palatino Linotype" w:cs="Palatino Linotype"/>
        </w:rPr>
      </w:pPr>
      <w:r w:rsidRPr="001B22C0">
        <w:rPr>
          <w:rFonts w:ascii="Palatino Linotype" w:eastAsia="Palatino Linotype" w:hAnsi="Palatino Linotype" w:cs="Palatino Linotype"/>
        </w:rPr>
        <w:t xml:space="preserve">Por lo que se observa que la respuesta del Sujeto Obligado, misma que fue confirmada posteriormente mediante Informe Justificado no guarda relación a lo requerido por el particular siendo aplicable el Criterio 02/2017 emitido por el Instituto Nacional de Transparencia, Acceso a la Información  y Protección de Datos Personales se establece que: </w:t>
      </w:r>
    </w:p>
    <w:p w:rsidR="00250C9F" w:rsidRPr="001B22C0" w:rsidRDefault="00250C9F">
      <w:pPr>
        <w:pBdr>
          <w:top w:val="nil"/>
          <w:left w:val="nil"/>
          <w:bottom w:val="nil"/>
          <w:right w:val="nil"/>
          <w:between w:val="nil"/>
        </w:pBdr>
        <w:spacing w:line="360" w:lineRule="auto"/>
        <w:ind w:left="644" w:right="-150"/>
        <w:jc w:val="both"/>
        <w:rPr>
          <w:rFonts w:ascii="Palatino Linotype" w:eastAsia="Palatino Linotype" w:hAnsi="Palatino Linotype" w:cs="Palatino Linotype"/>
          <w:color w:val="000000"/>
        </w:rPr>
      </w:pPr>
    </w:p>
    <w:p w:rsidR="00250C9F" w:rsidRPr="001B22C0" w:rsidRDefault="004E397F">
      <w:pPr>
        <w:pBdr>
          <w:top w:val="nil"/>
          <w:left w:val="nil"/>
          <w:bottom w:val="nil"/>
          <w:right w:val="nil"/>
          <w:between w:val="nil"/>
        </w:pBdr>
        <w:spacing w:line="276" w:lineRule="auto"/>
        <w:ind w:left="1134" w:right="1134"/>
        <w:jc w:val="both"/>
        <w:rPr>
          <w:i/>
          <w:iCs/>
          <w:color w:val="000000"/>
          <w:highlight w:val="white"/>
        </w:rPr>
      </w:pPr>
      <w:r w:rsidRPr="001B22C0">
        <w:rPr>
          <w:b/>
          <w:bCs/>
          <w:i/>
          <w:iCs/>
          <w:color w:val="000000"/>
          <w:highlight w:val="white"/>
        </w:rPr>
        <w:t xml:space="preserve">Congruencia y exhaustividad. Sus alcances para garantizar el derecho de acceso a la información. </w:t>
      </w:r>
      <w:r w:rsidRPr="001B22C0">
        <w:rPr>
          <w:i/>
          <w:iCs/>
          <w:color w:val="000000"/>
          <w:highlight w:val="white"/>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w:t>
      </w:r>
      <w:r w:rsidRPr="001B22C0">
        <w:rPr>
          <w:i/>
          <w:iCs/>
          <w:color w:val="000000"/>
          <w:highlight w:val="white"/>
        </w:rPr>
        <w:lastRenderedPageBreak/>
        <w:t>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250C9F" w:rsidRPr="001B22C0" w:rsidRDefault="00250C9F">
      <w:pPr>
        <w:pBdr>
          <w:top w:val="nil"/>
          <w:left w:val="nil"/>
          <w:bottom w:val="nil"/>
          <w:right w:val="nil"/>
          <w:between w:val="nil"/>
        </w:pBdr>
        <w:spacing w:line="276" w:lineRule="auto"/>
        <w:ind w:left="1134" w:right="1134"/>
        <w:jc w:val="both"/>
        <w:rPr>
          <w:rFonts w:ascii="Palatino Linotype" w:eastAsia="Palatino Linotype" w:hAnsi="Palatino Linotype" w:cs="Palatino Linotype"/>
          <w:i/>
          <w:iCs/>
          <w:color w:val="000000"/>
        </w:rPr>
      </w:pPr>
    </w:p>
    <w:p w:rsidR="00250C9F" w:rsidRPr="001B22C0" w:rsidRDefault="004E397F">
      <w:pPr>
        <w:numPr>
          <w:ilvl w:val="0"/>
          <w:numId w:val="13"/>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En consecuencia se concluye que la respuesta proporcionada por dicha autoridad, no satisface el derecho de acceso a la información de </w:t>
      </w:r>
      <w:r w:rsidRPr="001B22C0">
        <w:rPr>
          <w:rFonts w:ascii="Palatino Linotype" w:eastAsia="Palatino Linotype" w:hAnsi="Palatino Linotype" w:cs="Palatino Linotype"/>
          <w:b/>
          <w:bCs/>
          <w:color w:val="000000"/>
        </w:rPr>
        <w:t>LA PARTE RECURRENTE</w:t>
      </w:r>
      <w:r w:rsidRPr="001B22C0">
        <w:rPr>
          <w:rFonts w:ascii="Palatino Linotype" w:eastAsia="Palatino Linotype" w:hAnsi="Palatino Linotype" w:cs="Palatino Linotype"/>
          <w:color w:val="000000"/>
        </w:rPr>
        <w:t xml:space="preserve">, por lo tanto resulta dable ordenar previa búsqueda exhaustiva y razonable la entrega del soporte documental en donde obre la información peticionada por </w:t>
      </w:r>
      <w:r w:rsidRPr="001B22C0">
        <w:rPr>
          <w:rFonts w:ascii="Palatino Linotype" w:eastAsia="Palatino Linotype" w:hAnsi="Palatino Linotype" w:cs="Palatino Linotype"/>
          <w:b/>
          <w:bCs/>
          <w:color w:val="000000"/>
        </w:rPr>
        <w:t xml:space="preserve">LA PARTE RECURRENTE, </w:t>
      </w:r>
      <w:r w:rsidRPr="001B22C0">
        <w:rPr>
          <w:rFonts w:ascii="Palatino Linotype" w:eastAsia="Palatino Linotype" w:hAnsi="Palatino Linotype" w:cs="Palatino Linotype"/>
          <w:color w:val="000000"/>
        </w:rPr>
        <w:t>en versión pública de ser procedente.</w:t>
      </w:r>
    </w:p>
    <w:p w:rsidR="00250C9F" w:rsidRPr="001B22C0" w:rsidRDefault="00250C9F">
      <w:pPr>
        <w:spacing w:line="360" w:lineRule="auto"/>
        <w:jc w:val="both"/>
        <w:rPr>
          <w:rFonts w:ascii="Palatino Linotype" w:eastAsia="Palatino Linotype" w:hAnsi="Palatino Linotype" w:cs="Palatino Linotype"/>
          <w:color w:val="000000"/>
        </w:rPr>
      </w:pPr>
    </w:p>
    <w:p w:rsidR="00250C9F" w:rsidRPr="001B22C0" w:rsidRDefault="004E397F">
      <w:pPr>
        <w:numPr>
          <w:ilvl w:val="0"/>
          <w:numId w:val="13"/>
        </w:numPr>
        <w:pBdr>
          <w:top w:val="nil"/>
          <w:left w:val="nil"/>
          <w:bottom w:val="nil"/>
          <w:right w:val="nil"/>
          <w:between w:val="nil"/>
        </w:pBdr>
        <w:shd w:val="clear" w:color="auto" w:fill="FDFCFB"/>
        <w:spacing w:line="360" w:lineRule="auto"/>
        <w:ind w:left="0" w:right="27"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w:t>
      </w:r>
      <w:r w:rsidRPr="001B22C0">
        <w:rPr>
          <w:rFonts w:ascii="Palatino Linotype" w:eastAsia="Palatino Linotype" w:hAnsi="Palatino Linotype" w:cs="Palatino Linotype"/>
        </w:rPr>
        <w:t>Ahora</w:t>
      </w:r>
      <w:r w:rsidRPr="001B22C0">
        <w:rPr>
          <w:rFonts w:ascii="Palatino Linotype" w:eastAsia="Palatino Linotype" w:hAnsi="Palatino Linotype" w:cs="Palatino Linotype"/>
          <w:color w:val="000000"/>
        </w:rPr>
        <w:t xml:space="preserve"> bien, es importante señalar que el artículo 4, párrafo segundo de la Ley de Transparencia y Acceso a la Información Pública del Estado de México y Municipios, dispone:</w:t>
      </w:r>
    </w:p>
    <w:p w:rsidR="00250C9F" w:rsidRPr="001B22C0" w:rsidRDefault="004E397F">
      <w:pPr>
        <w:shd w:val="clear" w:color="auto" w:fill="FDFCFB"/>
        <w:spacing w:line="360" w:lineRule="auto"/>
        <w:ind w:left="1135" w:right="27"/>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b/>
          <w:bCs/>
          <w:color w:val="000000"/>
        </w:rPr>
        <w:t> </w:t>
      </w:r>
    </w:p>
    <w:p w:rsidR="00250C9F" w:rsidRPr="001B22C0" w:rsidRDefault="004E397F">
      <w:pPr>
        <w:shd w:val="clear" w:color="auto" w:fill="FDFCFB"/>
        <w:ind w:left="1135" w:right="1134"/>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i/>
          <w:iCs/>
          <w:color w:val="000000"/>
        </w:rPr>
        <w:t>“</w:t>
      </w:r>
      <w:r w:rsidRPr="001B22C0">
        <w:rPr>
          <w:rFonts w:ascii="Palatino Linotype" w:eastAsia="Palatino Linotype" w:hAnsi="Palatino Linotype" w:cs="Palatino Linotype"/>
          <w:b/>
          <w:bCs/>
          <w:i/>
          <w:iCs/>
          <w:color w:val="000000"/>
        </w:rPr>
        <w:t>Artículo 4. …</w:t>
      </w:r>
    </w:p>
    <w:p w:rsidR="00250C9F" w:rsidRPr="001B22C0" w:rsidRDefault="004E397F">
      <w:pPr>
        <w:shd w:val="clear" w:color="auto" w:fill="FDFCFB"/>
        <w:ind w:left="1135" w:right="1134"/>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i/>
          <w:iCs/>
          <w:color w:val="00000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0C9F" w:rsidRPr="001B22C0" w:rsidRDefault="004E397F">
      <w:pPr>
        <w:shd w:val="clear" w:color="auto" w:fill="FDFCFB"/>
        <w:ind w:left="1135" w:right="27"/>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w:t>
      </w:r>
    </w:p>
    <w:p w:rsidR="00250C9F" w:rsidRPr="001B22C0" w:rsidRDefault="004E397F">
      <w:pPr>
        <w:numPr>
          <w:ilvl w:val="0"/>
          <w:numId w:val="13"/>
        </w:numPr>
        <w:pBdr>
          <w:top w:val="nil"/>
          <w:left w:val="nil"/>
          <w:bottom w:val="nil"/>
          <w:right w:val="nil"/>
          <w:between w:val="nil"/>
        </w:pBdr>
        <w:shd w:val="clear" w:color="auto" w:fill="FDFCFB"/>
        <w:spacing w:line="360" w:lineRule="auto"/>
        <w:ind w:left="0" w:right="27" w:firstLine="0"/>
        <w:jc w:val="both"/>
        <w:rPr>
          <w:rFonts w:ascii="Palatino Linotype" w:eastAsia="Palatino Linotype" w:hAnsi="Palatino Linotype" w:cs="Palatino Linotype"/>
          <w:b/>
          <w:bCs/>
          <w:color w:val="000000"/>
        </w:rPr>
      </w:pPr>
      <w:r w:rsidRPr="001B22C0">
        <w:rPr>
          <w:rFonts w:ascii="Palatino Linotype" w:eastAsia="Palatino Linotype" w:hAnsi="Palatino Linotype" w:cs="Palatino Linotype"/>
          <w:color w:val="000000"/>
        </w:rPr>
        <w:lastRenderedPageBreak/>
        <w:t xml:space="preserve"> De lo anterior, se desprende que la información generada, obtenida, adquirida, transmitida, administrada o en posesión de los Sujetos Obligados, será accesible de manera permanente a cualquier persona, privilegiando el principio de </w:t>
      </w:r>
      <w:r w:rsidRPr="001B22C0">
        <w:rPr>
          <w:rFonts w:ascii="Palatino Linotype" w:eastAsia="Palatino Linotype" w:hAnsi="Palatino Linotype" w:cs="Palatino Linotype"/>
          <w:b/>
          <w:bCs/>
          <w:color w:val="000000"/>
        </w:rPr>
        <w:t>máxima publicidad de la información.</w:t>
      </w:r>
    </w:p>
    <w:p w:rsidR="00250C9F" w:rsidRPr="001B22C0" w:rsidRDefault="00250C9F">
      <w:pPr>
        <w:shd w:val="clear" w:color="auto" w:fill="FDFCFB"/>
        <w:spacing w:line="360" w:lineRule="auto"/>
        <w:ind w:right="27"/>
        <w:jc w:val="both"/>
        <w:rPr>
          <w:rFonts w:ascii="Palatino Linotype" w:eastAsia="Palatino Linotype" w:hAnsi="Palatino Linotype" w:cs="Palatino Linotype"/>
          <w:b/>
          <w:bCs/>
          <w:color w:val="000000"/>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1B22C0">
        <w:rPr>
          <w:rFonts w:ascii="Palatino Linotype" w:eastAsia="Palatino Linotype" w:hAnsi="Palatino Linotype" w:cs="Palatino Linotype"/>
          <w:color w:val="000000"/>
        </w:rPr>
        <w:t>Por otra parte con relación a los puntos de la solicitud relativos a la denominación del puesto o cargo, área de adscripción, remuneración neta y bruta vigente a la fecha de la solicitud, ya sea que se encuentre laborando en el sujeto obligado o la última información a la fecha de su baja, el documento que pudiera enunciativamente colmar a lo requerido es la conciliación de nómina de lo que resulta conveniente mencionar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250C9F" w:rsidRPr="001B22C0" w:rsidRDefault="00250C9F">
      <w:pPr>
        <w:pBdr>
          <w:top w:val="nil"/>
          <w:left w:val="nil"/>
          <w:bottom w:val="nil"/>
          <w:right w:val="nil"/>
          <w:between w:val="nil"/>
        </w:pBdr>
        <w:spacing w:line="360" w:lineRule="auto"/>
        <w:ind w:right="27"/>
        <w:jc w:val="both"/>
        <w:rPr>
          <w:rFonts w:ascii="Palatino Linotype" w:eastAsia="Palatino Linotype" w:hAnsi="Palatino Linotype" w:cs="Palatino Linotype"/>
          <w:color w:val="000000"/>
          <w:highlight w:val="cyan"/>
        </w:rPr>
      </w:pPr>
    </w:p>
    <w:p w:rsidR="00250C9F" w:rsidRPr="001B22C0" w:rsidRDefault="004E397F">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b/>
          <w:bCs/>
          <w:i/>
          <w:iCs/>
          <w:color w:val="000000"/>
        </w:rPr>
        <w:t xml:space="preserve">“NÓMINA </w:t>
      </w:r>
      <w:r w:rsidRPr="001B22C0">
        <w:rPr>
          <w:rFonts w:ascii="Palatino Linotype" w:eastAsia="Palatino Linotype" w:hAnsi="Palatino Linotype" w:cs="Palatino Linotype"/>
          <w:i/>
          <w:iCs/>
          <w:color w:val="000000"/>
        </w:rPr>
        <w:t>Listado general de los trabajadores de una institución, en</w:t>
      </w:r>
      <w:r w:rsidRPr="001B22C0">
        <w:rPr>
          <w:rFonts w:ascii="Palatino Linotype" w:eastAsia="Palatino Linotype" w:hAnsi="Palatino Linotype" w:cs="Palatino Linotype"/>
          <w:b/>
          <w:bCs/>
          <w:i/>
          <w:iCs/>
          <w:color w:val="000000"/>
        </w:rPr>
        <w:t xml:space="preserve"> </w:t>
      </w:r>
      <w:r w:rsidRPr="001B22C0">
        <w:rPr>
          <w:rFonts w:ascii="Palatino Linotype" w:eastAsia="Palatino Linotype" w:hAnsi="Palatino Linotype" w:cs="Palatino Linotype"/>
          <w:i/>
          <w:iCs/>
          <w:color w:val="000000"/>
        </w:rPr>
        <w:t>el cual se asientan las percepciones brutas, deducciones y</w:t>
      </w:r>
      <w:r w:rsidRPr="001B22C0">
        <w:rPr>
          <w:rFonts w:ascii="Palatino Linotype" w:eastAsia="Palatino Linotype" w:hAnsi="Palatino Linotype" w:cs="Palatino Linotype"/>
          <w:b/>
          <w:bCs/>
          <w:i/>
          <w:iCs/>
          <w:color w:val="000000"/>
        </w:rPr>
        <w:t xml:space="preserve"> </w:t>
      </w:r>
      <w:r w:rsidRPr="001B22C0">
        <w:rPr>
          <w:rFonts w:ascii="Palatino Linotype" w:eastAsia="Palatino Linotype" w:hAnsi="Palatino Linotype" w:cs="Palatino Linotype"/>
          <w:i/>
          <w:iCs/>
          <w:color w:val="000000"/>
        </w:rPr>
        <w:t>alcance neto de las mismas; la nómina es utilizada para</w:t>
      </w:r>
      <w:r w:rsidRPr="001B22C0">
        <w:rPr>
          <w:rFonts w:ascii="Palatino Linotype" w:eastAsia="Palatino Linotype" w:hAnsi="Palatino Linotype" w:cs="Palatino Linotype"/>
          <w:b/>
          <w:bCs/>
          <w:i/>
          <w:iCs/>
          <w:color w:val="000000"/>
        </w:rPr>
        <w:t xml:space="preserve"> </w:t>
      </w:r>
      <w:r w:rsidRPr="001B22C0">
        <w:rPr>
          <w:rFonts w:ascii="Palatino Linotype" w:eastAsia="Palatino Linotype" w:hAnsi="Palatino Linotype" w:cs="Palatino Linotype"/>
          <w:i/>
          <w:iCs/>
          <w:color w:val="000000"/>
        </w:rPr>
        <w:t>efectuar los pagos periódicos (semanales, quincenales o</w:t>
      </w:r>
      <w:r w:rsidRPr="001B22C0">
        <w:rPr>
          <w:rFonts w:ascii="Palatino Linotype" w:eastAsia="Palatino Linotype" w:hAnsi="Palatino Linotype" w:cs="Palatino Linotype"/>
          <w:b/>
          <w:bCs/>
          <w:i/>
          <w:iCs/>
          <w:color w:val="000000"/>
        </w:rPr>
        <w:t xml:space="preserve"> </w:t>
      </w:r>
      <w:r w:rsidRPr="001B22C0">
        <w:rPr>
          <w:rFonts w:ascii="Palatino Linotype" w:eastAsia="Palatino Linotype" w:hAnsi="Palatino Linotype" w:cs="Palatino Linotype"/>
          <w:i/>
          <w:iCs/>
          <w:color w:val="000000"/>
        </w:rPr>
        <w:t>mensuales) a los trabajadores por concepto de sueldos y</w:t>
      </w:r>
      <w:r w:rsidRPr="001B22C0">
        <w:rPr>
          <w:rFonts w:ascii="Palatino Linotype" w:eastAsia="Palatino Linotype" w:hAnsi="Palatino Linotype" w:cs="Palatino Linotype"/>
          <w:b/>
          <w:bCs/>
          <w:i/>
          <w:iCs/>
          <w:color w:val="000000"/>
        </w:rPr>
        <w:t xml:space="preserve"> </w:t>
      </w:r>
      <w:r w:rsidRPr="001B22C0">
        <w:rPr>
          <w:rFonts w:ascii="Palatino Linotype" w:eastAsia="Palatino Linotype" w:hAnsi="Palatino Linotype" w:cs="Palatino Linotype"/>
          <w:i/>
          <w:iCs/>
          <w:color w:val="000000"/>
        </w:rPr>
        <w:t>salarios.”</w:t>
      </w:r>
    </w:p>
    <w:p w:rsidR="00250C9F" w:rsidRPr="001B22C0" w:rsidRDefault="00250C9F">
      <w:pPr>
        <w:spacing w:line="360" w:lineRule="auto"/>
        <w:ind w:left="1134" w:right="900"/>
        <w:jc w:val="both"/>
        <w:rPr>
          <w:rFonts w:ascii="Palatino Linotype" w:eastAsia="Palatino Linotype" w:hAnsi="Palatino Linotype" w:cs="Palatino Linotype"/>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lastRenderedPageBreak/>
        <w:t xml:space="preserve">Con base a lo anterior, conviene a traer lo establecido por el artículo 804, fracción II, de la Ley Federal de Trabajo, el cual a la letra establece: </w:t>
      </w:r>
    </w:p>
    <w:p w:rsidR="00250C9F" w:rsidRPr="001B22C0" w:rsidRDefault="00250C9F">
      <w:pPr>
        <w:spacing w:line="360" w:lineRule="auto"/>
        <w:ind w:left="851" w:right="27"/>
        <w:jc w:val="both"/>
        <w:rPr>
          <w:rFonts w:ascii="Palatino Linotype" w:eastAsia="Palatino Linotype" w:hAnsi="Palatino Linotype" w:cs="Palatino Linotype"/>
        </w:rPr>
      </w:pPr>
    </w:p>
    <w:p w:rsidR="00250C9F" w:rsidRPr="001B22C0" w:rsidRDefault="004E397F">
      <w:pPr>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r w:rsidRPr="001B22C0">
        <w:rPr>
          <w:rFonts w:ascii="Palatino Linotype" w:eastAsia="Palatino Linotype" w:hAnsi="Palatino Linotype" w:cs="Palatino Linotype"/>
          <w:b/>
          <w:bCs/>
          <w:i/>
          <w:iCs/>
        </w:rPr>
        <w:t>Artículo 804.-</w:t>
      </w:r>
      <w:r w:rsidRPr="001B22C0">
        <w:rPr>
          <w:rFonts w:ascii="Palatino Linotype" w:eastAsia="Palatino Linotype" w:hAnsi="Palatino Linotype" w:cs="Palatino Linotype"/>
          <w:i/>
          <w:iCs/>
        </w:rPr>
        <w:t xml:space="preserve"> </w:t>
      </w:r>
      <w:r w:rsidRPr="001B22C0">
        <w:rPr>
          <w:rFonts w:ascii="Palatino Linotype" w:eastAsia="Palatino Linotype" w:hAnsi="Palatino Linotype" w:cs="Palatino Linotype"/>
          <w:b/>
          <w:bCs/>
          <w:i/>
          <w:iCs/>
        </w:rPr>
        <w:t>El patrón tiene obligación de conservar y exhibir en juicio los documentos que a continuación se precisan</w:t>
      </w:r>
      <w:r w:rsidRPr="001B22C0">
        <w:rPr>
          <w:rFonts w:ascii="Palatino Linotype" w:eastAsia="Palatino Linotype" w:hAnsi="Palatino Linotype" w:cs="Palatino Linotype"/>
          <w:i/>
          <w:iCs/>
        </w:rPr>
        <w:t>:</w:t>
      </w:r>
    </w:p>
    <w:p w:rsidR="00250C9F" w:rsidRPr="001B22C0" w:rsidRDefault="00250C9F">
      <w:pPr>
        <w:ind w:left="1134" w:right="900"/>
        <w:jc w:val="both"/>
        <w:rPr>
          <w:rFonts w:ascii="Palatino Linotype" w:eastAsia="Palatino Linotype" w:hAnsi="Palatino Linotype" w:cs="Palatino Linotype"/>
          <w:i/>
          <w:iCs/>
        </w:rPr>
      </w:pPr>
    </w:p>
    <w:p w:rsidR="00250C9F" w:rsidRPr="001B22C0" w:rsidRDefault="004E397F">
      <w:pPr>
        <w:ind w:left="1134" w:right="900"/>
        <w:jc w:val="both"/>
        <w:rPr>
          <w:rFonts w:ascii="Palatino Linotype" w:eastAsia="Palatino Linotype" w:hAnsi="Palatino Linotype" w:cs="Palatino Linotype"/>
          <w:b/>
          <w:bCs/>
          <w:i/>
          <w:iCs/>
        </w:rPr>
      </w:pPr>
      <w:r w:rsidRPr="001B22C0">
        <w:rPr>
          <w:rFonts w:ascii="Palatino Linotype" w:eastAsia="Palatino Linotype" w:hAnsi="Palatino Linotype" w:cs="Palatino Linotype"/>
          <w:b/>
          <w:bCs/>
          <w:i/>
          <w:iCs/>
        </w:rPr>
        <w:t>II.</w:t>
      </w:r>
      <w:r w:rsidRPr="001B22C0">
        <w:rPr>
          <w:rFonts w:ascii="Palatino Linotype" w:eastAsia="Palatino Linotype" w:hAnsi="Palatino Linotype" w:cs="Palatino Linotype"/>
          <w:i/>
          <w:iCs/>
        </w:rPr>
        <w:t xml:space="preserve"> </w:t>
      </w:r>
      <w:r w:rsidRPr="001B22C0">
        <w:rPr>
          <w:rFonts w:ascii="Palatino Linotype" w:eastAsia="Palatino Linotype" w:hAnsi="Palatino Linotype" w:cs="Palatino Linotype"/>
          <w:b/>
          <w:bCs/>
          <w:i/>
          <w:iCs/>
        </w:rPr>
        <w:t>Listas de raya o nómina de personal</w:t>
      </w:r>
      <w:r w:rsidRPr="001B22C0">
        <w:rPr>
          <w:rFonts w:ascii="Palatino Linotype" w:eastAsia="Palatino Linotype" w:hAnsi="Palatino Linotype" w:cs="Palatino Linotype"/>
          <w:i/>
          <w:iCs/>
        </w:rPr>
        <w:t xml:space="preserve">, </w:t>
      </w:r>
      <w:r w:rsidRPr="001B22C0">
        <w:rPr>
          <w:rFonts w:ascii="Palatino Linotype" w:eastAsia="Palatino Linotype" w:hAnsi="Palatino Linotype" w:cs="Palatino Linotype"/>
          <w:b/>
          <w:bCs/>
          <w:i/>
          <w:iCs/>
        </w:rPr>
        <w:t xml:space="preserve">cuando se lleven en el centro de trabajo; o recibos de pagos de salarios; </w:t>
      </w:r>
    </w:p>
    <w:p w:rsidR="00250C9F" w:rsidRPr="001B22C0" w:rsidRDefault="004E397F">
      <w:pPr>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p>
    <w:p w:rsidR="00250C9F" w:rsidRPr="001B22C0" w:rsidRDefault="004E397F">
      <w:pPr>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 xml:space="preserve">Los documentos señalados en la fracción I deberán conservarse mientras dure la relación laboral y hasta un año después; </w:t>
      </w:r>
      <w:r w:rsidRPr="001B22C0">
        <w:rPr>
          <w:rFonts w:ascii="Palatino Linotype" w:eastAsia="Palatino Linotype" w:hAnsi="Palatino Linotype" w:cs="Palatino Linotype"/>
          <w:b/>
          <w:bCs/>
          <w:i/>
          <w:iCs/>
        </w:rPr>
        <w:t>los señalados en las fracciones II, III y IV, durante el último año y un año después de que se extinga la relación laboral</w:t>
      </w:r>
      <w:r w:rsidRPr="001B22C0">
        <w:rPr>
          <w:rFonts w:ascii="Palatino Linotype" w:eastAsia="Palatino Linotype" w:hAnsi="Palatino Linotype" w:cs="Palatino Linotype"/>
          <w:i/>
          <w:iCs/>
        </w:rPr>
        <w:t>; y los mencionados en la fracción V, conforme lo señalen las Leyes que los rijan.”</w:t>
      </w:r>
    </w:p>
    <w:p w:rsidR="00250C9F" w:rsidRPr="001B22C0" w:rsidRDefault="00250C9F">
      <w:pPr>
        <w:ind w:left="567" w:right="-801"/>
        <w:jc w:val="both"/>
        <w:rPr>
          <w:rFonts w:ascii="Palatino Linotype" w:eastAsia="Palatino Linotype" w:hAnsi="Palatino Linotype" w:cs="Palatino Linotype"/>
          <w:i/>
          <w:iCs/>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En ese contexto, tratándose de servidores públicos de los Municipios la Ley del Trabajo de los Servidores Públicos del Estado y Municipios, en su artículo 220-K, establece lo siguiente:</w:t>
      </w:r>
    </w:p>
    <w:p w:rsidR="00250C9F" w:rsidRPr="001B22C0" w:rsidRDefault="004E397F">
      <w:pPr>
        <w:tabs>
          <w:tab w:val="left" w:pos="9072"/>
        </w:tabs>
        <w:spacing w:before="240"/>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“ARTÍCULO 220 K.-</w:t>
      </w:r>
      <w:r w:rsidRPr="001B22C0">
        <w:rPr>
          <w:rFonts w:ascii="Palatino Linotype" w:eastAsia="Palatino Linotype" w:hAnsi="Palatino Linotype" w:cs="Palatino Linotype"/>
          <w:i/>
          <w:iCs/>
        </w:rPr>
        <w:t xml:space="preserve"> La </w:t>
      </w:r>
      <w:r w:rsidRPr="001B22C0">
        <w:rPr>
          <w:rFonts w:ascii="Palatino Linotype" w:eastAsia="Palatino Linotype" w:hAnsi="Palatino Linotype" w:cs="Palatino Linotype"/>
          <w:b/>
          <w:bCs/>
          <w:i/>
          <w:iCs/>
        </w:rPr>
        <w:t>institución o dependencia pública tiene la obligación de conservar y exhibir en el proceso los documentos que a continuación</w:t>
      </w:r>
      <w:r w:rsidRPr="001B22C0">
        <w:rPr>
          <w:rFonts w:ascii="Palatino Linotype" w:eastAsia="Palatino Linotype" w:hAnsi="Palatino Linotype" w:cs="Palatino Linotype"/>
          <w:i/>
          <w:iCs/>
        </w:rPr>
        <w:t xml:space="preserve"> </w:t>
      </w:r>
      <w:r w:rsidRPr="001B22C0">
        <w:rPr>
          <w:rFonts w:ascii="Palatino Linotype" w:eastAsia="Palatino Linotype" w:hAnsi="Palatino Linotype" w:cs="Palatino Linotype"/>
          <w:b/>
          <w:bCs/>
          <w:i/>
          <w:iCs/>
        </w:rPr>
        <w:t>se precisan</w:t>
      </w:r>
      <w:r w:rsidRPr="001B22C0">
        <w:rPr>
          <w:rFonts w:ascii="Palatino Linotype" w:eastAsia="Palatino Linotype" w:hAnsi="Palatino Linotype" w:cs="Palatino Linotype"/>
          <w:i/>
          <w:iCs/>
        </w:rPr>
        <w:t>:</w:t>
      </w:r>
    </w:p>
    <w:p w:rsidR="00250C9F" w:rsidRPr="001B22C0" w:rsidRDefault="004E397F">
      <w:pPr>
        <w:tabs>
          <w:tab w:val="left" w:pos="9072"/>
        </w:tabs>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p>
    <w:p w:rsidR="00250C9F" w:rsidRPr="001B22C0" w:rsidRDefault="004E397F">
      <w:pPr>
        <w:tabs>
          <w:tab w:val="left" w:pos="9072"/>
        </w:tabs>
        <w:ind w:left="1134" w:right="900"/>
        <w:jc w:val="both"/>
        <w:rPr>
          <w:rFonts w:ascii="Palatino Linotype" w:eastAsia="Palatino Linotype" w:hAnsi="Palatino Linotype" w:cs="Palatino Linotype"/>
          <w:b/>
          <w:bCs/>
          <w:i/>
          <w:iCs/>
        </w:rPr>
      </w:pPr>
      <w:r w:rsidRPr="001B22C0">
        <w:rPr>
          <w:rFonts w:ascii="Palatino Linotype" w:eastAsia="Palatino Linotype" w:hAnsi="Palatino Linotype" w:cs="Palatino Linotype"/>
          <w:i/>
          <w:iCs/>
        </w:rPr>
        <w:t xml:space="preserve">II. </w:t>
      </w:r>
      <w:r w:rsidRPr="001B22C0">
        <w:rPr>
          <w:rFonts w:ascii="Palatino Linotype" w:eastAsia="Palatino Linotype" w:hAnsi="Palatino Linotype" w:cs="Palatino Linotype"/>
          <w:b/>
          <w:bCs/>
          <w:i/>
          <w:iCs/>
        </w:rPr>
        <w:t>Recibos de pagos de salarios o</w:t>
      </w:r>
      <w:r w:rsidRPr="001B22C0">
        <w:rPr>
          <w:rFonts w:ascii="Palatino Linotype" w:eastAsia="Palatino Linotype" w:hAnsi="Palatino Linotype" w:cs="Palatino Linotype"/>
          <w:i/>
          <w:iCs/>
        </w:rPr>
        <w:t xml:space="preserve"> </w:t>
      </w:r>
      <w:r w:rsidRPr="001B22C0">
        <w:rPr>
          <w:rFonts w:ascii="Palatino Linotype" w:eastAsia="Palatino Linotype" w:hAnsi="Palatino Linotype" w:cs="Palatino Linotype"/>
          <w:b/>
          <w:bCs/>
          <w:i/>
          <w:iCs/>
        </w:rPr>
        <w:t>las constancias documentales del pago de salario</w:t>
      </w:r>
      <w:r w:rsidRPr="001B22C0">
        <w:rPr>
          <w:rFonts w:ascii="Palatino Linotype" w:eastAsia="Palatino Linotype" w:hAnsi="Palatino Linotype" w:cs="Palatino Linotype"/>
          <w:i/>
          <w:iCs/>
        </w:rPr>
        <w:t xml:space="preserve"> </w:t>
      </w:r>
      <w:r w:rsidRPr="001B22C0">
        <w:rPr>
          <w:rFonts w:ascii="Palatino Linotype" w:eastAsia="Palatino Linotype" w:hAnsi="Palatino Linotype" w:cs="Palatino Linotype"/>
          <w:b/>
          <w:bCs/>
          <w:i/>
          <w:iCs/>
        </w:rPr>
        <w:t xml:space="preserve">cuando </w:t>
      </w:r>
      <w:r w:rsidRPr="001B22C0">
        <w:rPr>
          <w:rFonts w:ascii="Palatino Linotype" w:eastAsia="Palatino Linotype" w:hAnsi="Palatino Linotype" w:cs="Palatino Linotype"/>
          <w:b/>
          <w:bCs/>
          <w:i/>
          <w:iCs/>
          <w:u w:val="single"/>
        </w:rPr>
        <w:t>sea por depósito o mediante información electrónica</w:t>
      </w:r>
      <w:r w:rsidRPr="001B22C0">
        <w:rPr>
          <w:rFonts w:ascii="Palatino Linotype" w:eastAsia="Palatino Linotype" w:hAnsi="Palatino Linotype" w:cs="Palatino Linotype"/>
          <w:b/>
          <w:bCs/>
          <w:i/>
          <w:iCs/>
        </w:rPr>
        <w:t>;</w:t>
      </w:r>
    </w:p>
    <w:p w:rsidR="00250C9F" w:rsidRPr="001B22C0" w:rsidRDefault="004E397F">
      <w:pPr>
        <w:tabs>
          <w:tab w:val="left" w:pos="9072"/>
        </w:tabs>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w:t>
      </w:r>
    </w:p>
    <w:p w:rsidR="00250C9F" w:rsidRPr="001B22C0" w:rsidRDefault="004E397F">
      <w:pPr>
        <w:tabs>
          <w:tab w:val="left" w:pos="9072"/>
        </w:tabs>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250C9F" w:rsidRPr="001B22C0" w:rsidRDefault="004E397F">
      <w:pPr>
        <w:tabs>
          <w:tab w:val="left" w:pos="9072"/>
        </w:tabs>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250C9F" w:rsidRPr="001B22C0" w:rsidRDefault="00250C9F">
      <w:pPr>
        <w:spacing w:line="360" w:lineRule="auto"/>
        <w:ind w:left="851" w:right="-801"/>
        <w:jc w:val="both"/>
        <w:rPr>
          <w:rFonts w:ascii="Palatino Linotype" w:eastAsia="Palatino Linotype" w:hAnsi="Palatino Linotype" w:cs="Palatino Linotype"/>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Una vez precisado lo que antecede, es necesario analizar la Ley de Fiscalización Superior del Estado de México, toda vez que señala que los municipios que conforman el Estado de México, entre ellos el </w:t>
      </w:r>
      <w:r w:rsidRPr="001B22C0">
        <w:rPr>
          <w:rFonts w:ascii="Palatino Linotype" w:eastAsia="Palatino Linotype" w:hAnsi="Palatino Linotype" w:cs="Palatino Linotype"/>
          <w:b/>
          <w:bCs/>
          <w:color w:val="000000"/>
        </w:rPr>
        <w:t>SUJETO OBLIGADO</w:t>
      </w:r>
      <w:r w:rsidRPr="001B22C0">
        <w:rPr>
          <w:rFonts w:ascii="Palatino Linotype" w:eastAsia="Palatino Linotype" w:hAnsi="Palatino Linotype" w:cs="Palatino Linotype"/>
          <w:color w:val="000000"/>
        </w:rPr>
        <w:t>, es considerado como ente fiscalizable, como así lo señala el artículo 4 fracción II de la Ley de Fiscalización Superior del Estado de México, el cual señala:</w:t>
      </w:r>
    </w:p>
    <w:p w:rsidR="00250C9F" w:rsidRPr="001B22C0" w:rsidRDefault="004E397F">
      <w:pPr>
        <w:spacing w:before="240"/>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“Artículo 4.- Son sujetos de fiscalización:</w:t>
      </w:r>
    </w:p>
    <w:p w:rsidR="00250C9F" w:rsidRPr="001B22C0" w:rsidRDefault="004E397F">
      <w:pPr>
        <w:numPr>
          <w:ilvl w:val="1"/>
          <w:numId w:val="5"/>
        </w:numPr>
        <w:pBdr>
          <w:top w:val="nil"/>
          <w:left w:val="nil"/>
          <w:bottom w:val="nil"/>
          <w:right w:val="nil"/>
          <w:between w:val="nil"/>
        </w:pBdr>
        <w:spacing w:before="240"/>
        <w:ind w:left="1134" w:right="900" w:firstLine="0"/>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Los Poderes Públicos del Estado; </w:t>
      </w:r>
    </w:p>
    <w:p w:rsidR="00250C9F" w:rsidRPr="001B22C0" w:rsidRDefault="004E397F">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B22C0">
        <w:rPr>
          <w:rFonts w:ascii="Palatino Linotype" w:eastAsia="Palatino Linotype" w:hAnsi="Palatino Linotype" w:cs="Palatino Linotype"/>
          <w:b/>
          <w:bCs/>
          <w:i/>
          <w:iCs/>
          <w:color w:val="000000"/>
        </w:rPr>
        <w:t xml:space="preserve">II. Los municipios del Estado de México; </w:t>
      </w:r>
    </w:p>
    <w:p w:rsidR="00250C9F" w:rsidRPr="001B22C0" w:rsidRDefault="004E397F">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III. Los organismos autónomos; </w:t>
      </w:r>
    </w:p>
    <w:p w:rsidR="00250C9F" w:rsidRPr="001B22C0" w:rsidRDefault="004E397F">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IV. Los organismos auxiliares; </w:t>
      </w:r>
    </w:p>
    <w:p w:rsidR="00250C9F" w:rsidRPr="001B22C0" w:rsidRDefault="004E397F">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lastRenderedPageBreak/>
        <w:t>V. Los fideicomisos previstos en el artículo 3 fracción XVII del Código Financiero del Estado de México y Municipios, y aquellos que manejen recursos del Estado, Municipios, o en su caso provenientes de la federación;</w:t>
      </w:r>
      <w:r w:rsidRPr="001B22C0">
        <w:rPr>
          <w:rFonts w:ascii="Palatino Linotype" w:eastAsia="Palatino Linotype" w:hAnsi="Palatino Linotype" w:cs="Palatino Linotype"/>
          <w:color w:val="000000"/>
        </w:rPr>
        <w:t xml:space="preserve"> </w:t>
      </w:r>
    </w:p>
    <w:p w:rsidR="00250C9F" w:rsidRPr="001B22C0" w:rsidRDefault="004E397F">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250C9F" w:rsidRPr="001B22C0" w:rsidRDefault="00250C9F">
      <w:pPr>
        <w:spacing w:line="360" w:lineRule="auto"/>
        <w:ind w:right="27"/>
        <w:jc w:val="both"/>
        <w:rPr>
          <w:rFonts w:ascii="Palatino Linotype" w:eastAsia="Palatino Linotype" w:hAnsi="Palatino Linotype" w:cs="Palatino Linotype"/>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Establecido lo anterior, el Órgano Superior de Fiscalización del Estado de México (OSFEM), emite anualmente una herramienta para elaborar y presentar los </w:t>
      </w:r>
      <w:r w:rsidRPr="001B22C0">
        <w:rPr>
          <w:rFonts w:ascii="Palatino Linotype" w:eastAsia="Palatino Linotype" w:hAnsi="Palatino Linotype" w:cs="Palatino Linotype"/>
          <w:b/>
          <w:bCs/>
          <w:color w:val="000000"/>
        </w:rPr>
        <w:t xml:space="preserve">informes trimestrales, </w:t>
      </w:r>
      <w:r w:rsidRPr="001B22C0">
        <w:rPr>
          <w:rFonts w:ascii="Palatino Linotype" w:eastAsia="Palatino Linotype" w:hAnsi="Palatino Linotype" w:cs="Palatino Linotype"/>
          <w:color w:val="000000"/>
        </w:rPr>
        <w:t>denominado “Políticas para la Integración del Informe Trimestral de los Sujetos de Fiscalización Municipales”, cuyo objetivo es establecer las especificaciones necesarias para que las entidades fiscales elaboren y presentes los referidos informes.</w:t>
      </w:r>
    </w:p>
    <w:p w:rsidR="00250C9F" w:rsidRPr="001B22C0" w:rsidRDefault="00250C9F">
      <w:pPr>
        <w:spacing w:line="360" w:lineRule="auto"/>
        <w:jc w:val="both"/>
        <w:rPr>
          <w:rFonts w:ascii="Palatino Linotype" w:eastAsia="Palatino Linotype" w:hAnsi="Palatino Linotype" w:cs="Palatino Linotype"/>
          <w:color w:val="000000"/>
        </w:rPr>
      </w:pPr>
    </w:p>
    <w:p w:rsidR="00250C9F" w:rsidRPr="001B22C0" w:rsidRDefault="004E397F">
      <w:pPr>
        <w:numPr>
          <w:ilvl w:val="0"/>
          <w:numId w:val="4"/>
        </w:numP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Estas políticas </w:t>
      </w:r>
      <w:r w:rsidRPr="001B22C0">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250C9F" w:rsidRPr="001B22C0" w:rsidRDefault="00250C9F">
      <w:pPr>
        <w:spacing w:line="360" w:lineRule="auto"/>
        <w:jc w:val="both"/>
        <w:rPr>
          <w:rFonts w:ascii="Palatino Linotype" w:eastAsia="Palatino Linotype" w:hAnsi="Palatino Linotype" w:cs="Palatino Linotype"/>
          <w:color w:val="000000"/>
        </w:rPr>
      </w:pPr>
    </w:p>
    <w:p w:rsidR="00250C9F" w:rsidRPr="001B22C0" w:rsidRDefault="004E397F">
      <w:pPr>
        <w:numPr>
          <w:ilvl w:val="0"/>
          <w:numId w:val="4"/>
        </w:numP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La </w:t>
      </w:r>
      <w:r w:rsidRPr="001B22C0">
        <w:rPr>
          <w:rFonts w:ascii="Palatino Linotype" w:eastAsia="Palatino Linotype" w:hAnsi="Palatino Linotype" w:cs="Palatino Linotype"/>
        </w:rPr>
        <w:t>integración del I</w:t>
      </w:r>
      <w:r w:rsidRPr="001B22C0">
        <w:rPr>
          <w:rFonts w:ascii="Palatino Linotype" w:eastAsia="Palatino Linotype" w:hAnsi="Palatino Linotype" w:cs="Palatino Linotype"/>
          <w:b/>
          <w:bCs/>
        </w:rPr>
        <w:t>nforme Trimestral se entregará de manera física al Órgano Superior de Fiscalización del Estado de México</w:t>
      </w:r>
      <w:r w:rsidRPr="001B22C0">
        <w:rPr>
          <w:rFonts w:ascii="Palatino Linotype" w:eastAsia="Palatino Linotype" w:hAnsi="Palatino Linotype" w:cs="Palatino Linotype"/>
        </w:rPr>
        <w:t>, y estará compuesto de la siguiente manera:</w:t>
      </w:r>
    </w:p>
    <w:p w:rsidR="00250C9F" w:rsidRPr="001B22C0" w:rsidRDefault="004E397F">
      <w:pPr>
        <w:numPr>
          <w:ilvl w:val="1"/>
          <w:numId w:val="4"/>
        </w:numPr>
        <w:pBdr>
          <w:top w:val="nil"/>
          <w:left w:val="nil"/>
          <w:bottom w:val="nil"/>
          <w:right w:val="nil"/>
          <w:between w:val="nil"/>
        </w:pBdr>
        <w:tabs>
          <w:tab w:val="left" w:pos="426"/>
        </w:tabs>
        <w:spacing w:before="240"/>
        <w:ind w:left="1560" w:right="27"/>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Información impresa; e</w:t>
      </w:r>
    </w:p>
    <w:p w:rsidR="00250C9F" w:rsidRPr="001B22C0" w:rsidRDefault="004E397F">
      <w:pPr>
        <w:numPr>
          <w:ilvl w:val="1"/>
          <w:numId w:val="4"/>
        </w:numPr>
        <w:pBdr>
          <w:top w:val="nil"/>
          <w:left w:val="nil"/>
          <w:bottom w:val="nil"/>
          <w:right w:val="nil"/>
          <w:between w:val="nil"/>
        </w:pBdr>
        <w:tabs>
          <w:tab w:val="left" w:pos="426"/>
        </w:tabs>
        <w:ind w:left="1560" w:right="27"/>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Información en medio de almacenamiento electrónico.</w:t>
      </w:r>
    </w:p>
    <w:p w:rsidR="00250C9F" w:rsidRPr="001B22C0" w:rsidRDefault="00250C9F">
      <w:pPr>
        <w:pBdr>
          <w:top w:val="nil"/>
          <w:left w:val="nil"/>
          <w:bottom w:val="nil"/>
          <w:right w:val="nil"/>
          <w:between w:val="nil"/>
        </w:pBdr>
        <w:tabs>
          <w:tab w:val="left" w:pos="426"/>
        </w:tabs>
        <w:spacing w:line="360" w:lineRule="auto"/>
        <w:ind w:left="1134" w:right="27"/>
        <w:jc w:val="both"/>
        <w:rPr>
          <w:rFonts w:ascii="Palatino Linotype" w:eastAsia="Palatino Linotype" w:hAnsi="Palatino Linotype" w:cs="Palatino Linotype"/>
          <w:i/>
          <w:iCs/>
          <w:color w:val="000000"/>
        </w:rPr>
      </w:pPr>
    </w:p>
    <w:p w:rsidR="00250C9F" w:rsidRPr="001B22C0" w:rsidRDefault="004E397F">
      <w:pPr>
        <w:numPr>
          <w:ilvl w:val="0"/>
          <w:numId w:val="4"/>
        </w:numP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rsidR="00250C9F" w:rsidRPr="001B22C0" w:rsidRDefault="004E397F">
      <w:pPr>
        <w:numPr>
          <w:ilvl w:val="1"/>
          <w:numId w:val="4"/>
        </w:numPr>
        <w:pBdr>
          <w:top w:val="nil"/>
          <w:left w:val="nil"/>
          <w:bottom w:val="nil"/>
          <w:right w:val="nil"/>
          <w:between w:val="nil"/>
        </w:pBdr>
        <w:tabs>
          <w:tab w:val="left" w:pos="426"/>
        </w:tabs>
        <w:spacing w:before="240"/>
        <w:ind w:left="1560" w:right="27"/>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lastRenderedPageBreak/>
        <w:t>Módulo 1: Información contable y financiera;</w:t>
      </w:r>
    </w:p>
    <w:p w:rsidR="00250C9F" w:rsidRPr="001B22C0" w:rsidRDefault="004E397F">
      <w:pPr>
        <w:numPr>
          <w:ilvl w:val="1"/>
          <w:numId w:val="4"/>
        </w:numPr>
        <w:pBdr>
          <w:top w:val="nil"/>
          <w:left w:val="nil"/>
          <w:bottom w:val="nil"/>
          <w:right w:val="nil"/>
          <w:between w:val="nil"/>
        </w:pBdr>
        <w:tabs>
          <w:tab w:val="left" w:pos="426"/>
        </w:tabs>
        <w:ind w:left="1560" w:right="27"/>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Módulo 2: Información presupuestaria;</w:t>
      </w:r>
    </w:p>
    <w:p w:rsidR="00250C9F" w:rsidRPr="001B22C0" w:rsidRDefault="004E397F">
      <w:pPr>
        <w:numPr>
          <w:ilvl w:val="1"/>
          <w:numId w:val="4"/>
        </w:numPr>
        <w:pBdr>
          <w:top w:val="nil"/>
          <w:left w:val="nil"/>
          <w:bottom w:val="nil"/>
          <w:right w:val="nil"/>
          <w:between w:val="nil"/>
        </w:pBdr>
        <w:tabs>
          <w:tab w:val="left" w:pos="426"/>
        </w:tabs>
        <w:ind w:left="1560" w:right="27"/>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Módulo 3: Información programática; y</w:t>
      </w:r>
    </w:p>
    <w:p w:rsidR="00250C9F" w:rsidRPr="001B22C0" w:rsidRDefault="004E397F">
      <w:pPr>
        <w:numPr>
          <w:ilvl w:val="1"/>
          <w:numId w:val="4"/>
        </w:numPr>
        <w:pBdr>
          <w:top w:val="nil"/>
          <w:left w:val="nil"/>
          <w:bottom w:val="nil"/>
          <w:right w:val="nil"/>
          <w:between w:val="nil"/>
        </w:pBdr>
        <w:tabs>
          <w:tab w:val="left" w:pos="426"/>
        </w:tabs>
        <w:ind w:left="1560" w:right="27"/>
        <w:jc w:val="both"/>
        <w:rPr>
          <w:rFonts w:ascii="Palatino Linotype" w:eastAsia="Palatino Linotype" w:hAnsi="Palatino Linotype" w:cs="Palatino Linotype"/>
          <w:b/>
          <w:bCs/>
          <w:i/>
          <w:iCs/>
          <w:color w:val="000000"/>
        </w:rPr>
      </w:pPr>
      <w:r w:rsidRPr="001B22C0">
        <w:rPr>
          <w:rFonts w:ascii="Palatino Linotype" w:eastAsia="Palatino Linotype" w:hAnsi="Palatino Linotype" w:cs="Palatino Linotype"/>
          <w:b/>
          <w:bCs/>
          <w:i/>
          <w:iCs/>
          <w:color w:val="000000"/>
        </w:rPr>
        <w:t>Módulo 4: Información administrativa.</w:t>
      </w:r>
    </w:p>
    <w:p w:rsidR="00250C9F" w:rsidRPr="001B22C0" w:rsidRDefault="00250C9F">
      <w:pPr>
        <w:pBdr>
          <w:top w:val="nil"/>
          <w:left w:val="nil"/>
          <w:bottom w:val="nil"/>
          <w:right w:val="nil"/>
          <w:between w:val="nil"/>
        </w:pBdr>
        <w:tabs>
          <w:tab w:val="left" w:pos="426"/>
        </w:tabs>
        <w:spacing w:line="360" w:lineRule="auto"/>
        <w:ind w:left="1134" w:right="27"/>
        <w:jc w:val="both"/>
        <w:rPr>
          <w:rFonts w:ascii="Palatino Linotype" w:eastAsia="Palatino Linotype" w:hAnsi="Palatino Linotype" w:cs="Palatino Linotype"/>
          <w:b/>
          <w:bCs/>
          <w:i/>
          <w:iCs/>
          <w:color w:val="000000"/>
        </w:rPr>
      </w:pPr>
    </w:p>
    <w:p w:rsidR="00250C9F" w:rsidRPr="001B22C0" w:rsidRDefault="004E397F">
      <w:pPr>
        <w:numPr>
          <w:ilvl w:val="0"/>
          <w:numId w:val="4"/>
        </w:numP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1B22C0">
        <w:rPr>
          <w:rFonts w:ascii="Palatino Linotype" w:eastAsia="Palatino Linotype" w:hAnsi="Palatino Linotype" w:cs="Palatino Linotype"/>
          <w:b/>
          <w:bCs/>
        </w:rPr>
        <w:t>“Políticas para la Integración del Informe Trimestral de los Sujetos de Fiscalización Municipales”</w:t>
      </w:r>
      <w:r w:rsidRPr="001B22C0">
        <w:rPr>
          <w:rFonts w:ascii="Palatino Linotype" w:eastAsia="Palatino Linotype" w:hAnsi="Palatino Linotype" w:cs="Palatino Linotype"/>
        </w:rPr>
        <w:t>, se compondrá de los siguientes documentos:</w:t>
      </w:r>
    </w:p>
    <w:p w:rsidR="00250C9F" w:rsidRPr="001B22C0" w:rsidRDefault="00250C9F">
      <w:pPr>
        <w:spacing w:line="360" w:lineRule="auto"/>
        <w:ind w:right="27"/>
        <w:jc w:val="both"/>
        <w:rPr>
          <w:rFonts w:ascii="Palatino Linotype" w:eastAsia="Palatino Linotype" w:hAnsi="Palatino Linotype" w:cs="Palatino Linotype"/>
          <w:color w:val="000000"/>
          <w:highlight w:val="cyan"/>
        </w:rPr>
      </w:pPr>
    </w:p>
    <w:p w:rsidR="00250C9F" w:rsidRPr="001B22C0" w:rsidRDefault="004E397F">
      <w:pPr>
        <w:pBdr>
          <w:top w:val="nil"/>
          <w:left w:val="nil"/>
          <w:bottom w:val="nil"/>
          <w:right w:val="nil"/>
          <w:between w:val="nil"/>
        </w:pBdr>
        <w:tabs>
          <w:tab w:val="left" w:pos="426"/>
        </w:tabs>
        <w:spacing w:line="360" w:lineRule="auto"/>
        <w:ind w:right="27"/>
        <w:jc w:val="center"/>
        <w:rPr>
          <w:rFonts w:ascii="Palatino Linotype" w:eastAsia="Palatino Linotype" w:hAnsi="Palatino Linotype" w:cs="Palatino Linotype"/>
          <w:color w:val="000000"/>
          <w:highlight w:val="cyan"/>
        </w:rPr>
      </w:pPr>
      <w:r w:rsidRPr="001B22C0">
        <w:rPr>
          <w:rFonts w:ascii="Palatino Linotype" w:eastAsia="Palatino Linotype" w:hAnsi="Palatino Linotype" w:cs="Palatino Linotype"/>
          <w:noProof/>
          <w:color w:val="000000"/>
          <w:highlight w:val="cyan"/>
        </w:rPr>
        <w:drawing>
          <wp:inline distT="0" distB="0" distL="114300" distR="114300">
            <wp:extent cx="3029585" cy="240919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29585" cy="2409190"/>
                    </a:xfrm>
                    <a:prstGeom prst="rect">
                      <a:avLst/>
                    </a:prstGeom>
                    <a:ln/>
                  </pic:spPr>
                </pic:pic>
              </a:graphicData>
            </a:graphic>
          </wp:inline>
        </w:drawing>
      </w:r>
    </w:p>
    <w:p w:rsidR="00250C9F" w:rsidRPr="001B22C0" w:rsidRDefault="00250C9F">
      <w:pPr>
        <w:pBdr>
          <w:top w:val="nil"/>
          <w:left w:val="nil"/>
          <w:bottom w:val="nil"/>
          <w:right w:val="nil"/>
          <w:between w:val="nil"/>
        </w:pBdr>
        <w:tabs>
          <w:tab w:val="left" w:pos="426"/>
        </w:tabs>
        <w:spacing w:line="360" w:lineRule="auto"/>
        <w:ind w:right="27"/>
        <w:jc w:val="center"/>
        <w:rPr>
          <w:rFonts w:ascii="Palatino Linotype" w:eastAsia="Palatino Linotype" w:hAnsi="Palatino Linotype" w:cs="Palatino Linotype"/>
          <w:color w:val="000000"/>
        </w:rPr>
      </w:pPr>
    </w:p>
    <w:p w:rsidR="00250C9F" w:rsidRPr="001B22C0" w:rsidRDefault="004E397F">
      <w:pPr>
        <w:numPr>
          <w:ilvl w:val="0"/>
          <w:numId w:val="4"/>
        </w:numP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En lo que corresponde al Submódulo de </w:t>
      </w:r>
      <w:r w:rsidRPr="001B22C0">
        <w:rPr>
          <w:rFonts w:ascii="Palatino Linotype" w:eastAsia="Palatino Linotype" w:hAnsi="Palatino Linotype" w:cs="Palatino Linotype"/>
          <w:b/>
          <w:bCs/>
          <w:color w:val="000000"/>
        </w:rPr>
        <w:t>‘Nómina y Comprobantes Fiscales’,</w:t>
      </w:r>
      <w:r w:rsidRPr="001B22C0">
        <w:rPr>
          <w:rFonts w:ascii="Palatino Linotype" w:eastAsia="Palatino Linotype" w:hAnsi="Palatino Linotype" w:cs="Palatino Linotype"/>
          <w:color w:val="000000"/>
        </w:rPr>
        <w:t xml:space="preserve"> se advierte que el </w:t>
      </w:r>
      <w:r w:rsidRPr="001B22C0">
        <w:rPr>
          <w:rFonts w:ascii="Palatino Linotype" w:eastAsia="Palatino Linotype" w:hAnsi="Palatino Linotype" w:cs="Palatino Linotype"/>
          <w:b/>
          <w:bCs/>
          <w:color w:val="000000"/>
        </w:rPr>
        <w:t>SUJETO OBLIGADO,</w:t>
      </w:r>
      <w:r w:rsidRPr="001B22C0">
        <w:rPr>
          <w:rFonts w:ascii="Palatino Linotype" w:eastAsia="Palatino Linotype" w:hAnsi="Palatino Linotype" w:cs="Palatino Linotype"/>
          <w:color w:val="000000"/>
        </w:rPr>
        <w:t xml:space="preserve"> deberá integrar, en formato </w:t>
      </w:r>
      <w:r w:rsidRPr="001B22C0">
        <w:rPr>
          <w:rFonts w:ascii="Palatino Linotype" w:eastAsia="Palatino Linotype" w:hAnsi="Palatino Linotype" w:cs="Palatino Linotype"/>
          <w:i/>
          <w:iCs/>
          <w:color w:val="000000"/>
        </w:rPr>
        <w:t>.pdf</w:t>
      </w:r>
      <w:r w:rsidRPr="001B22C0">
        <w:rPr>
          <w:rFonts w:ascii="Palatino Linotype" w:eastAsia="Palatino Linotype" w:hAnsi="Palatino Linotype" w:cs="Palatino Linotype"/>
          <w:color w:val="000000"/>
        </w:rPr>
        <w:t xml:space="preserve">, y de forma quincenal, el documento titulado </w:t>
      </w:r>
      <w:r w:rsidRPr="001B22C0">
        <w:rPr>
          <w:rFonts w:ascii="Palatino Linotype" w:eastAsia="Palatino Linotype" w:hAnsi="Palatino Linotype" w:cs="Palatino Linotype"/>
          <w:b/>
          <w:bCs/>
          <w:color w:val="000000"/>
        </w:rPr>
        <w:t>Conciliación de Nómina Mensual</w:t>
      </w:r>
      <w:r w:rsidRPr="001B22C0">
        <w:rPr>
          <w:rFonts w:ascii="Palatino Linotype" w:eastAsia="Palatino Linotype" w:hAnsi="Palatino Linotype" w:cs="Palatino Linotype"/>
          <w:color w:val="000000"/>
        </w:rPr>
        <w:t>; tal como lo establece el mapa de integración del Submódulo en comento:</w:t>
      </w:r>
    </w:p>
    <w:p w:rsidR="00250C9F" w:rsidRPr="001B22C0" w:rsidRDefault="00250C9F">
      <w:pPr>
        <w:pBdr>
          <w:top w:val="nil"/>
          <w:left w:val="nil"/>
          <w:bottom w:val="nil"/>
          <w:right w:val="nil"/>
          <w:between w:val="nil"/>
        </w:pBdr>
        <w:tabs>
          <w:tab w:val="left" w:pos="426"/>
        </w:tabs>
        <w:spacing w:before="240" w:line="360" w:lineRule="auto"/>
        <w:ind w:right="-801"/>
        <w:jc w:val="both"/>
        <w:rPr>
          <w:rFonts w:ascii="Palatino Linotype" w:eastAsia="Palatino Linotype" w:hAnsi="Palatino Linotype" w:cs="Palatino Linotype"/>
          <w:color w:val="000000"/>
          <w:highlight w:val="cyan"/>
        </w:rPr>
      </w:pPr>
    </w:p>
    <w:p w:rsidR="00250C9F" w:rsidRPr="001B22C0" w:rsidRDefault="001B22C0">
      <w:pPr>
        <w:pBdr>
          <w:top w:val="nil"/>
          <w:left w:val="nil"/>
          <w:bottom w:val="nil"/>
          <w:right w:val="nil"/>
          <w:between w:val="nil"/>
        </w:pBdr>
        <w:tabs>
          <w:tab w:val="left" w:pos="426"/>
        </w:tabs>
        <w:spacing w:line="360" w:lineRule="auto"/>
        <w:ind w:right="27"/>
        <w:jc w:val="center"/>
        <w:rPr>
          <w:rFonts w:ascii="Palatino Linotype" w:eastAsia="Palatino Linotype" w:hAnsi="Palatino Linotype" w:cs="Palatino Linotype"/>
          <w:color w:val="000000"/>
          <w:highlight w:val="cyan"/>
        </w:rPr>
      </w:pPr>
      <w:r w:rsidRPr="001B22C0">
        <w:rPr>
          <w:noProof/>
        </w:rPr>
        <w:lastRenderedPageBreak/>
        <mc:AlternateContent>
          <mc:Choice Requires="wps">
            <w:drawing>
              <wp:anchor distT="0" distB="0" distL="114300" distR="114300" simplePos="0" relativeHeight="251658240" behindDoc="0" locked="0" layoutInCell="1" hidden="0" allowOverlap="1">
                <wp:simplePos x="0" y="0"/>
                <wp:positionH relativeFrom="column">
                  <wp:posOffset>1101186</wp:posOffset>
                </wp:positionH>
                <wp:positionV relativeFrom="paragraph">
                  <wp:posOffset>506682</wp:posOffset>
                </wp:positionV>
                <wp:extent cx="4508500" cy="273050"/>
                <wp:effectExtent l="0" t="0" r="0" b="0"/>
                <wp:wrapNone/>
                <wp:docPr id="1" name="Rectángulo 1"/>
                <wp:cNvGraphicFramePr/>
                <a:graphic xmlns:a="http://schemas.openxmlformats.org/drawingml/2006/main">
                  <a:graphicData uri="http://schemas.microsoft.com/office/word/2010/wordprocessingShape">
                    <wps:wsp>
                      <wps:cNvSpPr/>
                      <wps:spPr>
                        <a:xfrm>
                          <a:off x="0" y="0"/>
                          <a:ext cx="4508500" cy="273050"/>
                        </a:xfrm>
                        <a:prstGeom prst="rect">
                          <a:avLst/>
                        </a:prstGeom>
                        <a:noFill/>
                        <a:ln w="19050" cap="flat" cmpd="sng">
                          <a:solidFill>
                            <a:srgbClr val="FF0000"/>
                          </a:solidFill>
                          <a:prstDash val="solid"/>
                          <a:miter lim="800000"/>
                          <a:headEnd type="none" w="sm" len="sm"/>
                          <a:tailEnd type="none" w="sm" len="sm"/>
                        </a:ln>
                      </wps:spPr>
                      <wps:txbx>
                        <w:txbxContent>
                          <w:p w:rsidR="00250C9F" w:rsidRDefault="00250C9F">
                            <w:pPr>
                              <w:textDirection w:val="btLr"/>
                            </w:pPr>
                          </w:p>
                        </w:txbxContent>
                      </wps:txbx>
                      <wps:bodyPr spcFirstLastPara="1" wrap="square" lIns="91425" tIns="91425" rIns="91425" bIns="91425" anchor="ctr" anchorCtr="0">
                        <a:noAutofit/>
                      </wps:bodyPr>
                    </wps:wsp>
                  </a:graphicData>
                </a:graphic>
              </wp:anchor>
            </w:drawing>
          </mc:Choice>
          <mc:Fallback>
            <w:pict>
              <v:rect id="Rectángulo 1" o:spid="_x0000_s1026" style="position:absolute;left:0;text-align:left;margin-left:86.7pt;margin-top:39.9pt;width:355pt;height:2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s8JwIAAEEEAAAOAAAAZHJzL2Uyb0RvYy54bWysU12O0zAQfkfiDpbf2aRlC92q6QptKUJa&#10;QcXCAaaOk1jyHx63SY/DWbgYY6e0BR6QEH1wZ+LxzDfffLO8H4xmBxlQOVvxyU3JmbTC1cq2Ff/y&#10;efNizhlGsDVoZ2XFjxL5/er5s2XvF3LqOqdrGRglsbjofcW7GP2iKFB00gDeOC8tXTYuGIjkhrao&#10;A/SU3ehiWpavit6F2gcnJCJ9XY+XfJXzN40U8WPToIxMV5ywxXyGfO7SWayWsGgD+E6JEwz4BxQG&#10;lKWi51RriMD2Qf2RyigRHLom3ghnCtc0SsjcA3UzKX/r5qkDL3MvRA76M034/9KKD4dtYKqm2XFm&#10;wdCIPhFp37/Zdq8dmySCeo8Linvy23DykMzU7dAEk/6pDzZkUo9nUuUQmaCPt7NyPiuJe0F309cv&#10;y1lmvbi89gHjO+kMS0bFA9XPXMLhESNVpNCfIamYdRuldR6ctqwn5HcpJxNA+mk0RDKNp47QtjkP&#10;Oq3q9Ca9xtDuHnRgByBFbDYl/VKPVOOXsFRwDdiNcflq1IpRkQSrlan4PD0+SaiTUL+1NYtHTxRa&#10;0jpP0NBwpiVtBhkZcQSl/x5HaLQlUIn5ketkxWE3UJJk7lx9pLmhFxtFSB8B4xYCKZem2JOaqeDX&#10;PQQCod9bksvd5HY6I/lfO+Ha2V07YEXnaElEDJyNzkPMSzPy/2YfXaPyaC5gTnBJp5nN006lRbj2&#10;c9Rl81c/AAAA//8DAFBLAwQUAAYACAAAACEALvIxqN4AAAAKAQAADwAAAGRycy9kb3ducmV2Lnht&#10;bEyPwU7DMBBE70j8g7VI3KhDQts0xKkQEpUQpzaIsxO7cai9jmI3DX/P9gTH2RnNvim3s7Ns0mPo&#10;PQp4XCTANLZe9dgJ+KzfHnJgIUpU0nrUAn50gG11e1PKQvkL7vV0iB2jEgyFFGBiHArOQ2u0k2Hh&#10;B43kHf3oZCQ5dlyN8kLlzvI0SVbcyR7pg5GDfjW6PR3OTsC077/s7t18qzqL9XK3apan7EOI+7v5&#10;5RlY1HP8C8MVn9ChIqbGn1EFZkmvsyeKClhvaAIF8vx6aMhJ0xx4VfL/E6pfAAAA//8DAFBLAQIt&#10;ABQABgAIAAAAIQC2gziS/gAAAOEBAAATAAAAAAAAAAAAAAAAAAAAAABbQ29udGVudF9UeXBlc10u&#10;eG1sUEsBAi0AFAAGAAgAAAAhADj9If/WAAAAlAEAAAsAAAAAAAAAAAAAAAAALwEAAF9yZWxzLy5y&#10;ZWxzUEsBAi0AFAAGAAgAAAAhAEBV6zwnAgAAQQQAAA4AAAAAAAAAAAAAAAAALgIAAGRycy9lMm9E&#10;b2MueG1sUEsBAi0AFAAGAAgAAAAhAC7yMajeAAAACgEAAA8AAAAAAAAAAAAAAAAAgQQAAGRycy9k&#10;b3ducmV2LnhtbFBLBQYAAAAABAAEAPMAAACMBQAAAAA=&#10;" filled="f" strokecolor="red" strokeweight="1.5pt">
                <v:stroke startarrowwidth="narrow" startarrowlength="short" endarrowwidth="narrow" endarrowlength="short"/>
                <v:textbox inset="2.53958mm,2.53958mm,2.53958mm,2.53958mm">
                  <w:txbxContent>
                    <w:p w:rsidR="00250C9F" w:rsidRDefault="00250C9F">
                      <w:pPr>
                        <w:textDirection w:val="btLr"/>
                      </w:pPr>
                    </w:p>
                  </w:txbxContent>
                </v:textbox>
              </v:rect>
            </w:pict>
          </mc:Fallback>
        </mc:AlternateContent>
      </w:r>
      <w:r w:rsidR="004E397F" w:rsidRPr="001B22C0">
        <w:rPr>
          <w:rFonts w:ascii="Palatino Linotype" w:eastAsia="Palatino Linotype" w:hAnsi="Palatino Linotype" w:cs="Palatino Linotype"/>
          <w:noProof/>
          <w:color w:val="000000"/>
          <w:highlight w:val="cyan"/>
        </w:rPr>
        <w:drawing>
          <wp:inline distT="0" distB="0" distL="114300" distR="114300">
            <wp:extent cx="4858385" cy="139954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858385" cy="1399540"/>
                    </a:xfrm>
                    <a:prstGeom prst="rect">
                      <a:avLst/>
                    </a:prstGeom>
                    <a:ln/>
                  </pic:spPr>
                </pic:pic>
              </a:graphicData>
            </a:graphic>
          </wp:inline>
        </w:drawing>
      </w:r>
    </w:p>
    <w:p w:rsidR="00250C9F" w:rsidRPr="001B22C0" w:rsidRDefault="004E397F">
      <w:pPr>
        <w:numPr>
          <w:ilvl w:val="0"/>
          <w:numId w:val="4"/>
        </w:numP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Al respecto, conviene referir que la </w:t>
      </w:r>
      <w:r w:rsidRPr="001B22C0">
        <w:rPr>
          <w:rFonts w:ascii="Palatino Linotype" w:eastAsia="Palatino Linotype" w:hAnsi="Palatino Linotype" w:cs="Palatino Linotype"/>
          <w:b/>
          <w:bCs/>
          <w:color w:val="000000"/>
        </w:rPr>
        <w:t>Conciliación de Nómina Mensual</w:t>
      </w:r>
      <w:r w:rsidRPr="001B22C0">
        <w:rPr>
          <w:rFonts w:ascii="Palatino Linotype" w:eastAsia="Palatino Linotype" w:hAnsi="Palatino Linotype" w:cs="Palatino Linotype"/>
          <w:color w:val="000000"/>
        </w:rPr>
        <w:t xml:space="preserve"> es un documento en el que se detalla, entre otros, </w:t>
      </w:r>
      <w:r w:rsidRPr="001B22C0">
        <w:rPr>
          <w:rFonts w:ascii="Palatino Linotype" w:eastAsia="Palatino Linotype" w:hAnsi="Palatino Linotype" w:cs="Palatino Linotype"/>
          <w:b/>
          <w:bCs/>
          <w:color w:val="000000"/>
        </w:rPr>
        <w:t>el nombre, puesto funcional, área de adscripción, categoría, así como todas las percepciones brutas y netas  y deducciones que recibe cada servidor público que labora en la entidad</w:t>
      </w:r>
      <w:r w:rsidRPr="001B22C0">
        <w:rPr>
          <w:rFonts w:ascii="Palatino Linotype" w:eastAsia="Palatino Linotype" w:hAnsi="Palatino Linotype" w:cs="Palatino Linotype"/>
          <w:b/>
          <w:bCs/>
          <w:color w:val="000000"/>
          <w:vertAlign w:val="superscript"/>
        </w:rPr>
        <w:footnoteReference w:id="7"/>
      </w:r>
      <w:r w:rsidRPr="001B22C0">
        <w:rPr>
          <w:rFonts w:ascii="Palatino Linotype" w:eastAsia="Palatino Linotype" w:hAnsi="Palatino Linotype" w:cs="Palatino Linotype"/>
          <w:color w:val="000000"/>
        </w:rPr>
        <w:t xml:space="preserve">. </w:t>
      </w:r>
    </w:p>
    <w:p w:rsidR="00250C9F" w:rsidRPr="001B22C0" w:rsidRDefault="00250C9F">
      <w:pPr>
        <w:spacing w:line="360" w:lineRule="auto"/>
        <w:jc w:val="both"/>
        <w:rPr>
          <w:rFonts w:ascii="Palatino Linotype" w:eastAsia="Palatino Linotype" w:hAnsi="Palatino Linotype" w:cs="Palatino Linotype"/>
          <w:color w:val="000000"/>
        </w:rPr>
      </w:pPr>
    </w:p>
    <w:p w:rsidR="00250C9F" w:rsidRPr="001B22C0" w:rsidRDefault="004E397F">
      <w:pPr>
        <w:numPr>
          <w:ilvl w:val="0"/>
          <w:numId w:val="4"/>
        </w:numP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 xml:space="preserve">Aunado a </w:t>
      </w:r>
      <w:r w:rsidRPr="001B22C0">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250C9F" w:rsidRPr="001B22C0" w:rsidRDefault="00250C9F">
      <w:pPr>
        <w:pBdr>
          <w:top w:val="nil"/>
          <w:left w:val="nil"/>
          <w:bottom w:val="nil"/>
          <w:right w:val="nil"/>
          <w:between w:val="nil"/>
        </w:pBdr>
        <w:tabs>
          <w:tab w:val="left" w:pos="426"/>
        </w:tabs>
        <w:spacing w:before="240" w:line="360" w:lineRule="auto"/>
        <w:ind w:right="27"/>
        <w:jc w:val="both"/>
        <w:rPr>
          <w:rFonts w:ascii="Palatino Linotype" w:eastAsia="Palatino Linotype" w:hAnsi="Palatino Linotype" w:cs="Palatino Linotype"/>
          <w:color w:val="000000"/>
          <w:highlight w:val="cyan"/>
        </w:rPr>
      </w:pPr>
    </w:p>
    <w:p w:rsidR="00250C9F" w:rsidRPr="001B22C0" w:rsidRDefault="004E397F">
      <w:pPr>
        <w:pBdr>
          <w:top w:val="nil"/>
          <w:left w:val="nil"/>
          <w:bottom w:val="nil"/>
          <w:right w:val="nil"/>
          <w:between w:val="nil"/>
        </w:pBdr>
        <w:tabs>
          <w:tab w:val="left" w:pos="426"/>
        </w:tabs>
        <w:spacing w:line="360" w:lineRule="auto"/>
        <w:ind w:right="27"/>
        <w:jc w:val="center"/>
        <w:rPr>
          <w:rFonts w:ascii="Palatino Linotype" w:eastAsia="Palatino Linotype" w:hAnsi="Palatino Linotype" w:cs="Palatino Linotype"/>
          <w:color w:val="000000"/>
          <w:highlight w:val="cyan"/>
        </w:rPr>
      </w:pPr>
      <w:r w:rsidRPr="001B22C0">
        <w:rPr>
          <w:rFonts w:ascii="Palatino Linotype" w:eastAsia="Palatino Linotype" w:hAnsi="Palatino Linotype" w:cs="Palatino Linotype"/>
          <w:noProof/>
          <w:color w:val="000000"/>
          <w:highlight w:val="cyan"/>
        </w:rPr>
        <w:lastRenderedPageBreak/>
        <w:drawing>
          <wp:inline distT="0" distB="0" distL="114300" distR="114300">
            <wp:extent cx="5534025" cy="314071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534025" cy="3140710"/>
                    </a:xfrm>
                    <a:prstGeom prst="rect">
                      <a:avLst/>
                    </a:prstGeom>
                    <a:ln/>
                  </pic:spPr>
                </pic:pic>
              </a:graphicData>
            </a:graphic>
          </wp:inline>
        </w:drawing>
      </w:r>
      <w:r w:rsidRPr="001B22C0">
        <w:rPr>
          <w:noProof/>
        </w:rPr>
        <mc:AlternateContent>
          <mc:Choice Requires="wpg">
            <w:drawing>
              <wp:anchor distT="0" distB="0" distL="114300" distR="114300" simplePos="0" relativeHeight="251659264" behindDoc="0" locked="0" layoutInCell="1" hidden="0" allowOverlap="1">
                <wp:simplePos x="0" y="0"/>
                <wp:positionH relativeFrom="column">
                  <wp:posOffset>3502025</wp:posOffset>
                </wp:positionH>
                <wp:positionV relativeFrom="paragraph">
                  <wp:posOffset>428626</wp:posOffset>
                </wp:positionV>
                <wp:extent cx="585275" cy="1487267"/>
                <wp:effectExtent l="0" t="0" r="0" b="0"/>
                <wp:wrapNone/>
                <wp:docPr id="2" name="Rectángulo 2"/>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250C9F" w:rsidRDefault="00250C9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3502025</wp:posOffset>
                </wp:positionH>
                <wp:positionV relativeFrom="paragraph">
                  <wp:posOffset>428626</wp:posOffset>
                </wp:positionV>
                <wp:extent cx="585275" cy="1487267"/>
                <wp:effectExtent b="0" l="0" r="0" t="0"/>
                <wp:wrapNone/>
                <wp:docPr id="2"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585275" cy="1487267"/>
                        </a:xfrm>
                        <a:prstGeom prst="rect"/>
                        <a:ln/>
                      </pic:spPr>
                    </pic:pic>
                  </a:graphicData>
                </a:graphic>
              </wp:anchor>
            </w:drawing>
          </mc:Fallback>
        </mc:AlternateContent>
      </w:r>
      <w:r w:rsidRPr="001B22C0">
        <w:rPr>
          <w:noProof/>
        </w:rPr>
        <mc:AlternateContent>
          <mc:Choice Requires="wpg">
            <w:drawing>
              <wp:anchor distT="0" distB="0" distL="114300" distR="114300" simplePos="0" relativeHeight="251660288" behindDoc="0" locked="0" layoutInCell="1" hidden="0" allowOverlap="1">
                <wp:simplePos x="0" y="0"/>
                <wp:positionH relativeFrom="column">
                  <wp:posOffset>2549526</wp:posOffset>
                </wp:positionH>
                <wp:positionV relativeFrom="paragraph">
                  <wp:posOffset>403226</wp:posOffset>
                </wp:positionV>
                <wp:extent cx="465430" cy="1487267"/>
                <wp:effectExtent l="0" t="0" r="0" b="0"/>
                <wp:wrapNone/>
                <wp:docPr id="3" name="Rectángulo 3"/>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250C9F" w:rsidRDefault="00250C9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2549526</wp:posOffset>
                </wp:positionH>
                <wp:positionV relativeFrom="paragraph">
                  <wp:posOffset>403226</wp:posOffset>
                </wp:positionV>
                <wp:extent cx="465430" cy="1487267"/>
                <wp:effectExtent b="0" l="0" r="0" t="0"/>
                <wp:wrapNone/>
                <wp:docPr id="3"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465430" cy="1487267"/>
                        </a:xfrm>
                        <a:prstGeom prst="rect"/>
                        <a:ln/>
                      </pic:spPr>
                    </pic:pic>
                  </a:graphicData>
                </a:graphic>
              </wp:anchor>
            </w:drawing>
          </mc:Fallback>
        </mc:AlternateContent>
      </w:r>
    </w:p>
    <w:p w:rsidR="00250C9F" w:rsidRPr="001B22C0" w:rsidRDefault="004E397F">
      <w:pPr>
        <w:pBdr>
          <w:top w:val="nil"/>
          <w:left w:val="nil"/>
          <w:bottom w:val="nil"/>
          <w:right w:val="nil"/>
          <w:between w:val="nil"/>
        </w:pBdr>
        <w:tabs>
          <w:tab w:val="left" w:pos="426"/>
        </w:tabs>
        <w:spacing w:line="360" w:lineRule="auto"/>
        <w:ind w:right="27"/>
        <w:jc w:val="center"/>
        <w:rPr>
          <w:rFonts w:ascii="Palatino Linotype" w:eastAsia="Palatino Linotype" w:hAnsi="Palatino Linotype" w:cs="Palatino Linotype"/>
          <w:color w:val="000000"/>
          <w:highlight w:val="cyan"/>
        </w:rPr>
      </w:pPr>
      <w:r w:rsidRPr="001B22C0">
        <w:rPr>
          <w:rFonts w:ascii="Palatino Linotype" w:eastAsia="Palatino Linotype" w:hAnsi="Palatino Linotype" w:cs="Palatino Linotype"/>
          <w:noProof/>
          <w:color w:val="000000"/>
          <w:highlight w:val="cyan"/>
        </w:rPr>
        <w:drawing>
          <wp:inline distT="0" distB="0" distL="114300" distR="114300">
            <wp:extent cx="4866005" cy="285432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866005" cy="2854325"/>
                    </a:xfrm>
                    <a:prstGeom prst="rect">
                      <a:avLst/>
                    </a:prstGeom>
                    <a:ln/>
                  </pic:spPr>
                </pic:pic>
              </a:graphicData>
            </a:graphic>
          </wp:inline>
        </w:drawing>
      </w:r>
    </w:p>
    <w:p w:rsidR="00250C9F" w:rsidRPr="001B22C0" w:rsidRDefault="004E397F">
      <w:pPr>
        <w:pBdr>
          <w:top w:val="nil"/>
          <w:left w:val="nil"/>
          <w:bottom w:val="nil"/>
          <w:right w:val="nil"/>
          <w:between w:val="nil"/>
        </w:pBdr>
        <w:tabs>
          <w:tab w:val="left" w:pos="426"/>
        </w:tabs>
        <w:spacing w:line="360" w:lineRule="auto"/>
        <w:ind w:right="27"/>
        <w:jc w:val="center"/>
        <w:rPr>
          <w:rFonts w:ascii="Palatino Linotype" w:eastAsia="Palatino Linotype" w:hAnsi="Palatino Linotype" w:cs="Palatino Linotype"/>
          <w:color w:val="000000"/>
          <w:highlight w:val="cyan"/>
        </w:rPr>
      </w:pPr>
      <w:r w:rsidRPr="001B22C0">
        <w:rPr>
          <w:rFonts w:ascii="Palatino Linotype" w:eastAsia="Palatino Linotype" w:hAnsi="Palatino Linotype" w:cs="Palatino Linotype"/>
          <w:noProof/>
          <w:color w:val="000000"/>
          <w:highlight w:val="cyan"/>
        </w:rPr>
        <w:lastRenderedPageBreak/>
        <w:drawing>
          <wp:inline distT="0" distB="0" distL="114300" distR="114300">
            <wp:extent cx="4874260" cy="152654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874260" cy="1526540"/>
                    </a:xfrm>
                    <a:prstGeom prst="rect">
                      <a:avLst/>
                    </a:prstGeom>
                    <a:ln/>
                  </pic:spPr>
                </pic:pic>
              </a:graphicData>
            </a:graphic>
          </wp:inline>
        </w:drawing>
      </w:r>
    </w:p>
    <w:p w:rsidR="00250C9F" w:rsidRPr="001B22C0" w:rsidRDefault="00250C9F">
      <w:pPr>
        <w:pBdr>
          <w:top w:val="nil"/>
          <w:left w:val="nil"/>
          <w:bottom w:val="nil"/>
          <w:right w:val="nil"/>
          <w:between w:val="nil"/>
        </w:pBdr>
        <w:tabs>
          <w:tab w:val="left" w:pos="426"/>
        </w:tabs>
        <w:spacing w:line="360" w:lineRule="auto"/>
        <w:ind w:right="27"/>
        <w:jc w:val="center"/>
        <w:rPr>
          <w:rFonts w:ascii="Palatino Linotype" w:eastAsia="Palatino Linotype" w:hAnsi="Palatino Linotype" w:cs="Palatino Linotype"/>
          <w:color w:val="000000"/>
          <w:highlight w:val="cyan"/>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De las imágenes anteriores, podemos identificar a la </w:t>
      </w:r>
      <w:r w:rsidRPr="001B22C0">
        <w:rPr>
          <w:rFonts w:ascii="Palatino Linotype" w:eastAsia="Palatino Linotype" w:hAnsi="Palatino Linotype" w:cs="Palatino Linotype"/>
          <w:b/>
          <w:bCs/>
          <w:color w:val="000000"/>
        </w:rPr>
        <w:t>Conciliación de Nómina Mensual</w:t>
      </w:r>
      <w:r w:rsidRPr="001B22C0">
        <w:rPr>
          <w:rFonts w:ascii="Palatino Linotype" w:eastAsia="Palatino Linotype" w:hAnsi="Palatino Linotype" w:cs="Palatino Linotype"/>
          <w:color w:val="000000"/>
        </w:rPr>
        <w:t xml:space="preserve"> como el documento que puede satisfacer los requerimientos del Particular, pues como se ha analizado en párrafos previos, </w:t>
      </w:r>
      <w:r w:rsidRPr="001B22C0">
        <w:rPr>
          <w:rFonts w:ascii="Palatino Linotype" w:eastAsia="Palatino Linotype" w:hAnsi="Palatino Linotype" w:cs="Palatino Linotype"/>
          <w:b/>
          <w:bCs/>
          <w:color w:val="000000"/>
        </w:rPr>
        <w:t>la Conciliación de Nómina de los servidores públicos consiste en el conjunto de percepciones y deducciones que se generan con motivo de la relación laboral</w:t>
      </w:r>
      <w:r w:rsidRPr="001B22C0">
        <w:rPr>
          <w:rFonts w:ascii="Palatino Linotype" w:eastAsia="Palatino Linotype" w:hAnsi="Palatino Linotype" w:cs="Palatino Linotype"/>
          <w:color w:val="000000"/>
        </w:rPr>
        <w:t xml:space="preserve">, asimismo </w:t>
      </w:r>
      <w:r w:rsidRPr="001B22C0">
        <w:rPr>
          <w:rFonts w:ascii="Palatino Linotype" w:eastAsia="Palatino Linotype" w:hAnsi="Palatino Linotype" w:cs="Palatino Linotype"/>
          <w:b/>
          <w:bCs/>
          <w:color w:val="000000"/>
        </w:rPr>
        <w:t xml:space="preserve">contiene la </w:t>
      </w:r>
      <w:r w:rsidRPr="001B22C0">
        <w:rPr>
          <w:rFonts w:ascii="Palatino Linotype" w:eastAsia="Palatino Linotype" w:hAnsi="Palatino Linotype" w:cs="Palatino Linotype"/>
          <w:color w:val="000000"/>
        </w:rPr>
        <w:t>fecha de alta y fecha de baja de los servidores públicos;</w:t>
      </w:r>
      <w:r w:rsidRPr="001B22C0">
        <w:rPr>
          <w:rFonts w:ascii="Palatino Linotype" w:eastAsia="Palatino Linotype" w:hAnsi="Palatino Linotype" w:cs="Palatino Linotype"/>
          <w:b/>
          <w:bCs/>
          <w:color w:val="000000"/>
        </w:rPr>
        <w:t xml:space="preserve"> su nombre; puesto; área de adscripción </w:t>
      </w:r>
      <w:r w:rsidRPr="001B22C0">
        <w:rPr>
          <w:rFonts w:ascii="Palatino Linotype" w:eastAsia="Palatino Linotype" w:hAnsi="Palatino Linotype" w:cs="Palatino Linotype"/>
          <w:color w:val="000000"/>
        </w:rPr>
        <w:t>y</w:t>
      </w:r>
      <w:r w:rsidRPr="001B22C0">
        <w:rPr>
          <w:rFonts w:ascii="Palatino Linotype" w:eastAsia="Palatino Linotype" w:hAnsi="Palatino Linotype" w:cs="Palatino Linotype"/>
          <w:b/>
          <w:bCs/>
          <w:color w:val="000000"/>
        </w:rPr>
        <w:t xml:space="preserve"> categoría.</w:t>
      </w:r>
    </w:p>
    <w:p w:rsidR="00250C9F" w:rsidRPr="001B22C0" w:rsidRDefault="00250C9F">
      <w:pPr>
        <w:pBdr>
          <w:top w:val="nil"/>
          <w:left w:val="nil"/>
          <w:bottom w:val="nil"/>
          <w:right w:val="nil"/>
          <w:between w:val="nil"/>
        </w:pBdr>
        <w:spacing w:line="360" w:lineRule="auto"/>
        <w:ind w:right="-801"/>
        <w:jc w:val="both"/>
        <w:rPr>
          <w:rFonts w:ascii="Palatino Linotype" w:eastAsia="Palatino Linotype" w:hAnsi="Palatino Linotype" w:cs="Palatino Linotype"/>
          <w:color w:val="000000"/>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En atención a lo anterior, se ratifica que el </w:t>
      </w:r>
      <w:r w:rsidRPr="001B22C0">
        <w:rPr>
          <w:rFonts w:ascii="Palatino Linotype" w:eastAsia="Palatino Linotype" w:hAnsi="Palatino Linotype" w:cs="Palatino Linotype"/>
          <w:b/>
          <w:bCs/>
          <w:color w:val="000000"/>
        </w:rPr>
        <w:t>SUJETO OBLIGADO</w:t>
      </w:r>
      <w:r w:rsidRPr="001B22C0">
        <w:rPr>
          <w:rFonts w:ascii="Palatino Linotype" w:eastAsia="Palatino Linotype" w:hAnsi="Palatino Linotype" w:cs="Palatino Linotype"/>
          <w:color w:val="000000"/>
        </w:rPr>
        <w:t xml:space="preserve"> cuenta con la obligación de generar los documentos en donde conste la información requerida por el Particular, siendo el documento idóneo, la </w:t>
      </w:r>
      <w:r w:rsidRPr="001B22C0">
        <w:rPr>
          <w:rFonts w:ascii="Palatino Linotype" w:eastAsia="Palatino Linotype" w:hAnsi="Palatino Linotype" w:cs="Palatino Linotype"/>
          <w:b/>
          <w:bCs/>
          <w:color w:val="000000"/>
        </w:rPr>
        <w:t>Conciliación de Nómina</w:t>
      </w:r>
      <w:r w:rsidRPr="001B22C0">
        <w:rPr>
          <w:rFonts w:ascii="Palatino Linotype" w:eastAsia="Palatino Linotype" w:hAnsi="Palatino Linotype" w:cs="Palatino Linotype"/>
          <w:color w:val="000000"/>
        </w:rPr>
        <w:t xml:space="preserve">. </w:t>
      </w:r>
    </w:p>
    <w:p w:rsidR="00250C9F" w:rsidRPr="001B22C0" w:rsidRDefault="00250C9F">
      <w:pPr>
        <w:pBdr>
          <w:top w:val="nil"/>
          <w:left w:val="nil"/>
          <w:bottom w:val="nil"/>
          <w:right w:val="nil"/>
          <w:between w:val="nil"/>
        </w:pBdr>
        <w:ind w:left="720"/>
        <w:rPr>
          <w:rFonts w:ascii="Palatino Linotype" w:eastAsia="Palatino Linotype" w:hAnsi="Palatino Linotype" w:cs="Palatino Linotype"/>
          <w:color w:val="000000"/>
        </w:rPr>
      </w:pPr>
    </w:p>
    <w:p w:rsidR="00250C9F" w:rsidRPr="001B22C0" w:rsidRDefault="004E397F">
      <w:pPr>
        <w:numPr>
          <w:ilvl w:val="0"/>
          <w:numId w:val="4"/>
        </w:numPr>
        <w:spacing w:line="360" w:lineRule="auto"/>
        <w:ind w:right="49"/>
        <w:jc w:val="both"/>
        <w:rPr>
          <w:rFonts w:ascii="Palatino Linotype" w:eastAsia="Palatino Linotype" w:hAnsi="Palatino Linotype" w:cs="Palatino Linotype"/>
        </w:rPr>
      </w:pPr>
      <w:r w:rsidRPr="001B22C0">
        <w:rPr>
          <w:rFonts w:ascii="Palatino Linotype" w:eastAsia="Palatino Linotype" w:hAnsi="Palatino Linotype" w:cs="Palatino Linotype"/>
          <w:color w:val="000000"/>
        </w:rPr>
        <w:t>Ahora bien con respecto al interés del particular de conocer la fecha de alta y baja del servidor público a la adscripción al Sujeto Obligado, el documento que enunciativamente pudiera colmar con lo requerido es el</w:t>
      </w:r>
      <w:r w:rsidRPr="001B22C0">
        <w:rPr>
          <w:rFonts w:ascii="Palatino Linotype" w:eastAsia="Palatino Linotype" w:hAnsi="Palatino Linotype" w:cs="Palatino Linotype"/>
        </w:rPr>
        <w:t xml:space="preserve"> </w:t>
      </w:r>
      <w:r w:rsidRPr="001B22C0">
        <w:rPr>
          <w:rFonts w:ascii="Palatino Linotype" w:eastAsia="Palatino Linotype" w:hAnsi="Palatino Linotype" w:cs="Palatino Linotype"/>
          <w:b/>
          <w:bCs/>
        </w:rPr>
        <w:t>Aviso de Movimientos</w:t>
      </w:r>
      <w:r w:rsidRPr="001B22C0">
        <w:rPr>
          <w:rFonts w:ascii="Palatino Linotype" w:eastAsia="Palatino Linotype" w:hAnsi="Palatino Linotype" w:cs="Palatino Linotype"/>
        </w:rPr>
        <w:t xml:space="preserve">, el tal es un documento que debe expedir la dependencia pública a la cual se ingresa y que indica el alta o baja en el sistema como servidor público, este documento deberá ser presentado ante el Instituto de Seguridad Social del Estado de México y Municipios, con la finalidad de llevar a cabo diversos trámites </w:t>
      </w:r>
      <w:r w:rsidRPr="001B22C0">
        <w:rPr>
          <w:rFonts w:ascii="Palatino Linotype" w:eastAsia="Palatino Linotype" w:hAnsi="Palatino Linotype" w:cs="Palatino Linotype"/>
        </w:rPr>
        <w:lastRenderedPageBreak/>
        <w:t xml:space="preserve">para obtener los beneficios de seguridad social; por lo que derivado del ingreso o egreso del servicio público, la  dependencia deberá registrar los datos correspondientes con la finalidad de desempeñar sus atribuciones y en cumplimiento de las obligaciones y derechos laborales a favor de los servidores públicos que emplea; es decir, los avisos de movimientos de alta o baja del servicio público ante el Instituto de Seguridad Social. </w:t>
      </w:r>
    </w:p>
    <w:p w:rsidR="00250C9F" w:rsidRPr="001B22C0" w:rsidRDefault="00250C9F">
      <w:pPr>
        <w:pBdr>
          <w:top w:val="nil"/>
          <w:left w:val="nil"/>
          <w:bottom w:val="nil"/>
          <w:right w:val="nil"/>
          <w:between w:val="nil"/>
        </w:pBdr>
        <w:ind w:left="720"/>
        <w:rPr>
          <w:rFonts w:ascii="Palatino Linotype" w:eastAsia="Palatino Linotype" w:hAnsi="Palatino Linotype" w:cs="Palatino Linotype"/>
          <w:color w:val="000000"/>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Bajo </w:t>
      </w:r>
      <w:r w:rsidRPr="001B22C0">
        <w:rPr>
          <w:rFonts w:ascii="Palatino Linotype" w:eastAsia="Palatino Linotype" w:hAnsi="Palatino Linotype" w:cs="Palatino Linotype"/>
        </w:rPr>
        <w:t xml:space="preserve">lo anterior, es importante analizar los datos personales susceptibles de ser protegidos, que pudieran estar contenidos en los documentos donde obra lo requerido, tales como </w:t>
      </w:r>
      <w:r w:rsidRPr="001B22C0">
        <w:rPr>
          <w:rFonts w:ascii="Palatino Linotype" w:eastAsia="Palatino Linotype" w:hAnsi="Palatino Linotype" w:cs="Palatino Linotype"/>
          <w:b/>
          <w:bCs/>
        </w:rPr>
        <w:t xml:space="preserve">Registro Federal de Contribuyentes (RFC), </w:t>
      </w:r>
      <w:r w:rsidRPr="001B22C0">
        <w:rPr>
          <w:rFonts w:ascii="Palatino Linotype" w:eastAsia="Palatino Linotype" w:hAnsi="Palatino Linotype" w:cs="Palatino Linotype"/>
        </w:rPr>
        <w:t xml:space="preserve">la </w:t>
      </w:r>
      <w:r w:rsidRPr="001B22C0">
        <w:rPr>
          <w:rFonts w:ascii="Palatino Linotype" w:eastAsia="Palatino Linotype" w:hAnsi="Palatino Linotype" w:cs="Palatino Linotype"/>
          <w:b/>
          <w:bCs/>
        </w:rPr>
        <w:t>Clave Única de Registro de Población (CURP)</w:t>
      </w:r>
      <w:r w:rsidRPr="001B22C0">
        <w:rPr>
          <w:rFonts w:ascii="Palatino Linotype" w:eastAsia="Palatino Linotype" w:hAnsi="Palatino Linotype" w:cs="Palatino Linotype"/>
        </w:rPr>
        <w:t xml:space="preserve">, la </w:t>
      </w:r>
      <w:r w:rsidRPr="001B22C0">
        <w:rPr>
          <w:rFonts w:ascii="Palatino Linotype" w:eastAsia="Palatino Linotype" w:hAnsi="Palatino Linotype" w:cs="Palatino Linotype"/>
          <w:b/>
          <w:bCs/>
        </w:rPr>
        <w:t xml:space="preserve">Clave de ISSEMyM </w:t>
      </w:r>
      <w:r w:rsidRPr="001B22C0">
        <w:rPr>
          <w:rFonts w:ascii="Palatino Linotype" w:eastAsia="Palatino Linotype" w:hAnsi="Palatino Linotype" w:cs="Palatino Linotype"/>
        </w:rPr>
        <w:t xml:space="preserve">u análogos, </w:t>
      </w:r>
      <w:r w:rsidRPr="001B22C0">
        <w:rPr>
          <w:rFonts w:ascii="Palatino Linotype" w:eastAsia="Palatino Linotype" w:hAnsi="Palatino Linotype" w:cs="Palatino Linotype"/>
          <w:b/>
          <w:bCs/>
        </w:rPr>
        <w:t xml:space="preserve">préstamos o descuentos </w:t>
      </w:r>
      <w:r w:rsidRPr="001B22C0">
        <w:rPr>
          <w:rFonts w:ascii="Palatino Linotype" w:eastAsia="Palatino Linotype" w:hAnsi="Palatino Linotype" w:cs="Palatino Linotype"/>
        </w:rPr>
        <w:t xml:space="preserve">realizados al servidor público y la </w:t>
      </w:r>
      <w:r w:rsidRPr="001B22C0">
        <w:rPr>
          <w:rFonts w:ascii="Palatino Linotype" w:eastAsia="Palatino Linotype" w:hAnsi="Palatino Linotype" w:cs="Palatino Linotype"/>
          <w:b/>
          <w:bCs/>
        </w:rPr>
        <w:t>clave interbancaria de depósito.</w:t>
      </w:r>
    </w:p>
    <w:p w:rsidR="00250C9F" w:rsidRPr="001B22C0" w:rsidRDefault="00250C9F">
      <w:pPr>
        <w:pBdr>
          <w:top w:val="nil"/>
          <w:left w:val="nil"/>
          <w:bottom w:val="nil"/>
          <w:right w:val="nil"/>
          <w:between w:val="nil"/>
        </w:pBdr>
        <w:spacing w:line="360" w:lineRule="auto"/>
        <w:ind w:right="-801"/>
        <w:jc w:val="both"/>
        <w:rPr>
          <w:rFonts w:ascii="Palatino Linotype" w:eastAsia="Palatino Linotype" w:hAnsi="Palatino Linotype" w:cs="Palatino Linotype"/>
          <w:color w:val="000000"/>
        </w:rPr>
      </w:pPr>
    </w:p>
    <w:p w:rsidR="00250C9F" w:rsidRPr="001B22C0" w:rsidRDefault="004E397F">
      <w:pPr>
        <w:numPr>
          <w:ilvl w:val="1"/>
          <w:numId w:val="6"/>
        </w:numPr>
        <w:pBdr>
          <w:top w:val="nil"/>
          <w:left w:val="nil"/>
          <w:bottom w:val="nil"/>
          <w:right w:val="nil"/>
          <w:between w:val="nil"/>
        </w:pBdr>
        <w:tabs>
          <w:tab w:val="left" w:pos="426"/>
        </w:tabs>
        <w:spacing w:line="360" w:lineRule="auto"/>
        <w:ind w:right="-801"/>
        <w:jc w:val="both"/>
        <w:rPr>
          <w:rFonts w:ascii="Palatino Linotype" w:eastAsia="Palatino Linotype" w:hAnsi="Palatino Linotype" w:cs="Palatino Linotype"/>
          <w:b/>
          <w:bCs/>
          <w:color w:val="000000"/>
        </w:rPr>
      </w:pPr>
      <w:r w:rsidRPr="001B22C0">
        <w:rPr>
          <w:rFonts w:ascii="Palatino Linotype" w:eastAsia="Palatino Linotype" w:hAnsi="Palatino Linotype" w:cs="Palatino Linotype"/>
          <w:b/>
          <w:bCs/>
          <w:color w:val="000000"/>
        </w:rPr>
        <w:t>Del Registro Federal de Contribuyentes.</w:t>
      </w: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 xml:space="preserve">Las personas físicas obligadas a presentar declaraciones o expedir comprobantes fiscales, deberán solicitar su inscripción en el Registro Federal de Contribuyentes. La clave del RFC es el medio por el cual el Servicio de Administración Tributaria exige y vigila el </w:t>
      </w:r>
      <w:r w:rsidRPr="001B22C0">
        <w:rPr>
          <w:rFonts w:ascii="Palatino Linotype" w:eastAsia="Palatino Linotype" w:hAnsi="Palatino Linotype" w:cs="Palatino Linotype"/>
        </w:rPr>
        <w:lastRenderedPageBreak/>
        <w:t>cumplimiento de las obligaciones fiscales de los contribuyentes, además que identifica como contribuyentes a las personas físicas o morales en nuestro país.</w:t>
      </w:r>
    </w:p>
    <w:p w:rsidR="00250C9F" w:rsidRPr="001B22C0" w:rsidRDefault="00250C9F">
      <w:pPr>
        <w:rPr>
          <w:rFonts w:ascii="Palatino Linotype" w:eastAsia="Palatino Linotype" w:hAnsi="Palatino Linotype" w:cs="Palatino Linotype"/>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rsidR="00250C9F" w:rsidRPr="001B22C0" w:rsidRDefault="00250C9F">
      <w:pPr>
        <w:rPr>
          <w:rFonts w:ascii="Palatino Linotype" w:eastAsia="Palatino Linotype" w:hAnsi="Palatino Linotype" w:cs="Palatino Linotype"/>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250C9F" w:rsidRPr="001B22C0" w:rsidRDefault="00250C9F">
      <w:pPr>
        <w:rPr>
          <w:rFonts w:ascii="Palatino Linotype" w:eastAsia="Palatino Linotype" w:hAnsi="Palatino Linotype" w:cs="Palatino Linotype"/>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En el mismo sentido, resulta aplicable el Criterio 19/17 emitido por el Instituto Nacional de Transparencia, Acceso a la Información, y Protección de Datos Personales, en el cual se señala lo siguiente:</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cyan"/>
        </w:rPr>
      </w:pPr>
    </w:p>
    <w:p w:rsidR="00250C9F" w:rsidRPr="001B22C0" w:rsidRDefault="004E397F">
      <w:pPr>
        <w:shd w:val="clear" w:color="auto" w:fill="FFFFFF"/>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REGISTRO FEDERAL DE CONTRIBUYENTES (RFC) DE PERSONAS FÍSICAS.</w:t>
      </w:r>
      <w:r w:rsidRPr="001B22C0">
        <w:rPr>
          <w:rFonts w:ascii="Palatino Linotype" w:eastAsia="Palatino Linotype" w:hAnsi="Palatino Linotype" w:cs="Palatino Linotype"/>
          <w:i/>
          <w:iCs/>
        </w:rPr>
        <w:t xml:space="preserve"> “El RFC es una clave de carácter fiscal, única e irrepetible, que permite identificar al titular, su edad y fecha de nacimiento, por lo que es un dato personal de carácter confidencial.”</w:t>
      </w:r>
    </w:p>
    <w:p w:rsidR="00250C9F" w:rsidRPr="001B22C0" w:rsidRDefault="00250C9F">
      <w:pPr>
        <w:shd w:val="clear" w:color="auto" w:fill="FFFFFF"/>
        <w:ind w:right="27"/>
        <w:jc w:val="both"/>
        <w:rPr>
          <w:rFonts w:ascii="Palatino Linotype" w:eastAsia="Palatino Linotype" w:hAnsi="Palatino Linotype" w:cs="Palatino Linotype"/>
          <w:i/>
          <w:iCs/>
        </w:rPr>
      </w:pPr>
    </w:p>
    <w:p w:rsidR="00250C9F" w:rsidRPr="001B22C0" w:rsidRDefault="004E397F">
      <w:pPr>
        <w:tabs>
          <w:tab w:val="left" w:pos="426"/>
        </w:tabs>
        <w:spacing w:line="360" w:lineRule="auto"/>
        <w:ind w:right="27"/>
        <w:jc w:val="both"/>
        <w:rPr>
          <w:rFonts w:ascii="Palatino Linotype" w:eastAsia="Palatino Linotype" w:hAnsi="Palatino Linotype" w:cs="Palatino Linotype"/>
          <w:b/>
          <w:bCs/>
        </w:rPr>
      </w:pPr>
      <w:r w:rsidRPr="001B22C0">
        <w:rPr>
          <w:rFonts w:ascii="Palatino Linotype" w:eastAsia="Palatino Linotype" w:hAnsi="Palatino Linotype" w:cs="Palatino Linotype"/>
          <w:b/>
          <w:bCs/>
        </w:rPr>
        <w:t>b) De la Clave Única de Registro de Población.</w:t>
      </w: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w:t>
      </w:r>
      <w:r w:rsidRPr="001B22C0">
        <w:rPr>
          <w:rFonts w:ascii="Palatino Linotype" w:eastAsia="Palatino Linotype" w:hAnsi="Palatino Linotype" w:cs="Palatino Linotype"/>
        </w:rPr>
        <w:lastRenderedPageBreak/>
        <w:t>extranjeros que se encuentren en condiciones de estancia regular en el país o en trámite de ésta, se integra por dieciocho (18) caracteres, los cuales son:</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cyan"/>
        </w:rPr>
      </w:pPr>
    </w:p>
    <w:p w:rsidR="00250C9F" w:rsidRPr="001B22C0" w:rsidRDefault="004E397F">
      <w:pPr>
        <w:pBdr>
          <w:top w:val="nil"/>
          <w:left w:val="nil"/>
          <w:bottom w:val="nil"/>
          <w:right w:val="nil"/>
          <w:between w:val="nil"/>
        </w:pBdr>
        <w:spacing w:line="360" w:lineRule="auto"/>
        <w:ind w:right="27"/>
        <w:jc w:val="center"/>
        <w:rPr>
          <w:rFonts w:ascii="Palatino Linotype" w:eastAsia="Palatino Linotype" w:hAnsi="Palatino Linotype" w:cs="Palatino Linotype"/>
          <w:color w:val="000000"/>
          <w:highlight w:val="cyan"/>
        </w:rPr>
      </w:pPr>
      <w:r w:rsidRPr="001B22C0">
        <w:rPr>
          <w:rFonts w:ascii="Palatino Linotype" w:eastAsia="Palatino Linotype" w:hAnsi="Palatino Linotype" w:cs="Palatino Linotype"/>
          <w:noProof/>
          <w:highlight w:val="cyan"/>
        </w:rPr>
        <w:drawing>
          <wp:inline distT="0" distB="0" distL="0" distR="0">
            <wp:extent cx="4795317" cy="3951341"/>
            <wp:effectExtent l="12700" t="12700" r="12700" b="12700"/>
            <wp:docPr id="6"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15"/>
                    <a:srcRect l="25747" t="8269" r="41253" b="18081"/>
                    <a:stretch>
                      <a:fillRect/>
                    </a:stretch>
                  </pic:blipFill>
                  <pic:spPr>
                    <a:xfrm>
                      <a:off x="0" y="0"/>
                      <a:ext cx="4795317" cy="3951341"/>
                    </a:xfrm>
                    <a:prstGeom prst="rect">
                      <a:avLst/>
                    </a:prstGeom>
                    <a:ln w="12700">
                      <a:solidFill>
                        <a:srgbClr val="000000"/>
                      </a:solidFill>
                      <a:prstDash val="solid"/>
                    </a:ln>
                  </pic:spPr>
                </pic:pic>
              </a:graphicData>
            </a:graphic>
          </wp:inline>
        </w:drawing>
      </w:r>
    </w:p>
    <w:p w:rsidR="00250C9F" w:rsidRPr="001B22C0" w:rsidRDefault="00250C9F">
      <w:pPr>
        <w:pBdr>
          <w:top w:val="nil"/>
          <w:left w:val="nil"/>
          <w:bottom w:val="nil"/>
          <w:right w:val="nil"/>
          <w:between w:val="nil"/>
        </w:pBdr>
        <w:spacing w:line="360" w:lineRule="auto"/>
        <w:ind w:right="-801"/>
        <w:rPr>
          <w:rFonts w:ascii="Palatino Linotype" w:eastAsia="Palatino Linotype" w:hAnsi="Palatino Linotype" w:cs="Palatino Linotype"/>
          <w:color w:val="000000"/>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rsidR="00250C9F" w:rsidRPr="001B22C0" w:rsidRDefault="00250C9F">
      <w:pPr>
        <w:pBdr>
          <w:top w:val="nil"/>
          <w:left w:val="nil"/>
          <w:bottom w:val="nil"/>
          <w:right w:val="nil"/>
          <w:between w:val="nil"/>
        </w:pBdr>
        <w:spacing w:line="360" w:lineRule="auto"/>
        <w:ind w:right="-801"/>
        <w:jc w:val="both"/>
        <w:rPr>
          <w:rFonts w:ascii="Palatino Linotype" w:eastAsia="Palatino Linotype" w:hAnsi="Palatino Linotype" w:cs="Palatino Linotype"/>
          <w:color w:val="000000"/>
        </w:rPr>
      </w:pPr>
    </w:p>
    <w:p w:rsidR="00250C9F" w:rsidRPr="001B22C0" w:rsidRDefault="004E397F">
      <w:pPr>
        <w:numPr>
          <w:ilvl w:val="0"/>
          <w:numId w:val="4"/>
        </w:numPr>
        <w:pBdr>
          <w:top w:val="nil"/>
          <w:left w:val="nil"/>
          <w:bottom w:val="nil"/>
          <w:right w:val="nil"/>
          <w:between w:val="nil"/>
        </w:pBdr>
        <w:spacing w:line="360" w:lineRule="auto"/>
        <w:ind w:right="-801"/>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Entre las características de la CURP, se encuentra:</w:t>
      </w:r>
    </w:p>
    <w:p w:rsidR="00250C9F" w:rsidRPr="001B22C0" w:rsidRDefault="004E397F">
      <w:pPr>
        <w:tabs>
          <w:tab w:val="left" w:pos="1134"/>
        </w:tabs>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lastRenderedPageBreak/>
        <w:t xml:space="preserve">Composición. </w:t>
      </w:r>
      <w:r w:rsidRPr="001B22C0">
        <w:rPr>
          <w:rFonts w:ascii="Palatino Linotype" w:eastAsia="Palatino Linotype" w:hAnsi="Palatino Linotype" w:cs="Palatino Linotype"/>
          <w:i/>
          <w:iCs/>
        </w:rPr>
        <w:t>Alfanumérica.</w:t>
      </w:r>
    </w:p>
    <w:p w:rsidR="00250C9F" w:rsidRPr="001B22C0" w:rsidRDefault="004E397F">
      <w:pPr>
        <w:tabs>
          <w:tab w:val="left" w:pos="1134"/>
        </w:tabs>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 xml:space="preserve">Longitud. </w:t>
      </w:r>
      <w:r w:rsidRPr="001B22C0">
        <w:rPr>
          <w:rFonts w:ascii="Palatino Linotype" w:eastAsia="Palatino Linotype" w:hAnsi="Palatino Linotype" w:cs="Palatino Linotype"/>
          <w:i/>
          <w:iCs/>
        </w:rPr>
        <w:t xml:space="preserve"> 18 caracteres.</w:t>
      </w:r>
    </w:p>
    <w:p w:rsidR="00250C9F" w:rsidRPr="001B22C0" w:rsidRDefault="004E397F">
      <w:pPr>
        <w:tabs>
          <w:tab w:val="left" w:pos="1134"/>
        </w:tabs>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 xml:space="preserve">Naturaleza. </w:t>
      </w:r>
      <w:r w:rsidRPr="001B22C0">
        <w:rPr>
          <w:rFonts w:ascii="Palatino Linotype" w:eastAsia="Palatino Linotype" w:hAnsi="Palatino Linotype" w:cs="Palatino Linotype"/>
          <w:i/>
          <w:iCs/>
        </w:rPr>
        <w:t>Biunívoca.</w:t>
      </w:r>
    </w:p>
    <w:p w:rsidR="00250C9F" w:rsidRPr="001B22C0" w:rsidRDefault="004E397F">
      <w:pPr>
        <w:tabs>
          <w:tab w:val="left" w:pos="1134"/>
        </w:tabs>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 xml:space="preserve">Universalidad. </w:t>
      </w:r>
      <w:r w:rsidRPr="001B22C0">
        <w:rPr>
          <w:rFonts w:ascii="Palatino Linotype" w:eastAsia="Palatino Linotype" w:hAnsi="Palatino Linotype" w:cs="Palatino Linotype"/>
          <w:i/>
          <w:iCs/>
        </w:rPr>
        <w:t>Se asigna a todas las personas que conforman la población.</w:t>
      </w:r>
    </w:p>
    <w:p w:rsidR="00250C9F" w:rsidRPr="001B22C0" w:rsidRDefault="004E397F">
      <w:pPr>
        <w:tabs>
          <w:tab w:val="left" w:pos="142"/>
          <w:tab w:val="left" w:pos="284"/>
          <w:tab w:val="left" w:pos="1134"/>
        </w:tabs>
        <w:ind w:left="1134" w:right="900"/>
        <w:jc w:val="both"/>
        <w:rPr>
          <w:rFonts w:ascii="Palatino Linotype" w:eastAsia="Palatino Linotype" w:hAnsi="Palatino Linotype" w:cs="Palatino Linotype"/>
          <w:b/>
          <w:bCs/>
          <w:i/>
          <w:iCs/>
        </w:rPr>
      </w:pPr>
      <w:r w:rsidRPr="001B22C0">
        <w:rPr>
          <w:rFonts w:ascii="Palatino Linotype" w:eastAsia="Palatino Linotype" w:hAnsi="Palatino Linotype" w:cs="Palatino Linotype"/>
          <w:b/>
          <w:bCs/>
          <w:i/>
          <w:iCs/>
        </w:rPr>
        <w:t>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rsidR="00250C9F" w:rsidRPr="001B22C0" w:rsidRDefault="00250C9F">
      <w:pPr>
        <w:tabs>
          <w:tab w:val="left" w:pos="142"/>
          <w:tab w:val="left" w:pos="284"/>
          <w:tab w:val="left" w:pos="426"/>
        </w:tabs>
        <w:ind w:right="-801"/>
        <w:jc w:val="both"/>
        <w:rPr>
          <w:rFonts w:ascii="Palatino Linotype" w:eastAsia="Palatino Linotype" w:hAnsi="Palatino Linotype" w:cs="Palatino Linotype"/>
          <w:i/>
          <w:iCs/>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rsidR="00250C9F" w:rsidRPr="001B22C0" w:rsidRDefault="00250C9F">
      <w:pPr>
        <w:pBdr>
          <w:top w:val="nil"/>
          <w:left w:val="nil"/>
          <w:bottom w:val="nil"/>
          <w:right w:val="nil"/>
          <w:between w:val="nil"/>
        </w:pBdr>
        <w:spacing w:line="360" w:lineRule="auto"/>
        <w:ind w:right="-801"/>
        <w:jc w:val="both"/>
        <w:rPr>
          <w:rFonts w:ascii="Palatino Linotype" w:eastAsia="Palatino Linotype" w:hAnsi="Palatino Linotype" w:cs="Palatino Linotype"/>
          <w:color w:val="000000"/>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250C9F" w:rsidRPr="001B22C0" w:rsidRDefault="00250C9F">
      <w:pPr>
        <w:rPr>
          <w:rFonts w:ascii="Palatino Linotype" w:eastAsia="Palatino Linotype" w:hAnsi="Palatino Linotype" w:cs="Palatino Linotype"/>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Ante ello, resulta aplicable el Criterio 18/17 emitido por el Instituto Nacional de Transparencia, Acceso a la Información y Protección de Datos Personales, que a la literalidad señala:</w:t>
      </w:r>
    </w:p>
    <w:p w:rsidR="00250C9F" w:rsidRPr="001B22C0" w:rsidRDefault="00250C9F">
      <w:pPr>
        <w:pBdr>
          <w:top w:val="nil"/>
          <w:left w:val="nil"/>
          <w:bottom w:val="nil"/>
          <w:right w:val="nil"/>
          <w:between w:val="nil"/>
        </w:pBdr>
        <w:spacing w:line="360" w:lineRule="auto"/>
        <w:ind w:left="1134" w:right="900"/>
        <w:jc w:val="both"/>
        <w:rPr>
          <w:rFonts w:ascii="Palatino Linotype" w:eastAsia="Palatino Linotype" w:hAnsi="Palatino Linotype" w:cs="Palatino Linotype"/>
        </w:rPr>
      </w:pPr>
    </w:p>
    <w:p w:rsidR="00250C9F" w:rsidRPr="001B22C0" w:rsidRDefault="004E397F">
      <w:pPr>
        <w:shd w:val="clear" w:color="auto" w:fill="FFFFFF"/>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lastRenderedPageBreak/>
        <w:t>CLAVE ÚNICA DE REGISTRO DE POBLACIÓN (CURP). “</w:t>
      </w:r>
      <w:r w:rsidRPr="001B22C0">
        <w:rPr>
          <w:rFonts w:ascii="Palatino Linotype" w:eastAsia="Palatino Linotype" w:hAnsi="Palatino Linotype" w:cs="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50C9F" w:rsidRPr="001B22C0" w:rsidRDefault="00250C9F">
      <w:pPr>
        <w:shd w:val="clear" w:color="auto" w:fill="FFFFFF"/>
        <w:ind w:left="1134" w:right="900"/>
        <w:jc w:val="both"/>
        <w:rPr>
          <w:rFonts w:ascii="Palatino Linotype" w:eastAsia="Palatino Linotype" w:hAnsi="Palatino Linotype" w:cs="Palatino Linotype"/>
          <w:i/>
          <w:iCs/>
        </w:rPr>
      </w:pPr>
    </w:p>
    <w:p w:rsidR="00250C9F" w:rsidRPr="001B22C0" w:rsidRDefault="004E397F">
      <w:pPr>
        <w:tabs>
          <w:tab w:val="left" w:pos="426"/>
        </w:tabs>
        <w:spacing w:line="360" w:lineRule="auto"/>
        <w:jc w:val="both"/>
        <w:rPr>
          <w:rFonts w:ascii="Palatino Linotype" w:eastAsia="Palatino Linotype" w:hAnsi="Palatino Linotype" w:cs="Palatino Linotype"/>
          <w:b/>
          <w:bCs/>
        </w:rPr>
      </w:pPr>
      <w:r w:rsidRPr="001B22C0">
        <w:rPr>
          <w:rFonts w:ascii="Palatino Linotype" w:eastAsia="Palatino Linotype" w:hAnsi="Palatino Linotype" w:cs="Palatino Linotype"/>
          <w:b/>
          <w:bCs/>
        </w:rPr>
        <w:t>c) De la clave de identificación del Instituto de Seguridad Social del Estado de México y Municipios.</w:t>
      </w: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rsidR="00250C9F" w:rsidRPr="001B22C0" w:rsidRDefault="00250C9F">
      <w:pPr>
        <w:pBdr>
          <w:top w:val="nil"/>
          <w:left w:val="nil"/>
          <w:bottom w:val="nil"/>
          <w:right w:val="nil"/>
          <w:between w:val="nil"/>
        </w:pBdr>
        <w:ind w:left="720"/>
        <w:rPr>
          <w:rFonts w:ascii="Palatino Linotype" w:eastAsia="Palatino Linotype" w:hAnsi="Palatino Linotype" w:cs="Palatino Linotype"/>
          <w:color w:val="000000"/>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t>Entre los elementos que integra la credencial expedida se encuentra la Clave ISSEMyM, la cual permite identificar al servidor público que actualmente labora o laboró en alguna institución pública y que tenga vigente su derecho a recibir las prestaciones.</w:t>
      </w:r>
    </w:p>
    <w:p w:rsidR="00250C9F" w:rsidRPr="001B22C0" w:rsidRDefault="00250C9F">
      <w:pPr>
        <w:pBdr>
          <w:top w:val="nil"/>
          <w:left w:val="nil"/>
          <w:bottom w:val="nil"/>
          <w:right w:val="nil"/>
          <w:between w:val="nil"/>
        </w:pBdr>
        <w:ind w:left="720"/>
        <w:rPr>
          <w:rFonts w:ascii="Palatino Linotype" w:eastAsia="Palatino Linotype" w:hAnsi="Palatino Linotype" w:cs="Palatino Linotype"/>
          <w:color w:val="000000"/>
        </w:rPr>
      </w:pP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rPr>
        <w:lastRenderedPageBreak/>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rsidR="00250C9F" w:rsidRPr="001B22C0" w:rsidRDefault="00250C9F">
      <w:pPr>
        <w:jc w:val="both"/>
        <w:rPr>
          <w:rFonts w:ascii="Palatino Linotype" w:eastAsia="Palatino Linotype" w:hAnsi="Palatino Linotype" w:cs="Palatino Linotype"/>
        </w:rPr>
      </w:pPr>
    </w:p>
    <w:p w:rsidR="00250C9F" w:rsidRPr="001B22C0" w:rsidRDefault="004E397F">
      <w:pPr>
        <w:tabs>
          <w:tab w:val="left" w:pos="426"/>
        </w:tabs>
        <w:spacing w:line="360" w:lineRule="auto"/>
        <w:jc w:val="both"/>
        <w:rPr>
          <w:rFonts w:ascii="Palatino Linotype" w:eastAsia="Palatino Linotype" w:hAnsi="Palatino Linotype" w:cs="Palatino Linotype"/>
          <w:b/>
          <w:bCs/>
        </w:rPr>
      </w:pPr>
      <w:r w:rsidRPr="001B22C0">
        <w:rPr>
          <w:rFonts w:ascii="Palatino Linotype" w:eastAsia="Palatino Linotype" w:hAnsi="Palatino Linotype" w:cs="Palatino Linotype"/>
          <w:b/>
          <w:bCs/>
        </w:rPr>
        <w:t>d) Préstamos o descuentos de carácter personal.</w:t>
      </w:r>
    </w:p>
    <w:p w:rsidR="00250C9F" w:rsidRPr="001B22C0" w:rsidRDefault="004E397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1B22C0">
        <w:rPr>
          <w:rFonts w:ascii="Palatino Linotype" w:eastAsia="Palatino Linotype" w:hAnsi="Palatino Linotype" w:cs="Palatino Linotype"/>
          <w:color w:val="000000"/>
        </w:rPr>
        <w:t>Para entender los límites y alcances de esta restricción, es oportuno traer a colación lo establecido por el artículo 84 de la Ley del Trabajo de los Servidores Públicos del Estado y Municipios, el cual señala que:</w:t>
      </w:r>
    </w:p>
    <w:p w:rsidR="00250C9F" w:rsidRPr="001B22C0" w:rsidRDefault="00250C9F">
      <w:pPr>
        <w:pBdr>
          <w:top w:val="nil"/>
          <w:left w:val="nil"/>
          <w:bottom w:val="nil"/>
          <w:right w:val="nil"/>
          <w:between w:val="nil"/>
        </w:pBdr>
        <w:ind w:left="1134" w:right="900"/>
        <w:jc w:val="both"/>
        <w:rPr>
          <w:rFonts w:ascii="Palatino Linotype" w:eastAsia="Palatino Linotype" w:hAnsi="Palatino Linotype" w:cs="Palatino Linotype"/>
          <w:color w:val="000000"/>
        </w:rPr>
      </w:pPr>
    </w:p>
    <w:p w:rsidR="00250C9F" w:rsidRPr="001B22C0" w:rsidRDefault="004E397F">
      <w:pPr>
        <w:tabs>
          <w:tab w:val="left" w:pos="426"/>
        </w:tabs>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“ARTÍCULO 84.</w:t>
      </w:r>
      <w:r w:rsidRPr="001B22C0">
        <w:rPr>
          <w:rFonts w:ascii="Palatino Linotype" w:eastAsia="Palatino Linotype" w:hAnsi="Palatino Linotype" w:cs="Palatino Linotype"/>
          <w:i/>
          <w:iCs/>
        </w:rPr>
        <w:t xml:space="preserve"> Sólo podrán hacerse retenciones, descuentos o deducciones al sueldo de los servidores públicos por concepto de: </w:t>
      </w:r>
    </w:p>
    <w:p w:rsidR="00250C9F" w:rsidRPr="001B22C0" w:rsidRDefault="004E397F">
      <w:pPr>
        <w:tabs>
          <w:tab w:val="left" w:pos="426"/>
        </w:tabs>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I.</w:t>
      </w:r>
      <w:r w:rsidRPr="001B22C0">
        <w:rPr>
          <w:rFonts w:ascii="Palatino Linotype" w:eastAsia="Palatino Linotype" w:hAnsi="Palatino Linotype" w:cs="Palatino Linotype"/>
          <w:i/>
          <w:iCs/>
        </w:rPr>
        <w:t xml:space="preserve"> Gravámenes fiscales relacionados con el sueldo; </w:t>
      </w:r>
    </w:p>
    <w:p w:rsidR="00250C9F" w:rsidRPr="001B22C0" w:rsidRDefault="004E397F">
      <w:pPr>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II.</w:t>
      </w:r>
      <w:r w:rsidRPr="001B22C0">
        <w:rPr>
          <w:rFonts w:ascii="Palatino Linotype" w:eastAsia="Palatino Linotype" w:hAnsi="Palatino Linotype" w:cs="Palatino Linotype"/>
          <w:i/>
          <w:iCs/>
        </w:rPr>
        <w:t xml:space="preserve"> Deudas contraídas con las instituciones públicas o dependencias por concepto de anticipos de sueldo, pagos hechos con exceso, errores o pérdidas debidamente comprobados; </w:t>
      </w:r>
    </w:p>
    <w:p w:rsidR="00250C9F" w:rsidRPr="001B22C0" w:rsidRDefault="004E397F">
      <w:pPr>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III.</w:t>
      </w:r>
      <w:r w:rsidRPr="001B22C0">
        <w:rPr>
          <w:rFonts w:ascii="Palatino Linotype" w:eastAsia="Palatino Linotype" w:hAnsi="Palatino Linotype" w:cs="Palatino Linotype"/>
          <w:i/>
          <w:iCs/>
        </w:rPr>
        <w:t xml:space="preserve"> Cuotas sindicales; </w:t>
      </w:r>
    </w:p>
    <w:p w:rsidR="00250C9F" w:rsidRPr="001B22C0" w:rsidRDefault="004E397F">
      <w:pPr>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IV.</w:t>
      </w:r>
      <w:r w:rsidRPr="001B22C0">
        <w:rPr>
          <w:rFonts w:ascii="Palatino Linotype" w:eastAsia="Palatino Linotype" w:hAnsi="Palatino Linotype" w:cs="Palatino Linotype"/>
          <w:i/>
          <w:iCs/>
        </w:rPr>
        <w:t xml:space="preserve"> Cuotas de aportación a fondos para la constitución de cooperativas y de cajas de ahorro, siempre que el servidor público hubiese manifestado previamente, de manera expresa, su conformidad; </w:t>
      </w:r>
    </w:p>
    <w:p w:rsidR="00250C9F" w:rsidRPr="001B22C0" w:rsidRDefault="004E397F">
      <w:pPr>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V.</w:t>
      </w:r>
      <w:r w:rsidRPr="001B22C0">
        <w:rPr>
          <w:rFonts w:ascii="Palatino Linotype" w:eastAsia="Palatino Linotype" w:hAnsi="Palatino Linotype" w:cs="Palatino Linotype"/>
          <w:i/>
          <w:iCs/>
        </w:rPr>
        <w:t xml:space="preserve"> Descuentos ordenados por el Instituto de Seguridad Social del Estado de México y Municipios, con motivo de cuotas y obligaciones contraídas con éste por los servidores públicos; </w:t>
      </w:r>
    </w:p>
    <w:p w:rsidR="00250C9F" w:rsidRPr="001B22C0" w:rsidRDefault="004E397F">
      <w:pPr>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lastRenderedPageBreak/>
        <w:t>VI.</w:t>
      </w:r>
      <w:r w:rsidRPr="001B22C0">
        <w:rPr>
          <w:rFonts w:ascii="Palatino Linotype" w:eastAsia="Palatino Linotype" w:hAnsi="Palatino Linotype" w:cs="Palatino Linotype"/>
          <w:i/>
          <w:iCs/>
        </w:rPr>
        <w:t xml:space="preserve"> Obligaciones a cargo del servidor público con las que haya consentido, derivadas de la adquisición o del uso de habitaciones consideradas como de interés social; </w:t>
      </w:r>
    </w:p>
    <w:p w:rsidR="00250C9F" w:rsidRPr="001B22C0" w:rsidRDefault="004E397F">
      <w:pPr>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VII.</w:t>
      </w:r>
      <w:r w:rsidRPr="001B22C0">
        <w:rPr>
          <w:rFonts w:ascii="Palatino Linotype" w:eastAsia="Palatino Linotype" w:hAnsi="Palatino Linotype" w:cs="Palatino Linotype"/>
          <w:i/>
          <w:iCs/>
        </w:rPr>
        <w:t xml:space="preserve"> Faltas de puntualidad o de asistencia injustificadas; </w:t>
      </w:r>
    </w:p>
    <w:p w:rsidR="00250C9F" w:rsidRPr="001B22C0" w:rsidRDefault="004E397F">
      <w:pPr>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VIII.</w:t>
      </w:r>
      <w:r w:rsidRPr="001B22C0">
        <w:rPr>
          <w:rFonts w:ascii="Palatino Linotype" w:eastAsia="Palatino Linotype" w:hAnsi="Palatino Linotype" w:cs="Palatino Linotype"/>
          <w:i/>
          <w:iCs/>
        </w:rPr>
        <w:t xml:space="preserve"> Pensiones alimenticias ordenadas por la autoridad judicial; o </w:t>
      </w:r>
    </w:p>
    <w:p w:rsidR="00250C9F" w:rsidRPr="001B22C0" w:rsidRDefault="004E397F">
      <w:pPr>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b/>
          <w:bCs/>
          <w:i/>
          <w:iCs/>
        </w:rPr>
        <w:t>IX.</w:t>
      </w:r>
      <w:r w:rsidRPr="001B22C0">
        <w:rPr>
          <w:rFonts w:ascii="Palatino Linotype" w:eastAsia="Palatino Linotype" w:hAnsi="Palatino Linotype" w:cs="Palatino Linotype"/>
          <w:i/>
          <w:iCs/>
        </w:rPr>
        <w:t xml:space="preserve"> Cualquier otro convenido con instituciones de servicios y aceptado por el servidor público. </w:t>
      </w:r>
    </w:p>
    <w:p w:rsidR="00250C9F" w:rsidRPr="001B22C0" w:rsidRDefault="00250C9F">
      <w:pPr>
        <w:ind w:left="1134" w:right="900"/>
        <w:jc w:val="both"/>
        <w:rPr>
          <w:rFonts w:ascii="Palatino Linotype" w:eastAsia="Palatino Linotype" w:hAnsi="Palatino Linotype" w:cs="Palatino Linotype"/>
        </w:rPr>
      </w:pPr>
    </w:p>
    <w:p w:rsidR="00250C9F" w:rsidRPr="001B22C0" w:rsidRDefault="004E397F">
      <w:pPr>
        <w:ind w:left="1134" w:right="900"/>
        <w:jc w:val="both"/>
        <w:rPr>
          <w:rFonts w:ascii="Palatino Linotype" w:eastAsia="Palatino Linotype" w:hAnsi="Palatino Linotype" w:cs="Palatino Linotype"/>
          <w:i/>
          <w:iCs/>
        </w:rPr>
      </w:pPr>
      <w:r w:rsidRPr="001B22C0">
        <w:rPr>
          <w:rFonts w:ascii="Palatino Linotype" w:eastAsia="Palatino Linotype" w:hAnsi="Palatino Linotype" w:cs="Palatino Linotype"/>
          <w:i/>
          <w:iC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250C9F" w:rsidRPr="001B22C0" w:rsidRDefault="00250C9F">
      <w:pPr>
        <w:ind w:right="-801"/>
        <w:jc w:val="both"/>
        <w:rPr>
          <w:rFonts w:ascii="Palatino Linotype" w:eastAsia="Palatino Linotype" w:hAnsi="Palatino Linotype" w:cs="Palatino Linotype"/>
          <w:b/>
          <w:bCs/>
        </w:rPr>
      </w:pPr>
    </w:p>
    <w:p w:rsidR="00250C9F" w:rsidRPr="001B22C0" w:rsidRDefault="004E397F">
      <w:pPr>
        <w:numPr>
          <w:ilvl w:val="0"/>
          <w:numId w:val="4"/>
        </w:numPr>
        <w:spacing w:line="360" w:lineRule="auto"/>
        <w:jc w:val="both"/>
        <w:rPr>
          <w:rFonts w:ascii="Palatino Linotype" w:eastAsia="Palatino Linotype" w:hAnsi="Palatino Linotype" w:cs="Palatino Linotype"/>
          <w:b/>
          <w:bCs/>
        </w:rPr>
      </w:pPr>
      <w:r w:rsidRPr="001B22C0">
        <w:rPr>
          <w:rFonts w:ascii="Palatino Linotype" w:eastAsia="Palatino Linotype" w:hAnsi="Palatino Linotype" w:cs="Palatino Linotype"/>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rsidR="00250C9F" w:rsidRPr="001B22C0" w:rsidRDefault="00250C9F">
      <w:pPr>
        <w:jc w:val="center"/>
        <w:rPr>
          <w:rFonts w:ascii="Palatino Linotype" w:eastAsia="Palatino Linotype" w:hAnsi="Palatino Linotype" w:cs="Palatino Linotype"/>
          <w:b/>
          <w:bCs/>
        </w:rPr>
      </w:pPr>
    </w:p>
    <w:p w:rsidR="00250C9F" w:rsidRPr="001B22C0" w:rsidRDefault="004E397F">
      <w:pPr>
        <w:numPr>
          <w:ilvl w:val="0"/>
          <w:numId w:val="4"/>
        </w:numPr>
        <w:spacing w:line="360" w:lineRule="auto"/>
        <w:jc w:val="both"/>
        <w:rPr>
          <w:rFonts w:ascii="Palatino Linotype" w:eastAsia="Palatino Linotype" w:hAnsi="Palatino Linotype" w:cs="Palatino Linotype"/>
          <w:b/>
          <w:bCs/>
        </w:rPr>
      </w:pPr>
      <w:r w:rsidRPr="001B22C0">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50C9F" w:rsidRPr="001B22C0" w:rsidRDefault="00250C9F">
      <w:pPr>
        <w:spacing w:line="360" w:lineRule="auto"/>
        <w:ind w:right="27"/>
        <w:rPr>
          <w:rFonts w:ascii="Palatino Linotype" w:eastAsia="Palatino Linotype" w:hAnsi="Palatino Linotype" w:cs="Palatino Linotype"/>
          <w:b/>
          <w:bCs/>
          <w:color w:val="000000"/>
        </w:rPr>
      </w:pPr>
    </w:p>
    <w:p w:rsidR="00250C9F" w:rsidRPr="001B22C0" w:rsidRDefault="004E397F">
      <w:pPr>
        <w:numPr>
          <w:ilvl w:val="0"/>
          <w:numId w:val="4"/>
        </w:numPr>
        <w:pBdr>
          <w:top w:val="nil"/>
          <w:left w:val="nil"/>
          <w:bottom w:val="nil"/>
          <w:right w:val="nil"/>
          <w:between w:val="nil"/>
        </w:pBdr>
        <w:shd w:val="clear" w:color="auto" w:fill="FDFCFB"/>
        <w:spacing w:line="360" w:lineRule="auto"/>
        <w:ind w:right="27"/>
        <w:jc w:val="both"/>
        <w:rPr>
          <w:color w:val="000000"/>
        </w:rPr>
      </w:pPr>
      <w:r w:rsidRPr="001B22C0">
        <w:rPr>
          <w:rFonts w:ascii="Palatino Linotype" w:eastAsia="Palatino Linotype" w:hAnsi="Palatino Linotype" w:cs="Palatino Linotype"/>
          <w:b/>
          <w:bCs/>
          <w:color w:val="000000"/>
        </w:rPr>
        <w:t> </w:t>
      </w:r>
      <w:r w:rsidRPr="001B22C0">
        <w:rPr>
          <w:color w:val="000000"/>
        </w:rPr>
        <w:t> </w:t>
      </w:r>
      <w:r w:rsidRPr="001B22C0">
        <w:rPr>
          <w:rFonts w:ascii="Palatino Linotype" w:eastAsia="Palatino Linotype" w:hAnsi="Palatino Linotype" w:cs="Palatino Linotype"/>
          <w:color w:val="000000"/>
        </w:rPr>
        <w:t xml:space="preserve">Por su parte, el artículo 12, de la Ley de la materia establece que los Sujetos Obligados sólo proporcionarán la información que generen, recopilen, administren, manejen, procesen, </w:t>
      </w:r>
      <w:r w:rsidRPr="001B22C0">
        <w:rPr>
          <w:rFonts w:ascii="Palatino Linotype" w:eastAsia="Palatino Linotype" w:hAnsi="Palatino Linotype" w:cs="Palatino Linotype"/>
          <w:color w:val="000000"/>
        </w:rPr>
        <w:lastRenderedPageBreak/>
        <w:t>archiven o conserven, y sólo facilitarán las que se les requiera y obre en sus archivos, en el estado en el que se encuentre, sin la obligación de generarla, resumirla, efectuar cálculos o practicar investigaciones; tal y como se señala a continuación:</w:t>
      </w:r>
    </w:p>
    <w:p w:rsidR="00250C9F" w:rsidRPr="001B22C0" w:rsidRDefault="004E397F">
      <w:pPr>
        <w:shd w:val="clear" w:color="auto" w:fill="FDFCFB"/>
        <w:jc w:val="both"/>
        <w:rPr>
          <w:color w:val="000000"/>
        </w:rPr>
      </w:pPr>
      <w:r w:rsidRPr="001B22C0">
        <w:rPr>
          <w:rFonts w:ascii="Palatino Linotype" w:eastAsia="Palatino Linotype" w:hAnsi="Palatino Linotype" w:cs="Palatino Linotype"/>
          <w:color w:val="000000"/>
        </w:rPr>
        <w:t> </w:t>
      </w:r>
    </w:p>
    <w:p w:rsidR="00250C9F" w:rsidRPr="001B22C0" w:rsidRDefault="004E397F">
      <w:pPr>
        <w:shd w:val="clear" w:color="auto" w:fill="FDFCFB"/>
        <w:ind w:left="1134" w:right="1134"/>
        <w:jc w:val="both"/>
        <w:rPr>
          <w:rFonts w:ascii="Century Gothic" w:eastAsia="Century Gothic" w:hAnsi="Century Gothic" w:cs="Century Gothic"/>
          <w:color w:val="000000"/>
        </w:rPr>
      </w:pPr>
      <w:r w:rsidRPr="001B22C0">
        <w:rPr>
          <w:rFonts w:ascii="Palatino Linotype" w:eastAsia="Palatino Linotype" w:hAnsi="Palatino Linotype" w:cs="Palatino Linotype"/>
          <w:i/>
          <w:iCs/>
          <w:color w:val="000000"/>
        </w:rPr>
        <w:t>“</w:t>
      </w:r>
      <w:r w:rsidRPr="001B22C0">
        <w:rPr>
          <w:rFonts w:ascii="Palatino Linotype" w:eastAsia="Palatino Linotype" w:hAnsi="Palatino Linotype" w:cs="Palatino Linotype"/>
          <w:b/>
          <w:bCs/>
          <w:i/>
          <w:iCs/>
          <w:color w:val="000000"/>
        </w:rPr>
        <w:t>Artículo 12.</w:t>
      </w:r>
      <w:r w:rsidRPr="001B22C0">
        <w:rPr>
          <w:rFonts w:ascii="Palatino Linotype" w:eastAsia="Palatino Linotype" w:hAnsi="Palatino Linotype" w:cs="Palatino Linotype"/>
          <w:i/>
          <w:iCs/>
          <w:color w:val="000000"/>
        </w:rPr>
        <w:t> Quienes generen, recopilen, administren, manejen, procesen, archiven o conserven información pública serán responsables de la misma en los términos de las disposiciones jurídicas aplicables.</w:t>
      </w:r>
    </w:p>
    <w:p w:rsidR="00250C9F" w:rsidRPr="001B22C0" w:rsidRDefault="004E397F">
      <w:pPr>
        <w:shd w:val="clear" w:color="auto" w:fill="FDFCFB"/>
        <w:ind w:left="1134" w:right="1134"/>
        <w:jc w:val="both"/>
        <w:rPr>
          <w:rFonts w:ascii="Century Gothic" w:eastAsia="Century Gothic" w:hAnsi="Century Gothic" w:cs="Century Gothic"/>
          <w:color w:val="000000"/>
        </w:rPr>
      </w:pPr>
      <w:r w:rsidRPr="001B22C0">
        <w:rPr>
          <w:rFonts w:ascii="Palatino Linotype" w:eastAsia="Palatino Linotype" w:hAnsi="Palatino Linotype" w:cs="Palatino Linotype"/>
          <w:i/>
          <w:iCs/>
          <w:color w:val="000000"/>
        </w:rPr>
        <w:t> </w:t>
      </w:r>
    </w:p>
    <w:p w:rsidR="00250C9F" w:rsidRPr="001B22C0" w:rsidRDefault="004E397F">
      <w:pPr>
        <w:shd w:val="clear" w:color="auto" w:fill="FDFCFB"/>
        <w:ind w:left="1134" w:right="1134"/>
        <w:jc w:val="both"/>
        <w:rPr>
          <w:color w:val="000000"/>
        </w:rPr>
      </w:pPr>
      <w:r w:rsidRPr="001B22C0">
        <w:rPr>
          <w:rFonts w:ascii="Palatino Linotype" w:eastAsia="Palatino Linotype" w:hAnsi="Palatino Linotype" w:cs="Palatino Linotype"/>
          <w:i/>
          <w:iCs/>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50C9F" w:rsidRPr="001B22C0" w:rsidRDefault="004E397F">
      <w:pPr>
        <w:shd w:val="clear" w:color="auto" w:fill="FDFCFB"/>
        <w:spacing w:line="360" w:lineRule="auto"/>
        <w:jc w:val="both"/>
        <w:rPr>
          <w:color w:val="000000"/>
        </w:rPr>
      </w:pPr>
      <w:r w:rsidRPr="001B22C0">
        <w:rPr>
          <w:rFonts w:ascii="Palatino Linotype" w:eastAsia="Palatino Linotype" w:hAnsi="Palatino Linotype" w:cs="Palatino Linotype"/>
          <w:color w:val="000000"/>
        </w:rPr>
        <w:t> </w:t>
      </w:r>
    </w:p>
    <w:p w:rsidR="00250C9F" w:rsidRPr="001B22C0" w:rsidRDefault="004E397F">
      <w:pPr>
        <w:numPr>
          <w:ilvl w:val="0"/>
          <w:numId w:val="2"/>
        </w:numPr>
        <w:pBdr>
          <w:top w:val="nil"/>
          <w:left w:val="nil"/>
          <w:bottom w:val="nil"/>
          <w:right w:val="nil"/>
          <w:between w:val="nil"/>
        </w:pBdr>
        <w:shd w:val="clear" w:color="auto" w:fill="FDFCFB"/>
        <w:spacing w:line="360" w:lineRule="auto"/>
        <w:ind w:left="0" w:firstLine="0"/>
        <w:jc w:val="both"/>
        <w:rPr>
          <w:color w:val="000000"/>
        </w:rPr>
      </w:pPr>
      <w:r w:rsidRPr="001B22C0">
        <w:rPr>
          <w:color w:val="000000"/>
        </w:rPr>
        <w:t> </w:t>
      </w:r>
      <w:r w:rsidRPr="001B22C0">
        <w:rPr>
          <w:rFonts w:ascii="Palatino Linotype" w:eastAsia="Palatino Linotype" w:hAnsi="Palatino Linotype" w:cs="Palatino Linotype"/>
          <w:color w:val="000000"/>
        </w:rPr>
        <w:t>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w:t>
      </w:r>
    </w:p>
    <w:p w:rsidR="00250C9F" w:rsidRPr="001B22C0" w:rsidRDefault="004E397F">
      <w:pPr>
        <w:shd w:val="clear" w:color="auto" w:fill="FDFCFB"/>
        <w:spacing w:line="360" w:lineRule="auto"/>
        <w:jc w:val="both"/>
        <w:rPr>
          <w:color w:val="000000"/>
        </w:rPr>
      </w:pPr>
      <w:r w:rsidRPr="001B22C0">
        <w:rPr>
          <w:rFonts w:ascii="Palatino Linotype" w:eastAsia="Palatino Linotype" w:hAnsi="Palatino Linotype" w:cs="Palatino Linotype"/>
          <w:b/>
          <w:bCs/>
          <w:color w:val="000000"/>
        </w:rPr>
        <w:t> </w:t>
      </w:r>
    </w:p>
    <w:p w:rsidR="00250C9F" w:rsidRPr="001B22C0" w:rsidRDefault="004E397F">
      <w:pPr>
        <w:numPr>
          <w:ilvl w:val="0"/>
          <w:numId w:val="2"/>
        </w:numPr>
        <w:pBdr>
          <w:top w:val="nil"/>
          <w:left w:val="nil"/>
          <w:bottom w:val="nil"/>
          <w:right w:val="nil"/>
          <w:between w:val="nil"/>
        </w:pBdr>
        <w:shd w:val="clear" w:color="auto" w:fill="FDFCFB"/>
        <w:spacing w:line="360" w:lineRule="auto"/>
        <w:ind w:left="0" w:firstLine="0"/>
        <w:jc w:val="both"/>
        <w:rPr>
          <w:color w:val="000000"/>
        </w:rPr>
      </w:pPr>
      <w:r w:rsidRPr="001B22C0">
        <w:rPr>
          <w:rFonts w:ascii="Palatino Linotype" w:eastAsia="Palatino Linotype" w:hAnsi="Palatino Linotype" w:cs="Palatino Linotype"/>
          <w:color w:val="000000"/>
        </w:rPr>
        <w:t>Como apoyo a lo anterior, es aplicable el Criterio 03-17, emitido por el Instituto Nacional de Transparencia, Acceso a la Información y Protección de Datos Personales, que dice:</w:t>
      </w:r>
    </w:p>
    <w:p w:rsidR="00250C9F" w:rsidRPr="001B22C0" w:rsidRDefault="004E397F">
      <w:pPr>
        <w:shd w:val="clear" w:color="auto" w:fill="FDFCFB"/>
        <w:jc w:val="both"/>
        <w:rPr>
          <w:color w:val="000000"/>
        </w:rPr>
      </w:pPr>
      <w:r w:rsidRPr="001B22C0">
        <w:rPr>
          <w:rFonts w:ascii="Palatino Linotype" w:eastAsia="Palatino Linotype" w:hAnsi="Palatino Linotype" w:cs="Palatino Linotype"/>
          <w:color w:val="000000"/>
        </w:rPr>
        <w:t> </w:t>
      </w:r>
    </w:p>
    <w:p w:rsidR="00250C9F" w:rsidRPr="001B22C0" w:rsidRDefault="004E397F">
      <w:pPr>
        <w:shd w:val="clear" w:color="auto" w:fill="FDFCFB"/>
        <w:ind w:left="1134" w:right="1134"/>
        <w:jc w:val="both"/>
        <w:rPr>
          <w:rFonts w:ascii="Century Gothic" w:eastAsia="Century Gothic" w:hAnsi="Century Gothic" w:cs="Century Gothic"/>
          <w:color w:val="000000"/>
        </w:rPr>
      </w:pPr>
      <w:r w:rsidRPr="001B22C0">
        <w:rPr>
          <w:rFonts w:ascii="Palatino Linotype" w:eastAsia="Palatino Linotype" w:hAnsi="Palatino Linotype" w:cs="Palatino Linotype"/>
          <w:b/>
          <w:bCs/>
          <w:i/>
          <w:iCs/>
          <w:color w:val="000000"/>
        </w:rPr>
        <w:t>“No existe obligación de elaborar documentos ad hoc para atender las solicitudes de acceso a la información.</w:t>
      </w:r>
      <w:r w:rsidRPr="001B22C0">
        <w:rPr>
          <w:rFonts w:ascii="Palatino Linotype" w:eastAsia="Palatino Linotype" w:hAnsi="Palatino Linotype" w:cs="Palatino Linotype"/>
          <w:i/>
          <w:iCs/>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w:t>
      </w:r>
      <w:r w:rsidRPr="001B22C0">
        <w:rPr>
          <w:rFonts w:ascii="Palatino Linotype" w:eastAsia="Palatino Linotype" w:hAnsi="Palatino Linotype" w:cs="Palatino Linotype"/>
          <w:i/>
          <w:iCs/>
          <w:color w:val="000000"/>
        </w:rPr>
        <w:lastRenderedPageBreak/>
        <w:t>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50C9F" w:rsidRPr="001B22C0" w:rsidRDefault="004E397F">
      <w:pPr>
        <w:shd w:val="clear" w:color="auto" w:fill="FDFCFB"/>
        <w:ind w:left="1134"/>
        <w:jc w:val="both"/>
        <w:rPr>
          <w:rFonts w:ascii="Century Gothic" w:eastAsia="Century Gothic" w:hAnsi="Century Gothic" w:cs="Century Gothic"/>
          <w:color w:val="000000"/>
        </w:rPr>
      </w:pPr>
      <w:r w:rsidRPr="001B22C0">
        <w:rPr>
          <w:rFonts w:ascii="Palatino Linotype" w:eastAsia="Palatino Linotype" w:hAnsi="Palatino Linotype" w:cs="Palatino Linotype"/>
          <w:i/>
          <w:iCs/>
          <w:color w:val="000000"/>
        </w:rPr>
        <w:t> Resoluciones:</w:t>
      </w:r>
    </w:p>
    <w:p w:rsidR="00250C9F" w:rsidRPr="001B22C0" w:rsidRDefault="004E397F">
      <w:pPr>
        <w:shd w:val="clear" w:color="auto" w:fill="FDFCFB"/>
        <w:ind w:left="1134" w:right="1134"/>
        <w:jc w:val="both"/>
        <w:rPr>
          <w:rFonts w:ascii="Century Gothic" w:eastAsia="Century Gothic" w:hAnsi="Century Gothic" w:cs="Century Gothic"/>
          <w:color w:val="000000"/>
        </w:rPr>
      </w:pPr>
      <w:r w:rsidRPr="001B22C0">
        <w:rPr>
          <w:rFonts w:ascii="Noto Sans Symbols" w:eastAsia="Noto Sans Symbols" w:hAnsi="Noto Sans Symbols" w:cs="Noto Sans Symbols"/>
          <w:i/>
          <w:iCs/>
          <w:color w:val="000000"/>
        </w:rPr>
        <w:t>∙</w:t>
      </w:r>
      <w:r w:rsidRPr="001B22C0">
        <w:rPr>
          <w:rFonts w:ascii="Palatino Linotype" w:eastAsia="Palatino Linotype" w:hAnsi="Palatino Linotype" w:cs="Palatino Linotype"/>
          <w:i/>
          <w:iCs/>
          <w:color w:val="000000"/>
        </w:rPr>
        <w:t> RRA 0050/16. Instituto Nacional para la Evaluación de la Educación. 13 julio de 2016. Por unanimidad. Comisionado Ponente: Francisco Javier Acuña Llamas.</w:t>
      </w:r>
    </w:p>
    <w:p w:rsidR="00250C9F" w:rsidRPr="001B22C0" w:rsidRDefault="004E397F">
      <w:pPr>
        <w:shd w:val="clear" w:color="auto" w:fill="FDFCFB"/>
        <w:ind w:left="1134" w:right="1134"/>
        <w:jc w:val="both"/>
        <w:rPr>
          <w:rFonts w:ascii="Century Gothic" w:eastAsia="Century Gothic" w:hAnsi="Century Gothic" w:cs="Century Gothic"/>
        </w:rPr>
      </w:pPr>
      <w:r w:rsidRPr="001B22C0">
        <w:rPr>
          <w:rFonts w:ascii="Noto Sans Symbols" w:eastAsia="Noto Sans Symbols" w:hAnsi="Noto Sans Symbols" w:cs="Noto Sans Symbols"/>
          <w:i/>
          <w:iCs/>
          <w:color w:val="000000"/>
        </w:rPr>
        <w:t>∙</w:t>
      </w:r>
      <w:r w:rsidRPr="001B22C0">
        <w:rPr>
          <w:rFonts w:ascii="Palatino Linotype" w:eastAsia="Palatino Linotype" w:hAnsi="Palatino Linotype" w:cs="Palatino Linotype"/>
          <w:i/>
          <w:iCs/>
          <w:color w:val="000000"/>
        </w:rPr>
        <w:t> RRA 0310/16. Instituto Nacional de Transparencia, Acceso a la Información y Protección de Datos Personales. </w:t>
      </w:r>
      <w:r w:rsidRPr="001B22C0">
        <w:rPr>
          <w:rFonts w:ascii="Palatino Linotype" w:eastAsia="Palatino Linotype" w:hAnsi="Palatino Linotype" w:cs="Palatino Linotype"/>
          <w:i/>
          <w:iCs/>
        </w:rPr>
        <w:t>10 de agosto de 2016. Por unanimidad. Comisionada Ponente. Areli Cano Guadiana.</w:t>
      </w:r>
    </w:p>
    <w:p w:rsidR="00250C9F" w:rsidRPr="001B22C0" w:rsidRDefault="004E397F">
      <w:pPr>
        <w:shd w:val="clear" w:color="auto" w:fill="FDFCFB"/>
        <w:ind w:left="1134" w:right="1134"/>
        <w:jc w:val="both"/>
        <w:rPr>
          <w:rFonts w:ascii="Palatino Linotype" w:eastAsia="Palatino Linotype" w:hAnsi="Palatino Linotype" w:cs="Palatino Linotype"/>
          <w:i/>
          <w:iCs/>
          <w:color w:val="000000"/>
        </w:rPr>
      </w:pPr>
      <w:r w:rsidRPr="001B22C0">
        <w:rPr>
          <w:rFonts w:ascii="Noto Sans Symbols" w:eastAsia="Noto Sans Symbols" w:hAnsi="Noto Sans Symbols" w:cs="Noto Sans Symbols"/>
          <w:i/>
          <w:iCs/>
        </w:rPr>
        <w:t>∙</w:t>
      </w:r>
      <w:r w:rsidRPr="001B22C0">
        <w:rPr>
          <w:rFonts w:ascii="Palatino Linotype" w:eastAsia="Palatino Linotype" w:hAnsi="Palatino Linotype" w:cs="Palatino Linotype"/>
          <w:i/>
          <w:iCs/>
        </w:rPr>
        <w:t> RRA 1889/16. Secretaría de Hacienda y Crédito Público. 05 de octubre </w:t>
      </w:r>
      <w:r w:rsidRPr="001B22C0">
        <w:rPr>
          <w:rFonts w:ascii="Palatino Linotype" w:eastAsia="Palatino Linotype" w:hAnsi="Palatino Linotype" w:cs="Palatino Linotype"/>
          <w:i/>
          <w:iCs/>
          <w:color w:val="000000"/>
        </w:rPr>
        <w:t>de 2016. Por unanimidad. Comisionada Ponente. Ximena Puente de la Mora.”</w:t>
      </w:r>
    </w:p>
    <w:p w:rsidR="00250C9F" w:rsidRPr="001B22C0" w:rsidRDefault="00250C9F">
      <w:pPr>
        <w:shd w:val="clear" w:color="auto" w:fill="FDFCFB"/>
        <w:spacing w:line="480" w:lineRule="auto"/>
        <w:ind w:left="1134" w:right="1134"/>
        <w:jc w:val="both"/>
        <w:rPr>
          <w:color w:val="000000"/>
        </w:rPr>
      </w:pPr>
    </w:p>
    <w:p w:rsidR="00250C9F" w:rsidRPr="001B22C0" w:rsidRDefault="004E397F">
      <w:pPr>
        <w:numPr>
          <w:ilvl w:val="0"/>
          <w:numId w:val="2"/>
        </w:numPr>
        <w:pBdr>
          <w:top w:val="nil"/>
          <w:left w:val="nil"/>
          <w:bottom w:val="nil"/>
          <w:right w:val="nil"/>
          <w:between w:val="nil"/>
        </w:pBdr>
        <w:shd w:val="clear" w:color="auto" w:fill="FDFCFB"/>
        <w:spacing w:line="360" w:lineRule="auto"/>
        <w:ind w:left="0" w:firstLine="0"/>
        <w:jc w:val="both"/>
        <w:rPr>
          <w:color w:val="000000"/>
        </w:rPr>
      </w:pPr>
      <w:r w:rsidRPr="001B22C0">
        <w:rPr>
          <w:rFonts w:ascii="Palatino Linotype" w:eastAsia="Palatino Linotype" w:hAnsi="Palatino Linotype" w:cs="Palatino Linotype"/>
          <w:color w:val="000000"/>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50C9F" w:rsidRPr="001B22C0" w:rsidRDefault="004E397F">
      <w:pPr>
        <w:shd w:val="clear" w:color="auto" w:fill="FDFCFB"/>
        <w:spacing w:line="360" w:lineRule="auto"/>
        <w:jc w:val="both"/>
        <w:rPr>
          <w:color w:val="000000"/>
        </w:rPr>
      </w:pPr>
      <w:r w:rsidRPr="001B22C0">
        <w:rPr>
          <w:rFonts w:ascii="Palatino Linotype" w:eastAsia="Palatino Linotype" w:hAnsi="Palatino Linotype" w:cs="Palatino Linotype"/>
          <w:b/>
          <w:bCs/>
          <w:color w:val="000000"/>
        </w:rPr>
        <w:t> </w:t>
      </w:r>
    </w:p>
    <w:p w:rsidR="00250C9F" w:rsidRPr="001B22C0" w:rsidRDefault="004E397F">
      <w:pPr>
        <w:numPr>
          <w:ilvl w:val="0"/>
          <w:numId w:val="2"/>
        </w:numPr>
        <w:pBdr>
          <w:top w:val="nil"/>
          <w:left w:val="nil"/>
          <w:bottom w:val="nil"/>
          <w:right w:val="nil"/>
          <w:between w:val="nil"/>
        </w:pBdr>
        <w:shd w:val="clear" w:color="auto" w:fill="FDFCFB"/>
        <w:spacing w:line="360" w:lineRule="auto"/>
        <w:ind w:left="0" w:firstLine="0"/>
        <w:jc w:val="both"/>
        <w:rPr>
          <w:color w:val="000000"/>
        </w:rPr>
      </w:pPr>
      <w:r w:rsidRPr="001B22C0">
        <w:rPr>
          <w:rFonts w:ascii="Palatino Linotype" w:eastAsia="Palatino Linotype" w:hAnsi="Palatino Linotype" w:cs="Palatino Linotype"/>
          <w:color w:val="00000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w:t>
      </w:r>
      <w:r w:rsidRPr="001B22C0">
        <w:rPr>
          <w:rFonts w:ascii="Palatino Linotype" w:eastAsia="Palatino Linotype" w:hAnsi="Palatino Linotype" w:cs="Palatino Linotype"/>
          <w:color w:val="000000"/>
        </w:rPr>
        <w:lastRenderedPageBreak/>
        <w:t>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rsidR="00250C9F" w:rsidRPr="001B22C0" w:rsidRDefault="004E397F">
      <w:pPr>
        <w:shd w:val="clear" w:color="auto" w:fill="FDFCFB"/>
        <w:spacing w:line="360" w:lineRule="auto"/>
        <w:jc w:val="both"/>
        <w:rPr>
          <w:color w:val="000000"/>
        </w:rPr>
      </w:pPr>
      <w:r w:rsidRPr="001B22C0">
        <w:rPr>
          <w:rFonts w:ascii="Palatino Linotype" w:eastAsia="Palatino Linotype" w:hAnsi="Palatino Linotype" w:cs="Palatino Linotype"/>
          <w:color w:val="000000"/>
        </w:rPr>
        <w:t> </w:t>
      </w:r>
    </w:p>
    <w:p w:rsidR="00250C9F" w:rsidRPr="001B22C0" w:rsidRDefault="004E397F">
      <w:pPr>
        <w:shd w:val="clear" w:color="auto" w:fill="FDFCFB"/>
        <w:spacing w:line="276" w:lineRule="auto"/>
        <w:ind w:left="1134" w:right="1134"/>
        <w:jc w:val="both"/>
        <w:rPr>
          <w:rFonts w:ascii="Century Gothic" w:eastAsia="Century Gothic" w:hAnsi="Century Gothic" w:cs="Century Gothic"/>
          <w:color w:val="000000"/>
        </w:rPr>
      </w:pPr>
      <w:r w:rsidRPr="001B22C0">
        <w:rPr>
          <w:rFonts w:ascii="Palatino Linotype" w:eastAsia="Palatino Linotype" w:hAnsi="Palatino Linotype" w:cs="Palatino Linotype"/>
          <w:b/>
          <w:bCs/>
          <w:i/>
          <w:iCs/>
          <w:color w:val="000000"/>
        </w:rPr>
        <w:t>“Artículo 3.</w:t>
      </w:r>
      <w:r w:rsidRPr="001B22C0">
        <w:rPr>
          <w:rFonts w:ascii="Palatino Linotype" w:eastAsia="Palatino Linotype" w:hAnsi="Palatino Linotype" w:cs="Palatino Linotype"/>
          <w:i/>
          <w:iCs/>
          <w:color w:val="000000"/>
        </w:rPr>
        <w:t> Para los efectos de la presente Ley se entenderá por:</w:t>
      </w:r>
    </w:p>
    <w:p w:rsidR="00250C9F" w:rsidRPr="001B22C0" w:rsidRDefault="004E397F">
      <w:pPr>
        <w:shd w:val="clear" w:color="auto" w:fill="FDFCFB"/>
        <w:spacing w:line="276" w:lineRule="auto"/>
        <w:ind w:left="1134" w:right="1134"/>
        <w:jc w:val="both"/>
        <w:rPr>
          <w:rFonts w:ascii="Century Gothic" w:eastAsia="Century Gothic" w:hAnsi="Century Gothic" w:cs="Century Gothic"/>
          <w:color w:val="000000"/>
        </w:rPr>
      </w:pPr>
      <w:r w:rsidRPr="001B22C0">
        <w:rPr>
          <w:rFonts w:ascii="Palatino Linotype" w:eastAsia="Palatino Linotype" w:hAnsi="Palatino Linotype" w:cs="Palatino Linotype"/>
          <w:i/>
          <w:iCs/>
          <w:color w:val="000000"/>
        </w:rPr>
        <w:t>(…)</w:t>
      </w:r>
    </w:p>
    <w:p w:rsidR="00250C9F" w:rsidRPr="001B22C0" w:rsidRDefault="004E397F">
      <w:pPr>
        <w:shd w:val="clear" w:color="auto" w:fill="FDFCFB"/>
        <w:spacing w:line="276" w:lineRule="auto"/>
        <w:ind w:left="1134" w:right="1134"/>
        <w:jc w:val="both"/>
        <w:rPr>
          <w:rFonts w:ascii="Century Gothic" w:eastAsia="Century Gothic" w:hAnsi="Century Gothic" w:cs="Century Gothic"/>
          <w:color w:val="000000"/>
        </w:rPr>
      </w:pPr>
      <w:r w:rsidRPr="001B22C0">
        <w:rPr>
          <w:rFonts w:ascii="Palatino Linotype" w:eastAsia="Palatino Linotype" w:hAnsi="Palatino Linotype" w:cs="Palatino Linotype"/>
          <w:b/>
          <w:bCs/>
          <w:i/>
          <w:iCs/>
          <w:color w:val="000000"/>
        </w:rPr>
        <w:t>XI. Documento:</w:t>
      </w:r>
      <w:r w:rsidRPr="001B22C0">
        <w:rPr>
          <w:rFonts w:ascii="Palatino Linotype" w:eastAsia="Palatino Linotype" w:hAnsi="Palatino Linotype" w:cs="Palatino Linotype"/>
          <w:i/>
          <w:iCs/>
          <w:color w:val="000000"/>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1B22C0">
        <w:rPr>
          <w:rFonts w:ascii="Palatino Linotype" w:eastAsia="Palatino Linotype" w:hAnsi="Palatino Linotype" w:cs="Palatino Linotype"/>
          <w:b/>
          <w:bCs/>
          <w:i/>
          <w:iCs/>
          <w:color w:val="000000"/>
        </w:rPr>
        <w:t>Los documentos podrán estar en cualquier medio, sea escrito, impreso, sonoro, visual, electrónico, informático u holográfico;</w:t>
      </w:r>
    </w:p>
    <w:p w:rsidR="00250C9F" w:rsidRPr="001B22C0" w:rsidRDefault="004E397F">
      <w:pPr>
        <w:shd w:val="clear" w:color="auto" w:fill="FDFCFB"/>
        <w:spacing w:line="276" w:lineRule="auto"/>
        <w:ind w:left="1134" w:right="1134"/>
        <w:jc w:val="both"/>
        <w:rPr>
          <w:rFonts w:ascii="Century Gothic" w:eastAsia="Century Gothic" w:hAnsi="Century Gothic" w:cs="Century Gothic"/>
          <w:color w:val="000000"/>
        </w:rPr>
      </w:pPr>
      <w:r w:rsidRPr="001B22C0">
        <w:rPr>
          <w:rFonts w:ascii="Palatino Linotype" w:eastAsia="Palatino Linotype" w:hAnsi="Palatino Linotype" w:cs="Palatino Linotype"/>
          <w:i/>
          <w:iCs/>
          <w:color w:val="000000"/>
        </w:rPr>
        <w:t>(…)”</w:t>
      </w:r>
    </w:p>
    <w:p w:rsidR="00250C9F" w:rsidRPr="001B22C0" w:rsidRDefault="004E397F">
      <w:pPr>
        <w:shd w:val="clear" w:color="auto" w:fill="FDFCFB"/>
        <w:spacing w:line="360" w:lineRule="auto"/>
        <w:jc w:val="both"/>
        <w:rPr>
          <w:color w:val="000000"/>
        </w:rPr>
      </w:pPr>
      <w:r w:rsidRPr="001B22C0">
        <w:rPr>
          <w:rFonts w:ascii="Palatino Linotype" w:eastAsia="Palatino Linotype" w:hAnsi="Palatino Linotype" w:cs="Palatino Linotype"/>
          <w:b/>
          <w:bCs/>
          <w:color w:val="000000"/>
        </w:rPr>
        <w:t> </w:t>
      </w:r>
    </w:p>
    <w:p w:rsidR="00250C9F" w:rsidRPr="001B22C0" w:rsidRDefault="004E397F">
      <w:pPr>
        <w:numPr>
          <w:ilvl w:val="0"/>
          <w:numId w:val="2"/>
        </w:numPr>
        <w:pBdr>
          <w:top w:val="nil"/>
          <w:left w:val="nil"/>
          <w:bottom w:val="nil"/>
          <w:right w:val="nil"/>
          <w:between w:val="nil"/>
        </w:pBdr>
        <w:shd w:val="clear" w:color="auto" w:fill="FDFCFB"/>
        <w:spacing w:line="360" w:lineRule="auto"/>
        <w:ind w:left="0" w:firstLine="0"/>
        <w:jc w:val="both"/>
        <w:rPr>
          <w:color w:val="000000"/>
        </w:rPr>
      </w:pPr>
      <w:r w:rsidRPr="001B22C0">
        <w:rPr>
          <w:rFonts w:ascii="Palatino Linotype" w:eastAsia="Palatino Linotype" w:hAnsi="Palatino Linotype" w:cs="Palatino Linotype"/>
          <w:color w:val="000000"/>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50C9F" w:rsidRPr="001B22C0" w:rsidRDefault="004E397F">
      <w:pPr>
        <w:shd w:val="clear" w:color="auto" w:fill="FDFCFB"/>
        <w:jc w:val="both"/>
        <w:rPr>
          <w:color w:val="000000"/>
        </w:rPr>
      </w:pPr>
      <w:r w:rsidRPr="001B22C0">
        <w:rPr>
          <w:rFonts w:ascii="Palatino Linotype" w:eastAsia="Palatino Linotype" w:hAnsi="Palatino Linotype" w:cs="Palatino Linotype"/>
          <w:color w:val="000000"/>
        </w:rPr>
        <w:t> </w:t>
      </w:r>
    </w:p>
    <w:p w:rsidR="00250C9F" w:rsidRPr="001B22C0" w:rsidRDefault="004E397F">
      <w:pPr>
        <w:shd w:val="clear" w:color="auto" w:fill="FDFCFB"/>
        <w:ind w:left="1134" w:right="1134"/>
        <w:jc w:val="both"/>
        <w:rPr>
          <w:rFonts w:ascii="Century Gothic" w:eastAsia="Century Gothic" w:hAnsi="Century Gothic" w:cs="Century Gothic"/>
          <w:color w:val="000000"/>
        </w:rPr>
      </w:pPr>
      <w:r w:rsidRPr="001B22C0">
        <w:rPr>
          <w:rFonts w:ascii="Palatino Linotype" w:eastAsia="Palatino Linotype" w:hAnsi="Palatino Linotype" w:cs="Palatino Linotype"/>
          <w:i/>
          <w:iCs/>
          <w:color w:val="000000"/>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w:t>
      </w:r>
      <w:r w:rsidRPr="001B22C0">
        <w:rPr>
          <w:rFonts w:ascii="Palatino Linotype" w:eastAsia="Palatino Linotype" w:hAnsi="Palatino Linotype" w:cs="Palatino Linotype"/>
          <w:i/>
          <w:iCs/>
          <w:color w:val="000000"/>
        </w:rPr>
        <w:lastRenderedPageBreak/>
        <w:t>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250C9F" w:rsidRPr="001B22C0" w:rsidRDefault="004E397F">
      <w:pPr>
        <w:spacing w:line="480" w:lineRule="auto"/>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 </w:t>
      </w:r>
    </w:p>
    <w:p w:rsidR="00250C9F" w:rsidRPr="001B22C0" w:rsidRDefault="004E397F">
      <w:pPr>
        <w:numPr>
          <w:ilvl w:val="0"/>
          <w:numId w:val="2"/>
        </w:numP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Seguidamente, si de las documentales referidas hubieran datos que no debieran  ser públicos, el </w:t>
      </w:r>
      <w:r w:rsidRPr="001B22C0">
        <w:rPr>
          <w:rFonts w:ascii="Palatino Linotype" w:eastAsia="Palatino Linotype" w:hAnsi="Palatino Linotype" w:cs="Palatino Linotype"/>
          <w:b/>
          <w:bCs/>
          <w:color w:val="000000"/>
        </w:rPr>
        <w:t xml:space="preserve">SUJETO OBLIGADO </w:t>
      </w:r>
      <w:r w:rsidRPr="001B22C0">
        <w:rPr>
          <w:rFonts w:ascii="Palatino Linotype" w:eastAsia="Palatino Linotype" w:hAnsi="Palatino Linotype" w:cs="Palatino Linotype"/>
          <w:color w:val="000000"/>
        </w:rPr>
        <w:t xml:space="preserve">deberá de emitir el Acuerdo de Clasificación de Información del Comité de Transparencia, mediante el cual de manera fundada y motivada exponga las razones por las cuales dichos datos no pueden ser del conocimiento del </w:t>
      </w:r>
      <w:r w:rsidRPr="001B22C0">
        <w:rPr>
          <w:rFonts w:ascii="Palatino Linotype" w:eastAsia="Palatino Linotype" w:hAnsi="Palatino Linotype" w:cs="Palatino Linotype"/>
          <w:b/>
          <w:bCs/>
          <w:color w:val="000000"/>
        </w:rPr>
        <w:t xml:space="preserve">RECURRENTE. </w:t>
      </w:r>
    </w:p>
    <w:p w:rsidR="001B22C0" w:rsidRDefault="001B22C0">
      <w:pPr>
        <w:keepNext/>
        <w:keepLines/>
        <w:spacing w:line="360" w:lineRule="auto"/>
        <w:rPr>
          <w:rFonts w:ascii="Palatino Linotype" w:eastAsia="Palatino Linotype" w:hAnsi="Palatino Linotype" w:cs="Palatino Linotype"/>
          <w:b/>
          <w:bCs/>
          <w:color w:val="000000"/>
        </w:rPr>
      </w:pPr>
    </w:p>
    <w:p w:rsidR="00250C9F" w:rsidRPr="001B22C0" w:rsidRDefault="004E397F">
      <w:pPr>
        <w:keepNext/>
        <w:keepLines/>
        <w:spacing w:line="360" w:lineRule="auto"/>
        <w:rPr>
          <w:rFonts w:ascii="Palatino Linotype" w:eastAsia="Palatino Linotype" w:hAnsi="Palatino Linotype" w:cs="Palatino Linotype"/>
          <w:b/>
          <w:bCs/>
          <w:color w:val="000000"/>
        </w:rPr>
      </w:pPr>
      <w:r w:rsidRPr="001B22C0">
        <w:rPr>
          <w:rFonts w:ascii="Palatino Linotype" w:eastAsia="Palatino Linotype" w:hAnsi="Palatino Linotype" w:cs="Palatino Linotype"/>
          <w:b/>
          <w:bCs/>
          <w:color w:val="000000"/>
        </w:rPr>
        <w:t>QUINTO. De la versión pública.</w:t>
      </w:r>
    </w:p>
    <w:p w:rsidR="00250C9F" w:rsidRPr="001B22C0" w:rsidRDefault="004E397F">
      <w:pPr>
        <w:numPr>
          <w:ilvl w:val="0"/>
          <w:numId w:val="10"/>
        </w:numPr>
        <w:spacing w:line="360" w:lineRule="auto"/>
        <w:ind w:left="0" w:right="49" w:firstLine="0"/>
        <w:jc w:val="both"/>
        <w:rPr>
          <w:rFonts w:ascii="Palatino Linotype" w:eastAsia="Palatino Linotype" w:hAnsi="Palatino Linotype" w:cs="Palatino Linotype"/>
          <w:color w:val="000000"/>
        </w:rPr>
      </w:pPr>
      <w:bookmarkStart w:id="11" w:name="_heading=h.8porszv8ww1h" w:colFirst="0" w:colLast="0"/>
      <w:bookmarkEnd w:id="11"/>
      <w:r w:rsidRPr="001B22C0">
        <w:rPr>
          <w:rFonts w:ascii="Palatino Linotype" w:eastAsia="Palatino Linotype" w:hAnsi="Palatino Linotype" w:cs="Palatino Linotype"/>
          <w:color w:val="000000"/>
        </w:rPr>
        <w:t xml:space="preserve">Debe destacarse, que debido a la información solicitada por el </w:t>
      </w:r>
      <w:r w:rsidRPr="001B22C0">
        <w:rPr>
          <w:rFonts w:ascii="Palatino Linotype" w:eastAsia="Palatino Linotype" w:hAnsi="Palatino Linotype" w:cs="Palatino Linotype"/>
          <w:b/>
          <w:bCs/>
          <w:color w:val="000000"/>
        </w:rPr>
        <w:t xml:space="preserve">RECURRENTE, </w:t>
      </w:r>
      <w:r w:rsidRPr="001B22C0">
        <w:rPr>
          <w:rFonts w:ascii="Palatino Linotype" w:eastAsia="Palatino Linotype" w:hAnsi="Palatino Linotype" w:cs="Palatino Linotype"/>
          <w:color w:val="000000"/>
        </w:rPr>
        <w:t xml:space="preserve">pueden obrar datos personales susceptibles de protegerse, así como información susceptible de clasificarse como confidencial,  por lo que, el </w:t>
      </w:r>
      <w:r w:rsidRPr="001B22C0">
        <w:rPr>
          <w:rFonts w:ascii="Palatino Linotype" w:eastAsia="Palatino Linotype" w:hAnsi="Palatino Linotype" w:cs="Palatino Linotype"/>
          <w:b/>
          <w:bCs/>
          <w:color w:val="000000"/>
        </w:rPr>
        <w:t xml:space="preserve">SUJETO OBLIGADO </w:t>
      </w:r>
      <w:r w:rsidRPr="001B22C0">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250C9F" w:rsidRPr="001B22C0" w:rsidRDefault="00250C9F">
      <w:pPr>
        <w:tabs>
          <w:tab w:val="left" w:pos="0"/>
          <w:tab w:val="left" w:pos="284"/>
        </w:tabs>
        <w:spacing w:line="360" w:lineRule="auto"/>
        <w:ind w:right="49"/>
        <w:jc w:val="both"/>
        <w:rPr>
          <w:rFonts w:ascii="Palatino Linotype" w:eastAsia="Palatino Linotype" w:hAnsi="Palatino Linotype" w:cs="Palatino Linotype"/>
          <w:highlight w:val="yellow"/>
        </w:rPr>
      </w:pPr>
    </w:p>
    <w:p w:rsidR="00250C9F" w:rsidRPr="001B22C0" w:rsidRDefault="004E397F">
      <w:pPr>
        <w:numPr>
          <w:ilvl w:val="0"/>
          <w:numId w:val="10"/>
        </w:numPr>
        <w:tabs>
          <w:tab w:val="left" w:pos="0"/>
        </w:tabs>
        <w:spacing w:line="360" w:lineRule="auto"/>
        <w:ind w:left="0" w:right="49"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No pasa desapercibido para este Órgano Garante que los sujetos obligados</w:t>
      </w:r>
      <w:r w:rsidRPr="001B22C0">
        <w:rPr>
          <w:rFonts w:ascii="Palatino Linotype" w:eastAsia="Palatino Linotype" w:hAnsi="Palatino Linotype" w:cs="Palatino Linotype"/>
          <w:b/>
          <w:bCs/>
          <w:color w:val="000000"/>
        </w:rPr>
        <w:t xml:space="preserve"> </w:t>
      </w:r>
      <w:r w:rsidRPr="001B22C0">
        <w:rPr>
          <w:rFonts w:ascii="Palatino Linotype" w:eastAsia="Palatino Linotype" w:hAnsi="Palatino Linotype" w:cs="Palatino Linotype"/>
          <w:color w:val="000000"/>
        </w:rPr>
        <w:t xml:space="preserve">serán responsables de los datos personales en su posesión y que, en caso de localizarse datos </w:t>
      </w:r>
      <w:r w:rsidRPr="001B22C0">
        <w:rPr>
          <w:rFonts w:ascii="Palatino Linotype" w:eastAsia="Palatino Linotype" w:hAnsi="Palatino Linotype" w:cs="Palatino Linotype"/>
          <w:color w:val="000000"/>
        </w:rPr>
        <w:lastRenderedPageBreak/>
        <w:t>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
        <w:tblW w:w="991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72"/>
        <w:gridCol w:w="6946"/>
      </w:tblGrid>
      <w:tr w:rsidR="00250C9F" w:rsidRPr="001B22C0" w:rsidTr="001B22C0">
        <w:tc>
          <w:tcPr>
            <w:tcW w:w="2972" w:type="dxa"/>
          </w:tcPr>
          <w:p w:rsidR="00250C9F" w:rsidRPr="001B22C0" w:rsidRDefault="004E397F" w:rsidP="001B22C0">
            <w:pPr>
              <w:spacing w:line="360" w:lineRule="auto"/>
              <w:ind w:left="-262"/>
              <w:rPr>
                <w:rFonts w:ascii="Palatino Linotype" w:eastAsia="Palatino Linotype" w:hAnsi="Palatino Linotype" w:cs="Palatino Linotype"/>
                <w:b/>
                <w:bCs/>
              </w:rPr>
            </w:pPr>
            <w:r w:rsidRPr="001B22C0">
              <w:rPr>
                <w:rFonts w:ascii="Palatino Linotype" w:eastAsia="Palatino Linotype" w:hAnsi="Palatino Linotype" w:cs="Palatino Linotype"/>
                <w:color w:val="000000"/>
              </w:rPr>
              <w:tab/>
            </w:r>
            <w:r w:rsidRPr="001B22C0">
              <w:rPr>
                <w:rFonts w:ascii="Palatino Linotype" w:eastAsia="Palatino Linotype" w:hAnsi="Palatino Linotype" w:cs="Palatino Linotype"/>
                <w:b/>
                <w:bCs/>
              </w:rPr>
              <w:t>a) Requisitos previos.</w:t>
            </w:r>
          </w:p>
        </w:tc>
        <w:tc>
          <w:tcPr>
            <w:tcW w:w="6946" w:type="dxa"/>
          </w:tcPr>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El artículo 122 de la Ley Estatal señala que si los Sujetos Obligados determinan que la información actualiza alguno de los supuestos de clasificación, es deber de los titulares de las áreas proponer su clasificación y no del Comité de Transparencia. </w:t>
            </w:r>
          </w:p>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Al hacerlo tienen que precisar de qué información se trata, señalando el supuesto de clasificación (confidencialidad o reserva).</w:t>
            </w:r>
          </w:p>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Además, se debe señalar el procedimiento, de los tres que establecen el artículo 132 de la Ley Estatal.</w:t>
            </w:r>
          </w:p>
          <w:p w:rsidR="00250C9F" w:rsidRPr="001B22C0" w:rsidRDefault="004E397F">
            <w:pPr>
              <w:tabs>
                <w:tab w:val="left" w:pos="284"/>
              </w:tabs>
              <w:spacing w:line="276" w:lineRule="auto"/>
              <w:jc w:val="both"/>
              <w:rPr>
                <w:rFonts w:ascii="Palatino Linotype" w:eastAsia="Palatino Linotype" w:hAnsi="Palatino Linotype" w:cs="Palatino Linotype"/>
                <w:i/>
                <w:iCs/>
              </w:rPr>
            </w:pPr>
            <w:r w:rsidRPr="001B22C0">
              <w:rPr>
                <w:rFonts w:ascii="Palatino Linotype" w:eastAsia="Palatino Linotype" w:hAnsi="Palatino Linotype" w:cs="Palatino Linotype"/>
                <w:i/>
                <w:iCs/>
                <w:color w:val="000000"/>
              </w:rPr>
              <w:t xml:space="preserve">El último de estos requisitos previos consiste en que no se pueden emitir acuerdos de carácter general ni particular, esto es, </w:t>
            </w:r>
            <w:r w:rsidRPr="001B22C0">
              <w:rPr>
                <w:rFonts w:ascii="Palatino Linotype" w:eastAsia="Palatino Linotype" w:hAnsi="Palatino Linotype" w:cs="Palatino Linotype"/>
                <w:i/>
                <w:iCs/>
                <w:color w:val="000000"/>
                <w:u w:val="single"/>
              </w:rPr>
              <w:t>no se puede hacer un acuerdo para clasificar de manera general todos los documentos de un expediente o área, sin</w:t>
            </w:r>
            <w:r w:rsidRPr="001B22C0">
              <w:rPr>
                <w:rFonts w:ascii="Palatino Linotype" w:eastAsia="Palatino Linotype" w:hAnsi="Palatino Linotype" w:cs="Palatino Linotype"/>
                <w:i/>
                <w:iCs/>
                <w:color w:val="000000"/>
              </w:rPr>
              <w:t xml:space="preserve"> individualizar su análisis y tampoco se puede hacer un acuerdo por cada dato que se vaya a clasificar dentro de un documento con diez datos, por ejemplo, susceptibles de ser clasificados.</w:t>
            </w:r>
          </w:p>
        </w:tc>
      </w:tr>
      <w:tr w:rsidR="00250C9F" w:rsidRPr="001B22C0" w:rsidTr="001B22C0">
        <w:tc>
          <w:tcPr>
            <w:tcW w:w="2972" w:type="dxa"/>
            <w:shd w:val="clear" w:color="auto" w:fill="D9D9D9"/>
          </w:tcPr>
          <w:p w:rsidR="00250C9F" w:rsidRPr="001B22C0" w:rsidRDefault="004E397F">
            <w:pPr>
              <w:tabs>
                <w:tab w:val="left" w:pos="284"/>
              </w:tabs>
              <w:spacing w:line="360" w:lineRule="auto"/>
              <w:rPr>
                <w:rFonts w:ascii="Palatino Linotype" w:eastAsia="Palatino Linotype" w:hAnsi="Palatino Linotype" w:cs="Palatino Linotype"/>
                <w:b/>
                <w:bCs/>
              </w:rPr>
            </w:pPr>
            <w:r w:rsidRPr="001B22C0">
              <w:rPr>
                <w:rFonts w:ascii="Palatino Linotype" w:eastAsia="Palatino Linotype" w:hAnsi="Palatino Linotype" w:cs="Palatino Linotype"/>
                <w:b/>
                <w:bCs/>
              </w:rPr>
              <w:t>b) Supuestos de clasificación.</w:t>
            </w:r>
          </w:p>
        </w:tc>
        <w:tc>
          <w:tcPr>
            <w:tcW w:w="6946" w:type="dxa"/>
            <w:shd w:val="clear" w:color="auto" w:fill="D9D9D9"/>
          </w:tcPr>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Las disposiciones constitucionales y legales en la materia establecen los dos supuestos generales para clasificar la información: por reserva y por confidencialidad.</w:t>
            </w:r>
          </w:p>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El artículo 143 de la Ley Estatal señala los supuestos para que la información pueda ser clasificada como confidencial. Mientras que el artículo 130 de la Ley Estatal señala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50C9F" w:rsidRPr="001B22C0" w:rsidRDefault="004E397F">
            <w:pPr>
              <w:tabs>
                <w:tab w:val="left" w:pos="284"/>
              </w:tabs>
              <w:spacing w:line="276" w:lineRule="auto"/>
              <w:jc w:val="both"/>
              <w:rPr>
                <w:rFonts w:ascii="Palatino Linotype" w:eastAsia="Palatino Linotype" w:hAnsi="Palatino Linotype" w:cs="Palatino Linotype"/>
                <w:i/>
                <w:iCs/>
              </w:rPr>
            </w:pPr>
            <w:r w:rsidRPr="001B22C0">
              <w:rPr>
                <w:rFonts w:ascii="Palatino Linotype" w:eastAsia="Palatino Linotype" w:hAnsi="Palatino Linotype" w:cs="Palatino Linotype"/>
                <w:i/>
                <w:iCs/>
                <w:color w:val="000000"/>
              </w:rPr>
              <w:lastRenderedPageBreak/>
              <w:t xml:space="preserve">El </w:t>
            </w:r>
            <w:r w:rsidRPr="001B22C0">
              <w:rPr>
                <w:rFonts w:ascii="Palatino Linotype" w:eastAsia="Palatino Linotype" w:hAnsi="Palatino Linotype" w:cs="Palatino Linotype"/>
                <w:b/>
                <w:bCs/>
                <w:i/>
                <w:iCs/>
                <w:color w:val="000000"/>
              </w:rPr>
              <w:t>Sujeto Obligado</w:t>
            </w:r>
            <w:r w:rsidRPr="001B22C0">
              <w:rPr>
                <w:rFonts w:ascii="Palatino Linotype" w:eastAsia="Palatino Linotype" w:hAnsi="Palatino Linotype" w:cs="Palatino Linotype"/>
                <w:i/>
                <w:iCs/>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50C9F" w:rsidRPr="001B22C0" w:rsidTr="001B22C0">
        <w:tc>
          <w:tcPr>
            <w:tcW w:w="2972" w:type="dxa"/>
          </w:tcPr>
          <w:p w:rsidR="00250C9F" w:rsidRPr="001B22C0" w:rsidRDefault="004E397F">
            <w:pPr>
              <w:tabs>
                <w:tab w:val="left" w:pos="284"/>
              </w:tabs>
              <w:spacing w:line="360" w:lineRule="auto"/>
              <w:rPr>
                <w:rFonts w:ascii="Palatino Linotype" w:eastAsia="Palatino Linotype" w:hAnsi="Palatino Linotype" w:cs="Palatino Linotype"/>
                <w:b/>
                <w:bCs/>
              </w:rPr>
            </w:pPr>
            <w:r w:rsidRPr="001B22C0">
              <w:rPr>
                <w:rFonts w:ascii="Palatino Linotype" w:eastAsia="Palatino Linotype" w:hAnsi="Palatino Linotype" w:cs="Palatino Linotype"/>
                <w:b/>
                <w:bCs/>
              </w:rPr>
              <w:lastRenderedPageBreak/>
              <w:t>c) Formalidades para emitir el acuerdo de clasificación.</w:t>
            </w:r>
          </w:p>
        </w:tc>
        <w:tc>
          <w:tcPr>
            <w:tcW w:w="6946" w:type="dxa"/>
          </w:tcPr>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El Comité de Transparencia, según lo dispuesto en los artículos cuenta con las facultades para aprobar, modificar o revocar la clasificación de la información que haya propuesto. </w:t>
            </w:r>
          </w:p>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Es necesario que </w:t>
            </w:r>
            <w:r w:rsidRPr="001B22C0">
              <w:rPr>
                <w:rFonts w:ascii="Palatino Linotype" w:eastAsia="Palatino Linotype" w:hAnsi="Palatino Linotype" w:cs="Palatino Linotype"/>
                <w:b/>
                <w:bCs/>
                <w:i/>
                <w:iCs/>
                <w:color w:val="000000"/>
                <w:u w:val="single"/>
              </w:rPr>
              <w:t>el acto reúna con los requisitos elementales</w:t>
            </w:r>
            <w:r w:rsidRPr="001B22C0">
              <w:rPr>
                <w:rFonts w:ascii="Palatino Linotype" w:eastAsia="Palatino Linotype" w:hAnsi="Palatino Linotype" w:cs="Palatino Linotype"/>
                <w:i/>
                <w:iCs/>
                <w:color w:val="000000"/>
              </w:rPr>
              <w:t>, entre ellos, que la autoridad que va a emitir el acto de autoridad sea la legalmente facultada para ello.</w:t>
            </w:r>
          </w:p>
          <w:p w:rsidR="00250C9F" w:rsidRPr="001B22C0" w:rsidRDefault="004E397F">
            <w:pPr>
              <w:tabs>
                <w:tab w:val="left" w:pos="284"/>
              </w:tabs>
              <w:spacing w:line="276" w:lineRule="auto"/>
              <w:jc w:val="both"/>
              <w:rPr>
                <w:rFonts w:ascii="Palatino Linotype" w:eastAsia="Palatino Linotype" w:hAnsi="Palatino Linotype" w:cs="Palatino Linotype"/>
                <w:i/>
                <w:iCs/>
              </w:rPr>
            </w:pPr>
            <w:r w:rsidRPr="001B22C0">
              <w:rPr>
                <w:rFonts w:ascii="Palatino Linotype" w:eastAsia="Palatino Linotype" w:hAnsi="Palatino Linotype" w:cs="Palatino Linotype"/>
                <w:i/>
                <w:iCs/>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1B22C0">
              <w:rPr>
                <w:rFonts w:ascii="Palatino Linotype" w:eastAsia="Palatino Linotype" w:hAnsi="Palatino Linotype" w:cs="Palatino Linotype"/>
                <w:i/>
                <w:iCs/>
              </w:rPr>
              <w:t>El área</w:t>
            </w:r>
            <w:r w:rsidRPr="001B22C0">
              <w:rPr>
                <w:rFonts w:ascii="Palatino Linotype" w:eastAsia="Palatino Linotype" w:hAnsi="Palatino Linotype" w:cs="Palatino Linotype"/>
                <w:i/>
                <w:iCs/>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50C9F" w:rsidRPr="001B22C0" w:rsidTr="001B22C0">
        <w:tc>
          <w:tcPr>
            <w:tcW w:w="2972" w:type="dxa"/>
            <w:shd w:val="clear" w:color="auto" w:fill="D9D9D9"/>
          </w:tcPr>
          <w:p w:rsidR="00250C9F" w:rsidRPr="001B22C0" w:rsidRDefault="00250C9F">
            <w:pPr>
              <w:tabs>
                <w:tab w:val="left" w:pos="284"/>
              </w:tabs>
              <w:spacing w:line="360" w:lineRule="auto"/>
              <w:rPr>
                <w:rFonts w:ascii="Palatino Linotype" w:eastAsia="Palatino Linotype" w:hAnsi="Palatino Linotype" w:cs="Palatino Linotype"/>
                <w:b/>
                <w:bCs/>
              </w:rPr>
            </w:pPr>
          </w:p>
          <w:p w:rsidR="00250C9F" w:rsidRPr="001B22C0" w:rsidRDefault="004E397F">
            <w:pPr>
              <w:tabs>
                <w:tab w:val="left" w:pos="284"/>
              </w:tabs>
              <w:spacing w:line="360" w:lineRule="auto"/>
              <w:jc w:val="both"/>
              <w:rPr>
                <w:rFonts w:ascii="Palatino Linotype" w:eastAsia="Palatino Linotype" w:hAnsi="Palatino Linotype" w:cs="Palatino Linotype"/>
                <w:b/>
                <w:bCs/>
              </w:rPr>
            </w:pPr>
            <w:r w:rsidRPr="001B22C0">
              <w:rPr>
                <w:rFonts w:ascii="Palatino Linotype" w:eastAsia="Palatino Linotype" w:hAnsi="Palatino Linotype" w:cs="Palatino Linotype"/>
                <w:b/>
                <w:bCs/>
                <w:color w:val="000000"/>
              </w:rPr>
              <w:t xml:space="preserve">d) Requisitos de fondo del acuerdo de clasificación. </w:t>
            </w:r>
          </w:p>
        </w:tc>
        <w:tc>
          <w:tcPr>
            <w:tcW w:w="6946" w:type="dxa"/>
            <w:shd w:val="clear" w:color="auto" w:fill="D9D9D9"/>
          </w:tcPr>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B22C0">
              <w:rPr>
                <w:rFonts w:ascii="Palatino Linotype" w:eastAsia="Palatino Linotype" w:hAnsi="Palatino Linotype" w:cs="Palatino Linotype"/>
                <w:b/>
                <w:bCs/>
                <w:i/>
                <w:iCs/>
                <w:color w:val="000000"/>
              </w:rPr>
              <w:t>Sujetos Obligados</w:t>
            </w:r>
            <w:r w:rsidRPr="001B22C0">
              <w:rPr>
                <w:rFonts w:ascii="Palatino Linotype" w:eastAsia="Palatino Linotype" w:hAnsi="Palatino Linotype" w:cs="Palatino Linotype"/>
                <w:i/>
                <w:iCs/>
                <w:color w:val="000000"/>
              </w:rPr>
              <w:t xml:space="preserve">, por lo que deberán fundar y motivar debidamente la clasificación. </w:t>
            </w:r>
          </w:p>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De lo anterior, se desprende que para una correcta </w:t>
            </w:r>
            <w:r w:rsidRPr="001B22C0">
              <w:rPr>
                <w:rFonts w:ascii="Palatino Linotype" w:eastAsia="Palatino Linotype" w:hAnsi="Palatino Linotype" w:cs="Palatino Linotype"/>
                <w:b/>
                <w:bCs/>
                <w:i/>
                <w:iCs/>
                <w:color w:val="000000"/>
              </w:rPr>
              <w:t>clasificación total o parcial</w:t>
            </w:r>
            <w:r w:rsidRPr="001B22C0">
              <w:rPr>
                <w:rFonts w:ascii="Palatino Linotype" w:eastAsia="Palatino Linotype" w:hAnsi="Palatino Linotype" w:cs="Palatino Linotype"/>
                <w:i/>
                <w:iCs/>
                <w:color w:val="000000"/>
              </w:rPr>
              <w:t xml:space="preserve">, esto es determinar los datos que se suprimen en las versiones públicas, es necesario fundar y motivar, de manera correcta, la clasificación; considerando que todo acto que la autoridad pronuncie </w:t>
            </w:r>
            <w:r w:rsidRPr="001B22C0">
              <w:rPr>
                <w:rFonts w:ascii="Palatino Linotype" w:eastAsia="Palatino Linotype" w:hAnsi="Palatino Linotype" w:cs="Palatino Linotype"/>
                <w:i/>
                <w:iCs/>
                <w:color w:val="000000"/>
              </w:rPr>
              <w:lastRenderedPageBreak/>
              <w:t>en el ejercicio de sus atribuciones, debe expresar los fundamentos legales que le dieron origen y las razones por las que se deben aplicar al caso concreto.</w:t>
            </w:r>
          </w:p>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En ese mismo sentido, el numeral trigésimo tercero fracción V de los Lineamientos Generales, precisa que para motivar la clasificación se deben acreditar las circunstancias de tiempo, modo y lugar.</w:t>
            </w:r>
          </w:p>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Ahora bien, </w:t>
            </w:r>
            <w:r w:rsidRPr="001B22C0">
              <w:rPr>
                <w:rFonts w:ascii="Palatino Linotype" w:eastAsia="Palatino Linotype" w:hAnsi="Palatino Linotype" w:cs="Palatino Linotype"/>
                <w:b/>
                <w:bCs/>
                <w:i/>
                <w:iCs/>
                <w:color w:val="000000"/>
                <w:u w:val="single"/>
              </w:rPr>
              <w:t>para cada caso además de fundar y motivar</w:t>
            </w:r>
            <w:r w:rsidRPr="001B22C0">
              <w:rPr>
                <w:rFonts w:ascii="Palatino Linotype" w:eastAsia="Palatino Linotype" w:hAnsi="Palatino Linotype" w:cs="Palatino Linotype"/>
                <w:i/>
                <w:iCs/>
                <w:color w:val="000000"/>
              </w:rPr>
              <w:t xml:space="preserve">, se debe identificar con claridad </w:t>
            </w:r>
            <w:r w:rsidRPr="001B22C0">
              <w:rPr>
                <w:rFonts w:ascii="Palatino Linotype" w:eastAsia="Palatino Linotype" w:hAnsi="Palatino Linotype" w:cs="Palatino Linotype"/>
                <w:i/>
                <w:iCs/>
              </w:rPr>
              <w:t>qué</w:t>
            </w:r>
            <w:r w:rsidRPr="001B22C0">
              <w:rPr>
                <w:rFonts w:ascii="Palatino Linotype" w:eastAsia="Palatino Linotype" w:hAnsi="Palatino Linotype" w:cs="Palatino Linotype"/>
                <w:i/>
                <w:iCs/>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50C9F" w:rsidRPr="001B22C0" w:rsidTr="001B22C0">
        <w:tc>
          <w:tcPr>
            <w:tcW w:w="2972" w:type="dxa"/>
          </w:tcPr>
          <w:p w:rsidR="00250C9F" w:rsidRPr="001B22C0" w:rsidRDefault="004E397F">
            <w:pPr>
              <w:tabs>
                <w:tab w:val="left" w:pos="284"/>
              </w:tabs>
              <w:spacing w:line="360" w:lineRule="auto"/>
              <w:jc w:val="both"/>
              <w:rPr>
                <w:rFonts w:ascii="Palatino Linotype" w:eastAsia="Palatino Linotype" w:hAnsi="Palatino Linotype" w:cs="Palatino Linotype"/>
                <w:b/>
                <w:bCs/>
              </w:rPr>
            </w:pPr>
            <w:r w:rsidRPr="001B22C0">
              <w:rPr>
                <w:rFonts w:ascii="Palatino Linotype" w:eastAsia="Palatino Linotype" w:hAnsi="Palatino Linotype" w:cs="Palatino Linotype"/>
                <w:b/>
                <w:bCs/>
              </w:rPr>
              <w:lastRenderedPageBreak/>
              <w:t xml:space="preserve">e) Condiciones especiales de la clasificación de la información como confidencial. </w:t>
            </w:r>
          </w:p>
        </w:tc>
        <w:tc>
          <w:tcPr>
            <w:tcW w:w="6946" w:type="dxa"/>
          </w:tcPr>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Los artículos 148 de la Ley Estatal establece que aun tratándose de datos personales, se podrán proporcionar, incluso sin solicitar el consentimiento de su titular. </w:t>
            </w:r>
          </w:p>
          <w:p w:rsidR="00250C9F" w:rsidRPr="001B22C0" w:rsidRDefault="004E397F">
            <w:pPr>
              <w:tabs>
                <w:tab w:val="left" w:pos="284"/>
              </w:tabs>
              <w:spacing w:line="276" w:lineRule="auto"/>
              <w:jc w:val="both"/>
              <w:rPr>
                <w:rFonts w:ascii="Palatino Linotype" w:eastAsia="Palatino Linotype" w:hAnsi="Palatino Linotype" w:cs="Palatino Linotype"/>
                <w:i/>
                <w:iCs/>
                <w:color w:val="000000"/>
              </w:rPr>
            </w:pPr>
            <w:r w:rsidRPr="001B22C0">
              <w:rPr>
                <w:rFonts w:ascii="Palatino Linotype" w:eastAsia="Palatino Linotype" w:hAnsi="Palatino Linotype" w:cs="Palatino Linotype"/>
                <w:i/>
                <w:iCs/>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0C9F" w:rsidRPr="001B22C0" w:rsidRDefault="004E397F">
            <w:pPr>
              <w:tabs>
                <w:tab w:val="left" w:pos="284"/>
              </w:tabs>
              <w:spacing w:line="276" w:lineRule="auto"/>
              <w:rPr>
                <w:rFonts w:ascii="Palatino Linotype" w:eastAsia="Palatino Linotype" w:hAnsi="Palatino Linotype" w:cs="Palatino Linotype"/>
                <w:i/>
                <w:iCs/>
              </w:rPr>
            </w:pPr>
            <w:r w:rsidRPr="001B22C0">
              <w:rPr>
                <w:rFonts w:ascii="Palatino Linotype" w:eastAsia="Palatino Linotype" w:hAnsi="Palatino Linotype" w:cs="Palatino Linotype"/>
                <w:i/>
                <w:iCs/>
                <w:color w:val="000000"/>
              </w:rPr>
              <w:t xml:space="preserve">Pero si la información que se pretende clasificar como confidencial no se encuentra en los supuestos de los artículos señalados y es posible, </w:t>
            </w:r>
            <w:r w:rsidRPr="001B22C0">
              <w:rPr>
                <w:rFonts w:ascii="Palatino Linotype" w:eastAsia="Palatino Linotype" w:hAnsi="Palatino Linotype" w:cs="Palatino Linotype"/>
                <w:i/>
                <w:iCs/>
                <w:color w:val="000000"/>
              </w:rPr>
              <w:lastRenderedPageBreak/>
              <w:t>se deberá consultar al titular de los datos si permite o no el acceso. De no ser posible, la realización de la consulta, procede, fundando y motivando, la clasificación.</w:t>
            </w:r>
          </w:p>
        </w:tc>
      </w:tr>
    </w:tbl>
    <w:p w:rsidR="00250C9F" w:rsidRPr="001B22C0" w:rsidRDefault="00250C9F">
      <w:pPr>
        <w:tabs>
          <w:tab w:val="left" w:pos="284"/>
        </w:tabs>
        <w:spacing w:line="360" w:lineRule="auto"/>
        <w:ind w:right="49"/>
        <w:jc w:val="both"/>
        <w:rPr>
          <w:rFonts w:ascii="Palatino Linotype" w:eastAsia="Palatino Linotype" w:hAnsi="Palatino Linotype" w:cs="Palatino Linotype"/>
          <w:color w:val="000000"/>
        </w:rPr>
      </w:pPr>
    </w:p>
    <w:p w:rsidR="00250C9F" w:rsidRPr="001B22C0" w:rsidRDefault="004E397F">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250C9F" w:rsidRPr="001B22C0" w:rsidRDefault="00250C9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50C9F" w:rsidRPr="001B22C0" w:rsidRDefault="004E397F">
      <w:pPr>
        <w:numPr>
          <w:ilvl w:val="0"/>
          <w:numId w:val="10"/>
        </w:numPr>
        <w:tabs>
          <w:tab w:val="left" w:pos="0"/>
        </w:tabs>
        <w:spacing w:line="360" w:lineRule="auto"/>
        <w:ind w:left="0" w:firstLine="0"/>
        <w:jc w:val="both"/>
        <w:rPr>
          <w:rFonts w:ascii="Palatino Linotype" w:eastAsia="Palatino Linotype" w:hAnsi="Palatino Linotype" w:cs="Palatino Linotype"/>
          <w:color w:val="000000"/>
        </w:rPr>
      </w:pPr>
      <w:r w:rsidRPr="001B22C0">
        <w:rPr>
          <w:rFonts w:ascii="Palatino Linotype" w:eastAsia="Palatino Linotype" w:hAnsi="Palatino Linotype" w:cs="Palatino Linotype"/>
          <w:color w:val="000000"/>
        </w:rPr>
        <w:t xml:space="preserve"> </w:t>
      </w:r>
      <w:r w:rsidRPr="001B22C0">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resulta  lo mismo que si entrega un documento testado sin el debido acuerdo de clasificación.</w:t>
      </w:r>
    </w:p>
    <w:p w:rsidR="00250C9F" w:rsidRPr="001B22C0" w:rsidRDefault="00250C9F">
      <w:pPr>
        <w:spacing w:line="360" w:lineRule="auto"/>
        <w:jc w:val="both"/>
        <w:rPr>
          <w:color w:val="000000"/>
        </w:rPr>
      </w:pPr>
    </w:p>
    <w:p w:rsidR="00250C9F" w:rsidRPr="001B22C0" w:rsidRDefault="004E397F">
      <w:pPr>
        <w:numPr>
          <w:ilvl w:val="0"/>
          <w:numId w:val="10"/>
        </w:numPr>
        <w:pBdr>
          <w:top w:val="nil"/>
          <w:left w:val="nil"/>
          <w:bottom w:val="nil"/>
          <w:right w:val="nil"/>
          <w:between w:val="nil"/>
        </w:pBdr>
        <w:spacing w:line="360" w:lineRule="auto"/>
        <w:ind w:left="0" w:firstLine="0"/>
        <w:jc w:val="both"/>
        <w:rPr>
          <w:color w:val="000000"/>
        </w:rPr>
      </w:pPr>
      <w:r w:rsidRPr="001B22C0">
        <w:rPr>
          <w:rFonts w:ascii="Palatino Linotype" w:eastAsia="Palatino Linotype" w:hAnsi="Palatino Linotype" w:cs="Palatino Linotype"/>
          <w:color w:val="000000"/>
        </w:rPr>
        <w:t>Por lo anteriormente expuesto, este Órgano Garante considera fundadas las razones o motivos de inconformidad que plantea el</w:t>
      </w:r>
      <w:r w:rsidRPr="001B22C0">
        <w:rPr>
          <w:rFonts w:ascii="Palatino Linotype" w:eastAsia="Palatino Linotype" w:hAnsi="Palatino Linotype" w:cs="Palatino Linotype"/>
          <w:b/>
          <w:bCs/>
          <w:color w:val="000000"/>
        </w:rPr>
        <w:t xml:space="preserve"> RECURRENTE</w:t>
      </w:r>
      <w:r w:rsidRPr="001B22C0">
        <w:rPr>
          <w:rFonts w:ascii="Palatino Linotype" w:eastAsia="Palatino Linotype" w:hAnsi="Palatino Linotype" w:cs="Palatino Linotype"/>
          <w:color w:val="000000"/>
        </w:rPr>
        <w:t xml:space="preserve">, determinando </w:t>
      </w:r>
      <w:r w:rsidRPr="001B22C0">
        <w:rPr>
          <w:rFonts w:ascii="Palatino Linotype" w:eastAsia="Palatino Linotype" w:hAnsi="Palatino Linotype" w:cs="Palatino Linotype"/>
          <w:b/>
          <w:bCs/>
          <w:smallCaps/>
          <w:color w:val="000000"/>
        </w:rPr>
        <w:t xml:space="preserve">REVOCAR  </w:t>
      </w:r>
      <w:r w:rsidRPr="001B22C0">
        <w:rPr>
          <w:rFonts w:ascii="Palatino Linotype" w:eastAsia="Palatino Linotype" w:hAnsi="Palatino Linotype" w:cs="Palatino Linotype"/>
          <w:color w:val="000000"/>
        </w:rPr>
        <w:t xml:space="preserve">la respuesta del </w:t>
      </w:r>
      <w:r w:rsidRPr="001B22C0">
        <w:rPr>
          <w:rFonts w:ascii="Palatino Linotype" w:eastAsia="Palatino Linotype" w:hAnsi="Palatino Linotype" w:cs="Palatino Linotype"/>
          <w:b/>
          <w:bCs/>
          <w:color w:val="000000"/>
        </w:rPr>
        <w:t>SUJETO OBLIGADO</w:t>
      </w:r>
      <w:r w:rsidRPr="001B22C0">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1B22C0">
        <w:rPr>
          <w:rFonts w:ascii="Palatino Linotype" w:eastAsia="Palatino Linotype" w:hAnsi="Palatino Linotype" w:cs="Palatino Linotype"/>
          <w:b/>
          <w:bCs/>
          <w:color w:val="000000"/>
        </w:rPr>
        <w:t>ÓRGANO GARANTE</w:t>
      </w:r>
      <w:r w:rsidRPr="001B22C0">
        <w:rPr>
          <w:rFonts w:ascii="Palatino Linotype" w:eastAsia="Palatino Linotype" w:hAnsi="Palatino Linotype" w:cs="Palatino Linotype"/>
          <w:color w:val="000000"/>
        </w:rPr>
        <w:t xml:space="preserve"> emite los siguientes.</w:t>
      </w:r>
      <w:r w:rsidR="001B22C0">
        <w:rPr>
          <w:rFonts w:ascii="Palatino Linotype" w:eastAsia="Palatino Linotype" w:hAnsi="Palatino Linotype" w:cs="Palatino Linotype"/>
          <w:color w:val="000000"/>
        </w:rPr>
        <w:t xml:space="preserve"> ------------------------------------------</w:t>
      </w:r>
    </w:p>
    <w:p w:rsidR="00250C9F" w:rsidRPr="001B22C0" w:rsidRDefault="00250C9F">
      <w:pPr>
        <w:pBdr>
          <w:top w:val="nil"/>
          <w:left w:val="nil"/>
          <w:bottom w:val="nil"/>
          <w:right w:val="nil"/>
          <w:between w:val="nil"/>
        </w:pBdr>
        <w:spacing w:line="720" w:lineRule="auto"/>
        <w:ind w:left="720"/>
        <w:rPr>
          <w:rFonts w:ascii="Palatino Linotype" w:eastAsia="Palatino Linotype" w:hAnsi="Palatino Linotype" w:cs="Palatino Linotype"/>
          <w:color w:val="000000"/>
        </w:rPr>
      </w:pPr>
    </w:p>
    <w:p w:rsidR="00250C9F" w:rsidRPr="001B22C0" w:rsidRDefault="004E397F">
      <w:pPr>
        <w:pStyle w:val="Ttulo1"/>
        <w:spacing w:before="0" w:line="360" w:lineRule="auto"/>
        <w:jc w:val="center"/>
        <w:rPr>
          <w:rFonts w:ascii="Palatino Linotype" w:eastAsia="Palatino Linotype" w:hAnsi="Palatino Linotype" w:cs="Palatino Linotype"/>
          <w:b/>
          <w:bCs/>
          <w:color w:val="000000"/>
          <w:sz w:val="24"/>
          <w:szCs w:val="24"/>
        </w:rPr>
      </w:pPr>
      <w:r w:rsidRPr="001B22C0">
        <w:rPr>
          <w:rFonts w:ascii="Palatino Linotype" w:eastAsia="Palatino Linotype" w:hAnsi="Palatino Linotype" w:cs="Palatino Linotype"/>
          <w:b/>
          <w:bCs/>
          <w:color w:val="000000"/>
          <w:sz w:val="24"/>
          <w:szCs w:val="24"/>
        </w:rPr>
        <w:lastRenderedPageBreak/>
        <w:t>R E S O L U T I V O S</w:t>
      </w:r>
    </w:p>
    <w:p w:rsidR="00250C9F" w:rsidRPr="001B22C0" w:rsidRDefault="00250C9F"/>
    <w:p w:rsidR="00250C9F" w:rsidRPr="001B22C0" w:rsidRDefault="004E397F">
      <w:pPr>
        <w:spacing w:line="360" w:lineRule="auto"/>
        <w:jc w:val="both"/>
        <w:rPr>
          <w:rFonts w:ascii="Palatino Linotype" w:eastAsia="Palatino Linotype" w:hAnsi="Palatino Linotype" w:cs="Palatino Linotype"/>
          <w:b/>
          <w:bCs/>
        </w:rPr>
      </w:pPr>
      <w:r w:rsidRPr="001B22C0">
        <w:rPr>
          <w:rFonts w:ascii="Palatino Linotype" w:eastAsia="Palatino Linotype" w:hAnsi="Palatino Linotype" w:cs="Palatino Linotype"/>
          <w:b/>
          <w:bCs/>
        </w:rPr>
        <w:t>PRIMERO</w:t>
      </w:r>
      <w:r w:rsidRPr="001B22C0">
        <w:rPr>
          <w:rFonts w:ascii="Palatino Linotype" w:eastAsia="Palatino Linotype" w:hAnsi="Palatino Linotype" w:cs="Palatino Linotype"/>
        </w:rPr>
        <w:t xml:space="preserve">. Resultan fundadas las razones o motivos de inconformidad hechos valer en el Recurso de Revisión </w:t>
      </w:r>
      <w:r w:rsidRPr="001B22C0">
        <w:rPr>
          <w:rFonts w:ascii="Palatino Linotype" w:eastAsia="Palatino Linotype" w:hAnsi="Palatino Linotype" w:cs="Palatino Linotype"/>
          <w:b/>
          <w:bCs/>
        </w:rPr>
        <w:t xml:space="preserve">1953/INFOEM/IP/RR/2026, </w:t>
      </w:r>
      <w:r w:rsidRPr="001B22C0">
        <w:rPr>
          <w:rFonts w:ascii="Palatino Linotype" w:eastAsia="Palatino Linotype" w:hAnsi="Palatino Linotype" w:cs="Palatino Linotype"/>
        </w:rPr>
        <w:t xml:space="preserve">en términos del Considerando </w:t>
      </w:r>
      <w:r w:rsidRPr="001B22C0">
        <w:rPr>
          <w:rFonts w:ascii="Palatino Linotype" w:eastAsia="Palatino Linotype" w:hAnsi="Palatino Linotype" w:cs="Palatino Linotype"/>
          <w:b/>
          <w:bCs/>
        </w:rPr>
        <w:t xml:space="preserve">Cuarto y Quinto </w:t>
      </w:r>
      <w:r w:rsidRPr="001B22C0">
        <w:rPr>
          <w:rFonts w:ascii="Palatino Linotype" w:eastAsia="Palatino Linotype" w:hAnsi="Palatino Linotype" w:cs="Palatino Linotype"/>
        </w:rPr>
        <w:t xml:space="preserve">de la presente resolución. </w:t>
      </w: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4E397F">
      <w:pPr>
        <w:pBdr>
          <w:top w:val="nil"/>
          <w:left w:val="nil"/>
          <w:bottom w:val="nil"/>
          <w:right w:val="nil"/>
          <w:between w:val="nil"/>
        </w:pBdr>
        <w:spacing w:line="360" w:lineRule="auto"/>
        <w:jc w:val="both"/>
        <w:rPr>
          <w:rFonts w:ascii="Palatino Linotype" w:eastAsia="Palatino Linotype" w:hAnsi="Palatino Linotype" w:cs="Palatino Linotype"/>
        </w:rPr>
      </w:pPr>
      <w:bookmarkStart w:id="12" w:name="_heading=h.1ksv4uv" w:colFirst="0" w:colLast="0"/>
      <w:bookmarkEnd w:id="12"/>
      <w:r w:rsidRPr="001B22C0">
        <w:rPr>
          <w:rFonts w:ascii="Palatino Linotype" w:eastAsia="Palatino Linotype" w:hAnsi="Palatino Linotype" w:cs="Palatino Linotype"/>
          <w:b/>
          <w:bCs/>
        </w:rPr>
        <w:t xml:space="preserve">SEGUNDO. </w:t>
      </w:r>
      <w:r w:rsidRPr="001B22C0">
        <w:rPr>
          <w:rFonts w:ascii="Palatino Linotype" w:eastAsia="Palatino Linotype" w:hAnsi="Palatino Linotype" w:cs="Palatino Linotype"/>
          <w:color w:val="000000"/>
        </w:rPr>
        <w:t xml:space="preserve">Se </w:t>
      </w:r>
      <w:r w:rsidRPr="001B22C0">
        <w:rPr>
          <w:rFonts w:ascii="Palatino Linotype" w:eastAsia="Palatino Linotype" w:hAnsi="Palatino Linotype" w:cs="Palatino Linotype"/>
          <w:b/>
          <w:bCs/>
          <w:color w:val="000000"/>
        </w:rPr>
        <w:t xml:space="preserve">REVOCA </w:t>
      </w:r>
      <w:r w:rsidRPr="001B22C0">
        <w:rPr>
          <w:rFonts w:ascii="Palatino Linotype" w:eastAsia="Palatino Linotype" w:hAnsi="Palatino Linotype" w:cs="Palatino Linotype"/>
          <w:color w:val="000000"/>
        </w:rPr>
        <w:t xml:space="preserve">la respuesta emitida por el </w:t>
      </w:r>
      <w:r w:rsidRPr="001B22C0">
        <w:rPr>
          <w:rFonts w:ascii="Palatino Linotype" w:eastAsia="Palatino Linotype" w:hAnsi="Palatino Linotype" w:cs="Palatino Linotype"/>
          <w:b/>
          <w:bCs/>
          <w:color w:val="000000"/>
        </w:rPr>
        <w:t xml:space="preserve">Ayuntamiento de Metepec </w:t>
      </w:r>
      <w:r w:rsidRPr="001B22C0">
        <w:rPr>
          <w:rFonts w:ascii="Palatino Linotype" w:eastAsia="Palatino Linotype" w:hAnsi="Palatino Linotype" w:cs="Palatino Linotype"/>
          <w:color w:val="000000"/>
        </w:rPr>
        <w:t xml:space="preserve">y se </w:t>
      </w:r>
      <w:r w:rsidRPr="001B22C0">
        <w:rPr>
          <w:rFonts w:ascii="Palatino Linotype" w:eastAsia="Palatino Linotype" w:hAnsi="Palatino Linotype" w:cs="Palatino Linotype"/>
          <w:b/>
          <w:bCs/>
          <w:color w:val="000000"/>
        </w:rPr>
        <w:t>ORDENA</w:t>
      </w:r>
      <w:r w:rsidRPr="001B22C0">
        <w:rPr>
          <w:rFonts w:ascii="Palatino Linotype" w:eastAsia="Palatino Linotype" w:hAnsi="Palatino Linotype" w:cs="Palatino Linotype"/>
          <w:color w:val="000000"/>
        </w:rPr>
        <w:t xml:space="preserve"> entregar vía Sistema de Acceso a la Información,</w:t>
      </w:r>
      <w:r w:rsidRPr="001B22C0">
        <w:rPr>
          <w:rFonts w:ascii="Palatino Linotype" w:eastAsia="Palatino Linotype" w:hAnsi="Palatino Linotype" w:cs="Palatino Linotype"/>
        </w:rPr>
        <w:t xml:space="preserve"> después de una búsqueda exhaustiva y de ser procedente en versión pública,  respecto del servidor público mencionado en la solicitud de información, el documento o documentos donde conste lo siguiente: </w:t>
      </w: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4E397F">
      <w:pPr>
        <w:numPr>
          <w:ilvl w:val="3"/>
          <w:numId w:val="10"/>
        </w:numPr>
        <w:pBdr>
          <w:top w:val="nil"/>
          <w:left w:val="nil"/>
          <w:bottom w:val="nil"/>
          <w:right w:val="nil"/>
          <w:between w:val="nil"/>
        </w:pBdr>
        <w:ind w:left="1134" w:right="1275"/>
        <w:jc w:val="both"/>
        <w:rPr>
          <w:rFonts w:ascii="Palatino Linotype" w:eastAsia="Palatino Linotype" w:hAnsi="Palatino Linotype" w:cs="Palatino Linotype"/>
          <w:b/>
          <w:bCs/>
          <w:i/>
          <w:iCs/>
          <w:color w:val="000000"/>
        </w:rPr>
      </w:pPr>
      <w:bookmarkStart w:id="13" w:name="_heading=h.lnxbz9" w:colFirst="0" w:colLast="0"/>
      <w:bookmarkEnd w:id="13"/>
      <w:r w:rsidRPr="001B22C0">
        <w:rPr>
          <w:rFonts w:ascii="Palatino Linotype" w:eastAsia="Palatino Linotype" w:hAnsi="Palatino Linotype" w:cs="Palatino Linotype"/>
          <w:b/>
          <w:bCs/>
          <w:i/>
          <w:iCs/>
          <w:color w:val="000000"/>
        </w:rPr>
        <w:t xml:space="preserve">Fecha de ingreso; </w:t>
      </w:r>
    </w:p>
    <w:p w:rsidR="00250C9F" w:rsidRPr="001B22C0" w:rsidRDefault="004E397F">
      <w:pPr>
        <w:numPr>
          <w:ilvl w:val="3"/>
          <w:numId w:val="10"/>
        </w:numPr>
        <w:pBdr>
          <w:top w:val="nil"/>
          <w:left w:val="nil"/>
          <w:bottom w:val="nil"/>
          <w:right w:val="nil"/>
          <w:between w:val="nil"/>
        </w:pBdr>
        <w:ind w:left="1134" w:right="1275"/>
        <w:jc w:val="both"/>
        <w:rPr>
          <w:rFonts w:ascii="Palatino Linotype" w:eastAsia="Palatino Linotype" w:hAnsi="Palatino Linotype" w:cs="Palatino Linotype"/>
          <w:b/>
          <w:bCs/>
          <w:i/>
          <w:iCs/>
          <w:color w:val="000000"/>
        </w:rPr>
      </w:pPr>
      <w:r w:rsidRPr="001B22C0">
        <w:rPr>
          <w:rFonts w:ascii="Palatino Linotype" w:eastAsia="Palatino Linotype" w:hAnsi="Palatino Linotype" w:cs="Palatino Linotype"/>
          <w:b/>
          <w:bCs/>
          <w:i/>
          <w:iCs/>
          <w:color w:val="000000"/>
        </w:rPr>
        <w:t>El cargo al doce de enero de dos mil veintiséis</w:t>
      </w:r>
    </w:p>
    <w:p w:rsidR="00250C9F" w:rsidRPr="001B22C0" w:rsidRDefault="004E397F">
      <w:pPr>
        <w:numPr>
          <w:ilvl w:val="3"/>
          <w:numId w:val="10"/>
        </w:numPr>
        <w:pBdr>
          <w:top w:val="nil"/>
          <w:left w:val="nil"/>
          <w:bottom w:val="nil"/>
          <w:right w:val="nil"/>
          <w:between w:val="nil"/>
        </w:pBdr>
        <w:ind w:left="1134" w:right="1275"/>
        <w:jc w:val="both"/>
        <w:rPr>
          <w:rFonts w:ascii="Palatino Linotype" w:eastAsia="Palatino Linotype" w:hAnsi="Palatino Linotype" w:cs="Palatino Linotype"/>
          <w:b/>
          <w:bCs/>
          <w:i/>
          <w:iCs/>
          <w:color w:val="000000"/>
        </w:rPr>
      </w:pPr>
      <w:bookmarkStart w:id="14" w:name="_heading=h.ru0g3xtowuks" w:colFirst="0" w:colLast="0"/>
      <w:bookmarkEnd w:id="14"/>
      <w:r w:rsidRPr="001B22C0">
        <w:rPr>
          <w:rFonts w:ascii="Palatino Linotype" w:eastAsia="Palatino Linotype" w:hAnsi="Palatino Linotype" w:cs="Palatino Linotype"/>
          <w:b/>
          <w:bCs/>
          <w:i/>
          <w:iCs/>
          <w:color w:val="000000"/>
        </w:rPr>
        <w:t xml:space="preserve">Área de adscripción al doce de enero de dos mil veintiséis; </w:t>
      </w:r>
    </w:p>
    <w:p w:rsidR="00250C9F" w:rsidRPr="001B22C0" w:rsidRDefault="004E397F">
      <w:pPr>
        <w:numPr>
          <w:ilvl w:val="3"/>
          <w:numId w:val="10"/>
        </w:numPr>
        <w:pBdr>
          <w:top w:val="nil"/>
          <w:left w:val="nil"/>
          <w:bottom w:val="nil"/>
          <w:right w:val="nil"/>
          <w:between w:val="nil"/>
        </w:pBdr>
        <w:ind w:left="1134" w:right="1275"/>
        <w:jc w:val="both"/>
        <w:rPr>
          <w:rFonts w:ascii="Palatino Linotype" w:eastAsia="Palatino Linotype" w:hAnsi="Palatino Linotype" w:cs="Palatino Linotype"/>
          <w:b/>
          <w:bCs/>
          <w:i/>
          <w:iCs/>
          <w:color w:val="000000"/>
        </w:rPr>
      </w:pPr>
      <w:r w:rsidRPr="001B22C0">
        <w:rPr>
          <w:rFonts w:ascii="Palatino Linotype" w:eastAsia="Palatino Linotype" w:hAnsi="Palatino Linotype" w:cs="Palatino Linotype"/>
          <w:b/>
          <w:bCs/>
          <w:i/>
          <w:iCs/>
          <w:color w:val="000000"/>
        </w:rPr>
        <w:t>Remuneración bruta y neta incluyendo sus percepciones extraordinarias de las dos quincenas del mes de diciembre de dos mil veinticinco.</w:t>
      </w:r>
    </w:p>
    <w:p w:rsidR="00250C9F" w:rsidRPr="001B22C0" w:rsidRDefault="00250C9F">
      <w:pPr>
        <w:pBdr>
          <w:top w:val="nil"/>
          <w:left w:val="nil"/>
          <w:bottom w:val="nil"/>
          <w:right w:val="nil"/>
          <w:between w:val="nil"/>
        </w:pBdr>
        <w:ind w:left="2880" w:right="1275"/>
        <w:jc w:val="both"/>
        <w:rPr>
          <w:rFonts w:ascii="Palatino Linotype" w:eastAsia="Palatino Linotype" w:hAnsi="Palatino Linotype" w:cs="Palatino Linotype"/>
          <w:b/>
          <w:bCs/>
          <w:i/>
          <w:iCs/>
        </w:rPr>
      </w:pPr>
    </w:p>
    <w:p w:rsidR="00250C9F" w:rsidRPr="001B22C0" w:rsidRDefault="004E397F">
      <w:pPr>
        <w:ind w:left="851" w:right="1275"/>
        <w:jc w:val="both"/>
        <w:rPr>
          <w:rFonts w:ascii="Palatino Linotype" w:eastAsia="Palatino Linotype" w:hAnsi="Palatino Linotype" w:cs="Palatino Linotype"/>
          <w:b/>
          <w:bCs/>
          <w:i/>
          <w:iCs/>
        </w:rPr>
      </w:pPr>
      <w:r w:rsidRPr="001B22C0">
        <w:rPr>
          <w:rFonts w:ascii="Palatino Linotype" w:eastAsia="Palatino Linotype" w:hAnsi="Palatino Linotype" w:cs="Palatino Linotype"/>
          <w:b/>
          <w:bCs/>
          <w:i/>
          <w:iCs/>
        </w:rPr>
        <w:t>De ser el caso que la persona referida en la solicitud haya causado baja del Sujeto Obligado:</w:t>
      </w:r>
    </w:p>
    <w:p w:rsidR="00250C9F" w:rsidRPr="001B22C0" w:rsidRDefault="00250C9F">
      <w:pPr>
        <w:ind w:left="774" w:right="1275"/>
        <w:jc w:val="both"/>
        <w:rPr>
          <w:rFonts w:ascii="Palatino Linotype" w:eastAsia="Palatino Linotype" w:hAnsi="Palatino Linotype" w:cs="Palatino Linotype"/>
          <w:b/>
          <w:bCs/>
          <w:i/>
          <w:iCs/>
        </w:rPr>
      </w:pPr>
    </w:p>
    <w:p w:rsidR="00250C9F" w:rsidRPr="001B22C0" w:rsidRDefault="004E397F">
      <w:pPr>
        <w:numPr>
          <w:ilvl w:val="3"/>
          <w:numId w:val="10"/>
        </w:numPr>
        <w:pBdr>
          <w:top w:val="nil"/>
          <w:left w:val="nil"/>
          <w:bottom w:val="nil"/>
          <w:right w:val="nil"/>
          <w:between w:val="nil"/>
        </w:pBdr>
        <w:ind w:left="1134" w:right="1275"/>
        <w:jc w:val="both"/>
        <w:rPr>
          <w:rFonts w:ascii="Palatino Linotype" w:eastAsia="Palatino Linotype" w:hAnsi="Palatino Linotype" w:cs="Palatino Linotype"/>
          <w:b/>
          <w:bCs/>
          <w:i/>
          <w:iCs/>
          <w:color w:val="000000"/>
        </w:rPr>
      </w:pPr>
      <w:r w:rsidRPr="001B22C0">
        <w:rPr>
          <w:rFonts w:ascii="Palatino Linotype" w:eastAsia="Palatino Linotype" w:hAnsi="Palatino Linotype" w:cs="Palatino Linotype"/>
          <w:b/>
          <w:bCs/>
          <w:i/>
          <w:iCs/>
          <w:color w:val="000000"/>
        </w:rPr>
        <w:t>Fecha de baja;</w:t>
      </w:r>
    </w:p>
    <w:p w:rsidR="00250C9F" w:rsidRPr="001B22C0" w:rsidRDefault="004E397F">
      <w:pPr>
        <w:numPr>
          <w:ilvl w:val="3"/>
          <w:numId w:val="10"/>
        </w:numPr>
        <w:pBdr>
          <w:top w:val="nil"/>
          <w:left w:val="nil"/>
          <w:bottom w:val="nil"/>
          <w:right w:val="nil"/>
          <w:between w:val="nil"/>
        </w:pBdr>
        <w:ind w:left="1134" w:right="1275"/>
        <w:jc w:val="both"/>
        <w:rPr>
          <w:rFonts w:ascii="Palatino Linotype" w:eastAsia="Palatino Linotype" w:hAnsi="Palatino Linotype" w:cs="Palatino Linotype"/>
          <w:b/>
          <w:bCs/>
          <w:i/>
          <w:iCs/>
          <w:color w:val="000000"/>
        </w:rPr>
      </w:pPr>
      <w:r w:rsidRPr="001B22C0">
        <w:rPr>
          <w:rFonts w:ascii="Palatino Linotype" w:eastAsia="Palatino Linotype" w:hAnsi="Palatino Linotype" w:cs="Palatino Linotype"/>
          <w:b/>
          <w:bCs/>
          <w:i/>
          <w:iCs/>
          <w:color w:val="000000"/>
        </w:rPr>
        <w:t xml:space="preserve">Denominación de su último cargo; </w:t>
      </w:r>
    </w:p>
    <w:p w:rsidR="00250C9F" w:rsidRPr="001B22C0" w:rsidRDefault="004E397F">
      <w:pPr>
        <w:numPr>
          <w:ilvl w:val="3"/>
          <w:numId w:val="10"/>
        </w:numPr>
        <w:pBdr>
          <w:top w:val="nil"/>
          <w:left w:val="nil"/>
          <w:bottom w:val="nil"/>
          <w:right w:val="nil"/>
          <w:between w:val="nil"/>
        </w:pBdr>
        <w:ind w:left="1134" w:right="1275"/>
        <w:jc w:val="both"/>
        <w:rPr>
          <w:rFonts w:ascii="Palatino Linotype" w:eastAsia="Palatino Linotype" w:hAnsi="Palatino Linotype" w:cs="Palatino Linotype"/>
          <w:b/>
          <w:bCs/>
          <w:i/>
          <w:iCs/>
          <w:color w:val="000000"/>
        </w:rPr>
      </w:pPr>
      <w:r w:rsidRPr="001B22C0">
        <w:rPr>
          <w:rFonts w:ascii="Palatino Linotype" w:eastAsia="Palatino Linotype" w:hAnsi="Palatino Linotype" w:cs="Palatino Linotype"/>
          <w:b/>
          <w:bCs/>
          <w:i/>
          <w:iCs/>
          <w:color w:val="000000"/>
        </w:rPr>
        <w:t>Denominación de su última área de adscripción;</w:t>
      </w:r>
    </w:p>
    <w:p w:rsidR="00250C9F" w:rsidRPr="001B22C0" w:rsidRDefault="004E397F">
      <w:pPr>
        <w:numPr>
          <w:ilvl w:val="3"/>
          <w:numId w:val="10"/>
        </w:numPr>
        <w:pBdr>
          <w:top w:val="nil"/>
          <w:left w:val="nil"/>
          <w:bottom w:val="nil"/>
          <w:right w:val="nil"/>
          <w:between w:val="nil"/>
        </w:pBdr>
        <w:ind w:left="1134" w:right="1275"/>
        <w:jc w:val="both"/>
        <w:rPr>
          <w:rFonts w:ascii="Palatino Linotype" w:eastAsia="Palatino Linotype" w:hAnsi="Palatino Linotype" w:cs="Palatino Linotype"/>
          <w:b/>
          <w:bCs/>
          <w:i/>
          <w:iCs/>
          <w:color w:val="000000"/>
        </w:rPr>
      </w:pPr>
      <w:r w:rsidRPr="001B22C0">
        <w:rPr>
          <w:rFonts w:ascii="Palatino Linotype" w:eastAsia="Palatino Linotype" w:hAnsi="Palatino Linotype" w:cs="Palatino Linotype"/>
          <w:b/>
          <w:bCs/>
          <w:i/>
          <w:iCs/>
          <w:color w:val="000000"/>
        </w:rPr>
        <w:t xml:space="preserve"> Remuneración neta y bruta mensual incluyendo sus percepciones extraordinarias.</w:t>
      </w:r>
    </w:p>
    <w:p w:rsidR="00250C9F" w:rsidRPr="001B22C0" w:rsidRDefault="00250C9F">
      <w:pPr>
        <w:ind w:left="774" w:right="1275"/>
        <w:jc w:val="both"/>
        <w:rPr>
          <w:rFonts w:ascii="Palatino Linotype" w:eastAsia="Palatino Linotype" w:hAnsi="Palatino Linotype" w:cs="Palatino Linotype"/>
          <w:b/>
          <w:bCs/>
          <w:i/>
          <w:iCs/>
        </w:rPr>
      </w:pPr>
    </w:p>
    <w:p w:rsidR="00250C9F" w:rsidRPr="001B22C0" w:rsidRDefault="004E397F">
      <w:pPr>
        <w:ind w:left="774" w:right="1275"/>
        <w:jc w:val="both"/>
        <w:rPr>
          <w:rFonts w:ascii="Palatino Linotype" w:eastAsia="Palatino Linotype" w:hAnsi="Palatino Linotype" w:cs="Palatino Linotype"/>
          <w:b/>
          <w:bCs/>
          <w:i/>
          <w:iCs/>
        </w:rPr>
      </w:pPr>
      <w:r w:rsidRPr="001B22C0">
        <w:rPr>
          <w:rFonts w:ascii="Palatino Linotype" w:eastAsia="Palatino Linotype" w:hAnsi="Palatino Linotype" w:cs="Palatino Linotype"/>
          <w:i/>
          <w:iCs/>
        </w:rPr>
        <w:t xml:space="preserve">Para efectos de lo anterior, se deberá emitir el Acuerdo del Comité de Transparencia en términos de los artículos 49, fracción VIII y 132, fracción II de la Ley de Transparencia y Acceso a la Información Pública del Estado de México y </w:t>
      </w:r>
      <w:r w:rsidRPr="001B22C0">
        <w:rPr>
          <w:rFonts w:ascii="Palatino Linotype" w:eastAsia="Palatino Linotype" w:hAnsi="Palatino Linotype" w:cs="Palatino Linotype"/>
          <w:i/>
          <w:iCs/>
        </w:rPr>
        <w:lastRenderedPageBreak/>
        <w:t xml:space="preserve">Municipios, en el que funde y motive las razones sobre los datos que se supriman o eliminen dentro del soporte documental respectivo objeto de las versiones públicas que se formulen y se pongan a disposición del </w:t>
      </w:r>
      <w:r w:rsidRPr="001B22C0">
        <w:rPr>
          <w:rFonts w:ascii="Palatino Linotype" w:eastAsia="Palatino Linotype" w:hAnsi="Palatino Linotype" w:cs="Palatino Linotype"/>
          <w:b/>
          <w:bCs/>
          <w:i/>
          <w:iCs/>
        </w:rPr>
        <w:t>RECURRENTE.</w:t>
      </w:r>
    </w:p>
    <w:p w:rsidR="00250C9F" w:rsidRPr="001B22C0" w:rsidRDefault="00250C9F">
      <w:pPr>
        <w:ind w:left="1980" w:right="1134"/>
        <w:rPr>
          <w:rFonts w:ascii="Palatino Linotype" w:eastAsia="Palatino Linotype" w:hAnsi="Palatino Linotype" w:cs="Palatino Linotype"/>
          <w:b/>
          <w:bCs/>
          <w:i/>
          <w:iCs/>
        </w:rPr>
      </w:pPr>
    </w:p>
    <w:p w:rsidR="00250C9F" w:rsidRPr="001B22C0" w:rsidRDefault="004E397F">
      <w:pPr>
        <w:tabs>
          <w:tab w:val="left" w:pos="8080"/>
        </w:tabs>
        <w:spacing w:line="360" w:lineRule="auto"/>
        <w:jc w:val="both"/>
        <w:rPr>
          <w:rFonts w:ascii="Palatino Linotype" w:eastAsia="Palatino Linotype" w:hAnsi="Palatino Linotype" w:cs="Palatino Linotype"/>
          <w:color w:val="222222"/>
        </w:rPr>
      </w:pPr>
      <w:r w:rsidRPr="001B22C0">
        <w:rPr>
          <w:rFonts w:ascii="Palatino Linotype" w:eastAsia="Palatino Linotype" w:hAnsi="Palatino Linotype" w:cs="Palatino Linotype"/>
          <w:b/>
          <w:bCs/>
        </w:rPr>
        <w:t xml:space="preserve">TERCERO. </w:t>
      </w:r>
      <w:r w:rsidRPr="001B22C0">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B22C0">
        <w:rPr>
          <w:rFonts w:ascii="Palatino Linotype" w:eastAsia="Palatino Linotype" w:hAnsi="Palatino Linotype" w:cs="Palatino Linotype"/>
          <w:b/>
          <w:bCs/>
          <w:color w:val="222222"/>
        </w:rPr>
        <w:t xml:space="preserve">dé cumplimiento a lo ordenado dentro del plazo de diez días hábiles, </w:t>
      </w:r>
      <w:r w:rsidRPr="001B22C0">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250C9F" w:rsidRPr="001B22C0" w:rsidRDefault="00250C9F">
      <w:pPr>
        <w:tabs>
          <w:tab w:val="left" w:pos="8080"/>
        </w:tabs>
        <w:spacing w:line="360" w:lineRule="auto"/>
        <w:jc w:val="both"/>
        <w:rPr>
          <w:rFonts w:ascii="Palatino Linotype" w:eastAsia="Palatino Linotype" w:hAnsi="Palatino Linotype" w:cs="Palatino Linotype"/>
          <w:color w:val="222222"/>
        </w:rPr>
      </w:pPr>
    </w:p>
    <w:p w:rsidR="00250C9F" w:rsidRPr="001B22C0" w:rsidRDefault="004E397F">
      <w:pPr>
        <w:spacing w:line="360" w:lineRule="auto"/>
        <w:jc w:val="both"/>
        <w:rPr>
          <w:rFonts w:ascii="Palatino Linotype" w:eastAsia="Palatino Linotype" w:hAnsi="Palatino Linotype" w:cs="Palatino Linotype"/>
        </w:rPr>
      </w:pPr>
      <w:r w:rsidRPr="001B22C0">
        <w:rPr>
          <w:rFonts w:ascii="Palatino Linotype" w:eastAsia="Palatino Linotype" w:hAnsi="Palatino Linotype" w:cs="Palatino Linotype"/>
          <w:b/>
          <w:bCs/>
        </w:rPr>
        <w:t xml:space="preserve">CUARTO. </w:t>
      </w:r>
      <w:r w:rsidRPr="001B22C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1B22C0">
        <w:rPr>
          <w:rFonts w:ascii="Palatino Linotype" w:eastAsia="Palatino Linotype" w:hAnsi="Palatino Linotype" w:cs="Palatino Linotype"/>
          <w:b/>
          <w:bCs/>
        </w:rPr>
        <w:t>SUJETO OBLIGADO</w:t>
      </w:r>
      <w:r w:rsidRPr="001B22C0">
        <w:rPr>
          <w:rFonts w:ascii="Palatino Linotype" w:eastAsia="Palatino Linotype" w:hAnsi="Palatino Linotype" w:cs="Palatino Linotype"/>
        </w:rPr>
        <w:t xml:space="preserve"> de manera fundada y motivada, podrá solicitar una ampliación de plazo para el cumplimiento de la presente resolución.</w:t>
      </w: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4E397F">
      <w:pPr>
        <w:spacing w:line="360" w:lineRule="auto"/>
        <w:jc w:val="both"/>
        <w:rPr>
          <w:rFonts w:ascii="Palatino Linotype" w:eastAsia="Palatino Linotype" w:hAnsi="Palatino Linotype" w:cs="Palatino Linotype"/>
        </w:rPr>
      </w:pPr>
      <w:bookmarkStart w:id="15" w:name="_heading=h.2jxsxqh" w:colFirst="0" w:colLast="0"/>
      <w:bookmarkEnd w:id="15"/>
      <w:r w:rsidRPr="001B22C0">
        <w:rPr>
          <w:rFonts w:ascii="Palatino Linotype" w:eastAsia="Palatino Linotype" w:hAnsi="Palatino Linotype" w:cs="Palatino Linotype"/>
          <w:b/>
          <w:bCs/>
        </w:rPr>
        <w:t xml:space="preserve">QUINTO. </w:t>
      </w:r>
      <w:r w:rsidRPr="001B22C0">
        <w:rPr>
          <w:rFonts w:ascii="Palatino Linotype" w:eastAsia="Palatino Linotype" w:hAnsi="Palatino Linotype" w:cs="Palatino Linotype"/>
        </w:rPr>
        <w:t xml:space="preserve">Notifíquese a </w:t>
      </w:r>
      <w:r w:rsidRPr="001B22C0">
        <w:rPr>
          <w:rFonts w:ascii="Palatino Linotype" w:eastAsia="Palatino Linotype" w:hAnsi="Palatino Linotype" w:cs="Palatino Linotype"/>
          <w:b/>
          <w:bCs/>
        </w:rPr>
        <w:t>EL RECURRENTE</w:t>
      </w:r>
      <w:r w:rsidRPr="001B22C0">
        <w:rPr>
          <w:rFonts w:ascii="Palatino Linotype" w:eastAsia="Palatino Linotype" w:hAnsi="Palatino Linotype" w:cs="Palatino Linotype"/>
        </w:rPr>
        <w:t xml:space="preserve"> la presente resolución, vía SAIMEX.</w:t>
      </w:r>
    </w:p>
    <w:p w:rsidR="00250C9F" w:rsidRPr="001B22C0" w:rsidRDefault="00250C9F">
      <w:pPr>
        <w:shd w:val="clear" w:color="auto" w:fill="FFFFFF"/>
        <w:spacing w:line="360" w:lineRule="auto"/>
        <w:jc w:val="both"/>
        <w:rPr>
          <w:rFonts w:ascii="Palatino Linotype" w:eastAsia="Palatino Linotype" w:hAnsi="Palatino Linotype" w:cs="Palatino Linotype"/>
          <w:b/>
          <w:bCs/>
        </w:rPr>
      </w:pPr>
    </w:p>
    <w:p w:rsidR="00250C9F" w:rsidRPr="001B22C0" w:rsidRDefault="004E397F">
      <w:pPr>
        <w:spacing w:line="360" w:lineRule="auto"/>
        <w:jc w:val="both"/>
        <w:rPr>
          <w:rFonts w:ascii="Palatino Linotype" w:eastAsia="Palatino Linotype" w:hAnsi="Palatino Linotype" w:cs="Palatino Linotype"/>
        </w:rPr>
      </w:pPr>
      <w:r w:rsidRPr="001B22C0">
        <w:rPr>
          <w:rFonts w:ascii="Palatino Linotype" w:eastAsia="Palatino Linotype" w:hAnsi="Palatino Linotype" w:cs="Palatino Linotype"/>
          <w:b/>
          <w:bCs/>
        </w:rPr>
        <w:t xml:space="preserve">SEXTO. </w:t>
      </w:r>
      <w:r w:rsidRPr="001B22C0">
        <w:rPr>
          <w:rFonts w:ascii="Palatino Linotype" w:eastAsia="Palatino Linotype" w:hAnsi="Palatino Linotype" w:cs="Palatino Linotype"/>
        </w:rPr>
        <w:t xml:space="preserve">Se hace del conocimiento del </w:t>
      </w:r>
      <w:r w:rsidRPr="001B22C0">
        <w:rPr>
          <w:rFonts w:ascii="Palatino Linotype" w:eastAsia="Palatino Linotype" w:hAnsi="Palatino Linotype" w:cs="Palatino Linotype"/>
          <w:b/>
          <w:bCs/>
        </w:rPr>
        <w:t>RECURRENTE</w:t>
      </w:r>
      <w:r w:rsidRPr="001B22C0">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4530A2" w:rsidRPr="001B22C0" w:rsidRDefault="004530A2" w:rsidP="004530A2">
      <w:pPr>
        <w:spacing w:before="240" w:after="240" w:line="360" w:lineRule="auto"/>
        <w:ind w:firstLine="1"/>
        <w:jc w:val="both"/>
        <w:rPr>
          <w:rFonts w:ascii="Palatino Linotype" w:hAnsi="Palatino Linotype"/>
        </w:rPr>
      </w:pPr>
      <w:bookmarkStart w:id="16" w:name="_Hlk99014733"/>
      <w:r w:rsidRPr="001B22C0">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VEINTIOCHO (28) DE ABRIL DE DOS MIL VEINTISÉIS, ANTE EL SECRETARIO TÉCNICO DEL PLENO </w:t>
      </w:r>
      <w:r w:rsidRPr="001B22C0">
        <w:rPr>
          <w:rFonts w:ascii="Palatino Linotype" w:hAnsi="Palatino Linotype" w:cs="Palatino Linotype"/>
          <w:color w:val="000000" w:themeColor="text1"/>
        </w:rPr>
        <w:t>ALEXIS TAPIA RAMÍREZ.</w:t>
      </w:r>
    </w:p>
    <w:bookmarkEnd w:id="16"/>
    <w:p w:rsidR="00250C9F" w:rsidRPr="001B22C0" w:rsidRDefault="00250C9F">
      <w:pPr>
        <w:spacing w:before="240" w:after="240" w:line="360" w:lineRule="auto"/>
        <w:jc w:val="both"/>
        <w:rPr>
          <w:rFonts w:ascii="Palatino Linotype" w:eastAsia="Palatino Linotype" w:hAnsi="Palatino Linotype" w:cs="Palatino Linotype"/>
        </w:rPr>
      </w:pPr>
    </w:p>
    <w:p w:rsidR="00250C9F" w:rsidRPr="001B22C0" w:rsidRDefault="00250C9F">
      <w:pPr>
        <w:spacing w:before="240" w:after="240" w:line="360" w:lineRule="auto"/>
        <w:jc w:val="both"/>
        <w:rPr>
          <w:rFonts w:ascii="Palatino Linotype" w:eastAsia="Palatino Linotype" w:hAnsi="Palatino Linotype" w:cs="Palatino Linotype"/>
        </w:rPr>
      </w:pPr>
    </w:p>
    <w:p w:rsidR="00250C9F" w:rsidRPr="001B22C0" w:rsidRDefault="00250C9F">
      <w:pPr>
        <w:spacing w:line="360" w:lineRule="auto"/>
        <w:jc w:val="both"/>
        <w:rPr>
          <w:rFonts w:ascii="Palatino Linotype" w:eastAsia="Palatino Linotype" w:hAnsi="Palatino Linotype" w:cs="Palatino Linotype"/>
        </w:rPr>
      </w:pPr>
    </w:p>
    <w:p w:rsidR="00250C9F" w:rsidRPr="001B22C0" w:rsidRDefault="00250C9F">
      <w:pPr>
        <w:keepNext/>
        <w:keepLines/>
        <w:spacing w:after="240" w:line="360" w:lineRule="auto"/>
        <w:rPr>
          <w:rFonts w:ascii="Palatino Linotype" w:eastAsia="Palatino Linotype" w:hAnsi="Palatino Linotype" w:cs="Palatino Linotype"/>
        </w:rPr>
      </w:pPr>
    </w:p>
    <w:p w:rsidR="00250C9F" w:rsidRPr="001B22C0" w:rsidRDefault="00250C9F">
      <w:pPr>
        <w:rPr>
          <w:rFonts w:ascii="Palatino Linotype" w:eastAsia="Palatino Linotype" w:hAnsi="Palatino Linotype" w:cs="Palatino Linotype"/>
        </w:rPr>
      </w:pPr>
    </w:p>
    <w:p w:rsidR="00250C9F" w:rsidRDefault="00250C9F">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Default="001B22C0">
      <w:pPr>
        <w:rPr>
          <w:rFonts w:ascii="Palatino Linotype" w:eastAsia="Palatino Linotype" w:hAnsi="Palatino Linotype" w:cs="Palatino Linotype"/>
        </w:rPr>
      </w:pPr>
    </w:p>
    <w:p w:rsidR="001B22C0" w:rsidRPr="001B22C0" w:rsidRDefault="001B22C0">
      <w:pPr>
        <w:rPr>
          <w:rFonts w:ascii="Palatino Linotype" w:eastAsia="Palatino Linotype" w:hAnsi="Palatino Linotype" w:cs="Palatino Linotype"/>
        </w:rPr>
      </w:pPr>
    </w:p>
    <w:p w:rsidR="00250C9F" w:rsidRPr="001B22C0" w:rsidRDefault="00250C9F">
      <w:pPr>
        <w:rPr>
          <w:rFonts w:ascii="Palatino Linotype" w:eastAsia="Palatino Linotype" w:hAnsi="Palatino Linotype" w:cs="Palatino Linotype"/>
        </w:rPr>
      </w:pPr>
    </w:p>
    <w:p w:rsidR="00250C9F" w:rsidRPr="001B22C0" w:rsidRDefault="00250C9F">
      <w:pPr>
        <w:rPr>
          <w:rFonts w:ascii="Palatino Linotype" w:eastAsia="Palatino Linotype" w:hAnsi="Palatino Linotype" w:cs="Palatino Linotype"/>
        </w:rPr>
      </w:pPr>
    </w:p>
    <w:p w:rsidR="00250C9F" w:rsidRPr="001B22C0" w:rsidRDefault="00250C9F">
      <w:pPr>
        <w:rPr>
          <w:rFonts w:ascii="Palatino Linotype" w:eastAsia="Palatino Linotype" w:hAnsi="Palatino Linotype" w:cs="Palatino Linotype"/>
        </w:rPr>
      </w:pPr>
    </w:p>
    <w:p w:rsidR="00250C9F" w:rsidRPr="001B22C0" w:rsidRDefault="00250C9F">
      <w:pPr>
        <w:rPr>
          <w:rFonts w:ascii="Palatino Linotype" w:eastAsia="Palatino Linotype" w:hAnsi="Palatino Linotype" w:cs="Palatino Linotype"/>
        </w:rPr>
      </w:pPr>
    </w:p>
    <w:p w:rsidR="00250C9F" w:rsidRPr="001B22C0" w:rsidRDefault="00250C9F">
      <w:pPr>
        <w:rPr>
          <w:rFonts w:ascii="Palatino Linotype" w:eastAsia="Palatino Linotype" w:hAnsi="Palatino Linotype" w:cs="Palatino Linotype"/>
        </w:rPr>
      </w:pPr>
    </w:p>
    <w:sectPr w:rsidR="00250C9F" w:rsidRPr="001B22C0" w:rsidSect="001B22C0">
      <w:headerReference w:type="default" r:id="rId16"/>
      <w:footerReference w:type="default" r:id="rId17"/>
      <w:headerReference w:type="first" r:id="rId18"/>
      <w:footerReference w:type="first" r:id="rId19"/>
      <w:pgSz w:w="12240" w:h="15840"/>
      <w:pgMar w:top="2410" w:right="616"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4D7" w:rsidRDefault="00A914D7">
      <w:r>
        <w:separator/>
      </w:r>
    </w:p>
  </w:endnote>
  <w:endnote w:type="continuationSeparator" w:id="0">
    <w:p w:rsidR="00A914D7" w:rsidRDefault="00A91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B16ED6EC-BCCB-485D-92E1-1A3B2AB1CB53}"/>
    <w:embedBold r:id="rId2" w:fontKey="{D7A5850F-121C-4D16-8C48-E29952567688}"/>
    <w:embedItalic r:id="rId3" w:fontKey="{FC41D76C-B7DA-4017-BFE2-93486D93F77D}"/>
    <w:embedBoldItalic r:id="rId4" w:fontKey="{44B16734-3137-47F9-876B-129BAB37058D}"/>
  </w:font>
  <w:font w:name="Noto Sans Symbols">
    <w:altName w:val="Times New Roman"/>
    <w:charset w:val="00"/>
    <w:family w:val="auto"/>
    <w:pitch w:val="default"/>
    <w:embedRegular r:id="rId5" w:fontKey="{24E5B3B8-042E-4CC8-ADD7-AD1D2C1C466A}"/>
    <w:embedItalic r:id="rId6" w:fontKey="{F23009AE-3062-441A-BAC3-58183AF5DD6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F85F4E72-6CD2-48F3-9A6E-C06942DFA8B7}"/>
    <w:embedBold r:id="rId8" w:fontKey="{A5DEBDEB-09D2-4D23-BAA0-34135DA2E896}"/>
  </w:font>
  <w:font w:name="Georgia">
    <w:panose1 w:val="02040502050405020303"/>
    <w:charset w:val="00"/>
    <w:family w:val="roman"/>
    <w:pitch w:val="variable"/>
    <w:sig w:usb0="00000287" w:usb1="00000000" w:usb2="00000000" w:usb3="00000000" w:csb0="0000009F" w:csb1="00000000"/>
    <w:embedItalic r:id="rId9" w:fontKey="{3AFAA6A1-8EBF-4ADA-BEFE-9632CCBAA960}"/>
  </w:font>
  <w:font w:name="Century Gothic">
    <w:panose1 w:val="020B0502020202020204"/>
    <w:charset w:val="00"/>
    <w:family w:val="swiss"/>
    <w:pitch w:val="variable"/>
    <w:sig w:usb0="00000287" w:usb1="00000000" w:usb2="00000000" w:usb3="00000000" w:csb0="0000009F" w:csb1="00000000"/>
    <w:embedRegular r:id="rId10" w:fontKey="{DF3C6F05-3E7E-4668-98C5-C882C0692E9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0996C79E-8B9B-4F45-8290-98E3A59E0F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C9F" w:rsidRPr="001B22C0" w:rsidRDefault="004E397F">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0"/>
        <w:szCs w:val="20"/>
      </w:rPr>
    </w:pPr>
    <w:r w:rsidRPr="001B22C0">
      <w:rPr>
        <w:rFonts w:ascii="Palatino Linotype" w:eastAsia="Arial" w:hAnsi="Palatino Linotype" w:cs="Arial"/>
        <w:b/>
        <w:bCs/>
        <w:color w:val="000000"/>
        <w:sz w:val="22"/>
        <w:szCs w:val="20"/>
      </w:rPr>
      <w:t xml:space="preserve">Página </w:t>
    </w:r>
    <w:r w:rsidRPr="001B22C0">
      <w:rPr>
        <w:rFonts w:ascii="Palatino Linotype" w:eastAsia="Arial" w:hAnsi="Palatino Linotype" w:cs="Arial"/>
        <w:b/>
        <w:bCs/>
        <w:color w:val="000000"/>
        <w:sz w:val="22"/>
        <w:szCs w:val="20"/>
      </w:rPr>
      <w:fldChar w:fldCharType="begin"/>
    </w:r>
    <w:r w:rsidRPr="001B22C0">
      <w:rPr>
        <w:rFonts w:ascii="Palatino Linotype" w:eastAsia="Arial" w:hAnsi="Palatino Linotype" w:cs="Arial"/>
        <w:b/>
        <w:bCs/>
        <w:color w:val="000000"/>
        <w:sz w:val="22"/>
        <w:szCs w:val="20"/>
      </w:rPr>
      <w:instrText>PAGE</w:instrText>
    </w:r>
    <w:r w:rsidRPr="001B22C0">
      <w:rPr>
        <w:rFonts w:ascii="Palatino Linotype" w:eastAsia="Arial" w:hAnsi="Palatino Linotype" w:cs="Arial"/>
        <w:b/>
        <w:bCs/>
        <w:color w:val="000000"/>
        <w:sz w:val="22"/>
        <w:szCs w:val="20"/>
      </w:rPr>
      <w:fldChar w:fldCharType="separate"/>
    </w:r>
    <w:r w:rsidR="007B6ED2">
      <w:rPr>
        <w:rFonts w:ascii="Palatino Linotype" w:eastAsia="Arial" w:hAnsi="Palatino Linotype" w:cs="Arial"/>
        <w:b/>
        <w:bCs/>
        <w:noProof/>
        <w:color w:val="000000"/>
        <w:sz w:val="22"/>
        <w:szCs w:val="20"/>
      </w:rPr>
      <w:t>18</w:t>
    </w:r>
    <w:r w:rsidRPr="001B22C0">
      <w:rPr>
        <w:rFonts w:ascii="Palatino Linotype" w:eastAsia="Arial" w:hAnsi="Palatino Linotype" w:cs="Arial"/>
        <w:b/>
        <w:bCs/>
        <w:color w:val="000000"/>
        <w:sz w:val="22"/>
        <w:szCs w:val="20"/>
      </w:rPr>
      <w:fldChar w:fldCharType="end"/>
    </w:r>
    <w:r w:rsidRPr="001B22C0">
      <w:rPr>
        <w:rFonts w:ascii="Palatino Linotype" w:eastAsia="Arial" w:hAnsi="Palatino Linotype" w:cs="Arial"/>
        <w:color w:val="000000"/>
        <w:sz w:val="22"/>
        <w:szCs w:val="20"/>
      </w:rPr>
      <w:t xml:space="preserve"> de </w:t>
    </w:r>
    <w:r w:rsidRPr="001B22C0">
      <w:rPr>
        <w:rFonts w:ascii="Palatino Linotype" w:eastAsia="Arial" w:hAnsi="Palatino Linotype" w:cs="Arial"/>
        <w:b/>
        <w:bCs/>
        <w:color w:val="000000"/>
        <w:sz w:val="22"/>
        <w:szCs w:val="20"/>
      </w:rPr>
      <w:fldChar w:fldCharType="begin"/>
    </w:r>
    <w:r w:rsidRPr="001B22C0">
      <w:rPr>
        <w:rFonts w:ascii="Palatino Linotype" w:eastAsia="Arial" w:hAnsi="Palatino Linotype" w:cs="Arial"/>
        <w:b/>
        <w:bCs/>
        <w:color w:val="000000"/>
        <w:sz w:val="22"/>
        <w:szCs w:val="20"/>
      </w:rPr>
      <w:instrText>NUMPAGES</w:instrText>
    </w:r>
    <w:r w:rsidRPr="001B22C0">
      <w:rPr>
        <w:rFonts w:ascii="Palatino Linotype" w:eastAsia="Arial" w:hAnsi="Palatino Linotype" w:cs="Arial"/>
        <w:b/>
        <w:bCs/>
        <w:color w:val="000000"/>
        <w:sz w:val="22"/>
        <w:szCs w:val="20"/>
      </w:rPr>
      <w:fldChar w:fldCharType="separate"/>
    </w:r>
    <w:r w:rsidR="007B6ED2">
      <w:rPr>
        <w:rFonts w:ascii="Palatino Linotype" w:eastAsia="Arial" w:hAnsi="Palatino Linotype" w:cs="Arial"/>
        <w:b/>
        <w:bCs/>
        <w:noProof/>
        <w:color w:val="000000"/>
        <w:sz w:val="22"/>
        <w:szCs w:val="20"/>
      </w:rPr>
      <w:t>50</w:t>
    </w:r>
    <w:r w:rsidRPr="001B22C0">
      <w:rPr>
        <w:rFonts w:ascii="Palatino Linotype" w:eastAsia="Arial" w:hAnsi="Palatino Linotype" w:cs="Arial"/>
        <w:b/>
        <w:bCs/>
        <w:color w:val="000000"/>
        <w:sz w:val="22"/>
        <w:szCs w:val="20"/>
      </w:rPr>
      <w:fldChar w:fldCharType="end"/>
    </w:r>
  </w:p>
  <w:p w:rsidR="00250C9F" w:rsidRDefault="00250C9F">
    <w:pPr>
      <w:pBdr>
        <w:top w:val="nil"/>
        <w:left w:val="nil"/>
        <w:bottom w:val="nil"/>
        <w:right w:val="nil"/>
        <w:between w:val="nil"/>
      </w:pBdr>
      <w:tabs>
        <w:tab w:val="center" w:pos="4252"/>
        <w:tab w:val="right" w:pos="8504"/>
      </w:tabs>
      <w:rPr>
        <w:color w:val="000000"/>
      </w:rPr>
    </w:pPr>
  </w:p>
  <w:p w:rsidR="00250C9F" w:rsidRDefault="00250C9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C9F" w:rsidRPr="001B22C0" w:rsidRDefault="004E397F">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0"/>
        <w:szCs w:val="20"/>
      </w:rPr>
    </w:pPr>
    <w:r w:rsidRPr="001B22C0">
      <w:rPr>
        <w:rFonts w:ascii="Palatino Linotype" w:eastAsia="Arial" w:hAnsi="Palatino Linotype" w:cs="Arial"/>
        <w:b/>
        <w:bCs/>
        <w:color w:val="000000"/>
        <w:sz w:val="22"/>
        <w:szCs w:val="20"/>
      </w:rPr>
      <w:t xml:space="preserve">Página </w:t>
    </w:r>
    <w:r w:rsidRPr="001B22C0">
      <w:rPr>
        <w:rFonts w:ascii="Palatino Linotype" w:eastAsia="Arial" w:hAnsi="Palatino Linotype" w:cs="Arial"/>
        <w:b/>
        <w:bCs/>
        <w:color w:val="000000"/>
        <w:sz w:val="22"/>
        <w:szCs w:val="20"/>
      </w:rPr>
      <w:fldChar w:fldCharType="begin"/>
    </w:r>
    <w:r w:rsidRPr="001B22C0">
      <w:rPr>
        <w:rFonts w:ascii="Palatino Linotype" w:eastAsia="Arial" w:hAnsi="Palatino Linotype" w:cs="Arial"/>
        <w:b/>
        <w:bCs/>
        <w:color w:val="000000"/>
        <w:sz w:val="22"/>
        <w:szCs w:val="20"/>
      </w:rPr>
      <w:instrText>PAGE</w:instrText>
    </w:r>
    <w:r w:rsidRPr="001B22C0">
      <w:rPr>
        <w:rFonts w:ascii="Palatino Linotype" w:eastAsia="Arial" w:hAnsi="Palatino Linotype" w:cs="Arial"/>
        <w:b/>
        <w:bCs/>
        <w:color w:val="000000"/>
        <w:sz w:val="22"/>
        <w:szCs w:val="20"/>
      </w:rPr>
      <w:fldChar w:fldCharType="separate"/>
    </w:r>
    <w:r w:rsidR="007B6ED2">
      <w:rPr>
        <w:rFonts w:ascii="Palatino Linotype" w:eastAsia="Arial" w:hAnsi="Palatino Linotype" w:cs="Arial"/>
        <w:b/>
        <w:bCs/>
        <w:noProof/>
        <w:color w:val="000000"/>
        <w:sz w:val="22"/>
        <w:szCs w:val="20"/>
      </w:rPr>
      <w:t>1</w:t>
    </w:r>
    <w:r w:rsidRPr="001B22C0">
      <w:rPr>
        <w:rFonts w:ascii="Palatino Linotype" w:eastAsia="Arial" w:hAnsi="Palatino Linotype" w:cs="Arial"/>
        <w:b/>
        <w:bCs/>
        <w:color w:val="000000"/>
        <w:sz w:val="22"/>
        <w:szCs w:val="20"/>
      </w:rPr>
      <w:fldChar w:fldCharType="end"/>
    </w:r>
    <w:r w:rsidRPr="001B22C0">
      <w:rPr>
        <w:rFonts w:ascii="Palatino Linotype" w:eastAsia="Arial" w:hAnsi="Palatino Linotype" w:cs="Arial"/>
        <w:color w:val="000000"/>
        <w:sz w:val="22"/>
        <w:szCs w:val="20"/>
      </w:rPr>
      <w:t xml:space="preserve"> de </w:t>
    </w:r>
    <w:r w:rsidRPr="001B22C0">
      <w:rPr>
        <w:rFonts w:ascii="Palatino Linotype" w:eastAsia="Arial" w:hAnsi="Palatino Linotype" w:cs="Arial"/>
        <w:b/>
        <w:bCs/>
        <w:color w:val="000000"/>
        <w:sz w:val="22"/>
        <w:szCs w:val="20"/>
      </w:rPr>
      <w:fldChar w:fldCharType="begin"/>
    </w:r>
    <w:r w:rsidRPr="001B22C0">
      <w:rPr>
        <w:rFonts w:ascii="Palatino Linotype" w:eastAsia="Arial" w:hAnsi="Palatino Linotype" w:cs="Arial"/>
        <w:b/>
        <w:bCs/>
        <w:color w:val="000000"/>
        <w:sz w:val="22"/>
        <w:szCs w:val="20"/>
      </w:rPr>
      <w:instrText>NUMPAGES</w:instrText>
    </w:r>
    <w:r w:rsidRPr="001B22C0">
      <w:rPr>
        <w:rFonts w:ascii="Palatino Linotype" w:eastAsia="Arial" w:hAnsi="Palatino Linotype" w:cs="Arial"/>
        <w:b/>
        <w:bCs/>
        <w:color w:val="000000"/>
        <w:sz w:val="22"/>
        <w:szCs w:val="20"/>
      </w:rPr>
      <w:fldChar w:fldCharType="separate"/>
    </w:r>
    <w:r w:rsidR="007B6ED2">
      <w:rPr>
        <w:rFonts w:ascii="Palatino Linotype" w:eastAsia="Arial" w:hAnsi="Palatino Linotype" w:cs="Arial"/>
        <w:b/>
        <w:bCs/>
        <w:noProof/>
        <w:color w:val="000000"/>
        <w:sz w:val="22"/>
        <w:szCs w:val="20"/>
      </w:rPr>
      <w:t>50</w:t>
    </w:r>
    <w:r w:rsidRPr="001B22C0">
      <w:rPr>
        <w:rFonts w:ascii="Palatino Linotype" w:eastAsia="Arial" w:hAnsi="Palatino Linotype" w:cs="Arial"/>
        <w:b/>
        <w:bCs/>
        <w:color w:val="000000"/>
        <w:sz w:val="22"/>
        <w:szCs w:val="20"/>
      </w:rPr>
      <w:fldChar w:fldCharType="end"/>
    </w:r>
  </w:p>
  <w:p w:rsidR="00250C9F" w:rsidRDefault="00250C9F">
    <w:pPr>
      <w:pBdr>
        <w:top w:val="nil"/>
        <w:left w:val="nil"/>
        <w:bottom w:val="nil"/>
        <w:right w:val="nil"/>
        <w:between w:val="nil"/>
      </w:pBdr>
      <w:tabs>
        <w:tab w:val="center" w:pos="4252"/>
        <w:tab w:val="right" w:pos="8504"/>
      </w:tabs>
      <w:rPr>
        <w:rFonts w:ascii="Calibri" w:eastAsia="Calibri" w:hAnsi="Calibri" w:cs="Calibri"/>
        <w:color w:val="000000"/>
      </w:rPr>
    </w:pPr>
  </w:p>
  <w:p w:rsidR="007D112B" w:rsidRDefault="007D11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4D7" w:rsidRDefault="00A914D7">
      <w:r>
        <w:separator/>
      </w:r>
    </w:p>
  </w:footnote>
  <w:footnote w:type="continuationSeparator" w:id="0">
    <w:p w:rsidR="00A914D7" w:rsidRDefault="00A914D7">
      <w:r>
        <w:continuationSeparator/>
      </w:r>
    </w:p>
  </w:footnote>
  <w:footnote w:id="1">
    <w:p w:rsidR="00250C9F" w:rsidRDefault="004E397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250C9F" w:rsidRDefault="004E397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250C9F" w:rsidRDefault="004E397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250C9F" w:rsidRDefault="004E397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250C9F" w:rsidRDefault="004E397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Ley de Transparencia y Acceso a la Información Pública del Estado de México y Municipios.</w:t>
      </w:r>
    </w:p>
    <w:p w:rsidR="00250C9F" w:rsidRDefault="004E397F">
      <w:pPr>
        <w:pBdr>
          <w:top w:val="nil"/>
          <w:left w:val="nil"/>
          <w:bottom w:val="nil"/>
          <w:right w:val="nil"/>
          <w:between w:val="nil"/>
        </w:pBdr>
        <w:rPr>
          <w:color w:val="000000"/>
          <w:sz w:val="20"/>
          <w:szCs w:val="20"/>
        </w:rPr>
      </w:pPr>
      <w:r>
        <w:rPr>
          <w:color w:val="000000"/>
          <w:sz w:val="20"/>
          <w:szCs w:val="20"/>
        </w:rPr>
        <w:t>Artículo 151. Ibídem.</w:t>
      </w:r>
    </w:p>
  </w:footnote>
  <w:footnote w:id="6">
    <w:p w:rsidR="00250C9F" w:rsidRDefault="004E397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Fracción IV. Artículo 53. Ibídem.</w:t>
      </w:r>
    </w:p>
  </w:footnote>
  <w:footnote w:id="7">
    <w:p w:rsidR="00250C9F" w:rsidRDefault="004E397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9698" w:type="dxa"/>
      <w:tblInd w:w="2552" w:type="dxa"/>
      <w:tblLayout w:type="fixed"/>
      <w:tblLook w:val="0400" w:firstRow="0" w:lastRow="0" w:firstColumn="0" w:lastColumn="0" w:noHBand="0" w:noVBand="1"/>
    </w:tblPr>
    <w:tblGrid>
      <w:gridCol w:w="3745"/>
      <w:gridCol w:w="5953"/>
    </w:tblGrid>
    <w:tr w:rsidR="00250C9F">
      <w:tc>
        <w:tcPr>
          <w:tcW w:w="3745" w:type="dxa"/>
          <w:vAlign w:val="center"/>
        </w:tcPr>
        <w:p w:rsidR="00250C9F" w:rsidRPr="001B22C0" w:rsidRDefault="004E397F">
          <w:pPr>
            <w:ind w:left="377"/>
            <w:rPr>
              <w:rFonts w:ascii="Palatino Linotype" w:eastAsia="Palatino Linotype" w:hAnsi="Palatino Linotype" w:cs="Palatino Linotype"/>
              <w:b/>
              <w:bCs/>
              <w:szCs w:val="22"/>
            </w:rPr>
          </w:pPr>
          <w:r w:rsidRPr="001B22C0">
            <w:rPr>
              <w:rFonts w:ascii="Palatino Linotype" w:eastAsia="Palatino Linotype" w:hAnsi="Palatino Linotype" w:cs="Palatino Linotype"/>
              <w:b/>
              <w:bCs/>
              <w:szCs w:val="22"/>
            </w:rPr>
            <w:t>Recurso de Revisión:</w:t>
          </w:r>
        </w:p>
      </w:tc>
      <w:tc>
        <w:tcPr>
          <w:tcW w:w="5953" w:type="dxa"/>
          <w:vAlign w:val="center"/>
        </w:tcPr>
        <w:p w:rsidR="00250C9F" w:rsidRPr="001B22C0" w:rsidRDefault="004E397F">
          <w:pPr>
            <w:ind w:right="-1093"/>
            <w:jc w:val="both"/>
            <w:rPr>
              <w:rFonts w:ascii="Palatino Linotype" w:eastAsia="Palatino Linotype" w:hAnsi="Palatino Linotype" w:cs="Palatino Linotype"/>
              <w:b/>
              <w:bCs/>
              <w:szCs w:val="22"/>
            </w:rPr>
          </w:pPr>
          <w:r w:rsidRPr="001B22C0">
            <w:rPr>
              <w:rFonts w:ascii="Palatino Linotype" w:eastAsia="Palatino Linotype" w:hAnsi="Palatino Linotype" w:cs="Palatino Linotype"/>
              <w:b/>
              <w:bCs/>
              <w:szCs w:val="22"/>
            </w:rPr>
            <w:t>1953/INFOEM/IP/RR/2026</w:t>
          </w:r>
        </w:p>
      </w:tc>
    </w:tr>
    <w:tr w:rsidR="00250C9F">
      <w:trPr>
        <w:trHeight w:val="228"/>
      </w:trPr>
      <w:tc>
        <w:tcPr>
          <w:tcW w:w="3745" w:type="dxa"/>
          <w:vAlign w:val="center"/>
        </w:tcPr>
        <w:p w:rsidR="00250C9F" w:rsidRPr="001B22C0" w:rsidRDefault="004E397F">
          <w:pPr>
            <w:ind w:left="377"/>
            <w:rPr>
              <w:rFonts w:ascii="Palatino Linotype" w:eastAsia="Palatino Linotype" w:hAnsi="Palatino Linotype" w:cs="Palatino Linotype"/>
              <w:b/>
              <w:bCs/>
              <w:szCs w:val="22"/>
            </w:rPr>
          </w:pPr>
          <w:r w:rsidRPr="001B22C0">
            <w:rPr>
              <w:rFonts w:ascii="Palatino Linotype" w:eastAsia="Palatino Linotype" w:hAnsi="Palatino Linotype" w:cs="Palatino Linotype"/>
              <w:b/>
              <w:bCs/>
              <w:szCs w:val="22"/>
            </w:rPr>
            <w:t>Sujeto Obligado:</w:t>
          </w:r>
        </w:p>
      </w:tc>
      <w:tc>
        <w:tcPr>
          <w:tcW w:w="5953" w:type="dxa"/>
          <w:shd w:val="clear" w:color="auto" w:fill="auto"/>
          <w:vAlign w:val="center"/>
        </w:tcPr>
        <w:p w:rsidR="00250C9F" w:rsidRPr="001B22C0" w:rsidRDefault="004E397F">
          <w:pPr>
            <w:ind w:left="34" w:right="-108"/>
            <w:rPr>
              <w:rFonts w:ascii="Palatino Linotype" w:eastAsia="Palatino Linotype" w:hAnsi="Palatino Linotype" w:cs="Palatino Linotype"/>
              <w:color w:val="000000"/>
              <w:szCs w:val="22"/>
            </w:rPr>
          </w:pPr>
          <w:r w:rsidRPr="001B22C0">
            <w:rPr>
              <w:rFonts w:ascii="Palatino Linotype" w:eastAsia="Palatino Linotype" w:hAnsi="Palatino Linotype" w:cs="Palatino Linotype"/>
              <w:b/>
              <w:bCs/>
              <w:color w:val="000000"/>
              <w:szCs w:val="22"/>
            </w:rPr>
            <w:t>Ayuntamiento de Metepec</w:t>
          </w:r>
        </w:p>
      </w:tc>
    </w:tr>
    <w:tr w:rsidR="00250C9F">
      <w:tc>
        <w:tcPr>
          <w:tcW w:w="3745" w:type="dxa"/>
          <w:vAlign w:val="center"/>
        </w:tcPr>
        <w:p w:rsidR="00250C9F" w:rsidRPr="001B22C0" w:rsidRDefault="004E397F">
          <w:pPr>
            <w:ind w:left="377"/>
            <w:rPr>
              <w:rFonts w:ascii="Palatino Linotype" w:eastAsia="Palatino Linotype" w:hAnsi="Palatino Linotype" w:cs="Palatino Linotype"/>
              <w:b/>
              <w:bCs/>
              <w:szCs w:val="22"/>
            </w:rPr>
          </w:pPr>
          <w:r w:rsidRPr="001B22C0">
            <w:rPr>
              <w:rFonts w:ascii="Palatino Linotype" w:eastAsia="Palatino Linotype" w:hAnsi="Palatino Linotype" w:cs="Palatino Linotype"/>
              <w:b/>
              <w:bCs/>
              <w:szCs w:val="22"/>
            </w:rPr>
            <w:t>Comisionada Ponente:</w:t>
          </w:r>
        </w:p>
      </w:tc>
      <w:tc>
        <w:tcPr>
          <w:tcW w:w="5953" w:type="dxa"/>
          <w:vAlign w:val="center"/>
        </w:tcPr>
        <w:p w:rsidR="00250C9F" w:rsidRPr="001B22C0" w:rsidRDefault="004E397F">
          <w:pPr>
            <w:ind w:right="-1093"/>
            <w:jc w:val="both"/>
            <w:rPr>
              <w:rFonts w:ascii="Palatino Linotype" w:eastAsia="Palatino Linotype" w:hAnsi="Palatino Linotype" w:cs="Palatino Linotype"/>
              <w:b/>
              <w:bCs/>
              <w:szCs w:val="22"/>
            </w:rPr>
          </w:pPr>
          <w:r w:rsidRPr="001B22C0">
            <w:rPr>
              <w:rFonts w:ascii="Palatino Linotype" w:eastAsia="Palatino Linotype" w:hAnsi="Palatino Linotype" w:cs="Palatino Linotype"/>
              <w:b/>
              <w:bCs/>
              <w:szCs w:val="22"/>
            </w:rPr>
            <w:t>María del Rosario Mejía Ayala</w:t>
          </w:r>
        </w:p>
      </w:tc>
    </w:tr>
  </w:tbl>
  <w:p w:rsidR="00250C9F" w:rsidRDefault="001B22C0">
    <w:pPr>
      <w:pBdr>
        <w:top w:val="nil"/>
        <w:left w:val="nil"/>
        <w:bottom w:val="nil"/>
        <w:right w:val="nil"/>
        <w:between w:val="nil"/>
      </w:pBdr>
      <w:tabs>
        <w:tab w:val="center" w:pos="4252"/>
        <w:tab w:val="right" w:pos="8504"/>
        <w:tab w:val="left" w:pos="3233"/>
      </w:tabs>
      <w:rPr>
        <w:rFonts w:ascii="Calibri" w:eastAsia="Calibri" w:hAnsi="Calibri" w:cs="Calibri"/>
        <w:color w:val="000000"/>
      </w:rPr>
    </w:pPr>
    <w:r w:rsidRPr="001B22C0">
      <w:rPr>
        <w:noProof/>
      </w:rPr>
      <w:drawing>
        <wp:anchor distT="0" distB="0" distL="0" distR="0" simplePos="0" relativeHeight="251658240" behindDoc="1" locked="0" layoutInCell="1" hidden="0" allowOverlap="1">
          <wp:simplePos x="0" y="0"/>
          <wp:positionH relativeFrom="margin">
            <wp:align>center</wp:align>
          </wp:positionH>
          <wp:positionV relativeFrom="paragraph">
            <wp:posOffset>-1185545</wp:posOffset>
          </wp:positionV>
          <wp:extent cx="7813085" cy="10170000"/>
          <wp:effectExtent l="0" t="0" r="0" b="3175"/>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943" w:type="dxa"/>
      <w:tblInd w:w="2835" w:type="dxa"/>
      <w:tblLayout w:type="fixed"/>
      <w:tblLook w:val="0400" w:firstRow="0" w:lastRow="0" w:firstColumn="0" w:lastColumn="0" w:noHBand="0" w:noVBand="1"/>
    </w:tblPr>
    <w:tblGrid>
      <w:gridCol w:w="3260"/>
      <w:gridCol w:w="3683"/>
    </w:tblGrid>
    <w:tr w:rsidR="00250C9F" w:rsidTr="001B22C0">
      <w:trPr>
        <w:trHeight w:val="227"/>
      </w:trPr>
      <w:tc>
        <w:tcPr>
          <w:tcW w:w="3260" w:type="dxa"/>
          <w:vAlign w:val="center"/>
        </w:tcPr>
        <w:p w:rsidR="00250C9F" w:rsidRPr="001B22C0" w:rsidRDefault="004E397F" w:rsidP="001B22C0">
          <w:pPr>
            <w:jc w:val="right"/>
            <w:rPr>
              <w:rFonts w:ascii="Palatino Linotype" w:eastAsia="Palatino Linotype" w:hAnsi="Palatino Linotype" w:cs="Palatino Linotype"/>
              <w:b/>
              <w:bCs/>
            </w:rPr>
          </w:pPr>
          <w:r w:rsidRPr="001B22C0">
            <w:rPr>
              <w:rFonts w:ascii="Calibri" w:eastAsia="Calibri" w:hAnsi="Calibri" w:cs="Calibri"/>
              <w:b/>
              <w:color w:val="000000"/>
            </w:rPr>
            <w:t xml:space="preserve">   </w:t>
          </w:r>
          <w:r w:rsidR="001B22C0" w:rsidRPr="001B22C0">
            <w:rPr>
              <w:rFonts w:ascii="Calibri" w:eastAsia="Calibri" w:hAnsi="Calibri" w:cs="Calibri"/>
              <w:b/>
              <w:color w:val="000000"/>
            </w:rPr>
            <w:t xml:space="preserve">          </w:t>
          </w:r>
          <w:r w:rsidR="001B22C0" w:rsidRPr="001B22C0">
            <w:rPr>
              <w:rFonts w:ascii="Palatino Linotype" w:eastAsia="Calibri" w:hAnsi="Palatino Linotype" w:cs="Calibri"/>
              <w:b/>
              <w:color w:val="000000"/>
            </w:rPr>
            <w:t>R</w:t>
          </w:r>
          <w:r w:rsidRPr="001B22C0">
            <w:rPr>
              <w:rFonts w:ascii="Palatino Linotype" w:eastAsia="Palatino Linotype" w:hAnsi="Palatino Linotype" w:cs="Palatino Linotype"/>
              <w:b/>
              <w:bCs/>
            </w:rPr>
            <w:t>ecurso de Revisión:</w:t>
          </w:r>
        </w:p>
      </w:tc>
      <w:tc>
        <w:tcPr>
          <w:tcW w:w="3683" w:type="dxa"/>
          <w:vAlign w:val="center"/>
        </w:tcPr>
        <w:p w:rsidR="00250C9F" w:rsidRPr="001B22C0" w:rsidRDefault="004E397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highlight w:val="green"/>
            </w:rPr>
          </w:pPr>
          <w:r w:rsidRPr="001B22C0">
            <w:rPr>
              <w:rFonts w:ascii="Palatino Linotype" w:eastAsia="Palatino Linotype" w:hAnsi="Palatino Linotype" w:cs="Palatino Linotype"/>
              <w:b/>
              <w:bCs/>
              <w:color w:val="000000"/>
            </w:rPr>
            <w:t>1953/INFOEM/IP/RR/2026</w:t>
          </w:r>
        </w:p>
      </w:tc>
    </w:tr>
    <w:tr w:rsidR="00250C9F" w:rsidTr="001B22C0">
      <w:trPr>
        <w:trHeight w:val="242"/>
      </w:trPr>
      <w:tc>
        <w:tcPr>
          <w:tcW w:w="3260" w:type="dxa"/>
          <w:vAlign w:val="center"/>
        </w:tcPr>
        <w:p w:rsidR="00250C9F" w:rsidRPr="001B22C0" w:rsidRDefault="004E397F">
          <w:pPr>
            <w:jc w:val="right"/>
            <w:rPr>
              <w:rFonts w:ascii="Palatino Linotype" w:eastAsia="Palatino Linotype" w:hAnsi="Palatino Linotype" w:cs="Palatino Linotype"/>
              <w:b/>
              <w:bCs/>
            </w:rPr>
          </w:pPr>
          <w:r w:rsidRPr="001B22C0">
            <w:rPr>
              <w:rFonts w:ascii="Palatino Linotype" w:eastAsia="Palatino Linotype" w:hAnsi="Palatino Linotype" w:cs="Palatino Linotype"/>
              <w:b/>
              <w:bCs/>
            </w:rPr>
            <w:t>Recurrente:</w:t>
          </w:r>
        </w:p>
      </w:tc>
      <w:tc>
        <w:tcPr>
          <w:tcW w:w="3683" w:type="dxa"/>
        </w:tcPr>
        <w:p w:rsidR="00250C9F" w:rsidRPr="001B22C0" w:rsidRDefault="00250C9F">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bCs/>
              <w:highlight w:val="green"/>
            </w:rPr>
          </w:pPr>
        </w:p>
      </w:tc>
    </w:tr>
    <w:tr w:rsidR="00250C9F" w:rsidTr="001B22C0">
      <w:trPr>
        <w:trHeight w:val="342"/>
      </w:trPr>
      <w:tc>
        <w:tcPr>
          <w:tcW w:w="3260" w:type="dxa"/>
          <w:vAlign w:val="center"/>
        </w:tcPr>
        <w:p w:rsidR="00250C9F" w:rsidRPr="001B22C0" w:rsidRDefault="004E397F">
          <w:pPr>
            <w:jc w:val="right"/>
            <w:rPr>
              <w:rFonts w:ascii="Palatino Linotype" w:eastAsia="Palatino Linotype" w:hAnsi="Palatino Linotype" w:cs="Palatino Linotype"/>
              <w:b/>
              <w:bCs/>
            </w:rPr>
          </w:pPr>
          <w:r w:rsidRPr="001B22C0">
            <w:rPr>
              <w:rFonts w:ascii="Palatino Linotype" w:eastAsia="Palatino Linotype" w:hAnsi="Palatino Linotype" w:cs="Palatino Linotype"/>
              <w:b/>
              <w:bCs/>
            </w:rPr>
            <w:t>Sujeto Obligado:</w:t>
          </w:r>
        </w:p>
      </w:tc>
      <w:tc>
        <w:tcPr>
          <w:tcW w:w="3683" w:type="dxa"/>
          <w:vAlign w:val="center"/>
        </w:tcPr>
        <w:p w:rsidR="00250C9F" w:rsidRPr="001B22C0" w:rsidRDefault="004E397F">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highlight w:val="green"/>
            </w:rPr>
          </w:pPr>
          <w:r w:rsidRPr="001B22C0">
            <w:rPr>
              <w:rFonts w:ascii="Palatino Linotype" w:eastAsia="Palatino Linotype" w:hAnsi="Palatino Linotype" w:cs="Palatino Linotype"/>
              <w:b/>
              <w:bCs/>
              <w:color w:val="000000"/>
            </w:rPr>
            <w:t>Ayuntamiento de Metepec</w:t>
          </w:r>
        </w:p>
      </w:tc>
    </w:tr>
    <w:tr w:rsidR="00250C9F" w:rsidTr="001B22C0">
      <w:trPr>
        <w:trHeight w:val="342"/>
      </w:trPr>
      <w:tc>
        <w:tcPr>
          <w:tcW w:w="3260" w:type="dxa"/>
          <w:vAlign w:val="center"/>
        </w:tcPr>
        <w:p w:rsidR="00250C9F" w:rsidRPr="001B22C0" w:rsidRDefault="004E397F">
          <w:pPr>
            <w:jc w:val="right"/>
            <w:rPr>
              <w:rFonts w:ascii="Palatino Linotype" w:eastAsia="Palatino Linotype" w:hAnsi="Palatino Linotype" w:cs="Palatino Linotype"/>
              <w:b/>
              <w:bCs/>
            </w:rPr>
          </w:pPr>
          <w:r w:rsidRPr="001B22C0">
            <w:rPr>
              <w:rFonts w:ascii="Palatino Linotype" w:eastAsia="Palatino Linotype" w:hAnsi="Palatino Linotype" w:cs="Palatino Linotype"/>
              <w:b/>
              <w:bCs/>
            </w:rPr>
            <w:t>Comisionada Ponente:</w:t>
          </w:r>
        </w:p>
      </w:tc>
      <w:tc>
        <w:tcPr>
          <w:tcW w:w="3683" w:type="dxa"/>
          <w:vAlign w:val="center"/>
        </w:tcPr>
        <w:p w:rsidR="00250C9F" w:rsidRPr="001B22C0" w:rsidRDefault="004E397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sidRPr="001B22C0">
            <w:rPr>
              <w:rFonts w:ascii="Palatino Linotype" w:eastAsia="Palatino Linotype" w:hAnsi="Palatino Linotype" w:cs="Palatino Linotype"/>
              <w:b/>
              <w:bCs/>
              <w:color w:val="000000"/>
            </w:rPr>
            <w:t>María del Rosario Mejía Ayala</w:t>
          </w:r>
        </w:p>
      </w:tc>
    </w:tr>
  </w:tbl>
  <w:p w:rsidR="00250C9F" w:rsidRDefault="001B22C0">
    <w:pPr>
      <w:pBdr>
        <w:top w:val="nil"/>
        <w:left w:val="nil"/>
        <w:bottom w:val="nil"/>
        <w:right w:val="nil"/>
        <w:between w:val="nil"/>
      </w:pBdr>
      <w:tabs>
        <w:tab w:val="center" w:pos="4252"/>
        <w:tab w:val="right" w:pos="8504"/>
      </w:tabs>
      <w:rPr>
        <w:rFonts w:ascii="Calibri" w:eastAsia="Calibri" w:hAnsi="Calibri" w:cs="Calibri"/>
        <w:color w:val="000000"/>
      </w:rPr>
    </w:pPr>
    <w:r w:rsidRPr="001B22C0">
      <w:rPr>
        <w:rFonts w:ascii="Palatino Linotype" w:hAnsi="Palatino Linotype"/>
        <w:b/>
        <w:noProof/>
      </w:rPr>
      <w:drawing>
        <wp:anchor distT="0" distB="0" distL="0" distR="0" simplePos="0" relativeHeight="251659264" behindDoc="1" locked="0" layoutInCell="1" hidden="0" allowOverlap="1">
          <wp:simplePos x="0" y="0"/>
          <wp:positionH relativeFrom="margin">
            <wp:align>center</wp:align>
          </wp:positionH>
          <wp:positionV relativeFrom="paragraph">
            <wp:posOffset>-1291170</wp:posOffset>
          </wp:positionV>
          <wp:extent cx="7813085" cy="10170000"/>
          <wp:effectExtent l="0" t="0" r="0" b="3175"/>
          <wp:wrapNone/>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958DC"/>
    <w:multiLevelType w:val="multilevel"/>
    <w:tmpl w:val="7638BDF4"/>
    <w:lvl w:ilvl="0">
      <w:start w:val="1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0F6951"/>
    <w:multiLevelType w:val="multilevel"/>
    <w:tmpl w:val="30BC06CE"/>
    <w:lvl w:ilvl="0">
      <w:start w:val="10"/>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104934"/>
    <w:multiLevelType w:val="multilevel"/>
    <w:tmpl w:val="406E4766"/>
    <w:lvl w:ilvl="0">
      <w:start w:val="13"/>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1C09E6"/>
    <w:multiLevelType w:val="multilevel"/>
    <w:tmpl w:val="D6F4E2E8"/>
    <w:lvl w:ilvl="0">
      <w:start w:val="19"/>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C92189"/>
    <w:multiLevelType w:val="multilevel"/>
    <w:tmpl w:val="74C6577E"/>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46506B"/>
    <w:multiLevelType w:val="multilevel"/>
    <w:tmpl w:val="C25A823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 w15:restartNumberingAfterBreak="0">
    <w:nsid w:val="46306508"/>
    <w:multiLevelType w:val="multilevel"/>
    <w:tmpl w:val="781AFA70"/>
    <w:lvl w:ilvl="0">
      <w:start w:val="92"/>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9A65FC"/>
    <w:multiLevelType w:val="multilevel"/>
    <w:tmpl w:val="A5A2C900"/>
    <w:lvl w:ilvl="0">
      <w:start w:val="34"/>
      <w:numFmt w:val="decimal"/>
      <w:lvlText w:val="%1."/>
      <w:lvlJc w:val="left"/>
      <w:pPr>
        <w:ind w:left="1495" w:hanging="360"/>
      </w:pPr>
      <w:rPr>
        <w:rFonts w:ascii="Palatino Linotype" w:eastAsia="Palatino Linotype" w:hAnsi="Palatino Linotype" w:cs="Palatino Linotype"/>
        <w:b/>
        <w:bCs/>
        <w:i w:val="0"/>
        <w:iCs w:val="0"/>
        <w:color w:val="000000"/>
        <w:sz w:val="24"/>
        <w:szCs w:val="24"/>
      </w:r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3352F9"/>
    <w:multiLevelType w:val="multilevel"/>
    <w:tmpl w:val="B896C9D2"/>
    <w:lvl w:ilvl="0">
      <w:start w:val="49"/>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A2138F7"/>
    <w:multiLevelType w:val="multilevel"/>
    <w:tmpl w:val="35AC5AF6"/>
    <w:lvl w:ilvl="0">
      <w:start w:val="86"/>
      <w:numFmt w:val="decimal"/>
      <w:lvlText w:val="%1."/>
      <w:lvlJc w:val="left"/>
      <w:pPr>
        <w:ind w:left="928"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972DAF"/>
    <w:multiLevelType w:val="multilevel"/>
    <w:tmpl w:val="7D0A72C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1" w15:restartNumberingAfterBreak="0">
    <w:nsid w:val="7ACC2700"/>
    <w:multiLevelType w:val="multilevel"/>
    <w:tmpl w:val="BAFA95CA"/>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BC33698"/>
    <w:multiLevelType w:val="multilevel"/>
    <w:tmpl w:val="27EA8B46"/>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9"/>
  </w:num>
  <w:num w:numId="3">
    <w:abstractNumId w:val="0"/>
  </w:num>
  <w:num w:numId="4">
    <w:abstractNumId w:val="8"/>
  </w:num>
  <w:num w:numId="5">
    <w:abstractNumId w:val="11"/>
  </w:num>
  <w:num w:numId="6">
    <w:abstractNumId w:val="12"/>
  </w:num>
  <w:num w:numId="7">
    <w:abstractNumId w:val="4"/>
  </w:num>
  <w:num w:numId="8">
    <w:abstractNumId w:val="10"/>
  </w:num>
  <w:num w:numId="9">
    <w:abstractNumId w:val="1"/>
  </w:num>
  <w:num w:numId="10">
    <w:abstractNumId w:val="6"/>
  </w:num>
  <w:num w:numId="11">
    <w:abstractNumId w:val="2"/>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C9F"/>
    <w:rsid w:val="000E77D4"/>
    <w:rsid w:val="001773A4"/>
    <w:rsid w:val="001B22C0"/>
    <w:rsid w:val="00250C9F"/>
    <w:rsid w:val="004530A2"/>
    <w:rsid w:val="004E397F"/>
    <w:rsid w:val="007B6ED2"/>
    <w:rsid w:val="007D112B"/>
    <w:rsid w:val="009A0CC8"/>
    <w:rsid w:val="00A91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0E70AF-7C91-4A75-970C-5CCC9C7E8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4530A2"/>
    <w:pPr>
      <w:tabs>
        <w:tab w:val="center" w:pos="4419"/>
        <w:tab w:val="right" w:pos="8838"/>
      </w:tabs>
    </w:pPr>
  </w:style>
  <w:style w:type="character" w:customStyle="1" w:styleId="EncabezadoCar">
    <w:name w:val="Encabezado Car"/>
    <w:basedOn w:val="Fuentedeprrafopredeter"/>
    <w:link w:val="Encabezado"/>
    <w:uiPriority w:val="99"/>
    <w:rsid w:val="004530A2"/>
  </w:style>
  <w:style w:type="paragraph" w:styleId="Piedepgina">
    <w:name w:val="footer"/>
    <w:basedOn w:val="Normal"/>
    <w:link w:val="PiedepginaCar"/>
    <w:uiPriority w:val="99"/>
    <w:unhideWhenUsed/>
    <w:rsid w:val="004530A2"/>
    <w:pPr>
      <w:tabs>
        <w:tab w:val="center" w:pos="4419"/>
        <w:tab w:val="right" w:pos="8838"/>
      </w:tabs>
    </w:pPr>
  </w:style>
  <w:style w:type="character" w:customStyle="1" w:styleId="PiedepginaCar">
    <w:name w:val="Pie de página Car"/>
    <w:basedOn w:val="Fuentedeprrafopredeter"/>
    <w:link w:val="Piedepgina"/>
    <w:uiPriority w:val="99"/>
    <w:rsid w:val="00453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O6iehJ9mjAtxwJbJk1HctmTOQ==">CgMxLjAyCGguZ2pkZ3hzMgloLjFmb2I5dGUyCWguM3pueXNoNzIJaC4yZXQ5MnAwMghoLnR5amN3dDIJaC4xdDNoNXNmMgloLjRkMzRvZzgyCWguMnM4ZXlvMTIJaC4xN2RwOHZ1MgloLjI2aW4xcmcyDmguOHBvcnN6djh3dzFoMgloLjFrc3Y0dXYyCGgubG54Yno5Mg5oLnJ1MGczeHRvd3VrczIJaC4yanhzeHFoOAByITFCYmJ4NjRXZ0x1ekUwUjZGYWRfNmY2ZVZ0dWY0d0Fo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11650</Words>
  <Characters>64076</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2</cp:revision>
  <cp:lastPrinted>2026-04-29T18:01:00Z</cp:lastPrinted>
  <dcterms:created xsi:type="dcterms:W3CDTF">2026-05-20T23:00:00Z</dcterms:created>
  <dcterms:modified xsi:type="dcterms:W3CDTF">2026-05-20T23:00:00Z</dcterms:modified>
</cp:coreProperties>
</file>