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2C6" w:rsidRDefault="00FC100D">
      <w:pPr>
        <w:tabs>
          <w:tab w:val="left" w:pos="3465"/>
        </w:tabs>
        <w:spacing w:line="360" w:lineRule="auto"/>
        <w:ind w:right="-518"/>
        <w:jc w:val="both"/>
        <w:rPr>
          <w:rFonts w:ascii="Palatino Linotype" w:eastAsia="Palatino Linotype" w:hAnsi="Palatino Linotype" w:cs="Palatino Linotype"/>
          <w:b/>
          <w:bCs/>
          <w:sz w:val="24"/>
          <w:szCs w:val="24"/>
        </w:rPr>
      </w:pPr>
      <w:bookmarkStart w:id="0" w:name="_GoBack"/>
      <w:bookmarkEnd w:id="0"/>
      <w:r>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en Metepec, Estado de México; de</w:t>
      </w:r>
      <w:r w:rsidR="00DA11F7">
        <w:rPr>
          <w:rFonts w:ascii="Palatino Linotype" w:eastAsia="Palatino Linotype" w:hAnsi="Palatino Linotype" w:cs="Palatino Linotype"/>
          <w:sz w:val="24"/>
          <w:szCs w:val="24"/>
        </w:rPr>
        <w:t xml:space="preserve"> fecha</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 xml:space="preserve">veinticinco </w:t>
      </w:r>
      <w:r w:rsidR="00DA11F7">
        <w:rPr>
          <w:rFonts w:ascii="Palatino Linotype" w:eastAsia="Palatino Linotype" w:hAnsi="Palatino Linotype" w:cs="Palatino Linotype"/>
          <w:b/>
          <w:bCs/>
          <w:sz w:val="24"/>
          <w:szCs w:val="24"/>
        </w:rPr>
        <w:t xml:space="preserve">(25) </w:t>
      </w:r>
      <w:r>
        <w:rPr>
          <w:rFonts w:ascii="Palatino Linotype" w:eastAsia="Palatino Linotype" w:hAnsi="Palatino Linotype" w:cs="Palatino Linotype"/>
          <w:b/>
          <w:bCs/>
          <w:sz w:val="24"/>
          <w:szCs w:val="24"/>
        </w:rPr>
        <w:t>de febrero de dos mil veintiséis.</w:t>
      </w:r>
    </w:p>
    <w:p w:rsidR="006312C6" w:rsidRDefault="006312C6">
      <w:pPr>
        <w:tabs>
          <w:tab w:val="left" w:pos="3465"/>
        </w:tabs>
        <w:spacing w:line="360" w:lineRule="auto"/>
        <w:ind w:right="-518"/>
        <w:jc w:val="both"/>
        <w:rPr>
          <w:rFonts w:ascii="Palatino Linotype" w:eastAsia="Palatino Linotype" w:hAnsi="Palatino Linotype" w:cs="Palatino Linotype"/>
          <w:b/>
          <w:bCs/>
          <w:sz w:val="24"/>
          <w:szCs w:val="24"/>
        </w:rPr>
      </w:pPr>
    </w:p>
    <w:p w:rsidR="006312C6" w:rsidRDefault="00FC100D">
      <w:pPr>
        <w:spacing w:line="360" w:lineRule="auto"/>
        <w:ind w:right="-518"/>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VISTO</w:t>
      </w:r>
      <w:r>
        <w:rPr>
          <w:rFonts w:ascii="Palatino Linotype" w:eastAsia="Palatino Linotype" w:hAnsi="Palatino Linotype" w:cs="Palatino Linotype"/>
          <w:sz w:val="24"/>
          <w:szCs w:val="24"/>
        </w:rPr>
        <w:t xml:space="preserve"> el expediente electrónico formado con motivo del recurso de revisión</w:t>
      </w:r>
      <w:r>
        <w:rPr>
          <w:rFonts w:ascii="Palatino Linotype" w:eastAsia="Palatino Linotype" w:hAnsi="Palatino Linotype" w:cs="Palatino Linotype"/>
          <w:b/>
          <w:bCs/>
          <w:sz w:val="24"/>
          <w:szCs w:val="24"/>
        </w:rPr>
        <w:t xml:space="preserve"> 07843/INFOEM/IP/RR/2025</w:t>
      </w:r>
      <w:r>
        <w:rPr>
          <w:rFonts w:ascii="Palatino Linotype" w:eastAsia="Palatino Linotype" w:hAnsi="Palatino Linotype" w:cs="Palatino Linotype"/>
          <w:sz w:val="24"/>
          <w:szCs w:val="24"/>
        </w:rPr>
        <w:t>,</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promovido por</w:t>
      </w:r>
      <w:r>
        <w:rPr>
          <w:rFonts w:ascii="Palatino Linotype" w:eastAsia="Palatino Linotype" w:hAnsi="Palatino Linotype" w:cs="Palatino Linotype"/>
          <w:b/>
          <w:bCs/>
          <w:sz w:val="24"/>
          <w:szCs w:val="24"/>
        </w:rPr>
        <w:t xml:space="preserve"> una persona que no proporcionó datos de identificación</w:t>
      </w:r>
      <w:r w:rsidR="00DA11F7">
        <w:rPr>
          <w:rFonts w:ascii="Palatino Linotype" w:eastAsia="Palatino Linotype" w:hAnsi="Palatino Linotype" w:cs="Palatino Linotype"/>
          <w:b/>
          <w:bCs/>
          <w:sz w:val="24"/>
          <w:szCs w:val="24"/>
        </w:rPr>
        <w:t>,</w:t>
      </w:r>
      <w:r>
        <w:rPr>
          <w:rFonts w:ascii="Palatino Linotype" w:eastAsia="Palatino Linotype" w:hAnsi="Palatino Linotype" w:cs="Palatino Linotype"/>
          <w:sz w:val="24"/>
          <w:szCs w:val="24"/>
        </w:rPr>
        <w:t xml:space="preserve"> a quien en lo sucesivo se le identificará como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en contra de la respuesta del </w:t>
      </w:r>
      <w:r>
        <w:rPr>
          <w:rFonts w:ascii="Palatino Linotype" w:eastAsia="Palatino Linotype" w:hAnsi="Palatino Linotype" w:cs="Palatino Linotype"/>
          <w:b/>
          <w:bCs/>
          <w:sz w:val="24"/>
          <w:szCs w:val="24"/>
        </w:rPr>
        <w:t xml:space="preserve">Ayuntamiento de Toluca, </w:t>
      </w:r>
      <w:r>
        <w:rPr>
          <w:rFonts w:ascii="Palatino Linotype" w:eastAsia="Palatino Linotype" w:hAnsi="Palatino Linotype" w:cs="Palatino Linotype"/>
          <w:sz w:val="24"/>
          <w:szCs w:val="24"/>
        </w:rPr>
        <w:t xml:space="preserve">en </w:t>
      </w:r>
      <w:r w:rsidR="00DA11F7">
        <w:rPr>
          <w:rFonts w:ascii="Palatino Linotype" w:eastAsia="Palatino Linotype" w:hAnsi="Palatino Linotype" w:cs="Palatino Linotype"/>
          <w:sz w:val="24"/>
          <w:szCs w:val="24"/>
        </w:rPr>
        <w:t>adelante</w:t>
      </w:r>
      <w:r>
        <w:rPr>
          <w:rFonts w:ascii="Palatino Linotype" w:eastAsia="Palatino Linotype" w:hAnsi="Palatino Linotype" w:cs="Palatino Linotype"/>
          <w:sz w:val="24"/>
          <w:szCs w:val="24"/>
        </w:rPr>
        <w:t xml:space="preserve"> el</w:t>
      </w:r>
      <w:r>
        <w:rPr>
          <w:rFonts w:ascii="Palatino Linotype" w:eastAsia="Palatino Linotype" w:hAnsi="Palatino Linotype" w:cs="Palatino Linotype"/>
          <w:b/>
          <w:bCs/>
          <w:sz w:val="24"/>
          <w:szCs w:val="24"/>
        </w:rPr>
        <w:t xml:space="preserve"> SUJETO OBLIGADO</w:t>
      </w:r>
      <w:r>
        <w:rPr>
          <w:rFonts w:ascii="Palatino Linotype" w:eastAsia="Palatino Linotype" w:hAnsi="Palatino Linotype" w:cs="Palatino Linotype"/>
          <w:sz w:val="24"/>
          <w:szCs w:val="24"/>
        </w:rPr>
        <w:t>, se procede a dictar la presente resolución, con base en los siguientes:</w:t>
      </w:r>
    </w:p>
    <w:p w:rsidR="006312C6" w:rsidRDefault="006312C6">
      <w:pPr>
        <w:spacing w:line="360" w:lineRule="auto"/>
        <w:ind w:right="-518"/>
        <w:jc w:val="both"/>
        <w:rPr>
          <w:rFonts w:ascii="Palatino Linotype" w:eastAsia="Palatino Linotype" w:hAnsi="Palatino Linotype" w:cs="Palatino Linotype"/>
          <w:b/>
          <w:bCs/>
          <w:sz w:val="24"/>
          <w:szCs w:val="24"/>
        </w:rPr>
      </w:pPr>
    </w:p>
    <w:p w:rsidR="006312C6" w:rsidRDefault="00FC100D">
      <w:pPr>
        <w:pStyle w:val="Ttulo1"/>
        <w:spacing w:before="0" w:line="360" w:lineRule="auto"/>
        <w:ind w:right="-518"/>
        <w:jc w:val="center"/>
        <w:rPr>
          <w:rFonts w:ascii="Palatino Linotype" w:eastAsia="Palatino Linotype" w:hAnsi="Palatino Linotype" w:cs="Palatino Linotype"/>
          <w:b/>
          <w:bCs/>
          <w:color w:val="000000"/>
          <w:sz w:val="24"/>
          <w:szCs w:val="24"/>
        </w:rPr>
      </w:pPr>
      <w:bookmarkStart w:id="1" w:name="_heading=h.fd1kmlwr8y1m" w:colFirst="0" w:colLast="0"/>
      <w:bookmarkEnd w:id="1"/>
      <w:r>
        <w:rPr>
          <w:rFonts w:ascii="Palatino Linotype" w:eastAsia="Palatino Linotype" w:hAnsi="Palatino Linotype" w:cs="Palatino Linotype"/>
          <w:b/>
          <w:bCs/>
          <w:color w:val="000000"/>
          <w:sz w:val="24"/>
          <w:szCs w:val="24"/>
        </w:rPr>
        <w:t>A</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N</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T</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E</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C</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E</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D</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E</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N</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T</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E</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S</w:t>
      </w:r>
      <w:r w:rsidR="00DA11F7">
        <w:rPr>
          <w:rFonts w:ascii="Palatino Linotype" w:eastAsia="Palatino Linotype" w:hAnsi="Palatino Linotype" w:cs="Palatino Linotype"/>
          <w:b/>
          <w:bCs/>
          <w:color w:val="000000"/>
          <w:sz w:val="24"/>
          <w:szCs w:val="24"/>
        </w:rPr>
        <w:t xml:space="preserve"> </w:t>
      </w:r>
    </w:p>
    <w:p w:rsidR="00DA11F7" w:rsidRPr="00DA11F7" w:rsidRDefault="00DA11F7" w:rsidP="00DA11F7"/>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El</w:t>
      </w:r>
      <w:r>
        <w:rPr>
          <w:rFonts w:ascii="Palatino Linotype" w:eastAsia="Palatino Linotype" w:hAnsi="Palatino Linotype" w:cs="Palatino Linotype"/>
          <w:b/>
          <w:bCs/>
          <w:color w:val="000000"/>
          <w:sz w:val="24"/>
          <w:szCs w:val="24"/>
        </w:rPr>
        <w:t xml:space="preserve"> quince de mayo de dos mil veinticinco, </w:t>
      </w:r>
      <w:r>
        <w:rPr>
          <w:rFonts w:ascii="Palatino Linotype" w:eastAsia="Palatino Linotype" w:hAnsi="Palatino Linotype" w:cs="Palatino Linotype"/>
          <w:color w:val="000000"/>
          <w:sz w:val="24"/>
          <w:szCs w:val="24"/>
        </w:rPr>
        <w:t xml:space="preserve">se presentó ante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a través del Sistema de Acceso la Información Mexiquense, la solicitud de información pública registrada con el número</w:t>
      </w:r>
      <w:r>
        <w:rPr>
          <w:rFonts w:ascii="Palatino Linotype" w:eastAsia="Palatino Linotype" w:hAnsi="Palatino Linotype" w:cs="Palatino Linotype"/>
          <w:b/>
          <w:bCs/>
          <w:color w:val="000000"/>
          <w:sz w:val="24"/>
          <w:szCs w:val="24"/>
        </w:rPr>
        <w:t xml:space="preserve">   02823/TOLUCA/IP/2025; </w:t>
      </w:r>
      <w:r w:rsidR="0069007B">
        <w:rPr>
          <w:rFonts w:ascii="Palatino Linotype" w:eastAsia="Palatino Linotype" w:hAnsi="Palatino Linotype" w:cs="Palatino Linotype"/>
          <w:color w:val="000000"/>
          <w:sz w:val="24"/>
          <w:szCs w:val="24"/>
        </w:rPr>
        <w:t>en la que</w:t>
      </w:r>
      <w:r>
        <w:rPr>
          <w:rFonts w:ascii="Palatino Linotype" w:eastAsia="Palatino Linotype" w:hAnsi="Palatino Linotype" w:cs="Palatino Linotype"/>
          <w:color w:val="000000"/>
          <w:sz w:val="24"/>
          <w:szCs w:val="24"/>
        </w:rPr>
        <w:t xml:space="preserve"> se solicitó la siguiente información:</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pBdr>
          <w:top w:val="nil"/>
          <w:left w:val="nil"/>
          <w:bottom w:val="nil"/>
          <w:right w:val="nil"/>
          <w:between w:val="nil"/>
        </w:pBdr>
        <w:spacing w:after="0" w:line="276" w:lineRule="auto"/>
        <w:ind w:left="426"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r>
        <w:rPr>
          <w:rFonts w:ascii="Palatino Linotype" w:eastAsia="Palatino Linotype" w:hAnsi="Palatino Linotype" w:cs="Palatino Linotype"/>
          <w:i/>
          <w:iCs/>
          <w:color w:val="000000"/>
          <w:sz w:val="24"/>
          <w:szCs w:val="24"/>
        </w:rPr>
        <w:tab/>
        <w:t>En qué colonias se colocaron se han puesto luminarias cuantas, el costo de cada luminaria, el contrato de la compra de esas luminarias, el presupeuto asginado y ejerido con evidencia fotografica de la colocación de las luminarias del 1 de enero a la fecha.”(Sic)</w:t>
      </w:r>
    </w:p>
    <w:p w:rsidR="006312C6" w:rsidRDefault="006312C6">
      <w:pPr>
        <w:pBdr>
          <w:top w:val="nil"/>
          <w:left w:val="nil"/>
          <w:bottom w:val="nil"/>
          <w:right w:val="nil"/>
          <w:between w:val="nil"/>
        </w:pBdr>
        <w:spacing w:after="0" w:line="360" w:lineRule="auto"/>
        <w:ind w:left="426" w:right="-518"/>
        <w:jc w:val="center"/>
        <w:rPr>
          <w:rFonts w:ascii="Palatino Linotype" w:eastAsia="Palatino Linotype" w:hAnsi="Palatino Linotype" w:cs="Palatino Linotype"/>
          <w:i/>
          <w:iCs/>
          <w:color w:val="000000"/>
          <w:sz w:val="24"/>
          <w:szCs w:val="24"/>
        </w:rPr>
      </w:pPr>
    </w:p>
    <w:p w:rsidR="006312C6" w:rsidRDefault="00FC100D" w:rsidP="00DA11F7">
      <w:pPr>
        <w:numPr>
          <w:ilvl w:val="0"/>
          <w:numId w:val="13"/>
        </w:numPr>
        <w:pBdr>
          <w:top w:val="nil"/>
          <w:left w:val="nil"/>
          <w:bottom w:val="nil"/>
          <w:right w:val="nil"/>
          <w:between w:val="nil"/>
        </w:pBdr>
        <w:spacing w:after="0" w:line="360" w:lineRule="auto"/>
        <w:ind w:left="0" w:right="474"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Se eligió como modalidad de entrega de la información: A través del </w:t>
      </w:r>
      <w:r>
        <w:rPr>
          <w:rFonts w:ascii="Palatino Linotype" w:eastAsia="Palatino Linotype" w:hAnsi="Palatino Linotype" w:cs="Palatino Linotype"/>
          <w:b/>
          <w:bCs/>
          <w:color w:val="000000"/>
          <w:sz w:val="24"/>
          <w:szCs w:val="24"/>
        </w:rPr>
        <w:t>SAIMEX.</w:t>
      </w: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color w:val="000000"/>
          <w:sz w:val="24"/>
          <w:szCs w:val="24"/>
        </w:rPr>
        <w:lastRenderedPageBreak/>
        <w:t xml:space="preserve">El </w:t>
      </w:r>
      <w:r>
        <w:rPr>
          <w:rFonts w:ascii="Palatino Linotype" w:eastAsia="Palatino Linotype" w:hAnsi="Palatino Linotype" w:cs="Palatino Linotype"/>
          <w:b/>
          <w:bCs/>
          <w:color w:val="000000"/>
          <w:sz w:val="24"/>
          <w:szCs w:val="24"/>
        </w:rPr>
        <w:t>cinco de junio de dos mil veinticinco,</w:t>
      </w:r>
      <w:r>
        <w:rPr>
          <w:rFonts w:ascii="Palatino Linotype" w:eastAsia="Palatino Linotype" w:hAnsi="Palatino Linotype" w:cs="Palatino Linotype"/>
          <w:color w:val="000000"/>
          <w:sz w:val="24"/>
          <w:szCs w:val="24"/>
        </w:rPr>
        <w:t xml:space="preserv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dio respuesta a través del archivo siguiente:</w:t>
      </w:r>
    </w:p>
    <w:p w:rsidR="006312C6" w:rsidRDefault="00FC100D">
      <w:pPr>
        <w:numPr>
          <w:ilvl w:val="0"/>
          <w:numId w:val="4"/>
        </w:numPr>
        <w:pBdr>
          <w:top w:val="nil"/>
          <w:left w:val="nil"/>
          <w:bottom w:val="nil"/>
          <w:right w:val="nil"/>
          <w:between w:val="nil"/>
        </w:pBdr>
        <w:spacing w:after="0" w:line="276" w:lineRule="auto"/>
        <w:ind w:right="4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SAIMEX 2823.pdf: </w:t>
      </w:r>
      <w:r>
        <w:rPr>
          <w:rFonts w:ascii="Palatino Linotype" w:eastAsia="Palatino Linotype" w:hAnsi="Palatino Linotype" w:cs="Palatino Linotype"/>
          <w:color w:val="000000"/>
          <w:sz w:val="24"/>
          <w:szCs w:val="24"/>
        </w:rPr>
        <w:t xml:space="preserve">Oficio firmado por el Tesorero Municipal, por el que informo que, </w:t>
      </w:r>
      <w:r>
        <w:rPr>
          <w:rFonts w:ascii="Palatino Linotype" w:eastAsia="Palatino Linotype" w:hAnsi="Palatino Linotype" w:cs="Palatino Linotype"/>
          <w:i/>
          <w:iCs/>
          <w:color w:val="000000"/>
          <w:sz w:val="24"/>
          <w:szCs w:val="24"/>
        </w:rPr>
        <w:t>después de realizar una búsqueda exhaustiva y minuciosa en nuestros sistemas contables, observamos que no ha sido remitida ninguna información O documentación relacionada a la solicitud del ciudadano.</w:t>
      </w:r>
    </w:p>
    <w:p w:rsidR="006312C6" w:rsidRDefault="00FC100D">
      <w:pPr>
        <w:numPr>
          <w:ilvl w:val="0"/>
          <w:numId w:val="4"/>
        </w:numPr>
        <w:pBdr>
          <w:top w:val="nil"/>
          <w:left w:val="nil"/>
          <w:bottom w:val="nil"/>
          <w:right w:val="nil"/>
          <w:between w:val="nil"/>
        </w:pBdr>
        <w:spacing w:after="0" w:line="276" w:lineRule="auto"/>
        <w:ind w:right="4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SAIMEX 2823.pdf: </w:t>
      </w:r>
      <w:r>
        <w:rPr>
          <w:rFonts w:ascii="Palatino Linotype" w:eastAsia="Palatino Linotype" w:hAnsi="Palatino Linotype" w:cs="Palatino Linotype"/>
          <w:color w:val="000000"/>
          <w:sz w:val="24"/>
          <w:szCs w:val="24"/>
        </w:rPr>
        <w:t>Oficio firmado por el Director General de Servicios Públicos, por el que informo que informo que,</w:t>
      </w:r>
      <w:r>
        <w:rPr>
          <w:rFonts w:ascii="Palatino Linotype" w:eastAsia="Palatino Linotype" w:hAnsi="Palatino Linotype" w:cs="Palatino Linotype"/>
          <w:i/>
          <w:iCs/>
          <w:color w:val="000000"/>
          <w:sz w:val="24"/>
          <w:szCs w:val="24"/>
        </w:rPr>
        <w:t xml:space="preserve"> anexo oficio 208011000/866/2025 de fecha 30 de mayo de 2025, firmado por el Ing. Elfego Gutiérrez Galvan, Director de Alumbrado Público, mediante el cual se da respuesta su petición.</w:t>
      </w:r>
    </w:p>
    <w:p w:rsidR="006312C6" w:rsidRDefault="006312C6">
      <w:pPr>
        <w:pBdr>
          <w:top w:val="nil"/>
          <w:left w:val="nil"/>
          <w:bottom w:val="nil"/>
          <w:right w:val="nil"/>
          <w:between w:val="nil"/>
        </w:pBdr>
        <w:spacing w:after="0" w:line="240" w:lineRule="auto"/>
        <w:ind w:left="720"/>
        <w:rPr>
          <w:rFonts w:ascii="Palatino Linotype" w:eastAsia="Palatino Linotype" w:hAnsi="Palatino Linotype" w:cs="Palatino Linotype"/>
          <w:b/>
          <w:bCs/>
          <w:i/>
          <w:iCs/>
          <w:color w:val="000000"/>
          <w:sz w:val="24"/>
          <w:szCs w:val="24"/>
        </w:rPr>
      </w:pPr>
    </w:p>
    <w:p w:rsidR="006312C6" w:rsidRDefault="00FC100D" w:rsidP="00DA11F7">
      <w:pPr>
        <w:pBdr>
          <w:top w:val="nil"/>
          <w:left w:val="nil"/>
          <w:bottom w:val="nil"/>
          <w:right w:val="nil"/>
          <w:between w:val="nil"/>
        </w:pBdr>
        <w:spacing w:after="0" w:line="276" w:lineRule="auto"/>
        <w:ind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color w:val="000000"/>
          <w:sz w:val="24"/>
          <w:szCs w:val="24"/>
        </w:rPr>
        <w:t xml:space="preserve">Oficio firmado por el Director de Alumbrado Público, por el que </w:t>
      </w:r>
      <w:r>
        <w:rPr>
          <w:rFonts w:ascii="Palatino Linotype" w:eastAsia="Palatino Linotype" w:hAnsi="Palatino Linotype" w:cs="Palatino Linotype"/>
          <w:i/>
          <w:iCs/>
          <w:color w:val="000000"/>
          <w:sz w:val="24"/>
          <w:szCs w:val="24"/>
        </w:rPr>
        <w:t>Envió a usted en forma digital la información requerida que compete a los Departamentos de Mantenimiento e Infraestructura de Alumbrado Público.</w:t>
      </w:r>
    </w:p>
    <w:p w:rsidR="006312C6" w:rsidRDefault="006312C6">
      <w:pPr>
        <w:pBdr>
          <w:top w:val="nil"/>
          <w:left w:val="nil"/>
          <w:bottom w:val="nil"/>
          <w:right w:val="nil"/>
          <w:between w:val="nil"/>
        </w:pBdr>
        <w:spacing w:after="0" w:line="240" w:lineRule="auto"/>
        <w:ind w:left="720"/>
        <w:rPr>
          <w:rFonts w:ascii="Palatino Linotype" w:eastAsia="Palatino Linotype" w:hAnsi="Palatino Linotype" w:cs="Palatino Linotype"/>
          <w:b/>
          <w:bCs/>
          <w:i/>
          <w:iCs/>
          <w:color w:val="000000"/>
          <w:sz w:val="24"/>
          <w:szCs w:val="24"/>
        </w:rPr>
      </w:pPr>
    </w:p>
    <w:p w:rsidR="006312C6" w:rsidRDefault="00FC100D">
      <w:pPr>
        <w:pBdr>
          <w:top w:val="nil"/>
          <w:left w:val="nil"/>
          <w:bottom w:val="nil"/>
          <w:right w:val="nil"/>
          <w:between w:val="nil"/>
        </w:pBdr>
        <w:spacing w:after="0" w:line="240" w:lineRule="auto"/>
        <w:ind w:left="720"/>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noProof/>
          <w:color w:val="000000"/>
          <w:sz w:val="24"/>
          <w:szCs w:val="24"/>
        </w:rPr>
        <w:drawing>
          <wp:inline distT="0" distB="0" distL="0" distR="0">
            <wp:extent cx="5076000" cy="2516178"/>
            <wp:effectExtent l="0" t="0" r="0" b="0"/>
            <wp:docPr id="14325137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076000" cy="2516178"/>
                    </a:xfrm>
                    <a:prstGeom prst="rect">
                      <a:avLst/>
                    </a:prstGeom>
                    <a:ln/>
                  </pic:spPr>
                </pic:pic>
              </a:graphicData>
            </a:graphic>
          </wp:inline>
        </w:drawing>
      </w:r>
    </w:p>
    <w:p w:rsidR="006312C6" w:rsidRDefault="006312C6">
      <w:pPr>
        <w:pBdr>
          <w:top w:val="nil"/>
          <w:left w:val="nil"/>
          <w:bottom w:val="nil"/>
          <w:right w:val="nil"/>
          <w:between w:val="nil"/>
        </w:pBdr>
        <w:spacing w:after="0" w:line="240" w:lineRule="auto"/>
        <w:ind w:left="720"/>
        <w:rPr>
          <w:rFonts w:ascii="Palatino Linotype" w:eastAsia="Palatino Linotype" w:hAnsi="Palatino Linotype" w:cs="Palatino Linotype"/>
          <w:b/>
          <w:bCs/>
          <w:i/>
          <w:iCs/>
          <w:color w:val="000000"/>
          <w:sz w:val="24"/>
          <w:szCs w:val="24"/>
        </w:rPr>
      </w:pPr>
    </w:p>
    <w:p w:rsidR="00DA11F7" w:rsidRDefault="00DA11F7" w:rsidP="00DA11F7">
      <w:pPr>
        <w:pBdr>
          <w:top w:val="nil"/>
          <w:left w:val="nil"/>
          <w:bottom w:val="nil"/>
          <w:right w:val="nil"/>
          <w:between w:val="nil"/>
        </w:pBdr>
        <w:spacing w:after="0" w:line="240" w:lineRule="auto"/>
        <w:rPr>
          <w:rFonts w:ascii="Palatino Linotype" w:eastAsia="Palatino Linotype" w:hAnsi="Palatino Linotype" w:cs="Palatino Linotype"/>
          <w:color w:val="000000"/>
          <w:sz w:val="24"/>
          <w:szCs w:val="24"/>
        </w:rPr>
      </w:pPr>
    </w:p>
    <w:p w:rsidR="006312C6" w:rsidRDefault="00FC100D" w:rsidP="00DA11F7">
      <w:pPr>
        <w:pBdr>
          <w:top w:val="nil"/>
          <w:left w:val="nil"/>
          <w:bottom w:val="nil"/>
          <w:right w:val="nil"/>
          <w:between w:val="nil"/>
        </w:pBdr>
        <w:spacing w:after="0" w:line="240" w:lineRule="auto"/>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 lo anterior, adjunto evidencia fotográfica, un listado con la dirección en donde se realizó el servicio. </w:t>
      </w:r>
    </w:p>
    <w:p w:rsidR="006312C6" w:rsidRDefault="006312C6">
      <w:pPr>
        <w:pBdr>
          <w:top w:val="nil"/>
          <w:left w:val="nil"/>
          <w:bottom w:val="nil"/>
          <w:right w:val="nil"/>
          <w:between w:val="nil"/>
        </w:pBdr>
        <w:spacing w:after="0" w:line="276" w:lineRule="auto"/>
        <w:ind w:left="720" w:right="49"/>
        <w:jc w:val="both"/>
        <w:rPr>
          <w:rFonts w:ascii="Palatino Linotype" w:eastAsia="Palatino Linotype" w:hAnsi="Palatino Linotype" w:cs="Palatino Linotype"/>
          <w:b/>
          <w:bCs/>
          <w:i/>
          <w:iCs/>
          <w:color w:val="000000"/>
          <w:sz w:val="24"/>
          <w:szCs w:val="24"/>
        </w:rPr>
      </w:pPr>
    </w:p>
    <w:p w:rsidR="006312C6" w:rsidRDefault="00FC100D">
      <w:pPr>
        <w:numPr>
          <w:ilvl w:val="0"/>
          <w:numId w:val="4"/>
        </w:numPr>
        <w:pBdr>
          <w:top w:val="nil"/>
          <w:left w:val="nil"/>
          <w:bottom w:val="nil"/>
          <w:right w:val="nil"/>
          <w:between w:val="nil"/>
        </w:pBdr>
        <w:spacing w:after="0" w:line="276" w:lineRule="auto"/>
        <w:ind w:right="4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lastRenderedPageBreak/>
        <w:t xml:space="preserve">R. 02823. 2025.pdf: </w:t>
      </w:r>
      <w:r>
        <w:rPr>
          <w:rFonts w:ascii="Palatino Linotype" w:eastAsia="Palatino Linotype" w:hAnsi="Palatino Linotype" w:cs="Palatino Linotype"/>
          <w:color w:val="000000"/>
          <w:sz w:val="24"/>
          <w:szCs w:val="24"/>
        </w:rPr>
        <w:t xml:space="preserve">Oficio firmado por el Titular de la Unidad de Transparencia, por el  que </w:t>
      </w:r>
      <w:r>
        <w:rPr>
          <w:rFonts w:ascii="Palatino Linotype" w:eastAsia="Palatino Linotype" w:hAnsi="Palatino Linotype" w:cs="Palatino Linotype"/>
          <w:sz w:val="24"/>
          <w:szCs w:val="24"/>
        </w:rPr>
        <w:t>informó</w:t>
      </w:r>
      <w:r>
        <w:rPr>
          <w:rFonts w:ascii="Palatino Linotype" w:eastAsia="Palatino Linotype" w:hAnsi="Palatino Linotype" w:cs="Palatino Linotype"/>
          <w:color w:val="000000"/>
          <w:sz w:val="24"/>
          <w:szCs w:val="24"/>
        </w:rPr>
        <w:t xml:space="preserve"> que, </w:t>
      </w:r>
      <w:r>
        <w:rPr>
          <w:rFonts w:ascii="Palatino Linotype" w:eastAsia="Palatino Linotype" w:hAnsi="Palatino Linotype" w:cs="Palatino Linotype"/>
          <w:i/>
          <w:iCs/>
          <w:color w:val="000000"/>
          <w:sz w:val="24"/>
          <w:szCs w:val="24"/>
        </w:rPr>
        <w:t>hago de su conocimiento que la Dirección General de Administración y Servidora Pública Habilitada, informó que la Dirección de Recursos Materiales, después de haber realizado una búsqueda exhaustiva y razonable en los archivos que obran en esta Dirección y sus Departamentos, informa que, referente a la información solicitada, no se localizó contrato celebrado para la "compra de luminarias" a la fecha de la solicitud; asimismo menciona que lo referente a en que colonias se colocaron, se han puesto luminarias, el costo, presupuesto asignado y ejercido, evidencia fotográfica, no es competencia de la unidad administrativa.</w:t>
      </w:r>
    </w:p>
    <w:p w:rsidR="006312C6" w:rsidRDefault="006312C6">
      <w:pPr>
        <w:pBdr>
          <w:top w:val="nil"/>
          <w:left w:val="nil"/>
          <w:bottom w:val="nil"/>
          <w:right w:val="nil"/>
          <w:between w:val="nil"/>
        </w:pBdr>
        <w:spacing w:after="0" w:line="276" w:lineRule="auto"/>
        <w:ind w:left="720" w:right="49"/>
        <w:jc w:val="both"/>
        <w:rPr>
          <w:rFonts w:ascii="Palatino Linotype" w:eastAsia="Palatino Linotype" w:hAnsi="Palatino Linotype" w:cs="Palatino Linotype"/>
          <w:b/>
          <w:bCs/>
          <w:i/>
          <w:iCs/>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color w:val="000000"/>
          <w:sz w:val="24"/>
          <w:szCs w:val="24"/>
        </w:rPr>
        <w:t xml:space="preserve">Inconforme con lo anterior, el </w:t>
      </w:r>
      <w:r>
        <w:rPr>
          <w:rFonts w:ascii="Palatino Linotype" w:eastAsia="Palatino Linotype" w:hAnsi="Palatino Linotype" w:cs="Palatino Linotype"/>
          <w:b/>
          <w:bCs/>
          <w:color w:val="000000"/>
          <w:sz w:val="24"/>
          <w:szCs w:val="24"/>
        </w:rPr>
        <w:t>veintiséis de junio de dos mil veinticinco</w:t>
      </w:r>
      <w:r>
        <w:rPr>
          <w:rFonts w:ascii="Palatino Linotype" w:eastAsia="Palatino Linotype" w:hAnsi="Palatino Linotype" w:cs="Palatino Linotype"/>
          <w:color w:val="000000"/>
          <w:sz w:val="24"/>
          <w:szCs w:val="24"/>
        </w:rPr>
        <w:t xml:space="preserve">, el hoy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 xml:space="preserve">interpuso recurso de revisión en contra de la respuesta emitida por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manifestando las siguientes razones o motivos de inconformidad:</w:t>
      </w:r>
    </w:p>
    <w:p w:rsidR="006312C6" w:rsidRDefault="006312C6">
      <w:pPr>
        <w:pBdr>
          <w:top w:val="nil"/>
          <w:left w:val="nil"/>
          <w:bottom w:val="nil"/>
          <w:right w:val="nil"/>
          <w:between w:val="nil"/>
        </w:pBdr>
        <w:tabs>
          <w:tab w:val="left" w:pos="0"/>
        </w:tabs>
        <w:spacing w:after="0" w:line="360" w:lineRule="auto"/>
        <w:ind w:right="-518"/>
        <w:jc w:val="both"/>
        <w:rPr>
          <w:rFonts w:ascii="Palatino Linotype" w:eastAsia="Palatino Linotype" w:hAnsi="Palatino Linotype" w:cs="Palatino Linotype"/>
          <w:i/>
          <w:iCs/>
          <w:color w:val="000000"/>
          <w:sz w:val="24"/>
          <w:szCs w:val="24"/>
        </w:rPr>
      </w:pPr>
    </w:p>
    <w:p w:rsidR="006312C6" w:rsidRDefault="00DA11F7" w:rsidP="00DA11F7">
      <w:pPr>
        <w:numPr>
          <w:ilvl w:val="0"/>
          <w:numId w:val="13"/>
        </w:numPr>
        <w:pBdr>
          <w:top w:val="nil"/>
          <w:left w:val="nil"/>
          <w:bottom w:val="nil"/>
          <w:right w:val="nil"/>
          <w:between w:val="nil"/>
        </w:pBdr>
        <w:spacing w:after="0" w:line="276" w:lineRule="auto"/>
        <w:ind w:left="567" w:right="474"/>
        <w:jc w:val="both"/>
        <w:rPr>
          <w:rFonts w:ascii="Palatino Linotype" w:eastAsia="Palatino Linotype" w:hAnsi="Palatino Linotype" w:cs="Palatino Linotype"/>
          <w:i/>
          <w:iCs/>
          <w:color w:val="000000"/>
          <w:sz w:val="24"/>
          <w:szCs w:val="24"/>
        </w:rPr>
      </w:pPr>
      <w:bookmarkStart w:id="2" w:name="_heading=h.49hs6c8z8m88" w:colFirst="0" w:colLast="0"/>
      <w:bookmarkEnd w:id="2"/>
      <w:r>
        <w:rPr>
          <w:rFonts w:ascii="Palatino Linotype" w:eastAsia="Palatino Linotype" w:hAnsi="Palatino Linotype" w:cs="Palatino Linotype"/>
          <w:b/>
          <w:bCs/>
          <w:color w:val="000000"/>
          <w:sz w:val="24"/>
          <w:szCs w:val="24"/>
        </w:rPr>
        <w:t>ACTO IMPUGNADO</w:t>
      </w:r>
      <w:r w:rsidR="00FC100D">
        <w:rPr>
          <w:rFonts w:ascii="Palatino Linotype" w:eastAsia="Palatino Linotype" w:hAnsi="Palatino Linotype" w:cs="Palatino Linotype"/>
          <w:b/>
          <w:bCs/>
          <w:color w:val="000000"/>
          <w:sz w:val="24"/>
          <w:szCs w:val="24"/>
        </w:rPr>
        <w:t xml:space="preserve">: </w:t>
      </w:r>
      <w:r w:rsidR="00FC100D">
        <w:rPr>
          <w:rFonts w:ascii="Palatino Linotype" w:eastAsia="Palatino Linotype" w:hAnsi="Palatino Linotype" w:cs="Palatino Linotype"/>
          <w:i/>
          <w:iCs/>
          <w:color w:val="000000"/>
          <w:sz w:val="24"/>
          <w:szCs w:val="24"/>
        </w:rPr>
        <w:t>“la respuesta no atiende lo solicitado”</w:t>
      </w:r>
    </w:p>
    <w:p w:rsidR="006312C6" w:rsidRDefault="006312C6" w:rsidP="00DA11F7">
      <w:pPr>
        <w:pBdr>
          <w:top w:val="nil"/>
          <w:left w:val="nil"/>
          <w:bottom w:val="nil"/>
          <w:right w:val="nil"/>
          <w:between w:val="nil"/>
        </w:pBdr>
        <w:spacing w:after="0" w:line="360" w:lineRule="auto"/>
        <w:ind w:left="567" w:right="474" w:hanging="142"/>
        <w:jc w:val="both"/>
        <w:rPr>
          <w:rFonts w:ascii="Palatino Linotype" w:eastAsia="Palatino Linotype" w:hAnsi="Palatino Linotype" w:cs="Palatino Linotype"/>
          <w:i/>
          <w:iCs/>
          <w:color w:val="000000"/>
          <w:sz w:val="24"/>
          <w:szCs w:val="24"/>
        </w:rPr>
      </w:pPr>
    </w:p>
    <w:p w:rsidR="006312C6" w:rsidRDefault="00DA11F7" w:rsidP="00DA11F7">
      <w:pPr>
        <w:numPr>
          <w:ilvl w:val="0"/>
          <w:numId w:val="13"/>
        </w:numPr>
        <w:pBdr>
          <w:top w:val="nil"/>
          <w:left w:val="nil"/>
          <w:bottom w:val="nil"/>
          <w:right w:val="nil"/>
          <w:between w:val="nil"/>
        </w:pBdr>
        <w:spacing w:after="0" w:line="276" w:lineRule="auto"/>
        <w:ind w:left="567" w:right="474"/>
        <w:jc w:val="both"/>
        <w:rPr>
          <w:rFonts w:ascii="Palatino Linotype" w:eastAsia="Palatino Linotype" w:hAnsi="Palatino Linotype" w:cs="Palatino Linotype"/>
          <w:i/>
          <w:iCs/>
          <w:color w:val="000000"/>
          <w:sz w:val="24"/>
          <w:szCs w:val="24"/>
        </w:rPr>
      </w:pPr>
      <w:bookmarkStart w:id="3" w:name="_heading=h.374h0wenf6yo" w:colFirst="0" w:colLast="0"/>
      <w:bookmarkEnd w:id="3"/>
      <w:r>
        <w:rPr>
          <w:rFonts w:ascii="Palatino Linotype" w:eastAsia="Palatino Linotype" w:hAnsi="Palatino Linotype" w:cs="Palatino Linotype"/>
          <w:b/>
          <w:bCs/>
          <w:color w:val="000000"/>
          <w:sz w:val="24"/>
          <w:szCs w:val="24"/>
        </w:rPr>
        <w:t>RAZONES O MOTIVOS DE INCONFORMIDAD</w:t>
      </w:r>
      <w:r w:rsidR="00FC100D">
        <w:rPr>
          <w:rFonts w:ascii="Palatino Linotype" w:eastAsia="Palatino Linotype" w:hAnsi="Palatino Linotype" w:cs="Palatino Linotype"/>
          <w:b/>
          <w:bCs/>
          <w:color w:val="000000"/>
          <w:sz w:val="24"/>
          <w:szCs w:val="24"/>
        </w:rPr>
        <w:t>: “</w:t>
      </w:r>
      <w:r w:rsidR="00FC100D">
        <w:rPr>
          <w:rFonts w:ascii="Palatino Linotype" w:eastAsia="Palatino Linotype" w:hAnsi="Palatino Linotype" w:cs="Palatino Linotype"/>
          <w:i/>
          <w:iCs/>
          <w:color w:val="000000"/>
          <w:sz w:val="24"/>
          <w:szCs w:val="24"/>
        </w:rPr>
        <w:t>la negativa de la informaicón no ateinde lo solicitado”</w:t>
      </w:r>
    </w:p>
    <w:p w:rsidR="006312C6" w:rsidRDefault="006312C6">
      <w:pPr>
        <w:pBdr>
          <w:top w:val="nil"/>
          <w:left w:val="nil"/>
          <w:bottom w:val="nil"/>
          <w:right w:val="nil"/>
          <w:between w:val="nil"/>
        </w:pBdr>
        <w:spacing w:after="0" w:line="240" w:lineRule="auto"/>
        <w:ind w:left="720" w:right="-518"/>
        <w:rPr>
          <w:rFonts w:ascii="Palatino Linotype" w:eastAsia="Palatino Linotype" w:hAnsi="Palatino Linotype" w:cs="Palatino Linotype"/>
          <w:i/>
          <w:iCs/>
          <w:color w:val="000000"/>
          <w:sz w:val="24"/>
          <w:szCs w:val="24"/>
        </w:rPr>
      </w:pPr>
    </w:p>
    <w:p w:rsidR="00DA11F7" w:rsidRDefault="00DA11F7">
      <w:pPr>
        <w:pBdr>
          <w:top w:val="nil"/>
          <w:left w:val="nil"/>
          <w:bottom w:val="nil"/>
          <w:right w:val="nil"/>
          <w:between w:val="nil"/>
        </w:pBdr>
        <w:spacing w:after="0" w:line="240" w:lineRule="auto"/>
        <w:ind w:left="720" w:right="-518"/>
        <w:rPr>
          <w:rFonts w:ascii="Palatino Linotype" w:eastAsia="Palatino Linotype" w:hAnsi="Palatino Linotype" w:cs="Palatino Linotype"/>
          <w:i/>
          <w:iCs/>
          <w:color w:val="000000"/>
          <w:sz w:val="24"/>
          <w:szCs w:val="24"/>
        </w:rPr>
      </w:pPr>
    </w:p>
    <w:p w:rsidR="006312C6" w:rsidRDefault="00DA11F7">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color w:val="000000"/>
          <w:sz w:val="24"/>
          <w:szCs w:val="24"/>
        </w:rPr>
        <w:t>La Comisionada p</w:t>
      </w:r>
      <w:r w:rsidR="00FC100D">
        <w:rPr>
          <w:rFonts w:ascii="Palatino Linotype" w:eastAsia="Palatino Linotype" w:hAnsi="Palatino Linotype" w:cs="Palatino Linotype"/>
          <w:color w:val="000000"/>
          <w:sz w:val="24"/>
          <w:szCs w:val="24"/>
        </w:rPr>
        <w:t>onente con fundamento en lo dispuesto por el artículo 185 fracción II de la ley de la materia, a través del acuerdo de admisión notificado el</w:t>
      </w:r>
      <w:r w:rsidR="00FC100D">
        <w:rPr>
          <w:rFonts w:ascii="Palatino Linotype" w:eastAsia="Palatino Linotype" w:hAnsi="Palatino Linotype" w:cs="Palatino Linotype"/>
          <w:b/>
          <w:bCs/>
          <w:color w:val="000000"/>
          <w:sz w:val="24"/>
          <w:szCs w:val="24"/>
        </w:rPr>
        <w:t xml:space="preserve"> primero de julio de dos mil veinticinco</w:t>
      </w:r>
      <w:r w:rsidR="00FC100D">
        <w:rPr>
          <w:rFonts w:ascii="Palatino Linotype" w:eastAsia="Palatino Linotype" w:hAnsi="Palatino Linotype" w:cs="Palatino Linotype"/>
          <w:color w:val="000000"/>
          <w:sz w:val="24"/>
          <w:szCs w:val="24"/>
        </w:rPr>
        <w:t xml:space="preserve">, puso a disposición de las partes el expediente electrónico vía </w:t>
      </w:r>
      <w:r w:rsidR="00FC100D">
        <w:rPr>
          <w:rFonts w:ascii="Palatino Linotype" w:eastAsia="Palatino Linotype" w:hAnsi="Palatino Linotype" w:cs="Palatino Linotype"/>
          <w:b/>
          <w:bCs/>
          <w:color w:val="000000"/>
          <w:sz w:val="24"/>
          <w:szCs w:val="24"/>
        </w:rPr>
        <w:t xml:space="preserve">SAIMEX </w:t>
      </w:r>
      <w:r w:rsidR="00FC100D">
        <w:rPr>
          <w:rFonts w:ascii="Palatino Linotype" w:eastAsia="Palatino Linotype" w:hAnsi="Palatino Linotype" w:cs="Palatino Linotype"/>
          <w:color w:val="000000"/>
          <w:sz w:val="24"/>
          <w:szCs w:val="24"/>
        </w:rPr>
        <w:t xml:space="preserve">a efecto de que en un plazo máximo de siete días manifestaran lo que a su derecho conviniera, ofrecieran pruebas y alegatos según corresponda a los casos concretos, y el </w:t>
      </w:r>
      <w:r w:rsidR="00FC100D">
        <w:rPr>
          <w:rFonts w:ascii="Palatino Linotype" w:eastAsia="Palatino Linotype" w:hAnsi="Palatino Linotype" w:cs="Palatino Linotype"/>
          <w:b/>
          <w:bCs/>
          <w:color w:val="000000"/>
          <w:sz w:val="24"/>
          <w:szCs w:val="24"/>
        </w:rPr>
        <w:t>SUJETO OBLIGADO</w:t>
      </w:r>
      <w:r w:rsidR="00FC100D">
        <w:rPr>
          <w:rFonts w:ascii="Palatino Linotype" w:eastAsia="Palatino Linotype" w:hAnsi="Palatino Linotype" w:cs="Palatino Linotype"/>
          <w:color w:val="000000"/>
          <w:sz w:val="24"/>
          <w:szCs w:val="24"/>
        </w:rPr>
        <w:t xml:space="preserve"> presentará el Informe Justificado procedente.</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i/>
          <w:iCs/>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 xml:space="preserve">diez de julio de dos mil veinticinco, </w:t>
      </w:r>
      <w:r>
        <w:rPr>
          <w:rFonts w:ascii="Palatino Linotype" w:eastAsia="Palatino Linotype" w:hAnsi="Palatino Linotype" w:cs="Palatino Linotype"/>
          <w:color w:val="000000"/>
          <w:sz w:val="24"/>
          <w:szCs w:val="24"/>
        </w:rPr>
        <w:t>rindió informe justificado a través de los archivos siguientes:</w:t>
      </w:r>
    </w:p>
    <w:p w:rsidR="006312C6" w:rsidRDefault="00FC100D">
      <w:pPr>
        <w:numPr>
          <w:ilvl w:val="0"/>
          <w:numId w:val="3"/>
        </w:numPr>
        <w:pBdr>
          <w:top w:val="nil"/>
          <w:left w:val="nil"/>
          <w:bottom w:val="nil"/>
          <w:right w:val="nil"/>
          <w:between w:val="nil"/>
        </w:pBdr>
        <w:spacing w:after="0" w:line="240" w:lineRule="auto"/>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 xml:space="preserve">Ratificación 07843.pdf: </w:t>
      </w:r>
      <w:r>
        <w:rPr>
          <w:rFonts w:ascii="Palatino Linotype" w:eastAsia="Palatino Linotype" w:hAnsi="Palatino Linotype" w:cs="Palatino Linotype"/>
          <w:color w:val="000000"/>
          <w:sz w:val="24"/>
          <w:szCs w:val="24"/>
        </w:rPr>
        <w:t xml:space="preserve">Oficio firmado por el Titular de la Unidad de Transparencia, por el que confirma la </w:t>
      </w:r>
      <w:r>
        <w:rPr>
          <w:rFonts w:ascii="Palatino Linotype" w:eastAsia="Palatino Linotype" w:hAnsi="Palatino Linotype" w:cs="Palatino Linotype"/>
          <w:sz w:val="24"/>
          <w:szCs w:val="24"/>
        </w:rPr>
        <w:t>respuesta</w:t>
      </w:r>
      <w:r>
        <w:rPr>
          <w:rFonts w:ascii="Palatino Linotype" w:eastAsia="Palatino Linotype" w:hAnsi="Palatino Linotype" w:cs="Palatino Linotype"/>
          <w:color w:val="000000"/>
          <w:sz w:val="24"/>
          <w:szCs w:val="24"/>
        </w:rPr>
        <w:t xml:space="preserve"> primigenia. </w:t>
      </w:r>
    </w:p>
    <w:p w:rsidR="006312C6" w:rsidRDefault="00FC100D">
      <w:pPr>
        <w:numPr>
          <w:ilvl w:val="0"/>
          <w:numId w:val="3"/>
        </w:numPr>
        <w:pBdr>
          <w:top w:val="nil"/>
          <w:left w:val="nil"/>
          <w:bottom w:val="nil"/>
          <w:right w:val="nil"/>
          <w:between w:val="nil"/>
        </w:pBdr>
        <w:spacing w:after="0" w:line="240" w:lineRule="auto"/>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 xml:space="preserve">ANEXOS 07843-2025.pdf: </w:t>
      </w:r>
      <w:r>
        <w:rPr>
          <w:rFonts w:ascii="Palatino Linotype" w:eastAsia="Palatino Linotype" w:hAnsi="Palatino Linotype" w:cs="Palatino Linotype"/>
          <w:color w:val="000000"/>
          <w:sz w:val="24"/>
          <w:szCs w:val="24"/>
        </w:rPr>
        <w:t xml:space="preserve">Oficio firmado por la Directora General, por el que ratifica su respuesta primigenia. </w:t>
      </w:r>
    </w:p>
    <w:p w:rsidR="006312C6" w:rsidRDefault="006312C6">
      <w:pPr>
        <w:jc w:val="both"/>
        <w:rPr>
          <w:rFonts w:ascii="Palatino Linotype" w:eastAsia="Palatino Linotype" w:hAnsi="Palatino Linotype" w:cs="Palatino Linotype"/>
          <w:b/>
          <w:bCs/>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 xml:space="preserve">PARTICULAR </w:t>
      </w:r>
      <w:r>
        <w:rPr>
          <w:rFonts w:ascii="Palatino Linotype" w:eastAsia="Palatino Linotype" w:hAnsi="Palatino Linotype" w:cs="Palatino Linotype"/>
          <w:color w:val="000000"/>
          <w:sz w:val="24"/>
          <w:szCs w:val="24"/>
        </w:rPr>
        <w:t>fue omiso en realizar manifestación alguna que a su derecho conviniera.</w:t>
      </w:r>
    </w:p>
    <w:p w:rsidR="00DA11F7" w:rsidRDefault="00DA11F7" w:rsidP="00DA11F7">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dieciséis de febrero de dos mil veinticinco,</w:t>
      </w:r>
      <w:r>
        <w:rPr>
          <w:rFonts w:ascii="Palatino Linotype" w:eastAsia="Palatino Linotype" w:hAnsi="Palatino Linotype" w:cs="Palatino Linotype"/>
          <w:color w:val="000000"/>
          <w:sz w:val="24"/>
          <w:szCs w:val="24"/>
        </w:rPr>
        <w:t xml:space="preserve"> se amplió el término para resolver el recurso de revisión que nos ocupa.</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b/>
          <w:bCs/>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b/>
          <w:bCs/>
          <w:color w:val="000000"/>
          <w:sz w:val="24"/>
          <w:szCs w:val="24"/>
        </w:rPr>
      </w:pPr>
      <w:bookmarkStart w:id="4" w:name="_heading=h.ukcie8z2lykd" w:colFirst="0" w:colLast="0"/>
      <w:bookmarkEnd w:id="4"/>
      <w:r>
        <w:rPr>
          <w:rFonts w:ascii="Palatino Linotype" w:eastAsia="Palatino Linotype" w:hAnsi="Palatino Linotype" w:cs="Palatino Linotype"/>
          <w:color w:val="000000"/>
          <w:sz w:val="24"/>
          <w:szCs w:val="24"/>
        </w:rPr>
        <w:t xml:space="preserve">Mediante acuerdo de </w:t>
      </w:r>
      <w:r>
        <w:rPr>
          <w:rFonts w:ascii="Palatino Linotype" w:eastAsia="Palatino Linotype" w:hAnsi="Palatino Linotype" w:cs="Palatino Linotype"/>
          <w:b/>
          <w:bCs/>
          <w:color w:val="000000"/>
          <w:sz w:val="24"/>
          <w:szCs w:val="24"/>
        </w:rPr>
        <w:t xml:space="preserve">veinte de febrero de dos mil veintiséis, </w:t>
      </w:r>
      <w:r>
        <w:rPr>
          <w:rFonts w:ascii="Palatino Linotype" w:eastAsia="Palatino Linotype" w:hAnsi="Palatino Linotype" w:cs="Palatino Linotype"/>
          <w:color w:val="000000"/>
          <w:sz w:val="24"/>
          <w:szCs w:val="24"/>
        </w:rPr>
        <w:t>se  decretó el cierre de instrucción, por lo que no habiendo más que hacer constar, y</w:t>
      </w:r>
    </w:p>
    <w:p w:rsidR="006312C6" w:rsidRDefault="006312C6">
      <w:pPr>
        <w:pBdr>
          <w:top w:val="nil"/>
          <w:left w:val="nil"/>
          <w:bottom w:val="nil"/>
          <w:right w:val="nil"/>
          <w:between w:val="nil"/>
        </w:pBdr>
        <w:spacing w:after="0" w:line="360" w:lineRule="auto"/>
        <w:ind w:right="-518"/>
        <w:rPr>
          <w:rFonts w:ascii="Palatino Linotype" w:eastAsia="Palatino Linotype" w:hAnsi="Palatino Linotype" w:cs="Palatino Linotype"/>
          <w:b/>
          <w:bCs/>
          <w:color w:val="000000"/>
          <w:sz w:val="24"/>
          <w:szCs w:val="24"/>
        </w:rPr>
      </w:pPr>
    </w:p>
    <w:p w:rsidR="006312C6" w:rsidRDefault="00FC100D">
      <w:pPr>
        <w:pBdr>
          <w:top w:val="nil"/>
          <w:left w:val="nil"/>
          <w:bottom w:val="nil"/>
          <w:right w:val="nil"/>
          <w:between w:val="nil"/>
        </w:pBdr>
        <w:spacing w:after="0" w:line="360" w:lineRule="auto"/>
        <w:ind w:right="-518"/>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O</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N</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S</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I</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D</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E</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R</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A</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N</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D</w:t>
      </w:r>
      <w:r w:rsidR="00DA11F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O</w:t>
      </w:r>
      <w:r w:rsidR="00DA11F7">
        <w:rPr>
          <w:rFonts w:ascii="Palatino Linotype" w:eastAsia="Palatino Linotype" w:hAnsi="Palatino Linotype" w:cs="Palatino Linotype"/>
          <w:b/>
          <w:bCs/>
          <w:color w:val="000000"/>
          <w:sz w:val="24"/>
          <w:szCs w:val="24"/>
        </w:rPr>
        <w:t xml:space="preserve"> </w:t>
      </w:r>
    </w:p>
    <w:p w:rsidR="006312C6" w:rsidRDefault="006312C6">
      <w:pPr>
        <w:pBdr>
          <w:top w:val="nil"/>
          <w:left w:val="nil"/>
          <w:bottom w:val="nil"/>
          <w:right w:val="nil"/>
          <w:between w:val="nil"/>
        </w:pBdr>
        <w:spacing w:after="0" w:line="360" w:lineRule="auto"/>
        <w:ind w:right="-518"/>
        <w:jc w:val="center"/>
        <w:rPr>
          <w:rFonts w:ascii="Palatino Linotype" w:eastAsia="Palatino Linotype" w:hAnsi="Palatino Linotype" w:cs="Palatino Linotype"/>
          <w:b/>
          <w:bCs/>
          <w:color w:val="000000"/>
          <w:sz w:val="24"/>
          <w:szCs w:val="24"/>
        </w:rPr>
      </w:pPr>
    </w:p>
    <w:p w:rsidR="006312C6" w:rsidRDefault="00FC100D">
      <w:pPr>
        <w:pStyle w:val="Ttulo2"/>
        <w:spacing w:before="0" w:line="360" w:lineRule="auto"/>
        <w:ind w:right="-518"/>
        <w:rPr>
          <w:rFonts w:ascii="Palatino Linotype" w:eastAsia="Palatino Linotype" w:hAnsi="Palatino Linotype" w:cs="Palatino Linotype"/>
          <w:b/>
          <w:bCs/>
          <w:color w:val="000000"/>
          <w:sz w:val="24"/>
          <w:szCs w:val="24"/>
        </w:rPr>
      </w:pPr>
      <w:bookmarkStart w:id="5" w:name="_heading=h.e2s1b6snqbfv" w:colFirst="0" w:colLast="0"/>
      <w:bookmarkEnd w:id="5"/>
      <w:r>
        <w:rPr>
          <w:rFonts w:ascii="Palatino Linotype" w:eastAsia="Palatino Linotype" w:hAnsi="Palatino Linotype" w:cs="Palatino Linotype"/>
          <w:b/>
          <w:bCs/>
          <w:color w:val="000000"/>
          <w:sz w:val="24"/>
          <w:szCs w:val="24"/>
        </w:rPr>
        <w:t>PRIMERO. De la competencia</w:t>
      </w: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w:t>
      </w:r>
      <w:r>
        <w:rPr>
          <w:rFonts w:ascii="Palatino Linotype" w:eastAsia="Palatino Linotype" w:hAnsi="Palatino Linotype" w:cs="Palatino Linotype"/>
          <w:color w:val="000000"/>
          <w:sz w:val="24"/>
          <w:szCs w:val="24"/>
        </w:rPr>
        <w:lastRenderedPageBreak/>
        <w:t>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pStyle w:val="Ttulo2"/>
        <w:spacing w:before="0" w:line="360" w:lineRule="auto"/>
        <w:ind w:right="-518"/>
        <w:rPr>
          <w:rFonts w:ascii="Palatino Linotype" w:eastAsia="Palatino Linotype" w:hAnsi="Palatino Linotype" w:cs="Palatino Linotype"/>
          <w:b/>
          <w:bCs/>
          <w:color w:val="000000"/>
          <w:sz w:val="24"/>
          <w:szCs w:val="24"/>
        </w:rPr>
      </w:pPr>
      <w:bookmarkStart w:id="6" w:name="_heading=h.5njjh9w1h65j" w:colFirst="0" w:colLast="0"/>
      <w:bookmarkEnd w:id="6"/>
      <w:r>
        <w:rPr>
          <w:rFonts w:ascii="Palatino Linotype" w:eastAsia="Palatino Linotype" w:hAnsi="Palatino Linotype" w:cs="Palatino Linotype"/>
          <w:b/>
          <w:bCs/>
          <w:color w:val="000000"/>
          <w:sz w:val="24"/>
          <w:szCs w:val="24"/>
        </w:rPr>
        <w:t>SEGUNDO. De la oportunidad y procedencia.</w:t>
      </w: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medio de impugnación fue presentado a través del </w:t>
      </w:r>
      <w:r>
        <w:rPr>
          <w:rFonts w:ascii="Palatino Linotype" w:eastAsia="Palatino Linotype" w:hAnsi="Palatino Linotype" w:cs="Palatino Linotype"/>
          <w:b/>
          <w:bCs/>
          <w:color w:val="000000"/>
          <w:sz w:val="24"/>
          <w:szCs w:val="24"/>
        </w:rPr>
        <w:t>SAIMEX,</w:t>
      </w:r>
      <w:r>
        <w:rPr>
          <w:rFonts w:ascii="Palatino Linotype" w:eastAsia="Palatino Linotype" w:hAnsi="Palatino Linotype" w:cs="Palatino Linotype"/>
          <w:color w:val="000000"/>
          <w:sz w:val="24"/>
          <w:szCs w:val="24"/>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dio respuesta el </w:t>
      </w:r>
      <w:r>
        <w:rPr>
          <w:rFonts w:ascii="Palatino Linotype" w:eastAsia="Palatino Linotype" w:hAnsi="Palatino Linotype" w:cs="Palatino Linotype"/>
          <w:b/>
          <w:bCs/>
          <w:color w:val="000000"/>
          <w:sz w:val="24"/>
          <w:szCs w:val="24"/>
        </w:rPr>
        <w:t>cinco de junio de dos mil veinticinco</w:t>
      </w:r>
      <w:r>
        <w:rPr>
          <w:rFonts w:ascii="Palatino Linotype" w:eastAsia="Palatino Linotype" w:hAnsi="Palatino Linotype" w:cs="Palatino Linotype"/>
          <w:color w:val="000000"/>
          <w:sz w:val="24"/>
          <w:szCs w:val="24"/>
        </w:rPr>
        <w:t>, de tal forma que el plazo para interponer el recurso de revisión transcurrió del</w:t>
      </w:r>
      <w:r>
        <w:rPr>
          <w:rFonts w:ascii="Palatino Linotype" w:eastAsia="Palatino Linotype" w:hAnsi="Palatino Linotype" w:cs="Palatino Linotype"/>
          <w:b/>
          <w:bCs/>
          <w:color w:val="000000"/>
          <w:sz w:val="24"/>
          <w:szCs w:val="24"/>
        </w:rPr>
        <w:t xml:space="preserve"> seis al veintiséis de junio  veinticinco</w:t>
      </w:r>
      <w:r>
        <w:rPr>
          <w:rFonts w:ascii="Palatino Linotype" w:eastAsia="Palatino Linotype" w:hAnsi="Palatino Linotype" w:cs="Palatino Linotype"/>
          <w:color w:val="000000"/>
          <w:sz w:val="24"/>
          <w:szCs w:val="24"/>
        </w:rPr>
        <w:t xml:space="preserve">; en consecuencia, el ahora </w:t>
      </w:r>
      <w:r>
        <w:rPr>
          <w:rFonts w:ascii="Palatino Linotype" w:eastAsia="Palatino Linotype" w:hAnsi="Palatino Linotype" w:cs="Palatino Linotype"/>
          <w:b/>
          <w:bCs/>
          <w:color w:val="000000"/>
          <w:sz w:val="24"/>
          <w:szCs w:val="24"/>
        </w:rPr>
        <w:t>RECURRENTE</w:t>
      </w:r>
      <w:r>
        <w:rPr>
          <w:rFonts w:ascii="Palatino Linotype" w:eastAsia="Palatino Linotype" w:hAnsi="Palatino Linotype" w:cs="Palatino Linotype"/>
          <w:color w:val="000000"/>
          <w:sz w:val="24"/>
          <w:szCs w:val="24"/>
        </w:rPr>
        <w:t xml:space="preserve"> presentó su inconformidad el </w:t>
      </w:r>
      <w:r>
        <w:rPr>
          <w:rFonts w:ascii="Palatino Linotype" w:eastAsia="Palatino Linotype" w:hAnsi="Palatino Linotype" w:cs="Palatino Linotype"/>
          <w:b/>
          <w:bCs/>
          <w:color w:val="000000"/>
          <w:sz w:val="24"/>
          <w:szCs w:val="24"/>
        </w:rPr>
        <w:t>veintiséis de junio de dos mil veinticinco</w:t>
      </w:r>
      <w:r>
        <w:rPr>
          <w:rFonts w:ascii="Palatino Linotype" w:eastAsia="Palatino Linotype" w:hAnsi="Palatino Linotype" w:cs="Palatino Linotype"/>
          <w:color w:val="000000"/>
          <w:sz w:val="24"/>
          <w:szCs w:val="24"/>
        </w:rPr>
        <w:t>; por lo que se estima que la inconformidad se presentó dentro del lapso legalmente establecido para tal efecto.</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312C6" w:rsidRDefault="006312C6">
      <w:pPr>
        <w:spacing w:line="360" w:lineRule="auto"/>
        <w:ind w:right="-518"/>
        <w:jc w:val="both"/>
        <w:rPr>
          <w:rFonts w:ascii="Palatino Linotype" w:eastAsia="Palatino Linotype" w:hAnsi="Palatino Linotype" w:cs="Palatino Linotype"/>
          <w:sz w:val="24"/>
          <w:szCs w:val="24"/>
        </w:rPr>
      </w:pPr>
    </w:p>
    <w:p w:rsidR="006312C6" w:rsidRDefault="00FC100D">
      <w:pPr>
        <w:pStyle w:val="Ttulo2"/>
        <w:spacing w:before="0" w:line="360" w:lineRule="auto"/>
        <w:ind w:right="-518"/>
        <w:rPr>
          <w:color w:val="000000"/>
          <w:sz w:val="24"/>
          <w:szCs w:val="24"/>
        </w:rPr>
      </w:pPr>
      <w:r>
        <w:rPr>
          <w:rFonts w:ascii="Palatino Linotype" w:eastAsia="Palatino Linotype" w:hAnsi="Palatino Linotype" w:cs="Palatino Linotype"/>
          <w:b/>
          <w:bCs/>
          <w:color w:val="000000"/>
          <w:sz w:val="24"/>
          <w:szCs w:val="24"/>
        </w:rPr>
        <w:t>TERCERO. Del planteamiento de la Litis.</w:t>
      </w: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color w:val="000000"/>
          <w:sz w:val="24"/>
          <w:szCs w:val="24"/>
        </w:rPr>
        <w:t>De las constancias en el expediente al rubro indicado, se desprende que el particular solicitó la información que a continuación se desagrega:</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b/>
          <w:bCs/>
          <w:color w:val="000000"/>
          <w:sz w:val="24"/>
          <w:szCs w:val="24"/>
        </w:rPr>
      </w:pPr>
    </w:p>
    <w:p w:rsidR="006312C6" w:rsidRDefault="00FC100D">
      <w:pPr>
        <w:numPr>
          <w:ilvl w:val="0"/>
          <w:numId w:val="4"/>
        </w:numPr>
        <w:pBdr>
          <w:top w:val="nil"/>
          <w:left w:val="nil"/>
          <w:bottom w:val="nil"/>
          <w:right w:val="nil"/>
          <w:between w:val="nil"/>
        </w:pBdr>
        <w:spacing w:after="0" w:line="276" w:lineRule="auto"/>
        <w:ind w:right="19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En qué colonias se colocaron se han puesto luminarias cuantas, el costo de cada luminaria, el contrato de la compra de esas luminarias, el presupuesto asignado y ejercido con evidencia fotográfica de la colocación de las luminarias del primero de enero al quince de mayo de dos mil veinticinco.</w:t>
      </w:r>
    </w:p>
    <w:p w:rsidR="006312C6" w:rsidRDefault="006312C6">
      <w:pPr>
        <w:pBdr>
          <w:top w:val="nil"/>
          <w:left w:val="nil"/>
          <w:bottom w:val="nil"/>
          <w:right w:val="nil"/>
          <w:between w:val="nil"/>
        </w:pBdr>
        <w:spacing w:after="0" w:line="276" w:lineRule="auto"/>
        <w:ind w:left="720" w:right="191"/>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color w:val="000000"/>
          <w:sz w:val="24"/>
          <w:szCs w:val="24"/>
        </w:rPr>
        <w:t xml:space="preserve">En respuesta,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se pronunció como quedó referido en el numeral 2. </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b/>
          <w:bCs/>
          <w:i/>
          <w:iCs/>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Inconforme con la respuesta proporcionada por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éste interpuso recurso de revisión arguyendo la negativa de la información solicitada.</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En dichas condiciones, la </w:t>
      </w:r>
      <w:r>
        <w:rPr>
          <w:rFonts w:ascii="Palatino Linotype" w:eastAsia="Palatino Linotype" w:hAnsi="Palatino Linotype" w:cs="Palatino Linotype"/>
          <w:i/>
          <w:iCs/>
          <w:color w:val="000000"/>
          <w:sz w:val="24"/>
          <w:szCs w:val="24"/>
        </w:rPr>
        <w:t>Litis</w:t>
      </w:r>
      <w:r>
        <w:rPr>
          <w:rFonts w:ascii="Palatino Linotype" w:eastAsia="Palatino Linotype" w:hAnsi="Palatino Linotype" w:cs="Palatino Linotype"/>
          <w:color w:val="000000"/>
          <w:sz w:val="24"/>
          <w:szCs w:val="24"/>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sz w:val="24"/>
          <w:szCs w:val="24"/>
        </w:rPr>
        <w:t xml:space="preserve">fracción I </w:t>
      </w:r>
      <w:r>
        <w:rPr>
          <w:rFonts w:ascii="Palatino Linotype" w:eastAsia="Palatino Linotype" w:hAnsi="Palatino Linotype" w:cs="Palatino Linotype"/>
          <w:color w:val="000000"/>
          <w:sz w:val="24"/>
          <w:szCs w:val="24"/>
        </w:rPr>
        <w:t>de la Ley</w:t>
      </w:r>
      <w:r>
        <w:rPr>
          <w:rFonts w:ascii="Palatino Linotype" w:eastAsia="Palatino Linotype" w:hAnsi="Palatino Linotype" w:cs="Palatino Linotype"/>
          <w:b/>
          <w:bCs/>
          <w:color w:val="000000"/>
          <w:sz w:val="24"/>
          <w:szCs w:val="24"/>
        </w:rPr>
        <w:t xml:space="preserve"> de Transparencia y Acceso a la Información Pública del Estado de </w:t>
      </w:r>
      <w:r>
        <w:rPr>
          <w:rFonts w:ascii="Palatino Linotype" w:eastAsia="Palatino Linotype" w:hAnsi="Palatino Linotype" w:cs="Palatino Linotype"/>
          <w:color w:val="000000"/>
          <w:sz w:val="24"/>
          <w:szCs w:val="24"/>
        </w:rPr>
        <w:t>México</w:t>
      </w:r>
      <w:r>
        <w:rPr>
          <w:rFonts w:ascii="Palatino Linotype" w:eastAsia="Palatino Linotype" w:hAnsi="Palatino Linotype" w:cs="Palatino Linotype"/>
          <w:b/>
          <w:bCs/>
          <w:color w:val="000000"/>
          <w:sz w:val="24"/>
          <w:szCs w:val="24"/>
        </w:rPr>
        <w:t xml:space="preserve"> y Municipios</w:t>
      </w:r>
      <w:r>
        <w:rPr>
          <w:rFonts w:ascii="Palatino Linotype" w:eastAsia="Palatino Linotype" w:hAnsi="Palatino Linotype" w:cs="Palatino Linotype"/>
          <w:color w:val="000000"/>
          <w:sz w:val="24"/>
          <w:szCs w:val="24"/>
        </w:rPr>
        <w:t xml:space="preserve">; fracción que determina la hipótesis jurídica relativa a la negativa a la información solicitada; contexto del cual se dolió </w:t>
      </w:r>
      <w:r>
        <w:rPr>
          <w:rFonts w:ascii="Palatino Linotype" w:eastAsia="Palatino Linotype" w:hAnsi="Palatino Linotype" w:cs="Palatino Linotype"/>
          <w:b/>
          <w:bCs/>
          <w:color w:val="000000"/>
          <w:sz w:val="24"/>
          <w:szCs w:val="24"/>
        </w:rPr>
        <w:t xml:space="preserve">EL RECURRENTE </w:t>
      </w:r>
      <w:r>
        <w:rPr>
          <w:rFonts w:ascii="Palatino Linotype" w:eastAsia="Palatino Linotype" w:hAnsi="Palatino Linotype" w:cs="Palatino Linotype"/>
          <w:color w:val="000000"/>
          <w:sz w:val="24"/>
          <w:szCs w:val="24"/>
        </w:rPr>
        <w:t>al momento de interponer su inconformidad.</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De modo tal que el presente recurso de revisión se abocara en determinar si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con su respuesta ciertamente actualizan las causales de procedencia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6312C6" w:rsidRDefault="006312C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bCs/>
          <w:color w:val="000000"/>
          <w:sz w:val="24"/>
          <w:szCs w:val="24"/>
        </w:rPr>
      </w:pPr>
    </w:p>
    <w:p w:rsidR="006312C6" w:rsidRDefault="00FC100D">
      <w:pPr>
        <w:pStyle w:val="Ttulo2"/>
        <w:spacing w:before="0" w:line="360" w:lineRule="auto"/>
        <w:ind w:right="-518"/>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CUARTO. Del estudio y resolución del asunto.</w:t>
      </w: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Acotada la </w:t>
      </w:r>
      <w:r>
        <w:rPr>
          <w:rFonts w:ascii="Palatino Linotype" w:eastAsia="Palatino Linotype" w:hAnsi="Palatino Linotype" w:cs="Palatino Linotype"/>
          <w:i/>
          <w:iCs/>
          <w:color w:val="000000"/>
          <w:sz w:val="24"/>
          <w:szCs w:val="24"/>
        </w:rPr>
        <w:t>Litis</w:t>
      </w:r>
      <w:r>
        <w:rPr>
          <w:rFonts w:ascii="Palatino Linotype" w:eastAsia="Palatino Linotype" w:hAnsi="Palatino Linotype" w:cs="Palatino Linotype"/>
          <w:color w:val="000000"/>
          <w:sz w:val="24"/>
          <w:szCs w:val="24"/>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6312C6" w:rsidRDefault="006312C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6312C6" w:rsidRDefault="006312C6">
      <w:pPr>
        <w:spacing w:line="360" w:lineRule="auto"/>
        <w:jc w:val="both"/>
        <w:rPr>
          <w:rFonts w:ascii="Palatino Linotype" w:eastAsia="Palatino Linotype" w:hAnsi="Palatino Linotype" w:cs="Palatino Linotype"/>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w:t>
      </w:r>
      <w:r>
        <w:rPr>
          <w:rFonts w:ascii="Palatino Linotype" w:eastAsia="Palatino Linotype" w:hAnsi="Palatino Linotype" w:cs="Palatino Linotype"/>
          <w:color w:val="000000"/>
          <w:sz w:val="24"/>
          <w:szCs w:val="24"/>
        </w:rPr>
        <w:lastRenderedPageBreak/>
        <w:t>del ejercicio de sus facultades, competencias o funciones desde su origen la eventual publicidad y reutilización de la información que generen.</w:t>
      </w:r>
    </w:p>
    <w:p w:rsidR="006312C6" w:rsidRDefault="006312C6">
      <w:pPr>
        <w:pBdr>
          <w:top w:val="nil"/>
          <w:left w:val="nil"/>
          <w:bottom w:val="nil"/>
          <w:right w:val="nil"/>
          <w:between w:val="nil"/>
        </w:pBdr>
        <w:spacing w:line="360" w:lineRule="auto"/>
        <w:ind w:left="708"/>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6312C6" w:rsidRDefault="006312C6">
      <w:pPr>
        <w:spacing w:line="360" w:lineRule="auto"/>
        <w:rPr>
          <w:rFonts w:ascii="Palatino Linotype" w:eastAsia="Palatino Linotype" w:hAnsi="Palatino Linotype" w:cs="Palatino Linotype"/>
          <w:sz w:val="24"/>
          <w:szCs w:val="24"/>
        </w:rPr>
      </w:pPr>
    </w:p>
    <w:p w:rsidR="006312C6" w:rsidRDefault="00FC100D">
      <w:pPr>
        <w:numPr>
          <w:ilvl w:val="0"/>
          <w:numId w:val="14"/>
        </w:numPr>
        <w:pBdr>
          <w:top w:val="nil"/>
          <w:left w:val="nil"/>
          <w:bottom w:val="nil"/>
          <w:right w:val="nil"/>
          <w:between w:val="nil"/>
        </w:pBdr>
        <w:spacing w:after="0" w:line="360" w:lineRule="auto"/>
        <w:ind w:right="757"/>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Estudio de fondo</w:t>
      </w: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Acotada la </w:t>
      </w:r>
      <w:r>
        <w:rPr>
          <w:rFonts w:ascii="Palatino Linotype" w:eastAsia="Palatino Linotype" w:hAnsi="Palatino Linotype" w:cs="Palatino Linotype"/>
          <w:i/>
          <w:iCs/>
          <w:color w:val="000000"/>
          <w:sz w:val="24"/>
          <w:szCs w:val="24"/>
        </w:rPr>
        <w:t>Litis</w:t>
      </w:r>
      <w:r>
        <w:rPr>
          <w:rFonts w:ascii="Palatino Linotype" w:eastAsia="Palatino Linotype" w:hAnsi="Palatino Linotype" w:cs="Palatino Linotype"/>
          <w:color w:val="000000"/>
          <w:sz w:val="24"/>
          <w:szCs w:val="24"/>
        </w:rPr>
        <w:t xml:space="preserve"> del presente asunto, se refiere que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en atención a lo solicitado se pronunció de la siguiente manera:</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tbl>
      <w:tblPr>
        <w:tblStyle w:val="a"/>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3260"/>
        <w:gridCol w:w="3261"/>
      </w:tblGrid>
      <w:tr w:rsidR="006312C6" w:rsidTr="00DA11F7">
        <w:trPr>
          <w:jc w:val="center"/>
        </w:trPr>
        <w:tc>
          <w:tcPr>
            <w:tcW w:w="3539" w:type="dxa"/>
            <w:shd w:val="clear" w:color="auto" w:fill="D5DCE4"/>
            <w:vAlign w:val="center"/>
          </w:tcPr>
          <w:p w:rsidR="006312C6" w:rsidRDefault="00FC100D">
            <w:pPr>
              <w:ind w:right="-138"/>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Solicitud</w:t>
            </w:r>
          </w:p>
          <w:p w:rsidR="006312C6" w:rsidRDefault="00FC100D">
            <w:pPr>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De las luminarias colocadas del uno de enero al quince de mayo de dos mil veinticinco:</w:t>
            </w:r>
          </w:p>
        </w:tc>
        <w:tc>
          <w:tcPr>
            <w:tcW w:w="3260" w:type="dxa"/>
            <w:shd w:val="clear" w:color="auto" w:fill="D5DCE4"/>
            <w:vAlign w:val="center"/>
          </w:tcPr>
          <w:p w:rsidR="006312C6" w:rsidRDefault="00FC100D">
            <w:pPr>
              <w:ind w:right="-172"/>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Respuesta</w:t>
            </w:r>
          </w:p>
        </w:tc>
        <w:tc>
          <w:tcPr>
            <w:tcW w:w="3261" w:type="dxa"/>
            <w:shd w:val="clear" w:color="auto" w:fill="D5DCE4"/>
            <w:vAlign w:val="center"/>
          </w:tcPr>
          <w:p w:rsidR="006312C6" w:rsidRDefault="00FC100D">
            <w:pPr>
              <w:spacing w:line="360" w:lineRule="auto"/>
              <w:ind w:right="-206"/>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¿Colma?</w:t>
            </w:r>
          </w:p>
        </w:tc>
      </w:tr>
      <w:tr w:rsidR="006312C6" w:rsidTr="00DA11F7">
        <w:trPr>
          <w:jc w:val="center"/>
        </w:trPr>
        <w:tc>
          <w:tcPr>
            <w:tcW w:w="3539" w:type="dxa"/>
            <w:vAlign w:val="center"/>
          </w:tcPr>
          <w:p w:rsidR="006312C6" w:rsidRDefault="00FC100D">
            <w:pPr>
              <w:ind w:right="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Colonias en donde se colocaron</w:t>
            </w:r>
          </w:p>
        </w:tc>
        <w:tc>
          <w:tcPr>
            <w:tcW w:w="3260" w:type="dxa"/>
            <w:vAlign w:val="center"/>
          </w:tcPr>
          <w:p w:rsidR="006312C6" w:rsidRDefault="00FC100D">
            <w:pPr>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Remitió un listado con las colonias.</w:t>
            </w:r>
          </w:p>
        </w:tc>
        <w:tc>
          <w:tcPr>
            <w:tcW w:w="3261" w:type="dxa"/>
            <w:vAlign w:val="center"/>
          </w:tcPr>
          <w:p w:rsidR="006312C6" w:rsidRDefault="00FC100D">
            <w:pPr>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Si, ya que se advierte que remitió la información del mes de enero al veintisiete de mayo de dos mil veinticinco. </w:t>
            </w:r>
          </w:p>
          <w:p w:rsidR="006312C6" w:rsidRDefault="006312C6">
            <w:pPr>
              <w:jc w:val="both"/>
              <w:rPr>
                <w:rFonts w:ascii="Palatino Linotype" w:eastAsia="Palatino Linotype" w:hAnsi="Palatino Linotype" w:cs="Palatino Linotype"/>
                <w:color w:val="000000"/>
                <w:sz w:val="24"/>
                <w:szCs w:val="24"/>
              </w:rPr>
            </w:pPr>
          </w:p>
        </w:tc>
      </w:tr>
      <w:tr w:rsidR="006312C6" w:rsidTr="00DA11F7">
        <w:trPr>
          <w:jc w:val="center"/>
        </w:trPr>
        <w:tc>
          <w:tcPr>
            <w:tcW w:w="3539" w:type="dxa"/>
            <w:vAlign w:val="center"/>
          </w:tcPr>
          <w:p w:rsidR="006312C6" w:rsidRDefault="00FC100D">
            <w:pPr>
              <w:ind w:right="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Cantidad </w:t>
            </w:r>
          </w:p>
        </w:tc>
        <w:tc>
          <w:tcPr>
            <w:tcW w:w="3260" w:type="dxa"/>
            <w:vAlign w:val="center"/>
          </w:tcPr>
          <w:p w:rsidR="006312C6" w:rsidRDefault="00FC100D">
            <w:pPr>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428</w:t>
            </w:r>
          </w:p>
        </w:tc>
        <w:tc>
          <w:tcPr>
            <w:tcW w:w="3261" w:type="dxa"/>
            <w:vAlign w:val="center"/>
          </w:tcPr>
          <w:p w:rsidR="006312C6" w:rsidRDefault="00FC100D">
            <w:pPr>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Si, el Sujeto Obligado fue preciso en informar la cantidad.</w:t>
            </w:r>
          </w:p>
          <w:p w:rsidR="006312C6" w:rsidRDefault="006312C6">
            <w:pPr>
              <w:jc w:val="both"/>
              <w:rPr>
                <w:rFonts w:ascii="Palatino Linotype" w:eastAsia="Palatino Linotype" w:hAnsi="Palatino Linotype" w:cs="Palatino Linotype"/>
                <w:color w:val="000000"/>
                <w:sz w:val="24"/>
                <w:szCs w:val="24"/>
              </w:rPr>
            </w:pPr>
          </w:p>
        </w:tc>
      </w:tr>
      <w:tr w:rsidR="006312C6" w:rsidTr="00DA11F7">
        <w:trPr>
          <w:jc w:val="center"/>
        </w:trPr>
        <w:tc>
          <w:tcPr>
            <w:tcW w:w="3539" w:type="dxa"/>
            <w:vAlign w:val="center"/>
          </w:tcPr>
          <w:p w:rsidR="006312C6" w:rsidRDefault="00FC100D">
            <w:pPr>
              <w:ind w:right="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Costo</w:t>
            </w:r>
          </w:p>
        </w:tc>
        <w:tc>
          <w:tcPr>
            <w:tcW w:w="3260" w:type="dxa"/>
            <w:vAlign w:val="center"/>
          </w:tcPr>
          <w:p w:rsidR="006312C6" w:rsidRDefault="00FC100D">
            <w:pPr>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rPr>
              <w:t xml:space="preserve">El Director de Alumbrado Público,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que las luminarias son de medio uso, pues no se contó con material nuevo y por lo tanto no existe un costo.</w:t>
            </w:r>
          </w:p>
        </w:tc>
        <w:tc>
          <w:tcPr>
            <w:tcW w:w="3261" w:type="dxa"/>
            <w:vAlign w:val="center"/>
          </w:tcPr>
          <w:p w:rsidR="006312C6" w:rsidRDefault="006312C6">
            <w:pPr>
              <w:ind w:right="-64"/>
              <w:jc w:val="both"/>
              <w:rPr>
                <w:rFonts w:ascii="Palatino Linotype" w:eastAsia="Palatino Linotype" w:hAnsi="Palatino Linotype" w:cs="Palatino Linotype"/>
                <w:color w:val="000000"/>
                <w:sz w:val="24"/>
                <w:szCs w:val="24"/>
              </w:rPr>
            </w:pPr>
          </w:p>
          <w:p w:rsidR="006312C6" w:rsidRDefault="00FC100D">
            <w:pPr>
              <w:ind w:right="7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No, ya que si bien es cierto se informó que estas son de medio uso, también cierto es que en atención al deber de documentar que tienen los Sujetos Obligados, este debe contar con el soporte documental que dé cuenta de la compra de las mismas.</w:t>
            </w:r>
          </w:p>
          <w:p w:rsidR="006312C6" w:rsidRDefault="006312C6">
            <w:pPr>
              <w:ind w:right="-64"/>
              <w:jc w:val="both"/>
              <w:rPr>
                <w:rFonts w:ascii="Palatino Linotype" w:eastAsia="Palatino Linotype" w:hAnsi="Palatino Linotype" w:cs="Palatino Linotype"/>
                <w:color w:val="000000"/>
                <w:sz w:val="24"/>
                <w:szCs w:val="24"/>
              </w:rPr>
            </w:pPr>
          </w:p>
        </w:tc>
      </w:tr>
      <w:tr w:rsidR="006312C6" w:rsidTr="00DA11F7">
        <w:trPr>
          <w:jc w:val="center"/>
        </w:trPr>
        <w:tc>
          <w:tcPr>
            <w:tcW w:w="3539" w:type="dxa"/>
            <w:vAlign w:val="center"/>
          </w:tcPr>
          <w:p w:rsidR="006312C6" w:rsidRDefault="00FC100D">
            <w:pPr>
              <w:ind w:right="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Contrato de compra </w:t>
            </w:r>
          </w:p>
        </w:tc>
        <w:tc>
          <w:tcPr>
            <w:tcW w:w="3260" w:type="dxa"/>
            <w:vAlign w:val="center"/>
          </w:tcPr>
          <w:p w:rsidR="006312C6" w:rsidRDefault="006312C6">
            <w:pPr>
              <w:jc w:val="both"/>
              <w:rPr>
                <w:rFonts w:ascii="Palatino Linotype" w:eastAsia="Palatino Linotype" w:hAnsi="Palatino Linotype" w:cs="Palatino Linotype"/>
                <w:color w:val="000000"/>
              </w:rPr>
            </w:pPr>
          </w:p>
          <w:p w:rsidR="006312C6" w:rsidRDefault="00FC100D">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Director de Alumbrado Público, informó que no es su atribución, en consecuencia no se poseyó, generó y/o administró. </w:t>
            </w:r>
          </w:p>
          <w:p w:rsidR="006312C6" w:rsidRDefault="006312C6">
            <w:pPr>
              <w:spacing w:line="276" w:lineRule="auto"/>
              <w:ind w:right="49"/>
              <w:jc w:val="both"/>
              <w:rPr>
                <w:rFonts w:ascii="Palatino Linotype" w:eastAsia="Palatino Linotype" w:hAnsi="Palatino Linotype" w:cs="Palatino Linotype"/>
                <w:color w:val="000000"/>
              </w:rPr>
            </w:pPr>
          </w:p>
          <w:p w:rsidR="006312C6" w:rsidRDefault="00FC100D">
            <w:pPr>
              <w:spacing w:line="276" w:lineRule="auto"/>
              <w:ind w:right="49"/>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El Tesorero Municipal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que </w:t>
            </w:r>
            <w:r>
              <w:rPr>
                <w:rFonts w:ascii="Palatino Linotype" w:eastAsia="Palatino Linotype" w:hAnsi="Palatino Linotype" w:cs="Palatino Linotype"/>
                <w:i/>
                <w:iCs/>
                <w:color w:val="000000"/>
              </w:rPr>
              <w:t>después de realizar una búsqueda exhaustiva y minuciosa en nuestros sistemas contables, observamos que no ha sido remitida ninguna información O documentación relacionada a la solicitud del ciudadano.</w:t>
            </w:r>
          </w:p>
          <w:p w:rsidR="006312C6" w:rsidRDefault="006312C6">
            <w:pPr>
              <w:spacing w:line="276" w:lineRule="auto"/>
              <w:ind w:right="49"/>
              <w:jc w:val="both"/>
              <w:rPr>
                <w:rFonts w:ascii="Palatino Linotype" w:eastAsia="Palatino Linotype" w:hAnsi="Palatino Linotype" w:cs="Palatino Linotype"/>
                <w:i/>
                <w:iCs/>
                <w:color w:val="000000"/>
              </w:rPr>
            </w:pPr>
          </w:p>
          <w:p w:rsidR="006312C6" w:rsidRDefault="00FC100D">
            <w:pPr>
              <w:spacing w:line="276" w:lineRule="auto"/>
              <w:ind w:right="4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la Dirección General de Administración y Servidora Pública Habilitada, informó que la Dirección de Recursos Materiales, después de haber realizado una búsqueda exhaustiva y razonable en los archivos que obran en esta Dirección y sus </w:t>
            </w:r>
            <w:r>
              <w:rPr>
                <w:rFonts w:ascii="Palatino Linotype" w:eastAsia="Palatino Linotype" w:hAnsi="Palatino Linotype" w:cs="Palatino Linotype"/>
                <w:color w:val="000000"/>
              </w:rPr>
              <w:lastRenderedPageBreak/>
              <w:t>Departamentos, informa que, referente a la información solicitada, no se localizó contrato celebrado para la "compra de luminarias" a la fecha de la solicitud;</w:t>
            </w:r>
          </w:p>
          <w:p w:rsidR="006312C6" w:rsidRDefault="006312C6">
            <w:pPr>
              <w:jc w:val="both"/>
              <w:rPr>
                <w:rFonts w:ascii="Palatino Linotype" w:eastAsia="Palatino Linotype" w:hAnsi="Palatino Linotype" w:cs="Palatino Linotype"/>
                <w:color w:val="000000"/>
                <w:sz w:val="24"/>
                <w:szCs w:val="24"/>
              </w:rPr>
            </w:pPr>
          </w:p>
        </w:tc>
        <w:tc>
          <w:tcPr>
            <w:tcW w:w="3261" w:type="dxa"/>
            <w:vAlign w:val="center"/>
          </w:tcPr>
          <w:p w:rsidR="006312C6" w:rsidRDefault="006312C6">
            <w:pPr>
              <w:spacing w:line="360" w:lineRule="auto"/>
              <w:ind w:right="-518"/>
              <w:jc w:val="both"/>
              <w:rPr>
                <w:rFonts w:ascii="Palatino Linotype" w:eastAsia="Palatino Linotype" w:hAnsi="Palatino Linotype" w:cs="Palatino Linotype"/>
                <w:color w:val="000000"/>
                <w:sz w:val="24"/>
                <w:szCs w:val="24"/>
              </w:rPr>
            </w:pPr>
          </w:p>
          <w:p w:rsidR="006312C6" w:rsidRDefault="00FC100D">
            <w:pPr>
              <w:ind w:right="7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No, ya que si bien es cierto se informó que estas son de medio uso, también cierto es que en atención al deber de documentar que tienen los Sujetos Obligados, este debe contar con el soporte documental que dé cuenta de la compra de las mismas.</w:t>
            </w:r>
          </w:p>
        </w:tc>
      </w:tr>
      <w:tr w:rsidR="006312C6" w:rsidTr="00DA11F7">
        <w:trPr>
          <w:jc w:val="center"/>
        </w:trPr>
        <w:tc>
          <w:tcPr>
            <w:tcW w:w="3539" w:type="dxa"/>
            <w:vAlign w:val="center"/>
          </w:tcPr>
          <w:p w:rsidR="006312C6" w:rsidRDefault="00FC100D">
            <w:pPr>
              <w:ind w:right="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Presupuesto asignado y ejercido </w:t>
            </w:r>
          </w:p>
        </w:tc>
        <w:tc>
          <w:tcPr>
            <w:tcW w:w="3260" w:type="dxa"/>
            <w:vAlign w:val="center"/>
          </w:tcPr>
          <w:p w:rsidR="006312C6" w:rsidRDefault="00FC100D">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Director de Alumbrado Público, informó que no es su atribución, en consecuencia no se poseyó, generó y/o administró.</w:t>
            </w:r>
          </w:p>
          <w:p w:rsidR="006312C6" w:rsidRDefault="006312C6">
            <w:pPr>
              <w:jc w:val="both"/>
              <w:rPr>
                <w:rFonts w:ascii="Palatino Linotype" w:eastAsia="Palatino Linotype" w:hAnsi="Palatino Linotype" w:cs="Palatino Linotype"/>
                <w:color w:val="000000"/>
              </w:rPr>
            </w:pPr>
          </w:p>
          <w:p w:rsidR="006312C6" w:rsidRDefault="00FC100D">
            <w:pPr>
              <w:spacing w:line="276" w:lineRule="auto"/>
              <w:ind w:right="49"/>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El Tesorero Municipal informó que, </w:t>
            </w:r>
            <w:r>
              <w:rPr>
                <w:rFonts w:ascii="Palatino Linotype" w:eastAsia="Palatino Linotype" w:hAnsi="Palatino Linotype" w:cs="Palatino Linotype"/>
                <w:i/>
                <w:iCs/>
                <w:color w:val="000000"/>
              </w:rPr>
              <w:t>después de realizar una búsqueda exhaustiva y minuciosa en nuestros sistemas contables, observamos que no ha sido remitida ninguna información O documentación relacionada a la solicitud del ciudadano.</w:t>
            </w:r>
          </w:p>
          <w:p w:rsidR="006312C6" w:rsidRDefault="006312C6">
            <w:pPr>
              <w:spacing w:line="276" w:lineRule="auto"/>
              <w:ind w:right="49"/>
              <w:jc w:val="both"/>
              <w:rPr>
                <w:rFonts w:ascii="Palatino Linotype" w:eastAsia="Palatino Linotype" w:hAnsi="Palatino Linotype" w:cs="Palatino Linotype"/>
                <w:i/>
                <w:iCs/>
                <w:color w:val="000000"/>
              </w:rPr>
            </w:pPr>
          </w:p>
          <w:p w:rsidR="006312C6" w:rsidRDefault="00FC100D">
            <w:pPr>
              <w:spacing w:line="276" w:lineRule="auto"/>
              <w:ind w:right="4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la Dirección General de Administración y Servidora Pública Habilitada, informó que la Dirección de Recursos Materiales, después de haber realizado una búsqueda exhaustiva y razonable en los archivos que obran en esta Dirección y sus Departamentos, informa que, referente a la información solicitada, no se localizó contrato celebrado para la </w:t>
            </w:r>
            <w:r>
              <w:rPr>
                <w:rFonts w:ascii="Palatino Linotype" w:eastAsia="Palatino Linotype" w:hAnsi="Palatino Linotype" w:cs="Palatino Linotype"/>
                <w:color w:val="000000"/>
              </w:rPr>
              <w:lastRenderedPageBreak/>
              <w:t>"compra de luminarias" a la fecha de la solicitud;</w:t>
            </w:r>
          </w:p>
          <w:p w:rsidR="006312C6" w:rsidRDefault="006312C6">
            <w:pPr>
              <w:jc w:val="both"/>
              <w:rPr>
                <w:rFonts w:ascii="Palatino Linotype" w:eastAsia="Palatino Linotype" w:hAnsi="Palatino Linotype" w:cs="Palatino Linotype"/>
                <w:color w:val="000000"/>
                <w:sz w:val="24"/>
                <w:szCs w:val="24"/>
              </w:rPr>
            </w:pPr>
          </w:p>
        </w:tc>
        <w:tc>
          <w:tcPr>
            <w:tcW w:w="3261" w:type="dxa"/>
            <w:vAlign w:val="center"/>
          </w:tcPr>
          <w:p w:rsidR="006312C6" w:rsidRDefault="006312C6">
            <w:pPr>
              <w:spacing w:line="360" w:lineRule="auto"/>
              <w:ind w:right="-518"/>
              <w:jc w:val="both"/>
              <w:rPr>
                <w:rFonts w:ascii="Palatino Linotype" w:eastAsia="Palatino Linotype" w:hAnsi="Palatino Linotype" w:cs="Palatino Linotype"/>
                <w:color w:val="000000"/>
                <w:sz w:val="24"/>
                <w:szCs w:val="24"/>
              </w:rPr>
            </w:pPr>
          </w:p>
          <w:p w:rsidR="006312C6" w:rsidRDefault="00FC100D">
            <w:pPr>
              <w:ind w:right="7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No, ya que si bien es cierto se informó que estas son de medio uso, también cierto es que en atención al deber de documentar que tienen los Sujetos Obligados, este debe contar con el soporte documental que dé cuenta de la compra de las mismas.</w:t>
            </w:r>
          </w:p>
          <w:p w:rsidR="006312C6" w:rsidRDefault="006312C6">
            <w:pPr>
              <w:spacing w:line="360" w:lineRule="auto"/>
              <w:ind w:right="-518"/>
              <w:jc w:val="both"/>
              <w:rPr>
                <w:rFonts w:ascii="Palatino Linotype" w:eastAsia="Palatino Linotype" w:hAnsi="Palatino Linotype" w:cs="Palatino Linotype"/>
                <w:color w:val="000000"/>
                <w:sz w:val="24"/>
                <w:szCs w:val="24"/>
              </w:rPr>
            </w:pPr>
          </w:p>
        </w:tc>
      </w:tr>
      <w:tr w:rsidR="006312C6" w:rsidTr="00DA11F7">
        <w:trPr>
          <w:jc w:val="center"/>
        </w:trPr>
        <w:tc>
          <w:tcPr>
            <w:tcW w:w="3539" w:type="dxa"/>
            <w:vAlign w:val="center"/>
          </w:tcPr>
          <w:p w:rsidR="006312C6" w:rsidRDefault="00FC100D">
            <w:pPr>
              <w:ind w:right="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Evidencia fotográfica de la colocación </w:t>
            </w:r>
          </w:p>
        </w:tc>
        <w:tc>
          <w:tcPr>
            <w:tcW w:w="3260" w:type="dxa"/>
            <w:vAlign w:val="center"/>
          </w:tcPr>
          <w:p w:rsidR="006312C6" w:rsidRDefault="00FC100D">
            <w:pPr>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Se anexó evidencia fotográfica. </w:t>
            </w:r>
          </w:p>
        </w:tc>
        <w:tc>
          <w:tcPr>
            <w:tcW w:w="3261" w:type="dxa"/>
            <w:vAlign w:val="center"/>
          </w:tcPr>
          <w:p w:rsidR="006312C6" w:rsidRDefault="006312C6">
            <w:pPr>
              <w:jc w:val="both"/>
              <w:rPr>
                <w:rFonts w:ascii="Palatino Linotype" w:eastAsia="Palatino Linotype" w:hAnsi="Palatino Linotype" w:cs="Palatino Linotype"/>
                <w:color w:val="000000"/>
                <w:sz w:val="24"/>
                <w:szCs w:val="24"/>
              </w:rPr>
            </w:pPr>
          </w:p>
          <w:p w:rsidR="006312C6" w:rsidRDefault="00FC100D">
            <w:pPr>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Si, el Sujeto Obligado fue puntual en remitir la evidencia fotográfica que da cuenta de lo solicitado. </w:t>
            </w:r>
          </w:p>
        </w:tc>
      </w:tr>
    </w:tbl>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De lo anterior, se advierte que con la información proporcionada por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no se tiene colmada en su totalidad la solicitud que nos ocupa, pues no se remitió la información que atienda a todos los rubros, siendo que no se proporcionó la información del costo, contrato de compra y el presupuesto asignado y ejercido, por lo que al respecto resulta necesario referir, relativo a la fuente obligacional, lo siguiente:</w:t>
      </w:r>
    </w:p>
    <w:p w:rsidR="006312C6" w:rsidRDefault="00FC100D">
      <w:pPr>
        <w:pBdr>
          <w:top w:val="nil"/>
          <w:left w:val="nil"/>
          <w:bottom w:val="nil"/>
          <w:right w:val="nil"/>
          <w:between w:val="nil"/>
        </w:pBdr>
        <w:spacing w:after="0" w:line="360" w:lineRule="auto"/>
        <w:ind w:right="-518"/>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BANDO MUNICIPAL</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90</w:t>
      </w:r>
      <w:r>
        <w:rPr>
          <w:rFonts w:ascii="Palatino Linotype" w:eastAsia="Palatino Linotype" w:hAnsi="Palatino Linotype" w:cs="Palatino Linotype"/>
          <w:i/>
          <w:iCs/>
          <w:color w:val="000000"/>
          <w:sz w:val="24"/>
          <w:szCs w:val="24"/>
        </w:rPr>
        <w:t>.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6312C6" w:rsidRDefault="006312C6">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I. DEPENDENCIAS:</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1. Secretaría del Ayuntamiento;</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u w:val="single"/>
        </w:rPr>
      </w:pPr>
      <w:r>
        <w:rPr>
          <w:rFonts w:ascii="Palatino Linotype" w:eastAsia="Palatino Linotype" w:hAnsi="Palatino Linotype" w:cs="Palatino Linotype"/>
          <w:i/>
          <w:iCs/>
          <w:color w:val="000000"/>
          <w:sz w:val="24"/>
          <w:szCs w:val="24"/>
          <w:u w:val="single"/>
        </w:rPr>
        <w:t xml:space="preserve"> 2. Tesorería Municipal; </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3.Órgano Interno de Control; </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4. Dirección General de Gobierno;</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 5. Dirección General de Seguridad y Protección; </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u w:val="single"/>
        </w:rPr>
      </w:pPr>
      <w:r>
        <w:rPr>
          <w:rFonts w:ascii="Palatino Linotype" w:eastAsia="Palatino Linotype" w:hAnsi="Palatino Linotype" w:cs="Palatino Linotype"/>
          <w:i/>
          <w:iCs/>
          <w:color w:val="000000"/>
          <w:sz w:val="24"/>
          <w:szCs w:val="24"/>
          <w:u w:val="single"/>
        </w:rPr>
        <w:lastRenderedPageBreak/>
        <w:t xml:space="preserve">6. Dirección General de Administración; </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7. Dirección General de Medio Ambiente;</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 8. Dirección General de Servicios Públicos;</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 9. Dirección General de Innovación, Planeación y Gestión Urbana; </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10. Dirección General de Obras Públicas;</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 11. Dirección General de Desarrollo Económico; </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12. Dirección General de Bienestar; y </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13. Dirección General de Educación, Cultura y Turismo</w:t>
      </w:r>
    </w:p>
    <w:p w:rsidR="006312C6" w:rsidRDefault="006312C6">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p>
    <w:p w:rsidR="006312C6" w:rsidRDefault="006312C6">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II. La persona titular de </w:t>
      </w:r>
      <w:r>
        <w:rPr>
          <w:rFonts w:ascii="Palatino Linotype" w:eastAsia="Palatino Linotype" w:hAnsi="Palatino Linotype" w:cs="Palatino Linotype"/>
          <w:b/>
          <w:bCs/>
          <w:i/>
          <w:iCs/>
          <w:color w:val="000000"/>
          <w:sz w:val="24"/>
          <w:szCs w:val="24"/>
        </w:rPr>
        <w:t>la Tesorería Municipal</w:t>
      </w:r>
      <w:r>
        <w:rPr>
          <w:rFonts w:ascii="Palatino Linotype" w:eastAsia="Palatino Linotype" w:hAnsi="Palatino Linotype" w:cs="Palatino Linotype"/>
          <w:i/>
          <w:iCs/>
          <w:color w:val="000000"/>
          <w:sz w:val="24"/>
          <w:szCs w:val="24"/>
        </w:rPr>
        <w:t xml:space="preserve"> </w:t>
      </w:r>
      <w:r>
        <w:rPr>
          <w:rFonts w:ascii="Palatino Linotype" w:eastAsia="Palatino Linotype" w:hAnsi="Palatino Linotype" w:cs="Palatino Linotype"/>
          <w:i/>
          <w:iCs/>
          <w:color w:val="000000"/>
          <w:sz w:val="24"/>
          <w:szCs w:val="24"/>
          <w:u w:val="single"/>
        </w:rPr>
        <w:t>es responsable de la administración y control de los recursos financieros del municipio</w:t>
      </w:r>
      <w:r>
        <w:rPr>
          <w:rFonts w:ascii="Palatino Linotype" w:eastAsia="Palatino Linotype" w:hAnsi="Palatino Linotype" w:cs="Palatino Linotype"/>
          <w:i/>
          <w:iCs/>
          <w:color w:val="000000"/>
          <w:sz w:val="24"/>
          <w:szCs w:val="24"/>
        </w:rPr>
        <w:t>, asegurando el cumplimiento de las disposiciones fiscales y presupuestales. Sus funciones incluyen la recaudación, fiscalización y administración de ingresos municipales, así como la elaboración y supervisión de los informes financieros y la cuenta pública. Además, coordina la aplicación de políticas de racionalidad y austeridad presupuestal, otorga suficiencia presupuestaria a las dependencias municipales, y gestiona la nómina del personal, garantizando su pago oportuno.</w:t>
      </w:r>
    </w:p>
    <w:p w:rsidR="006312C6" w:rsidRDefault="006312C6">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VI. La persona titular de la </w:t>
      </w:r>
      <w:r>
        <w:rPr>
          <w:rFonts w:ascii="Palatino Linotype" w:eastAsia="Palatino Linotype" w:hAnsi="Palatino Linotype" w:cs="Palatino Linotype"/>
          <w:b/>
          <w:bCs/>
          <w:i/>
          <w:iCs/>
          <w:color w:val="000000"/>
          <w:sz w:val="24"/>
          <w:szCs w:val="24"/>
        </w:rPr>
        <w:t>Dirección General de Administración</w:t>
      </w:r>
      <w:r>
        <w:rPr>
          <w:rFonts w:ascii="Palatino Linotype" w:eastAsia="Palatino Linotype" w:hAnsi="Palatino Linotype" w:cs="Palatino Linotype"/>
          <w:i/>
          <w:iCs/>
          <w:color w:val="000000"/>
          <w:sz w:val="24"/>
          <w:szCs w:val="24"/>
        </w:rPr>
        <w:t xml:space="preserve"> es responsable de la gestión integral del capital humano del Ayuntamiento, coordinando el reclutamiento, contratación, capacitación y desarrollo del personal, así como la aplicación de las disposiciones laborales y sindicales. Supervisará la elaboración y distribución de la nómina, garantizando su apego a la normatividad y el presupuesto autorizado. </w:t>
      </w:r>
      <w:r>
        <w:rPr>
          <w:rFonts w:ascii="Palatino Linotype" w:eastAsia="Palatino Linotype" w:hAnsi="Palatino Linotype" w:cs="Palatino Linotype"/>
          <w:i/>
          <w:iCs/>
          <w:color w:val="000000"/>
          <w:sz w:val="24"/>
          <w:szCs w:val="24"/>
          <w:u w:val="single"/>
        </w:rPr>
        <w:t>Dirigirá los procesos de adquisición, arrendamiento y contratación de servicios, asegurando la eficiencia y transparencia en el uso de los recursos públicos</w:t>
      </w:r>
      <w:r>
        <w:rPr>
          <w:rFonts w:ascii="Palatino Linotype" w:eastAsia="Palatino Linotype" w:hAnsi="Palatino Linotype" w:cs="Palatino Linotype"/>
          <w:i/>
          <w:iCs/>
          <w:color w:val="000000"/>
          <w:sz w:val="24"/>
          <w:szCs w:val="24"/>
        </w:rPr>
        <w:t>. Administrará el parque vehicular, los bienes municipales y la logística de eventos públicos e implementará políticas de gobierno digital y normativas para el uso de tecnologías de la información, promoviendo la eficiencia operativa de la administración pública municipal.</w:t>
      </w:r>
    </w:p>
    <w:p w:rsidR="006312C6" w:rsidRDefault="006312C6">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p>
    <w:p w:rsidR="006312C6" w:rsidRDefault="006312C6">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after="0" w:line="360" w:lineRule="auto"/>
        <w:ind w:right="-518" w:firstLine="708"/>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Manual de Organización Dirección General de Administración</w:t>
      </w: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206010000 Dirección General de Administración </w:t>
      </w:r>
    </w:p>
    <w:p w:rsidR="006312C6" w:rsidRDefault="006312C6">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Objetivo:</w:t>
      </w:r>
      <w:r>
        <w:rPr>
          <w:rFonts w:ascii="Palatino Linotype" w:eastAsia="Palatino Linotype" w:hAnsi="Palatino Linotype" w:cs="Palatino Linotype"/>
          <w:i/>
          <w:iCs/>
          <w:color w:val="000000"/>
          <w:sz w:val="24"/>
          <w:szCs w:val="24"/>
        </w:rPr>
        <w:t xml:space="preserve"> Definir, establecer, difundir y aplicar la normatividad para la administración de personal, adquisición, uso y mantenimiento de bienes, contratación y prestación de servicios, de la tecnología de la información y comunicaciones que requieran las diferentes dependencias y órganos que integran la administración pública municipal, para la ejecución de sus funciones, privilegiando las mejores condiciones de oportunidad, precio, calidad y financiamiento, en un esquema de transparencia, a fin de optimizar los recursos humanos, materiales, técnicos y tecnológicos, así como el adecuado control del parque vehicular y de bienes muebles e inmuebles.</w:t>
      </w:r>
    </w:p>
    <w:p w:rsidR="006312C6" w:rsidRDefault="006312C6">
      <w:pPr>
        <w:pBdr>
          <w:top w:val="nil"/>
          <w:left w:val="nil"/>
          <w:bottom w:val="nil"/>
          <w:right w:val="nil"/>
          <w:between w:val="nil"/>
        </w:pBdr>
        <w:spacing w:after="0" w:line="276" w:lineRule="auto"/>
        <w:ind w:right="474"/>
        <w:jc w:val="both"/>
        <w:rPr>
          <w:rFonts w:ascii="Palatino Linotype" w:eastAsia="Palatino Linotype" w:hAnsi="Palatino Linotype" w:cs="Palatino Linotype"/>
          <w:i/>
          <w:iCs/>
          <w:color w:val="000000"/>
          <w:sz w:val="24"/>
          <w:szCs w:val="24"/>
        </w:rPr>
      </w:pPr>
    </w:p>
    <w:p w:rsidR="006312C6" w:rsidRDefault="006312C6">
      <w:pPr>
        <w:pBdr>
          <w:top w:val="nil"/>
          <w:left w:val="nil"/>
          <w:bottom w:val="nil"/>
          <w:right w:val="nil"/>
          <w:between w:val="nil"/>
        </w:pBdr>
        <w:spacing w:after="0" w:line="276" w:lineRule="auto"/>
        <w:ind w:left="709" w:right="474"/>
        <w:jc w:val="both"/>
        <w:rPr>
          <w:rFonts w:ascii="Palatino Linotype" w:eastAsia="Palatino Linotype" w:hAnsi="Palatino Linotype" w:cs="Palatino Linotype"/>
          <w:i/>
          <w:iCs/>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De lo anterior, se observa que la Dirección de Administración y la Tesorería Municipal, son las encargadas de generar, poseer y/o administrar la información solicitada, pues como se refirió en la tabla de estudio, si bien es cierto se informó que las luminarias fueron de segunda mano, también cierto es que, estas tuvieron que adquirirse por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hecho con se materializa a través de un contrato y que culmina con el pago de la contraprestación, es por ello, que se considera que se debe contar con la información solicitada.</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En </w:t>
      </w:r>
      <w:r>
        <w:rPr>
          <w:rFonts w:ascii="Palatino Linotype" w:eastAsia="Palatino Linotype" w:hAnsi="Palatino Linotype" w:cs="Palatino Linotype"/>
          <w:color w:val="000000"/>
          <w:sz w:val="24"/>
          <w:szCs w:val="24"/>
        </w:rPr>
        <w:t>ese</w:t>
      </w:r>
      <w:r>
        <w:rPr>
          <w:rFonts w:ascii="Palatino Linotype" w:eastAsia="Palatino Linotype" w:hAnsi="Palatino Linotype" w:cs="Palatino Linotype"/>
          <w:sz w:val="24"/>
          <w:szCs w:val="24"/>
        </w:rPr>
        <w:t xml:space="preserve"> contexto, de conformidad con lo que establecen los artículos 26 y 27 de la Ley de Contratación Pública del Estado de México y Municipios, las adquisiciones, arrendamientos y servicios se adjudicarán a través de licitaciones públicas mediante convocatoria pública o bien, a través de las excepciones a dicho procedimiento, como se observa a continuación: </w:t>
      </w:r>
    </w:p>
    <w:p w:rsidR="006312C6" w:rsidRDefault="00FC100D">
      <w:pPr>
        <w:spacing w:after="0" w:line="276" w:lineRule="auto"/>
        <w:ind w:left="567" w:right="560"/>
        <w:jc w:val="center"/>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LEY DE CONTRATACIÓN PÚBLICA DEL ESTADO DE MÉXICO Y MUNICIPIO</w:t>
      </w:r>
    </w:p>
    <w:p w:rsidR="006312C6" w:rsidRDefault="006312C6">
      <w:pPr>
        <w:spacing w:after="0" w:line="276" w:lineRule="auto"/>
        <w:ind w:left="567" w:right="560"/>
        <w:jc w:val="both"/>
        <w:rPr>
          <w:rFonts w:ascii="Palatino Linotype" w:eastAsia="Palatino Linotype" w:hAnsi="Palatino Linotype" w:cs="Palatino Linotype"/>
          <w:i/>
          <w:iCs/>
          <w:sz w:val="24"/>
          <w:szCs w:val="24"/>
        </w:rPr>
      </w:pP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lastRenderedPageBreak/>
        <w:t>Artículo 26.-</w:t>
      </w:r>
      <w:r>
        <w:rPr>
          <w:rFonts w:ascii="Palatino Linotype" w:eastAsia="Palatino Linotype" w:hAnsi="Palatino Linotype" w:cs="Palatino Linotype"/>
          <w:i/>
          <w:iCs/>
          <w:sz w:val="24"/>
          <w:szCs w:val="24"/>
        </w:rPr>
        <w:t xml:space="preserve"> Las adquisiciones, arrendamientos y servicios se adjudicarán a través de licitaciones públicas, mediante convocatoria pública. </w:t>
      </w:r>
    </w:p>
    <w:p w:rsidR="006312C6" w:rsidRDefault="006312C6">
      <w:pPr>
        <w:spacing w:after="0" w:line="276" w:lineRule="auto"/>
        <w:ind w:left="567" w:right="560"/>
        <w:jc w:val="both"/>
        <w:rPr>
          <w:rFonts w:ascii="Palatino Linotype" w:eastAsia="Palatino Linotype" w:hAnsi="Palatino Linotype" w:cs="Palatino Linotype"/>
          <w:i/>
          <w:iCs/>
          <w:sz w:val="24"/>
          <w:szCs w:val="24"/>
        </w:rPr>
      </w:pP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27.-</w:t>
      </w:r>
      <w:r>
        <w:rPr>
          <w:rFonts w:ascii="Palatino Linotype" w:eastAsia="Palatino Linotype" w:hAnsi="Palatino Linotype" w:cs="Palatino Linotype"/>
          <w:i/>
          <w:iCs/>
          <w:sz w:val="24"/>
          <w:szCs w:val="24"/>
        </w:rPr>
        <w:t xml:space="preserve"> La Secretaría, las entidades, los tribunales administrativos y los ayuntamientos podrán adjudicar adquisiciones, arrendamientos y servicios, mediante las excepciones al procedimiento de licitación que a continuación se señalan: </w:t>
      </w:r>
    </w:p>
    <w:p w:rsidR="006312C6" w:rsidRDefault="006312C6">
      <w:pPr>
        <w:spacing w:after="0" w:line="276" w:lineRule="auto"/>
        <w:ind w:left="567" w:right="560"/>
        <w:jc w:val="both"/>
        <w:rPr>
          <w:rFonts w:ascii="Palatino Linotype" w:eastAsia="Palatino Linotype" w:hAnsi="Palatino Linotype" w:cs="Palatino Linotype"/>
          <w:i/>
          <w:iCs/>
          <w:sz w:val="24"/>
          <w:szCs w:val="24"/>
        </w:rPr>
      </w:pP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I. Invitación restringida.</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 II. Adjudicación directa.</w:t>
      </w:r>
    </w:p>
    <w:p w:rsidR="006312C6" w:rsidRDefault="006312C6">
      <w:pPr>
        <w:spacing w:after="0" w:line="276" w:lineRule="auto"/>
        <w:ind w:left="567" w:right="560"/>
        <w:jc w:val="both"/>
        <w:rPr>
          <w:rFonts w:ascii="Palatino Linotype" w:eastAsia="Palatino Linotype" w:hAnsi="Palatino Linotype" w:cs="Palatino Linotype"/>
          <w:i/>
          <w:iCs/>
          <w:sz w:val="24"/>
          <w:szCs w:val="24"/>
        </w:rPr>
      </w:pPr>
    </w:p>
    <w:p w:rsidR="006312C6" w:rsidRPr="00DA11F7" w:rsidRDefault="00FC100D" w:rsidP="00DA11F7">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 xml:space="preserve">Respecto al procedimiento de </w:t>
      </w:r>
      <w:r w:rsidRPr="00DA11F7">
        <w:rPr>
          <w:rFonts w:ascii="Palatino Linotype" w:eastAsia="Palatino Linotype" w:hAnsi="Palatino Linotype" w:cs="Palatino Linotype"/>
          <w:b/>
          <w:bCs/>
        </w:rPr>
        <w:t>licitación pública</w:t>
      </w:r>
      <w:r w:rsidRPr="00DA11F7">
        <w:rPr>
          <w:rFonts w:ascii="Palatino Linotype" w:eastAsia="Palatino Linotype" w:hAnsi="Palatino Linotype" w:cs="Palatino Linotype"/>
        </w:rPr>
        <w:t>, es de mencionar que de acuerdo con el Banco Interamericano de Desarrollo, la licitación es un procedimiento formal y competitivo de adquisiciones, mediante el cual se solicitan, reciben y evalúan ofertas para la adquisición de bienes, obras o servicios y se adjudica el contrato correspondiente al licitador que ofrezca la propuesta más ventajosa. (Desarrollo, 1995)</w:t>
      </w:r>
    </w:p>
    <w:p w:rsidR="006312C6" w:rsidRDefault="006312C6">
      <w:pPr>
        <w:spacing w:after="0" w:line="360" w:lineRule="auto"/>
        <w:ind w:right="49"/>
        <w:jc w:val="both"/>
        <w:rPr>
          <w:rFonts w:ascii="Palatino Linotype" w:eastAsia="Palatino Linotype" w:hAnsi="Palatino Linotype" w:cs="Palatino Linotype"/>
          <w:sz w:val="24"/>
          <w:szCs w:val="24"/>
        </w:rPr>
      </w:pPr>
    </w:p>
    <w:p w:rsidR="006312C6" w:rsidRPr="00DA11F7" w:rsidRDefault="00FC100D" w:rsidP="00DA11F7">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 xml:space="preserve">En cuando hace a la </w:t>
      </w:r>
      <w:r w:rsidRPr="00DA11F7">
        <w:rPr>
          <w:rFonts w:ascii="Palatino Linotype" w:eastAsia="Palatino Linotype" w:hAnsi="Palatino Linotype" w:cs="Palatino Linotype"/>
          <w:b/>
          <w:bCs/>
        </w:rPr>
        <w:t>adjudicación directa</w:t>
      </w:r>
      <w:r w:rsidRPr="00DA11F7">
        <w:rPr>
          <w:rFonts w:ascii="Palatino Linotype" w:eastAsia="Palatino Linotype" w:hAnsi="Palatino Linotype" w:cs="Palatino Linotype"/>
        </w:rPr>
        <w:t xml:space="preserve">, la Secretaría de la Función Pública, (consultable en </w:t>
      </w:r>
      <w:hyperlink r:id="rId9">
        <w:r w:rsidRPr="00DA11F7">
          <w:rPr>
            <w:rFonts w:ascii="Palatino Linotype" w:eastAsia="Palatino Linotype" w:hAnsi="Palatino Linotype" w:cs="Palatino Linotype"/>
            <w:u w:val="single"/>
          </w:rPr>
          <w:t>https://www.gob.mx/sfp/acciones-y-programas/1-3-3-adjudicacion-directa</w:t>
        </w:r>
      </w:hyperlink>
      <w:r w:rsidRPr="00DA11F7">
        <w:rPr>
          <w:rFonts w:ascii="Palatino Linotype" w:eastAsia="Palatino Linotype" w:hAnsi="Palatino Linotype" w:cs="Palatino Linotype"/>
        </w:rPr>
        <w:t xml:space="preserve">), establece que es un procedimiento que se realiza sin puesta en concurrencia y por ende, sin que exista competencia, adjudicándose el contrato a un proveedor que ha sido preseleccionado para tales efectos por la dependencia o entidad. </w:t>
      </w:r>
    </w:p>
    <w:p w:rsidR="006312C6" w:rsidRDefault="006312C6">
      <w:pPr>
        <w:spacing w:after="0" w:line="360" w:lineRule="auto"/>
        <w:ind w:right="49"/>
        <w:jc w:val="both"/>
        <w:rPr>
          <w:rFonts w:ascii="Palatino Linotype" w:eastAsia="Palatino Linotype" w:hAnsi="Palatino Linotype" w:cs="Palatino Linotype"/>
          <w:sz w:val="24"/>
          <w:szCs w:val="24"/>
        </w:rPr>
      </w:pPr>
    </w:p>
    <w:p w:rsidR="006312C6" w:rsidRPr="00DA11F7" w:rsidRDefault="00FC100D" w:rsidP="00DA11F7">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 xml:space="preserve">Por último, respecto a la </w:t>
      </w:r>
      <w:r w:rsidRPr="00DA11F7">
        <w:rPr>
          <w:rFonts w:ascii="Palatino Linotype" w:eastAsia="Palatino Linotype" w:hAnsi="Palatino Linotype" w:cs="Palatino Linotype"/>
          <w:b/>
          <w:bCs/>
        </w:rPr>
        <w:t>invitación restringida a cuando menos tres proveedores</w:t>
      </w:r>
      <w:r w:rsidRPr="00DA11F7">
        <w:rPr>
          <w:rFonts w:ascii="Palatino Linotype" w:eastAsia="Palatino Linotype" w:hAnsi="Palatino Linotype" w:cs="Palatino Linotype"/>
        </w:rPr>
        <w:t xml:space="preserve">, la Secretaría de la Contraloría (consultable en </w:t>
      </w:r>
      <w:hyperlink r:id="rId10" w:anchor=":~:text=Es%20un%20procedimiento%20administrativo%2C%20de,tres%20oferentes%20a%20presentar%20propuestas%2C">
        <w:r w:rsidRPr="00DA11F7">
          <w:rPr>
            <w:rFonts w:ascii="Palatino Linotype" w:eastAsia="Palatino Linotype" w:hAnsi="Palatino Linotype" w:cs="Palatino Linotype"/>
            <w:u w:val="single"/>
          </w:rPr>
          <w:t>http://www.contraloriadf.gob.mx/contraloria/cursos/ADQUISICIONES/paginas/32.php#:~:text=Es%20un%20procedimiento%20administrativo%2C%20de,tres%20oferentes%20a%20presentar%20propuestas%2C</w:t>
        </w:r>
      </w:hyperlink>
      <w:r w:rsidRPr="00DA11F7">
        <w:rPr>
          <w:rFonts w:ascii="Palatino Linotype" w:eastAsia="Palatino Linotype" w:hAnsi="Palatino Linotype" w:cs="Palatino Linotype"/>
        </w:rPr>
        <w:t xml:space="preserve">) precisa que es un procedimiento de excepción a la </w:t>
      </w:r>
      <w:r w:rsidRPr="00DA11F7">
        <w:rPr>
          <w:rFonts w:ascii="Palatino Linotype" w:eastAsia="Palatino Linotype" w:hAnsi="Palatino Linotype" w:cs="Palatino Linotype"/>
        </w:rPr>
        <w:lastRenderedPageBreak/>
        <w:t>licitación pública que permite a las dependencias, unidades administrativas, órganos desconcentrados y entidades, en forma discrecional, realizar un procedimiento para adquirir, arrendar o contratar, invitando a por lo menos tres oferentes a presentar propuestas.</w:t>
      </w:r>
    </w:p>
    <w:p w:rsidR="006312C6" w:rsidRDefault="006312C6">
      <w:pPr>
        <w:spacing w:after="0" w:line="360" w:lineRule="auto"/>
        <w:ind w:right="49"/>
        <w:jc w:val="both"/>
        <w:rPr>
          <w:rFonts w:ascii="Palatino Linotype" w:eastAsia="Palatino Linotype" w:hAnsi="Palatino Linotype" w:cs="Palatino Linotype"/>
          <w:sz w:val="24"/>
          <w:szCs w:val="24"/>
        </w:rPr>
      </w:pPr>
    </w:p>
    <w:p w:rsidR="006312C6" w:rsidRPr="00DA11F7" w:rsidRDefault="00FC100D" w:rsidP="00DA11F7">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 xml:space="preserve">Ahora bien, es de precisar que la Ley Orgánica Municipal del Estado de México en su artículo 31 señala que son atribuciones de los ayuntamientos, las siguientes: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31.-</w:t>
      </w:r>
      <w:r>
        <w:rPr>
          <w:rFonts w:ascii="Palatino Linotype" w:eastAsia="Palatino Linotype" w:hAnsi="Palatino Linotype" w:cs="Palatino Linotype"/>
          <w:i/>
          <w:iCs/>
          <w:sz w:val="24"/>
          <w:szCs w:val="24"/>
        </w:rPr>
        <w:t xml:space="preserve"> Son atribuciones de los ayuntamientos:</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VII. Convenir, contratar o concesionar, en términos de ley, la ejecución de obras y la prestación de servicios públicos, con el Estado, con otros municipios de la entidad o con particulares, recabando, cuando proceda, la autorización de la Legislatura del Estado;</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6312C6">
      <w:pPr>
        <w:spacing w:after="0" w:line="360" w:lineRule="auto"/>
        <w:ind w:right="49"/>
        <w:jc w:val="both"/>
        <w:rPr>
          <w:rFonts w:ascii="Palatino Linotype" w:eastAsia="Palatino Linotype" w:hAnsi="Palatino Linotype" w:cs="Palatino Linotype"/>
          <w:sz w:val="24"/>
          <w:szCs w:val="24"/>
        </w:rPr>
      </w:pPr>
    </w:p>
    <w:p w:rsidR="006312C6" w:rsidRPr="00DA11F7" w:rsidRDefault="00FC100D" w:rsidP="00DA11F7">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 xml:space="preserve">En ese sentido, de acuerdo con lo que establece el artículo 54 del Bando Municipal de Coacalco de Berriozábal, corresponde a la Dirección de Administración planear, establecer y difundir entre las Dependencias las políticas y procedimientos necesarios para el control eficiente de los recursos materiales, tecnológicos, de servicios generales y capital humano, como se observa a continuación: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54.</w:t>
      </w:r>
      <w:r>
        <w:rPr>
          <w:rFonts w:ascii="Palatino Linotype" w:eastAsia="Palatino Linotype" w:hAnsi="Palatino Linotype" w:cs="Palatino Linotype"/>
          <w:i/>
          <w:iCs/>
          <w:sz w:val="24"/>
          <w:szCs w:val="24"/>
        </w:rPr>
        <w:t xml:space="preserve"> Corresponde a la Dirección de Administración planear, establecer y difundir entre las Dependencias de la Administración Pública Municipal, las políticas y procedimientos necesarios para el control eficiente de los recursos materiales, tecnológicos, de servicios generales y capital humano que se proporcionan a las Dependencias y Unidades Administrativas en todas sus modalidades; asignará el personal que las áreas requieran, facilitará los programas y cursos correspondientes para la certificación, profesionalización y capacitación de los servidores públicos, para el debido cumplimiento de sus funciones y atribuciones y, satisfacer las sociedades </w:t>
      </w:r>
      <w:r>
        <w:rPr>
          <w:rFonts w:ascii="Palatino Linotype" w:eastAsia="Palatino Linotype" w:hAnsi="Palatino Linotype" w:cs="Palatino Linotype"/>
          <w:i/>
          <w:iCs/>
          <w:sz w:val="24"/>
          <w:szCs w:val="24"/>
        </w:rPr>
        <w:lastRenderedPageBreak/>
        <w:t>generales que constituyen el objeto de los servicios y funciones públicas; todas aquellas que contienen superior jerárquico, las leyes y demás disposiciones jurídicas aplicables.</w:t>
      </w:r>
    </w:p>
    <w:p w:rsidR="006312C6" w:rsidRDefault="006312C6">
      <w:pPr>
        <w:spacing w:after="0" w:line="360" w:lineRule="auto"/>
        <w:ind w:right="49"/>
        <w:jc w:val="both"/>
        <w:rPr>
          <w:rFonts w:ascii="Palatino Linotype" w:eastAsia="Palatino Linotype" w:hAnsi="Palatino Linotype" w:cs="Palatino Linotype"/>
          <w:sz w:val="24"/>
          <w:szCs w:val="24"/>
        </w:rPr>
      </w:pPr>
    </w:p>
    <w:p w:rsidR="006312C6" w:rsidRPr="00DA11F7" w:rsidRDefault="00FC100D" w:rsidP="00DA11F7">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 xml:space="preserve">Por otra parte, el Reglamento Interno de la Administración Pública Municipal de Coacalco de Berriozábal, precisa que la Dirección de Administración, tendrá las siguientes atribuciones y se auxiliará de diversas unidades administrativas que son: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52.</w:t>
      </w:r>
      <w:r>
        <w:rPr>
          <w:rFonts w:ascii="Palatino Linotype" w:eastAsia="Palatino Linotype" w:hAnsi="Palatino Linotype" w:cs="Palatino Linotype"/>
          <w:i/>
          <w:iCs/>
          <w:sz w:val="24"/>
          <w:szCs w:val="24"/>
        </w:rPr>
        <w:t xml:space="preserve"> La Dirección de Administración tendrá las atribuciones siguientes: </w:t>
      </w:r>
    </w:p>
    <w:p w:rsidR="006312C6" w:rsidRDefault="006312C6">
      <w:pPr>
        <w:spacing w:after="0" w:line="276" w:lineRule="auto"/>
        <w:ind w:left="567" w:right="560"/>
        <w:jc w:val="both"/>
        <w:rPr>
          <w:rFonts w:ascii="Palatino Linotype" w:eastAsia="Palatino Linotype" w:hAnsi="Palatino Linotype" w:cs="Palatino Linotype"/>
          <w:i/>
          <w:iCs/>
          <w:sz w:val="24"/>
          <w:szCs w:val="24"/>
        </w:rPr>
      </w:pP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XVII. Realizar la adquisición de bienes y la contratación de servicios, a través de los procedimientos de adjudicación establecidos en las disposiciones legales aplicables y vigentes.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XX. Mantener actualizado el catálogo de proveedores y prestadores de servicios;</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XXI. Informar a la Secretaría del Ayuntamiento la adquisición de bienes de activo fijo.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XXIV. Suscribir contratos de adquisiciones de bienes muebles y servicios;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XXVIII. Formar parte del comité de adquisiciones de bienes y servicios del Ayuntamiento;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53.</w:t>
      </w:r>
      <w:r>
        <w:rPr>
          <w:rFonts w:ascii="Palatino Linotype" w:eastAsia="Palatino Linotype" w:hAnsi="Palatino Linotype" w:cs="Palatino Linotype"/>
          <w:i/>
          <w:iCs/>
          <w:sz w:val="24"/>
          <w:szCs w:val="24"/>
        </w:rPr>
        <w:t xml:space="preserve"> Para el despacho de los asuntos de su competencia, la Dirección de Administración se auxiliará de las siguientes unidades administrativas: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 Enlace Administrativo.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 Subdirección de Capital Humano.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 Coordinación de Capital Humano y Relaciones Laborales.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II. Coordinación de Capacitación, Profesionalización y Capital Humano. </w:t>
      </w:r>
    </w:p>
    <w:p w:rsidR="006312C6" w:rsidRDefault="00FC100D">
      <w:pPr>
        <w:spacing w:after="0" w:line="276" w:lineRule="auto"/>
        <w:ind w:left="567" w:right="56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2. Subdirección de Adquisiciones y Recursos Materiales.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 Coordinación de Control de Taller Vehicular y Combustible.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II. Coordinación de Servicios Generales y Almacén. </w:t>
      </w:r>
    </w:p>
    <w:p w:rsidR="006312C6" w:rsidRDefault="00FC100D">
      <w:pPr>
        <w:spacing w:after="0" w:line="276" w:lineRule="auto"/>
        <w:ind w:left="567" w:right="56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III. Coordinación de Contratos y Licitaciones. </w:t>
      </w:r>
    </w:p>
    <w:p w:rsidR="006312C6" w:rsidRPr="00DA11F7" w:rsidRDefault="00FC100D" w:rsidP="00DA11F7">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lastRenderedPageBreak/>
        <w:t xml:space="preserve">Por otro lado, en lo que respecta a nuestra materia, la Ley de Transparencia y Acceso a la Información Pública del Estado de México y Municipios, precisa en su artículo 92, fracción XXIX que la información relacionada con dichos procedimientos, incluyendo la versión pública del expediente respectivo y de los contratos celebrados, debe ser puesta a disposición de los particulares de manera actualizada y permanente, tal como se observa a continuación: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92.</w:t>
      </w:r>
      <w:r>
        <w:rPr>
          <w:rFonts w:ascii="Palatino Linotype" w:eastAsia="Palatino Linotype" w:hAnsi="Palatino Linotype" w:cs="Palatino Linotype"/>
          <w:i/>
          <w:iCs/>
          <w:sz w:val="24"/>
          <w:szCs w:val="24"/>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XXIX.</w:t>
      </w:r>
      <w:r>
        <w:rPr>
          <w:rFonts w:ascii="Palatino Linotype" w:eastAsia="Palatino Linotype" w:hAnsi="Palatino Linotype" w:cs="Palatino Linotype"/>
          <w:i/>
          <w:iCs/>
          <w:sz w:val="24"/>
          <w:szCs w:val="24"/>
        </w:rPr>
        <w:t xml:space="preserve">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 </w:t>
      </w:r>
    </w:p>
    <w:p w:rsidR="006312C6" w:rsidRDefault="006312C6">
      <w:pPr>
        <w:spacing w:after="0" w:line="276" w:lineRule="auto"/>
        <w:ind w:left="567" w:right="560"/>
        <w:jc w:val="both"/>
        <w:rPr>
          <w:rFonts w:ascii="Palatino Linotype" w:eastAsia="Palatino Linotype" w:hAnsi="Palatino Linotype" w:cs="Palatino Linotype"/>
          <w:i/>
          <w:iCs/>
          <w:sz w:val="24"/>
          <w:szCs w:val="24"/>
        </w:rPr>
      </w:pPr>
    </w:p>
    <w:p w:rsidR="006312C6" w:rsidRDefault="00FC100D">
      <w:pPr>
        <w:spacing w:after="0" w:line="276" w:lineRule="auto"/>
        <w:ind w:left="567" w:right="56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a) De licitaciones públicas o procedimientos de invitación restringida: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 La convocatoria o invitación emitida, así como los fundamentos legales aplicados para llevarla a cabo;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2) Los nombres de los participantes o invitados;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3) El nombre del ganador y las razones que lo justifican;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4) El área solicitante y la responsable de su ejecución;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5) Las convocatorias e invitaciones emitidas;</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6) Los dictámenes y fallo de adjudicación; </w:t>
      </w:r>
    </w:p>
    <w:p w:rsidR="006312C6" w:rsidRDefault="00FC100D">
      <w:pPr>
        <w:spacing w:after="0" w:line="276" w:lineRule="auto"/>
        <w:ind w:left="567" w:right="56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7) El contrato y, en su caso, sus anexos;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8) Los mecanismos de vigilancia y supervisión, incluyendo en su caso, los estudios de impacto urbano y ambiental, según corresponda;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9) La partida presupuestal, de conformidad con el clasificador por objeto del gasto, en el caso de ser aplicable;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lastRenderedPageBreak/>
        <w:t xml:space="preserve">10) Origen de los recursos especificando si son federales, estatales o municipales, así como el tipo de fondo de participación o aportación respectiva;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11) Los convenios modificatorios que, en su caso, sean firmados, precisando el objeto y la fecha de celebración; </w:t>
      </w:r>
    </w:p>
    <w:p w:rsidR="006312C6" w:rsidRDefault="00FC100D">
      <w:pPr>
        <w:spacing w:after="0" w:line="276" w:lineRule="auto"/>
        <w:ind w:left="567" w:right="560"/>
        <w:jc w:val="both"/>
        <w:rPr>
          <w:rFonts w:ascii="Palatino Linotype" w:eastAsia="Palatino Linotype" w:hAnsi="Palatino Linotype" w:cs="Palatino Linotype"/>
          <w:b/>
          <w:bCs/>
          <w:i/>
          <w:iCs/>
          <w:sz w:val="24"/>
          <w:szCs w:val="24"/>
          <w:u w:val="single"/>
        </w:rPr>
      </w:pPr>
      <w:r>
        <w:rPr>
          <w:rFonts w:ascii="Palatino Linotype" w:eastAsia="Palatino Linotype" w:hAnsi="Palatino Linotype" w:cs="Palatino Linotype"/>
          <w:b/>
          <w:bCs/>
          <w:i/>
          <w:iCs/>
          <w:sz w:val="24"/>
          <w:szCs w:val="24"/>
          <w:u w:val="single"/>
        </w:rPr>
        <w:t xml:space="preserve">12) Los informes de avance físico y financiero sobre las obras o servicios contratados;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13) El convenio de terminación; y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14) El finiquito. </w:t>
      </w:r>
    </w:p>
    <w:p w:rsidR="006312C6" w:rsidRDefault="006312C6">
      <w:pPr>
        <w:spacing w:after="0" w:line="276" w:lineRule="auto"/>
        <w:ind w:left="567" w:right="560"/>
        <w:jc w:val="both"/>
        <w:rPr>
          <w:rFonts w:ascii="Palatino Linotype" w:eastAsia="Palatino Linotype" w:hAnsi="Palatino Linotype" w:cs="Palatino Linotype"/>
          <w:b/>
          <w:bCs/>
          <w:i/>
          <w:iCs/>
          <w:sz w:val="24"/>
          <w:szCs w:val="24"/>
        </w:rPr>
      </w:pPr>
    </w:p>
    <w:p w:rsidR="006312C6" w:rsidRDefault="00FC100D">
      <w:pPr>
        <w:spacing w:after="0" w:line="276" w:lineRule="auto"/>
        <w:ind w:left="567" w:right="56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b) De las adjudicaciones directas: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 La propuesta enviada por el participante;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2) Los motivos y fundamentos legales aplicados para llevarla a cabo;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3) La autorización del ejercicio de la opción;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4) En su caso, las cotizaciones consideradas, especificando los nombres de los proveedores y sus montos;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5) El nombre de la persona física o jurídica colectiva adjudicada;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6) La unidad administrativa solicitante y la responsable de su ejecución; </w:t>
      </w:r>
    </w:p>
    <w:p w:rsidR="006312C6" w:rsidRDefault="00FC100D">
      <w:pPr>
        <w:spacing w:after="0" w:line="276" w:lineRule="auto"/>
        <w:ind w:left="567" w:right="56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7) El número, fecha, el monto del contrato y el plazo de entrega o de ejecución de los servicios u obra;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8) Los mecanismos de vigilancia y supervisión, incluyendo, en su caso, los estudios de impacto urbano y ambiental, según corresponda; </w:t>
      </w:r>
    </w:p>
    <w:p w:rsidR="006312C6" w:rsidRDefault="00FC100D">
      <w:pPr>
        <w:spacing w:after="0" w:line="276" w:lineRule="auto"/>
        <w:ind w:left="567" w:right="56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9) Los informes de avance sobre las obras o servicios contratados;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10) El convenio de terminación; y </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11) El finiquito.</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spacing w:after="0" w:line="276" w:lineRule="auto"/>
        <w:ind w:left="567" w:right="5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XXXVI. Padrón de proveedores y contratistas;</w:t>
      </w:r>
      <w:r>
        <w:rPr>
          <w:rFonts w:ascii="Palatino Linotype" w:eastAsia="Palatino Linotype" w:hAnsi="Palatino Linotype" w:cs="Palatino Linotype"/>
          <w:b/>
          <w:bCs/>
          <w:i/>
          <w:iCs/>
          <w:sz w:val="24"/>
          <w:szCs w:val="24"/>
        </w:rPr>
        <w:br/>
      </w:r>
      <w:r>
        <w:rPr>
          <w:rFonts w:ascii="Palatino Linotype" w:eastAsia="Palatino Linotype" w:hAnsi="Palatino Linotype" w:cs="Palatino Linotype"/>
          <w:i/>
          <w:iCs/>
          <w:sz w:val="24"/>
          <w:szCs w:val="24"/>
        </w:rPr>
        <w:t>…</w:t>
      </w:r>
    </w:p>
    <w:p w:rsidR="006312C6" w:rsidRDefault="006312C6">
      <w:pPr>
        <w:spacing w:after="0" w:line="276" w:lineRule="auto"/>
        <w:ind w:left="567" w:right="560"/>
        <w:jc w:val="both"/>
        <w:rPr>
          <w:rFonts w:ascii="Palatino Linotype" w:eastAsia="Palatino Linotype" w:hAnsi="Palatino Linotype" w:cs="Palatino Linotype"/>
          <w:i/>
          <w:iCs/>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De lo anterior, se advierte que 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 xml:space="preserve">es competente para conocer, generar y administrar la información solicitada, toda vez que esta forma parte de las </w:t>
      </w:r>
      <w:r>
        <w:rPr>
          <w:rFonts w:ascii="Palatino Linotype" w:eastAsia="Palatino Linotype" w:hAnsi="Palatino Linotype" w:cs="Palatino Linotype"/>
          <w:sz w:val="24"/>
          <w:szCs w:val="24"/>
        </w:rPr>
        <w:lastRenderedPageBreak/>
        <w:t xml:space="preserve">atribuciones que tiene encomendadas, además de son obligaciones de transparencia, previstas en la Ley en la materia. </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Atento a lo anterior, resulta necesario referir que dentro de los contratos de los cuales se ordena su entrega, obra el costo, luego entonces, resulta dable únicamente ordenar los contratos, pues -se insiste- este obra dentro de los citados contratos.</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Ahora bien, por lo que hace al presupuesto asignado y al presupuesto ejercido, se refiere lo siguiente:</w:t>
      </w:r>
    </w:p>
    <w:p w:rsidR="006312C6" w:rsidRDefault="00FC100D">
      <w:pPr>
        <w:spacing w:after="0" w:line="276" w:lineRule="auto"/>
        <w:ind w:left="709" w:right="68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ORGÁNICA MUNICIPAL DEL ESTADO DE MÉXICO</w:t>
      </w:r>
    </w:p>
    <w:p w:rsidR="006312C6" w:rsidRDefault="00FC100D">
      <w:pPr>
        <w:spacing w:after="0" w:line="276" w:lineRule="auto"/>
        <w:ind w:left="709" w:right="68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TITULO IV Régimen Administrativo</w:t>
      </w:r>
    </w:p>
    <w:p w:rsidR="006312C6" w:rsidRDefault="00FC100D">
      <w:pPr>
        <w:spacing w:after="0" w:line="276" w:lineRule="auto"/>
        <w:ind w:left="709" w:right="68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CAPITULO PRIMERO </w:t>
      </w:r>
    </w:p>
    <w:p w:rsidR="006312C6" w:rsidRDefault="00FC100D">
      <w:pPr>
        <w:spacing w:after="0" w:line="276" w:lineRule="auto"/>
        <w:ind w:left="709" w:right="68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las Dependencias Administrativas</w:t>
      </w:r>
    </w:p>
    <w:p w:rsidR="006312C6" w:rsidRDefault="006312C6">
      <w:pPr>
        <w:spacing w:after="0" w:line="276" w:lineRule="auto"/>
        <w:ind w:left="709" w:right="680"/>
        <w:rPr>
          <w:rFonts w:ascii="Palatino Linotype" w:eastAsia="Palatino Linotype" w:hAnsi="Palatino Linotype" w:cs="Palatino Linotype"/>
          <w:i/>
          <w:iCs/>
        </w:rPr>
      </w:pPr>
    </w:p>
    <w:p w:rsidR="006312C6" w:rsidRDefault="00FC100D">
      <w:pPr>
        <w:spacing w:after="0" w:line="276" w:lineRule="auto"/>
        <w:ind w:left="709" w:right="680"/>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87.- Para el despacho, estudio y planeación de los diversos asuntos de la administración municipal, el ayuntamiento contará por lo menos con las siguientes Dependencias: </w:t>
      </w:r>
    </w:p>
    <w:p w:rsidR="006312C6" w:rsidRDefault="006312C6">
      <w:pPr>
        <w:spacing w:after="0" w:line="276" w:lineRule="auto"/>
        <w:ind w:left="709" w:right="680"/>
        <w:rPr>
          <w:rFonts w:ascii="Palatino Linotype" w:eastAsia="Palatino Linotype" w:hAnsi="Palatino Linotype" w:cs="Palatino Linotype"/>
          <w:i/>
          <w:iCs/>
        </w:rPr>
      </w:pPr>
    </w:p>
    <w:p w:rsidR="006312C6" w:rsidRDefault="00FC100D">
      <w:pPr>
        <w:spacing w:after="0" w:line="276" w:lineRule="auto"/>
        <w:ind w:left="709" w:right="680"/>
        <w:rPr>
          <w:rFonts w:ascii="Palatino Linotype" w:eastAsia="Palatino Linotype" w:hAnsi="Palatino Linotype" w:cs="Palatino Linotype"/>
          <w:i/>
          <w:iCs/>
        </w:rPr>
      </w:pPr>
      <w:r>
        <w:rPr>
          <w:rFonts w:ascii="Palatino Linotype" w:eastAsia="Palatino Linotype" w:hAnsi="Palatino Linotype" w:cs="Palatino Linotype"/>
          <w:i/>
          <w:iCs/>
        </w:rPr>
        <w:t>II. La tesorería municipal.</w:t>
      </w:r>
    </w:p>
    <w:p w:rsidR="006312C6" w:rsidRDefault="00FC100D">
      <w:pPr>
        <w:spacing w:after="0" w:line="276" w:lineRule="auto"/>
        <w:ind w:left="709" w:right="680"/>
        <w:rPr>
          <w:rFonts w:ascii="Palatino Linotype" w:eastAsia="Palatino Linotype" w:hAnsi="Palatino Linotype" w:cs="Palatino Linotype"/>
          <w:i/>
          <w:iCs/>
        </w:rPr>
      </w:pPr>
      <w:r>
        <w:rPr>
          <w:rFonts w:ascii="Palatino Linotype" w:eastAsia="Palatino Linotype" w:hAnsi="Palatino Linotype" w:cs="Palatino Linotype"/>
          <w:i/>
          <w:iCs/>
        </w:rPr>
        <w:t>(…)</w:t>
      </w:r>
    </w:p>
    <w:p w:rsidR="006312C6" w:rsidRDefault="006312C6">
      <w:pPr>
        <w:pBdr>
          <w:top w:val="nil"/>
          <w:left w:val="nil"/>
          <w:bottom w:val="nil"/>
          <w:right w:val="nil"/>
          <w:between w:val="nil"/>
        </w:pBdr>
        <w:ind w:left="567" w:right="616"/>
        <w:jc w:val="both"/>
        <w:rPr>
          <w:rFonts w:ascii="Palatino Linotype" w:eastAsia="Palatino Linotype" w:hAnsi="Palatino Linotype" w:cs="Palatino Linotype"/>
          <w:i/>
          <w:iCs/>
          <w:color w:val="000000"/>
        </w:rPr>
      </w:pPr>
    </w:p>
    <w:p w:rsidR="006312C6" w:rsidRDefault="00FC100D">
      <w:pPr>
        <w:pBdr>
          <w:top w:val="nil"/>
          <w:left w:val="nil"/>
          <w:bottom w:val="nil"/>
          <w:right w:val="nil"/>
          <w:between w:val="nil"/>
        </w:pBdr>
        <w:ind w:left="567" w:right="616"/>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CAPITULO SEGUNDO </w:t>
      </w:r>
    </w:p>
    <w:p w:rsidR="006312C6" w:rsidRDefault="00FC100D">
      <w:pPr>
        <w:pBdr>
          <w:top w:val="nil"/>
          <w:left w:val="nil"/>
          <w:bottom w:val="nil"/>
          <w:right w:val="nil"/>
          <w:between w:val="nil"/>
        </w:pBdr>
        <w:ind w:left="567" w:right="616"/>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De la Tesorería Municipal</w:t>
      </w:r>
    </w:p>
    <w:p w:rsidR="006312C6" w:rsidRDefault="006312C6">
      <w:pPr>
        <w:pBdr>
          <w:top w:val="nil"/>
          <w:left w:val="nil"/>
          <w:bottom w:val="nil"/>
          <w:right w:val="nil"/>
          <w:between w:val="nil"/>
        </w:pBdr>
        <w:ind w:left="567" w:right="616"/>
        <w:jc w:val="both"/>
        <w:rPr>
          <w:rFonts w:ascii="Palatino Linotype" w:eastAsia="Palatino Linotype" w:hAnsi="Palatino Linotype" w:cs="Palatino Linotype"/>
          <w:i/>
          <w:iCs/>
          <w:color w:val="000000"/>
        </w:rPr>
      </w:pPr>
    </w:p>
    <w:p w:rsidR="006312C6" w:rsidRDefault="00FC100D">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Artículo 93.- La tesorería municipal es el órgano encargado de la recaudación de los ingresos municipales y responsable de realizar las erogaciones que haga el ayuntamiento.</w:t>
      </w:r>
    </w:p>
    <w:p w:rsidR="006312C6" w:rsidRDefault="006312C6">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p>
    <w:p w:rsidR="006312C6" w:rsidRDefault="00FC100D">
      <w:pPr>
        <w:pBdr>
          <w:top w:val="nil"/>
          <w:left w:val="nil"/>
          <w:bottom w:val="nil"/>
          <w:right w:val="nil"/>
          <w:between w:val="nil"/>
        </w:pBdr>
        <w:ind w:left="567"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Artículo 95.-</w:t>
      </w:r>
      <w:r>
        <w:rPr>
          <w:rFonts w:ascii="Palatino Linotype" w:eastAsia="Palatino Linotype" w:hAnsi="Palatino Linotype" w:cs="Palatino Linotype"/>
          <w:i/>
          <w:iCs/>
          <w:color w:val="000000"/>
        </w:rPr>
        <w:t xml:space="preserve"> Son atribuciones del tesorero municipal: </w:t>
      </w:r>
    </w:p>
    <w:p w:rsidR="006312C6" w:rsidRDefault="006312C6">
      <w:pPr>
        <w:pBdr>
          <w:top w:val="nil"/>
          <w:left w:val="nil"/>
          <w:bottom w:val="nil"/>
          <w:right w:val="nil"/>
          <w:between w:val="nil"/>
        </w:pBdr>
        <w:ind w:left="567" w:right="616"/>
        <w:jc w:val="both"/>
        <w:rPr>
          <w:rFonts w:ascii="Palatino Linotype" w:eastAsia="Palatino Linotype" w:hAnsi="Palatino Linotype" w:cs="Palatino Linotype"/>
          <w:i/>
          <w:iCs/>
          <w:color w:val="000000"/>
        </w:rPr>
      </w:pPr>
    </w:p>
    <w:p w:rsidR="006312C6" w:rsidRDefault="00FC100D">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 Administrar la hacienda pública municipal, de conformidad con las disposiciones legales aplicables; </w:t>
      </w:r>
    </w:p>
    <w:p w:rsidR="006312C6" w:rsidRDefault="00FC100D">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w:t>
      </w:r>
    </w:p>
    <w:p w:rsidR="006312C6" w:rsidRDefault="00FC100D">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V. Proporcionar oportunamente al ayuntamiento todos los datos o informes que sean necesarios para la formulación del Presupuesto de Egresos Municipales, vigilando que se ajuste a las disposiciones de esta Ley y otros ordenamientos aplicables;</w:t>
      </w:r>
    </w:p>
    <w:p w:rsidR="006312C6" w:rsidRDefault="006312C6">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p>
    <w:p w:rsidR="006312C6" w:rsidRDefault="00FC100D">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IV. Llevar los registros contables, financieros y administrativos de los ingresos, egresos, e inventarios;</w:t>
      </w:r>
    </w:p>
    <w:p w:rsidR="006312C6" w:rsidRDefault="006312C6">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p>
    <w:p w:rsidR="006312C6" w:rsidRDefault="00FC100D">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w:t>
      </w:r>
    </w:p>
    <w:p w:rsidR="006312C6" w:rsidRDefault="006312C6">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p>
    <w:p w:rsidR="006312C6" w:rsidRDefault="00FC100D">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VI Bis. Proporcionar para la formulación del proyecto de Presupuesto de Egresos Municipales la información financiera relativa a la solución o en su caso, el pago de los litigios laborales;</w:t>
      </w:r>
    </w:p>
    <w:p w:rsidR="006312C6" w:rsidRDefault="006312C6">
      <w:pPr>
        <w:pBdr>
          <w:top w:val="nil"/>
          <w:left w:val="nil"/>
          <w:bottom w:val="nil"/>
          <w:right w:val="nil"/>
          <w:between w:val="nil"/>
        </w:pBdr>
        <w:ind w:left="567" w:right="616"/>
        <w:jc w:val="both"/>
        <w:rPr>
          <w:rFonts w:ascii="Palatino Linotype" w:eastAsia="Palatino Linotype" w:hAnsi="Palatino Linotype" w:cs="Palatino Linotype"/>
          <w:b/>
          <w:bCs/>
          <w:i/>
          <w:iCs/>
          <w:color w:val="000000"/>
        </w:rPr>
      </w:pPr>
    </w:p>
    <w:p w:rsidR="006312C6" w:rsidRDefault="00FC100D">
      <w:pPr>
        <w:pBdr>
          <w:top w:val="nil"/>
          <w:left w:val="nil"/>
          <w:bottom w:val="nil"/>
          <w:right w:val="nil"/>
          <w:between w:val="nil"/>
        </w:pBdr>
        <w:ind w:left="567"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6312C6" w:rsidRDefault="00FC100D">
      <w:pPr>
        <w:pBdr>
          <w:top w:val="nil"/>
          <w:left w:val="nil"/>
          <w:bottom w:val="nil"/>
          <w:right w:val="nil"/>
          <w:between w:val="nil"/>
        </w:pBdr>
        <w:ind w:left="567" w:right="616"/>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Manual de Organización de la Tesorería Municipal</w:t>
      </w:r>
    </w:p>
    <w:p w:rsidR="006312C6" w:rsidRDefault="006312C6">
      <w:pPr>
        <w:pBdr>
          <w:top w:val="nil"/>
          <w:left w:val="nil"/>
          <w:bottom w:val="nil"/>
          <w:right w:val="nil"/>
          <w:between w:val="nil"/>
        </w:pBdr>
        <w:ind w:left="567" w:right="616"/>
        <w:jc w:val="center"/>
        <w:rPr>
          <w:rFonts w:ascii="Palatino Linotype" w:eastAsia="Palatino Linotype" w:hAnsi="Palatino Linotype" w:cs="Palatino Linotype"/>
          <w:b/>
          <w:bCs/>
          <w:i/>
          <w:iCs/>
          <w:color w:val="000000"/>
        </w:rPr>
      </w:pPr>
    </w:p>
    <w:p w:rsidR="006312C6" w:rsidRDefault="00FC100D">
      <w:pPr>
        <w:spacing w:after="0" w:line="276" w:lineRule="auto"/>
        <w:ind w:left="709" w:right="680"/>
        <w:rPr>
          <w:rFonts w:ascii="Palatino Linotype" w:eastAsia="Palatino Linotype" w:hAnsi="Palatino Linotype" w:cs="Palatino Linotype"/>
          <w:b/>
          <w:bCs/>
          <w:i/>
          <w:iCs/>
        </w:rPr>
      </w:pPr>
      <w:r>
        <w:rPr>
          <w:rFonts w:ascii="Palatino Linotype" w:eastAsia="Palatino Linotype" w:hAnsi="Palatino Linotype" w:cs="Palatino Linotype"/>
          <w:b/>
          <w:bCs/>
          <w:i/>
          <w:iCs/>
        </w:rPr>
        <w:t>X.  OBJETIVO Y FUNCIONES DE LAS UNIDADES ADMINISTRATIVAS</w:t>
      </w:r>
    </w:p>
    <w:p w:rsidR="006312C6" w:rsidRDefault="00FC100D">
      <w:pPr>
        <w:spacing w:after="0" w:line="276" w:lineRule="auto"/>
        <w:ind w:left="709" w:right="680"/>
        <w:rPr>
          <w:rFonts w:ascii="Palatino Linotype" w:eastAsia="Palatino Linotype" w:hAnsi="Palatino Linotype" w:cs="Palatino Linotype"/>
          <w:b/>
          <w:bCs/>
          <w:i/>
          <w:iCs/>
        </w:rPr>
      </w:pPr>
      <w:r>
        <w:rPr>
          <w:rFonts w:ascii="Palatino Linotype" w:eastAsia="Palatino Linotype" w:hAnsi="Palatino Linotype" w:cs="Palatino Linotype"/>
          <w:b/>
          <w:bCs/>
          <w:i/>
          <w:iCs/>
        </w:rPr>
        <w:t>202010000 Tesorería Municipal</w:t>
      </w:r>
    </w:p>
    <w:p w:rsidR="006312C6" w:rsidRDefault="006312C6">
      <w:pPr>
        <w:spacing w:after="0" w:line="276" w:lineRule="auto"/>
        <w:ind w:left="709" w:right="680"/>
        <w:rPr>
          <w:rFonts w:ascii="Palatino Linotype" w:eastAsia="Palatino Linotype" w:hAnsi="Palatino Linotype" w:cs="Palatino Linotype"/>
          <w:b/>
          <w:bCs/>
          <w:i/>
          <w:iCs/>
        </w:rPr>
      </w:pPr>
    </w:p>
    <w:p w:rsidR="006312C6" w:rsidRDefault="00FC100D">
      <w:pPr>
        <w:spacing w:after="0" w:line="276" w:lineRule="auto"/>
        <w:ind w:left="709" w:right="680"/>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Objetivo: </w:t>
      </w:r>
      <w:r>
        <w:rPr>
          <w:rFonts w:ascii="Palatino Linotype" w:eastAsia="Palatino Linotype" w:hAnsi="Palatino Linotype" w:cs="Palatino Linotype"/>
          <w:i/>
          <w:iCs/>
        </w:rPr>
        <w:t>Recaudar, administrar, operar, registrar y glosar los recursos que componen la hacienda pública con la finalidad de mantener finanzas sanas y contar con la suficiencia económica para cumplir con las obligaciones, funciones y atribuciones del gobierno municipal de Toluca.</w:t>
      </w:r>
    </w:p>
    <w:p w:rsidR="006312C6" w:rsidRDefault="00FC100D">
      <w:pPr>
        <w:spacing w:after="0" w:line="276" w:lineRule="auto"/>
        <w:ind w:left="709" w:right="68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Funciones:</w:t>
      </w:r>
    </w:p>
    <w:p w:rsidR="006312C6" w:rsidRDefault="006312C6">
      <w:pPr>
        <w:spacing w:after="0" w:line="276" w:lineRule="auto"/>
        <w:ind w:left="709" w:right="680"/>
        <w:jc w:val="both"/>
        <w:rPr>
          <w:rFonts w:ascii="Palatino Linotype" w:eastAsia="Palatino Linotype" w:hAnsi="Palatino Linotype" w:cs="Palatino Linotype"/>
          <w:b/>
          <w:bCs/>
          <w:i/>
          <w:iCs/>
        </w:rPr>
      </w:pPr>
    </w:p>
    <w:p w:rsidR="006312C6" w:rsidRDefault="00FC100D">
      <w:pPr>
        <w:spacing w:after="0" w:line="276" w:lineRule="auto"/>
        <w:ind w:left="709" w:right="680"/>
        <w:jc w:val="both"/>
        <w:rPr>
          <w:rFonts w:ascii="Palatino Linotype" w:eastAsia="Palatino Linotype" w:hAnsi="Palatino Linotype" w:cs="Palatino Linotype"/>
          <w:i/>
          <w:iCs/>
        </w:rPr>
      </w:pPr>
      <w:r>
        <w:rPr>
          <w:rFonts w:ascii="Palatino Linotype" w:eastAsia="Palatino Linotype" w:hAnsi="Palatino Linotype" w:cs="Palatino Linotype"/>
          <w:i/>
          <w:iCs/>
        </w:rPr>
        <w:t>22. Elaborar, integrar y poner a consideración del Ayuntamiento, conjuntamente con la Coordinación de Planeación los proyectos de presupuesto de ingresos y egresos del municipio;</w:t>
      </w:r>
    </w:p>
    <w:p w:rsidR="006312C6" w:rsidRDefault="006312C6">
      <w:pPr>
        <w:spacing w:after="0" w:line="276" w:lineRule="auto"/>
        <w:ind w:left="709" w:right="680"/>
        <w:jc w:val="both"/>
        <w:rPr>
          <w:rFonts w:ascii="Palatino Linotype" w:eastAsia="Palatino Linotype" w:hAnsi="Palatino Linotype" w:cs="Palatino Linotype"/>
          <w:i/>
          <w:iCs/>
        </w:rPr>
      </w:pPr>
    </w:p>
    <w:p w:rsidR="006312C6" w:rsidRDefault="00FC100D">
      <w:pPr>
        <w:spacing w:after="0" w:line="276" w:lineRule="auto"/>
        <w:ind w:left="709" w:right="68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202013005 Departamento de Control de Ingresos</w:t>
      </w:r>
    </w:p>
    <w:p w:rsidR="006312C6" w:rsidRDefault="006312C6">
      <w:pPr>
        <w:spacing w:after="0" w:line="276" w:lineRule="auto"/>
        <w:ind w:left="709" w:right="-518"/>
        <w:jc w:val="both"/>
        <w:rPr>
          <w:rFonts w:ascii="Palatino Linotype" w:eastAsia="Palatino Linotype" w:hAnsi="Palatino Linotype" w:cs="Palatino Linotype"/>
          <w:b/>
          <w:bCs/>
          <w:i/>
          <w:iCs/>
        </w:rPr>
      </w:pPr>
    </w:p>
    <w:p w:rsidR="006312C6" w:rsidRDefault="00FC100D">
      <w:pPr>
        <w:spacing w:after="0" w:line="276" w:lineRule="auto"/>
        <w:ind w:left="709" w:right="680"/>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Objetivo: </w:t>
      </w:r>
      <w:r>
        <w:rPr>
          <w:rFonts w:ascii="Palatino Linotype" w:eastAsia="Palatino Linotype" w:hAnsi="Palatino Linotype" w:cs="Palatino Linotype"/>
          <w:i/>
          <w:iCs/>
        </w:rPr>
        <w:t>Controlar, supervisar y reportar la cifra de ingresos recaudada en el municipio, obtenidos por obligaciones hacendarias, impuestos, derechos, aprovechamientos y demás ingresos municipales.</w:t>
      </w:r>
    </w:p>
    <w:p w:rsidR="006312C6" w:rsidRDefault="006312C6">
      <w:pPr>
        <w:spacing w:after="0" w:line="276" w:lineRule="auto"/>
        <w:ind w:left="709" w:right="680"/>
        <w:jc w:val="both"/>
        <w:rPr>
          <w:rFonts w:ascii="Palatino Linotype" w:eastAsia="Palatino Linotype" w:hAnsi="Palatino Linotype" w:cs="Palatino Linotype"/>
          <w:b/>
          <w:bCs/>
          <w:i/>
          <w:iCs/>
        </w:rPr>
      </w:pPr>
    </w:p>
    <w:p w:rsidR="006312C6" w:rsidRDefault="00FC100D">
      <w:pPr>
        <w:spacing w:after="0" w:line="276" w:lineRule="auto"/>
        <w:ind w:left="709" w:right="68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Funciones:</w:t>
      </w:r>
    </w:p>
    <w:p w:rsidR="006312C6" w:rsidRDefault="006312C6">
      <w:pPr>
        <w:spacing w:after="0" w:line="276" w:lineRule="auto"/>
        <w:ind w:left="709" w:right="680"/>
        <w:jc w:val="both"/>
        <w:rPr>
          <w:rFonts w:ascii="Palatino Linotype" w:eastAsia="Palatino Linotype" w:hAnsi="Palatino Linotype" w:cs="Palatino Linotype"/>
          <w:b/>
          <w:bCs/>
          <w:i/>
          <w:iCs/>
        </w:rPr>
      </w:pPr>
    </w:p>
    <w:p w:rsidR="006312C6" w:rsidRDefault="00FC100D">
      <w:pPr>
        <w:spacing w:after="0" w:line="276" w:lineRule="auto"/>
        <w:ind w:left="709" w:right="68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i/>
          <w:iCs/>
        </w:rPr>
        <w:t>Documentar, integrar, elaborar y presentar de manera anual el Proyecto de Presupuesto de Ingresos;</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sz w:val="24"/>
          <w:szCs w:val="24"/>
        </w:rPr>
        <w:t xml:space="preserve">En atención a lo anterior, </w:t>
      </w:r>
      <w:r>
        <w:rPr>
          <w:rFonts w:ascii="Palatino Linotype" w:eastAsia="Palatino Linotype" w:hAnsi="Palatino Linotype" w:cs="Palatino Linotype"/>
          <w:color w:val="000000"/>
          <w:sz w:val="24"/>
          <w:szCs w:val="24"/>
        </w:rPr>
        <w:t xml:space="preserve">es importante destacar que </w:t>
      </w:r>
      <w:r>
        <w:rPr>
          <w:rFonts w:ascii="Palatino Linotype" w:eastAsia="Palatino Linotype" w:hAnsi="Palatino Linotype" w:cs="Palatino Linotype"/>
          <w:sz w:val="24"/>
          <w:szCs w:val="24"/>
        </w:rPr>
        <w:t>Manual para la Planeación, Programación y Presupuesto de Egresos Municipal para el ejercicio fiscal de 2022</w:t>
      </w:r>
      <w:r>
        <w:rPr>
          <w:rFonts w:ascii="Palatino Linotype" w:eastAsia="Palatino Linotype" w:hAnsi="Palatino Linotype" w:cs="Palatino Linotype"/>
          <w:sz w:val="24"/>
          <w:szCs w:val="24"/>
          <w:vertAlign w:val="superscript"/>
        </w:rPr>
        <w:footnoteReference w:id="1"/>
      </w:r>
      <w:r>
        <w:rPr>
          <w:rFonts w:ascii="Palatino Linotype" w:eastAsia="Palatino Linotype" w:hAnsi="Palatino Linotype" w:cs="Palatino Linotype"/>
          <w:sz w:val="24"/>
          <w:szCs w:val="24"/>
        </w:rPr>
        <w:t>, define al presupuesto municipal de acuerdo con lo establecido en el artículo 285 del Código Financiero del Estado de México y Municipios, como 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durante el ejercicio fiscal correspondiente.</w:t>
      </w:r>
    </w:p>
    <w:p w:rsidR="006312C6" w:rsidRDefault="006312C6">
      <w:pPr>
        <w:spacing w:line="360" w:lineRule="auto"/>
        <w:ind w:right="49"/>
        <w:jc w:val="both"/>
        <w:rPr>
          <w:rFonts w:ascii="Palatino Linotype" w:eastAsia="Palatino Linotype" w:hAnsi="Palatino Linotype" w:cs="Palatino Linotype"/>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Para las administraciones municipales, el Presupuesto basado en Resultados (PbR), es un instrumento que permite mediante el proceso de evaluación, apoyar las decisiones presupuestarias con información sustantiva de los resultados de la aplicación de los recursos públicos, incorporando los principales hallazgos al proceso de programación, del ejercicio fiscal subsecuente a la evaluación, permitiendo establecer compromisos a fin de optimizar la calidad del gasto público.</w:t>
      </w:r>
    </w:p>
    <w:p w:rsidR="006312C6" w:rsidRDefault="006312C6">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Con base en lo anterior el Clasificador por objeto del gasto para el ejercicio fiscal 2020, es el que se estableció en cumplimiento al artículo cuarto transitorio de la Ley General de Contabilidad Gubernamental, el Gobierno del Estado de México, ya que realiza las acciones pertinentes para armonizar los sistemas contables de las dependencias, los poderes Legislativo y Judicial; las entidades públicas, los órganos autónomos y los municipios de la entidad, </w:t>
      </w:r>
      <w:r>
        <w:rPr>
          <w:rFonts w:ascii="Palatino Linotype" w:eastAsia="Palatino Linotype" w:hAnsi="Palatino Linotype" w:cs="Palatino Linotype"/>
          <w:b/>
          <w:bCs/>
          <w:sz w:val="24"/>
          <w:szCs w:val="24"/>
        </w:rPr>
        <w:t>para que éstos cuenten con un catálogo de partidas presupuestarias que se alinean al Clasificador por Objeto del Gasto autorizado por el CONAC</w:t>
      </w:r>
      <w:r>
        <w:rPr>
          <w:rFonts w:ascii="Palatino Linotype" w:eastAsia="Palatino Linotype" w:hAnsi="Palatino Linotype" w:cs="Palatino Linotype"/>
          <w:sz w:val="24"/>
          <w:szCs w:val="24"/>
        </w:rPr>
        <w:t xml:space="preserve"> en la reunión celebrada el 28 de mayo del 2010 y que fue publicado en Gaceta del Gobierno del estado de México No. 118 del 23 de junio de 2010, el cual se integra por Capítulo, Concepto y Partida Genérica.</w:t>
      </w:r>
    </w:p>
    <w:p w:rsidR="006312C6" w:rsidRDefault="006312C6">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Así, al ser un instrumento que permite la obtención de información para el análisis y seguimiento de la gestión financiera gubernamental, es considerado la clasificación operativa que permite conocer en qué se gasta, (base del registro de las transacciones económico – financieras) y a su vez permite cuantificar la demanda de bienes y servicios que realiza el Sector Público; teniendo como objetivos principales los siguientes:</w:t>
      </w:r>
    </w:p>
    <w:p w:rsidR="006312C6" w:rsidRDefault="00FC100D">
      <w:pPr>
        <w:numPr>
          <w:ilvl w:val="0"/>
          <w:numId w:val="6"/>
        </w:numPr>
        <w:pBdr>
          <w:top w:val="nil"/>
          <w:left w:val="nil"/>
          <w:bottom w:val="nil"/>
          <w:right w:val="nil"/>
          <w:between w:val="nil"/>
        </w:pBdr>
        <w:spacing w:after="0" w:line="240" w:lineRule="auto"/>
        <w:ind w:right="539" w:hanging="15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Ofrecer información valiosa de la demanda de bienes y servicios que realiza el Sector Público.</w:t>
      </w:r>
    </w:p>
    <w:p w:rsidR="006312C6" w:rsidRDefault="00FC100D">
      <w:pPr>
        <w:numPr>
          <w:ilvl w:val="0"/>
          <w:numId w:val="6"/>
        </w:numPr>
        <w:pBdr>
          <w:top w:val="nil"/>
          <w:left w:val="nil"/>
          <w:bottom w:val="nil"/>
          <w:right w:val="nil"/>
          <w:between w:val="nil"/>
        </w:pBdr>
        <w:spacing w:after="0" w:line="240" w:lineRule="auto"/>
        <w:ind w:right="539" w:hanging="15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Permite identificar con claridad y transparencia los bienes y servicios que se adquieren, las transferencias que se realizan y las aplicaciones previstas en el presupuesto.</w:t>
      </w:r>
    </w:p>
    <w:p w:rsidR="006312C6" w:rsidRDefault="00FC100D">
      <w:pPr>
        <w:numPr>
          <w:ilvl w:val="0"/>
          <w:numId w:val="6"/>
        </w:numPr>
        <w:pBdr>
          <w:top w:val="nil"/>
          <w:left w:val="nil"/>
          <w:bottom w:val="nil"/>
          <w:right w:val="nil"/>
          <w:between w:val="nil"/>
        </w:pBdr>
        <w:spacing w:after="0" w:line="240" w:lineRule="auto"/>
        <w:ind w:right="539" w:hanging="15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Facilitar la programación de las adquisiciones de bienes y servicios y otras acciones relacionadas con administración de bienes del Estado.</w:t>
      </w:r>
    </w:p>
    <w:p w:rsidR="006312C6" w:rsidRDefault="00FC100D">
      <w:pPr>
        <w:numPr>
          <w:ilvl w:val="0"/>
          <w:numId w:val="6"/>
        </w:numPr>
        <w:pBdr>
          <w:top w:val="nil"/>
          <w:left w:val="nil"/>
          <w:bottom w:val="nil"/>
          <w:right w:val="nil"/>
          <w:between w:val="nil"/>
        </w:pBdr>
        <w:spacing w:after="0" w:line="240" w:lineRule="auto"/>
        <w:ind w:right="539" w:hanging="15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En el marco del sistema de cuentas gubernamentales, integradas e interrelacionadas, el Clasificador por Objeto del Gasto es uno de los principales elementos para obtener clasificaciones agregadas.</w:t>
      </w:r>
    </w:p>
    <w:p w:rsidR="006312C6" w:rsidRDefault="00FC100D">
      <w:pPr>
        <w:numPr>
          <w:ilvl w:val="0"/>
          <w:numId w:val="6"/>
        </w:numPr>
        <w:pBdr>
          <w:top w:val="nil"/>
          <w:left w:val="nil"/>
          <w:bottom w:val="nil"/>
          <w:right w:val="nil"/>
          <w:between w:val="nil"/>
        </w:pBdr>
        <w:spacing w:after="0" w:line="240" w:lineRule="auto"/>
        <w:ind w:right="539" w:hanging="15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Facilitar el ejercicio del control interno y externo de las transacciones de los entes públicos.</w:t>
      </w:r>
    </w:p>
    <w:p w:rsidR="006312C6" w:rsidRDefault="00FC100D">
      <w:pPr>
        <w:numPr>
          <w:ilvl w:val="0"/>
          <w:numId w:val="6"/>
        </w:numPr>
        <w:pBdr>
          <w:top w:val="nil"/>
          <w:left w:val="nil"/>
          <w:bottom w:val="nil"/>
          <w:right w:val="nil"/>
          <w:between w:val="nil"/>
        </w:pBdr>
        <w:spacing w:after="0" w:line="240" w:lineRule="auto"/>
        <w:ind w:right="539" w:hanging="15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Promover el desarrollo y aplicación de los sistemas de programación y gestión del gasto público.</w:t>
      </w:r>
    </w:p>
    <w:p w:rsidR="006312C6" w:rsidRDefault="00FC100D">
      <w:pPr>
        <w:numPr>
          <w:ilvl w:val="0"/>
          <w:numId w:val="6"/>
        </w:numPr>
        <w:pBdr>
          <w:top w:val="nil"/>
          <w:left w:val="nil"/>
          <w:bottom w:val="nil"/>
          <w:right w:val="nil"/>
          <w:between w:val="nil"/>
        </w:pBdr>
        <w:spacing w:after="0" w:line="240" w:lineRule="auto"/>
        <w:ind w:right="539" w:hanging="15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Permitir el análisis de los efectos del gasto público y la proyección del mismo.</w:t>
      </w:r>
    </w:p>
    <w:p w:rsidR="006312C6" w:rsidRDefault="006312C6">
      <w:pPr>
        <w:pBdr>
          <w:top w:val="nil"/>
          <w:left w:val="nil"/>
          <w:bottom w:val="nil"/>
          <w:right w:val="nil"/>
          <w:between w:val="nil"/>
        </w:pBdr>
        <w:spacing w:after="240" w:line="360" w:lineRule="auto"/>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Entonces, la estructura del Clasificador por Objeto del Gasto se diseñó con un nivel de desagregación que permite que sus cuentas faciliten el registro único de todas las transacciones con incidencia económica – financiera es por ello que la armonización se realiza a tercer dígito que corresponde a la partida genérica, dejando en poder de las entidades federativas, la desagregación e identificación de la partida específica, dando origen a la siguiente estructura:</w:t>
      </w:r>
    </w:p>
    <w:p w:rsidR="00DA11F7" w:rsidRDefault="00DA11F7" w:rsidP="00DA11F7">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DA11F7" w:rsidRDefault="00DA11F7" w:rsidP="00DA11F7">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6312C6" w:rsidRDefault="00FC100D">
      <w:pPr>
        <w:pBdr>
          <w:top w:val="nil"/>
          <w:left w:val="nil"/>
          <w:bottom w:val="nil"/>
          <w:right w:val="nil"/>
          <w:between w:val="nil"/>
        </w:pBdr>
        <w:spacing w:line="360" w:lineRule="auto"/>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noProof/>
          <w:color w:val="000000"/>
          <w:sz w:val="24"/>
          <w:szCs w:val="24"/>
        </w:rPr>
        <w:drawing>
          <wp:inline distT="0" distB="0" distL="0" distR="0">
            <wp:extent cx="5000776" cy="931517"/>
            <wp:effectExtent l="0" t="0" r="0" b="0"/>
            <wp:docPr id="14325137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19440" t="43798" r="20464" b="36291"/>
                    <a:stretch>
                      <a:fillRect/>
                    </a:stretch>
                  </pic:blipFill>
                  <pic:spPr>
                    <a:xfrm>
                      <a:off x="0" y="0"/>
                      <a:ext cx="5000776" cy="931517"/>
                    </a:xfrm>
                    <a:prstGeom prst="rect">
                      <a:avLst/>
                    </a:prstGeom>
                    <a:ln/>
                  </pic:spPr>
                </pic:pic>
              </a:graphicData>
            </a:graphic>
          </wp:inline>
        </w:drawing>
      </w:r>
    </w:p>
    <w:p w:rsidR="006312C6" w:rsidRDefault="006312C6">
      <w:pPr>
        <w:pBdr>
          <w:top w:val="nil"/>
          <w:left w:val="nil"/>
          <w:bottom w:val="nil"/>
          <w:right w:val="nil"/>
          <w:between w:val="nil"/>
        </w:pBdr>
        <w:spacing w:after="240" w:line="360" w:lineRule="auto"/>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Debiendo definir cada una de las partes que lo integran como sigue:</w:t>
      </w:r>
    </w:p>
    <w:p w:rsidR="006312C6" w:rsidRDefault="00FC100D">
      <w:pPr>
        <w:numPr>
          <w:ilvl w:val="0"/>
          <w:numId w:val="5"/>
        </w:numPr>
        <w:pBdr>
          <w:top w:val="nil"/>
          <w:left w:val="nil"/>
          <w:bottom w:val="nil"/>
          <w:right w:val="nil"/>
          <w:between w:val="nil"/>
        </w:pBdr>
        <w:spacing w:after="0" w:line="240" w:lineRule="auto"/>
        <w:ind w:right="110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Capítulo:</w:t>
      </w:r>
      <w:r>
        <w:rPr>
          <w:rFonts w:ascii="Palatino Linotype" w:eastAsia="Palatino Linotype" w:hAnsi="Palatino Linotype" w:cs="Palatino Linotype"/>
          <w:color w:val="000000"/>
          <w:sz w:val="24"/>
          <w:szCs w:val="24"/>
        </w:rPr>
        <w:t xml:space="preserve"> Es el mayor nivel de agregación que identifica el conjunto homogéneo y ordenado de los bienes y servicios requeridos por los entes públicos.</w:t>
      </w:r>
    </w:p>
    <w:p w:rsidR="006312C6" w:rsidRDefault="00FC100D">
      <w:pPr>
        <w:numPr>
          <w:ilvl w:val="0"/>
          <w:numId w:val="5"/>
        </w:numPr>
        <w:pBdr>
          <w:top w:val="nil"/>
          <w:left w:val="nil"/>
          <w:bottom w:val="nil"/>
          <w:right w:val="nil"/>
          <w:between w:val="nil"/>
        </w:pBdr>
        <w:spacing w:after="0" w:line="240" w:lineRule="auto"/>
        <w:ind w:right="110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Concepto:</w:t>
      </w:r>
      <w:r>
        <w:rPr>
          <w:rFonts w:ascii="Palatino Linotype" w:eastAsia="Palatino Linotype" w:hAnsi="Palatino Linotype" w:cs="Palatino Linotype"/>
          <w:color w:val="000000"/>
          <w:sz w:val="24"/>
          <w:szCs w:val="24"/>
        </w:rPr>
        <w:t xml:space="preserve"> Son subconjuntos homogéneos y ordenados en forma específica, producto de la desagregación de los bienes y servicios, incluidos en cada capítulo. Partida: Es el nivel de agregación más específico en el cual se describen las expresiones concretas y detalladas de los bienes y servicios que se adquieren y se compone de: </w:t>
      </w:r>
    </w:p>
    <w:p w:rsidR="006312C6" w:rsidRDefault="00FC100D">
      <w:pPr>
        <w:pBdr>
          <w:top w:val="nil"/>
          <w:left w:val="nil"/>
          <w:bottom w:val="nil"/>
          <w:right w:val="nil"/>
          <w:between w:val="nil"/>
        </w:pBdr>
        <w:ind w:left="720" w:right="110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a) La Partida Genérica</w:t>
      </w:r>
      <w:r>
        <w:rPr>
          <w:rFonts w:ascii="Palatino Linotype" w:eastAsia="Palatino Linotype" w:hAnsi="Palatino Linotype" w:cs="Palatino Linotype"/>
          <w:color w:val="000000"/>
          <w:sz w:val="24"/>
          <w:szCs w:val="24"/>
        </w:rPr>
        <w:t xml:space="preserve"> se refiere al tercer dígito, el cual logrará la armonización </w:t>
      </w:r>
      <w:r>
        <w:rPr>
          <w:rFonts w:ascii="Palatino Linotype" w:eastAsia="Palatino Linotype" w:hAnsi="Palatino Linotype" w:cs="Palatino Linotype"/>
          <w:sz w:val="24"/>
          <w:szCs w:val="24"/>
        </w:rPr>
        <w:t>de todos</w:t>
      </w:r>
      <w:r>
        <w:rPr>
          <w:rFonts w:ascii="Palatino Linotype" w:eastAsia="Palatino Linotype" w:hAnsi="Palatino Linotype" w:cs="Palatino Linotype"/>
          <w:color w:val="000000"/>
          <w:sz w:val="24"/>
          <w:szCs w:val="24"/>
        </w:rPr>
        <w:t xml:space="preserve"> los niveles de gobierno. </w:t>
      </w:r>
    </w:p>
    <w:p w:rsidR="006312C6" w:rsidRDefault="00FC100D">
      <w:pPr>
        <w:pBdr>
          <w:top w:val="nil"/>
          <w:left w:val="nil"/>
          <w:bottom w:val="nil"/>
          <w:right w:val="nil"/>
          <w:between w:val="nil"/>
        </w:pBdr>
        <w:ind w:left="720" w:right="110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b) La Partida Específica</w:t>
      </w:r>
      <w:r>
        <w:rPr>
          <w:rFonts w:ascii="Palatino Linotype" w:eastAsia="Palatino Linotype" w:hAnsi="Palatino Linotype" w:cs="Palatino Linotype"/>
          <w:color w:val="000000"/>
          <w:sz w:val="24"/>
          <w:szCs w:val="24"/>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concepto y partida genérica), con el fin de mantener la armonización con el Plan de Cuenta.</w:t>
      </w:r>
    </w:p>
    <w:p w:rsidR="006312C6" w:rsidRDefault="006312C6">
      <w:pPr>
        <w:pBdr>
          <w:top w:val="nil"/>
          <w:left w:val="nil"/>
          <w:bottom w:val="nil"/>
          <w:right w:val="nil"/>
          <w:between w:val="nil"/>
        </w:pBdr>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Al respecto de lo anterior, resultan aplicables los artículos 342, 343, 344 y 345 del Código Financiero del Estado de México y Municipios, que disponen el sistema y las políticas que deben seguirse para llevar el registro contable y presupuestal de las operaciones financieras, en los siguientes términos:</w:t>
      </w:r>
    </w:p>
    <w:p w:rsidR="006312C6" w:rsidRDefault="00FC100D">
      <w:pPr>
        <w:spacing w:before="240" w:after="240" w:line="276" w:lineRule="auto"/>
        <w:ind w:left="708"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r>
        <w:rPr>
          <w:rFonts w:ascii="Palatino Linotype" w:eastAsia="Palatino Linotype" w:hAnsi="Palatino Linotype" w:cs="Palatino Linotype"/>
          <w:b/>
          <w:bCs/>
          <w:i/>
          <w:iCs/>
          <w:sz w:val="24"/>
          <w:szCs w:val="24"/>
        </w:rPr>
        <w:t>Artículo 342</w:t>
      </w:r>
      <w:r>
        <w:rPr>
          <w:rFonts w:ascii="Palatino Linotype" w:eastAsia="Palatino Linotype" w:hAnsi="Palatino Linotype" w:cs="Palatino Linotype"/>
          <w:i/>
          <w:iCs/>
          <w:sz w:val="24"/>
          <w:szCs w:val="24"/>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rsidR="006312C6" w:rsidRDefault="00FC100D">
      <w:pPr>
        <w:spacing w:before="240" w:after="240" w:line="276" w:lineRule="auto"/>
        <w:ind w:left="708"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spacing w:before="240" w:after="240" w:line="276" w:lineRule="auto"/>
        <w:ind w:left="708"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lastRenderedPageBreak/>
        <w:t>Artículo 343</w:t>
      </w:r>
      <w:r>
        <w:rPr>
          <w:rFonts w:ascii="Palatino Linotype" w:eastAsia="Palatino Linotype" w:hAnsi="Palatino Linotype" w:cs="Palatino Linotype"/>
          <w:i/>
          <w:iCs/>
          <w:sz w:val="24"/>
          <w:szCs w:val="24"/>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rsidR="006312C6" w:rsidRDefault="00FC100D">
      <w:pPr>
        <w:spacing w:before="240" w:after="240" w:line="276" w:lineRule="auto"/>
        <w:ind w:left="708"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El sistema de contabilidad sobre base acumulativa total se sustentará en los postulados básicos y el marco conceptual de la contabilidad gubernamental. </w:t>
      </w:r>
    </w:p>
    <w:p w:rsidR="006312C6" w:rsidRDefault="00FC100D">
      <w:pPr>
        <w:spacing w:before="240" w:after="240" w:line="276" w:lineRule="auto"/>
        <w:ind w:left="708"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344</w:t>
      </w:r>
      <w:r>
        <w:rPr>
          <w:rFonts w:ascii="Palatino Linotype" w:eastAsia="Palatino Linotype" w:hAnsi="Palatino Linotype" w:cs="Palatino Linotype"/>
          <w:i/>
          <w:iCs/>
          <w:sz w:val="24"/>
          <w:szCs w:val="24"/>
        </w:rPr>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w:t>
      </w:r>
      <w:r>
        <w:rPr>
          <w:rFonts w:ascii="Palatino Linotype" w:eastAsia="Palatino Linotype" w:hAnsi="Palatino Linotype" w:cs="Palatino Linotype"/>
          <w:i/>
          <w:iCs/>
          <w:sz w:val="24"/>
          <w:szCs w:val="24"/>
          <w:u w:val="single"/>
        </w:rPr>
        <w:t xml:space="preserve">en el caso de los Municipios se hará por la Tesorería. </w:t>
      </w:r>
    </w:p>
    <w:p w:rsidR="006312C6" w:rsidRDefault="00FC100D">
      <w:pPr>
        <w:spacing w:before="240" w:after="240" w:line="276" w:lineRule="auto"/>
        <w:ind w:left="708"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de Fiscalización del Estado de México y de los órganos de control interno, por un término de cinco años contados a partir del ejercicio presupuestal siguiente al que corresponda, en el caso de los municipios se hará por la Tesorería. </w:t>
      </w:r>
    </w:p>
    <w:p w:rsidR="006312C6" w:rsidRDefault="00FC100D">
      <w:pPr>
        <w:spacing w:before="240" w:after="240" w:line="276" w:lineRule="auto"/>
        <w:ind w:left="708"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spacing w:before="240" w:after="240" w:line="276" w:lineRule="auto"/>
        <w:ind w:left="708"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345</w:t>
      </w:r>
      <w:r>
        <w:rPr>
          <w:rFonts w:ascii="Palatino Linotype" w:eastAsia="Palatino Linotype" w:hAnsi="Palatino Linotype" w:cs="Palatino Linotype"/>
          <w:i/>
          <w:iCs/>
          <w:sz w:val="24"/>
          <w:szCs w:val="24"/>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rsidR="006312C6" w:rsidRDefault="00FC100D">
      <w:pPr>
        <w:spacing w:before="240" w:after="240" w:line="276" w:lineRule="auto"/>
        <w:ind w:left="708"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lastRenderedPageBreak/>
        <w:t xml:space="preserve">El plazo señalado en este artículo empezará a contar a partir de la publicación en el Periódico Oficial, del decreto correspondiente. “ (Sic) </w:t>
      </w:r>
    </w:p>
    <w:p w:rsidR="006312C6" w:rsidRDefault="006312C6">
      <w:pPr>
        <w:spacing w:before="240" w:after="240" w:line="276" w:lineRule="auto"/>
        <w:ind w:left="708" w:right="822"/>
        <w:jc w:val="both"/>
        <w:rPr>
          <w:rFonts w:ascii="Palatino Linotype" w:eastAsia="Palatino Linotype" w:hAnsi="Palatino Linotype" w:cs="Palatino Linotype"/>
          <w:i/>
          <w:iCs/>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De la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6312C6" w:rsidRDefault="006312C6">
      <w:pPr>
        <w:spacing w:line="360" w:lineRule="auto"/>
        <w:ind w:right="49"/>
        <w:jc w:val="both"/>
        <w:rPr>
          <w:rFonts w:ascii="Palatino Linotype" w:eastAsia="Palatino Linotype" w:hAnsi="Palatino Linotype" w:cs="Palatino Linotype"/>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Por otra parte, se establece que el sistema de contabilidad sobre base acumulativa total se sustentará en los principios de contabilidad gubernamental, señalando que todo registro contable y presupuestal deberá estar soportado con los documentos comprobatorios originales.</w:t>
      </w:r>
    </w:p>
    <w:p w:rsidR="006312C6" w:rsidRDefault="006312C6">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 </w:t>
      </w:r>
    </w:p>
    <w:p w:rsidR="006312C6" w:rsidRDefault="006312C6">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Por su parte el </w:t>
      </w:r>
      <w:r>
        <w:rPr>
          <w:rFonts w:ascii="Palatino Linotype" w:eastAsia="Palatino Linotype" w:hAnsi="Palatino Linotype" w:cs="Palatino Linotype"/>
          <w:b/>
          <w:bCs/>
          <w:sz w:val="24"/>
          <w:szCs w:val="24"/>
        </w:rPr>
        <w:t>Código Financiero del Estado de México</w:t>
      </w:r>
      <w:r>
        <w:rPr>
          <w:rFonts w:ascii="Palatino Linotype" w:eastAsia="Palatino Linotype" w:hAnsi="Palatino Linotype" w:cs="Palatino Linotype"/>
          <w:sz w:val="24"/>
          <w:szCs w:val="24"/>
        </w:rPr>
        <w:t xml:space="preserve"> prevé lo siguiente:</w:t>
      </w:r>
    </w:p>
    <w:p w:rsidR="006312C6" w:rsidRDefault="00FC100D">
      <w:pPr>
        <w:tabs>
          <w:tab w:val="left" w:pos="8647"/>
        </w:tabs>
        <w:spacing w:line="256" w:lineRule="auto"/>
        <w:ind w:left="851" w:right="85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r>
        <w:rPr>
          <w:rFonts w:ascii="Palatino Linotype" w:eastAsia="Palatino Linotype" w:hAnsi="Palatino Linotype" w:cs="Palatino Linotype"/>
          <w:b/>
          <w:bCs/>
          <w:i/>
          <w:iCs/>
          <w:sz w:val="24"/>
          <w:szCs w:val="24"/>
        </w:rPr>
        <w:t>Artículo 285</w:t>
      </w:r>
      <w:r>
        <w:rPr>
          <w:rFonts w:ascii="Palatino Linotype" w:eastAsia="Palatino Linotype" w:hAnsi="Palatino Linotype" w:cs="Palatino Linotype"/>
          <w:i/>
          <w:iCs/>
          <w:sz w:val="24"/>
          <w:szCs w:val="24"/>
        </w:rPr>
        <w:t xml:space="preserve">.- El Presupuesto de Egresos del Estado es el instrumento jurídico, de política económica y de política de gasto, que aprueba la Legislatura conforme a la iniciativa que presenta el Gobernador, en el cual se establece el ejercicio, control del gasto público evaluación del desempeño de los Entes Públicos, de acuerdo con su naturaleza jurídica y según corresponda, con base en los objetivos, parámetros e indicadores de desempeño y programas derivados </w:t>
      </w:r>
      <w:r>
        <w:rPr>
          <w:rFonts w:ascii="Palatino Linotype" w:eastAsia="Palatino Linotype" w:hAnsi="Palatino Linotype" w:cs="Palatino Linotype"/>
          <w:i/>
          <w:iCs/>
          <w:sz w:val="24"/>
          <w:szCs w:val="24"/>
        </w:rPr>
        <w:lastRenderedPageBreak/>
        <w:t>del Plan de Desarrollo del Estado de México, durante el ejercicio fiscal correspondiente y en apego a lo establecido en la legislación aplicable.</w:t>
      </w:r>
    </w:p>
    <w:p w:rsidR="006312C6" w:rsidRDefault="006312C6">
      <w:pPr>
        <w:tabs>
          <w:tab w:val="left" w:pos="8647"/>
        </w:tabs>
        <w:spacing w:line="256" w:lineRule="auto"/>
        <w:ind w:left="851" w:right="851"/>
        <w:jc w:val="both"/>
        <w:rPr>
          <w:rFonts w:ascii="Palatino Linotype" w:eastAsia="Palatino Linotype" w:hAnsi="Palatino Linotype" w:cs="Palatino Linotype"/>
          <w:i/>
          <w:iCs/>
          <w:sz w:val="24"/>
          <w:szCs w:val="24"/>
        </w:rPr>
      </w:pPr>
    </w:p>
    <w:p w:rsidR="006312C6" w:rsidRDefault="00FC100D">
      <w:pPr>
        <w:tabs>
          <w:tab w:val="left" w:pos="8647"/>
        </w:tabs>
        <w:spacing w:line="256" w:lineRule="auto"/>
        <w:ind w:left="851" w:right="85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El gasto total aprobado en el Presupuesto de Egresos, no podrá exceder al total de los ingresos autorizados en la Ley de Ingresos, de tal forma que contribuya a un balance presupuestario sostenible.</w:t>
      </w:r>
    </w:p>
    <w:p w:rsidR="006312C6" w:rsidRDefault="00FC100D">
      <w:pPr>
        <w:tabs>
          <w:tab w:val="left" w:pos="8647"/>
        </w:tabs>
        <w:spacing w:line="256" w:lineRule="auto"/>
        <w:ind w:left="851" w:right="85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6312C6">
      <w:pPr>
        <w:tabs>
          <w:tab w:val="left" w:pos="8647"/>
        </w:tabs>
        <w:spacing w:line="256" w:lineRule="auto"/>
        <w:ind w:right="851"/>
        <w:jc w:val="both"/>
        <w:rPr>
          <w:rFonts w:ascii="Palatino Linotype" w:eastAsia="Palatino Linotype" w:hAnsi="Palatino Linotype" w:cs="Palatino Linotype"/>
          <w:i/>
          <w:iCs/>
          <w:sz w:val="24"/>
          <w:szCs w:val="24"/>
        </w:rPr>
      </w:pPr>
    </w:p>
    <w:p w:rsidR="006312C6" w:rsidRDefault="00FC100D">
      <w:pPr>
        <w:tabs>
          <w:tab w:val="left" w:pos="709"/>
        </w:tabs>
        <w:spacing w:before="240" w:line="276" w:lineRule="auto"/>
        <w:ind w:left="851" w:right="7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r>
        <w:rPr>
          <w:rFonts w:ascii="Palatino Linotype" w:eastAsia="Palatino Linotype" w:hAnsi="Palatino Linotype" w:cs="Palatino Linotype"/>
          <w:b/>
          <w:bCs/>
          <w:i/>
          <w:iCs/>
          <w:sz w:val="24"/>
          <w:szCs w:val="24"/>
        </w:rPr>
        <w:t>Artículo 290</w:t>
      </w:r>
      <w:r>
        <w:rPr>
          <w:rFonts w:ascii="Palatino Linotype" w:eastAsia="Palatino Linotype" w:hAnsi="Palatino Linotype" w:cs="Palatino Linotype"/>
          <w:i/>
          <w:iCs/>
          <w:sz w:val="24"/>
          <w:szCs w:val="24"/>
        </w:rPr>
        <w:t>…</w:t>
      </w:r>
    </w:p>
    <w:p w:rsidR="006312C6" w:rsidRDefault="00FC100D">
      <w:pPr>
        <w:tabs>
          <w:tab w:val="left" w:pos="709"/>
        </w:tabs>
        <w:spacing w:before="240" w:line="276" w:lineRule="auto"/>
        <w:ind w:left="851" w:right="7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La Secretaría será la responsable de integrar y someter a consideración del Gobernador el </w:t>
      </w:r>
      <w:r>
        <w:rPr>
          <w:rFonts w:ascii="Palatino Linotype" w:eastAsia="Palatino Linotype" w:hAnsi="Palatino Linotype" w:cs="Palatino Linotype"/>
          <w:b/>
          <w:bCs/>
          <w:i/>
          <w:iCs/>
          <w:sz w:val="24"/>
          <w:szCs w:val="24"/>
        </w:rPr>
        <w:t>proyecto de Presupuesto de Egresos del Estado</w:t>
      </w:r>
      <w:r>
        <w:rPr>
          <w:rFonts w:ascii="Palatino Linotype" w:eastAsia="Palatino Linotype" w:hAnsi="Palatino Linotype" w:cs="Palatino Linotype"/>
          <w:i/>
          <w:iCs/>
          <w:sz w:val="24"/>
          <w:szCs w:val="24"/>
        </w:rPr>
        <w:t xml:space="preserve">, bajo los lineamientos y herramientas que ésta determine, considerando para su elaboración el marco de referencia para las finanzas públicas estatales y/o en los criterios generales de política económica emitidos por el Gobierno Federal, debiendo mantener la congruencia con el Plan de Desarrollo del Estado de México y de los diversos programas que se deriven de dichos instrumentos y </w:t>
      </w:r>
      <w:r>
        <w:rPr>
          <w:rFonts w:ascii="Palatino Linotype" w:eastAsia="Palatino Linotype" w:hAnsi="Palatino Linotype" w:cs="Palatino Linotype"/>
          <w:b/>
          <w:bCs/>
          <w:i/>
          <w:iCs/>
          <w:sz w:val="24"/>
          <w:szCs w:val="24"/>
        </w:rPr>
        <w:t xml:space="preserve">deberá ser armónico con las disposiciones de carácter contable establecidos en la Ley General de Contabilidad Gubernamental, así como a los preceptos del </w:t>
      </w:r>
      <w:r>
        <w:rPr>
          <w:rFonts w:ascii="Palatino Linotype" w:eastAsia="Palatino Linotype" w:hAnsi="Palatino Linotype" w:cs="Palatino Linotype"/>
          <w:b/>
          <w:bCs/>
          <w:i/>
          <w:iCs/>
          <w:sz w:val="24"/>
          <w:szCs w:val="24"/>
          <w:u w:val="single"/>
        </w:rPr>
        <w:t>Presupuesto basado en Resultados</w:t>
      </w:r>
      <w:r>
        <w:rPr>
          <w:rFonts w:ascii="Palatino Linotype" w:eastAsia="Palatino Linotype" w:hAnsi="Palatino Linotype" w:cs="Palatino Linotype"/>
          <w:i/>
          <w:iCs/>
          <w:sz w:val="24"/>
          <w:szCs w:val="24"/>
        </w:rPr>
        <w:t>, del Sistema de Evaluación del Desempeño, de transparencia y difusión de la información financiera que establecen las disposiciones normativas aplicables.</w:t>
      </w:r>
    </w:p>
    <w:p w:rsidR="006312C6" w:rsidRDefault="00FC100D">
      <w:pPr>
        <w:tabs>
          <w:tab w:val="left" w:pos="709"/>
        </w:tabs>
        <w:spacing w:before="240" w:line="276" w:lineRule="auto"/>
        <w:ind w:left="851" w:right="7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tabs>
          <w:tab w:val="left" w:pos="709"/>
        </w:tabs>
        <w:spacing w:before="240" w:line="276" w:lineRule="auto"/>
        <w:ind w:left="851" w:right="7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293</w:t>
      </w:r>
      <w:r>
        <w:rPr>
          <w:rFonts w:ascii="Palatino Linotype" w:eastAsia="Palatino Linotype" w:hAnsi="Palatino Linotype" w:cs="Palatino Linotype"/>
          <w:i/>
          <w:iCs/>
          <w:sz w:val="24"/>
          <w:szCs w:val="24"/>
        </w:rPr>
        <w:t xml:space="preserve">.- Los capítulos de gasto se </w:t>
      </w:r>
      <w:r>
        <w:rPr>
          <w:rFonts w:ascii="Palatino Linotype" w:eastAsia="Palatino Linotype" w:hAnsi="Palatino Linotype" w:cs="Palatino Linotype"/>
          <w:b/>
          <w:bCs/>
          <w:i/>
          <w:iCs/>
          <w:sz w:val="24"/>
          <w:szCs w:val="24"/>
        </w:rPr>
        <w:t>dividirán en concepto, partida genérica y partida específica, que representarán las autorizaciones específicas del presupuesto</w:t>
      </w:r>
      <w:r>
        <w:rPr>
          <w:rFonts w:ascii="Palatino Linotype" w:eastAsia="Palatino Linotype" w:hAnsi="Palatino Linotype" w:cs="Palatino Linotype"/>
          <w:i/>
          <w:iCs/>
          <w:sz w:val="24"/>
          <w:szCs w:val="24"/>
        </w:rPr>
        <w:t>, las cuales se encuentran contenidas en el clasificador por objeto de gasto que emita el Consejo Nacional de Armonización Contable y el Consejo de Armonización Contable del Estado de México.</w:t>
      </w:r>
    </w:p>
    <w:p w:rsidR="006312C6" w:rsidRDefault="00FC100D">
      <w:pPr>
        <w:tabs>
          <w:tab w:val="left" w:pos="709"/>
        </w:tabs>
        <w:spacing w:before="240" w:line="276" w:lineRule="auto"/>
        <w:ind w:left="851" w:right="76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lastRenderedPageBreak/>
        <w:t>…</w:t>
      </w:r>
    </w:p>
    <w:p w:rsidR="006312C6" w:rsidRDefault="006312C6">
      <w:pPr>
        <w:tabs>
          <w:tab w:val="left" w:pos="709"/>
        </w:tabs>
        <w:spacing w:before="240" w:line="276" w:lineRule="auto"/>
        <w:ind w:left="851" w:right="760"/>
        <w:jc w:val="both"/>
        <w:rPr>
          <w:rFonts w:ascii="Palatino Linotype" w:eastAsia="Palatino Linotype" w:hAnsi="Palatino Linotype" w:cs="Palatino Linotype"/>
          <w:i/>
          <w:iCs/>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De los preceptos en cita, se advierte que, el presupuesto es la estimación financiera anticipada, generalmente anual, de los egresos e ingresos del gobierno, necesario para cumplir con los propósitos de un programa determinado, el cual constituye un instrumento operativo básico para la ejecución de las decisiones de política, económica y de operación a nivel estatal, que, en el caso en concreto, debe estar basado en resultados (PbR).  </w:t>
      </w:r>
    </w:p>
    <w:p w:rsidR="006312C6" w:rsidRDefault="006312C6">
      <w:pPr>
        <w:spacing w:line="360" w:lineRule="auto"/>
        <w:ind w:right="49"/>
        <w:jc w:val="both"/>
        <w:rPr>
          <w:rFonts w:ascii="Palatino Linotype" w:eastAsia="Palatino Linotype" w:hAnsi="Palatino Linotype" w:cs="Palatino Linotype"/>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Determinado lo anterior, es procedente definir qué es el </w:t>
      </w:r>
      <w:r>
        <w:rPr>
          <w:rFonts w:ascii="Palatino Linotype" w:eastAsia="Palatino Linotype" w:hAnsi="Palatino Linotype" w:cs="Palatino Linotype"/>
          <w:i/>
          <w:iCs/>
          <w:sz w:val="24"/>
          <w:szCs w:val="24"/>
        </w:rPr>
        <w:t>“presupuesto ejercido”</w:t>
      </w:r>
      <w:r>
        <w:rPr>
          <w:rFonts w:ascii="Palatino Linotype" w:eastAsia="Palatino Linotype" w:hAnsi="Palatino Linotype" w:cs="Palatino Linotype"/>
          <w:sz w:val="24"/>
          <w:szCs w:val="24"/>
        </w:rPr>
        <w:t xml:space="preserve"> y el “</w:t>
      </w:r>
      <w:r>
        <w:rPr>
          <w:rFonts w:ascii="Palatino Linotype" w:eastAsia="Palatino Linotype" w:hAnsi="Palatino Linotype" w:cs="Palatino Linotype"/>
          <w:i/>
          <w:iCs/>
          <w:sz w:val="24"/>
          <w:szCs w:val="24"/>
        </w:rPr>
        <w:t>subejercicio del gasto”</w:t>
      </w:r>
      <w:r>
        <w:rPr>
          <w:rFonts w:ascii="Palatino Linotype" w:eastAsia="Palatino Linotype" w:hAnsi="Palatino Linotype" w:cs="Palatino Linotype"/>
          <w:sz w:val="24"/>
          <w:szCs w:val="24"/>
        </w:rPr>
        <w:t>, tal como lo define del Glosario de Términos más Usuales en la Administración Pública Federal de la Secretaría de Hacienda y Crédito Público de la forma siguiente:</w:t>
      </w:r>
    </w:p>
    <w:p w:rsidR="006312C6" w:rsidRDefault="00FC100D">
      <w:pPr>
        <w:spacing w:line="256" w:lineRule="auto"/>
        <w:ind w:left="851" w:right="851"/>
        <w:jc w:val="both"/>
        <w:rPr>
          <w:rFonts w:ascii="Palatino Linotype" w:eastAsia="Palatino Linotype" w:hAnsi="Palatino Linotype" w:cs="Palatino Linotype"/>
          <w:b/>
          <w:bCs/>
          <w:i/>
          <w:iCs/>
          <w:sz w:val="24"/>
          <w:szCs w:val="24"/>
        </w:rPr>
      </w:pPr>
      <w:bookmarkStart w:id="7" w:name="_heading=h.s28csj6idkmc" w:colFirst="0" w:colLast="0"/>
      <w:bookmarkEnd w:id="7"/>
      <w:r>
        <w:rPr>
          <w:rFonts w:ascii="Palatino Linotype" w:eastAsia="Palatino Linotype" w:hAnsi="Palatino Linotype" w:cs="Palatino Linotype"/>
          <w:b/>
          <w:bCs/>
          <w:i/>
          <w:iCs/>
          <w:sz w:val="24"/>
          <w:szCs w:val="24"/>
        </w:rPr>
        <w:t>“PRESUPUESTO EJERCIDO.</w:t>
      </w:r>
    </w:p>
    <w:p w:rsidR="006312C6" w:rsidRDefault="00FC100D">
      <w:pPr>
        <w:spacing w:line="256" w:lineRule="auto"/>
        <w:ind w:left="851" w:right="85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Importe de las erogaciones realizadas respaldado por los documentos comprobatorios (facturas, notas, nominas, etc.) presentados a la dependencia o entidad una vez autorizadas para su pago, con cargo al presupuesto autorizado.”</w:t>
      </w:r>
    </w:p>
    <w:p w:rsidR="006312C6" w:rsidRDefault="006312C6">
      <w:pPr>
        <w:spacing w:line="256" w:lineRule="auto"/>
        <w:ind w:left="851" w:right="851"/>
        <w:jc w:val="both"/>
        <w:rPr>
          <w:rFonts w:ascii="Palatino Linotype" w:eastAsia="Palatino Linotype" w:hAnsi="Palatino Linotype" w:cs="Palatino Linotype"/>
          <w:b/>
          <w:bCs/>
          <w:i/>
          <w:iCs/>
          <w:sz w:val="24"/>
          <w:szCs w:val="24"/>
        </w:rPr>
      </w:pPr>
    </w:p>
    <w:p w:rsidR="006312C6" w:rsidRDefault="00FC100D">
      <w:pPr>
        <w:spacing w:line="256" w:lineRule="auto"/>
        <w:ind w:left="851" w:right="851"/>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“SUBEJERCICIO</w:t>
      </w:r>
    </w:p>
    <w:p w:rsidR="006312C6" w:rsidRDefault="00FC100D">
      <w:pPr>
        <w:spacing w:line="256" w:lineRule="auto"/>
        <w:ind w:left="851" w:right="851"/>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Gasto realizado en menor cantidad en relación a su presupuesto original, independientemente de que el pago se realice dentro del año por el cual fue formulado este último, o en el siguiente.”</w:t>
      </w:r>
    </w:p>
    <w:p w:rsidR="006312C6" w:rsidRDefault="006312C6">
      <w:pPr>
        <w:rPr>
          <w:rFonts w:ascii="Palatino Linotype" w:eastAsia="Palatino Linotype" w:hAnsi="Palatino Linotype" w:cs="Palatino Linotype"/>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De los conceptos anteriores se aprecia que el presupuesto ejercido es el importe de las erogaciones autorizadas para su pago con cargo al presupuesto autorizado, mientras que el </w:t>
      </w:r>
      <w:r>
        <w:rPr>
          <w:rFonts w:ascii="Palatino Linotype" w:eastAsia="Palatino Linotype" w:hAnsi="Palatino Linotype" w:cs="Palatino Linotype"/>
          <w:sz w:val="24"/>
          <w:szCs w:val="24"/>
        </w:rPr>
        <w:lastRenderedPageBreak/>
        <w:t>subejercicio del gasto son gastos de menor cantidad, en relación con el presupuesto original, cuyo pago puede realizarse dentro del año formulado o en el siguiente.</w:t>
      </w:r>
    </w:p>
    <w:p w:rsidR="006312C6" w:rsidRDefault="006312C6">
      <w:pPr>
        <w:spacing w:line="360" w:lineRule="auto"/>
        <w:ind w:right="49"/>
        <w:jc w:val="both"/>
        <w:rPr>
          <w:rFonts w:ascii="Palatino Linotype" w:eastAsia="Palatino Linotype" w:hAnsi="Palatino Linotype" w:cs="Palatino Linotype"/>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Por cuanto a la integración  y contenido del presupuesto, los artículos 290, 292 y 293, del mismo ordenamiento Financiero, prevén  en lo sustancial que, el presupuesto de egresos se integrará con los recursos que se destinen a los poderes Ejecutivo, Legislativo y Judicial, a los organismos autónomos y a los municipios; los programas presupuestarios que lo integran deberán contener los resultados de la evaluación del desempeño en la aplicación del Gasto Público, así como su objetivo, indicadores de desempeño  y metas; también las previsiones del gasto </w:t>
      </w:r>
      <w:r>
        <w:rPr>
          <w:rFonts w:ascii="Palatino Linotype" w:eastAsia="Palatino Linotype" w:hAnsi="Palatino Linotype" w:cs="Palatino Linotype"/>
          <w:b/>
          <w:bCs/>
          <w:sz w:val="24"/>
          <w:szCs w:val="24"/>
        </w:rPr>
        <w:t>clasificado por objeto de gasto y demás clasificaciones</w:t>
      </w:r>
      <w:r>
        <w:rPr>
          <w:rFonts w:ascii="Palatino Linotype" w:eastAsia="Palatino Linotype" w:hAnsi="Palatino Linotype" w:cs="Palatino Linotype"/>
          <w:sz w:val="24"/>
          <w:szCs w:val="24"/>
        </w:rPr>
        <w:t>, así como otras previsiones que se estimen necesarias. De tal forma, el Presupuesto se integrará con los recursos que se destinen a los Entes Públicos; su distribución será conforme a lo siguiente:</w:t>
      </w:r>
    </w:p>
    <w:p w:rsidR="006312C6" w:rsidRDefault="00FC100D">
      <w:pPr>
        <w:spacing w:line="360" w:lineRule="auto"/>
        <w:ind w:left="284" w:right="51"/>
        <w:jc w:val="both"/>
        <w:rPr>
          <w:rFonts w:ascii="Palatino Linotype" w:eastAsia="Palatino Linotype" w:hAnsi="Palatino Linotype" w:cs="Palatino Linotype"/>
          <w:b/>
          <w:bCs/>
          <w:sz w:val="24"/>
          <w:szCs w:val="24"/>
          <w:u w:val="single"/>
        </w:rPr>
      </w:pPr>
      <w:r>
        <w:rPr>
          <w:rFonts w:ascii="Palatino Linotype" w:eastAsia="Palatino Linotype" w:hAnsi="Palatino Linotype" w:cs="Palatino Linotype"/>
          <w:b/>
          <w:bCs/>
          <w:sz w:val="24"/>
          <w:szCs w:val="24"/>
          <w:u w:val="single"/>
        </w:rPr>
        <w:t>I. El gasto programable comprende los siguientes capítulos:</w:t>
      </w:r>
    </w:p>
    <w:p w:rsidR="006312C6" w:rsidRDefault="00FC100D">
      <w:pPr>
        <w:spacing w:line="360" w:lineRule="auto"/>
        <w:ind w:left="567" w:right="5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 1000 Servicios Personales.</w:t>
      </w:r>
    </w:p>
    <w:p w:rsidR="006312C6" w:rsidRDefault="00FC100D">
      <w:pPr>
        <w:spacing w:line="360" w:lineRule="auto"/>
        <w:ind w:left="567" w:right="5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b) 2000 Materiales y Suministros.</w:t>
      </w:r>
    </w:p>
    <w:p w:rsidR="006312C6" w:rsidRDefault="00FC100D">
      <w:pPr>
        <w:spacing w:line="360" w:lineRule="auto"/>
        <w:ind w:left="567" w:right="5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c) 3000 Servicios Generales.</w:t>
      </w:r>
    </w:p>
    <w:p w:rsidR="006312C6" w:rsidRDefault="00FC100D">
      <w:pPr>
        <w:spacing w:line="360" w:lineRule="auto"/>
        <w:ind w:left="567" w:right="5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d) 4000 Transferencias, Asignaciones, Subsidios y otras ayudas.</w:t>
      </w:r>
    </w:p>
    <w:p w:rsidR="006312C6" w:rsidRDefault="00FC100D">
      <w:pPr>
        <w:spacing w:line="360" w:lineRule="auto"/>
        <w:ind w:left="567" w:right="5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e) 5000 Bienes Muebles, Inmuebles e Intangibles.</w:t>
      </w:r>
    </w:p>
    <w:p w:rsidR="006312C6" w:rsidRDefault="00FC100D">
      <w:pPr>
        <w:spacing w:line="360" w:lineRule="auto"/>
        <w:ind w:left="567" w:right="5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f) 6000 Inversión Pública.</w:t>
      </w:r>
    </w:p>
    <w:p w:rsidR="006312C6" w:rsidRDefault="00FC100D">
      <w:pPr>
        <w:spacing w:line="360" w:lineRule="auto"/>
        <w:ind w:left="567" w:right="5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g) 7000 Inversiones Financieras y otras provisiones.</w:t>
      </w:r>
    </w:p>
    <w:p w:rsidR="006312C6" w:rsidRDefault="00FC100D">
      <w:pPr>
        <w:spacing w:line="360" w:lineRule="auto"/>
        <w:ind w:left="284" w:right="51"/>
        <w:jc w:val="both"/>
        <w:rPr>
          <w:rFonts w:ascii="Palatino Linotype" w:eastAsia="Palatino Linotype" w:hAnsi="Palatino Linotype" w:cs="Palatino Linotype"/>
          <w:b/>
          <w:bCs/>
          <w:sz w:val="24"/>
          <w:szCs w:val="24"/>
          <w:u w:val="single"/>
        </w:rPr>
      </w:pPr>
      <w:r>
        <w:rPr>
          <w:rFonts w:ascii="Palatino Linotype" w:eastAsia="Palatino Linotype" w:hAnsi="Palatino Linotype" w:cs="Palatino Linotype"/>
          <w:b/>
          <w:bCs/>
          <w:sz w:val="24"/>
          <w:szCs w:val="24"/>
          <w:u w:val="single"/>
        </w:rPr>
        <w:t>II. El gasto no programable comprende los siguientes capítulos:</w:t>
      </w:r>
    </w:p>
    <w:p w:rsidR="006312C6" w:rsidRDefault="00FC100D">
      <w:pPr>
        <w:spacing w:line="360" w:lineRule="auto"/>
        <w:ind w:left="567" w:right="5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a). 8000 Participaciones y Aportaciones.</w:t>
      </w:r>
    </w:p>
    <w:p w:rsidR="006312C6" w:rsidRDefault="00FC100D">
      <w:pPr>
        <w:spacing w:line="360" w:lineRule="auto"/>
        <w:ind w:left="567" w:right="5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b). 9000 Deuda Pública.</w:t>
      </w: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Al respecto, se aclara que el Código Financiero citado, no describe el contenido detallado de los capítulos por objeto de gasto referidos, por lo que es pertinente mencionar que estos se describen detalladamente en el apartado “Clasificador por Objeto de Gasto Estatal-Municipal” del “Manual Único de Contabilidad Gubernamental para las Dependencias y Entidades Públicas del Gobierno y Municipios 2024”; el cual constituye una herramienta básica para el registro de las operaciones que otorga consistencia a la presentación de los resultados del ejercicio y facilita su interpretación, proporcionando las bases para consolidar bajo criterios uniformes y homogéneos la información contable y que de manera análoga prevé para los años citados el Clasificador de Gasto respectivo, cuyo contenido es el siguiente: </w:t>
      </w:r>
    </w:p>
    <w:p w:rsidR="006312C6" w:rsidRDefault="00FC100D">
      <w:pPr>
        <w:numPr>
          <w:ilvl w:val="0"/>
          <w:numId w:val="7"/>
        </w:numPr>
        <w:spacing w:after="0" w:line="240" w:lineRule="auto"/>
        <w:ind w:left="851" w:right="851"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1000 SERVICIOS PERSONALES. </w:t>
      </w:r>
      <w:r>
        <w:rPr>
          <w:rFonts w:ascii="Palatino Linotype" w:eastAsia="Palatino Linotype" w:hAnsi="Palatino Linotype" w:cs="Palatino Linotype"/>
          <w:i/>
          <w:iCs/>
          <w:sz w:val="24"/>
          <w:szCs w:val="24"/>
        </w:rPr>
        <w:t xml:space="preserve">Agrupa las remuneraciones del personal al servicio de los entes públicos, tales como: sueldos, salarios, dietas, honorarios asimilables al salario, prestaciones y gastos de seguridad social, obligaciones laborables y otras prestaciones derivadas de una relación laboral; pudiendo ser de carácter permanente o transitorio. </w:t>
      </w:r>
    </w:p>
    <w:p w:rsidR="006312C6" w:rsidRDefault="00FC100D">
      <w:pPr>
        <w:numPr>
          <w:ilvl w:val="0"/>
          <w:numId w:val="7"/>
        </w:numPr>
        <w:spacing w:after="0" w:line="240" w:lineRule="auto"/>
        <w:ind w:left="851" w:right="851"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2000 MATERIALES Y SUMINISTROS. </w:t>
      </w:r>
      <w:r>
        <w:rPr>
          <w:rFonts w:ascii="Palatino Linotype" w:eastAsia="Palatino Linotype" w:hAnsi="Palatino Linotype" w:cs="Palatino Linotype"/>
          <w:i/>
          <w:iCs/>
          <w:sz w:val="24"/>
          <w:szCs w:val="24"/>
        </w:rPr>
        <w:t xml:space="preserve">Agrupa las asignaciones destinadas a la adquisición de toda clase de insumos y suministros requeridos para la prestación de bienes y servicios públicos y para el desempeño de las actividades administrativas. </w:t>
      </w:r>
    </w:p>
    <w:p w:rsidR="006312C6" w:rsidRDefault="00FC100D">
      <w:pPr>
        <w:numPr>
          <w:ilvl w:val="0"/>
          <w:numId w:val="7"/>
        </w:numPr>
        <w:spacing w:after="0" w:line="240" w:lineRule="auto"/>
        <w:ind w:left="851" w:right="851"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3000 SERVICIOS GENERALES. </w:t>
      </w:r>
      <w:r>
        <w:rPr>
          <w:rFonts w:ascii="Palatino Linotype" w:eastAsia="Palatino Linotype" w:hAnsi="Palatino Linotype" w:cs="Palatino Linotype"/>
          <w:i/>
          <w:iCs/>
          <w:sz w:val="24"/>
          <w:szCs w:val="24"/>
        </w:rPr>
        <w:t>Asignaciones destinadas a cubrir el costo de todo tipo de servicios que se contraten con particulares o instituciones del propio sector público; así como los servicios oficiales requeridos para el desempeño de actividades vinculadas con la función pública</w:t>
      </w:r>
      <w:r>
        <w:rPr>
          <w:rFonts w:ascii="Palatino Linotype" w:eastAsia="Palatino Linotype" w:hAnsi="Palatino Linotype" w:cs="Palatino Linotype"/>
          <w:i/>
          <w:iCs/>
          <w:sz w:val="24"/>
          <w:szCs w:val="24"/>
          <w:u w:val="single"/>
        </w:rPr>
        <w:t>.</w:t>
      </w:r>
      <w:r>
        <w:rPr>
          <w:rFonts w:ascii="Palatino Linotype" w:eastAsia="Palatino Linotype" w:hAnsi="Palatino Linotype" w:cs="Palatino Linotype"/>
          <w:i/>
          <w:iCs/>
          <w:sz w:val="24"/>
          <w:szCs w:val="24"/>
        </w:rPr>
        <w:t xml:space="preserve"> </w:t>
      </w:r>
    </w:p>
    <w:p w:rsidR="006312C6" w:rsidRDefault="00FC100D">
      <w:pPr>
        <w:numPr>
          <w:ilvl w:val="0"/>
          <w:numId w:val="7"/>
        </w:numPr>
        <w:spacing w:after="0" w:line="240" w:lineRule="auto"/>
        <w:ind w:left="851" w:right="851"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4000 TRANSFERENCIAS, ASIGNACIONES, SUBSIDIOS Y OTRAS AYUDAS. </w:t>
      </w:r>
      <w:r>
        <w:rPr>
          <w:rFonts w:ascii="Palatino Linotype" w:eastAsia="Palatino Linotype" w:hAnsi="Palatino Linotype" w:cs="Palatino Linotype"/>
          <w:i/>
          <w:iCs/>
          <w:sz w:val="24"/>
          <w:szCs w:val="24"/>
        </w:rPr>
        <w:t xml:space="preserve">Asignaciones destinadas en forma directa o indirecta a los sectores público, privado y externo, organismos y empresas paraestatales y </w:t>
      </w:r>
      <w:r>
        <w:rPr>
          <w:rFonts w:ascii="Palatino Linotype" w:eastAsia="Palatino Linotype" w:hAnsi="Palatino Linotype" w:cs="Palatino Linotype"/>
          <w:i/>
          <w:iCs/>
          <w:sz w:val="24"/>
          <w:szCs w:val="24"/>
        </w:rPr>
        <w:lastRenderedPageBreak/>
        <w:t>apoyos como parte de su política económica y social, de acuerdo a las estrategias y prioridades de desarrollo para el sostenimiento y desempeño de sus actividades.</w:t>
      </w:r>
    </w:p>
    <w:p w:rsidR="006312C6" w:rsidRDefault="00FC100D">
      <w:pPr>
        <w:numPr>
          <w:ilvl w:val="0"/>
          <w:numId w:val="7"/>
        </w:numPr>
        <w:spacing w:after="0" w:line="240" w:lineRule="auto"/>
        <w:ind w:left="851" w:right="851"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5000 BIENES MUEBLES, INMUEBLES E INTANGIBLES. </w:t>
      </w:r>
      <w:r>
        <w:rPr>
          <w:rFonts w:ascii="Palatino Linotype" w:eastAsia="Palatino Linotype" w:hAnsi="Palatino Linotype" w:cs="Palatino Linotype"/>
          <w:i/>
          <w:iCs/>
          <w:sz w:val="24"/>
          <w:szCs w:val="24"/>
        </w:rPr>
        <w:t>Agrupa las asignaciones destinadas a la adquisición de toda clase de bienes muebles e inmuebles requeridos en el desempeño de las actividades de los entes públicos. Incluye los pagos por adjudicación, expropiación e indemnización de bienes muebles e inmuebles a favor del Gobierno.</w:t>
      </w:r>
    </w:p>
    <w:p w:rsidR="006312C6" w:rsidRDefault="00FC100D">
      <w:pPr>
        <w:numPr>
          <w:ilvl w:val="0"/>
          <w:numId w:val="7"/>
        </w:numPr>
        <w:spacing w:after="0" w:line="240" w:lineRule="auto"/>
        <w:ind w:left="851" w:right="851"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6000 INVERSIÓN PÚBLICA. </w:t>
      </w:r>
      <w:r>
        <w:rPr>
          <w:rFonts w:ascii="Palatino Linotype" w:eastAsia="Palatino Linotype" w:hAnsi="Palatino Linotype" w:cs="Palatino Linotype"/>
          <w:i/>
          <w:iCs/>
          <w:sz w:val="24"/>
          <w:szCs w:val="24"/>
        </w:rPr>
        <w:t xml:space="preserve">Asignaciones destinadas a obras por contrato y proyectos productivos y acciones de fomento. Incluye los gastos en estudios de pre‐inversión y preparación del proyecto. </w:t>
      </w:r>
    </w:p>
    <w:p w:rsidR="006312C6" w:rsidRDefault="00FC100D">
      <w:pPr>
        <w:numPr>
          <w:ilvl w:val="0"/>
          <w:numId w:val="7"/>
        </w:numPr>
        <w:spacing w:after="0" w:line="240" w:lineRule="auto"/>
        <w:ind w:left="851" w:right="851"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7000 INVERSIONES FINANCIERAS Y OTRAS PROVISIONES. </w:t>
      </w:r>
      <w:r>
        <w:rPr>
          <w:rFonts w:ascii="Palatino Linotype" w:eastAsia="Palatino Linotype" w:hAnsi="Palatino Linotype" w:cs="Palatino Linotype"/>
          <w:i/>
          <w:iCs/>
          <w:sz w:val="24"/>
          <w:szCs w:val="24"/>
        </w:rPr>
        <w:t xml:space="preserve">Erogaciones que realiza la administración pública en la adquisición de acciones, bonos y otros títulos y valores; así como en préstamos otorgados a diversos agentes económicos. Se incluyen las aportaciones de capital a las entidades públicas; así como las erogaciones contingentes e imprevistas para el cumplimiento de obligaciones del Gobierno. </w:t>
      </w:r>
    </w:p>
    <w:p w:rsidR="006312C6" w:rsidRDefault="00FC100D">
      <w:pPr>
        <w:numPr>
          <w:ilvl w:val="0"/>
          <w:numId w:val="7"/>
        </w:numPr>
        <w:spacing w:after="0" w:line="240" w:lineRule="auto"/>
        <w:ind w:left="851" w:right="851"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b/>
          <w:bCs/>
          <w:i/>
          <w:iCs/>
          <w:sz w:val="24"/>
          <w:szCs w:val="24"/>
        </w:rPr>
        <w:t xml:space="preserve">8000 PARTICIPACIONES Y APORTACIONES. </w:t>
      </w:r>
      <w:r>
        <w:rPr>
          <w:rFonts w:ascii="Palatino Linotype" w:eastAsia="Palatino Linotype" w:hAnsi="Palatino Linotype" w:cs="Palatino Linotype"/>
          <w:i/>
          <w:iCs/>
          <w:sz w:val="24"/>
          <w:szCs w:val="24"/>
        </w:rPr>
        <w:t xml:space="preserve">Agrupa el importe de los recursos federales y estatales para cubrir las participaciones en ingresos federales a Municipios provenientes de la recaudación federal, así como las asignaciones destinadas a los Municipios de acuerdo a los convenios de coordinación fiscal que celebre el Gobierno Federal con el Estado. Incluye las asignaciones a cubrir las aportaciones federales provenientes del Ramo General 33 Aportaciones Federales para Entidades Federativas y Municipios a favor de los Municipios. </w:t>
      </w:r>
    </w:p>
    <w:p w:rsidR="006312C6" w:rsidRDefault="00FC100D">
      <w:pPr>
        <w:numPr>
          <w:ilvl w:val="0"/>
          <w:numId w:val="7"/>
        </w:numPr>
        <w:spacing w:after="0" w:line="240" w:lineRule="auto"/>
        <w:ind w:left="851" w:right="851" w:firstLine="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9000 DEUDA PÚBLICA. </w:t>
      </w:r>
      <w:r>
        <w:rPr>
          <w:rFonts w:ascii="Palatino Linotype" w:eastAsia="Palatino Linotype" w:hAnsi="Palatino Linotype" w:cs="Palatino Linotype"/>
          <w:i/>
          <w:iCs/>
          <w:sz w:val="24"/>
          <w:szCs w:val="24"/>
        </w:rPr>
        <w:t>Asignaciones destinadas a cubrir obligaciones por concepto de deuda pública interna y externa derivada de la contratación de empréstitos; incluye la amortización, los intereses, gastos y comisiones de la deuda pública, así como las erogaciones relacionadas con la emisión y/o contratación de deuda. Asimismo, incluye los adeudos de ejercicios fiscales anteriores (ADEFAS).</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Lo anterior, permite establecer la fuente obligacional que tiene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para hacer entrega de la información solicitada a la fecha de la solicitud, es decir, al </w:t>
      </w:r>
      <w:r>
        <w:rPr>
          <w:rFonts w:ascii="Palatino Linotype" w:eastAsia="Palatino Linotype" w:hAnsi="Palatino Linotype" w:cs="Palatino Linotype"/>
          <w:b/>
          <w:bCs/>
          <w:color w:val="000000"/>
          <w:sz w:val="24"/>
          <w:szCs w:val="24"/>
        </w:rPr>
        <w:t>quince de mayo de dos mil veinticinco.</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Así mismo, la </w:t>
      </w:r>
      <w:r>
        <w:rPr>
          <w:rFonts w:ascii="Palatino Linotype" w:eastAsia="Palatino Linotype" w:hAnsi="Palatino Linotype" w:cs="Palatino Linotype"/>
          <w:b/>
          <w:bCs/>
          <w:color w:val="000000"/>
          <w:sz w:val="24"/>
          <w:szCs w:val="24"/>
        </w:rPr>
        <w:t xml:space="preserve">Ley de Transparencia y Acceso a la Información Pública del Estado de </w:t>
      </w:r>
      <w:r>
        <w:rPr>
          <w:rFonts w:ascii="Palatino Linotype" w:eastAsia="Palatino Linotype" w:hAnsi="Palatino Linotype" w:cs="Palatino Linotype"/>
          <w:color w:val="000000"/>
          <w:sz w:val="24"/>
          <w:szCs w:val="24"/>
        </w:rPr>
        <w:t>México</w:t>
      </w:r>
      <w:r>
        <w:rPr>
          <w:rFonts w:ascii="Palatino Linotype" w:eastAsia="Palatino Linotype" w:hAnsi="Palatino Linotype" w:cs="Palatino Linotype"/>
          <w:b/>
          <w:bCs/>
          <w:color w:val="000000"/>
          <w:sz w:val="24"/>
          <w:szCs w:val="24"/>
        </w:rPr>
        <w:t xml:space="preserve"> y Municipios</w:t>
      </w:r>
      <w:r>
        <w:rPr>
          <w:rFonts w:ascii="Palatino Linotype" w:eastAsia="Palatino Linotype" w:hAnsi="Palatino Linotype" w:cs="Palatino Linotype"/>
          <w:color w:val="000000"/>
          <w:sz w:val="24"/>
          <w:szCs w:val="24"/>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6312C6" w:rsidRDefault="00FC100D">
      <w:pPr>
        <w:pBdr>
          <w:top w:val="nil"/>
          <w:left w:val="nil"/>
          <w:bottom w:val="nil"/>
          <w:right w:val="nil"/>
          <w:between w:val="nil"/>
        </w:pBdr>
        <w:spacing w:after="0" w:line="240" w:lineRule="auto"/>
        <w:ind w:left="644" w:right="191"/>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i/>
          <w:iCs/>
          <w:color w:val="000000"/>
          <w:sz w:val="24"/>
          <w:szCs w:val="24"/>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sz w:val="24"/>
          <w:szCs w:val="24"/>
        </w:rPr>
        <w:t>Los Sujetos Obligados deben poner en práctica, políticas y programas de acceso a la información que se apeguen a criterios de publicidad, veracidad, oportunidad, precisión y suficiencia en beneficio de los solicitantes.</w:t>
      </w:r>
    </w:p>
    <w:p w:rsidR="006312C6" w:rsidRDefault="006312C6">
      <w:pPr>
        <w:spacing w:line="360" w:lineRule="auto"/>
        <w:ind w:right="902"/>
        <w:jc w:val="both"/>
        <w:rPr>
          <w:rFonts w:ascii="Palatino Linotype" w:eastAsia="Palatino Linotype" w:hAnsi="Palatino Linotype" w:cs="Palatino Linotype"/>
          <w:b/>
          <w:bCs/>
          <w:i/>
          <w:iCs/>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Numerales que compelen al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a apegarse en todo momento a los criterios ya expuestos, </w:t>
      </w:r>
      <w:r>
        <w:rPr>
          <w:rFonts w:ascii="Palatino Linotype" w:eastAsia="Palatino Linotype" w:hAnsi="Palatino Linotype" w:cs="Palatino Linotype"/>
          <w:sz w:val="24"/>
          <w:szCs w:val="24"/>
        </w:rPr>
        <w:t>impidiendo</w:t>
      </w:r>
      <w:r>
        <w:rPr>
          <w:rFonts w:ascii="Palatino Linotype" w:eastAsia="Palatino Linotype" w:hAnsi="Palatino Linotype" w:cs="Palatino Linotype"/>
          <w:color w:val="000000"/>
          <w:sz w:val="24"/>
          <w:szCs w:val="24"/>
        </w:rPr>
        <w:t xml:space="preserve">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 </w:t>
      </w:r>
    </w:p>
    <w:p w:rsidR="006312C6" w:rsidRDefault="006312C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Ahora bien, el derecho 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 </w:t>
      </w:r>
    </w:p>
    <w:p w:rsidR="006312C6" w:rsidRDefault="00FC100D">
      <w:pPr>
        <w:spacing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sz w:val="24"/>
          <w:szCs w:val="24"/>
        </w:rPr>
        <w:t>“</w:t>
      </w:r>
      <w:r>
        <w:rPr>
          <w:rFonts w:ascii="Palatino Linotype" w:eastAsia="Palatino Linotype" w:hAnsi="Palatino Linotype" w:cs="Palatino Linotype"/>
          <w:b/>
          <w:bCs/>
          <w:i/>
          <w:iCs/>
          <w:sz w:val="24"/>
          <w:szCs w:val="24"/>
        </w:rPr>
        <w:t>Artículo 4.</w:t>
      </w:r>
      <w:r>
        <w:rPr>
          <w:rFonts w:ascii="Palatino Linotype" w:eastAsia="Palatino Linotype" w:hAnsi="Palatino Linotype" w:cs="Palatino Linotype"/>
          <w:i/>
          <w:iCs/>
          <w:sz w:val="24"/>
          <w:szCs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6312C6" w:rsidRDefault="00FC100D">
      <w:pPr>
        <w:spacing w:before="120"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w:t>
      </w:r>
      <w:r>
        <w:rPr>
          <w:rFonts w:ascii="Palatino Linotype" w:eastAsia="Palatino Linotype" w:hAnsi="Palatino Linotype" w:cs="Palatino Linotype"/>
          <w:i/>
          <w:iCs/>
          <w:color w:val="000000"/>
          <w:sz w:val="24"/>
          <w:szCs w:val="24"/>
        </w:rPr>
        <w:t>mexicano</w:t>
      </w:r>
      <w:r>
        <w:rPr>
          <w:rFonts w:ascii="Palatino Linotype" w:eastAsia="Palatino Linotype" w:hAnsi="Palatino Linotype" w:cs="Palatino Linotype"/>
          <w:i/>
          <w:iCs/>
          <w:sz w:val="24"/>
          <w:szCs w:val="24"/>
        </w:rPr>
        <w:t xml:space="preserve">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6312C6" w:rsidRDefault="00FC100D">
      <w:pPr>
        <w:spacing w:before="120"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Los sujetos obligados deben poner en práctica, políticas y programas de acceso a la información</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i/>
          <w:iCs/>
          <w:sz w:val="24"/>
          <w:szCs w:val="24"/>
        </w:rPr>
        <w:t>que se apeguen a criterios de publicidad, veracidad, oportunidad, precisión y suficiencia en beneficio de los solicitantes.”</w:t>
      </w:r>
    </w:p>
    <w:p w:rsidR="006312C6" w:rsidRDefault="006312C6">
      <w:pPr>
        <w:spacing w:before="120" w:after="120" w:line="360" w:lineRule="auto"/>
        <w:ind w:left="709" w:right="709"/>
        <w:jc w:val="both"/>
        <w:rPr>
          <w:rFonts w:ascii="Palatino Linotype" w:eastAsia="Palatino Linotype" w:hAnsi="Palatino Linotype" w:cs="Palatino Linotype"/>
          <w:i/>
          <w:iCs/>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 por ello que, el derecho de acceso a la información pública, implica el conocimiento de los particulares de la información contenida en los documentos que posean los órganos del </w:t>
      </w:r>
      <w:r>
        <w:rPr>
          <w:rFonts w:ascii="Palatino Linotype" w:eastAsia="Palatino Linotype" w:hAnsi="Palatino Linotype" w:cs="Palatino Linotype"/>
          <w:color w:val="000000"/>
          <w:sz w:val="24"/>
          <w:szCs w:val="24"/>
        </w:rPr>
        <w:lastRenderedPageBreak/>
        <w:t xml:space="preserve">Estado; incluso se impone la obligación a las autoridades de preservar sus documentos en archivos administrativos actualizados. </w:t>
      </w:r>
    </w:p>
    <w:p w:rsidR="006312C6" w:rsidRDefault="006312C6">
      <w:pPr>
        <w:spacing w:before="120" w:after="120" w:line="360" w:lineRule="auto"/>
        <w:jc w:val="both"/>
        <w:rPr>
          <w:rFonts w:ascii="Palatino Linotype" w:eastAsia="Palatino Linotype" w:hAnsi="Palatino Linotype" w:cs="Palatino Linotype"/>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Ley de Transparencia vigente en nuestra entidad y demás disposiciones de la materia, privilegiando el principio de máxima publicidad de la información. </w:t>
      </w:r>
    </w:p>
    <w:p w:rsidR="006312C6" w:rsidRDefault="006312C6">
      <w:pPr>
        <w:spacing w:line="360" w:lineRule="auto"/>
        <w:rPr>
          <w:rFonts w:ascii="Palatino Linotype" w:eastAsia="Palatino Linotype" w:hAnsi="Palatino Linotype" w:cs="Palatino Linotype"/>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En esa tesitura, los Sujetos Obligados deberán poner en práctica, políticas y programas de acceso a la información que se apeguen a criterios de publicidad, veracidad, oportunidad, precisión y suficiencia en beneficio de los solicitantes</w:t>
      </w:r>
    </w:p>
    <w:p w:rsidR="006312C6" w:rsidRDefault="006312C6">
      <w:pPr>
        <w:rPr>
          <w:rFonts w:ascii="Palatino Linotype" w:eastAsia="Palatino Linotype" w:hAnsi="Palatino Linotype" w:cs="Palatino Linotype"/>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Lo anterior tiene sustento en los artículos 3 fracciones XI y XXII; 4; 11 y 41 de la Ley de Transparencia y Acceso a la Información Pública del Estado de México y Municipios:</w:t>
      </w:r>
    </w:p>
    <w:p w:rsidR="006312C6" w:rsidRDefault="00FC100D">
      <w:pPr>
        <w:spacing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“Artículo 3. </w:t>
      </w:r>
      <w:r>
        <w:rPr>
          <w:rFonts w:ascii="Palatino Linotype" w:eastAsia="Palatino Linotype" w:hAnsi="Palatino Linotype" w:cs="Palatino Linotype"/>
          <w:b/>
          <w:bCs/>
          <w:i/>
          <w:iCs/>
          <w:sz w:val="24"/>
          <w:szCs w:val="24"/>
          <w:u w:val="single"/>
        </w:rPr>
        <w:t>Para los efectos de la presente Ley se entenderá por</w:t>
      </w:r>
      <w:r>
        <w:rPr>
          <w:rFonts w:ascii="Palatino Linotype" w:eastAsia="Palatino Linotype" w:hAnsi="Palatino Linotype" w:cs="Palatino Linotype"/>
          <w:b/>
          <w:bCs/>
          <w:i/>
          <w:iCs/>
          <w:sz w:val="24"/>
          <w:szCs w:val="24"/>
        </w:rPr>
        <w:t xml:space="preserve">: </w:t>
      </w:r>
      <w:r>
        <w:rPr>
          <w:rFonts w:ascii="Palatino Linotype" w:eastAsia="Palatino Linotype" w:hAnsi="Palatino Linotype" w:cs="Palatino Linotype"/>
          <w:i/>
          <w:iCs/>
          <w:sz w:val="24"/>
          <w:szCs w:val="24"/>
        </w:rPr>
        <w:t>…</w:t>
      </w:r>
    </w:p>
    <w:p w:rsidR="006312C6" w:rsidRDefault="00FC100D">
      <w:pPr>
        <w:spacing w:before="120"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6312C6" w:rsidRDefault="00FC100D">
      <w:pPr>
        <w:spacing w:before="120"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XI. Documento:</w:t>
      </w:r>
      <w:r>
        <w:rPr>
          <w:rFonts w:ascii="Palatino Linotype" w:eastAsia="Palatino Linotype" w:hAnsi="Palatino Linotype" w:cs="Palatino Linotype"/>
          <w:i/>
          <w:iCs/>
          <w:sz w:val="24"/>
          <w:szCs w:val="24"/>
        </w:rPr>
        <w:t xml:space="preserve"> Los expedientes, reportes, estudios, actas, resoluciones, oficios, correspondencia, acuerdos, directivas, directrices, circulares, contratos, </w:t>
      </w:r>
      <w:r>
        <w:rPr>
          <w:rFonts w:ascii="Palatino Linotype" w:eastAsia="Palatino Linotype" w:hAnsi="Palatino Linotype" w:cs="Palatino Linotype"/>
          <w:i/>
          <w:iCs/>
          <w:sz w:val="24"/>
          <w:szCs w:val="24"/>
        </w:rPr>
        <w:lastRenderedPageBreak/>
        <w:t xml:space="preserve">convenios, instructivos, notas, memorandos, estadísticas o bien, cualquier otro registro que documente el ejercicio de las facultades, funciones y competencias de los sujetos obligados, sus </w:t>
      </w:r>
      <w:r>
        <w:rPr>
          <w:rFonts w:ascii="Palatino Linotype" w:eastAsia="Palatino Linotype" w:hAnsi="Palatino Linotype" w:cs="Palatino Linotype"/>
          <w:i/>
          <w:iCs/>
          <w:color w:val="000000"/>
          <w:sz w:val="24"/>
          <w:szCs w:val="24"/>
        </w:rPr>
        <w:t>servidores</w:t>
      </w:r>
      <w:r>
        <w:rPr>
          <w:rFonts w:ascii="Palatino Linotype" w:eastAsia="Palatino Linotype" w:hAnsi="Palatino Linotype" w:cs="Palatino Linotype"/>
          <w:i/>
          <w:iCs/>
          <w:sz w:val="24"/>
          <w:szCs w:val="24"/>
        </w:rPr>
        <w:t xml:space="preserve"> públicos e integrantes, sin importar su fuente o fecha de elaboración. Los documentos podrán estar en cualquier medio, sea escrito, impreso, sonoro, visual, electrónico, informático u holográfico; </w:t>
      </w:r>
    </w:p>
    <w:p w:rsidR="006312C6" w:rsidRDefault="00FC100D">
      <w:pPr>
        <w:spacing w:before="120"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4.</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b/>
          <w:bCs/>
          <w:i/>
          <w:iCs/>
          <w:sz w:val="24"/>
          <w:szCs w:val="24"/>
          <w:u w:val="single"/>
        </w:rPr>
        <w:t>El derecho humano de acceso a la información pública es la prerrogativa de las personas para buscar, difundir, investigar, recabar, recibir y solicitar información pública</w:t>
      </w:r>
      <w:r>
        <w:rPr>
          <w:rFonts w:ascii="Palatino Linotype" w:eastAsia="Palatino Linotype" w:hAnsi="Palatino Linotype" w:cs="Palatino Linotype"/>
          <w:i/>
          <w:iCs/>
          <w:sz w:val="24"/>
          <w:szCs w:val="24"/>
        </w:rPr>
        <w:t xml:space="preserve">, sin necesidad de acreditar personalidad ni interés jurídico. </w:t>
      </w:r>
    </w:p>
    <w:p w:rsidR="006312C6" w:rsidRDefault="00FC100D">
      <w:pPr>
        <w:spacing w:before="120"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w:t>
      </w:r>
      <w:r>
        <w:rPr>
          <w:rFonts w:ascii="Palatino Linotype" w:eastAsia="Palatino Linotype" w:hAnsi="Palatino Linotype" w:cs="Palatino Linotype"/>
          <w:i/>
          <w:iCs/>
          <w:color w:val="000000"/>
          <w:sz w:val="24"/>
          <w:szCs w:val="24"/>
        </w:rPr>
        <w:t>información</w:t>
      </w:r>
      <w:r>
        <w:rPr>
          <w:rFonts w:ascii="Palatino Linotype" w:eastAsia="Palatino Linotype" w:hAnsi="Palatino Linotype" w:cs="Palatino Linotype"/>
          <w:i/>
          <w:iCs/>
          <w:sz w:val="24"/>
          <w:szCs w:val="24"/>
        </w:rPr>
        <w:t xml:space="preserve">. Solo podrá ser clasificada excepcionalmente como reservada temporalmente por razones de interés público, en los términos de las causas legítimas y estrictamente necesarias previstas por esta Ley. </w:t>
      </w:r>
    </w:p>
    <w:p w:rsidR="006312C6" w:rsidRDefault="00FC100D">
      <w:pPr>
        <w:spacing w:before="120"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Los sujetos obligados deben poner en práctica, políticas y programas de acceso a la información que se apeguen a criterios de publicidad, veracidad, oportunidad, precisión y suficiencia en beneficio de los solicitantes. </w:t>
      </w:r>
    </w:p>
    <w:p w:rsidR="006312C6" w:rsidRDefault="00FC100D">
      <w:pPr>
        <w:spacing w:before="120"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11.-</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b/>
          <w:bCs/>
          <w:i/>
          <w:iCs/>
          <w:sz w:val="24"/>
          <w:szCs w:val="24"/>
          <w:u w:val="single"/>
        </w:rPr>
        <w:t>Los Sujetos Obligados sólo proporcionarán la información que generen en el ejercicio de sus atribuciones</w:t>
      </w:r>
      <w:r>
        <w:rPr>
          <w:rFonts w:ascii="Palatino Linotype" w:eastAsia="Palatino Linotype" w:hAnsi="Palatino Linotype" w:cs="Palatino Linotype"/>
          <w:i/>
          <w:iCs/>
          <w:sz w:val="24"/>
          <w:szCs w:val="24"/>
        </w:rPr>
        <w:t>.</w:t>
      </w:r>
    </w:p>
    <w:p w:rsidR="006312C6" w:rsidRDefault="00FC100D">
      <w:pPr>
        <w:spacing w:before="120"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lastRenderedPageBreak/>
        <w:t>Artículo 12.</w:t>
      </w:r>
      <w:r>
        <w:rPr>
          <w:rFonts w:ascii="Palatino Linotype" w:eastAsia="Palatino Linotype" w:hAnsi="Palatino Linotype" w:cs="Palatino Linotype"/>
          <w:i/>
          <w:iCs/>
          <w:sz w:val="24"/>
          <w:szCs w:val="24"/>
        </w:rPr>
        <w:t xml:space="preserve"> Quienes generen, recopilen, administren, manejen, procesen, archiven o conserven información pública</w:t>
      </w:r>
      <w:r>
        <w:rPr>
          <w:rFonts w:ascii="Palatino Linotype" w:eastAsia="Palatino Linotype" w:hAnsi="Palatino Linotype" w:cs="Palatino Linotype"/>
          <w:b/>
          <w:bCs/>
          <w:i/>
          <w:iCs/>
          <w:sz w:val="24"/>
          <w:szCs w:val="24"/>
        </w:rPr>
        <w:t xml:space="preserve"> </w:t>
      </w:r>
      <w:r>
        <w:rPr>
          <w:rFonts w:ascii="Palatino Linotype" w:eastAsia="Palatino Linotype" w:hAnsi="Palatino Linotype" w:cs="Palatino Linotype"/>
          <w:i/>
          <w:iCs/>
          <w:sz w:val="24"/>
          <w:szCs w:val="24"/>
        </w:rPr>
        <w:t xml:space="preserve">serán responsables de la misma en los términos de las disposiciones jurídicas </w:t>
      </w:r>
      <w:r>
        <w:rPr>
          <w:rFonts w:ascii="Palatino Linotype" w:eastAsia="Palatino Linotype" w:hAnsi="Palatino Linotype" w:cs="Palatino Linotype"/>
          <w:i/>
          <w:iCs/>
          <w:color w:val="000000"/>
          <w:sz w:val="24"/>
          <w:szCs w:val="24"/>
        </w:rPr>
        <w:t>aplicables</w:t>
      </w:r>
      <w:r>
        <w:rPr>
          <w:rFonts w:ascii="Palatino Linotype" w:eastAsia="Palatino Linotype" w:hAnsi="Palatino Linotype" w:cs="Palatino Linotype"/>
          <w:i/>
          <w:iCs/>
          <w:sz w:val="24"/>
          <w:szCs w:val="24"/>
        </w:rPr>
        <w:t xml:space="preserve">. </w:t>
      </w:r>
    </w:p>
    <w:p w:rsidR="006312C6" w:rsidRDefault="00FC100D">
      <w:pPr>
        <w:spacing w:before="120" w:after="120" w:line="360" w:lineRule="auto"/>
        <w:ind w:left="851" w:right="822"/>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u w:val="single"/>
        </w:rPr>
        <w:t>Los sujetos obligados sólo proporcionarán la información pública que se les requiera y que obre en sus archivos</w:t>
      </w:r>
      <w:r>
        <w:rPr>
          <w:rFonts w:ascii="Palatino Linotype" w:eastAsia="Palatino Linotype" w:hAnsi="Palatino Linotype" w:cs="Palatino Linotype"/>
          <w:i/>
          <w:iCs/>
          <w:sz w:val="24"/>
          <w:szCs w:val="24"/>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6312C6" w:rsidRDefault="00FC100D">
      <w:pPr>
        <w:spacing w:before="120" w:after="120" w:line="360" w:lineRule="auto"/>
        <w:ind w:left="851" w:right="8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(Énfasis añadido)</w:t>
      </w: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los Sujetos Obligados deberán documentar todo acto que se derive del ejercicio de sus facultades, competencias o funciones, considerando desde su origen la eventual publicidad y reutilización de la información que generen, posean o administren.</w:t>
      </w:r>
    </w:p>
    <w:p w:rsidR="006312C6" w:rsidRDefault="006312C6">
      <w:pPr>
        <w:spacing w:line="360" w:lineRule="auto"/>
        <w:ind w:right="49"/>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Además, debemos tomar en cuenta los artículos 4 y 12, de la Ley de Transparencia y Acceso a la Información Pública del Estado de México y Municipios, los cuales establecen lo siguiente:</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lastRenderedPageBreak/>
        <w:t>Artículo 4.</w:t>
      </w:r>
      <w:r>
        <w:rPr>
          <w:rFonts w:ascii="Palatino Linotype" w:eastAsia="Palatino Linotype" w:hAnsi="Palatino Linotype" w:cs="Palatino Linotype"/>
          <w:i/>
          <w:iCs/>
          <w:color w:val="000000"/>
          <w:sz w:val="24"/>
          <w:szCs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sujetos obligados deben poner en práctica, políticas y programas de acceso a la información que se apeguen a criterios de publicidad, veracidad, oportunidad, precisión y suficiencia en beneficio de los solicitantes.</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12.</w:t>
      </w:r>
      <w:r>
        <w:rPr>
          <w:rFonts w:ascii="Palatino Linotype" w:eastAsia="Palatino Linotype" w:hAnsi="Palatino Linotype" w:cs="Palatino Linotype"/>
          <w:i/>
          <w:iCs/>
          <w:color w:val="000000"/>
          <w:sz w:val="24"/>
          <w:szCs w:val="24"/>
        </w:rPr>
        <w:t xml:space="preserve"> Quienes generen, recopilen, administren, manejen, procesen, archiven o conserven información pública serán responsables de la misma en los términos de las disposiciones jurídicas aplicables. </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6312C6" w:rsidRDefault="006312C6">
      <w:pPr>
        <w:spacing w:line="360" w:lineRule="auto"/>
        <w:ind w:right="49"/>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6312C6" w:rsidRDefault="006312C6">
      <w:pPr>
        <w:spacing w:line="360" w:lineRule="auto"/>
        <w:ind w:right="49"/>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ACCESO A LA INFORMACIÓN. IMPLICACIÓN DEL PRINCIPIO DE MÁXIMA PUBLICIDAD EN EL DERECHO FUNDAMENTAL RELATIVO.</w:t>
      </w:r>
      <w:r>
        <w:rPr>
          <w:rFonts w:ascii="Palatino Linotype" w:eastAsia="Palatino Linotype" w:hAnsi="Palatino Linotype" w:cs="Palatino Linotype"/>
          <w:i/>
          <w:iCs/>
          <w:color w:val="000000"/>
          <w:sz w:val="24"/>
          <w:szCs w:val="24"/>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w:t>
      </w:r>
      <w:r>
        <w:rPr>
          <w:rFonts w:ascii="Palatino Linotype" w:eastAsia="Palatino Linotype" w:hAnsi="Palatino Linotype" w:cs="Palatino Linotype"/>
          <w:i/>
          <w:iCs/>
          <w:color w:val="000000"/>
          <w:sz w:val="24"/>
          <w:szCs w:val="24"/>
        </w:rPr>
        <w:lastRenderedPageBreak/>
        <w:t xml:space="preserve">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DA11F7" w:rsidRDefault="00DA11F7">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Como se ha señalado, los Sujetos Obligados deberán proporcionar toda la información que se encuentre en su posesión bajo los estándares más altos de transparencia y máxima publicidad. </w:t>
      </w:r>
    </w:p>
    <w:p w:rsidR="006312C6" w:rsidRDefault="006312C6">
      <w:pPr>
        <w:spacing w:line="360" w:lineRule="auto"/>
        <w:ind w:right="49"/>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Es pertinente enfatizar lo que respecto al derecho de acceso a la información pública, refiere el artículo 6° de la Constitución Política de los Estados Unidos Mexicanos, que en su parte conducente señala:</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6o.</w:t>
      </w:r>
      <w:r>
        <w:rPr>
          <w:rFonts w:ascii="Palatino Linotype" w:eastAsia="Palatino Linotype" w:hAnsi="Palatino Linotype" w:cs="Palatino Linotype"/>
          <w:i/>
          <w:iCs/>
          <w:color w:val="000000"/>
          <w:sz w:val="24"/>
          <w:szCs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Toda persona tiene derecho al libre acceso a información plural y oportuna, así como a buscar, recibir y difundir información e ideas de toda índole por cualquier medio de expresión.</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Para efectos de lo dispuesto en el presente artículo se observará lo siguiente:</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numPr>
          <w:ilvl w:val="4"/>
          <w:numId w:val="8"/>
        </w:numPr>
        <w:pBdr>
          <w:top w:val="nil"/>
          <w:left w:val="nil"/>
          <w:bottom w:val="nil"/>
          <w:right w:val="nil"/>
          <w:between w:val="nil"/>
        </w:pBdr>
        <w:spacing w:after="0" w:line="360" w:lineRule="auto"/>
        <w:ind w:left="567" w:right="49"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Para el ejercicio del derecho de acceso a la información, la Federación, los Estados y el Distrito Federal, en el ámbito de sus respectivas competencias, se regirán por los siguientes principios y bases:</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w:t>
      </w:r>
      <w:r>
        <w:rPr>
          <w:rFonts w:ascii="Palatino Linotype" w:eastAsia="Palatino Linotype" w:hAnsi="Palatino Linotype" w:cs="Palatino Linotype"/>
          <w:i/>
          <w:iCs/>
          <w:color w:val="000000"/>
          <w:sz w:val="24"/>
          <w:szCs w:val="24"/>
        </w:rPr>
        <w:lastRenderedPageBreak/>
        <w:t>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La información que se refiere a la vida privada y los datos personales será protegida en los términos y con las excepciones que fijen las leyes.</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Toda persona, sin necesidad de acreditar interés alguno o justificar su utilización, tendrá acceso gratuito a la información pública, a sus datos personales o a la rectificación de éstos.</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Se establecerán mecanismos de acceso a la información y procedimientos de revisión expeditos que se sustanciarán ante los organismos autónomos especializados e imparciales que establece esta Constitución.</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Las leyes determinarán la manera en que los sujetos obligados deberán hacer pública la información relativa a los recursos públicos que entreguen a personas físicas o morales.</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La inobservancia a las disposiciones en materia de acceso a la información pública será sancionada en los términos que dispongan las leyes.</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La ley establecerá aquella información que se considere reservada o confidencial.”</w:t>
      </w:r>
    </w:p>
    <w:p w:rsidR="006312C6" w:rsidRDefault="006312C6">
      <w:pPr>
        <w:spacing w:line="360" w:lineRule="auto"/>
        <w:ind w:right="49"/>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Por su parte, la Constitución Política del Estado Libre y Soberano de México, en su artículo 5°, dispone en su parte conducente, lo siguiente:</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“Artículo 5. … </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El derecho a la información será garantizado por el Estado</w:t>
      </w:r>
      <w:r>
        <w:rPr>
          <w:rFonts w:ascii="Palatino Linotype" w:eastAsia="Palatino Linotype" w:hAnsi="Palatino Linotype" w:cs="Palatino Linotype"/>
          <w:i/>
          <w:iCs/>
          <w:color w:val="000000"/>
          <w:sz w:val="24"/>
          <w:szCs w:val="24"/>
        </w:rPr>
        <w:t xml:space="preserve">. La ley establecerá las previsiones que permitan asegurar la protección, el respeto y la difusión de este derecho. </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Para garantizar el ejercicio del derecho de transparencia, acceso a la información pública y protección de datos personales, los poderes públicos y los organismos autónomos, </w:t>
      </w:r>
      <w:r>
        <w:rPr>
          <w:rFonts w:ascii="Palatino Linotype" w:eastAsia="Palatino Linotype" w:hAnsi="Palatino Linotype" w:cs="Palatino Linotype"/>
          <w:i/>
          <w:iCs/>
          <w:color w:val="000000"/>
          <w:sz w:val="24"/>
          <w:szCs w:val="24"/>
        </w:rPr>
        <w:lastRenderedPageBreak/>
        <w:t xml:space="preserve">transparentarán sus acciones, en términos de las disposiciones aplicables, la información será oportuna, clara, veraz y de fácil acceso. </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Este derecho se regirá por los principios y bases siguientes:</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numPr>
          <w:ilvl w:val="3"/>
          <w:numId w:val="8"/>
        </w:numPr>
        <w:pBdr>
          <w:top w:val="nil"/>
          <w:left w:val="nil"/>
          <w:bottom w:val="nil"/>
          <w:right w:val="nil"/>
          <w:between w:val="nil"/>
        </w:pBdr>
        <w:spacing w:after="0" w:line="360" w:lineRule="auto"/>
        <w:ind w:left="567" w:right="49"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Toda la información en posesión de cualquier autoridad</w:t>
      </w:r>
      <w:r>
        <w:rPr>
          <w:rFonts w:ascii="Palatino Linotype" w:eastAsia="Palatino Linotype" w:hAnsi="Palatino Linotype" w:cs="Palatino Linotype"/>
          <w:i/>
          <w:iCs/>
          <w:color w:val="000000"/>
          <w:sz w:val="24"/>
          <w:szCs w:val="24"/>
        </w:rPr>
        <w:t xml:space="preserve">, entidad, órgano y organismos de los Poderes Ejecutivo, Legislativo y Judicial, órganos autónomos, partidos políticos, fideicomisos y fondos públicos estatales y municipales, </w:t>
      </w:r>
      <w:r>
        <w:rPr>
          <w:rFonts w:ascii="Palatino Linotype" w:eastAsia="Palatino Linotype" w:hAnsi="Palatino Linotype" w:cs="Palatino Linotype"/>
          <w:b/>
          <w:bCs/>
          <w:i/>
          <w:iCs/>
          <w:color w:val="000000"/>
          <w:sz w:val="24"/>
          <w:szCs w:val="24"/>
        </w:rPr>
        <w:t>así como del gobierno y de la administración pública municipal y sus organismos descentralizados</w:t>
      </w:r>
      <w:r>
        <w:rPr>
          <w:rFonts w:ascii="Palatino Linotype" w:eastAsia="Palatino Linotype" w:hAnsi="Palatino Linotype" w:cs="Palatino Linotype"/>
          <w:i/>
          <w:iCs/>
          <w:color w:val="000000"/>
          <w:sz w:val="24"/>
          <w:szCs w:val="24"/>
        </w:rPr>
        <w:t xml:space="preserve">,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color w:val="000000"/>
          <w:sz w:val="24"/>
          <w:szCs w:val="24"/>
        </w:rPr>
        <w:t>es pública</w:t>
      </w:r>
      <w:r>
        <w:rPr>
          <w:rFonts w:ascii="Palatino Linotype" w:eastAsia="Palatino Linotype" w:hAnsi="Palatino Linotype" w:cs="Palatino Linotype"/>
          <w:i/>
          <w:iCs/>
          <w:color w:val="000000"/>
          <w:sz w:val="24"/>
          <w:szCs w:val="24"/>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6312C6" w:rsidRDefault="00FC100D">
      <w:pPr>
        <w:numPr>
          <w:ilvl w:val="3"/>
          <w:numId w:val="8"/>
        </w:numPr>
        <w:pBdr>
          <w:top w:val="nil"/>
          <w:left w:val="nil"/>
          <w:bottom w:val="nil"/>
          <w:right w:val="nil"/>
          <w:between w:val="nil"/>
        </w:pBdr>
        <w:spacing w:after="0" w:line="360" w:lineRule="auto"/>
        <w:ind w:left="567" w:right="49"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La información referente a la intimidad de la vida privada y la imagen de las personas será protegida a través de un marco jurídico rígido de tratamiento y manejo de datos personales, con las excepciones que establezca la ley reglamentaria.</w:t>
      </w:r>
    </w:p>
    <w:p w:rsidR="006312C6" w:rsidRDefault="00FC100D">
      <w:pPr>
        <w:numPr>
          <w:ilvl w:val="3"/>
          <w:numId w:val="8"/>
        </w:numPr>
        <w:pBdr>
          <w:top w:val="nil"/>
          <w:left w:val="nil"/>
          <w:bottom w:val="nil"/>
          <w:right w:val="nil"/>
          <w:between w:val="nil"/>
        </w:pBdr>
        <w:spacing w:after="0" w:line="360" w:lineRule="auto"/>
        <w:ind w:left="567" w:right="49"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Toda persona, sin necesidad de acreditar interés alguno o justificar su utilización, tendrá acceso gratuito a la información pública, a sus datos personales o a la rectificación de éstos.</w:t>
      </w:r>
    </w:p>
    <w:p w:rsidR="006312C6" w:rsidRDefault="00FC100D">
      <w:pPr>
        <w:numPr>
          <w:ilvl w:val="3"/>
          <w:numId w:val="8"/>
        </w:numPr>
        <w:pBdr>
          <w:top w:val="nil"/>
          <w:left w:val="nil"/>
          <w:bottom w:val="nil"/>
          <w:right w:val="nil"/>
          <w:between w:val="nil"/>
        </w:pBdr>
        <w:spacing w:after="0" w:line="360" w:lineRule="auto"/>
        <w:ind w:left="567" w:right="49"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Se establecerán mecanismos de acceso a la información y procedimientos de revisión expeditos que se sustanciarán ante el organismo autónomo especializado e imparcial que establece esta Constitución.</w:t>
      </w:r>
    </w:p>
    <w:p w:rsidR="006312C6" w:rsidRDefault="00FC100D">
      <w:pPr>
        <w:numPr>
          <w:ilvl w:val="3"/>
          <w:numId w:val="8"/>
        </w:numPr>
        <w:pBdr>
          <w:top w:val="nil"/>
          <w:left w:val="nil"/>
          <w:bottom w:val="nil"/>
          <w:right w:val="nil"/>
          <w:between w:val="nil"/>
        </w:pBdr>
        <w:spacing w:after="0" w:line="360" w:lineRule="auto"/>
        <w:ind w:left="567" w:right="49"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6312C6" w:rsidRDefault="00FC100D">
      <w:pPr>
        <w:numPr>
          <w:ilvl w:val="3"/>
          <w:numId w:val="8"/>
        </w:numPr>
        <w:pBdr>
          <w:top w:val="nil"/>
          <w:left w:val="nil"/>
          <w:bottom w:val="nil"/>
          <w:right w:val="nil"/>
          <w:between w:val="nil"/>
        </w:pBdr>
        <w:spacing w:after="0" w:line="360" w:lineRule="auto"/>
        <w:ind w:left="567" w:right="49"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Los sujetos obligados deberán preservar sus documentos en archivos administrativos actualizados y publicarán, a través de los medios electrónicos disponibles, la información completa y actualizada sobre el ejercicio de los recursos públicos</w:t>
      </w:r>
      <w:r>
        <w:rPr>
          <w:rFonts w:ascii="Palatino Linotype" w:eastAsia="Palatino Linotype" w:hAnsi="Palatino Linotype" w:cs="Palatino Linotype"/>
          <w:i/>
          <w:iCs/>
          <w:color w:val="000000"/>
          <w:sz w:val="24"/>
          <w:szCs w:val="24"/>
        </w:rPr>
        <w:t xml:space="preserve"> y los indicadores que permitan rendir cuenta del cumplimiento de sus objetivos y los resultados obtenidos.</w:t>
      </w:r>
    </w:p>
    <w:p w:rsidR="006312C6" w:rsidRDefault="00FC100D">
      <w:pPr>
        <w:numPr>
          <w:ilvl w:val="3"/>
          <w:numId w:val="8"/>
        </w:numPr>
        <w:pBdr>
          <w:top w:val="nil"/>
          <w:left w:val="nil"/>
          <w:bottom w:val="nil"/>
          <w:right w:val="nil"/>
          <w:between w:val="nil"/>
        </w:pBdr>
        <w:spacing w:after="0" w:line="360" w:lineRule="auto"/>
        <w:ind w:left="567" w:right="49"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La ley reglamentaria, determinará la manera en que los sujetos obligados deberán hacer pública la información relativa a los recursos públicos que entreguen a personas físicas o jurídicas colectivas.”</w:t>
      </w:r>
    </w:p>
    <w:p w:rsidR="006312C6" w:rsidRDefault="006312C6">
      <w:pPr>
        <w:pBdr>
          <w:top w:val="nil"/>
          <w:left w:val="nil"/>
          <w:bottom w:val="nil"/>
          <w:right w:val="nil"/>
          <w:between w:val="nil"/>
        </w:pBdr>
        <w:spacing w:after="0" w:line="360" w:lineRule="auto"/>
        <w:ind w:left="567" w:right="49"/>
        <w:jc w:val="both"/>
        <w:rPr>
          <w:rFonts w:ascii="Palatino Linotype" w:eastAsia="Palatino Linotype" w:hAnsi="Palatino Linotype" w:cs="Palatino Linotype"/>
          <w:i/>
          <w:iCs/>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Adicional, tenemos que la Ley de Transparencia y Acceso a la Información Pública del Estado de México y Municipios, prevé en su artículo 23 fracción I, lo siguiente:</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23.</w:t>
      </w:r>
      <w:r>
        <w:rPr>
          <w:rFonts w:ascii="Palatino Linotype" w:eastAsia="Palatino Linotype" w:hAnsi="Palatino Linotype" w:cs="Palatino Linotype"/>
          <w:i/>
          <w:iCs/>
          <w:color w:val="000000"/>
          <w:sz w:val="24"/>
          <w:szCs w:val="24"/>
        </w:rPr>
        <w:t xml:space="preserve"> Son sujetos obligados a transparentar y permitir el acceso a su información y proteger los datos personales que obren en su poder:</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 xml:space="preserve">I. El Poder Ejecutivo del Estado de México, las dependencias, organismos auxiliares, órganos, entidades, fideicomisos y fondos públicos, así como la Fiscalía General de Justicia del Estado de México; </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6312C6" w:rsidRDefault="006312C6">
      <w:pPr>
        <w:spacing w:line="360" w:lineRule="auto"/>
        <w:ind w:left="567" w:right="49"/>
        <w:jc w:val="both"/>
        <w:rPr>
          <w:rFonts w:ascii="Palatino Linotype" w:eastAsia="Palatino Linotype" w:hAnsi="Palatino Linotype" w:cs="Palatino Linotype"/>
          <w:i/>
          <w:iCs/>
          <w:color w:val="000000"/>
          <w:sz w:val="24"/>
          <w:szCs w:val="24"/>
        </w:rPr>
      </w:pPr>
    </w:p>
    <w:p w:rsidR="006312C6" w:rsidRDefault="00FC100D">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servidores públicos deberán transparentar sus acciones así como garantizar y respetar el derecho de acceso a la información pública.”</w:t>
      </w:r>
    </w:p>
    <w:p w:rsidR="006312C6" w:rsidRDefault="006312C6">
      <w:pPr>
        <w:spacing w:line="360" w:lineRule="auto"/>
        <w:ind w:right="49"/>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Por lo anterior, es de referir que, el </w:t>
      </w:r>
      <w:r>
        <w:rPr>
          <w:rFonts w:ascii="Palatino Linotype" w:eastAsia="Palatino Linotype" w:hAnsi="Palatino Linotype" w:cs="Palatino Linotype"/>
          <w:b/>
          <w:bCs/>
          <w:color w:val="000000"/>
          <w:sz w:val="24"/>
          <w:szCs w:val="24"/>
        </w:rPr>
        <w:t>Ayuntamiento de Toluca</w:t>
      </w:r>
      <w:r>
        <w:rPr>
          <w:rFonts w:ascii="Palatino Linotype" w:eastAsia="Palatino Linotype" w:hAnsi="Palatino Linotype" w:cs="Palatino Linotype"/>
          <w:color w:val="000000"/>
          <w:sz w:val="24"/>
          <w:szCs w:val="24"/>
        </w:rPr>
        <w:t>, al ser un Sujeto Obligado comprendido por la Legislación Local en materia de Transparencia, se encuentra obligado a hacer pública toda aquella información que genere, administre o posea.</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Finalmente, se infiere que dentro de la información que se ordena entregar pueden existir datos susceptibles de clasificarse, mismos que de manera enunciativa más no limitativa se refieren a continuación:</w:t>
      </w:r>
    </w:p>
    <w:p w:rsidR="00DA11F7" w:rsidRDefault="00DA11F7" w:rsidP="00DA11F7">
      <w:pPr>
        <w:spacing w:after="0" w:line="360" w:lineRule="auto"/>
        <w:jc w:val="both"/>
        <w:rPr>
          <w:rFonts w:ascii="Palatino Linotype" w:eastAsia="Palatino Linotype" w:hAnsi="Palatino Linotype" w:cs="Palatino Linotype"/>
          <w:b/>
          <w:bCs/>
          <w:sz w:val="24"/>
          <w:szCs w:val="24"/>
        </w:rPr>
      </w:pPr>
    </w:p>
    <w:p w:rsidR="006312C6" w:rsidRDefault="00FC100D" w:rsidP="00DA11F7">
      <w:pPr>
        <w:spacing w:after="0" w:line="360" w:lineRule="auto"/>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Nombre de personas físicas contratistas.</w:t>
      </w:r>
    </w:p>
    <w:p w:rsidR="006312C6" w:rsidRPr="00DA11F7" w:rsidRDefault="00FC100D" w:rsidP="00DA11F7">
      <w:pPr>
        <w:pStyle w:val="Prrafodelista"/>
        <w:numPr>
          <w:ilvl w:val="0"/>
          <w:numId w:val="1"/>
        </w:numPr>
        <w:spacing w:line="360" w:lineRule="auto"/>
        <w:ind w:left="0" w:right="-93"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 xml:space="preserve">Al respecto, cabe precisar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DA11F7">
        <w:rPr>
          <w:rFonts w:ascii="Palatino Linotype" w:eastAsia="Palatino Linotype" w:hAnsi="Palatino Linotype" w:cs="Palatino Linotype"/>
          <w:i/>
          <w:iCs/>
        </w:rPr>
        <w:t>per se</w:t>
      </w:r>
      <w:r w:rsidRPr="00DA11F7">
        <w:rPr>
          <w:rFonts w:ascii="Palatino Linotype" w:eastAsia="Palatino Linotype" w:hAnsi="Palatino Linotype" w:cs="Palatino Linotype"/>
        </w:rPr>
        <w:t xml:space="preserve"> es un elemento que hace a una persona física identificada o identificable.</w:t>
      </w:r>
    </w:p>
    <w:p w:rsidR="006312C6" w:rsidRDefault="006312C6">
      <w:pPr>
        <w:spacing w:line="360" w:lineRule="auto"/>
        <w:ind w:right="-93"/>
        <w:jc w:val="both"/>
        <w:rPr>
          <w:rFonts w:ascii="Palatino Linotype" w:eastAsia="Palatino Linotype" w:hAnsi="Palatino Linotype" w:cs="Palatino Linotype"/>
          <w:sz w:val="24"/>
          <w:szCs w:val="24"/>
        </w:rPr>
      </w:pPr>
    </w:p>
    <w:p w:rsidR="006312C6" w:rsidRPr="00DA11F7" w:rsidRDefault="00FC100D" w:rsidP="00DA11F7">
      <w:pPr>
        <w:pStyle w:val="Prrafodelista"/>
        <w:numPr>
          <w:ilvl w:val="0"/>
          <w:numId w:val="1"/>
        </w:numPr>
        <w:spacing w:line="360" w:lineRule="auto"/>
        <w:ind w:left="0" w:right="-93"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 xml:space="preserve">En ese contexto, es importante mencionar que si bien es cierto que el nombre de una persona es atributo de la personalidad, de conformidad con la legislación civil, al tratarse de un dato personal hace identificable a su titular, además la Ley de Transparencia y Acceso a la Información Pública del Estado de México y Municipios ha establecido un régimen de excepción tratándose de </w:t>
      </w:r>
      <w:r w:rsidRPr="00DA11F7">
        <w:rPr>
          <w:rFonts w:ascii="Palatino Linotype" w:eastAsia="Palatino Linotype" w:hAnsi="Palatino Linotype" w:cs="Palatino Linotype"/>
          <w:b/>
          <w:bCs/>
        </w:rPr>
        <w:t>los nombres de aquellos que reciben recursos públicos (contratistas),</w:t>
      </w:r>
      <w:r w:rsidRPr="00DA11F7">
        <w:rPr>
          <w:rFonts w:ascii="Palatino Linotype" w:eastAsia="Palatino Linotype" w:hAnsi="Palatino Linotype" w:cs="Palatino Linotype"/>
        </w:rPr>
        <w:t xml:space="preserve"> ya que la difusión de dicho dato constituye una obligación de transparencia por parte de los sujetos obligados.</w:t>
      </w:r>
    </w:p>
    <w:p w:rsidR="006312C6" w:rsidRDefault="006312C6">
      <w:pPr>
        <w:spacing w:line="360" w:lineRule="auto"/>
        <w:ind w:right="-93"/>
        <w:jc w:val="both"/>
        <w:rPr>
          <w:rFonts w:ascii="Palatino Linotype" w:eastAsia="Palatino Linotype" w:hAnsi="Palatino Linotype" w:cs="Palatino Linotype"/>
          <w:sz w:val="24"/>
          <w:szCs w:val="24"/>
        </w:rPr>
      </w:pPr>
    </w:p>
    <w:p w:rsidR="006312C6" w:rsidRPr="00DA11F7" w:rsidRDefault="00FC100D" w:rsidP="00DA11F7">
      <w:pPr>
        <w:pStyle w:val="Prrafodelista"/>
        <w:numPr>
          <w:ilvl w:val="0"/>
          <w:numId w:val="1"/>
        </w:numPr>
        <w:spacing w:line="360" w:lineRule="auto"/>
        <w:ind w:left="0" w:right="-93" w:firstLine="0"/>
        <w:jc w:val="both"/>
        <w:rPr>
          <w:rFonts w:ascii="Palatino Linotype" w:eastAsia="Palatino Linotype" w:hAnsi="Palatino Linotype" w:cs="Palatino Linotype"/>
          <w:b/>
          <w:bCs/>
        </w:rPr>
      </w:pPr>
      <w:r w:rsidRPr="00DA11F7">
        <w:rPr>
          <w:rFonts w:ascii="Palatino Linotype" w:eastAsia="Palatino Linotype" w:hAnsi="Palatino Linotype" w:cs="Palatino Linotype"/>
        </w:rPr>
        <w:t xml:space="preserve">Toma sustento con el artículo 92, fracciones XXXI, de la Ley de la materia, el cual establece que los sujetos obligados tienen la obligación de poner a disposición del público y mantener actualizada de acuerdo con sus facultades, atribuciones, funciones u objeto social, según corresponda el </w:t>
      </w:r>
      <w:r w:rsidRPr="00DA11F7">
        <w:rPr>
          <w:rFonts w:ascii="Palatino Linotype" w:eastAsia="Palatino Linotype" w:hAnsi="Palatino Linotype" w:cs="Palatino Linotype"/>
          <w:b/>
          <w:bCs/>
        </w:rPr>
        <w:t>Padrón de proveedores y contratistas.</w:t>
      </w:r>
    </w:p>
    <w:p w:rsidR="006312C6" w:rsidRDefault="006312C6">
      <w:pPr>
        <w:spacing w:line="360" w:lineRule="auto"/>
        <w:ind w:right="-93"/>
        <w:jc w:val="both"/>
        <w:rPr>
          <w:rFonts w:ascii="Palatino Linotype" w:eastAsia="Palatino Linotype" w:hAnsi="Palatino Linotype" w:cs="Palatino Linotype"/>
          <w:b/>
          <w:bCs/>
          <w:sz w:val="24"/>
          <w:szCs w:val="24"/>
        </w:rPr>
      </w:pPr>
    </w:p>
    <w:p w:rsidR="006312C6" w:rsidRPr="00DA11F7" w:rsidRDefault="00FC100D" w:rsidP="00DA11F7">
      <w:pPr>
        <w:pStyle w:val="Prrafodelista"/>
        <w:numPr>
          <w:ilvl w:val="0"/>
          <w:numId w:val="1"/>
        </w:numPr>
        <w:spacing w:line="360" w:lineRule="auto"/>
        <w:ind w:left="0" w:right="-93"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lastRenderedPageBreak/>
        <w:t>Además, se robustece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rsidR="006312C6" w:rsidRDefault="006312C6">
      <w:pPr>
        <w:spacing w:line="360" w:lineRule="auto"/>
        <w:ind w:right="-93"/>
        <w:jc w:val="both"/>
        <w:rPr>
          <w:rFonts w:ascii="Palatino Linotype" w:eastAsia="Palatino Linotype" w:hAnsi="Palatino Linotype" w:cs="Palatino Linotype"/>
          <w:sz w:val="24"/>
          <w:szCs w:val="24"/>
        </w:rPr>
      </w:pPr>
    </w:p>
    <w:p w:rsidR="006312C6" w:rsidRDefault="00FC100D">
      <w:pPr>
        <w:ind w:right="-93"/>
        <w:jc w:val="both"/>
        <w:rPr>
          <w:rFonts w:ascii="Palatino Linotype" w:eastAsia="Palatino Linotype" w:hAnsi="Palatino Linotype" w:cs="Palatino Linotype"/>
          <w:b/>
          <w:bCs/>
          <w:sz w:val="24"/>
          <w:szCs w:val="24"/>
        </w:rPr>
      </w:pPr>
      <w:r>
        <w:rPr>
          <w:rFonts w:ascii="Palatino Linotype" w:eastAsia="Palatino Linotype" w:hAnsi="Palatino Linotype" w:cs="Palatino Linotype"/>
          <w:noProof/>
          <w:sz w:val="24"/>
          <w:szCs w:val="24"/>
        </w:rPr>
        <w:drawing>
          <wp:inline distT="0" distB="0" distL="0" distR="0">
            <wp:extent cx="5743575" cy="752475"/>
            <wp:effectExtent l="0" t="0" r="0" b="0"/>
            <wp:docPr id="14325137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b="84505"/>
                    <a:stretch>
                      <a:fillRect/>
                    </a:stretch>
                  </pic:blipFill>
                  <pic:spPr>
                    <a:xfrm>
                      <a:off x="0" y="0"/>
                      <a:ext cx="5743575" cy="752475"/>
                    </a:xfrm>
                    <a:prstGeom prst="rect">
                      <a:avLst/>
                    </a:prstGeom>
                    <a:ln/>
                  </pic:spPr>
                </pic:pic>
              </a:graphicData>
            </a:graphic>
          </wp:inline>
        </w:drawing>
      </w:r>
    </w:p>
    <w:p w:rsidR="006312C6" w:rsidRDefault="00FC100D">
      <w:pPr>
        <w:spacing w:line="360" w:lineRule="auto"/>
        <w:ind w:right="-93"/>
        <w:jc w:val="both"/>
        <w:rPr>
          <w:rFonts w:ascii="Palatino Linotype" w:eastAsia="Palatino Linotype" w:hAnsi="Palatino Linotype" w:cs="Palatino Linotype"/>
          <w:b/>
          <w:bCs/>
          <w:sz w:val="24"/>
          <w:szCs w:val="24"/>
        </w:rPr>
      </w:pPr>
      <w:r>
        <w:rPr>
          <w:rFonts w:ascii="Palatino Linotype" w:eastAsia="Palatino Linotype" w:hAnsi="Palatino Linotype" w:cs="Palatino Linotype"/>
          <w:noProof/>
          <w:sz w:val="24"/>
          <w:szCs w:val="24"/>
        </w:rPr>
        <w:drawing>
          <wp:inline distT="0" distB="0" distL="0" distR="0">
            <wp:extent cx="5743575" cy="495300"/>
            <wp:effectExtent l="0" t="0" r="0" b="0"/>
            <wp:docPr id="14325137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t="89838" b="-38"/>
                    <a:stretch>
                      <a:fillRect/>
                    </a:stretch>
                  </pic:blipFill>
                  <pic:spPr>
                    <a:xfrm>
                      <a:off x="0" y="0"/>
                      <a:ext cx="5743575" cy="495300"/>
                    </a:xfrm>
                    <a:prstGeom prst="rect">
                      <a:avLst/>
                    </a:prstGeom>
                    <a:ln/>
                  </pic:spPr>
                </pic:pic>
              </a:graphicData>
            </a:graphic>
          </wp:inline>
        </w:drawing>
      </w:r>
    </w:p>
    <w:p w:rsidR="006312C6" w:rsidRDefault="006312C6">
      <w:pPr>
        <w:spacing w:line="360" w:lineRule="auto"/>
        <w:ind w:right="-93"/>
        <w:jc w:val="both"/>
        <w:rPr>
          <w:rFonts w:ascii="Palatino Linotype" w:eastAsia="Palatino Linotype" w:hAnsi="Palatino Linotype" w:cs="Palatino Linotype"/>
          <w:b/>
          <w:bCs/>
          <w:sz w:val="24"/>
          <w:szCs w:val="24"/>
        </w:rPr>
      </w:pPr>
    </w:p>
    <w:p w:rsidR="006312C6" w:rsidRPr="00DA11F7" w:rsidRDefault="00FC100D" w:rsidP="00DA11F7">
      <w:pPr>
        <w:pStyle w:val="Prrafodelista"/>
        <w:numPr>
          <w:ilvl w:val="0"/>
          <w:numId w:val="1"/>
        </w:numPr>
        <w:spacing w:line="360" w:lineRule="auto"/>
        <w:ind w:left="0" w:right="-93" w:firstLine="0"/>
        <w:jc w:val="both"/>
        <w:rPr>
          <w:rFonts w:ascii="Palatino Linotype" w:eastAsia="Palatino Linotype" w:hAnsi="Palatino Linotype" w:cs="Palatino Linotype"/>
          <w:b/>
          <w:bCs/>
        </w:rPr>
      </w:pPr>
      <w:r w:rsidRPr="00DA11F7">
        <w:rPr>
          <w:rFonts w:ascii="Palatino Linotype" w:eastAsia="Palatino Linotype" w:hAnsi="Palatino Linotype" w:cs="Palatino Linotype"/>
        </w:rPr>
        <w:t xml:space="preserve">Por lo tanto, la Ley de Transparencia y Acceso a la Información Pública del Estado de México y Municipios, considera que </w:t>
      </w:r>
      <w:r w:rsidRPr="00DA11F7">
        <w:rPr>
          <w:rFonts w:ascii="Palatino Linotype" w:eastAsia="Palatino Linotype" w:hAnsi="Palatino Linotype" w:cs="Palatino Linotype"/>
          <w:b/>
          <w:bCs/>
        </w:rPr>
        <w:t xml:space="preserve">los datos de aquellas personas que recibieron recursos públicos, por regla general, </w:t>
      </w:r>
      <w:r w:rsidRPr="00DA11F7">
        <w:rPr>
          <w:rFonts w:ascii="Palatino Linotype" w:eastAsia="Palatino Linotype" w:hAnsi="Palatino Linotype" w:cs="Palatino Linotype"/>
        </w:rPr>
        <w:t xml:space="preserve">son de naturaleza pública, ya que su publicidad orienta a cumplir los objetivos que persigue la Ley; toda vez, </w:t>
      </w:r>
      <w:r w:rsidRPr="00DA11F7">
        <w:rPr>
          <w:rFonts w:ascii="Palatino Linotype" w:eastAsia="Palatino Linotype" w:hAnsi="Palatino Linotype" w:cs="Palatino Linotype"/>
          <w:b/>
          <w:bCs/>
        </w:rPr>
        <w:t>que ayuda a transparentar a quienes se les han otorgado recursos públicos, así como, porque razones se les otorgaron dichos montos.</w:t>
      </w:r>
    </w:p>
    <w:p w:rsidR="006312C6" w:rsidRDefault="006312C6">
      <w:pPr>
        <w:spacing w:line="360" w:lineRule="auto"/>
        <w:jc w:val="both"/>
        <w:rPr>
          <w:rFonts w:ascii="Palatino Linotype" w:eastAsia="Palatino Linotype" w:hAnsi="Palatino Linotype" w:cs="Palatino Linotype"/>
          <w:b/>
          <w:bCs/>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Por lo que, se considera que no procede la clasificación del nombre de los contratistas, en términos del artículo 143, fracción I de la Ley de Transparencia y Acceso a la Información Pública del Estado de México y Municipios.</w:t>
      </w:r>
    </w:p>
    <w:p w:rsidR="006312C6" w:rsidRDefault="00FC100D" w:rsidP="00DA11F7">
      <w:pPr>
        <w:spacing w:after="0" w:line="360" w:lineRule="auto"/>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lastRenderedPageBreak/>
        <w:t>Denominación o razón Social de contratistas personas morales.</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Al respecto, se considera que la denominación o razón social de una persona moral, es pública, pues dichos datos se encuentran inscritos en el Registro Público del Comercio; lo anterior, toma sustento en el Criterio de Interpretación, de la Segunda Época, con número de registro SO/008/2019, emitido por el Instituto Nacional de Transparencia, Acceso a la Información y Protección de Datos Personales, que precisa lo siguiente:</w:t>
      </w:r>
    </w:p>
    <w:p w:rsidR="006312C6" w:rsidRDefault="00FC100D">
      <w:pPr>
        <w:spacing w:line="360" w:lineRule="auto"/>
        <w:ind w:left="567" w:right="56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“Razón social y RFC de personas morales. </w:t>
      </w:r>
      <w:r>
        <w:rPr>
          <w:rFonts w:ascii="Palatino Linotype" w:eastAsia="Palatino Linotype" w:hAnsi="Palatino Linotype" w:cs="Palatino Linotype"/>
          <w:i/>
          <w:iCs/>
          <w:sz w:val="24"/>
          <w:szCs w:val="24"/>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rsidR="006312C6" w:rsidRDefault="006312C6">
      <w:pPr>
        <w:spacing w:line="360" w:lineRule="auto"/>
        <w:jc w:val="both"/>
        <w:rPr>
          <w:rFonts w:ascii="Palatino Linotype" w:eastAsia="Palatino Linotype" w:hAnsi="Palatino Linotype" w:cs="Palatino Linotype"/>
          <w:b/>
          <w:bCs/>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t>Lo anterior, se robustece con el hecho de que el Ente Recurrido tiene como obligación común de transparencia, poner a disposición del público el padrón de contratistas y contratistas, que como se advirtió en párrafos anteriores debe incluir la denominación o razón social del proveedor o contratista, de conformidad con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rsidR="006312C6" w:rsidRDefault="006312C6">
      <w:pPr>
        <w:spacing w:line="360" w:lineRule="auto"/>
        <w:jc w:val="both"/>
        <w:rPr>
          <w:rFonts w:ascii="Palatino Linotype" w:eastAsia="Palatino Linotype" w:hAnsi="Palatino Linotype" w:cs="Palatino Linotype"/>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rPr>
      </w:pPr>
      <w:r w:rsidRPr="00DA11F7">
        <w:rPr>
          <w:rFonts w:ascii="Palatino Linotype" w:eastAsia="Palatino Linotype" w:hAnsi="Palatino Linotype" w:cs="Palatino Linotype"/>
        </w:rPr>
        <w:lastRenderedPageBreak/>
        <w:t>Por lo tanto, no procede la clasificación de la denominación o razón social de los contratistas personas morales, en términos del artículo 143, fracción I de la Ley de Transparencia y Acceso a la Información Pública del Estado de México y Municipios.</w:t>
      </w:r>
    </w:p>
    <w:p w:rsidR="006312C6" w:rsidRDefault="006312C6">
      <w:pPr>
        <w:spacing w:line="360" w:lineRule="auto"/>
        <w:jc w:val="both"/>
        <w:rPr>
          <w:rFonts w:ascii="Palatino Linotype" w:eastAsia="Palatino Linotype" w:hAnsi="Palatino Linotype" w:cs="Palatino Linotype"/>
          <w:b/>
          <w:bCs/>
          <w:color w:val="000000"/>
          <w:sz w:val="24"/>
          <w:szCs w:val="24"/>
        </w:rPr>
      </w:pPr>
    </w:p>
    <w:p w:rsidR="006312C6" w:rsidRDefault="00FC100D" w:rsidP="00DA11F7">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Registro Federal de Contribuyentes de contratista</w:t>
      </w:r>
    </w:p>
    <w:p w:rsidR="006312C6" w:rsidRDefault="00FC100D">
      <w:pPr>
        <w:spacing w:line="360" w:lineRule="auto"/>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Persona física</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Al respecto, es necesario precisar que el proveedor de cualquier Sujeto Obligado de la Ley de la materia, que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tribunales administrativos, así como los Gobiernos Municipales, deberán presentar, entre otras cosas, la cédula de identificación fiscal (Registro Federal de Contribuyentes); por lo que la entrega de dicho dato permite verificar cumplimiento de esta disposición legal.</w:t>
      </w:r>
    </w:p>
    <w:p w:rsidR="006312C6" w:rsidRDefault="006312C6">
      <w:pPr>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Por lo tanto, en el presente caso, si bien el Registro Federal de Contribuyentes de personas físicas es un dato personal, también lo es, que corresponde a un requisito indispensable para ser proveedor y poder llevar a cabo actividades comerciales con la Entidad, ya que, sin este, no se pueden realizar dichas acciones, por lo que su entrega es un elemento adicional que respalda la legalidad de los procesos adquisitivos.</w:t>
      </w:r>
    </w:p>
    <w:p w:rsidR="006312C6" w:rsidRDefault="006312C6">
      <w:pPr>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lastRenderedPageBreak/>
        <w:t>En ese contexto, entregar el Registro Federal de Contribuyentes aún de personas físicas cuando son contratistas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rsidR="006312C6" w:rsidRDefault="006312C6">
      <w:pPr>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Lo anterior, se robustece con el Criterio Orientador, de la Segunda Época, con número de registro SO/004/2021, emitido por el entonces Instituto Nacional de Transparencia, Acceso a la Información y Protección de Datos Personales, vigente a la fecha de la solicitud, en el cual se señala lo siguiente:</w:t>
      </w:r>
    </w:p>
    <w:p w:rsidR="006312C6" w:rsidRDefault="00FC100D">
      <w:pPr>
        <w:tabs>
          <w:tab w:val="center" w:pos="4522"/>
        </w:tabs>
        <w:spacing w:line="360" w:lineRule="auto"/>
        <w:ind w:left="567" w:right="56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 xml:space="preserve">“Registro Federal de Contribuyentes (RFC) de personas físicas contratistas o contratistas. </w:t>
      </w:r>
      <w:r>
        <w:rPr>
          <w:rFonts w:ascii="Palatino Linotype" w:eastAsia="Palatino Linotype" w:hAnsi="Palatino Linotype" w:cs="Palatino Linotype"/>
          <w:i/>
          <w:iCs/>
          <w:color w:val="000000"/>
          <w:sz w:val="24"/>
          <w:szCs w:val="24"/>
        </w:rPr>
        <w:t>El RFC de contratistas o contratistas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b/>
          <w:bCs/>
          <w:color w:val="000000"/>
          <w:u w:val="single"/>
        </w:rPr>
      </w:pPr>
      <w:r w:rsidRPr="00DA11F7">
        <w:rPr>
          <w:rFonts w:ascii="Palatino Linotype" w:eastAsia="Palatino Linotype" w:hAnsi="Palatino Linotype" w:cs="Palatino Linotype"/>
          <w:color w:val="000000"/>
        </w:rPr>
        <w:t>En conclusión, toda vez, que el Registro Federal de Contribuyentes de contratistas o contratistas, es un requisito indispensable, para poder participar en adquisiciones públicas y contracción de servicios y que abona a la transparencia con la que deben administrarse los recursos públicos, no actualiza la causal de clasificación prevista en el artículo 143, fracción I de la Ley de Transparencia y Acceso a la Información Pública del Estado de México y Municipios.</w:t>
      </w:r>
    </w:p>
    <w:p w:rsidR="006312C6" w:rsidRDefault="006312C6">
      <w:pPr>
        <w:tabs>
          <w:tab w:val="center" w:pos="4522"/>
        </w:tabs>
        <w:spacing w:line="360" w:lineRule="auto"/>
        <w:jc w:val="both"/>
        <w:rPr>
          <w:rFonts w:ascii="Palatino Linotype" w:eastAsia="Palatino Linotype" w:hAnsi="Palatino Linotype" w:cs="Palatino Linotype"/>
          <w:b/>
          <w:bCs/>
          <w:color w:val="000000"/>
          <w:sz w:val="24"/>
          <w:szCs w:val="24"/>
        </w:rPr>
      </w:pPr>
    </w:p>
    <w:p w:rsidR="006312C6" w:rsidRDefault="00FC100D">
      <w:pPr>
        <w:tabs>
          <w:tab w:val="center" w:pos="4522"/>
        </w:tabs>
        <w:spacing w:line="360" w:lineRule="auto"/>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Persona Moral</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Por ende, la información correspondiente al Registro Federal de Contribuyentes de una persona moral da cuenta del cumplimiento o no en sus obligaciones fiscales; por tanto, no se actualiza su clasificación como confidencial.</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Además, resulta aplicable por analogía el Criterio Orientador, de la Segunda Época, con número de registro SO/008/2019, emitido por el entonces Instituto Nacional de Transparencia, Acceso a la Información y Protección de Datos Personales, vigente a la fecha de la solicitud, que precisa que el Registro Federal de Contribuyentes de personas morales, es público, al no referir a hechos o actos de carácter económico, contable, jurídico o administrativo que sean útiles o representen una ventaja a sus competidores.</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lastRenderedPageBreak/>
        <w:t>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rsidR="006312C6" w:rsidRDefault="006312C6">
      <w:pPr>
        <w:spacing w:line="360" w:lineRule="auto"/>
        <w:jc w:val="both"/>
        <w:rPr>
          <w:rFonts w:ascii="Palatino Linotype" w:eastAsia="Palatino Linotype" w:hAnsi="Palatino Linotype" w:cs="Palatino Linotype"/>
          <w:b/>
          <w:bCs/>
          <w:color w:val="000000"/>
          <w:sz w:val="24"/>
          <w:szCs w:val="24"/>
        </w:rPr>
      </w:pPr>
    </w:p>
    <w:p w:rsidR="006312C6" w:rsidRDefault="00FC100D" w:rsidP="00DA11F7">
      <w:pPr>
        <w:numPr>
          <w:ilvl w:val="0"/>
          <w:numId w:val="1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Domicilio Fiscal o legal para recibir y oír notificaciones (contratista persona física o moral).</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De la misma manera, lo establece los diversos 29 y 33 del Código Civil Federal, al precisar que el domicilio de personas físicas</w:t>
      </w:r>
      <w:r w:rsidRPr="00DA11F7">
        <w:rPr>
          <w:rFonts w:ascii="Palatino Linotype" w:eastAsia="Palatino Linotype" w:hAnsi="Palatino Linotype" w:cs="Palatino Linotype"/>
          <w:b/>
          <w:bCs/>
          <w:color w:val="000000"/>
        </w:rPr>
        <w:t xml:space="preserve">, es el lugar donde residen habitualmente, el lugar del centro principal de sus negocios, donde residan o el lugar donde se encuentren; </w:t>
      </w:r>
      <w:r w:rsidRPr="00DA11F7">
        <w:rPr>
          <w:rFonts w:ascii="Palatino Linotype" w:eastAsia="Palatino Linotype" w:hAnsi="Palatino Linotype" w:cs="Palatino Linotype"/>
          <w:color w:val="000000"/>
        </w:rPr>
        <w:t>mientras que, de las personas morales, aquel donde se halle su administración.</w:t>
      </w:r>
    </w:p>
    <w:p w:rsidR="006312C6" w:rsidRDefault="006312C6">
      <w:pPr>
        <w:tabs>
          <w:tab w:val="center" w:pos="4522"/>
        </w:tabs>
        <w:spacing w:line="360" w:lineRule="auto"/>
        <w:jc w:val="both"/>
        <w:rPr>
          <w:rFonts w:ascii="Palatino Linotype" w:eastAsia="Palatino Linotype" w:hAnsi="Palatino Linotype" w:cs="Palatino Linotype"/>
          <w:b/>
          <w:bCs/>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Además, respecto al domicilio fiscal, resulta necesario traer el artículo 10 del Código Fiscal de la Federación, que establece que, tratándose de personas físicas, corresponderá dicho dato:</w:t>
      </w:r>
    </w:p>
    <w:p w:rsidR="006312C6" w:rsidRDefault="00FC100D" w:rsidP="00DA11F7">
      <w:pPr>
        <w:numPr>
          <w:ilvl w:val="0"/>
          <w:numId w:val="12"/>
        </w:numPr>
        <w:pBdr>
          <w:top w:val="nil"/>
          <w:left w:val="nil"/>
          <w:bottom w:val="nil"/>
          <w:right w:val="nil"/>
          <w:between w:val="nil"/>
        </w:pBdr>
        <w:tabs>
          <w:tab w:val="center" w:pos="4522"/>
        </w:tabs>
        <w:spacing w:after="0" w:line="36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El lugar donde realizan actividades empresariales, el local, en que se encuentre el principal asiente de sus negocios, y</w:t>
      </w:r>
    </w:p>
    <w:p w:rsidR="006312C6" w:rsidRDefault="00FC100D">
      <w:pPr>
        <w:numPr>
          <w:ilvl w:val="0"/>
          <w:numId w:val="12"/>
        </w:numPr>
        <w:pBdr>
          <w:top w:val="nil"/>
          <w:left w:val="nil"/>
          <w:bottom w:val="nil"/>
          <w:right w:val="nil"/>
          <w:between w:val="nil"/>
        </w:pBdr>
        <w:tabs>
          <w:tab w:val="center" w:pos="4522"/>
        </w:tabs>
        <w:spacing w:after="0" w:line="36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 casa habitación, cuando no cuenta con un local o lugar donde realice las acciones previamente señaladas.</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Mientras que, en el caso de personas morales, el domicilio fiscal,  corresponderá al local donde se encuentra la administración principal del negocio. Como se logra observar, el domicilio fiscal de los contratistas personas físicas, se encuentra en dos supuestos, por lo que, se procede a su análisis.</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privada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 xml:space="preserve">Como se logra observar, es obligación de transparencia proporcionar el domicilio fiscal de los contratistas, por lo que, se considera que, en el caso, de que dicho dato, </w:t>
      </w:r>
      <w:r w:rsidRPr="00DA11F7">
        <w:rPr>
          <w:rFonts w:ascii="Palatino Linotype" w:eastAsia="Palatino Linotype" w:hAnsi="Palatino Linotype" w:cs="Palatino Linotype"/>
          <w:color w:val="000000"/>
        </w:rPr>
        <w:lastRenderedPageBreak/>
        <w:t>corresponda a un local o lugar donde realice sus actividades empresariales, se debe entregar.</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De tal suerte que, tratándose de contratistas (personas físicas o jurídico-colectivas), el domicilio fiscal, no actualiza la causal de clasificación, establecida en el artículo 143, fracción I de la Ley de Transparencia y Acceso a la Información Pública del Estado de México y Municipios.</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Default="00FC100D">
      <w:pPr>
        <w:numPr>
          <w:ilvl w:val="0"/>
          <w:numId w:val="10"/>
        </w:numPr>
        <w:pBdr>
          <w:top w:val="nil"/>
          <w:left w:val="nil"/>
          <w:bottom w:val="nil"/>
          <w:right w:val="nil"/>
          <w:between w:val="nil"/>
        </w:pBdr>
        <w:tabs>
          <w:tab w:val="center" w:pos="4522"/>
        </w:tabs>
        <w:spacing w:after="0" w:line="360" w:lineRule="auto"/>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Cuenta bancaria y CLABE interbancaria de contratista</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Al respecto, se estima que dichos datos se relacionan con hechos y actos de carácter económico, pues los mismos darían cuenta, de la relación que tiene una institución financiero con un particular, ya sea persona física o moral; además, que con dicha información se podría obtener los recursos enviados a las órdenes de cargo, pago o a las transferencias electrónicas de fondos interbancarios, entre otros movimientos que sean utilizados exclusivamente en la cuenta señalada por el cliente y, por lo tanto, los datos bancarios corresponden a información que se encuentra relacionada con el patrimonio de la persona titular de la cuenta.</w:t>
      </w:r>
    </w:p>
    <w:p w:rsidR="006312C6" w:rsidRDefault="00FC100D">
      <w:pPr>
        <w:tabs>
          <w:tab w:val="center" w:pos="4522"/>
        </w:tabs>
        <w:spacing w:line="36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A mayor abundamiento, resulta necesario traer a colación el Criterio Orientador, de la Segunda Época, con número de registro SO/010/2017, emitido por el entonces Instituto Nacional de Transparencia, Acceso a la Información y Protección de Datos Personales, mismo que establece lo siguiente:</w:t>
      </w:r>
    </w:p>
    <w:p w:rsidR="006312C6" w:rsidRDefault="00FC100D">
      <w:pPr>
        <w:tabs>
          <w:tab w:val="center" w:pos="4522"/>
        </w:tabs>
        <w:spacing w:line="36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w:t>
      </w:r>
    </w:p>
    <w:p w:rsidR="006312C6" w:rsidRDefault="00FC100D">
      <w:pPr>
        <w:tabs>
          <w:tab w:val="center" w:pos="4522"/>
        </w:tabs>
        <w:spacing w:line="360" w:lineRule="auto"/>
        <w:ind w:left="567" w:right="56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w:t>
      </w:r>
      <w:r>
        <w:rPr>
          <w:rFonts w:ascii="Palatino Linotype" w:eastAsia="Palatino Linotype" w:hAnsi="Palatino Linotype" w:cs="Palatino Linotype"/>
          <w:b/>
          <w:bCs/>
          <w:i/>
          <w:iCs/>
          <w:color w:val="000000"/>
          <w:sz w:val="24"/>
          <w:szCs w:val="24"/>
        </w:rPr>
        <w:t>Cuentas bancarias y/o CLABE interbancaria de personas físicas y morales privadas.</w:t>
      </w:r>
      <w:r>
        <w:rPr>
          <w:rFonts w:ascii="Palatino Linotype" w:eastAsia="Palatino Linotype" w:hAnsi="Palatino Linotype" w:cs="Palatino Linotype"/>
          <w:i/>
          <w:iCs/>
          <w:color w:val="000000"/>
          <w:sz w:val="24"/>
          <w:szCs w:val="24"/>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6312C6" w:rsidRDefault="00FC100D">
      <w:pPr>
        <w:tabs>
          <w:tab w:val="center" w:pos="4522"/>
        </w:tabs>
        <w:spacing w:line="36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 xml:space="preserve">Por lo cual, se puede colegir que dichos datos no guardan relación con el servicio público ni con los recursos públicos, pues sólo corresponde a información, que le atañe a la institución financiera y al cliente; por lo que este número constituye información confidencial al pertenecer exclusivamente al ámbito de la vida privada del proveedor y procede su eliminación de conformidad con el artículo 143, fracción I, de la Ley de Transparencia y Acceso a la Información Pública del Estado de México y Municipios.  </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Default="00FC100D">
      <w:pPr>
        <w:numPr>
          <w:ilvl w:val="0"/>
          <w:numId w:val="10"/>
        </w:numPr>
        <w:pBdr>
          <w:top w:val="nil"/>
          <w:left w:val="nil"/>
          <w:bottom w:val="nil"/>
          <w:right w:val="nil"/>
          <w:between w:val="nil"/>
        </w:pBdr>
        <w:tabs>
          <w:tab w:val="center" w:pos="4522"/>
        </w:tabs>
        <w:spacing w:after="0" w:line="360" w:lineRule="auto"/>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Nombre de institución bancaria</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 xml:space="preserve">En principio, es necesario señalar que conforme al artículo 2°, fracción IV  de la Ley de Protección y Defensa al Usuario de Servicios Financieros, establece que una institución financiera, se le denomina a las sociedades controladoras, instituciones de crédito, sociedades financieras de objeto múltiple, sociedades de información crediticia, casas de bolsa, especialistas bursátiles,  fondos de inversión, almacenes generales de depósito, uniones de crédito, casas de cambio, instituciones de seguros, sociedades </w:t>
      </w:r>
      <w:r w:rsidRPr="00DA11F7">
        <w:rPr>
          <w:rFonts w:ascii="Palatino Linotype" w:eastAsia="Palatino Linotype" w:hAnsi="Palatino Linotype" w:cs="Palatino Linotype"/>
          <w:color w:val="000000"/>
        </w:rPr>
        <w:lastRenderedPageBreak/>
        <w:t>mutualistas de seguros, instituciones de fianzas, administradoras de fondos para el retiro, PENSIONISSSTE, empresas operadoras de la base de datos nacional del sistema de ahorro para el retiro, Instituto del Fondo Nacional para el Consumo de los Trabajadores, sociedades cooperativas de ahorro y préstamo, sociedades financieras populares, sociedades financieras comunitarias, y cualquiera otra sociedad que requiera de la autorización de la Secretaría de Hacienda y Crédito Público o de cualesquiera de las Comisiones Nacionales para constituirse y funcionar como tales y ofrecer un producto o servicio financiero a los usuarios. </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 xml:space="preserve">En ese orden de ideas, en el portal de la Comisión Nacional para la Protección y Defensa de los Usuarios de Servicios Financieros (consultadas el dieciocho de enero de dos mil veintitrés), en </w:t>
      </w:r>
      <w:hyperlink r:id="rId13">
        <w:r w:rsidRPr="00DA11F7">
          <w:rPr>
            <w:rFonts w:ascii="Palatino Linotype" w:eastAsia="Palatino Linotype" w:hAnsi="Palatino Linotype" w:cs="Palatino Linotype"/>
            <w:color w:val="0000FF"/>
            <w:u w:val="single"/>
          </w:rPr>
          <w:t>https://www.condusef.gob.mx/Revista/index.php/usuario-inteligente/condusef-responde/777-la-condusef-te-puede-ayudar</w:t>
        </w:r>
      </w:hyperlink>
      <w:r w:rsidRPr="00DA11F7">
        <w:rPr>
          <w:rFonts w:ascii="Palatino Linotype" w:eastAsia="Palatino Linotype" w:hAnsi="Palatino Linotype" w:cs="Palatino Linotype"/>
          <w:color w:val="000000"/>
        </w:rPr>
        <w:t>), se establece que los bancos son instituciones financieras; conforme a lo anterior, se puede advertir que las instituciones bancarias, son personas morales.</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En ese orden de ideas, se considera que la denominación o razón social de una persona moral, es pública, pues dichos datos se encuentran inscritos en el Registro Público del Comercio; lo anterior, toma sustento en el Criterio Orientador, de la Segunda Época, con número de registro SO/008/2019, emitido por el entonces Instituto Nacional de Transparencia, Acceso a la Información y Protección de Datos Personales, previamente referido.</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lastRenderedPageBreak/>
        <w:t xml:space="preserve">Lo anterior, se robustece con el hecho de que existe el Sistema de Registro de Prestadores de Servicios Financieros (consultadas el dieciocho de enero de dos mil veintitrés), a las trece horas, en la liga </w:t>
      </w:r>
      <w:hyperlink r:id="rId14">
        <w:r w:rsidRPr="00DA11F7">
          <w:rPr>
            <w:rFonts w:ascii="Palatino Linotype" w:eastAsia="Palatino Linotype" w:hAnsi="Palatino Linotype" w:cs="Palatino Linotype"/>
            <w:color w:val="0000FF"/>
            <w:u w:val="single"/>
          </w:rPr>
          <w:t>https://webapps.condusef.gob.mx/SIPRES/jsp/pub/index.jsp</w:t>
        </w:r>
      </w:hyperlink>
      <w:r w:rsidRPr="00DA11F7">
        <w:rPr>
          <w:rFonts w:ascii="Palatino Linotype" w:eastAsia="Palatino Linotype" w:hAnsi="Palatino Linotype" w:cs="Palatino Linotype"/>
          <w:color w:val="000000"/>
        </w:rPr>
        <w:t xml:space="preserve">), que es un registro de </w:t>
      </w:r>
      <w:r w:rsidRPr="00DA11F7">
        <w:rPr>
          <w:rFonts w:ascii="Palatino Linotype" w:eastAsia="Palatino Linotype" w:hAnsi="Palatino Linotype" w:cs="Palatino Linotype"/>
          <w:b/>
          <w:bCs/>
          <w:color w:val="000000"/>
        </w:rPr>
        <w:t xml:space="preserve">carácter público, </w:t>
      </w:r>
      <w:r w:rsidRPr="00DA11F7">
        <w:rPr>
          <w:rFonts w:ascii="Palatino Linotype" w:eastAsia="Palatino Linotype" w:hAnsi="Palatino Linotype" w:cs="Palatino Linotype"/>
          <w:color w:val="000000"/>
        </w:rPr>
        <w:t>cuyo objetivo principal, consiste en proporcionar información corporativa y general de las instituciones financieras</w:t>
      </w:r>
      <w:r w:rsidRPr="00DA11F7">
        <w:rPr>
          <w:rFonts w:ascii="Palatino Linotype" w:eastAsia="Palatino Linotype" w:hAnsi="Palatino Linotype" w:cs="Palatino Linotype"/>
          <w:b/>
          <w:bCs/>
          <w:color w:val="000000"/>
        </w:rPr>
        <w:t xml:space="preserve">; además, que permite conocer al público general, información de dichos entes, </w:t>
      </w:r>
      <w:r w:rsidRPr="00DA11F7">
        <w:rPr>
          <w:rFonts w:ascii="Palatino Linotype" w:eastAsia="Palatino Linotype" w:hAnsi="Palatino Linotype" w:cs="Palatino Linotype"/>
          <w:color w:val="000000"/>
        </w:rPr>
        <w:t xml:space="preserve">se muestra un ejemplo a continuación: </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Default="00FC100D">
      <w:pPr>
        <w:tabs>
          <w:tab w:val="center" w:pos="4522"/>
        </w:tabs>
        <w:spacing w:line="360" w:lineRule="auto"/>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noProof/>
          <w:color w:val="000000"/>
          <w:sz w:val="24"/>
          <w:szCs w:val="24"/>
        </w:rPr>
        <w:drawing>
          <wp:inline distT="0" distB="0" distL="0" distR="0">
            <wp:extent cx="4777740" cy="2476500"/>
            <wp:effectExtent l="0" t="0" r="0" b="0"/>
            <wp:docPr id="1432513724" name="image1.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Escala de tiempo&#10;&#10;Descripción generada automáticamente"/>
                    <pic:cNvPicPr preferRelativeResize="0"/>
                  </pic:nvPicPr>
                  <pic:blipFill>
                    <a:blip r:embed="rId15"/>
                    <a:srcRect t="2" b="379"/>
                    <a:stretch>
                      <a:fillRect/>
                    </a:stretch>
                  </pic:blipFill>
                  <pic:spPr>
                    <a:xfrm>
                      <a:off x="0" y="0"/>
                      <a:ext cx="4777740" cy="2476500"/>
                    </a:xfrm>
                    <a:prstGeom prst="rect">
                      <a:avLst/>
                    </a:prstGeom>
                    <a:ln/>
                  </pic:spPr>
                </pic:pic>
              </a:graphicData>
            </a:graphic>
          </wp:inline>
        </w:drawing>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Conforme a lo anterior, se logra vislumbrar que el nombre de las instituciones bancarias en primera instancia es de naturaleza pública; sin embargo, en el presente caso, se relacionada con el hecho de que corresponde al banco en el cual un proveedor o contratista decidió recibir el pago de sus servicios; es decir, daría cuenta de la decisión voluntaria de recibir el pago de sus servicios en una determinada institución; lo cual se relaciona con la cuenta y clave interbancaria, mismos que son confidenciales.</w:t>
      </w: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lastRenderedPageBreak/>
        <w:t>Además, revelaría el lugar en donde el proveedor recibió los recursos por prestar sus servicios, lo cual únicamente está relacionado a su vida íntima o privada de la persona moral; por lo que, este Instituto considera que el nombre de la institución bancaria, actualiza la causal de clasificación prevista en el artículo 143, fracción I, de la Ley de Transparencia y Acceso a la Información Pública del Estado de México y Municipios.</w:t>
      </w:r>
    </w:p>
    <w:p w:rsidR="006312C6" w:rsidRDefault="006312C6">
      <w:pPr>
        <w:tabs>
          <w:tab w:val="center" w:pos="4522"/>
        </w:tabs>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 xml:space="preserve">Finalmente, el Sujeto Obligado, deberá elaborar la versión pública respectiva, tomando en consideración los datos analizados;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rsidR="006312C6" w:rsidRDefault="006312C6">
      <w:pPr>
        <w:spacing w:line="360" w:lineRule="auto"/>
        <w:jc w:val="both"/>
        <w:rPr>
          <w:rFonts w:ascii="Palatino Linotype" w:eastAsia="Palatino Linotype" w:hAnsi="Palatino Linotype" w:cs="Palatino Linotype"/>
          <w:color w:val="000000"/>
          <w:sz w:val="24"/>
          <w:szCs w:val="24"/>
        </w:rPr>
      </w:pPr>
    </w:p>
    <w:p w:rsidR="006312C6" w:rsidRPr="00DA11F7" w:rsidRDefault="00FC100D" w:rsidP="00DA11F7">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DA11F7">
        <w:rPr>
          <w:rFonts w:ascii="Palatino Linotype" w:eastAsia="Palatino Linotype" w:hAnsi="Palatino Linotype" w:cs="Palatino Linotype"/>
          <w:color w:val="000000"/>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rsidR="006312C6" w:rsidRDefault="006312C6">
      <w:pPr>
        <w:spacing w:line="360" w:lineRule="auto"/>
        <w:jc w:val="both"/>
        <w:rPr>
          <w:rFonts w:ascii="Palatino Linotype" w:eastAsia="Palatino Linotype" w:hAnsi="Palatino Linotype" w:cs="Palatino Linotype"/>
          <w:color w:val="000000"/>
          <w:sz w:val="24"/>
          <w:szCs w:val="24"/>
        </w:rPr>
      </w:pPr>
    </w:p>
    <w:p w:rsidR="00DA11F7" w:rsidRDefault="00DA11F7">
      <w:pPr>
        <w:spacing w:line="360" w:lineRule="auto"/>
        <w:jc w:val="both"/>
        <w:rPr>
          <w:rFonts w:ascii="Palatino Linotype" w:eastAsia="Palatino Linotype" w:hAnsi="Palatino Linotype" w:cs="Palatino Linotype"/>
          <w:color w:val="000000"/>
          <w:sz w:val="24"/>
          <w:szCs w:val="24"/>
        </w:rPr>
      </w:pPr>
    </w:p>
    <w:p w:rsidR="00DA11F7" w:rsidRDefault="00DA11F7">
      <w:pPr>
        <w:spacing w:line="360" w:lineRule="auto"/>
        <w:jc w:val="both"/>
        <w:rPr>
          <w:rFonts w:ascii="Palatino Linotype" w:eastAsia="Palatino Linotype" w:hAnsi="Palatino Linotype" w:cs="Palatino Linotype"/>
          <w:color w:val="000000"/>
          <w:sz w:val="24"/>
          <w:szCs w:val="24"/>
        </w:rPr>
      </w:pPr>
    </w:p>
    <w:p w:rsidR="006312C6" w:rsidRDefault="00FC100D">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lastRenderedPageBreak/>
        <w:t>QUINTO. De la versión pública.</w:t>
      </w:r>
    </w:p>
    <w:p w:rsidR="006312C6" w:rsidRDefault="00FC100D">
      <w:pPr>
        <w:numPr>
          <w:ilvl w:val="0"/>
          <w:numId w:val="2"/>
        </w:num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Nociones generales. </w:t>
      </w: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Debe destacarse que, debido a la naturaleza de la información solicitada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eventualmente pudiera obrar datos personales susceptibles de protegerse,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6312C6" w:rsidRDefault="006312C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6312C6" w:rsidRDefault="006312C6">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tbl>
      <w:tblPr>
        <w:tblStyle w:val="a0"/>
        <w:tblW w:w="98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7"/>
        <w:gridCol w:w="7229"/>
      </w:tblGrid>
      <w:tr w:rsidR="006312C6" w:rsidTr="00EE6106">
        <w:tc>
          <w:tcPr>
            <w:tcW w:w="2667" w:type="dxa"/>
            <w:vAlign w:val="center"/>
          </w:tcPr>
          <w:p w:rsidR="006312C6" w:rsidRDefault="00FC100D" w:rsidP="00EE6106">
            <w:pPr>
              <w:pBdr>
                <w:top w:val="nil"/>
                <w:left w:val="nil"/>
                <w:bottom w:val="nil"/>
                <w:right w:val="nil"/>
                <w:between w:val="nil"/>
              </w:pBdr>
              <w:spacing w:line="240" w:lineRule="auto"/>
              <w:ind w:right="27"/>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 Requisitos previos.</w:t>
            </w:r>
          </w:p>
        </w:tc>
        <w:tc>
          <w:tcPr>
            <w:tcW w:w="7229" w:type="dxa"/>
          </w:tcPr>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100 y 122 de la Ley Estatal y de la Ley General, vigente al momento de interponer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vigente al momento de interponer la solicitud de información, respectivamente.</w:t>
            </w:r>
          </w:p>
          <w:p w:rsidR="006312C6" w:rsidRDefault="006312C6">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6312C6" w:rsidTr="00EE6106">
        <w:tc>
          <w:tcPr>
            <w:tcW w:w="2667" w:type="dxa"/>
            <w:vAlign w:val="center"/>
          </w:tcPr>
          <w:p w:rsidR="006312C6" w:rsidRDefault="00FC100D">
            <w:pPr>
              <w:pBdr>
                <w:top w:val="nil"/>
                <w:left w:val="nil"/>
                <w:bottom w:val="nil"/>
                <w:right w:val="nil"/>
                <w:between w:val="nil"/>
              </w:pBdr>
              <w:tabs>
                <w:tab w:val="left" w:pos="851"/>
              </w:tabs>
              <w:spacing w:line="240" w:lineRule="auto"/>
              <w:ind w:right="33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b) Supuestos de clasificación.</w:t>
            </w:r>
          </w:p>
        </w:tc>
        <w:tc>
          <w:tcPr>
            <w:tcW w:w="7229" w:type="dxa"/>
          </w:tcPr>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Los artículos 116 y 143 de la Ley Estatal y de la Ley General, vigente al momento de interponer la solicitud de información, respectivamente, señalan los supuestos para que la información pueda ser clasificada como confidencial. Mientras que los artículos 105 y 130 de la Ley Estatal y de la Ley General, vigente al momento de interponer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312C6" w:rsidTr="00EE6106">
        <w:tc>
          <w:tcPr>
            <w:tcW w:w="2667" w:type="dxa"/>
            <w:vAlign w:val="center"/>
          </w:tcPr>
          <w:p w:rsidR="006312C6" w:rsidRDefault="00FC100D">
            <w:pPr>
              <w:pBdr>
                <w:top w:val="nil"/>
                <w:left w:val="nil"/>
                <w:bottom w:val="nil"/>
                <w:right w:val="nil"/>
                <w:between w:val="nil"/>
              </w:pBdr>
              <w:tabs>
                <w:tab w:val="left" w:pos="851"/>
              </w:tabs>
              <w:spacing w:line="240" w:lineRule="auto"/>
              <w:ind w:right="33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c) Formalidades para emitir el acuerdo de clasificación.</w:t>
            </w:r>
          </w:p>
        </w:tc>
        <w:tc>
          <w:tcPr>
            <w:tcW w:w="7229" w:type="dxa"/>
          </w:tcPr>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Es necesario que </w:t>
            </w:r>
            <w:r>
              <w:rPr>
                <w:rFonts w:ascii="Palatino Linotype" w:eastAsia="Palatino Linotype" w:hAnsi="Palatino Linotype" w:cs="Palatino Linotype"/>
                <w:b/>
                <w:bCs/>
                <w:color w:val="000000"/>
                <w:sz w:val="24"/>
                <w:szCs w:val="24"/>
                <w:u w:val="single"/>
              </w:rPr>
              <w:t>el acto reúna con los requisitos elementales</w:t>
            </w:r>
            <w:r>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312C6" w:rsidTr="00EE6106">
        <w:tc>
          <w:tcPr>
            <w:tcW w:w="2667" w:type="dxa"/>
            <w:vAlign w:val="center"/>
          </w:tcPr>
          <w:p w:rsidR="006312C6" w:rsidRDefault="006312C6">
            <w:pPr>
              <w:pBdr>
                <w:top w:val="nil"/>
                <w:left w:val="nil"/>
                <w:bottom w:val="nil"/>
                <w:right w:val="nil"/>
                <w:between w:val="nil"/>
              </w:pBdr>
              <w:tabs>
                <w:tab w:val="left" w:pos="851"/>
              </w:tabs>
              <w:spacing w:line="240" w:lineRule="auto"/>
              <w:ind w:right="333"/>
              <w:jc w:val="both"/>
              <w:rPr>
                <w:rFonts w:ascii="Palatino Linotype" w:eastAsia="Palatino Linotype" w:hAnsi="Palatino Linotype" w:cs="Palatino Linotype"/>
                <w:color w:val="000000"/>
                <w:sz w:val="24"/>
                <w:szCs w:val="24"/>
              </w:rPr>
            </w:pPr>
          </w:p>
          <w:p w:rsidR="006312C6" w:rsidRDefault="00FC100D">
            <w:pPr>
              <w:pBdr>
                <w:top w:val="nil"/>
                <w:left w:val="nil"/>
                <w:bottom w:val="nil"/>
                <w:right w:val="nil"/>
                <w:between w:val="nil"/>
              </w:pBdr>
              <w:tabs>
                <w:tab w:val="left" w:pos="851"/>
              </w:tabs>
              <w:spacing w:line="240" w:lineRule="auto"/>
              <w:ind w:right="33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 Requisitos de fondo del acuerdo de clasificación. </w:t>
            </w:r>
          </w:p>
        </w:tc>
        <w:tc>
          <w:tcPr>
            <w:tcW w:w="7229" w:type="dxa"/>
          </w:tcPr>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sz w:val="24"/>
                <w:szCs w:val="24"/>
              </w:rPr>
              <w:t>Sujetos Obligados</w:t>
            </w:r>
            <w:r>
              <w:rPr>
                <w:rFonts w:ascii="Palatino Linotype" w:eastAsia="Palatino Linotype" w:hAnsi="Palatino Linotype" w:cs="Palatino Linotype"/>
                <w:color w:val="000000"/>
                <w:sz w:val="24"/>
                <w:szCs w:val="24"/>
              </w:rPr>
              <w:t xml:space="preserve">, por lo que deberán fundar y motivar debidamente la clasificación. </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De lo anterior, se desprende que para una correcta </w:t>
            </w:r>
            <w:r>
              <w:rPr>
                <w:rFonts w:ascii="Palatino Linotype" w:eastAsia="Palatino Linotype" w:hAnsi="Palatino Linotype" w:cs="Palatino Linotype"/>
                <w:b/>
                <w:bCs/>
                <w:color w:val="000000"/>
                <w:sz w:val="24"/>
                <w:szCs w:val="24"/>
              </w:rPr>
              <w:t>clasificación total o parcial</w:t>
            </w:r>
            <w:r>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En ese mismo sentido, el numeral trigésimo tercero fracción V de los Lineamientos Generales, precisa que para motivar la clasificación se deben acreditar las circunstancias de tiempo, modo y lugar.</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Ahora bien, </w:t>
            </w:r>
            <w:r>
              <w:rPr>
                <w:rFonts w:ascii="Palatino Linotype" w:eastAsia="Palatino Linotype" w:hAnsi="Palatino Linotype" w:cs="Palatino Linotype"/>
                <w:b/>
                <w:bCs/>
                <w:color w:val="000000"/>
                <w:sz w:val="24"/>
                <w:szCs w:val="24"/>
                <w:u w:val="single"/>
              </w:rPr>
              <w:t>para cada caso además de fundar y motivar</w:t>
            </w:r>
            <w:r>
              <w:rPr>
                <w:rFonts w:ascii="Palatino Linotype" w:eastAsia="Palatino Linotype" w:hAnsi="Palatino Linotype" w:cs="Palatino Linotype"/>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312C6" w:rsidTr="00EE6106">
        <w:tc>
          <w:tcPr>
            <w:tcW w:w="2667" w:type="dxa"/>
            <w:vAlign w:val="center"/>
          </w:tcPr>
          <w:p w:rsidR="006312C6" w:rsidRDefault="00FC100D">
            <w:pPr>
              <w:pBdr>
                <w:top w:val="nil"/>
                <w:left w:val="nil"/>
                <w:bottom w:val="nil"/>
                <w:right w:val="nil"/>
                <w:between w:val="nil"/>
              </w:pBdr>
              <w:tabs>
                <w:tab w:val="left" w:pos="851"/>
              </w:tabs>
              <w:spacing w:line="240" w:lineRule="auto"/>
              <w:ind w:right="33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e) Condiciones especiales de la clasificación de la información como confidencial. </w:t>
            </w:r>
          </w:p>
        </w:tc>
        <w:tc>
          <w:tcPr>
            <w:tcW w:w="7229" w:type="dxa"/>
          </w:tcPr>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312C6" w:rsidRDefault="00FC100D">
            <w:pPr>
              <w:pBdr>
                <w:top w:val="nil"/>
                <w:left w:val="nil"/>
                <w:bottom w:val="nil"/>
                <w:right w:val="nil"/>
                <w:between w:val="nil"/>
              </w:pBdr>
              <w:tabs>
                <w:tab w:val="left" w:pos="851"/>
              </w:tabs>
              <w:spacing w:line="240" w:lineRule="auto"/>
              <w:ind w:right="3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312C6" w:rsidRDefault="006312C6">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p w:rsidR="006312C6" w:rsidRDefault="00FC100D">
      <w:pPr>
        <w:numPr>
          <w:ilvl w:val="0"/>
          <w:numId w:val="1"/>
        </w:numPr>
        <w:pBdr>
          <w:top w:val="nil"/>
          <w:left w:val="nil"/>
          <w:bottom w:val="nil"/>
          <w:right w:val="nil"/>
          <w:between w:val="nil"/>
        </w:pBdr>
        <w:spacing w:after="0" w:line="360" w:lineRule="auto"/>
        <w:ind w:left="0" w:right="-518" w:firstLine="0"/>
        <w:jc w:val="both"/>
        <w:rPr>
          <w:rFonts w:ascii="Palatino Linotype" w:eastAsia="Palatino Linotype" w:hAnsi="Palatino Linotype" w:cs="Palatino Linotype"/>
          <w:color w:val="000000"/>
          <w:sz w:val="24"/>
          <w:szCs w:val="24"/>
        </w:rPr>
      </w:pPr>
      <w:bookmarkStart w:id="8" w:name="_heading=h.tyjcwt" w:colFirst="0" w:colLast="0"/>
      <w:bookmarkEnd w:id="8"/>
      <w:r>
        <w:rPr>
          <w:rFonts w:ascii="Palatino Linotype" w:eastAsia="Palatino Linotype" w:hAnsi="Palatino Linotype" w:cs="Palatino Linotype"/>
          <w:color w:val="000000"/>
          <w:sz w:val="24"/>
          <w:szCs w:val="24"/>
        </w:rPr>
        <w:t xml:space="preserve">Por lo anteriormente expuesto y fundado, este </w:t>
      </w:r>
      <w:r>
        <w:rPr>
          <w:rFonts w:ascii="Palatino Linotype" w:eastAsia="Palatino Linotype" w:hAnsi="Palatino Linotype" w:cs="Palatino Linotype"/>
          <w:b/>
          <w:bCs/>
          <w:color w:val="000000"/>
          <w:sz w:val="24"/>
          <w:szCs w:val="24"/>
        </w:rPr>
        <w:t>ÓRGANO GARANTE</w:t>
      </w:r>
      <w:r>
        <w:rPr>
          <w:rFonts w:ascii="Palatino Linotype" w:eastAsia="Palatino Linotype" w:hAnsi="Palatino Linotype" w:cs="Palatino Linotype"/>
          <w:color w:val="000000"/>
          <w:sz w:val="24"/>
          <w:szCs w:val="24"/>
        </w:rPr>
        <w:t xml:space="preserve"> emite los siguientes:</w:t>
      </w:r>
      <w:r w:rsidR="00EE6106">
        <w:rPr>
          <w:rFonts w:ascii="Palatino Linotype" w:eastAsia="Palatino Linotype" w:hAnsi="Palatino Linotype" w:cs="Palatino Linotype"/>
          <w:color w:val="000000"/>
          <w:sz w:val="24"/>
          <w:szCs w:val="24"/>
        </w:rPr>
        <w:t xml:space="preserve"> ------------------------------------------------------------------------------------------------------------</w:t>
      </w:r>
    </w:p>
    <w:p w:rsidR="006312C6" w:rsidRDefault="00FC100D">
      <w:pPr>
        <w:pStyle w:val="Ttulo1"/>
        <w:spacing w:before="0" w:line="360" w:lineRule="auto"/>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R E S O L U T I V O S</w:t>
      </w:r>
    </w:p>
    <w:p w:rsidR="006312C6" w:rsidRDefault="006312C6">
      <w:pPr>
        <w:spacing w:line="360" w:lineRule="auto"/>
        <w:rPr>
          <w:rFonts w:ascii="Palatino Linotype" w:eastAsia="Palatino Linotype" w:hAnsi="Palatino Linotype" w:cs="Palatino Linotype"/>
          <w:sz w:val="24"/>
          <w:szCs w:val="24"/>
        </w:rPr>
      </w:pPr>
    </w:p>
    <w:p w:rsidR="006312C6" w:rsidRDefault="00FC100D">
      <w:pPr>
        <w:spacing w:line="360" w:lineRule="auto"/>
        <w:ind w:right="-518"/>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PRIMERO</w:t>
      </w:r>
      <w:r>
        <w:rPr>
          <w:rFonts w:ascii="Palatino Linotype" w:eastAsia="Palatino Linotype" w:hAnsi="Palatino Linotype" w:cs="Palatino Linotype"/>
          <w:sz w:val="24"/>
          <w:szCs w:val="24"/>
        </w:rPr>
        <w:t xml:space="preserve">. Resultan parcialmente fundadas las razones o motivos de inconformidad hechos valer en el Recurso de Revisión </w:t>
      </w:r>
      <w:r>
        <w:rPr>
          <w:rFonts w:ascii="Palatino Linotype" w:eastAsia="Palatino Linotype" w:hAnsi="Palatino Linotype" w:cs="Palatino Linotype"/>
          <w:b/>
          <w:bCs/>
          <w:sz w:val="24"/>
          <w:szCs w:val="24"/>
        </w:rPr>
        <w:t>07843/INFOEM/IP/RR/2025</w:t>
      </w:r>
      <w:r>
        <w:rPr>
          <w:rFonts w:ascii="Palatino Linotype" w:eastAsia="Palatino Linotype" w:hAnsi="Palatino Linotype" w:cs="Palatino Linotype"/>
          <w:sz w:val="24"/>
          <w:szCs w:val="24"/>
        </w:rPr>
        <w:t>,</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en términos del Considerando Cuarto y Quinto de la presente Resolución.</w:t>
      </w:r>
    </w:p>
    <w:p w:rsidR="006312C6" w:rsidRDefault="006312C6">
      <w:pPr>
        <w:spacing w:line="360" w:lineRule="auto"/>
        <w:ind w:right="-518"/>
        <w:jc w:val="both"/>
        <w:rPr>
          <w:rFonts w:ascii="Palatino Linotype" w:eastAsia="Palatino Linotype" w:hAnsi="Palatino Linotype" w:cs="Palatino Linotype"/>
          <w:sz w:val="24"/>
          <w:szCs w:val="24"/>
        </w:rPr>
      </w:pPr>
    </w:p>
    <w:p w:rsidR="006312C6" w:rsidRDefault="00FC100D">
      <w:pPr>
        <w:spacing w:line="360" w:lineRule="auto"/>
        <w:ind w:right="-518"/>
        <w:jc w:val="both"/>
        <w:rPr>
          <w:rFonts w:ascii="Palatino Linotype" w:eastAsia="Palatino Linotype" w:hAnsi="Palatino Linotype" w:cs="Palatino Linotype"/>
          <w:sz w:val="24"/>
          <w:szCs w:val="24"/>
        </w:rPr>
      </w:pPr>
      <w:bookmarkStart w:id="9" w:name="_heading=h.2s8eyo1" w:colFirst="0" w:colLast="0"/>
      <w:bookmarkEnd w:id="9"/>
      <w:r>
        <w:rPr>
          <w:rFonts w:ascii="Palatino Linotype" w:eastAsia="Palatino Linotype" w:hAnsi="Palatino Linotype" w:cs="Palatino Linotype"/>
          <w:b/>
          <w:bCs/>
          <w:sz w:val="24"/>
          <w:szCs w:val="24"/>
        </w:rPr>
        <w:t xml:space="preserve">SEGUNDO. Se MODIFICA </w:t>
      </w:r>
      <w:r>
        <w:rPr>
          <w:rFonts w:ascii="Palatino Linotype" w:eastAsia="Palatino Linotype" w:hAnsi="Palatino Linotype" w:cs="Palatino Linotype"/>
          <w:sz w:val="24"/>
          <w:szCs w:val="24"/>
        </w:rPr>
        <w:t>la respuesta emitida por el</w:t>
      </w:r>
      <w:r>
        <w:rPr>
          <w:rFonts w:ascii="Palatino Linotype" w:eastAsia="Palatino Linotype" w:hAnsi="Palatino Linotype" w:cs="Palatino Linotype"/>
          <w:b/>
          <w:bCs/>
          <w:sz w:val="24"/>
          <w:szCs w:val="24"/>
        </w:rPr>
        <w:t xml:space="preserve"> Ayuntamiento de Toluca </w:t>
      </w:r>
      <w:r>
        <w:rPr>
          <w:rFonts w:ascii="Palatino Linotype" w:eastAsia="Palatino Linotype" w:hAnsi="Palatino Linotype" w:cs="Palatino Linotype"/>
          <w:sz w:val="24"/>
          <w:szCs w:val="24"/>
        </w:rPr>
        <w:t>y se</w:t>
      </w:r>
      <w:r>
        <w:rPr>
          <w:rFonts w:ascii="Palatino Linotype" w:eastAsia="Palatino Linotype" w:hAnsi="Palatino Linotype" w:cs="Palatino Linotype"/>
          <w:b/>
          <w:bCs/>
          <w:sz w:val="24"/>
          <w:szCs w:val="24"/>
        </w:rPr>
        <w:t xml:space="preserve"> ORDENA </w:t>
      </w:r>
      <w:r>
        <w:rPr>
          <w:rFonts w:ascii="Palatino Linotype" w:eastAsia="Palatino Linotype" w:hAnsi="Palatino Linotype" w:cs="Palatino Linotype"/>
          <w:sz w:val="24"/>
          <w:szCs w:val="24"/>
        </w:rPr>
        <w:t>entregar, previa búsqueda exhaustiva y razonable, de ser procedente en versión pública, lo siguiente:</w:t>
      </w:r>
      <w:bookmarkStart w:id="10" w:name="_heading=h.n673ri3kj1ra" w:colFirst="0" w:colLast="0"/>
      <w:bookmarkEnd w:id="10"/>
    </w:p>
    <w:p w:rsidR="006312C6" w:rsidRDefault="00FC100D">
      <w:pPr>
        <w:numPr>
          <w:ilvl w:val="0"/>
          <w:numId w:val="4"/>
        </w:numPr>
        <w:pBdr>
          <w:top w:val="nil"/>
          <w:left w:val="nil"/>
          <w:bottom w:val="nil"/>
          <w:right w:val="nil"/>
          <w:between w:val="nil"/>
        </w:pBdr>
        <w:spacing w:after="0" w:line="360" w:lineRule="auto"/>
        <w:ind w:right="-518"/>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Contratos de las luminarias instaladas referidas en respuesta.</w:t>
      </w:r>
    </w:p>
    <w:p w:rsidR="006312C6" w:rsidRDefault="00FC100D">
      <w:pPr>
        <w:numPr>
          <w:ilvl w:val="0"/>
          <w:numId w:val="4"/>
        </w:numPr>
        <w:pBdr>
          <w:top w:val="nil"/>
          <w:left w:val="nil"/>
          <w:bottom w:val="nil"/>
          <w:right w:val="nil"/>
          <w:between w:val="nil"/>
        </w:pBdr>
        <w:spacing w:after="0" w:line="360" w:lineRule="auto"/>
        <w:ind w:right="61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Presupuesto asignado y ejercido al quince de mayo de dos mil veinticinco.</w:t>
      </w:r>
    </w:p>
    <w:p w:rsidR="006312C6" w:rsidRDefault="006312C6">
      <w:pPr>
        <w:pBdr>
          <w:top w:val="nil"/>
          <w:left w:val="nil"/>
          <w:bottom w:val="nil"/>
          <w:right w:val="nil"/>
          <w:between w:val="nil"/>
        </w:pBdr>
        <w:spacing w:after="0" w:line="276" w:lineRule="auto"/>
        <w:ind w:right="191"/>
        <w:jc w:val="both"/>
        <w:rPr>
          <w:rFonts w:ascii="Palatino Linotype" w:eastAsia="Palatino Linotype" w:hAnsi="Palatino Linotype" w:cs="Palatino Linotype"/>
          <w:b/>
          <w:bCs/>
          <w:color w:val="000000"/>
          <w:sz w:val="24"/>
          <w:szCs w:val="24"/>
        </w:rPr>
      </w:pPr>
    </w:p>
    <w:p w:rsidR="006312C6" w:rsidRDefault="00FC100D">
      <w:pPr>
        <w:spacing w:line="360" w:lineRule="auto"/>
        <w:ind w:right="-518"/>
        <w:jc w:val="both"/>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 xml:space="preserve">Para </w:t>
      </w:r>
      <w:r>
        <w:rPr>
          <w:rFonts w:ascii="Palatino Linotype" w:eastAsia="Palatino Linotype" w:hAnsi="Palatino Linotype" w:cs="Palatino Linotype"/>
        </w:rPr>
        <w:t xml:space="preserve">efectos de lo anterior </w:t>
      </w:r>
      <w:r>
        <w:rPr>
          <w:rFonts w:ascii="Palatino Linotype" w:eastAsia="Palatino Linotype" w:hAnsi="Palatino Linotype" w:cs="Palatino Linotype"/>
          <w:sz w:val="24"/>
          <w:szCs w:val="24"/>
        </w:rPr>
        <w:t xml:space="preserve">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sz w:val="24"/>
          <w:szCs w:val="24"/>
        </w:rPr>
        <w:t>RECURRENTE.</w:t>
      </w:r>
    </w:p>
    <w:p w:rsidR="006312C6" w:rsidRDefault="006312C6">
      <w:pPr>
        <w:spacing w:line="360" w:lineRule="auto"/>
        <w:ind w:right="-518"/>
        <w:jc w:val="both"/>
        <w:rPr>
          <w:rFonts w:ascii="Palatino Linotype" w:eastAsia="Palatino Linotype" w:hAnsi="Palatino Linotype" w:cs="Palatino Linotype"/>
          <w:b/>
          <w:bCs/>
          <w:sz w:val="24"/>
          <w:szCs w:val="24"/>
        </w:rPr>
      </w:pPr>
    </w:p>
    <w:p w:rsidR="006312C6" w:rsidRDefault="00FC100D">
      <w:pPr>
        <w:spacing w:line="360" w:lineRule="auto"/>
        <w:ind w:right="-518"/>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TERCERO. Notifíquese </w:t>
      </w:r>
      <w:r>
        <w:rPr>
          <w:rFonts w:ascii="Palatino Linotype" w:eastAsia="Palatino Linotype" w:hAnsi="Palatino Linotype" w:cs="Palatino Linotype"/>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sz w:val="24"/>
          <w:szCs w:val="24"/>
        </w:rPr>
        <w:t>dé cumplimiento a lo ordenado dentro del plazo de diez días hábiles,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sz w:val="24"/>
          <w:szCs w:val="24"/>
        </w:rPr>
        <w:lastRenderedPageBreak/>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312C6" w:rsidRDefault="006312C6">
      <w:pPr>
        <w:spacing w:line="360" w:lineRule="auto"/>
        <w:ind w:right="-518"/>
        <w:jc w:val="both"/>
        <w:rPr>
          <w:rFonts w:ascii="Palatino Linotype" w:eastAsia="Palatino Linotype" w:hAnsi="Palatino Linotype" w:cs="Palatino Linotype"/>
          <w:sz w:val="24"/>
          <w:szCs w:val="24"/>
        </w:rPr>
      </w:pPr>
    </w:p>
    <w:p w:rsidR="006312C6" w:rsidRDefault="00FC100D">
      <w:pPr>
        <w:spacing w:line="360" w:lineRule="auto"/>
        <w:ind w:right="-518"/>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CUARTO. </w:t>
      </w:r>
      <w:r>
        <w:rPr>
          <w:rFonts w:ascii="Palatino Linotype" w:eastAsia="Palatino Linotype" w:hAnsi="Palatino Linotype" w:cs="Palatino Linotype"/>
          <w:sz w:val="24"/>
          <w:szCs w:val="24"/>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de manera fundada y motivada, podrá solicitar una ampliación de plazo para el cumplimiento de la presente resolución</w:t>
      </w:r>
    </w:p>
    <w:p w:rsidR="006312C6" w:rsidRDefault="006312C6">
      <w:pPr>
        <w:spacing w:line="360" w:lineRule="auto"/>
        <w:ind w:right="-518"/>
        <w:jc w:val="both"/>
        <w:rPr>
          <w:rFonts w:ascii="Palatino Linotype" w:eastAsia="Palatino Linotype" w:hAnsi="Palatino Linotype" w:cs="Palatino Linotype"/>
          <w:sz w:val="24"/>
          <w:szCs w:val="24"/>
        </w:rPr>
      </w:pPr>
    </w:p>
    <w:p w:rsidR="006312C6" w:rsidRDefault="00FC100D">
      <w:pPr>
        <w:tabs>
          <w:tab w:val="left" w:pos="8080"/>
        </w:tabs>
        <w:spacing w:line="360" w:lineRule="auto"/>
        <w:ind w:right="-518"/>
        <w:jc w:val="both"/>
        <w:rPr>
          <w:rFonts w:ascii="Palatino Linotype" w:eastAsia="Palatino Linotype" w:hAnsi="Palatino Linotype" w:cs="Palatino Linotype"/>
          <w:sz w:val="24"/>
          <w:szCs w:val="24"/>
        </w:rPr>
      </w:pPr>
      <w:bookmarkStart w:id="11" w:name="_heading=h.17dp8vu" w:colFirst="0" w:colLast="0"/>
      <w:bookmarkEnd w:id="11"/>
      <w:r>
        <w:rPr>
          <w:rFonts w:ascii="Palatino Linotype" w:eastAsia="Palatino Linotype" w:hAnsi="Palatino Linotype" w:cs="Palatino Linotype"/>
          <w:b/>
          <w:bCs/>
          <w:sz w:val="24"/>
          <w:szCs w:val="24"/>
        </w:rPr>
        <w:t xml:space="preserve">QUINTO. </w:t>
      </w:r>
      <w:r>
        <w:rPr>
          <w:rFonts w:ascii="Palatino Linotype" w:eastAsia="Palatino Linotype" w:hAnsi="Palatino Linotype" w:cs="Palatino Linotype"/>
          <w:sz w:val="24"/>
          <w:szCs w:val="24"/>
        </w:rPr>
        <w:t xml:space="preserve">Notifíquese al </w:t>
      </w:r>
      <w:r>
        <w:rPr>
          <w:rFonts w:ascii="Palatino Linotype" w:eastAsia="Palatino Linotype" w:hAnsi="Palatino Linotype" w:cs="Palatino Linotype"/>
          <w:b/>
          <w:bCs/>
          <w:sz w:val="24"/>
          <w:szCs w:val="24"/>
        </w:rPr>
        <w:t>Recurrente</w:t>
      </w:r>
      <w:r>
        <w:rPr>
          <w:rFonts w:ascii="Palatino Linotype" w:eastAsia="Palatino Linotype" w:hAnsi="Palatino Linotype" w:cs="Palatino Linotype"/>
          <w:sz w:val="24"/>
          <w:szCs w:val="24"/>
        </w:rPr>
        <w:t xml:space="preserve"> la presente resolución, vía </w:t>
      </w:r>
      <w:r>
        <w:rPr>
          <w:rFonts w:ascii="Palatino Linotype" w:eastAsia="Palatino Linotype" w:hAnsi="Palatino Linotype" w:cs="Palatino Linotype"/>
          <w:b/>
          <w:bCs/>
          <w:sz w:val="24"/>
          <w:szCs w:val="24"/>
        </w:rPr>
        <w:t>SAIMEX</w:t>
      </w:r>
      <w:r>
        <w:rPr>
          <w:rFonts w:ascii="Palatino Linotype" w:eastAsia="Palatino Linotype" w:hAnsi="Palatino Linotype" w:cs="Palatino Linotype"/>
          <w:sz w:val="24"/>
          <w:szCs w:val="24"/>
        </w:rPr>
        <w:t>.</w:t>
      </w:r>
    </w:p>
    <w:p w:rsidR="006312C6" w:rsidRDefault="006312C6">
      <w:pPr>
        <w:tabs>
          <w:tab w:val="left" w:pos="8080"/>
        </w:tabs>
        <w:spacing w:line="360" w:lineRule="auto"/>
        <w:ind w:right="-518"/>
        <w:jc w:val="both"/>
        <w:rPr>
          <w:rFonts w:ascii="Palatino Linotype" w:eastAsia="Palatino Linotype" w:hAnsi="Palatino Linotype" w:cs="Palatino Linotype"/>
          <w:sz w:val="24"/>
          <w:szCs w:val="24"/>
        </w:rPr>
      </w:pPr>
    </w:p>
    <w:p w:rsidR="006312C6" w:rsidRDefault="00FC100D">
      <w:pPr>
        <w:spacing w:line="360" w:lineRule="auto"/>
        <w:ind w:right="-518"/>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SEXTO. </w:t>
      </w:r>
      <w:r>
        <w:rPr>
          <w:rFonts w:ascii="Palatino Linotype" w:eastAsia="Palatino Linotype" w:hAnsi="Palatino Linotype" w:cs="Palatino Linotype"/>
          <w:sz w:val="24"/>
          <w:szCs w:val="24"/>
        </w:rPr>
        <w:t>Se hace del conocimiento del</w:t>
      </w:r>
      <w:r>
        <w:rPr>
          <w:rFonts w:ascii="Palatino Linotype" w:eastAsia="Palatino Linotype" w:hAnsi="Palatino Linotype" w:cs="Palatino Linotype"/>
          <w:b/>
          <w:bCs/>
          <w:sz w:val="24"/>
          <w:szCs w:val="24"/>
        </w:rPr>
        <w:t xml:space="preserve"> Recurrente </w:t>
      </w:r>
      <w:r>
        <w:rPr>
          <w:rFonts w:ascii="Palatino Linotype" w:eastAsia="Palatino Linotype" w:hAnsi="Palatino Linotype" w:cs="Palatino Linotype"/>
          <w:sz w:val="24"/>
          <w:szCs w:val="24"/>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6312C6" w:rsidRDefault="006312C6">
      <w:pPr>
        <w:spacing w:line="360" w:lineRule="auto"/>
        <w:ind w:right="-518"/>
        <w:jc w:val="both"/>
        <w:rPr>
          <w:rFonts w:ascii="Palatino Linotype" w:eastAsia="Palatino Linotype" w:hAnsi="Palatino Linotype" w:cs="Palatino Linotype"/>
          <w:sz w:val="24"/>
          <w:szCs w:val="24"/>
        </w:rPr>
      </w:pPr>
    </w:p>
    <w:p w:rsidR="00F42515" w:rsidRPr="00F42515" w:rsidRDefault="00F42515" w:rsidP="00F42515">
      <w:pPr>
        <w:spacing w:before="240" w:after="240" w:line="360" w:lineRule="auto"/>
        <w:ind w:right="-518" w:firstLine="1"/>
        <w:jc w:val="both"/>
        <w:rPr>
          <w:rFonts w:ascii="Palatino Linotype" w:hAnsi="Palatino Linotype"/>
          <w:sz w:val="24"/>
        </w:rPr>
      </w:pPr>
      <w:bookmarkStart w:id="12" w:name="_Hlk99014733"/>
      <w:r w:rsidRPr="00F42515">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w:t>
      </w:r>
      <w:r w:rsidRPr="00F42515">
        <w:rPr>
          <w:rFonts w:ascii="Palatino Linotype" w:hAnsi="Palatino Linotype" w:cs="Palatino Linotype"/>
          <w:sz w:val="24"/>
        </w:rPr>
        <w:lastRenderedPageBreak/>
        <w:t xml:space="preserve">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F42515">
        <w:rPr>
          <w:rFonts w:ascii="Palatino Linotype" w:hAnsi="Palatino Linotype" w:cs="Palatino Linotype"/>
          <w:color w:val="000000" w:themeColor="text1"/>
          <w:sz w:val="24"/>
        </w:rPr>
        <w:t>ALEXIS TAPIA RAMÍREZ.</w:t>
      </w:r>
    </w:p>
    <w:bookmarkEnd w:id="12"/>
    <w:p w:rsidR="006312C6" w:rsidRPr="00F42515" w:rsidRDefault="006312C6" w:rsidP="00F42515">
      <w:pPr>
        <w:spacing w:after="0" w:line="360" w:lineRule="auto"/>
        <w:ind w:right="-518"/>
        <w:jc w:val="both"/>
        <w:rPr>
          <w:rFonts w:ascii="Palatino Linotype" w:eastAsia="Palatino Linotype" w:hAnsi="Palatino Linotype" w:cs="Palatino Linotype"/>
          <w:sz w:val="28"/>
          <w:szCs w:val="24"/>
        </w:rPr>
      </w:pPr>
    </w:p>
    <w:p w:rsidR="006312C6" w:rsidRDefault="006312C6">
      <w:pPr>
        <w:spacing w:line="360" w:lineRule="auto"/>
        <w:ind w:right="-518"/>
        <w:jc w:val="both"/>
        <w:rPr>
          <w:rFonts w:ascii="Palatino Linotype" w:eastAsia="Palatino Linotype" w:hAnsi="Palatino Linotype" w:cs="Palatino Linotype"/>
          <w:sz w:val="24"/>
          <w:szCs w:val="24"/>
        </w:rPr>
      </w:pPr>
    </w:p>
    <w:p w:rsidR="006312C6" w:rsidRDefault="006312C6"/>
    <w:p w:rsidR="006312C6" w:rsidRDefault="006312C6"/>
    <w:p w:rsidR="007F66DF" w:rsidRDefault="007F66DF"/>
    <w:p w:rsidR="007F66DF" w:rsidRDefault="007F66DF"/>
    <w:p w:rsidR="007F66DF" w:rsidRDefault="007F66DF"/>
    <w:p w:rsidR="007F66DF" w:rsidRDefault="007F66DF"/>
    <w:p w:rsidR="007F66DF" w:rsidRDefault="007F66DF"/>
    <w:p w:rsidR="007F66DF" w:rsidRDefault="007F66DF"/>
    <w:p w:rsidR="007F66DF" w:rsidRDefault="007F66DF"/>
    <w:p w:rsidR="007F66DF" w:rsidRDefault="007F66DF"/>
    <w:p w:rsidR="00EE6106" w:rsidRDefault="00EE6106"/>
    <w:p w:rsidR="00EE6106" w:rsidRDefault="00EE6106"/>
    <w:p w:rsidR="00EE6106" w:rsidRDefault="00EE6106"/>
    <w:p w:rsidR="00EE6106" w:rsidRDefault="00EE6106"/>
    <w:p w:rsidR="00EE6106" w:rsidRDefault="00EE6106"/>
    <w:p w:rsidR="00EE6106" w:rsidRDefault="00EE6106"/>
    <w:p w:rsidR="007F66DF" w:rsidRDefault="007F66DF"/>
    <w:p w:rsidR="007F66DF" w:rsidRDefault="007F66DF"/>
    <w:p w:rsidR="007F66DF" w:rsidRDefault="007F66DF"/>
    <w:p w:rsidR="007F66DF" w:rsidRDefault="007F66DF"/>
    <w:p w:rsidR="007F66DF" w:rsidRDefault="007F66DF"/>
    <w:p w:rsidR="007F66DF" w:rsidRDefault="007F66DF"/>
    <w:sectPr w:rsidR="007F66DF" w:rsidSect="00DA11F7">
      <w:headerReference w:type="even" r:id="rId16"/>
      <w:headerReference w:type="default" r:id="rId17"/>
      <w:footerReference w:type="default" r:id="rId18"/>
      <w:headerReference w:type="first" r:id="rId19"/>
      <w:footerReference w:type="first" r:id="rId20"/>
      <w:pgSz w:w="12240" w:h="15840"/>
      <w:pgMar w:top="2268" w:right="1183"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756" w:rsidRDefault="00CF3756">
      <w:pPr>
        <w:spacing w:after="0" w:line="240" w:lineRule="auto"/>
      </w:pPr>
      <w:r>
        <w:separator/>
      </w:r>
    </w:p>
  </w:endnote>
  <w:endnote w:type="continuationSeparator" w:id="0">
    <w:p w:rsidR="00CF3756" w:rsidRDefault="00CF3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CFB17922-5E8B-4EEF-9D3B-21CBB8A66ADA}"/>
    <w:embedBold r:id="rId2" w:fontKey="{F047F28C-35B4-4345-AC53-0EDD10BA61F6}"/>
    <w:embedItalic r:id="rId3" w:fontKey="{3A2F6301-20EB-4EA2-839D-D613B3ACA419}"/>
    <w:embedBoldItalic r:id="rId4" w:fontKey="{C424C6B4-4242-45F7-8CEB-4E049F2F3FD4}"/>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0F4EDEA6-C795-4663-AEAB-A330EEE3E540}"/>
    <w:embedBold r:id="rId6" w:fontKey="{BC7217BB-22B3-4DAB-92E5-9F19A036146B}"/>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8502CC9C-3773-4865-922A-F7144CD1F77C}"/>
    <w:embedBold r:id="rId8" w:fontKey="{DC717D71-6690-4205-84C6-EF54A6EDC9AF}"/>
  </w:font>
  <w:font w:name="Georgia">
    <w:panose1 w:val="02040502050405020303"/>
    <w:charset w:val="00"/>
    <w:family w:val="roman"/>
    <w:pitch w:val="variable"/>
    <w:sig w:usb0="00000287" w:usb1="00000000" w:usb2="00000000" w:usb3="00000000" w:csb0="0000009F" w:csb1="00000000"/>
    <w:embedItalic r:id="rId9" w:fontKey="{C44EBF8D-3099-483A-A9D4-4B4BE1C8697E}"/>
  </w:font>
  <w:font w:name="Calibri Light">
    <w:panose1 w:val="020F0302020204030204"/>
    <w:charset w:val="00"/>
    <w:family w:val="swiss"/>
    <w:pitch w:val="variable"/>
    <w:sig w:usb0="E4002EFF" w:usb1="C200247B" w:usb2="00000009" w:usb3="00000000" w:csb0="000001FF" w:csb1="00000000"/>
    <w:embedRegular r:id="rId10" w:fontKey="{E393D7E1-C234-45AE-8AAD-795BAC1BB4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1F7" w:rsidRPr="00DA11F7" w:rsidRDefault="00DA11F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DA11F7">
      <w:rPr>
        <w:rFonts w:ascii="Palatino Linotype" w:eastAsia="Palatino Linotype" w:hAnsi="Palatino Linotype" w:cs="Palatino Linotype"/>
        <w:b/>
        <w:color w:val="000000"/>
        <w:szCs w:val="20"/>
      </w:rPr>
      <w:t xml:space="preserve">Página </w:t>
    </w:r>
    <w:r w:rsidRPr="00DA11F7">
      <w:rPr>
        <w:rFonts w:ascii="Palatino Linotype" w:eastAsia="Palatino Linotype" w:hAnsi="Palatino Linotype" w:cs="Palatino Linotype"/>
        <w:b/>
        <w:color w:val="000000"/>
        <w:szCs w:val="20"/>
      </w:rPr>
      <w:fldChar w:fldCharType="begin"/>
    </w:r>
    <w:r w:rsidRPr="00DA11F7">
      <w:rPr>
        <w:rFonts w:ascii="Palatino Linotype" w:eastAsia="Palatino Linotype" w:hAnsi="Palatino Linotype" w:cs="Palatino Linotype"/>
        <w:b/>
        <w:color w:val="000000"/>
        <w:szCs w:val="20"/>
      </w:rPr>
      <w:instrText>PAGE</w:instrText>
    </w:r>
    <w:r w:rsidRPr="00DA11F7">
      <w:rPr>
        <w:rFonts w:ascii="Palatino Linotype" w:eastAsia="Palatino Linotype" w:hAnsi="Palatino Linotype" w:cs="Palatino Linotype"/>
        <w:b/>
        <w:color w:val="000000"/>
        <w:szCs w:val="20"/>
      </w:rPr>
      <w:fldChar w:fldCharType="separate"/>
    </w:r>
    <w:r w:rsidR="0069007B">
      <w:rPr>
        <w:rFonts w:ascii="Palatino Linotype" w:eastAsia="Palatino Linotype" w:hAnsi="Palatino Linotype" w:cs="Palatino Linotype"/>
        <w:b/>
        <w:noProof/>
        <w:color w:val="000000"/>
        <w:szCs w:val="20"/>
      </w:rPr>
      <w:t>21</w:t>
    </w:r>
    <w:r w:rsidRPr="00DA11F7">
      <w:rPr>
        <w:rFonts w:ascii="Palatino Linotype" w:eastAsia="Palatino Linotype" w:hAnsi="Palatino Linotype" w:cs="Palatino Linotype"/>
        <w:b/>
        <w:color w:val="000000"/>
        <w:szCs w:val="20"/>
      </w:rPr>
      <w:fldChar w:fldCharType="end"/>
    </w:r>
    <w:r w:rsidRPr="00DA11F7">
      <w:rPr>
        <w:rFonts w:ascii="Palatino Linotype" w:eastAsia="Palatino Linotype" w:hAnsi="Palatino Linotype" w:cs="Palatino Linotype"/>
        <w:b/>
        <w:color w:val="000000"/>
        <w:szCs w:val="20"/>
      </w:rPr>
      <w:t xml:space="preserve"> de </w:t>
    </w:r>
    <w:r w:rsidRPr="00DA11F7">
      <w:rPr>
        <w:rFonts w:ascii="Palatino Linotype" w:eastAsia="Palatino Linotype" w:hAnsi="Palatino Linotype" w:cs="Palatino Linotype"/>
        <w:b/>
        <w:color w:val="000000"/>
        <w:szCs w:val="20"/>
      </w:rPr>
      <w:fldChar w:fldCharType="begin"/>
    </w:r>
    <w:r w:rsidRPr="00DA11F7">
      <w:rPr>
        <w:rFonts w:ascii="Palatino Linotype" w:eastAsia="Palatino Linotype" w:hAnsi="Palatino Linotype" w:cs="Palatino Linotype"/>
        <w:b/>
        <w:color w:val="000000"/>
        <w:szCs w:val="20"/>
      </w:rPr>
      <w:instrText>NUMPAGES</w:instrText>
    </w:r>
    <w:r w:rsidRPr="00DA11F7">
      <w:rPr>
        <w:rFonts w:ascii="Palatino Linotype" w:eastAsia="Palatino Linotype" w:hAnsi="Palatino Linotype" w:cs="Palatino Linotype"/>
        <w:b/>
        <w:color w:val="000000"/>
        <w:szCs w:val="20"/>
      </w:rPr>
      <w:fldChar w:fldCharType="separate"/>
    </w:r>
    <w:r w:rsidR="0069007B">
      <w:rPr>
        <w:rFonts w:ascii="Palatino Linotype" w:eastAsia="Palatino Linotype" w:hAnsi="Palatino Linotype" w:cs="Palatino Linotype"/>
        <w:b/>
        <w:noProof/>
        <w:color w:val="000000"/>
        <w:szCs w:val="20"/>
      </w:rPr>
      <w:t>66</w:t>
    </w:r>
    <w:r w:rsidRPr="00DA11F7">
      <w:rPr>
        <w:rFonts w:ascii="Palatino Linotype" w:eastAsia="Palatino Linotype" w:hAnsi="Palatino Linotype" w:cs="Palatino Linotype"/>
        <w:b/>
        <w:color w:val="000000"/>
        <w:szCs w:val="20"/>
      </w:rPr>
      <w:fldChar w:fldCharType="end"/>
    </w:r>
  </w:p>
  <w:p w:rsidR="00DA11F7" w:rsidRDefault="00DA11F7">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1F7" w:rsidRPr="00DA11F7" w:rsidRDefault="00DA11F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DA11F7">
      <w:rPr>
        <w:rFonts w:ascii="Palatino Linotype" w:eastAsia="Palatino Linotype" w:hAnsi="Palatino Linotype" w:cs="Palatino Linotype"/>
        <w:b/>
        <w:color w:val="000000"/>
        <w:szCs w:val="20"/>
      </w:rPr>
      <w:t xml:space="preserve">Página </w:t>
    </w:r>
    <w:r w:rsidRPr="00DA11F7">
      <w:rPr>
        <w:rFonts w:ascii="Palatino Linotype" w:eastAsia="Palatino Linotype" w:hAnsi="Palatino Linotype" w:cs="Palatino Linotype"/>
        <w:b/>
        <w:color w:val="000000"/>
        <w:szCs w:val="20"/>
      </w:rPr>
      <w:fldChar w:fldCharType="begin"/>
    </w:r>
    <w:r w:rsidRPr="00DA11F7">
      <w:rPr>
        <w:rFonts w:ascii="Palatino Linotype" w:eastAsia="Palatino Linotype" w:hAnsi="Palatino Linotype" w:cs="Palatino Linotype"/>
        <w:b/>
        <w:color w:val="000000"/>
        <w:szCs w:val="20"/>
      </w:rPr>
      <w:instrText>PAGE</w:instrText>
    </w:r>
    <w:r w:rsidRPr="00DA11F7">
      <w:rPr>
        <w:rFonts w:ascii="Palatino Linotype" w:eastAsia="Palatino Linotype" w:hAnsi="Palatino Linotype" w:cs="Palatino Linotype"/>
        <w:b/>
        <w:color w:val="000000"/>
        <w:szCs w:val="20"/>
      </w:rPr>
      <w:fldChar w:fldCharType="separate"/>
    </w:r>
    <w:r w:rsidR="0069007B">
      <w:rPr>
        <w:rFonts w:ascii="Palatino Linotype" w:eastAsia="Palatino Linotype" w:hAnsi="Palatino Linotype" w:cs="Palatino Linotype"/>
        <w:b/>
        <w:noProof/>
        <w:color w:val="000000"/>
        <w:szCs w:val="20"/>
      </w:rPr>
      <w:t>1</w:t>
    </w:r>
    <w:r w:rsidRPr="00DA11F7">
      <w:rPr>
        <w:rFonts w:ascii="Palatino Linotype" w:eastAsia="Palatino Linotype" w:hAnsi="Palatino Linotype" w:cs="Palatino Linotype"/>
        <w:b/>
        <w:color w:val="000000"/>
        <w:szCs w:val="20"/>
      </w:rPr>
      <w:fldChar w:fldCharType="end"/>
    </w:r>
    <w:r w:rsidRPr="00DA11F7">
      <w:rPr>
        <w:rFonts w:ascii="Palatino Linotype" w:eastAsia="Palatino Linotype" w:hAnsi="Palatino Linotype" w:cs="Palatino Linotype"/>
        <w:b/>
        <w:color w:val="000000"/>
        <w:szCs w:val="20"/>
      </w:rPr>
      <w:t xml:space="preserve"> de </w:t>
    </w:r>
    <w:r w:rsidRPr="00DA11F7">
      <w:rPr>
        <w:rFonts w:ascii="Palatino Linotype" w:eastAsia="Palatino Linotype" w:hAnsi="Palatino Linotype" w:cs="Palatino Linotype"/>
        <w:b/>
        <w:color w:val="000000"/>
        <w:szCs w:val="20"/>
      </w:rPr>
      <w:fldChar w:fldCharType="begin"/>
    </w:r>
    <w:r w:rsidRPr="00DA11F7">
      <w:rPr>
        <w:rFonts w:ascii="Palatino Linotype" w:eastAsia="Palatino Linotype" w:hAnsi="Palatino Linotype" w:cs="Palatino Linotype"/>
        <w:b/>
        <w:color w:val="000000"/>
        <w:szCs w:val="20"/>
      </w:rPr>
      <w:instrText>NUMPAGES</w:instrText>
    </w:r>
    <w:r w:rsidRPr="00DA11F7">
      <w:rPr>
        <w:rFonts w:ascii="Palatino Linotype" w:eastAsia="Palatino Linotype" w:hAnsi="Palatino Linotype" w:cs="Palatino Linotype"/>
        <w:b/>
        <w:color w:val="000000"/>
        <w:szCs w:val="20"/>
      </w:rPr>
      <w:fldChar w:fldCharType="separate"/>
    </w:r>
    <w:r w:rsidR="0069007B">
      <w:rPr>
        <w:rFonts w:ascii="Palatino Linotype" w:eastAsia="Palatino Linotype" w:hAnsi="Palatino Linotype" w:cs="Palatino Linotype"/>
        <w:b/>
        <w:noProof/>
        <w:color w:val="000000"/>
        <w:szCs w:val="20"/>
      </w:rPr>
      <w:t>66</w:t>
    </w:r>
    <w:r w:rsidRPr="00DA11F7">
      <w:rPr>
        <w:rFonts w:ascii="Palatino Linotype" w:eastAsia="Palatino Linotype" w:hAnsi="Palatino Linotype" w:cs="Palatino Linotype"/>
        <w:b/>
        <w:color w:val="000000"/>
        <w:szCs w:val="20"/>
      </w:rPr>
      <w:fldChar w:fldCharType="end"/>
    </w:r>
  </w:p>
  <w:p w:rsidR="00DA11F7" w:rsidRDefault="00DA11F7">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756" w:rsidRDefault="00CF3756">
      <w:pPr>
        <w:spacing w:after="0" w:line="240" w:lineRule="auto"/>
      </w:pPr>
      <w:r>
        <w:separator/>
      </w:r>
    </w:p>
  </w:footnote>
  <w:footnote w:type="continuationSeparator" w:id="0">
    <w:p w:rsidR="00CF3756" w:rsidRDefault="00CF3756">
      <w:pPr>
        <w:spacing w:after="0" w:line="240" w:lineRule="auto"/>
      </w:pPr>
      <w:r>
        <w:continuationSeparator/>
      </w:r>
    </w:p>
  </w:footnote>
  <w:footnote w:id="1">
    <w:p w:rsidR="00DA11F7" w:rsidRDefault="00DA11F7">
      <w:pPr>
        <w:pBdr>
          <w:top w:val="nil"/>
          <w:left w:val="nil"/>
          <w:bottom w:val="nil"/>
          <w:right w:val="nil"/>
          <w:between w:val="nil"/>
        </w:pBdr>
        <w:rPr>
          <w:rFonts w:ascii="Palatino Linotype" w:eastAsia="Palatino Linotype" w:hAnsi="Palatino Linotype" w:cs="Palatino Linotype"/>
          <w:color w:val="000000"/>
          <w:sz w:val="16"/>
          <w:szCs w:val="16"/>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Consultable en: </w:t>
      </w:r>
      <w:r>
        <w:rPr>
          <w:rFonts w:ascii="Palatino Linotype" w:eastAsia="Palatino Linotype" w:hAnsi="Palatino Linotype" w:cs="Palatino Linotype"/>
          <w:i/>
          <w:iCs/>
          <w:color w:val="000000"/>
          <w:sz w:val="16"/>
          <w:szCs w:val="16"/>
        </w:rPr>
        <w:t>https://legislacion.edomex.gob.mx/sites/legislacion.edomex.gob.mx/files/files/pdf/gct/2021/octubre/oct141/oct141b.pdf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1F7" w:rsidRDefault="00CF3756">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519" w:type="dxa"/>
      <w:tblInd w:w="3402" w:type="dxa"/>
      <w:tblLayout w:type="fixed"/>
      <w:tblLook w:val="0400" w:firstRow="0" w:lastRow="0" w:firstColumn="0" w:lastColumn="0" w:noHBand="0" w:noVBand="1"/>
    </w:tblPr>
    <w:tblGrid>
      <w:gridCol w:w="2976"/>
      <w:gridCol w:w="3543"/>
    </w:tblGrid>
    <w:tr w:rsidR="00DA11F7" w:rsidTr="00DA11F7">
      <w:trPr>
        <w:trHeight w:val="227"/>
      </w:trPr>
      <w:tc>
        <w:tcPr>
          <w:tcW w:w="2976" w:type="dxa"/>
          <w:vAlign w:val="center"/>
        </w:tcPr>
        <w:p w:rsidR="00DA11F7" w:rsidRPr="00DA11F7" w:rsidRDefault="00DA11F7">
          <w:pPr>
            <w:spacing w:after="0" w:line="240" w:lineRule="auto"/>
            <w:ind w:right="34"/>
            <w:jc w:val="right"/>
            <w:rPr>
              <w:rFonts w:ascii="Palatino Linotype" w:eastAsia="Palatino Linotype" w:hAnsi="Palatino Linotype" w:cs="Palatino Linotype"/>
              <w:b/>
              <w:bCs/>
              <w:sz w:val="24"/>
            </w:rPr>
          </w:pPr>
          <w:r w:rsidRPr="00DA11F7">
            <w:rPr>
              <w:rFonts w:ascii="Palatino Linotype" w:eastAsia="Palatino Linotype" w:hAnsi="Palatino Linotype" w:cs="Palatino Linotype"/>
              <w:b/>
              <w:bCs/>
              <w:sz w:val="24"/>
            </w:rPr>
            <w:t>Recurso de Revisión:</w:t>
          </w:r>
        </w:p>
      </w:tc>
      <w:tc>
        <w:tcPr>
          <w:tcW w:w="3543" w:type="dxa"/>
          <w:vAlign w:val="center"/>
        </w:tcPr>
        <w:p w:rsidR="00DA11F7" w:rsidRPr="00DA11F7" w:rsidRDefault="00DA11F7" w:rsidP="00DA11F7">
          <w:pPr>
            <w:pBdr>
              <w:top w:val="nil"/>
              <w:left w:val="nil"/>
              <w:bottom w:val="nil"/>
              <w:right w:val="nil"/>
              <w:between w:val="nil"/>
            </w:pBdr>
            <w:tabs>
              <w:tab w:val="right" w:pos="8838"/>
            </w:tabs>
            <w:spacing w:after="0" w:line="240" w:lineRule="auto"/>
            <w:rPr>
              <w:rFonts w:ascii="Palatino Linotype" w:eastAsia="Palatino Linotype" w:hAnsi="Palatino Linotype" w:cs="Palatino Linotype"/>
              <w:bCs/>
              <w:color w:val="000000"/>
              <w:sz w:val="24"/>
            </w:rPr>
          </w:pPr>
          <w:r w:rsidRPr="00DA11F7">
            <w:rPr>
              <w:rFonts w:ascii="Palatino Linotype" w:eastAsia="Palatino Linotype" w:hAnsi="Palatino Linotype" w:cs="Palatino Linotype"/>
              <w:bCs/>
              <w:color w:val="000000"/>
              <w:sz w:val="24"/>
            </w:rPr>
            <w:t xml:space="preserve"> 07843/INFOEM/IP/RR/2025</w:t>
          </w:r>
        </w:p>
      </w:tc>
    </w:tr>
    <w:tr w:rsidR="00DA11F7" w:rsidTr="00DA11F7">
      <w:trPr>
        <w:trHeight w:val="242"/>
      </w:trPr>
      <w:tc>
        <w:tcPr>
          <w:tcW w:w="2976" w:type="dxa"/>
          <w:vAlign w:val="center"/>
        </w:tcPr>
        <w:p w:rsidR="00DA11F7" w:rsidRPr="00DA11F7" w:rsidRDefault="00DA11F7">
          <w:pPr>
            <w:spacing w:after="0" w:line="240" w:lineRule="auto"/>
            <w:ind w:right="34"/>
            <w:jc w:val="right"/>
            <w:rPr>
              <w:rFonts w:ascii="Palatino Linotype" w:eastAsia="Palatino Linotype" w:hAnsi="Palatino Linotype" w:cs="Palatino Linotype"/>
              <w:b/>
              <w:bCs/>
              <w:sz w:val="24"/>
            </w:rPr>
          </w:pPr>
          <w:r w:rsidRPr="00DA11F7">
            <w:rPr>
              <w:rFonts w:ascii="Palatino Linotype" w:eastAsia="Palatino Linotype" w:hAnsi="Palatino Linotype" w:cs="Palatino Linotype"/>
              <w:b/>
              <w:bCs/>
              <w:sz w:val="24"/>
            </w:rPr>
            <w:t>Sujeto Obligado:</w:t>
          </w:r>
        </w:p>
      </w:tc>
      <w:tc>
        <w:tcPr>
          <w:tcW w:w="3543" w:type="dxa"/>
          <w:vAlign w:val="center"/>
        </w:tcPr>
        <w:p w:rsidR="00DA11F7" w:rsidRPr="00DA11F7" w:rsidRDefault="00DA11F7" w:rsidP="00DA11F7">
          <w:pPr>
            <w:pBdr>
              <w:top w:val="nil"/>
              <w:left w:val="nil"/>
              <w:bottom w:val="nil"/>
              <w:right w:val="nil"/>
              <w:between w:val="nil"/>
            </w:pBdr>
            <w:tabs>
              <w:tab w:val="right" w:pos="8838"/>
            </w:tabs>
            <w:spacing w:after="0" w:line="240" w:lineRule="auto"/>
            <w:jc w:val="both"/>
            <w:rPr>
              <w:rFonts w:ascii="Palatino Linotype" w:eastAsia="Palatino Linotype" w:hAnsi="Palatino Linotype" w:cs="Palatino Linotype"/>
              <w:bCs/>
              <w:color w:val="000000"/>
              <w:sz w:val="24"/>
            </w:rPr>
          </w:pPr>
          <w:r w:rsidRPr="00DA11F7">
            <w:rPr>
              <w:rFonts w:ascii="Palatino Linotype" w:eastAsia="Palatino Linotype" w:hAnsi="Palatino Linotype" w:cs="Palatino Linotype"/>
              <w:bCs/>
              <w:color w:val="000000"/>
              <w:sz w:val="24"/>
            </w:rPr>
            <w:t>Ayuntamiento de Toluca</w:t>
          </w:r>
        </w:p>
      </w:tc>
    </w:tr>
    <w:tr w:rsidR="00DA11F7" w:rsidTr="00DA11F7">
      <w:trPr>
        <w:trHeight w:val="342"/>
      </w:trPr>
      <w:tc>
        <w:tcPr>
          <w:tcW w:w="2976" w:type="dxa"/>
          <w:vAlign w:val="center"/>
        </w:tcPr>
        <w:p w:rsidR="00DA11F7" w:rsidRPr="00DA11F7" w:rsidRDefault="00DA11F7">
          <w:pPr>
            <w:spacing w:after="0" w:line="240" w:lineRule="auto"/>
            <w:ind w:right="34"/>
            <w:jc w:val="right"/>
            <w:rPr>
              <w:rFonts w:ascii="Palatino Linotype" w:eastAsia="Palatino Linotype" w:hAnsi="Palatino Linotype" w:cs="Palatino Linotype"/>
              <w:b/>
              <w:bCs/>
              <w:sz w:val="24"/>
            </w:rPr>
          </w:pPr>
          <w:r w:rsidRPr="00DA11F7">
            <w:rPr>
              <w:rFonts w:ascii="Palatino Linotype" w:eastAsia="Palatino Linotype" w:hAnsi="Palatino Linotype" w:cs="Palatino Linotype"/>
              <w:b/>
              <w:bCs/>
              <w:sz w:val="24"/>
            </w:rPr>
            <w:t>Comisionada Ponente:</w:t>
          </w:r>
        </w:p>
      </w:tc>
      <w:tc>
        <w:tcPr>
          <w:tcW w:w="3543" w:type="dxa"/>
          <w:vAlign w:val="center"/>
        </w:tcPr>
        <w:p w:rsidR="00DA11F7" w:rsidRPr="00DA11F7" w:rsidRDefault="00DA11F7" w:rsidP="00DA11F7">
          <w:pPr>
            <w:pBdr>
              <w:top w:val="nil"/>
              <w:left w:val="nil"/>
              <w:bottom w:val="nil"/>
              <w:right w:val="nil"/>
              <w:between w:val="nil"/>
            </w:pBdr>
            <w:tabs>
              <w:tab w:val="right" w:pos="8838"/>
            </w:tabs>
            <w:spacing w:after="0" w:line="240" w:lineRule="auto"/>
            <w:rPr>
              <w:rFonts w:ascii="Palatino Linotype" w:eastAsia="Palatino Linotype" w:hAnsi="Palatino Linotype" w:cs="Palatino Linotype"/>
              <w:bCs/>
              <w:color w:val="000000"/>
              <w:sz w:val="24"/>
            </w:rPr>
          </w:pPr>
          <w:r w:rsidRPr="00DA11F7">
            <w:rPr>
              <w:rFonts w:ascii="Palatino Linotype" w:eastAsia="Palatino Linotype" w:hAnsi="Palatino Linotype" w:cs="Palatino Linotype"/>
              <w:bCs/>
              <w:color w:val="000000"/>
              <w:sz w:val="24"/>
            </w:rPr>
            <w:t>María del Rosario Mejía Ayala</w:t>
          </w:r>
        </w:p>
      </w:tc>
    </w:tr>
  </w:tbl>
  <w:p w:rsidR="00DA11F7" w:rsidRDefault="00CF3756">
    <w:pPr>
      <w:pBdr>
        <w:top w:val="nil"/>
        <w:left w:val="nil"/>
        <w:bottom w:val="nil"/>
        <w:right w:val="nil"/>
        <w:between w:val="nil"/>
      </w:pBdr>
      <w:tabs>
        <w:tab w:val="center" w:pos="4419"/>
        <w:tab w:val="right" w:pos="8838"/>
        <w:tab w:val="left" w:pos="6005"/>
      </w:tabs>
      <w:spacing w:after="0" w:line="240" w:lineRule="auto"/>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6.2pt;margin-top:-128.4pt;width:609.4pt;height:793.75pt;z-index:-251659776;mso-position-horizontal-relative:margin;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660" w:type="dxa"/>
      <w:tblInd w:w="3402" w:type="dxa"/>
      <w:tblLayout w:type="fixed"/>
      <w:tblLook w:val="0400" w:firstRow="0" w:lastRow="0" w:firstColumn="0" w:lastColumn="0" w:noHBand="0" w:noVBand="1"/>
    </w:tblPr>
    <w:tblGrid>
      <w:gridCol w:w="2977"/>
      <w:gridCol w:w="3683"/>
    </w:tblGrid>
    <w:tr w:rsidR="00DA11F7" w:rsidTr="00DA11F7">
      <w:trPr>
        <w:trHeight w:val="227"/>
      </w:trPr>
      <w:tc>
        <w:tcPr>
          <w:tcW w:w="2977" w:type="dxa"/>
          <w:vAlign w:val="center"/>
        </w:tcPr>
        <w:p w:rsidR="00DA11F7" w:rsidRPr="00DA11F7" w:rsidRDefault="00DA11F7">
          <w:pPr>
            <w:spacing w:after="0" w:line="240" w:lineRule="auto"/>
            <w:jc w:val="right"/>
            <w:rPr>
              <w:rFonts w:ascii="Palatino Linotype" w:eastAsia="Palatino Linotype" w:hAnsi="Palatino Linotype" w:cs="Palatino Linotype"/>
              <w:b/>
              <w:bCs/>
              <w:sz w:val="24"/>
            </w:rPr>
          </w:pPr>
          <w:r w:rsidRPr="00DA11F7">
            <w:rPr>
              <w:rFonts w:ascii="Palatino Linotype" w:eastAsia="Palatino Linotype" w:hAnsi="Palatino Linotype" w:cs="Palatino Linotype"/>
              <w:b/>
              <w:bCs/>
              <w:sz w:val="24"/>
            </w:rPr>
            <w:t>Recurso de Revisión:</w:t>
          </w:r>
        </w:p>
      </w:tc>
      <w:tc>
        <w:tcPr>
          <w:tcW w:w="3683" w:type="dxa"/>
          <w:vAlign w:val="center"/>
        </w:tcPr>
        <w:p w:rsidR="00DA11F7" w:rsidRPr="00DA11F7" w:rsidRDefault="00DA11F7">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Cs/>
              <w:color w:val="000000"/>
              <w:sz w:val="24"/>
            </w:rPr>
          </w:pPr>
          <w:r w:rsidRPr="00DA11F7">
            <w:rPr>
              <w:rFonts w:ascii="Palatino Linotype" w:eastAsia="Palatino Linotype" w:hAnsi="Palatino Linotype" w:cs="Palatino Linotype"/>
              <w:bCs/>
              <w:color w:val="000000"/>
              <w:sz w:val="24"/>
            </w:rPr>
            <w:t>07843/INFOEM/IP/RR/2025</w:t>
          </w:r>
        </w:p>
      </w:tc>
    </w:tr>
    <w:tr w:rsidR="00DA11F7" w:rsidTr="00DA11F7">
      <w:trPr>
        <w:trHeight w:val="242"/>
      </w:trPr>
      <w:tc>
        <w:tcPr>
          <w:tcW w:w="2977" w:type="dxa"/>
          <w:vAlign w:val="center"/>
        </w:tcPr>
        <w:p w:rsidR="00DA11F7" w:rsidRPr="00DA11F7" w:rsidRDefault="00DA11F7">
          <w:pPr>
            <w:spacing w:after="0" w:line="240" w:lineRule="auto"/>
            <w:jc w:val="right"/>
            <w:rPr>
              <w:rFonts w:ascii="Palatino Linotype" w:eastAsia="Palatino Linotype" w:hAnsi="Palatino Linotype" w:cs="Palatino Linotype"/>
              <w:b/>
              <w:bCs/>
              <w:sz w:val="24"/>
            </w:rPr>
          </w:pPr>
          <w:r w:rsidRPr="00DA11F7">
            <w:rPr>
              <w:rFonts w:ascii="Palatino Linotype" w:eastAsia="Palatino Linotype" w:hAnsi="Palatino Linotype" w:cs="Palatino Linotype"/>
              <w:b/>
              <w:bCs/>
              <w:sz w:val="24"/>
            </w:rPr>
            <w:t>Recurrente:</w:t>
          </w:r>
        </w:p>
      </w:tc>
      <w:tc>
        <w:tcPr>
          <w:tcW w:w="3683" w:type="dxa"/>
        </w:tcPr>
        <w:p w:rsidR="00DA11F7" w:rsidRPr="00DA11F7" w:rsidRDefault="00DA11F7">
          <w:pPr>
            <w:pBdr>
              <w:top w:val="nil"/>
              <w:left w:val="nil"/>
              <w:bottom w:val="nil"/>
              <w:right w:val="nil"/>
              <w:between w:val="nil"/>
            </w:pBdr>
            <w:tabs>
              <w:tab w:val="center" w:pos="4419"/>
              <w:tab w:val="right" w:pos="8838"/>
              <w:tab w:val="left" w:pos="521"/>
            </w:tabs>
            <w:spacing w:after="0" w:line="240" w:lineRule="auto"/>
            <w:rPr>
              <w:rFonts w:ascii="Palatino Linotype" w:eastAsia="Palatino Linotype" w:hAnsi="Palatino Linotype" w:cs="Palatino Linotype"/>
              <w:bCs/>
              <w:color w:val="000000"/>
              <w:sz w:val="24"/>
            </w:rPr>
          </w:pPr>
        </w:p>
      </w:tc>
    </w:tr>
    <w:tr w:rsidR="00DA11F7" w:rsidTr="00DA11F7">
      <w:trPr>
        <w:trHeight w:val="342"/>
      </w:trPr>
      <w:tc>
        <w:tcPr>
          <w:tcW w:w="2977" w:type="dxa"/>
          <w:vAlign w:val="center"/>
        </w:tcPr>
        <w:p w:rsidR="00DA11F7" w:rsidRPr="00DA11F7" w:rsidRDefault="00DA11F7">
          <w:pPr>
            <w:spacing w:after="0" w:line="240" w:lineRule="auto"/>
            <w:jc w:val="right"/>
            <w:rPr>
              <w:rFonts w:ascii="Palatino Linotype" w:eastAsia="Palatino Linotype" w:hAnsi="Palatino Linotype" w:cs="Palatino Linotype"/>
              <w:b/>
              <w:bCs/>
              <w:sz w:val="24"/>
            </w:rPr>
          </w:pPr>
          <w:r w:rsidRPr="00DA11F7">
            <w:rPr>
              <w:rFonts w:ascii="Palatino Linotype" w:eastAsia="Palatino Linotype" w:hAnsi="Palatino Linotype" w:cs="Palatino Linotype"/>
              <w:b/>
              <w:bCs/>
              <w:sz w:val="24"/>
            </w:rPr>
            <w:t>Sujeto Obligado:</w:t>
          </w:r>
        </w:p>
      </w:tc>
      <w:tc>
        <w:tcPr>
          <w:tcW w:w="3683" w:type="dxa"/>
          <w:vAlign w:val="center"/>
        </w:tcPr>
        <w:p w:rsidR="00DA11F7" w:rsidRPr="00DA11F7" w:rsidRDefault="00DA11F7">
          <w:pPr>
            <w:pBdr>
              <w:top w:val="nil"/>
              <w:left w:val="nil"/>
              <w:bottom w:val="nil"/>
              <w:right w:val="nil"/>
              <w:between w:val="nil"/>
            </w:pBdr>
            <w:tabs>
              <w:tab w:val="center" w:pos="4419"/>
              <w:tab w:val="right" w:pos="8838"/>
            </w:tabs>
            <w:spacing w:after="0" w:line="240" w:lineRule="auto"/>
            <w:jc w:val="both"/>
            <w:rPr>
              <w:rFonts w:ascii="Palatino Linotype" w:eastAsia="Palatino Linotype" w:hAnsi="Palatino Linotype" w:cs="Palatino Linotype"/>
              <w:bCs/>
              <w:color w:val="000000"/>
              <w:sz w:val="24"/>
            </w:rPr>
          </w:pPr>
          <w:r w:rsidRPr="00DA11F7">
            <w:rPr>
              <w:rFonts w:ascii="Palatino Linotype" w:eastAsia="Palatino Linotype" w:hAnsi="Palatino Linotype" w:cs="Palatino Linotype"/>
              <w:bCs/>
              <w:color w:val="000000"/>
              <w:sz w:val="24"/>
            </w:rPr>
            <w:t>Ayuntamiento de Toluca</w:t>
          </w:r>
        </w:p>
      </w:tc>
    </w:tr>
    <w:tr w:rsidR="00DA11F7" w:rsidTr="00DA11F7">
      <w:trPr>
        <w:trHeight w:val="342"/>
      </w:trPr>
      <w:tc>
        <w:tcPr>
          <w:tcW w:w="2977" w:type="dxa"/>
          <w:vAlign w:val="center"/>
        </w:tcPr>
        <w:p w:rsidR="00DA11F7" w:rsidRPr="00DA11F7" w:rsidRDefault="00DA11F7">
          <w:pPr>
            <w:spacing w:after="0" w:line="240" w:lineRule="auto"/>
            <w:jc w:val="right"/>
            <w:rPr>
              <w:rFonts w:ascii="Palatino Linotype" w:eastAsia="Palatino Linotype" w:hAnsi="Palatino Linotype" w:cs="Palatino Linotype"/>
              <w:b/>
              <w:bCs/>
              <w:sz w:val="24"/>
            </w:rPr>
          </w:pPr>
          <w:r w:rsidRPr="00DA11F7">
            <w:rPr>
              <w:rFonts w:ascii="Palatino Linotype" w:eastAsia="Palatino Linotype" w:hAnsi="Palatino Linotype" w:cs="Palatino Linotype"/>
              <w:b/>
              <w:bCs/>
              <w:sz w:val="24"/>
            </w:rPr>
            <w:t>Comisionada Ponente:</w:t>
          </w:r>
        </w:p>
      </w:tc>
      <w:tc>
        <w:tcPr>
          <w:tcW w:w="3683" w:type="dxa"/>
          <w:vAlign w:val="center"/>
        </w:tcPr>
        <w:p w:rsidR="00DA11F7" w:rsidRPr="00DA11F7" w:rsidRDefault="00DA11F7">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Cs/>
              <w:color w:val="000000"/>
              <w:sz w:val="24"/>
            </w:rPr>
          </w:pPr>
          <w:r w:rsidRPr="00DA11F7">
            <w:rPr>
              <w:rFonts w:ascii="Palatino Linotype" w:eastAsia="Palatino Linotype" w:hAnsi="Palatino Linotype" w:cs="Palatino Linotype"/>
              <w:bCs/>
              <w:color w:val="000000"/>
              <w:sz w:val="24"/>
            </w:rPr>
            <w:t>María del Rosario Mejía Ayala</w:t>
          </w:r>
        </w:p>
      </w:tc>
    </w:tr>
  </w:tbl>
  <w:p w:rsidR="00DA11F7" w:rsidRDefault="00CF3756">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23.35pt;width:609.4pt;height:793.75pt;z-index:-251658752;mso-position-horizontal-relative:margin;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F070C"/>
    <w:multiLevelType w:val="multilevel"/>
    <w:tmpl w:val="137826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855CCF"/>
    <w:multiLevelType w:val="multilevel"/>
    <w:tmpl w:val="55CA7E8A"/>
    <w:lvl w:ilvl="0">
      <w:numFmt w:val="bullet"/>
      <w:lvlText w:val="-"/>
      <w:lvlJc w:val="left"/>
      <w:pPr>
        <w:ind w:left="928" w:hanging="360"/>
      </w:pPr>
      <w:rPr>
        <w:rFonts w:ascii="Palatino Linotype" w:eastAsia="Palatino Linotype" w:hAnsi="Palatino Linotype" w:cs="Palatino Linotype"/>
        <w:color w:val="000000"/>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2" w15:restartNumberingAfterBreak="0">
    <w:nsid w:val="0AC60008"/>
    <w:multiLevelType w:val="multilevel"/>
    <w:tmpl w:val="BC78CCDE"/>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560463"/>
    <w:multiLevelType w:val="multilevel"/>
    <w:tmpl w:val="DB9201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BA0234"/>
    <w:multiLevelType w:val="multilevel"/>
    <w:tmpl w:val="44FE2A3A"/>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5" w15:restartNumberingAfterBreak="0">
    <w:nsid w:val="2C003AA5"/>
    <w:multiLevelType w:val="multilevel"/>
    <w:tmpl w:val="FF805C56"/>
    <w:lvl w:ilvl="0">
      <w:start w:val="1"/>
      <w:numFmt w:val="bullet"/>
      <w:lvlText w:val="●"/>
      <w:lvlJc w:val="left"/>
      <w:pPr>
        <w:ind w:left="720" w:hanging="360"/>
      </w:pPr>
      <w:rPr>
        <w:rFonts w:ascii="Noto Sans Symbols" w:eastAsia="Noto Sans Symbols" w:hAnsi="Noto Sans Symbols" w:cs="Noto Sans Symbols"/>
        <w:b/>
        <w:bC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A323BF"/>
    <w:multiLevelType w:val="multilevel"/>
    <w:tmpl w:val="301AB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71B3720"/>
    <w:multiLevelType w:val="multilevel"/>
    <w:tmpl w:val="2264D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9DF06DB"/>
    <w:multiLevelType w:val="multilevel"/>
    <w:tmpl w:val="4044D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093BBF"/>
    <w:multiLevelType w:val="multilevel"/>
    <w:tmpl w:val="B8B0AE80"/>
    <w:lvl w:ilvl="0">
      <w:start w:val="1"/>
      <w:numFmt w:val="decimal"/>
      <w:lvlText w:val="%1."/>
      <w:lvlJc w:val="left"/>
      <w:pPr>
        <w:ind w:left="720" w:hanging="360"/>
      </w:pPr>
      <w:rPr>
        <w:b/>
        <w:bCs/>
        <w:i w:val="0"/>
        <w:iCs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7E45272"/>
    <w:multiLevelType w:val="multilevel"/>
    <w:tmpl w:val="5846CA3C"/>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A9346A9"/>
    <w:multiLevelType w:val="multilevel"/>
    <w:tmpl w:val="FA32E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18C5DF7"/>
    <w:multiLevelType w:val="multilevel"/>
    <w:tmpl w:val="21D447E6"/>
    <w:lvl w:ilvl="0">
      <w:start w:val="9000"/>
      <w:numFmt w:val="bullet"/>
      <w:lvlText w:val="-"/>
      <w:lvlJc w:val="left"/>
      <w:pPr>
        <w:ind w:left="720" w:hanging="360"/>
      </w:pPr>
      <w:rPr>
        <w:rFonts w:ascii="Palatino Linotype" w:eastAsia="Palatino Linotype" w:hAnsi="Palatino Linotype" w:cs="Palatino Linotype"/>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C7441BA"/>
    <w:multiLevelType w:val="multilevel"/>
    <w:tmpl w:val="9B127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8"/>
  </w:num>
  <w:num w:numId="4">
    <w:abstractNumId w:val="6"/>
  </w:num>
  <w:num w:numId="5">
    <w:abstractNumId w:val="10"/>
  </w:num>
  <w:num w:numId="6">
    <w:abstractNumId w:val="13"/>
  </w:num>
  <w:num w:numId="7">
    <w:abstractNumId w:val="12"/>
  </w:num>
  <w:num w:numId="8">
    <w:abstractNumId w:val="9"/>
  </w:num>
  <w:num w:numId="9">
    <w:abstractNumId w:val="1"/>
  </w:num>
  <w:num w:numId="10">
    <w:abstractNumId w:val="3"/>
  </w:num>
  <w:num w:numId="11">
    <w:abstractNumId w:val="11"/>
  </w:num>
  <w:num w:numId="12">
    <w:abstractNumId w:val="7"/>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C6"/>
    <w:rsid w:val="00156778"/>
    <w:rsid w:val="001C3443"/>
    <w:rsid w:val="0020206C"/>
    <w:rsid w:val="006312C6"/>
    <w:rsid w:val="0069007B"/>
    <w:rsid w:val="007F66DF"/>
    <w:rsid w:val="00A67A7C"/>
    <w:rsid w:val="00C76CF6"/>
    <w:rsid w:val="00CF3756"/>
    <w:rsid w:val="00DA11F7"/>
    <w:rsid w:val="00EE6106"/>
    <w:rsid w:val="00F42515"/>
    <w:rsid w:val="00FC10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4AD8C9B-2264-43A0-A9E5-0B763B35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line="240" w:lineRule="auto"/>
      <w:outlineLvl w:val="0"/>
    </w:pPr>
    <w:rPr>
      <w:color w:val="2E75B5"/>
      <w:sz w:val="32"/>
      <w:szCs w:val="32"/>
    </w:rPr>
  </w:style>
  <w:style w:type="paragraph" w:styleId="Ttulo2">
    <w:name w:val="heading 2"/>
    <w:basedOn w:val="Normal"/>
    <w:next w:val="Normal"/>
    <w:pPr>
      <w:keepNext/>
      <w:keepLines/>
      <w:spacing w:before="40" w:after="0" w:line="240" w:lineRule="auto"/>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rsid w:val="00173C33"/>
    <w:rPr>
      <w:rFonts w:ascii="Calibri" w:eastAsia="Calibri" w:hAnsi="Calibri" w:cs="Calibri"/>
      <w:color w:val="2E75B5"/>
      <w:sz w:val="32"/>
      <w:szCs w:val="32"/>
      <w:lang w:eastAsia="es-MX"/>
    </w:rPr>
  </w:style>
  <w:style w:type="character" w:customStyle="1" w:styleId="Ttulo2Car">
    <w:name w:val="Título 2 Car"/>
    <w:basedOn w:val="Fuentedeprrafopredeter"/>
    <w:rsid w:val="00173C33"/>
    <w:rPr>
      <w:rFonts w:ascii="Calibri" w:eastAsia="Calibri" w:hAnsi="Calibri" w:cs="Calibri"/>
      <w:color w:val="2E75B5"/>
      <w:sz w:val="26"/>
      <w:szCs w:val="26"/>
      <w:lang w:eastAsia="es-MX"/>
    </w:rPr>
  </w:style>
  <w:style w:type="character" w:customStyle="1" w:styleId="Ttulo3Car">
    <w:name w:val="Título 3 Car"/>
    <w:basedOn w:val="Fuentedeprrafopredeter"/>
    <w:rsid w:val="00173C33"/>
    <w:rPr>
      <w:rFonts w:ascii="Calibri" w:eastAsia="Calibri" w:hAnsi="Calibri" w:cs="Calibri"/>
      <w:b/>
      <w:bCs/>
      <w:sz w:val="28"/>
      <w:szCs w:val="28"/>
      <w:lang w:eastAsia="es-MX"/>
    </w:rPr>
  </w:style>
  <w:style w:type="character" w:customStyle="1" w:styleId="Ttulo4Car">
    <w:name w:val="Título 4 Car"/>
    <w:basedOn w:val="Fuentedeprrafopredeter"/>
    <w:rsid w:val="00173C33"/>
    <w:rPr>
      <w:rFonts w:ascii="Calibri" w:eastAsia="Calibri" w:hAnsi="Calibri" w:cs="Calibri"/>
      <w:b/>
      <w:bCs/>
      <w:sz w:val="24"/>
      <w:szCs w:val="24"/>
      <w:lang w:eastAsia="es-MX"/>
    </w:rPr>
  </w:style>
  <w:style w:type="character" w:customStyle="1" w:styleId="Ttulo5Car">
    <w:name w:val="Título 5 Car"/>
    <w:basedOn w:val="Fuentedeprrafopredeter"/>
    <w:rsid w:val="00173C33"/>
    <w:rPr>
      <w:rFonts w:ascii="Calibri" w:eastAsia="Calibri" w:hAnsi="Calibri" w:cs="Calibri"/>
      <w:b/>
      <w:bCs/>
      <w:lang w:eastAsia="es-MX"/>
    </w:rPr>
  </w:style>
  <w:style w:type="character" w:customStyle="1" w:styleId="Ttulo6Car">
    <w:name w:val="Título 6 Car"/>
    <w:basedOn w:val="Fuentedeprrafopredeter"/>
    <w:rsid w:val="00173C33"/>
    <w:rPr>
      <w:rFonts w:ascii="Calibri" w:eastAsia="Calibri" w:hAnsi="Calibri" w:cs="Calibri"/>
      <w:b/>
      <w:bCs/>
      <w:sz w:val="20"/>
      <w:szCs w:val="20"/>
      <w:lang w:eastAsia="es-MX"/>
    </w:rPr>
  </w:style>
  <w:style w:type="table" w:customStyle="1" w:styleId="TableNormal0">
    <w:name w:val="TableNormal"/>
    <w:rsid w:val="00173C33"/>
    <w:tblPr>
      <w:tblCellMar>
        <w:top w:w="100" w:type="dxa"/>
        <w:left w:w="100" w:type="dxa"/>
        <w:bottom w:w="100" w:type="dxa"/>
        <w:right w:w="100" w:type="dxa"/>
      </w:tblCellMar>
    </w:tblPr>
  </w:style>
  <w:style w:type="character" w:customStyle="1" w:styleId="PuestoCar">
    <w:name w:val="Puesto Car"/>
    <w:basedOn w:val="Fuentedeprrafopredeter"/>
    <w:rsid w:val="00173C33"/>
    <w:rPr>
      <w:rFonts w:ascii="Calibri" w:eastAsia="Calibri" w:hAnsi="Calibri" w:cs="Calibri"/>
      <w:b/>
      <w:bCs/>
      <w:sz w:val="72"/>
      <w:szCs w:val="72"/>
      <w:lang w:eastAsia="es-MX"/>
    </w:rPr>
  </w:style>
  <w:style w:type="paragraph" w:styleId="Encabezado">
    <w:name w:val="header"/>
    <w:basedOn w:val="Normal"/>
    <w:link w:val="EncabezadoCar"/>
    <w:uiPriority w:val="99"/>
    <w:unhideWhenUsed/>
    <w:rsid w:val="00173C33"/>
    <w:pPr>
      <w:tabs>
        <w:tab w:val="center" w:pos="4419"/>
        <w:tab w:val="right" w:pos="8838"/>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173C33"/>
    <w:rPr>
      <w:rFonts w:ascii="Calibri" w:eastAsiaTheme="minorEastAsia" w:hAnsi="Calibri" w:cs="Calibri"/>
      <w:sz w:val="24"/>
      <w:szCs w:val="24"/>
      <w:lang w:val="es-ES_tradnl" w:eastAsia="es-ES"/>
    </w:rPr>
  </w:style>
  <w:style w:type="paragraph" w:styleId="Piedepgina">
    <w:name w:val="footer"/>
    <w:basedOn w:val="Normal"/>
    <w:link w:val="PiedepginaCar"/>
    <w:uiPriority w:val="99"/>
    <w:unhideWhenUsed/>
    <w:rsid w:val="00173C33"/>
    <w:pPr>
      <w:tabs>
        <w:tab w:val="center" w:pos="4419"/>
        <w:tab w:val="right" w:pos="8838"/>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173C33"/>
    <w:rPr>
      <w:rFonts w:ascii="Calibri" w:eastAsiaTheme="minorEastAsia" w:hAnsi="Calibri" w:cs="Calibri"/>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73C33"/>
    <w:pPr>
      <w:spacing w:after="0" w:line="240" w:lineRule="auto"/>
      <w:ind w:left="720"/>
      <w:contextualSpacing/>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73C33"/>
    <w:rPr>
      <w:rFonts w:ascii="Calibri" w:eastAsiaTheme="minorEastAsia" w:hAnsi="Calibri" w:cs="Calibri"/>
      <w:sz w:val="24"/>
      <w:szCs w:val="24"/>
      <w:lang w:val="es-ES_tradnl"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173C33"/>
    <w:rPr>
      <w:color w:val="0563C1" w:themeColor="hyperlink"/>
      <w:u w:val="single"/>
    </w:rPr>
  </w:style>
  <w:style w:type="paragraph" w:styleId="Sinespaciado">
    <w:name w:val="No Spacing"/>
    <w:aliases w:val="Francesa,INAI"/>
    <w:link w:val="SinespaciadoCar"/>
    <w:uiPriority w:val="1"/>
    <w:qFormat/>
    <w:rsid w:val="00173C33"/>
    <w:pPr>
      <w:spacing w:after="0" w:line="240" w:lineRule="auto"/>
    </w:pPr>
  </w:style>
  <w:style w:type="character" w:customStyle="1" w:styleId="SinespaciadoCar">
    <w:name w:val="Sin espaciado Car"/>
    <w:aliases w:val="Francesa Car,INAI Car"/>
    <w:link w:val="Sinespaciado"/>
    <w:uiPriority w:val="1"/>
    <w:qFormat/>
    <w:locked/>
    <w:rsid w:val="00173C33"/>
    <w:rPr>
      <w:rFonts w:ascii="Calibri" w:eastAsia="Calibri" w:hAnsi="Calibri" w:cs="Calibri"/>
      <w:lang w:eastAsia="es-MX"/>
    </w:rPr>
  </w:style>
  <w:style w:type="paragraph" w:styleId="Listaconvietas2">
    <w:name w:val="List Bullet 2"/>
    <w:basedOn w:val="Normal"/>
    <w:uiPriority w:val="99"/>
    <w:unhideWhenUsed/>
    <w:qFormat/>
    <w:rsid w:val="00173C33"/>
    <w:pPr>
      <w:numPr>
        <w:numId w:val="5"/>
      </w:numPr>
      <w:spacing w:after="0" w:line="240" w:lineRule="auto"/>
      <w:contextualSpacing/>
    </w:pPr>
    <w:rPr>
      <w:rFonts w:ascii="Times New Roman" w:eastAsia="Times New Roman" w:hAnsi="Times New Roman" w:cs="Times New Roman"/>
      <w:sz w:val="20"/>
      <w:szCs w:val="20"/>
    </w:rPr>
  </w:style>
  <w:style w:type="table" w:styleId="Tablaconcuadrcula">
    <w:name w:val="Table Grid"/>
    <w:basedOn w:val="Tablanormal"/>
    <w:uiPriority w:val="39"/>
    <w:rsid w:val="0017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173C33"/>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73C33"/>
    <w:pPr>
      <w:spacing w:after="0" w:line="240" w:lineRule="auto"/>
    </w:pPr>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173C33"/>
    <w:rPr>
      <w:rFonts w:ascii="Calibri" w:eastAsia="Calibri" w:hAnsi="Calibri" w:cs="Calibri"/>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173C33"/>
    <w:rPr>
      <w:vertAlign w:val="superscript"/>
    </w:rPr>
  </w:style>
  <w:style w:type="character" w:customStyle="1" w:styleId="SubttuloCar">
    <w:name w:val="Subtítulo Car"/>
    <w:basedOn w:val="Fuentedeprrafopredeter"/>
    <w:rsid w:val="00173C33"/>
    <w:rPr>
      <w:rFonts w:ascii="Georgia" w:eastAsia="Georgia" w:hAnsi="Georgia" w:cs="Georgia"/>
      <w:i/>
      <w:iCs/>
      <w:color w:val="666666"/>
      <w:sz w:val="48"/>
      <w:szCs w:val="48"/>
      <w:lang w:eastAsia="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dusef.gob.mx/Revista/index.php/usuario-inteligente/condusef-responde/777-la-condusef-te-puede-ayuda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contraloriadf.gob.mx/contraloria/cursos/ADQUISICIONES/paginas/32.php"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gob.mx/sfp/acciones-y-programas/1-3-3-adjudicacion-directa" TargetMode="External"/><Relationship Id="rId14" Type="http://schemas.openxmlformats.org/officeDocument/2006/relationships/hyperlink" Target="https://webapps.condusef.gob.mx/SIPRES/jsp/pub/index.jsp"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QyPi3BkEH5Vv6Iv0R4F6S/aosg==">CgMxLjAyDmguZmQxa21sd3I4eTFtMg5oLjQ5aHM2Yzh6OG04ODIOaC4zNzRoMHdlbmY2eW8yDmgudWtjaWU4ejJseWtkMg5oLmUyczFiNnNucWJmdjIOaC41bmpqaDl3MWg2NWoyDmguczI4Y3NqNmlka21jMghoLnR5amN3dDIJaC4yczhleW8xMg5oLm42NzNyaTNrajFyYTIJaC4xN2RwOHZ1OAByITF2dWVrcTY1dU91Tks3OXN0ZzJLNjJuRDJwMnB4VUMtSA==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66</Pages>
  <Words>15062</Words>
  <Characters>82845</Characters>
  <Application>Microsoft Office Word</Application>
  <DocSecurity>0</DocSecurity>
  <Lines>690</Lines>
  <Paragraphs>195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97712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9</cp:revision>
  <cp:lastPrinted>2026-02-27T16:02:00Z</cp:lastPrinted>
  <dcterms:created xsi:type="dcterms:W3CDTF">2026-02-17T19:03:00Z</dcterms:created>
  <dcterms:modified xsi:type="dcterms:W3CDTF">2026-03-05T18:52:00Z</dcterms:modified>
</cp:coreProperties>
</file>