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AC4" w:rsidRPr="00F90D38" w:rsidRDefault="00055AC4" w:rsidP="00055AC4">
      <w:pPr>
        <w:spacing w:line="360" w:lineRule="auto"/>
        <w:jc w:val="both"/>
        <w:rPr>
          <w:rFonts w:ascii="Palatino Linotype" w:hAnsi="Palatino Linotype"/>
        </w:rPr>
      </w:pPr>
      <w:r w:rsidRPr="00F90D3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5C7628" w:rsidRPr="00F90D38">
        <w:rPr>
          <w:rFonts w:ascii="Palatino Linotype" w:hAnsi="Palatino Linotype"/>
        </w:rPr>
        <w:t>diecisiete de junio de dos mil veintiséis</w:t>
      </w:r>
      <w:r w:rsidRPr="00F90D38">
        <w:rPr>
          <w:rFonts w:ascii="Palatino Linotype" w:hAnsi="Palatino Linotype"/>
        </w:rPr>
        <w:t>.</w:t>
      </w:r>
    </w:p>
    <w:p w:rsidR="00055AC4" w:rsidRPr="00F90D38" w:rsidRDefault="00055AC4" w:rsidP="00055AC4">
      <w:pPr>
        <w:spacing w:line="360" w:lineRule="auto"/>
        <w:jc w:val="both"/>
        <w:rPr>
          <w:rFonts w:ascii="Palatino Linotype" w:hAnsi="Palatino Linotype"/>
        </w:rPr>
      </w:pPr>
    </w:p>
    <w:p w:rsidR="00055AC4" w:rsidRPr="00F90D38" w:rsidRDefault="00055AC4" w:rsidP="00055AC4">
      <w:pPr>
        <w:tabs>
          <w:tab w:val="left" w:pos="1701"/>
        </w:tabs>
        <w:spacing w:before="240" w:line="360" w:lineRule="auto"/>
        <w:jc w:val="both"/>
        <w:rPr>
          <w:rFonts w:ascii="Palatino Linotype" w:hAnsi="Palatino Linotype" w:cs="Arial"/>
          <w:sz w:val="28"/>
        </w:rPr>
      </w:pPr>
      <w:r w:rsidRPr="00F90D38">
        <w:rPr>
          <w:rFonts w:ascii="Palatino Linotype" w:hAnsi="Palatino Linotype" w:cs="Arial"/>
          <w:b/>
        </w:rPr>
        <w:t>VISTO</w:t>
      </w:r>
      <w:r w:rsidRPr="00F90D38">
        <w:rPr>
          <w:rFonts w:ascii="Palatino Linotype" w:hAnsi="Palatino Linotype" w:cs="Arial"/>
        </w:rPr>
        <w:t xml:space="preserve"> el expediente electrónico formado con motivo del recurso de revisión número</w:t>
      </w:r>
      <w:r w:rsidRPr="00F90D38">
        <w:rPr>
          <w:rFonts w:ascii="Palatino Linotype" w:hAnsi="Palatino Linotype" w:cs="Arial"/>
          <w:b/>
        </w:rPr>
        <w:t xml:space="preserve"> </w:t>
      </w:r>
      <w:bookmarkStart w:id="0" w:name="_GoBack"/>
      <w:r w:rsidRPr="00F90D38">
        <w:rPr>
          <w:rFonts w:ascii="Palatino Linotype" w:hAnsi="Palatino Linotype" w:cs="Arial"/>
          <w:b/>
          <w:bCs/>
          <w:lang w:eastAsia="es-MX"/>
        </w:rPr>
        <w:t>05015/INFOEM/IP/RR/2025</w:t>
      </w:r>
      <w:bookmarkEnd w:id="0"/>
      <w:r w:rsidRPr="00F90D38">
        <w:rPr>
          <w:rFonts w:ascii="Palatino Linotype" w:hAnsi="Palatino Linotype" w:cs="Arial"/>
          <w:b/>
          <w:bCs/>
          <w:lang w:eastAsia="es-MX"/>
        </w:rPr>
        <w:t xml:space="preserve">, </w:t>
      </w:r>
      <w:r w:rsidRPr="00F90D38">
        <w:rPr>
          <w:rFonts w:ascii="Palatino Linotype" w:hAnsi="Palatino Linotype"/>
        </w:rPr>
        <w:t>interpuesto por “</w:t>
      </w:r>
      <w:r w:rsidR="008A0793">
        <w:rPr>
          <w:rFonts w:ascii="Palatino Linotype" w:hAnsi="Palatino Linotype"/>
        </w:rPr>
        <w:t>XXXXXXXXXXX</w:t>
      </w:r>
      <w:r w:rsidRPr="00F90D38">
        <w:rPr>
          <w:rFonts w:ascii="Palatino Linotype" w:hAnsi="Palatino Linotype"/>
        </w:rPr>
        <w:t xml:space="preserve">”, en lo sucesivo la parte </w:t>
      </w:r>
      <w:r w:rsidRPr="00F90D38">
        <w:rPr>
          <w:rFonts w:ascii="Palatino Linotype" w:hAnsi="Palatino Linotype"/>
          <w:b/>
        </w:rPr>
        <w:t>Recurrente</w:t>
      </w:r>
      <w:r w:rsidRPr="00F90D38">
        <w:rPr>
          <w:rFonts w:ascii="Palatino Linotype" w:hAnsi="Palatino Linotype"/>
        </w:rPr>
        <w:t xml:space="preserve">, en contra de la respuesta de la </w:t>
      </w:r>
      <w:r w:rsidRPr="00F90D38">
        <w:rPr>
          <w:rFonts w:ascii="Palatino Linotype" w:hAnsi="Palatino Linotype"/>
          <w:b/>
        </w:rPr>
        <w:t>Secretaría Ejecutiva del Sistema Estatal Anticorrupción</w:t>
      </w:r>
      <w:r w:rsidRPr="00F90D38">
        <w:rPr>
          <w:rFonts w:ascii="Palatino Linotype" w:hAnsi="Palatino Linotype"/>
        </w:rPr>
        <w:t xml:space="preserve">, en lo subsecuente el </w:t>
      </w:r>
      <w:r w:rsidRPr="00F90D38">
        <w:rPr>
          <w:rFonts w:ascii="Palatino Linotype" w:hAnsi="Palatino Linotype"/>
          <w:b/>
        </w:rPr>
        <w:t>Sujeto Obligado</w:t>
      </w:r>
      <w:r w:rsidRPr="00F90D38">
        <w:rPr>
          <w:rFonts w:ascii="Palatino Linotype" w:hAnsi="Palatino Linotype"/>
        </w:rPr>
        <w:t>, se procede a dictar la presente resolución.</w:t>
      </w:r>
    </w:p>
    <w:p w:rsidR="00055AC4" w:rsidRPr="00F90D38" w:rsidRDefault="00055AC4" w:rsidP="00055AC4">
      <w:pPr>
        <w:pStyle w:val="infoemcitas"/>
        <w:jc w:val="center"/>
        <w:rPr>
          <w:b/>
          <w:bCs/>
          <w:i w:val="0"/>
          <w:iCs/>
          <w:sz w:val="24"/>
          <w:szCs w:val="28"/>
        </w:rPr>
      </w:pPr>
    </w:p>
    <w:p w:rsidR="00055AC4" w:rsidRPr="00F90D38" w:rsidRDefault="00055AC4" w:rsidP="00055AC4">
      <w:pPr>
        <w:pStyle w:val="infoemcitas"/>
        <w:jc w:val="center"/>
        <w:rPr>
          <w:b/>
          <w:bCs/>
          <w:i w:val="0"/>
          <w:iCs/>
          <w:sz w:val="28"/>
          <w:szCs w:val="28"/>
        </w:rPr>
      </w:pPr>
      <w:r w:rsidRPr="00F90D38">
        <w:rPr>
          <w:b/>
          <w:bCs/>
          <w:i w:val="0"/>
          <w:iCs/>
          <w:sz w:val="28"/>
          <w:szCs w:val="28"/>
        </w:rPr>
        <w:t>A N T E C E D E N T E S   D E L   A S U N T O</w:t>
      </w:r>
    </w:p>
    <w:p w:rsidR="00055AC4" w:rsidRPr="00F90D38" w:rsidRDefault="00055AC4" w:rsidP="00055AC4">
      <w:pPr>
        <w:pStyle w:val="infoemcitas"/>
        <w:jc w:val="center"/>
        <w:rPr>
          <w:b/>
          <w:bCs/>
          <w:i w:val="0"/>
          <w:iCs/>
          <w:sz w:val="24"/>
          <w:szCs w:val="28"/>
        </w:rPr>
      </w:pPr>
    </w:p>
    <w:p w:rsidR="00055AC4" w:rsidRPr="00F90D38" w:rsidRDefault="00055AC4" w:rsidP="00055AC4">
      <w:pPr>
        <w:spacing w:before="240" w:after="240" w:line="360" w:lineRule="auto"/>
        <w:jc w:val="both"/>
        <w:rPr>
          <w:rFonts w:ascii="Palatino Linotype" w:hAnsi="Palatino Linotype"/>
        </w:rPr>
      </w:pPr>
      <w:r w:rsidRPr="00F90D38">
        <w:rPr>
          <w:rFonts w:ascii="Palatino Linotype" w:hAnsi="Palatino Linotype" w:cs="Arial"/>
          <w:b/>
          <w:sz w:val="28"/>
        </w:rPr>
        <w:t>PRIMERO.</w:t>
      </w:r>
      <w:r w:rsidRPr="00F90D38">
        <w:rPr>
          <w:rFonts w:ascii="Palatino Linotype" w:hAnsi="Palatino Linotype" w:cs="Arial"/>
        </w:rPr>
        <w:t xml:space="preserve"> </w:t>
      </w:r>
      <w:r w:rsidRPr="00F90D38">
        <w:rPr>
          <w:rFonts w:ascii="Palatino Linotype" w:hAnsi="Palatino Linotype"/>
          <w:b/>
          <w:sz w:val="28"/>
          <w:szCs w:val="28"/>
        </w:rPr>
        <w:t>De la Solicitud de Información.</w:t>
      </w:r>
    </w:p>
    <w:p w:rsidR="00055AC4" w:rsidRPr="00F90D38" w:rsidRDefault="00055AC4" w:rsidP="00055AC4">
      <w:pPr>
        <w:spacing w:before="240" w:line="360" w:lineRule="auto"/>
        <w:jc w:val="both"/>
        <w:rPr>
          <w:rFonts w:ascii="Palatino Linotype" w:hAnsi="Palatino Linotype" w:cs="Arial"/>
        </w:rPr>
      </w:pPr>
      <w:r w:rsidRPr="00F90D38">
        <w:rPr>
          <w:rFonts w:ascii="Palatino Linotype" w:hAnsi="Palatino Linotype" w:cs="Arial"/>
        </w:rPr>
        <w:t xml:space="preserve">Con fecha </w:t>
      </w:r>
      <w:r w:rsidRPr="00F90D38">
        <w:rPr>
          <w:rFonts w:ascii="Palatino Linotype" w:hAnsi="Palatino Linotype" w:cs="Arial"/>
          <w:b/>
        </w:rPr>
        <w:t>veinticinco de marzo de dos mil veinticinco</w:t>
      </w:r>
      <w:r w:rsidRPr="00F90D38">
        <w:rPr>
          <w:rFonts w:ascii="Palatino Linotype" w:hAnsi="Palatino Linotype" w:cs="Arial"/>
        </w:rPr>
        <w:t>, la parte</w:t>
      </w:r>
      <w:r w:rsidRPr="00F90D38">
        <w:rPr>
          <w:rFonts w:ascii="Palatino Linotype" w:hAnsi="Palatino Linotype" w:cs="Arial"/>
          <w:b/>
        </w:rPr>
        <w:t xml:space="preserve"> Recurrente </w:t>
      </w:r>
      <w:r w:rsidRPr="00F90D38">
        <w:rPr>
          <w:rFonts w:ascii="Palatino Linotype" w:hAnsi="Palatino Linotype" w:cs="Arial"/>
        </w:rPr>
        <w:t>presentó a través del Sistema de Acceso a la Información Mexiquense (</w:t>
      </w:r>
      <w:r w:rsidRPr="00F90D38">
        <w:rPr>
          <w:rFonts w:ascii="Palatino Linotype" w:hAnsi="Palatino Linotype" w:cs="Arial"/>
          <w:b/>
        </w:rPr>
        <w:t>SAIMEX)</w:t>
      </w:r>
      <w:r w:rsidRPr="00F90D38">
        <w:rPr>
          <w:rFonts w:ascii="Palatino Linotype" w:hAnsi="Palatino Linotype" w:cs="Arial"/>
        </w:rPr>
        <w:t xml:space="preserve"> ante </w:t>
      </w:r>
      <w:r w:rsidRPr="00F90D38">
        <w:rPr>
          <w:rFonts w:ascii="Palatino Linotype" w:hAnsi="Palatino Linotype" w:cs="Arial"/>
          <w:b/>
        </w:rPr>
        <w:t>El Sujeto Obligado</w:t>
      </w:r>
      <w:r w:rsidRPr="00F90D38">
        <w:rPr>
          <w:rFonts w:ascii="Palatino Linotype" w:hAnsi="Palatino Linotype" w:cs="Arial"/>
        </w:rPr>
        <w:t xml:space="preserve">, solicitud de acceso a la información pública, registrada bajo el número de expediente </w:t>
      </w:r>
      <w:r w:rsidRPr="00F90D38">
        <w:rPr>
          <w:rFonts w:ascii="Palatino Linotype" w:hAnsi="Palatino Linotype" w:cs="Arial"/>
          <w:b/>
        </w:rPr>
        <w:t xml:space="preserve">00034/SESEA/IP/2025, </w:t>
      </w:r>
      <w:r w:rsidRPr="00F90D38">
        <w:rPr>
          <w:rFonts w:ascii="Palatino Linotype" w:hAnsi="Palatino Linotype" w:cs="Arial"/>
        </w:rPr>
        <w:t>mediante la cual solicitó información en el tenor siguiente:</w:t>
      </w:r>
    </w:p>
    <w:p w:rsidR="00055AC4" w:rsidRPr="00F90D38" w:rsidRDefault="00055AC4" w:rsidP="00055AC4">
      <w:pPr>
        <w:pStyle w:val="INFOEM"/>
        <w:rPr>
          <w:lang w:val="es-ES_tradnl" w:eastAsia="es-ES"/>
        </w:rPr>
      </w:pPr>
      <w:r w:rsidRPr="00F90D38">
        <w:rPr>
          <w:lang w:val="es-ES_tradnl" w:eastAsia="es-ES"/>
        </w:rPr>
        <w:t>“</w:t>
      </w:r>
      <w:r w:rsidRPr="00F90D38">
        <w:rPr>
          <w:lang w:val="es-ES" w:eastAsia="es-ES"/>
        </w:rPr>
        <w:t xml:space="preserve">QUIERO LOS DOCUMENTOS SIGUIENTES GRACIAS 1. El nombre del administrador de la base de datos personales. 2. Nombramiento o su caso el </w:t>
      </w:r>
      <w:r w:rsidRPr="00F90D38">
        <w:rPr>
          <w:lang w:val="es-ES" w:eastAsia="es-ES"/>
        </w:rPr>
        <w:lastRenderedPageBreak/>
        <w:t>documento donde se asigna como administrador de la base de datos personales. 3. Aviso de privacidad integral y simplificado. 4. Oficio solicitando que sesione el comité de transparencia, al titular de la unidad de transparencia, para la aprobación de la base de datos personales y el oficio del proyecto de clasificación de datos personales. 5. Acta de sesión del comité de transparencia donde se aprueba el proyecto de clasificación de la base de datos personales. 6. Cedula de Base de Datos Personales con el registro del infoem. 7. Resolución del acuerdo de comité de transparencia, donde se aprobó el proyecto de clasificación de la base de datos personales, debidamente firmada por los integrantes del comité. 8. Documento de seguridad de la unidad administrativa que garantiza la confidencialidad, integridad y disponibilidad de la información contenida en la base de datos personales. Todos los documentos deberán ser enviados a través de la plataforma Saimex.</w:t>
      </w:r>
      <w:r w:rsidRPr="00F90D38">
        <w:rPr>
          <w:lang w:val="es-ES_tradnl" w:eastAsia="es-ES"/>
        </w:rPr>
        <w:t>” (Sic)</w:t>
      </w:r>
    </w:p>
    <w:p w:rsidR="00055AC4" w:rsidRPr="00F90D38" w:rsidRDefault="00055AC4" w:rsidP="00055AC4">
      <w:pPr>
        <w:spacing w:before="240" w:line="360" w:lineRule="auto"/>
        <w:jc w:val="both"/>
        <w:rPr>
          <w:rFonts w:ascii="Palatino Linotype" w:hAnsi="Palatino Linotype"/>
          <w:lang w:val="es-ES_tradnl"/>
        </w:rPr>
      </w:pPr>
      <w:r w:rsidRPr="00F90D38">
        <w:rPr>
          <w:rFonts w:ascii="Palatino Linotype" w:hAnsi="Palatino Linotype"/>
          <w:b/>
          <w:lang w:val="es-ES_tradnl"/>
        </w:rPr>
        <w:t>Modalidad de entrega:</w:t>
      </w:r>
      <w:r w:rsidRPr="00F90D38">
        <w:rPr>
          <w:rFonts w:ascii="Palatino Linotype" w:hAnsi="Palatino Linotype"/>
          <w:lang w:val="es-ES_tradnl"/>
        </w:rPr>
        <w:t xml:space="preserve"> A través del SAIMEX.</w:t>
      </w:r>
    </w:p>
    <w:p w:rsidR="00055AC4" w:rsidRPr="00F90D38" w:rsidRDefault="00055AC4" w:rsidP="00055AC4">
      <w:pPr>
        <w:spacing w:line="360" w:lineRule="auto"/>
        <w:jc w:val="both"/>
        <w:rPr>
          <w:rFonts w:ascii="Palatino Linotype" w:hAnsi="Palatino Linotype" w:cs="Arial"/>
          <w:b/>
        </w:rPr>
      </w:pPr>
    </w:p>
    <w:p w:rsidR="00055AC4" w:rsidRPr="00F90D38" w:rsidRDefault="00055AC4" w:rsidP="00055AC4">
      <w:pPr>
        <w:spacing w:line="360" w:lineRule="auto"/>
        <w:jc w:val="both"/>
        <w:rPr>
          <w:rFonts w:ascii="Palatino Linotype" w:hAnsi="Palatino Linotype" w:cs="Arial"/>
          <w:b/>
          <w:sz w:val="28"/>
        </w:rPr>
      </w:pPr>
      <w:r w:rsidRPr="00F90D38">
        <w:rPr>
          <w:rFonts w:ascii="Palatino Linotype" w:hAnsi="Palatino Linotype" w:cs="Arial"/>
          <w:b/>
          <w:sz w:val="28"/>
        </w:rPr>
        <w:t>SEGUNDO. De la prórroga</w:t>
      </w:r>
    </w:p>
    <w:p w:rsidR="00055AC4" w:rsidRPr="00F90D38" w:rsidRDefault="00055AC4" w:rsidP="00055AC4">
      <w:pPr>
        <w:spacing w:line="360" w:lineRule="auto"/>
        <w:jc w:val="both"/>
        <w:rPr>
          <w:rFonts w:ascii="Palatino Linotype" w:hAnsi="Palatino Linotype" w:cs="Arial"/>
        </w:rPr>
      </w:pPr>
      <w:r w:rsidRPr="00F90D38">
        <w:rPr>
          <w:rFonts w:ascii="Palatino Linotype" w:hAnsi="Palatino Linotype" w:cs="Arial"/>
        </w:rPr>
        <w:t xml:space="preserve">En fecha </w:t>
      </w:r>
      <w:r w:rsidRPr="00F90D38">
        <w:rPr>
          <w:rFonts w:ascii="Palatino Linotype" w:hAnsi="Palatino Linotype" w:cs="Arial"/>
          <w:b/>
        </w:rPr>
        <w:t>veintiuno de abril de dos mil veinticinco</w:t>
      </w:r>
      <w:r w:rsidRPr="00F90D38">
        <w:rPr>
          <w:rFonts w:ascii="Palatino Linotype" w:hAnsi="Palatino Linotype" w:cs="Arial"/>
        </w:rPr>
        <w:t xml:space="preserve"> el Sujeto Obligado notificó a la parte Recurrente una prórroga para dar respuesta a la s</w:t>
      </w:r>
      <w:r w:rsidR="00617DED" w:rsidRPr="00F90D38">
        <w:rPr>
          <w:rFonts w:ascii="Palatino Linotype" w:hAnsi="Palatino Linotype" w:cs="Arial"/>
        </w:rPr>
        <w:t>olicitud de información, en los términos siguientes:</w:t>
      </w:r>
    </w:p>
    <w:p w:rsidR="00617DED" w:rsidRPr="00F90D38" w:rsidRDefault="00617DED" w:rsidP="00617DED">
      <w:pPr>
        <w:pStyle w:val="Citas"/>
      </w:pPr>
      <w:r w:rsidRPr="00F90D38">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617DED" w:rsidRPr="00F90D38" w:rsidRDefault="00617DED" w:rsidP="00617DED">
      <w:pPr>
        <w:pStyle w:val="Citas"/>
      </w:pPr>
      <w:r w:rsidRPr="00F90D38">
        <w:t xml:space="preserve">La servidora pública habilitada de la Unidad de Planeación y Transparencia, con fundamento en lo dispuesto por el párrafo segundo del artículo 163 de la Ley de la </w:t>
      </w:r>
      <w:r w:rsidRPr="00F90D38">
        <w:lastRenderedPageBreak/>
        <w:t>Materia, ha solicitado la ampliación del plazo de respuesta hasta por siete días, debido a que se sigue realizando la búsqueda necesaria en los archivos correspondientes, para determinar si obra en ellos el documento que permita darle respuesta. En virtud de lo anterior se hace de su conocimiento que el Comité de Transparencia de la Secretaría Ejecutiva del Sistema Estatal Anticorrupción del Estado de México, en la 04° Sesión Extraordinaria de fecha 11/04/2025, mediante Acuerdo SESEA/CT/EXT/004/2025-03, ha tenido a bien aprobar la ampliación del plazo solicitado, en términos del artículo 49 fracción II de la Ley de Transparencia y Acceso a la Información Pública del Estado de México. En ese sentido, una vez que haya concluido la búsqueda de los documentos requeridos, este Sujeto Obligado lo hará de su conocimiento dentro de los plazos establecidos en la Ley.”(Sic)</w:t>
      </w:r>
    </w:p>
    <w:p w:rsidR="00617DED" w:rsidRPr="00F90D38" w:rsidRDefault="00617DED" w:rsidP="00055AC4">
      <w:pPr>
        <w:spacing w:line="360" w:lineRule="auto"/>
        <w:jc w:val="both"/>
        <w:rPr>
          <w:rFonts w:ascii="Palatino Linotype" w:hAnsi="Palatino Linotype" w:cs="Arial"/>
        </w:rPr>
      </w:pPr>
    </w:p>
    <w:p w:rsidR="00055AC4" w:rsidRPr="00F90D38" w:rsidRDefault="00617DED" w:rsidP="00055AC4">
      <w:pPr>
        <w:spacing w:line="360" w:lineRule="auto"/>
        <w:jc w:val="both"/>
        <w:rPr>
          <w:rFonts w:ascii="Palatino Linotype" w:hAnsi="Palatino Linotype" w:cs="Arial"/>
          <w:b/>
          <w:sz w:val="28"/>
        </w:rPr>
      </w:pPr>
      <w:r w:rsidRPr="00F90D38">
        <w:rPr>
          <w:rFonts w:ascii="Palatino Linotype" w:hAnsi="Palatino Linotype" w:cs="Arial"/>
          <w:b/>
          <w:sz w:val="28"/>
        </w:rPr>
        <w:t xml:space="preserve">TERCERO. </w:t>
      </w:r>
      <w:r w:rsidR="00055AC4" w:rsidRPr="00F90D38">
        <w:rPr>
          <w:rFonts w:ascii="Palatino Linotype" w:hAnsi="Palatino Linotype" w:cs="Arial"/>
          <w:b/>
          <w:sz w:val="28"/>
          <w:szCs w:val="20"/>
        </w:rPr>
        <w:t>De la respuesta o entrega de la información.</w:t>
      </w:r>
    </w:p>
    <w:p w:rsidR="00055AC4" w:rsidRPr="00F90D38" w:rsidRDefault="00055AC4" w:rsidP="00055AC4">
      <w:pPr>
        <w:pStyle w:val="Sinespaciado"/>
        <w:spacing w:line="360" w:lineRule="auto"/>
        <w:jc w:val="both"/>
        <w:rPr>
          <w:rFonts w:ascii="Palatino Linotype" w:hAnsi="Palatino Linotype" w:cs="Arial"/>
          <w:b/>
          <w:sz w:val="24"/>
        </w:rPr>
      </w:pPr>
      <w:r w:rsidRPr="00F90D38">
        <w:rPr>
          <w:rFonts w:ascii="Palatino Linotype" w:hAnsi="Palatino Linotype"/>
          <w:sz w:val="24"/>
        </w:rPr>
        <w:t xml:space="preserve">De las constancias que obran en el expediente electrónico, se advierte que el </w:t>
      </w:r>
      <w:r w:rsidRPr="00F90D38">
        <w:rPr>
          <w:rFonts w:ascii="Palatino Linotype" w:hAnsi="Palatino Linotype" w:cs="Arial"/>
          <w:sz w:val="24"/>
        </w:rPr>
        <w:t xml:space="preserve">día </w:t>
      </w:r>
      <w:r w:rsidRPr="00F90D38">
        <w:rPr>
          <w:rFonts w:ascii="Palatino Linotype" w:hAnsi="Palatino Linotype" w:cs="Arial"/>
          <w:b/>
          <w:sz w:val="24"/>
        </w:rPr>
        <w:t>dos de mayo de dos mil veinticinco</w:t>
      </w:r>
      <w:r w:rsidRPr="00F90D38">
        <w:rPr>
          <w:rFonts w:ascii="Palatino Linotype" w:hAnsi="Palatino Linotype" w:cs="Arial"/>
          <w:sz w:val="24"/>
        </w:rPr>
        <w:t xml:space="preserve">, el </w:t>
      </w:r>
      <w:r w:rsidRPr="00F90D38">
        <w:rPr>
          <w:rFonts w:ascii="Palatino Linotype" w:hAnsi="Palatino Linotype" w:cs="Arial"/>
          <w:b/>
          <w:sz w:val="24"/>
        </w:rPr>
        <w:t>Sujeto Obligado</w:t>
      </w:r>
      <w:r w:rsidRPr="00F90D38">
        <w:rPr>
          <w:rFonts w:ascii="Palatino Linotype" w:hAnsi="Palatino Linotype" w:cs="Arial"/>
          <w:sz w:val="24"/>
        </w:rPr>
        <w:t xml:space="preserve"> dio respuesta a la solicitud de información en los siguientes términos: </w:t>
      </w:r>
    </w:p>
    <w:p w:rsidR="00055AC4" w:rsidRPr="00F90D38" w:rsidRDefault="00055AC4" w:rsidP="00055AC4">
      <w:pPr>
        <w:spacing w:line="360" w:lineRule="auto"/>
        <w:jc w:val="both"/>
        <w:rPr>
          <w:rFonts w:ascii="Palatino Linotype" w:hAnsi="Palatino Linotype" w:cs="Arial"/>
        </w:rPr>
      </w:pPr>
    </w:p>
    <w:p w:rsidR="00617DED" w:rsidRPr="00F90D38" w:rsidRDefault="00055AC4" w:rsidP="00617DED">
      <w:pPr>
        <w:ind w:left="567" w:right="567"/>
        <w:jc w:val="both"/>
        <w:rPr>
          <w:rFonts w:ascii="Palatino Linotype" w:hAnsi="Palatino Linotype" w:cs="Arial"/>
          <w:i/>
        </w:rPr>
      </w:pPr>
      <w:r w:rsidRPr="00F90D38">
        <w:rPr>
          <w:rFonts w:ascii="Palatino Linotype" w:hAnsi="Palatino Linotype" w:cs="Arial"/>
          <w:i/>
        </w:rPr>
        <w:t>“</w:t>
      </w:r>
      <w:r w:rsidR="00617DED" w:rsidRPr="00F90D38">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617DED" w:rsidRPr="00F90D38" w:rsidRDefault="00617DED" w:rsidP="00617DED">
      <w:pPr>
        <w:ind w:left="567" w:right="567"/>
        <w:jc w:val="both"/>
        <w:rPr>
          <w:rFonts w:ascii="Palatino Linotype" w:hAnsi="Palatino Linotype" w:cs="Arial"/>
          <w:i/>
        </w:rPr>
      </w:pPr>
      <w:r w:rsidRPr="00F90D38">
        <w:rPr>
          <w:rFonts w:ascii="Palatino Linotype" w:hAnsi="Palatino Linotype" w:cs="Arial"/>
          <w:i/>
        </w:rPr>
        <w:t>Se adjunta respuesta.</w:t>
      </w:r>
    </w:p>
    <w:p w:rsidR="00617DED" w:rsidRPr="00F90D38" w:rsidRDefault="00617DED" w:rsidP="00617DED">
      <w:pPr>
        <w:ind w:left="567" w:right="567"/>
        <w:jc w:val="both"/>
        <w:rPr>
          <w:rFonts w:ascii="Palatino Linotype" w:hAnsi="Palatino Linotype" w:cs="Arial"/>
          <w:i/>
        </w:rPr>
      </w:pPr>
      <w:r w:rsidRPr="00F90D38">
        <w:rPr>
          <w:rFonts w:ascii="Palatino Linotype" w:hAnsi="Palatino Linotype" w:cs="Arial"/>
          <w:i/>
        </w:rPr>
        <w:t>ATENTAMENTE</w:t>
      </w:r>
    </w:p>
    <w:p w:rsidR="00055AC4" w:rsidRPr="00F90D38" w:rsidRDefault="00617DED" w:rsidP="00617DED">
      <w:pPr>
        <w:ind w:left="567" w:right="567"/>
        <w:jc w:val="both"/>
        <w:rPr>
          <w:rFonts w:ascii="Palatino Linotype" w:hAnsi="Palatino Linotype" w:cs="Arial"/>
          <w:i/>
        </w:rPr>
      </w:pPr>
      <w:r w:rsidRPr="00F90D38">
        <w:rPr>
          <w:rFonts w:ascii="Palatino Linotype" w:hAnsi="Palatino Linotype" w:cs="Arial"/>
          <w:i/>
        </w:rPr>
        <w:t>Mtra Montserrat Aguilera Vargas</w:t>
      </w:r>
      <w:r w:rsidR="00055AC4" w:rsidRPr="00F90D38">
        <w:rPr>
          <w:rFonts w:ascii="Palatino Linotype" w:hAnsi="Palatino Linotype" w:cs="Arial"/>
          <w:i/>
        </w:rPr>
        <w:t>" “(Sic).</w:t>
      </w:r>
    </w:p>
    <w:p w:rsidR="00055AC4" w:rsidRPr="00F90D38" w:rsidRDefault="00055AC4" w:rsidP="00055AC4">
      <w:pPr>
        <w:spacing w:line="360" w:lineRule="auto"/>
        <w:ind w:right="567"/>
        <w:jc w:val="both"/>
        <w:rPr>
          <w:rFonts w:ascii="Palatino Linotype" w:hAnsi="Palatino Linotype" w:cs="Arial"/>
        </w:rPr>
      </w:pPr>
    </w:p>
    <w:p w:rsidR="00055AC4" w:rsidRPr="00F90D38" w:rsidRDefault="00055AC4" w:rsidP="00617DED">
      <w:pPr>
        <w:spacing w:line="360" w:lineRule="auto"/>
        <w:jc w:val="both"/>
        <w:rPr>
          <w:rFonts w:ascii="Palatino Linotype" w:hAnsi="Palatino Linotype" w:cs="Arial"/>
        </w:rPr>
      </w:pPr>
      <w:r w:rsidRPr="00F90D38">
        <w:rPr>
          <w:rFonts w:ascii="Palatino Linotype" w:hAnsi="Palatino Linotype" w:cs="Arial"/>
        </w:rPr>
        <w:t xml:space="preserve">Adicionalmente, el </w:t>
      </w:r>
      <w:r w:rsidRPr="00F90D38">
        <w:rPr>
          <w:rFonts w:ascii="Palatino Linotype" w:hAnsi="Palatino Linotype" w:cs="Arial"/>
          <w:b/>
        </w:rPr>
        <w:t>Sujeto Obligado</w:t>
      </w:r>
      <w:r w:rsidRPr="00F90D38">
        <w:rPr>
          <w:rFonts w:ascii="Palatino Linotype" w:hAnsi="Palatino Linotype" w:cs="Arial"/>
        </w:rPr>
        <w:t xml:space="preserve"> adjuntó los archivos electrónicos denominados “</w:t>
      </w:r>
      <w:r w:rsidR="00617DED" w:rsidRPr="00F90D38">
        <w:rPr>
          <w:rFonts w:ascii="Palatino Linotype" w:hAnsi="Palatino Linotype" w:cs="Arial"/>
          <w:b/>
          <w:i/>
        </w:rPr>
        <w:t xml:space="preserve">Anexos Sol. 034-2025.zip”, “Acta de la 4ta Sesión Ext. CT-2025.pdf”, “Respuesta sol. </w:t>
      </w:r>
      <w:r w:rsidR="00617DED" w:rsidRPr="00F90D38">
        <w:rPr>
          <w:rFonts w:ascii="Palatino Linotype" w:hAnsi="Palatino Linotype" w:cs="Arial"/>
          <w:b/>
          <w:i/>
        </w:rPr>
        <w:lastRenderedPageBreak/>
        <w:t>0034-2025-UPyT.pdf”, “Acuerdo 003- Sesión Ext. CT-2025.pdf”, “Proyecto de clasificación-sol. 034.pdf”, “RESPUESTA-034-2025-UPyT.docx”, “Respuesta sol. 0034-2025-UPyT.pdf”, “OFICIO DE RESPUESTA-SPH 0034.docx” y “Resp SPH 0034.pdf</w:t>
      </w:r>
      <w:r w:rsidRPr="00F90D38">
        <w:rPr>
          <w:rFonts w:ascii="Palatino Linotype" w:hAnsi="Palatino Linotype" w:cs="Arial"/>
          <w:b/>
          <w:i/>
        </w:rPr>
        <w:t xml:space="preserve">”, </w:t>
      </w:r>
      <w:r w:rsidRPr="00F90D38">
        <w:rPr>
          <w:rFonts w:ascii="Palatino Linotype" w:hAnsi="Palatino Linotype" w:cs="Arial"/>
        </w:rPr>
        <w:t xml:space="preserve">mismos que no se reproducen por ser del conocimiento de las partes, sin embargo, serán materia de estudio en el considerando respectivo. </w:t>
      </w:r>
    </w:p>
    <w:p w:rsidR="00055AC4" w:rsidRPr="00F90D38" w:rsidRDefault="00055AC4" w:rsidP="00055AC4">
      <w:pPr>
        <w:spacing w:line="360" w:lineRule="auto"/>
        <w:jc w:val="both"/>
        <w:rPr>
          <w:rFonts w:ascii="Palatino Linotype" w:hAnsi="Palatino Linotype" w:cs="Arial"/>
        </w:rPr>
      </w:pPr>
    </w:p>
    <w:p w:rsidR="00055AC4" w:rsidRPr="00F90D38" w:rsidRDefault="00617DED" w:rsidP="00055AC4">
      <w:pPr>
        <w:spacing w:before="240" w:line="360" w:lineRule="auto"/>
        <w:jc w:val="both"/>
        <w:rPr>
          <w:rFonts w:ascii="Palatino Linotype" w:hAnsi="Palatino Linotype" w:cs="Arial"/>
          <w:b/>
          <w:sz w:val="28"/>
        </w:rPr>
      </w:pPr>
      <w:r w:rsidRPr="00F90D38">
        <w:rPr>
          <w:rFonts w:ascii="Palatino Linotype" w:hAnsi="Palatino Linotype" w:cs="Arial"/>
          <w:b/>
          <w:sz w:val="28"/>
        </w:rPr>
        <w:t>CUARTO.</w:t>
      </w:r>
      <w:r w:rsidRPr="00F90D38">
        <w:rPr>
          <w:rFonts w:ascii="Palatino Linotype" w:hAnsi="Palatino Linotype" w:cs="Arial"/>
          <w:b/>
        </w:rPr>
        <w:t xml:space="preserve"> </w:t>
      </w:r>
      <w:r w:rsidR="00055AC4" w:rsidRPr="00F90D38">
        <w:rPr>
          <w:rFonts w:ascii="Palatino Linotype" w:hAnsi="Palatino Linotype"/>
          <w:b/>
          <w:sz w:val="28"/>
        </w:rPr>
        <w:t>Del recurso de revisión.</w:t>
      </w:r>
    </w:p>
    <w:p w:rsidR="00055AC4" w:rsidRPr="00F90D38" w:rsidRDefault="00055AC4" w:rsidP="00055AC4">
      <w:pPr>
        <w:spacing w:before="240" w:line="360" w:lineRule="auto"/>
        <w:jc w:val="both"/>
        <w:rPr>
          <w:rFonts w:ascii="Palatino Linotype" w:hAnsi="Palatino Linotype" w:cs="Arial"/>
        </w:rPr>
      </w:pPr>
      <w:r w:rsidRPr="00F90D38">
        <w:rPr>
          <w:rFonts w:ascii="Palatino Linotype" w:hAnsi="Palatino Linotype" w:cs="Arial"/>
        </w:rPr>
        <w:t xml:space="preserve">Inconforme con la respuesta notificada por </w:t>
      </w:r>
      <w:r w:rsidRPr="00F90D38">
        <w:rPr>
          <w:rFonts w:ascii="Palatino Linotype" w:hAnsi="Palatino Linotype" w:cs="Arial"/>
          <w:b/>
        </w:rPr>
        <w:t xml:space="preserve">El Sujeto Obligado, </w:t>
      </w:r>
      <w:r w:rsidR="00617DED" w:rsidRPr="00F90D38">
        <w:rPr>
          <w:rFonts w:ascii="Palatino Linotype" w:hAnsi="Palatino Linotype" w:cs="Arial"/>
        </w:rPr>
        <w:t>la parte</w:t>
      </w:r>
      <w:r w:rsidRPr="00F90D38">
        <w:rPr>
          <w:rFonts w:ascii="Palatino Linotype" w:hAnsi="Palatino Linotype" w:cs="Arial"/>
          <w:b/>
        </w:rPr>
        <w:t xml:space="preserve"> Recurrente </w:t>
      </w:r>
      <w:r w:rsidRPr="00F90D38">
        <w:rPr>
          <w:rFonts w:ascii="Palatino Linotype" w:hAnsi="Palatino Linotype" w:cs="Arial"/>
        </w:rPr>
        <w:t xml:space="preserve">interpuso recurso de revisión, en fecha </w:t>
      </w:r>
      <w:r w:rsidR="00617DED" w:rsidRPr="00F90D38">
        <w:rPr>
          <w:rFonts w:ascii="Palatino Linotype" w:hAnsi="Palatino Linotype" w:cs="Arial"/>
          <w:b/>
        </w:rPr>
        <w:t>dos</w:t>
      </w:r>
      <w:r w:rsidRPr="00F90D38">
        <w:rPr>
          <w:rFonts w:ascii="Palatino Linotype" w:hAnsi="Palatino Linotype" w:cs="Arial"/>
          <w:b/>
        </w:rPr>
        <w:t xml:space="preserve"> de mayo de dos mil veinticinco</w:t>
      </w:r>
      <w:r w:rsidRPr="00F90D38">
        <w:rPr>
          <w:rFonts w:ascii="Palatino Linotype" w:hAnsi="Palatino Linotype" w:cs="Arial"/>
        </w:rPr>
        <w:t xml:space="preserve">, el cual fue registrado en el sistema electrónico con el expediente número </w:t>
      </w:r>
      <w:r w:rsidRPr="00F90D38">
        <w:rPr>
          <w:rFonts w:ascii="Palatino Linotype" w:hAnsi="Palatino Linotype" w:cs="Arial"/>
          <w:b/>
        </w:rPr>
        <w:t xml:space="preserve">05015/INFOEM/IP/RR/2025; </w:t>
      </w:r>
      <w:r w:rsidRPr="00F90D38">
        <w:rPr>
          <w:rFonts w:ascii="Palatino Linotype" w:hAnsi="Palatino Linotype" w:cs="Arial"/>
        </w:rPr>
        <w:t>en los cuales arguye las siguientes manifestaciones:</w:t>
      </w:r>
    </w:p>
    <w:p w:rsidR="00055AC4" w:rsidRPr="00F90D38" w:rsidRDefault="00055AC4" w:rsidP="00055AC4">
      <w:pPr>
        <w:pStyle w:val="Prrafodelista"/>
        <w:numPr>
          <w:ilvl w:val="0"/>
          <w:numId w:val="2"/>
        </w:numPr>
        <w:spacing w:before="240" w:line="360" w:lineRule="auto"/>
        <w:ind w:left="142" w:firstLine="0"/>
        <w:jc w:val="both"/>
        <w:rPr>
          <w:rFonts w:ascii="Palatino Linotype" w:hAnsi="Palatino Linotype" w:cs="Arial"/>
          <w:b/>
          <w:i/>
        </w:rPr>
      </w:pPr>
      <w:r w:rsidRPr="00F90D38">
        <w:rPr>
          <w:rFonts w:ascii="Palatino Linotype" w:hAnsi="Palatino Linotype" w:cs="Arial"/>
          <w:b/>
          <w:i/>
        </w:rPr>
        <w:t xml:space="preserve">Acto impugnado </w:t>
      </w:r>
    </w:p>
    <w:p w:rsidR="00055AC4" w:rsidRPr="00F90D38" w:rsidRDefault="00055AC4" w:rsidP="00055AC4">
      <w:pPr>
        <w:pStyle w:val="INFOEM"/>
        <w:ind w:left="720"/>
      </w:pPr>
      <w:r w:rsidRPr="00F90D38">
        <w:t>“</w:t>
      </w:r>
      <w:r w:rsidR="00617DED" w:rsidRPr="00F90D38">
        <w:t>respuesta</w:t>
      </w:r>
      <w:r w:rsidRPr="00F90D38">
        <w:t>” (sic)</w:t>
      </w:r>
    </w:p>
    <w:p w:rsidR="00055AC4" w:rsidRPr="00F90D38" w:rsidRDefault="00055AC4" w:rsidP="00055AC4">
      <w:pPr>
        <w:pStyle w:val="Prrafodelista"/>
        <w:numPr>
          <w:ilvl w:val="0"/>
          <w:numId w:val="2"/>
        </w:numPr>
        <w:spacing w:before="240" w:line="360" w:lineRule="auto"/>
        <w:ind w:left="142" w:firstLine="0"/>
        <w:jc w:val="both"/>
        <w:rPr>
          <w:rFonts w:ascii="Palatino Linotype" w:hAnsi="Palatino Linotype" w:cs="Arial"/>
          <w:b/>
          <w:i/>
        </w:rPr>
      </w:pPr>
      <w:r w:rsidRPr="00F90D38">
        <w:rPr>
          <w:rFonts w:ascii="Palatino Linotype" w:hAnsi="Palatino Linotype" w:cs="Arial"/>
          <w:b/>
          <w:i/>
        </w:rPr>
        <w:t>Razones o motivos de inconformidad</w:t>
      </w:r>
    </w:p>
    <w:p w:rsidR="00055AC4" w:rsidRPr="00F90D38" w:rsidRDefault="00055AC4" w:rsidP="00055AC4">
      <w:pPr>
        <w:pStyle w:val="INFOEM"/>
        <w:ind w:left="709"/>
      </w:pPr>
      <w:r w:rsidRPr="00F90D38">
        <w:t>“</w:t>
      </w:r>
      <w:r w:rsidR="00617DED" w:rsidRPr="00F90D38">
        <w:t xml:space="preserve">Por mi propio derecho y con fundamento en el articulo 176, 177 y 178 de la Ley de Transparencia y Acceso a la Información Publica del Estado de México y Municipios, comparezco respetuosamente para interponer el presente RECURSO DE REVISIÓN en contra de la respuesta emitida respecto la solicitud de información identificada con número de folio 00034/SESEA/IP/2025 a través de la plataforma del Sistema de Acceso a la Información Mexiquense (SAIMEX) al tenor de los siguientes: Se me entrega información con la cual se pretende atender el requerimiento de información, sin embargo la misma no cumple ya que las CBDP son de un sistema ya antiguo desde el </w:t>
      </w:r>
      <w:r w:rsidR="00617DED" w:rsidRPr="00F90D38">
        <w:lastRenderedPageBreak/>
        <w:t>2020 , lo cual es incorrecto ya que existe el sistema REDATOSEM el cual muestra una nomenclatura distinta a la que pretender atender este sujeto obligado aunado a que se entrega con lápiz sobre un documento normado dicha nomenclatura haciéndola pasar como verídica la cual es incorrecta ya que se debió entregar el documento listado que identifica fehacientemente el documento y no deja a la ambigüedad la respuesta por lo que se debió remitir ya que no contiene ningún dato personal; asi mismo no se entregan documentos claros y legibles los cuales dificultan la lectura; en síntesis se admita el recurso y se ordene al sujeto obligado entregue las cedulas de bases de datos correctas y actualizadas en la plataforma debidamente diseñada para ello.</w:t>
      </w:r>
      <w:r w:rsidRPr="00F90D38">
        <w:t>” (sic)</w:t>
      </w:r>
    </w:p>
    <w:p w:rsidR="00055AC4" w:rsidRPr="00F90D38" w:rsidRDefault="00055AC4" w:rsidP="00055AC4">
      <w:pPr>
        <w:spacing w:before="240" w:line="360" w:lineRule="auto"/>
        <w:jc w:val="both"/>
        <w:rPr>
          <w:rFonts w:ascii="Palatino Linotype" w:hAnsi="Palatino Linotype" w:cs="Arial"/>
        </w:rPr>
      </w:pPr>
    </w:p>
    <w:p w:rsidR="00055AC4" w:rsidRPr="00F90D38" w:rsidRDefault="00617DED" w:rsidP="00055AC4">
      <w:pPr>
        <w:spacing w:before="240" w:line="360" w:lineRule="auto"/>
        <w:jc w:val="both"/>
        <w:rPr>
          <w:rFonts w:ascii="Palatino Linotype" w:hAnsi="Palatino Linotype" w:cs="Arial"/>
          <w:b/>
        </w:rPr>
      </w:pPr>
      <w:r w:rsidRPr="00F90D38">
        <w:rPr>
          <w:rFonts w:ascii="Palatino Linotype" w:hAnsi="Palatino Linotype" w:cs="Arial"/>
          <w:b/>
          <w:sz w:val="28"/>
        </w:rPr>
        <w:t>QUINTO</w:t>
      </w:r>
      <w:r w:rsidRPr="00F90D38">
        <w:rPr>
          <w:rFonts w:ascii="Palatino Linotype" w:hAnsi="Palatino Linotype" w:cs="Arial"/>
          <w:b/>
          <w:sz w:val="28"/>
          <w:szCs w:val="28"/>
        </w:rPr>
        <w:t>.</w:t>
      </w:r>
      <w:r w:rsidR="00055AC4" w:rsidRPr="00F90D38">
        <w:rPr>
          <w:rFonts w:ascii="Palatino Linotype" w:hAnsi="Palatino Linotype" w:cs="Arial"/>
          <w:b/>
        </w:rPr>
        <w:t xml:space="preserve"> </w:t>
      </w:r>
      <w:r w:rsidR="00055AC4" w:rsidRPr="00F90D38">
        <w:rPr>
          <w:rFonts w:ascii="Palatino Linotype" w:hAnsi="Palatino Linotype" w:cs="Arial"/>
          <w:b/>
          <w:sz w:val="28"/>
          <w:szCs w:val="28"/>
        </w:rPr>
        <w:t>Del turno y admisión del recurso de revisión.</w:t>
      </w:r>
    </w:p>
    <w:p w:rsidR="00055AC4" w:rsidRPr="00F90D38" w:rsidRDefault="00055AC4" w:rsidP="00055AC4">
      <w:pPr>
        <w:spacing w:before="240" w:line="360" w:lineRule="auto"/>
        <w:jc w:val="both"/>
        <w:rPr>
          <w:rFonts w:ascii="Palatino Linotype" w:hAnsi="Palatino Linotype" w:cs="Arial"/>
          <w:sz w:val="28"/>
        </w:rPr>
      </w:pPr>
      <w:r w:rsidRPr="00F90D38">
        <w:rPr>
          <w:rFonts w:ascii="Palatino Linotype" w:hAnsi="Palatino Linotype"/>
        </w:rPr>
        <w:t xml:space="preserve">El medio de impugnación fue turnado al Comisionado Presidente </w:t>
      </w:r>
      <w:r w:rsidRPr="00F90D38">
        <w:rPr>
          <w:rFonts w:ascii="Palatino Linotype" w:hAnsi="Palatino Linotype"/>
          <w:b/>
        </w:rPr>
        <w:t>José Martínez Vilchis,</w:t>
      </w:r>
      <w:r w:rsidRPr="00F90D3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F90D38">
        <w:rPr>
          <w:rFonts w:ascii="Palatino Linotype" w:hAnsi="Palatino Linotype"/>
          <w:b/>
        </w:rPr>
        <w:t>admisión</w:t>
      </w:r>
      <w:r w:rsidRPr="00F90D38">
        <w:rPr>
          <w:rFonts w:ascii="Palatino Linotype" w:hAnsi="Palatino Linotype"/>
        </w:rPr>
        <w:t xml:space="preserve"> en fecha </w:t>
      </w:r>
      <w:r w:rsidR="00617DED" w:rsidRPr="00F90D38">
        <w:rPr>
          <w:rFonts w:ascii="Palatino Linotype" w:hAnsi="Palatino Linotype"/>
          <w:b/>
        </w:rPr>
        <w:t>siete</w:t>
      </w:r>
      <w:r w:rsidRPr="00F90D38">
        <w:rPr>
          <w:rFonts w:ascii="Palatino Linotype" w:hAnsi="Palatino Linotype"/>
          <w:b/>
        </w:rPr>
        <w:t xml:space="preserve"> de mayo de dos mil veinticinco</w:t>
      </w:r>
      <w:r w:rsidRPr="00F90D38">
        <w:rPr>
          <w:rFonts w:ascii="Palatino Linotype" w:hAnsi="Palatino Linotype"/>
        </w:rPr>
        <w:t>, determinándose en ellos, un plazo de siete días para que las partes manifestaran lo que a su derecho corresponda en términos del numeral ya citado.</w:t>
      </w:r>
    </w:p>
    <w:p w:rsidR="00055AC4" w:rsidRPr="00F90D38" w:rsidRDefault="00055AC4" w:rsidP="00055AC4">
      <w:pPr>
        <w:spacing w:line="360" w:lineRule="auto"/>
        <w:jc w:val="both"/>
        <w:rPr>
          <w:rFonts w:ascii="Palatino Linotype" w:hAnsi="Palatino Linotype" w:cs="Arial"/>
        </w:rPr>
      </w:pPr>
    </w:p>
    <w:p w:rsidR="00055AC4" w:rsidRPr="00F90D38" w:rsidRDefault="00617DED" w:rsidP="00055AC4">
      <w:pPr>
        <w:pStyle w:val="Prrafodelista"/>
        <w:spacing w:line="360" w:lineRule="auto"/>
        <w:ind w:left="0"/>
        <w:jc w:val="both"/>
        <w:rPr>
          <w:rFonts w:ascii="Palatino Linotype" w:hAnsi="Palatino Linotype" w:cs="Arial"/>
          <w:b/>
          <w:sz w:val="28"/>
          <w:szCs w:val="28"/>
        </w:rPr>
      </w:pPr>
      <w:r w:rsidRPr="00F90D38">
        <w:rPr>
          <w:rFonts w:ascii="Palatino Linotype" w:hAnsi="Palatino Linotype" w:cs="Arial"/>
          <w:b/>
          <w:sz w:val="28"/>
          <w:szCs w:val="28"/>
        </w:rPr>
        <w:t>SEXTO.</w:t>
      </w:r>
      <w:r w:rsidR="00055AC4" w:rsidRPr="00F90D38">
        <w:rPr>
          <w:rFonts w:ascii="Palatino Linotype" w:hAnsi="Palatino Linotype" w:cs="Arial"/>
          <w:b/>
          <w:sz w:val="28"/>
          <w:szCs w:val="28"/>
        </w:rPr>
        <w:t xml:space="preserve"> De la etapa de instrucción.</w:t>
      </w:r>
    </w:p>
    <w:p w:rsidR="00055AC4" w:rsidRPr="00F90D38" w:rsidRDefault="00055AC4" w:rsidP="00055AC4">
      <w:pPr>
        <w:spacing w:line="360" w:lineRule="auto"/>
        <w:jc w:val="both"/>
        <w:rPr>
          <w:rFonts w:ascii="Palatino Linotype" w:hAnsi="Palatino Linotype"/>
        </w:rPr>
      </w:pPr>
      <w:r w:rsidRPr="00F90D38">
        <w:rPr>
          <w:rFonts w:ascii="Palatino Linotype" w:hAnsi="Palatino Linotype" w:cs="Arial"/>
        </w:rPr>
        <w:t xml:space="preserve">De las constancias que obran en el expediente electrónico del SAIMEX, se advierte que el </w:t>
      </w:r>
      <w:r w:rsidRPr="00F90D38">
        <w:rPr>
          <w:rFonts w:ascii="Palatino Linotype" w:hAnsi="Palatino Linotype" w:cs="Arial"/>
          <w:b/>
        </w:rPr>
        <w:t>Sujeto Obligado</w:t>
      </w:r>
      <w:r w:rsidRPr="00F90D38">
        <w:rPr>
          <w:rFonts w:ascii="Palatino Linotype" w:hAnsi="Palatino Linotype" w:cs="Arial"/>
        </w:rPr>
        <w:t xml:space="preserve"> rindió su informe justificado en fecha </w:t>
      </w:r>
      <w:r w:rsidR="00617DED" w:rsidRPr="00F90D38">
        <w:rPr>
          <w:rFonts w:ascii="Palatino Linotype" w:hAnsi="Palatino Linotype" w:cs="Arial"/>
          <w:b/>
        </w:rPr>
        <w:t>trece</w:t>
      </w:r>
      <w:r w:rsidRPr="00F90D38">
        <w:rPr>
          <w:rFonts w:ascii="Palatino Linotype" w:hAnsi="Palatino Linotype" w:cs="Arial"/>
          <w:b/>
        </w:rPr>
        <w:t xml:space="preserve"> de mayo de dos mil veinticinco</w:t>
      </w:r>
      <w:r w:rsidRPr="00F90D38">
        <w:rPr>
          <w:rFonts w:ascii="Palatino Linotype" w:hAnsi="Palatino Linotype" w:cs="Arial"/>
        </w:rPr>
        <w:t>, por medio de los archivos electrónicos “</w:t>
      </w:r>
      <w:r w:rsidR="00617DED" w:rsidRPr="00F90D38">
        <w:rPr>
          <w:rFonts w:ascii="Palatino Linotype" w:hAnsi="Palatino Linotype" w:cs="Arial"/>
          <w:b/>
          <w:i/>
        </w:rPr>
        <w:t>Manifestaciones inf. just. RR. 05015-Sol. 0034-2025.pdf</w:t>
      </w:r>
      <w:r w:rsidRPr="00F90D38">
        <w:rPr>
          <w:rFonts w:ascii="Palatino Linotype" w:hAnsi="Palatino Linotype" w:cs="Arial"/>
          <w:b/>
          <w:i/>
        </w:rPr>
        <w:t>” y “</w:t>
      </w:r>
      <w:r w:rsidR="00617DED" w:rsidRPr="00F90D38">
        <w:rPr>
          <w:rFonts w:ascii="Palatino Linotype" w:hAnsi="Palatino Linotype" w:cs="Arial"/>
          <w:b/>
          <w:i/>
        </w:rPr>
        <w:t>Informe justificado RR.05015-Sol. 034-2025.pdf</w:t>
      </w:r>
      <w:r w:rsidRPr="00F90D38">
        <w:rPr>
          <w:rFonts w:ascii="Palatino Linotype" w:hAnsi="Palatino Linotype" w:cs="Arial"/>
          <w:b/>
          <w:i/>
        </w:rPr>
        <w:t>”</w:t>
      </w:r>
      <w:r w:rsidRPr="00F90D38">
        <w:rPr>
          <w:rFonts w:ascii="Palatino Linotype" w:hAnsi="Palatino Linotype" w:cs="Arial"/>
        </w:rPr>
        <w:t xml:space="preserve">, mismos </w:t>
      </w:r>
      <w:r w:rsidRPr="00F90D38">
        <w:rPr>
          <w:rFonts w:ascii="Palatino Linotype" w:hAnsi="Palatino Linotype" w:cs="Arial"/>
        </w:rPr>
        <w:lastRenderedPageBreak/>
        <w:t xml:space="preserve">que fueron puestos a la vista del Recurrente en fecha </w:t>
      </w:r>
      <w:r w:rsidR="00617DED" w:rsidRPr="00F90D38">
        <w:rPr>
          <w:rFonts w:ascii="Palatino Linotype" w:hAnsi="Palatino Linotype" w:cs="Arial"/>
        </w:rPr>
        <w:t>tres de septiembre</w:t>
      </w:r>
      <w:r w:rsidRPr="00F90D38">
        <w:rPr>
          <w:rFonts w:ascii="Palatino Linotype" w:hAnsi="Palatino Linotype" w:cs="Arial"/>
        </w:rPr>
        <w:t xml:space="preserve"> de dos mil veinticinco</w:t>
      </w:r>
      <w:r w:rsidRPr="00F90D38">
        <w:rPr>
          <w:rFonts w:ascii="Palatino Linotype" w:hAnsi="Palatino Linotype" w:cs="Arial"/>
          <w:b/>
          <w:i/>
        </w:rPr>
        <w:t>.</w:t>
      </w:r>
    </w:p>
    <w:p w:rsidR="00055AC4" w:rsidRPr="00F90D38" w:rsidRDefault="00055AC4" w:rsidP="00055AC4">
      <w:pPr>
        <w:spacing w:line="360" w:lineRule="auto"/>
        <w:jc w:val="both"/>
        <w:rPr>
          <w:rFonts w:ascii="Palatino Linotype" w:hAnsi="Palatino Linotype"/>
        </w:rPr>
      </w:pPr>
    </w:p>
    <w:p w:rsidR="00055AC4" w:rsidRPr="00F90D38" w:rsidRDefault="00055AC4" w:rsidP="00055AC4">
      <w:pPr>
        <w:spacing w:line="360" w:lineRule="auto"/>
        <w:jc w:val="both"/>
        <w:rPr>
          <w:rFonts w:ascii="Palatino Linotype" w:hAnsi="Palatino Linotype" w:cs="Arial"/>
        </w:rPr>
      </w:pPr>
      <w:r w:rsidRPr="00F90D38">
        <w:rPr>
          <w:rFonts w:ascii="Palatino Linotype" w:hAnsi="Palatino Linotype" w:cs="Arial"/>
        </w:rPr>
        <w:t xml:space="preserve">Así mismo, se aprecia que no se llevaron a cabo audiencias durante la sustanciación del recurso de revisión, ni se ofrecieron pruebas por parte del </w:t>
      </w:r>
      <w:r w:rsidRPr="00F90D38">
        <w:rPr>
          <w:rFonts w:ascii="Palatino Linotype" w:hAnsi="Palatino Linotype" w:cs="Arial"/>
          <w:b/>
        </w:rPr>
        <w:t>Recurrente</w:t>
      </w:r>
      <w:r w:rsidRPr="00F90D38">
        <w:rPr>
          <w:rFonts w:ascii="Palatino Linotype" w:hAnsi="Palatino Linotype" w:cs="Arial"/>
        </w:rPr>
        <w:t>; todo lo anterior en términos de los artículos 185 fracciones II y IV, y 195 de la Ley de Transparencia y Acceso a la Información Pública del Estado de México y Municipios.</w:t>
      </w:r>
    </w:p>
    <w:p w:rsidR="00055AC4" w:rsidRPr="00F90D38" w:rsidRDefault="00055AC4" w:rsidP="00055AC4">
      <w:pPr>
        <w:spacing w:line="360" w:lineRule="auto"/>
        <w:jc w:val="both"/>
        <w:rPr>
          <w:rFonts w:ascii="Palatino Linotype" w:eastAsia="Calibri" w:hAnsi="Palatino Linotype" w:cs="Arial"/>
          <w:b/>
          <w:sz w:val="28"/>
          <w:szCs w:val="28"/>
        </w:rPr>
      </w:pPr>
    </w:p>
    <w:p w:rsidR="00055AC4" w:rsidRPr="00F90D38" w:rsidRDefault="00617DED" w:rsidP="00055AC4">
      <w:pPr>
        <w:spacing w:line="360" w:lineRule="auto"/>
        <w:jc w:val="both"/>
        <w:rPr>
          <w:rFonts w:ascii="Palatino Linotype" w:eastAsia="Calibri" w:hAnsi="Palatino Linotype" w:cs="Arial"/>
          <w:b/>
          <w:sz w:val="28"/>
          <w:lang w:val="es-ES_tradnl"/>
        </w:rPr>
      </w:pPr>
      <w:r w:rsidRPr="00F90D38">
        <w:rPr>
          <w:rFonts w:ascii="Palatino Linotype" w:eastAsia="Calibri" w:hAnsi="Palatino Linotype" w:cs="Arial"/>
          <w:b/>
          <w:sz w:val="28"/>
          <w:lang w:val="es-ES_tradnl"/>
        </w:rPr>
        <w:t>SÉPTIMO</w:t>
      </w:r>
      <w:r w:rsidR="00055AC4" w:rsidRPr="00F90D38">
        <w:rPr>
          <w:rFonts w:ascii="Palatino Linotype" w:hAnsi="Palatino Linotype" w:cs="Arial"/>
          <w:b/>
          <w:sz w:val="28"/>
          <w:szCs w:val="28"/>
        </w:rPr>
        <w:t xml:space="preserve">. </w:t>
      </w:r>
      <w:r w:rsidR="00055AC4" w:rsidRPr="00F90D38">
        <w:rPr>
          <w:rFonts w:ascii="Palatino Linotype" w:eastAsia="Calibri" w:hAnsi="Palatino Linotype" w:cs="Arial"/>
          <w:b/>
          <w:sz w:val="28"/>
          <w:lang w:val="es-ES_tradnl"/>
        </w:rPr>
        <w:t>De la ampliación del término para resolver.</w:t>
      </w:r>
    </w:p>
    <w:p w:rsidR="00055AC4" w:rsidRPr="00F90D38" w:rsidRDefault="00055AC4" w:rsidP="00055AC4">
      <w:pPr>
        <w:spacing w:line="360" w:lineRule="auto"/>
        <w:jc w:val="both"/>
        <w:rPr>
          <w:rFonts w:ascii="Palatino Linotype" w:hAnsi="Palatino Linotype" w:cs="Arial"/>
        </w:rPr>
      </w:pPr>
      <w:r w:rsidRPr="00F90D38">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F90D38">
        <w:rPr>
          <w:rFonts w:ascii="Palatino Linotype" w:hAnsi="Palatino Linotype" w:cs="Arial"/>
          <w:b/>
        </w:rPr>
        <w:t>veintiséis de junio de dos mil veinticinco</w:t>
      </w:r>
      <w:r w:rsidRPr="00F90D3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055AC4" w:rsidRPr="00F90D38" w:rsidRDefault="00055AC4" w:rsidP="00055AC4">
      <w:pPr>
        <w:spacing w:line="360" w:lineRule="auto"/>
        <w:jc w:val="both"/>
        <w:rPr>
          <w:rFonts w:ascii="Palatino Linotype" w:hAnsi="Palatino Linotype" w:cs="Arial"/>
        </w:rPr>
      </w:pPr>
    </w:p>
    <w:p w:rsidR="00055AC4" w:rsidRPr="00F90D38" w:rsidRDefault="00617DED" w:rsidP="00055AC4">
      <w:pPr>
        <w:spacing w:line="360" w:lineRule="auto"/>
        <w:jc w:val="both"/>
        <w:rPr>
          <w:rFonts w:ascii="Palatino Linotype" w:hAnsi="Palatino Linotype" w:cs="Arial"/>
          <w:b/>
          <w:sz w:val="28"/>
          <w:szCs w:val="28"/>
        </w:rPr>
      </w:pPr>
      <w:r w:rsidRPr="00F90D38">
        <w:rPr>
          <w:rFonts w:ascii="Palatino Linotype" w:eastAsia="Calibri" w:hAnsi="Palatino Linotype" w:cs="Arial"/>
          <w:b/>
          <w:sz w:val="28"/>
          <w:lang w:val="es-ES_tradnl"/>
        </w:rPr>
        <w:t>OCTAVO</w:t>
      </w:r>
      <w:r w:rsidR="00055AC4" w:rsidRPr="00F90D38">
        <w:rPr>
          <w:rFonts w:ascii="Palatino Linotype" w:eastAsia="Calibri" w:hAnsi="Palatino Linotype" w:cs="Arial"/>
          <w:b/>
          <w:sz w:val="28"/>
          <w:lang w:val="es-ES_tradnl"/>
        </w:rPr>
        <w:t xml:space="preserve">. </w:t>
      </w:r>
      <w:r w:rsidR="00055AC4" w:rsidRPr="00F90D38">
        <w:rPr>
          <w:rFonts w:ascii="Palatino Linotype" w:hAnsi="Palatino Linotype" w:cs="Arial"/>
          <w:b/>
          <w:sz w:val="28"/>
          <w:szCs w:val="28"/>
        </w:rPr>
        <w:t>Del Cierre de Instrucción.</w:t>
      </w:r>
    </w:p>
    <w:p w:rsidR="00055AC4" w:rsidRPr="00F90D38" w:rsidRDefault="00055AC4" w:rsidP="00055AC4">
      <w:pPr>
        <w:spacing w:line="360" w:lineRule="auto"/>
        <w:jc w:val="both"/>
        <w:rPr>
          <w:rFonts w:ascii="Palatino Linotype" w:hAnsi="Palatino Linotype" w:cs="Arial"/>
        </w:rPr>
      </w:pPr>
      <w:r w:rsidRPr="00F90D3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C7628" w:rsidRPr="00F90D38">
        <w:rPr>
          <w:rFonts w:ascii="Palatino Linotype" w:hAnsi="Palatino Linotype" w:cs="Arial"/>
          <w:b/>
        </w:rPr>
        <w:t>quince de junio de dos mil veintiséis</w:t>
      </w:r>
      <w:r w:rsidRPr="00F90D38">
        <w:rPr>
          <w:rFonts w:ascii="Palatino Linotype" w:hAnsi="Palatino Linotype" w:cs="Arial"/>
        </w:rPr>
        <w:t xml:space="preserve">, en términos del artículo 185 fracción VI de la Ley de Transparencia y Acceso a la </w:t>
      </w:r>
      <w:r w:rsidRPr="00F90D38">
        <w:rPr>
          <w:rFonts w:ascii="Palatino Linotype" w:hAnsi="Palatino Linotype" w:cs="Arial"/>
        </w:rPr>
        <w:lastRenderedPageBreak/>
        <w:t>Información Pública del Estado de México y Municipios, ordenándose turnar el expediente a la resolución que en derecho proceda.</w:t>
      </w:r>
    </w:p>
    <w:p w:rsidR="00055AC4" w:rsidRPr="00F90D38" w:rsidRDefault="00055AC4" w:rsidP="00055AC4">
      <w:pPr>
        <w:spacing w:line="360" w:lineRule="auto"/>
        <w:jc w:val="both"/>
        <w:rPr>
          <w:rFonts w:ascii="Palatino Linotype" w:hAnsi="Palatino Linotype" w:cs="Arial"/>
          <w:b/>
          <w:sz w:val="28"/>
          <w:szCs w:val="28"/>
        </w:rPr>
      </w:pPr>
    </w:p>
    <w:p w:rsidR="00055AC4" w:rsidRPr="00F90D38" w:rsidRDefault="00055AC4" w:rsidP="00055AC4">
      <w:pPr>
        <w:spacing w:line="360" w:lineRule="auto"/>
        <w:jc w:val="center"/>
        <w:rPr>
          <w:rFonts w:ascii="Palatino Linotype" w:hAnsi="Palatino Linotype"/>
          <w:b/>
          <w:bCs/>
          <w:spacing w:val="60"/>
          <w:sz w:val="28"/>
          <w:lang w:val="es-ES_tradnl"/>
        </w:rPr>
      </w:pPr>
      <w:r w:rsidRPr="00F90D38">
        <w:rPr>
          <w:rFonts w:ascii="Palatino Linotype" w:hAnsi="Palatino Linotype"/>
          <w:b/>
          <w:bCs/>
          <w:spacing w:val="60"/>
          <w:sz w:val="28"/>
          <w:lang w:val="es-ES_tradnl"/>
        </w:rPr>
        <w:t>CONSIDERANDO</w:t>
      </w:r>
    </w:p>
    <w:p w:rsidR="00055AC4" w:rsidRPr="00F90D38" w:rsidRDefault="00055AC4" w:rsidP="00055AC4">
      <w:pPr>
        <w:spacing w:line="360" w:lineRule="auto"/>
        <w:ind w:right="49"/>
        <w:jc w:val="both"/>
        <w:rPr>
          <w:rFonts w:ascii="Palatino Linotype" w:hAnsi="Palatino Linotype"/>
          <w:szCs w:val="28"/>
        </w:rPr>
      </w:pPr>
    </w:p>
    <w:p w:rsidR="00055AC4" w:rsidRPr="00F90D38" w:rsidRDefault="00055AC4" w:rsidP="00055AC4">
      <w:pPr>
        <w:spacing w:before="240" w:line="360" w:lineRule="auto"/>
        <w:jc w:val="both"/>
        <w:rPr>
          <w:rFonts w:ascii="Palatino Linotype" w:hAnsi="Palatino Linotype" w:cs="Arial"/>
          <w:sz w:val="28"/>
          <w:szCs w:val="28"/>
        </w:rPr>
      </w:pPr>
      <w:r w:rsidRPr="00F90D38">
        <w:rPr>
          <w:rFonts w:ascii="Palatino Linotype" w:hAnsi="Palatino Linotype" w:cs="Arial"/>
          <w:b/>
          <w:sz w:val="28"/>
        </w:rPr>
        <w:t>PRIMERO.</w:t>
      </w:r>
      <w:r w:rsidRPr="00F90D38">
        <w:rPr>
          <w:rFonts w:ascii="Palatino Linotype" w:hAnsi="Palatino Linotype" w:cs="Arial"/>
          <w:b/>
        </w:rPr>
        <w:t xml:space="preserve"> </w:t>
      </w:r>
      <w:r w:rsidRPr="00F90D38">
        <w:rPr>
          <w:rFonts w:ascii="Palatino Linotype" w:hAnsi="Palatino Linotype" w:cs="Arial"/>
          <w:b/>
          <w:sz w:val="28"/>
          <w:szCs w:val="28"/>
        </w:rPr>
        <w:t>De la competencia</w:t>
      </w:r>
      <w:r w:rsidRPr="00F90D38">
        <w:rPr>
          <w:rFonts w:ascii="Palatino Linotype" w:hAnsi="Palatino Linotype" w:cs="Arial"/>
          <w:sz w:val="28"/>
          <w:szCs w:val="28"/>
        </w:rPr>
        <w:t>.</w:t>
      </w:r>
    </w:p>
    <w:p w:rsidR="00055AC4" w:rsidRPr="00F90D38" w:rsidRDefault="00055AC4" w:rsidP="00055AC4">
      <w:pPr>
        <w:tabs>
          <w:tab w:val="left" w:pos="3402"/>
        </w:tabs>
        <w:spacing w:line="360" w:lineRule="auto"/>
        <w:jc w:val="both"/>
        <w:rPr>
          <w:rFonts w:ascii="Palatino Linotype" w:hAnsi="Palatino Linotype"/>
        </w:rPr>
      </w:pPr>
      <w:r w:rsidRPr="00F90D38">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55AC4" w:rsidRPr="00F90D38" w:rsidRDefault="00055AC4" w:rsidP="00055AC4">
      <w:pPr>
        <w:pStyle w:val="Prrafodelista"/>
        <w:autoSpaceDE w:val="0"/>
        <w:autoSpaceDN w:val="0"/>
        <w:adjustRightInd w:val="0"/>
        <w:spacing w:before="240" w:after="160" w:line="360" w:lineRule="auto"/>
        <w:ind w:left="0"/>
        <w:jc w:val="both"/>
        <w:rPr>
          <w:rFonts w:ascii="Palatino Linotype" w:hAnsi="Palatino Linotype" w:cs="Arial"/>
          <w:b/>
        </w:rPr>
      </w:pPr>
      <w:r w:rsidRPr="00F90D38">
        <w:rPr>
          <w:rFonts w:ascii="Palatino Linotype" w:hAnsi="Palatino Linotype" w:cs="Arial"/>
          <w:b/>
          <w:sz w:val="28"/>
        </w:rPr>
        <w:t>SEGUNDO</w:t>
      </w:r>
      <w:r w:rsidRPr="00F90D38">
        <w:rPr>
          <w:rFonts w:ascii="Palatino Linotype" w:hAnsi="Palatino Linotype" w:cs="Arial"/>
          <w:b/>
        </w:rPr>
        <w:t xml:space="preserve">. </w:t>
      </w:r>
      <w:r w:rsidRPr="00F90D38">
        <w:rPr>
          <w:rFonts w:ascii="Palatino Linotype" w:hAnsi="Palatino Linotype" w:cs="Arial"/>
          <w:b/>
          <w:sz w:val="28"/>
          <w:szCs w:val="28"/>
        </w:rPr>
        <w:t>Sobre los alcances del recurso de revisión.</w:t>
      </w:r>
      <w:r w:rsidRPr="00F90D38">
        <w:rPr>
          <w:rFonts w:ascii="Palatino Linotype" w:hAnsi="Palatino Linotype" w:cs="Arial"/>
          <w:b/>
        </w:rPr>
        <w:t xml:space="preserve"> </w:t>
      </w:r>
    </w:p>
    <w:p w:rsidR="00055AC4" w:rsidRPr="00F90D38" w:rsidRDefault="00055AC4" w:rsidP="00055AC4">
      <w:pPr>
        <w:pStyle w:val="Prrafodelista"/>
        <w:autoSpaceDE w:val="0"/>
        <w:autoSpaceDN w:val="0"/>
        <w:adjustRightInd w:val="0"/>
        <w:spacing w:before="240" w:after="160" w:line="360" w:lineRule="auto"/>
        <w:ind w:left="0"/>
        <w:jc w:val="both"/>
        <w:rPr>
          <w:rFonts w:ascii="Palatino Linotype" w:hAnsi="Palatino Linotype" w:cs="Arial"/>
        </w:rPr>
      </w:pPr>
      <w:r w:rsidRPr="00F90D38">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F90D38">
        <w:rPr>
          <w:rFonts w:ascii="Palatino Linotype" w:hAnsi="Palatino Linotype" w:cs="Arial"/>
        </w:rPr>
        <w:lastRenderedPageBreak/>
        <w:t>obren en el expediente electrónico, con la finalidad de reparar cualquier posible afectación al derecho de acceso a la información pública y garantizando el principio rector de máxima publicidad.</w:t>
      </w:r>
    </w:p>
    <w:p w:rsidR="00055AC4" w:rsidRPr="00F90D38" w:rsidRDefault="00055AC4" w:rsidP="00055AC4">
      <w:pPr>
        <w:pStyle w:val="Prrafodelista"/>
        <w:autoSpaceDE w:val="0"/>
        <w:autoSpaceDN w:val="0"/>
        <w:adjustRightInd w:val="0"/>
        <w:spacing w:before="240" w:after="160" w:line="360" w:lineRule="auto"/>
        <w:ind w:left="0"/>
        <w:jc w:val="both"/>
        <w:rPr>
          <w:rFonts w:ascii="Palatino Linotype" w:hAnsi="Palatino Linotype" w:cs="Arial"/>
        </w:rPr>
      </w:pPr>
    </w:p>
    <w:p w:rsidR="00055AC4" w:rsidRPr="00F90D38" w:rsidRDefault="00055AC4" w:rsidP="00055AC4">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F90D38">
        <w:rPr>
          <w:rFonts w:ascii="Palatino Linotype" w:hAnsi="Palatino Linotype" w:cs="Arial"/>
          <w:b/>
          <w:sz w:val="28"/>
        </w:rPr>
        <w:t>TERCERO</w:t>
      </w:r>
      <w:r w:rsidRPr="00F90D38">
        <w:rPr>
          <w:rFonts w:ascii="Palatino Linotype" w:hAnsi="Palatino Linotype" w:cs="Arial"/>
          <w:b/>
        </w:rPr>
        <w:t xml:space="preserve">. </w:t>
      </w:r>
      <w:r w:rsidRPr="00F90D38">
        <w:rPr>
          <w:rFonts w:ascii="Palatino Linotype" w:hAnsi="Palatino Linotype" w:cs="Arial"/>
          <w:b/>
          <w:sz w:val="28"/>
          <w:szCs w:val="28"/>
        </w:rPr>
        <w:t>De las causas de improcedencia.</w:t>
      </w:r>
    </w:p>
    <w:p w:rsidR="00055AC4" w:rsidRPr="00F90D38" w:rsidRDefault="00055AC4" w:rsidP="00055AC4">
      <w:pPr>
        <w:pStyle w:val="Prrafodelista"/>
        <w:autoSpaceDE w:val="0"/>
        <w:autoSpaceDN w:val="0"/>
        <w:adjustRightInd w:val="0"/>
        <w:spacing w:before="240" w:after="160" w:line="360" w:lineRule="auto"/>
        <w:ind w:left="0"/>
        <w:jc w:val="both"/>
        <w:rPr>
          <w:rFonts w:ascii="Palatino Linotype" w:hAnsi="Palatino Linotype" w:cs="Arial"/>
        </w:rPr>
      </w:pPr>
      <w:r w:rsidRPr="00F90D38">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055AC4" w:rsidRPr="00F90D38" w:rsidRDefault="00055AC4" w:rsidP="00055AC4">
      <w:pPr>
        <w:pStyle w:val="Prrafodelista"/>
        <w:autoSpaceDE w:val="0"/>
        <w:autoSpaceDN w:val="0"/>
        <w:adjustRightInd w:val="0"/>
        <w:spacing w:line="360" w:lineRule="auto"/>
        <w:ind w:left="0"/>
        <w:jc w:val="both"/>
        <w:rPr>
          <w:rFonts w:ascii="Palatino Linotype" w:hAnsi="Palatino Linotype" w:cs="Arial"/>
        </w:rPr>
      </w:pPr>
      <w:r w:rsidRPr="00F90D38">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F90D38">
        <w:rPr>
          <w:rFonts w:ascii="Palatino Linotype" w:hAnsi="Palatino Linotype" w:cs="Arial"/>
        </w:rPr>
        <w:lastRenderedPageBreak/>
        <w:t>improcedencia y sobreseimiento con tales fines</w:t>
      </w:r>
      <w:r w:rsidRPr="00F90D38">
        <w:rPr>
          <w:rStyle w:val="Refdenotaalpie"/>
          <w:rFonts w:ascii="Palatino Linotype" w:hAnsi="Palatino Linotype" w:cs="Arial"/>
        </w:rPr>
        <w:footnoteReference w:id="1"/>
      </w:r>
      <w:r w:rsidRPr="00F90D38">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055AC4" w:rsidRPr="00F90D38" w:rsidRDefault="00055AC4" w:rsidP="00055AC4">
      <w:pPr>
        <w:tabs>
          <w:tab w:val="left" w:pos="709"/>
        </w:tabs>
        <w:spacing w:before="240" w:line="360" w:lineRule="auto"/>
        <w:ind w:right="51"/>
        <w:jc w:val="both"/>
        <w:rPr>
          <w:rFonts w:ascii="Palatino Linotype" w:hAnsi="Palatino Linotype"/>
          <w:b/>
          <w:sz w:val="28"/>
          <w:szCs w:val="28"/>
        </w:rPr>
      </w:pPr>
    </w:p>
    <w:p w:rsidR="00055AC4" w:rsidRPr="00F90D38" w:rsidRDefault="00055AC4" w:rsidP="00055AC4">
      <w:pPr>
        <w:tabs>
          <w:tab w:val="left" w:pos="709"/>
        </w:tabs>
        <w:spacing w:before="240" w:line="360" w:lineRule="auto"/>
        <w:ind w:right="51"/>
        <w:jc w:val="both"/>
        <w:rPr>
          <w:rFonts w:ascii="Palatino Linotype" w:hAnsi="Palatino Linotype"/>
          <w:b/>
          <w:sz w:val="28"/>
          <w:szCs w:val="28"/>
        </w:rPr>
      </w:pPr>
      <w:r w:rsidRPr="00F90D38">
        <w:rPr>
          <w:rFonts w:ascii="Palatino Linotype" w:hAnsi="Palatino Linotype"/>
          <w:b/>
          <w:sz w:val="28"/>
          <w:szCs w:val="28"/>
        </w:rPr>
        <w:t xml:space="preserve">CUARTO. Estudio y resolución del asunto </w:t>
      </w:r>
      <w:r w:rsidRPr="00F90D38">
        <w:rPr>
          <w:rFonts w:ascii="Palatino Linotype" w:hAnsi="Palatino Linotype"/>
          <w:b/>
          <w:sz w:val="28"/>
          <w:szCs w:val="28"/>
        </w:rPr>
        <w:tab/>
      </w:r>
    </w:p>
    <w:p w:rsidR="00055AC4" w:rsidRPr="00F90D38" w:rsidRDefault="00055AC4" w:rsidP="00055AC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90D38">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055AC4" w:rsidRPr="00F90D38" w:rsidRDefault="00055AC4" w:rsidP="00055AC4">
      <w:pPr>
        <w:autoSpaceDE w:val="0"/>
        <w:autoSpaceDN w:val="0"/>
        <w:adjustRightInd w:val="0"/>
        <w:ind w:right="567"/>
        <w:rPr>
          <w:rFonts w:ascii="Palatino Linotype" w:eastAsia="Calibri" w:hAnsi="Palatino Linotype" w:cs="Arial"/>
        </w:rPr>
      </w:pPr>
    </w:p>
    <w:p w:rsidR="00055AC4" w:rsidRPr="00F90D38" w:rsidRDefault="00055AC4" w:rsidP="00055AC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90D38">
        <w:rPr>
          <w:rFonts w:ascii="Palatino Linotype" w:eastAsia="Palatino Linotype" w:hAnsi="Palatino Linotype" w:cs="Palatino Linotype"/>
          <w:color w:val="000000"/>
        </w:rPr>
        <w:lastRenderedPageBreak/>
        <w:t>Ahora bien, el artículo 179 de la Ley de Transparencia establece las causales para la procedencia del recurso de revisión, tal como se transcribe:</w:t>
      </w:r>
    </w:p>
    <w:p w:rsidR="00055AC4" w:rsidRPr="00F90D38" w:rsidRDefault="00055AC4" w:rsidP="00055AC4">
      <w:pPr>
        <w:pStyle w:val="Citas"/>
        <w:spacing w:before="0" w:after="0" w:line="240" w:lineRule="auto"/>
      </w:pPr>
      <w:r w:rsidRPr="00F90D38">
        <w:rPr>
          <w:b/>
        </w:rPr>
        <w:t>Artículo 179.</w:t>
      </w:r>
      <w:r w:rsidRPr="00F90D38">
        <w:t xml:space="preserve"> El recurso de revisión es un medio de protección que la Ley otorga a los particulares, para hacer valer su derecho de acceso a la información pública, y procederá en contra de las siguientes causas: </w:t>
      </w:r>
    </w:p>
    <w:p w:rsidR="00055AC4" w:rsidRPr="00F90D38" w:rsidRDefault="00055AC4" w:rsidP="00055AC4">
      <w:pPr>
        <w:pStyle w:val="Citas"/>
        <w:numPr>
          <w:ilvl w:val="0"/>
          <w:numId w:val="4"/>
        </w:numPr>
        <w:spacing w:before="0" w:after="0" w:line="240" w:lineRule="auto"/>
      </w:pPr>
      <w:r w:rsidRPr="00F90D38">
        <w:t xml:space="preserve">La negativa a la información solicitada; </w:t>
      </w:r>
    </w:p>
    <w:p w:rsidR="00055AC4" w:rsidRPr="00F90D38" w:rsidRDefault="00055AC4" w:rsidP="00055AC4">
      <w:pPr>
        <w:pStyle w:val="Citas"/>
        <w:numPr>
          <w:ilvl w:val="0"/>
          <w:numId w:val="4"/>
        </w:numPr>
        <w:spacing w:before="0" w:after="0" w:line="240" w:lineRule="auto"/>
      </w:pPr>
      <w:r w:rsidRPr="00F90D38">
        <w:t xml:space="preserve">La clasificación de la información; </w:t>
      </w:r>
    </w:p>
    <w:p w:rsidR="00055AC4" w:rsidRPr="00F90D38" w:rsidRDefault="00055AC4" w:rsidP="00055AC4">
      <w:pPr>
        <w:pStyle w:val="Citas"/>
        <w:numPr>
          <w:ilvl w:val="0"/>
          <w:numId w:val="4"/>
        </w:numPr>
        <w:spacing w:before="0" w:after="0" w:line="240" w:lineRule="auto"/>
      </w:pPr>
      <w:r w:rsidRPr="00F90D38">
        <w:t xml:space="preserve">La declaración de inexistencia de la información; </w:t>
      </w:r>
    </w:p>
    <w:p w:rsidR="00055AC4" w:rsidRPr="00F90D38" w:rsidRDefault="00055AC4" w:rsidP="00055AC4">
      <w:pPr>
        <w:pStyle w:val="Citas"/>
        <w:numPr>
          <w:ilvl w:val="0"/>
          <w:numId w:val="4"/>
        </w:numPr>
        <w:spacing w:before="0" w:after="0" w:line="240" w:lineRule="auto"/>
      </w:pPr>
      <w:r w:rsidRPr="00F90D38">
        <w:t xml:space="preserve">La declaración de incompetencia por el sujeto obligado; </w:t>
      </w:r>
    </w:p>
    <w:p w:rsidR="00055AC4" w:rsidRPr="00F90D38" w:rsidRDefault="00055AC4" w:rsidP="00055AC4">
      <w:pPr>
        <w:pStyle w:val="Citas"/>
        <w:numPr>
          <w:ilvl w:val="0"/>
          <w:numId w:val="4"/>
        </w:numPr>
        <w:spacing w:before="0" w:after="0" w:line="240" w:lineRule="auto"/>
        <w:rPr>
          <w:b/>
        </w:rPr>
      </w:pPr>
      <w:r w:rsidRPr="00F90D38">
        <w:rPr>
          <w:b/>
        </w:rPr>
        <w:t xml:space="preserve">La entrega de información incompleta; </w:t>
      </w:r>
    </w:p>
    <w:p w:rsidR="00055AC4" w:rsidRPr="00F90D38" w:rsidRDefault="00055AC4" w:rsidP="00055AC4">
      <w:pPr>
        <w:pStyle w:val="Citas"/>
        <w:numPr>
          <w:ilvl w:val="0"/>
          <w:numId w:val="4"/>
        </w:numPr>
        <w:spacing w:before="0" w:after="0" w:line="240" w:lineRule="auto"/>
      </w:pPr>
      <w:r w:rsidRPr="00F90D38">
        <w:t xml:space="preserve">La entrega de información que no corresponda con lo solicitado; </w:t>
      </w:r>
    </w:p>
    <w:p w:rsidR="00055AC4" w:rsidRPr="00F90D38" w:rsidRDefault="00055AC4" w:rsidP="00055AC4">
      <w:pPr>
        <w:pStyle w:val="Citas"/>
        <w:numPr>
          <w:ilvl w:val="0"/>
          <w:numId w:val="4"/>
        </w:numPr>
        <w:spacing w:before="0" w:after="0" w:line="240" w:lineRule="auto"/>
      </w:pPr>
      <w:r w:rsidRPr="00F90D38">
        <w:t xml:space="preserve">La falta de respuesta a una solicitud de acceso a la información; </w:t>
      </w:r>
    </w:p>
    <w:p w:rsidR="00055AC4" w:rsidRPr="00F90D38" w:rsidRDefault="00055AC4" w:rsidP="00055AC4">
      <w:pPr>
        <w:pStyle w:val="Citas"/>
        <w:numPr>
          <w:ilvl w:val="0"/>
          <w:numId w:val="4"/>
        </w:numPr>
        <w:spacing w:before="0" w:after="0" w:line="240" w:lineRule="auto"/>
      </w:pPr>
      <w:r w:rsidRPr="00F90D38">
        <w:t xml:space="preserve">La notificación, entrega o puesta a disposición de información en una modalidad o formato distinto al solicitado; </w:t>
      </w:r>
    </w:p>
    <w:p w:rsidR="00055AC4" w:rsidRPr="00F90D38" w:rsidRDefault="00055AC4" w:rsidP="00055AC4">
      <w:pPr>
        <w:pStyle w:val="Citas"/>
        <w:numPr>
          <w:ilvl w:val="0"/>
          <w:numId w:val="4"/>
        </w:numPr>
        <w:spacing w:before="0" w:after="0" w:line="240" w:lineRule="auto"/>
      </w:pPr>
      <w:r w:rsidRPr="00F90D38">
        <w:t xml:space="preserve">La entrega o puesta a disposición de información en un formato incomprensible y/o no accesible para el solicitante; </w:t>
      </w:r>
    </w:p>
    <w:p w:rsidR="00055AC4" w:rsidRPr="00F90D38" w:rsidRDefault="00055AC4" w:rsidP="00055AC4">
      <w:pPr>
        <w:pStyle w:val="Citas"/>
        <w:numPr>
          <w:ilvl w:val="0"/>
          <w:numId w:val="4"/>
        </w:numPr>
        <w:spacing w:before="0" w:after="0" w:line="240" w:lineRule="auto"/>
      </w:pPr>
      <w:r w:rsidRPr="00F90D38">
        <w:t xml:space="preserve">Los costos o tiempos de entrega de la información; </w:t>
      </w:r>
    </w:p>
    <w:p w:rsidR="00055AC4" w:rsidRPr="00F90D38" w:rsidRDefault="00055AC4" w:rsidP="00055AC4">
      <w:pPr>
        <w:pStyle w:val="Citas"/>
        <w:numPr>
          <w:ilvl w:val="0"/>
          <w:numId w:val="4"/>
        </w:numPr>
        <w:spacing w:before="0" w:after="0" w:line="240" w:lineRule="auto"/>
      </w:pPr>
      <w:r w:rsidRPr="00F90D38">
        <w:t xml:space="preserve">La falta de trámite a una solicitud; </w:t>
      </w:r>
    </w:p>
    <w:p w:rsidR="00055AC4" w:rsidRPr="00F90D38" w:rsidRDefault="00055AC4" w:rsidP="00055AC4">
      <w:pPr>
        <w:pStyle w:val="Citas"/>
        <w:numPr>
          <w:ilvl w:val="0"/>
          <w:numId w:val="4"/>
        </w:numPr>
        <w:spacing w:before="0" w:after="0" w:line="240" w:lineRule="auto"/>
      </w:pPr>
      <w:r w:rsidRPr="00F90D38">
        <w:t xml:space="preserve">La negativa a permitir la consulta directa de la información; </w:t>
      </w:r>
    </w:p>
    <w:p w:rsidR="00055AC4" w:rsidRPr="00F90D38" w:rsidRDefault="00055AC4" w:rsidP="00055AC4">
      <w:pPr>
        <w:pStyle w:val="Citas"/>
        <w:numPr>
          <w:ilvl w:val="0"/>
          <w:numId w:val="4"/>
        </w:numPr>
        <w:spacing w:before="0" w:after="0" w:line="240" w:lineRule="auto"/>
      </w:pPr>
      <w:r w:rsidRPr="00F90D38">
        <w:t xml:space="preserve">La falta, deficiencia o insuficiencia de la fundamentación y/o motivación en la respuesta; y </w:t>
      </w:r>
    </w:p>
    <w:p w:rsidR="00055AC4" w:rsidRPr="00F90D38" w:rsidRDefault="00055AC4" w:rsidP="00055AC4">
      <w:pPr>
        <w:pStyle w:val="Citas"/>
        <w:numPr>
          <w:ilvl w:val="0"/>
          <w:numId w:val="4"/>
        </w:numPr>
        <w:spacing w:before="0" w:after="0" w:line="240" w:lineRule="auto"/>
      </w:pPr>
      <w:r w:rsidRPr="00F90D38">
        <w:t xml:space="preserve">La orientación a un trámite específico. </w:t>
      </w:r>
    </w:p>
    <w:p w:rsidR="00055AC4" w:rsidRPr="00F90D38" w:rsidRDefault="00055AC4" w:rsidP="00055AC4">
      <w:pPr>
        <w:pStyle w:val="Citas"/>
        <w:spacing w:before="0" w:after="0" w:line="240" w:lineRule="auto"/>
      </w:pPr>
      <w:r w:rsidRPr="00F90D38">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055AC4" w:rsidRPr="00F90D38" w:rsidRDefault="00055AC4" w:rsidP="00055AC4">
      <w:pPr>
        <w:autoSpaceDE w:val="0"/>
        <w:autoSpaceDN w:val="0"/>
        <w:adjustRightInd w:val="0"/>
        <w:ind w:right="567"/>
        <w:rPr>
          <w:rFonts w:ascii="Palatino Linotype" w:eastAsia="Calibri" w:hAnsi="Palatino Linotype" w:cs="Arial"/>
        </w:rPr>
      </w:pPr>
    </w:p>
    <w:p w:rsidR="00055AC4" w:rsidRPr="00F90D38" w:rsidRDefault="00055AC4" w:rsidP="00055AC4">
      <w:pPr>
        <w:autoSpaceDE w:val="0"/>
        <w:autoSpaceDN w:val="0"/>
        <w:adjustRightInd w:val="0"/>
        <w:ind w:right="567"/>
        <w:rPr>
          <w:rFonts w:ascii="Palatino Linotype" w:eastAsia="Calibri" w:hAnsi="Palatino Linotype" w:cs="Arial"/>
        </w:rPr>
      </w:pPr>
    </w:p>
    <w:p w:rsidR="00055AC4" w:rsidRPr="00F90D38" w:rsidRDefault="00055AC4" w:rsidP="00055AC4">
      <w:pPr>
        <w:spacing w:line="360" w:lineRule="auto"/>
        <w:jc w:val="both"/>
        <w:rPr>
          <w:rFonts w:ascii="Palatino Linotype" w:hAnsi="Palatino Linotype" w:cs="Tahoma"/>
          <w:bCs/>
        </w:rPr>
      </w:pPr>
      <w:r w:rsidRPr="00F90D38">
        <w:rPr>
          <w:rFonts w:ascii="Palatino Linotype" w:hAnsi="Palatino Linotype" w:cs="Tahoma"/>
          <w:bCs/>
        </w:rPr>
        <w:t xml:space="preserve">Bajo estas líneas argumentativas, al retomar y delimitar los requerimientos del ahora </w:t>
      </w:r>
      <w:r w:rsidRPr="00F90D38">
        <w:rPr>
          <w:rFonts w:ascii="Palatino Linotype" w:hAnsi="Palatino Linotype" w:cs="Tahoma"/>
          <w:b/>
          <w:bCs/>
        </w:rPr>
        <w:t>Recurrente</w:t>
      </w:r>
      <w:r w:rsidRPr="00F90D38">
        <w:rPr>
          <w:rFonts w:ascii="Palatino Linotype" w:hAnsi="Palatino Linotype" w:cs="Tahoma"/>
          <w:bCs/>
        </w:rPr>
        <w:t>, de manera objetiva se precisa que requiere la siguiente información:</w:t>
      </w:r>
    </w:p>
    <w:p w:rsidR="00055AC4" w:rsidRPr="00F90D38" w:rsidRDefault="00055AC4" w:rsidP="00055AC4">
      <w:pPr>
        <w:spacing w:line="360" w:lineRule="auto"/>
        <w:jc w:val="both"/>
        <w:rPr>
          <w:rFonts w:ascii="Palatino Linotype" w:hAnsi="Palatino Linotype" w:cs="Tahoma"/>
          <w:bCs/>
        </w:rPr>
      </w:pPr>
    </w:p>
    <w:p w:rsidR="00617DED"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 xml:space="preserve">El nombre del administrador de la base de datos personales. </w:t>
      </w:r>
    </w:p>
    <w:p w:rsidR="00617DED"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 xml:space="preserve">Nombramiento o su caso el documento donde se asigna como administrador de la base de datos personales. </w:t>
      </w:r>
    </w:p>
    <w:p w:rsidR="00617DED"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lastRenderedPageBreak/>
        <w:t xml:space="preserve">Aviso de privacidad integral y simplificado. </w:t>
      </w:r>
    </w:p>
    <w:p w:rsidR="00294679"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 xml:space="preserve">Oficio solicitando que sesione el comité de transparencia, al titular de la unidad de transparencia, para la aprobación de la base de datos personales y el oficio del proyecto de clasificación de datos personales. </w:t>
      </w:r>
    </w:p>
    <w:p w:rsidR="00294679"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 xml:space="preserve">Acta de sesión del comité de transparencia donde se aprueba el proyecto de clasificación de la base de datos personales. </w:t>
      </w:r>
    </w:p>
    <w:p w:rsidR="00294679" w:rsidRPr="00F90D38" w:rsidRDefault="00084883"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Cé</w:t>
      </w:r>
      <w:r w:rsidR="00617DED" w:rsidRPr="00F90D38">
        <w:rPr>
          <w:rFonts w:ascii="Palatino Linotype" w:hAnsi="Palatino Linotype" w:cs="Tahoma"/>
          <w:bCs/>
        </w:rPr>
        <w:t xml:space="preserve">dula de Base de Datos Personales con el registro del </w:t>
      </w:r>
      <w:r w:rsidR="00294679" w:rsidRPr="00F90D38">
        <w:rPr>
          <w:rFonts w:ascii="Palatino Linotype" w:hAnsi="Palatino Linotype" w:cs="Tahoma"/>
          <w:bCs/>
        </w:rPr>
        <w:t>INFOEM</w:t>
      </w:r>
      <w:r w:rsidR="00617DED" w:rsidRPr="00F90D38">
        <w:rPr>
          <w:rFonts w:ascii="Palatino Linotype" w:hAnsi="Palatino Linotype" w:cs="Tahoma"/>
          <w:bCs/>
        </w:rPr>
        <w:t>.</w:t>
      </w:r>
    </w:p>
    <w:p w:rsidR="00294679"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 xml:space="preserve">Resolución del acuerdo de comité de transparencia, donde se aprobó el proyecto de clasificación de la base de datos personales, debidamente firmada por los integrantes del comité. </w:t>
      </w:r>
    </w:p>
    <w:p w:rsidR="00055AC4" w:rsidRPr="00F90D38" w:rsidRDefault="00617DED" w:rsidP="00617DED">
      <w:pPr>
        <w:pStyle w:val="Prrafodelista"/>
        <w:numPr>
          <w:ilvl w:val="0"/>
          <w:numId w:val="3"/>
        </w:numPr>
        <w:tabs>
          <w:tab w:val="left" w:pos="1828"/>
        </w:tabs>
        <w:spacing w:line="360" w:lineRule="auto"/>
        <w:jc w:val="both"/>
        <w:rPr>
          <w:rFonts w:ascii="Palatino Linotype" w:hAnsi="Palatino Linotype" w:cs="Tahoma"/>
          <w:bCs/>
        </w:rPr>
      </w:pPr>
      <w:r w:rsidRPr="00F90D38">
        <w:rPr>
          <w:rFonts w:ascii="Palatino Linotype" w:hAnsi="Palatino Linotype" w:cs="Tahoma"/>
          <w:bCs/>
        </w:rPr>
        <w:t xml:space="preserve">Documento de seguridad de la unidad administrativa que garantiza la confidencialidad, integridad y disponibilidad de la información contenida en la base de datos personales. </w:t>
      </w:r>
    </w:p>
    <w:p w:rsidR="00055AC4" w:rsidRPr="00F90D38" w:rsidRDefault="00055AC4" w:rsidP="00055AC4">
      <w:pPr>
        <w:spacing w:before="240" w:line="360" w:lineRule="auto"/>
        <w:jc w:val="both"/>
        <w:rPr>
          <w:rFonts w:ascii="Palatino Linotype" w:hAnsi="Palatino Linotype" w:cs="Arial"/>
        </w:rPr>
      </w:pPr>
    </w:p>
    <w:p w:rsidR="00055AC4" w:rsidRPr="00F90D38" w:rsidRDefault="00055AC4" w:rsidP="00055AC4">
      <w:pPr>
        <w:spacing w:before="240" w:line="360" w:lineRule="auto"/>
        <w:jc w:val="both"/>
        <w:rPr>
          <w:rFonts w:ascii="Palatino Linotype" w:hAnsi="Palatino Linotype" w:cs="Arial"/>
          <w:b/>
        </w:rPr>
      </w:pPr>
      <w:r w:rsidRPr="00F90D38">
        <w:rPr>
          <w:rFonts w:ascii="Palatino Linotype" w:hAnsi="Palatino Linotype" w:cs="Arial"/>
        </w:rPr>
        <w:t xml:space="preserve">De conformidad con las constancias que obran en el expediente electrónico, se observa que el </w:t>
      </w:r>
      <w:r w:rsidRPr="00F90D38">
        <w:rPr>
          <w:rFonts w:ascii="Palatino Linotype" w:hAnsi="Palatino Linotype" w:cs="Arial"/>
          <w:b/>
        </w:rPr>
        <w:t>Sujeto Obligado</w:t>
      </w:r>
      <w:r w:rsidRPr="00F90D38">
        <w:rPr>
          <w:rFonts w:ascii="Palatino Linotype" w:hAnsi="Palatino Linotype" w:cs="Arial"/>
        </w:rPr>
        <w:t xml:space="preserve"> dio respuesta por medio del sistema SAIMEX, a la solicitud de información</w:t>
      </w:r>
      <w:r w:rsidRPr="00F90D38">
        <w:rPr>
          <w:rFonts w:ascii="Palatino Linotype" w:eastAsia="Palatino Linotype" w:hAnsi="Palatino Linotype" w:cs="Palatino Linotype"/>
          <w:b/>
          <w:color w:val="000000"/>
        </w:rPr>
        <w:t xml:space="preserve"> </w:t>
      </w:r>
      <w:r w:rsidRPr="00F90D38">
        <w:rPr>
          <w:rFonts w:ascii="Palatino Linotype" w:hAnsi="Palatino Linotype" w:cs="Arial"/>
          <w:b/>
        </w:rPr>
        <w:t xml:space="preserve">00034/SESEA/IP/2025; </w:t>
      </w:r>
      <w:r w:rsidRPr="00F90D38">
        <w:rPr>
          <w:rFonts w:ascii="Palatino Linotype" w:hAnsi="Palatino Linotype" w:cs="Arial"/>
        </w:rPr>
        <w:t>a través de los archivos electrónicos</w:t>
      </w:r>
      <w:r w:rsidRPr="00F90D38">
        <w:rPr>
          <w:rFonts w:ascii="Palatino Linotype" w:hAnsi="Palatino Linotype" w:cs="Arial"/>
          <w:b/>
        </w:rPr>
        <w:t>:</w:t>
      </w:r>
    </w:p>
    <w:p w:rsidR="00CC69D9" w:rsidRPr="00F90D38" w:rsidRDefault="00294679" w:rsidP="0029467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Anexos Sol. 034-2025.zip</w:t>
      </w:r>
      <w:r w:rsidR="00CC69D9" w:rsidRPr="00F90D38">
        <w:rPr>
          <w:rFonts w:ascii="Palatino Linotype" w:hAnsi="Palatino Linotype" w:cs="Arial"/>
          <w:b/>
          <w:i/>
          <w:sz w:val="24"/>
        </w:rPr>
        <w:t xml:space="preserve">: </w:t>
      </w:r>
      <w:r w:rsidR="00CC69D9" w:rsidRPr="00F90D38">
        <w:rPr>
          <w:rFonts w:ascii="Palatino Linotype" w:hAnsi="Palatino Linotype" w:cs="Arial"/>
          <w:sz w:val="24"/>
        </w:rPr>
        <w:t>carpeta zip, contiene:</w:t>
      </w:r>
    </w:p>
    <w:p w:rsidR="00294679" w:rsidRPr="00F90D38" w:rsidRDefault="00CC69D9" w:rsidP="00CC69D9">
      <w:pPr>
        <w:pStyle w:val="Sinespaciado"/>
        <w:numPr>
          <w:ilvl w:val="0"/>
          <w:numId w:val="10"/>
        </w:numPr>
        <w:spacing w:before="240" w:line="360" w:lineRule="auto"/>
        <w:jc w:val="both"/>
        <w:rPr>
          <w:rFonts w:ascii="Palatino Linotype" w:hAnsi="Palatino Linotype" w:cs="Arial"/>
          <w:b/>
          <w:i/>
          <w:sz w:val="24"/>
        </w:rPr>
      </w:pPr>
      <w:r w:rsidRPr="00F90D38">
        <w:rPr>
          <w:rFonts w:ascii="Palatino Linotype" w:hAnsi="Palatino Linotype" w:cs="Arial"/>
          <w:sz w:val="24"/>
        </w:rPr>
        <w:t>7 Cedulas de Bases de Datos de diversas áreas</w:t>
      </w:r>
      <w:r w:rsidR="00DD473F" w:rsidRPr="00F90D38">
        <w:rPr>
          <w:rFonts w:ascii="Palatino Linotype" w:hAnsi="Palatino Linotype" w:cs="Arial"/>
          <w:sz w:val="24"/>
        </w:rPr>
        <w:t xml:space="preserve"> del año 2020.</w:t>
      </w:r>
    </w:p>
    <w:p w:rsidR="00CC69D9" w:rsidRPr="00F90D38" w:rsidRDefault="00CC69D9" w:rsidP="00CC69D9">
      <w:pPr>
        <w:pStyle w:val="Sinespaciado"/>
        <w:numPr>
          <w:ilvl w:val="0"/>
          <w:numId w:val="10"/>
        </w:numPr>
        <w:spacing w:before="240" w:line="360" w:lineRule="auto"/>
        <w:jc w:val="both"/>
        <w:rPr>
          <w:rFonts w:ascii="Palatino Linotype" w:hAnsi="Palatino Linotype" w:cs="Arial"/>
          <w:b/>
          <w:i/>
          <w:sz w:val="24"/>
        </w:rPr>
      </w:pPr>
      <w:r w:rsidRPr="00F90D38">
        <w:rPr>
          <w:rFonts w:ascii="Palatino Linotype" w:hAnsi="Palatino Linotype" w:cs="Arial"/>
          <w:sz w:val="24"/>
        </w:rPr>
        <w:t>7 Documentos de Seguridad de las áreas</w:t>
      </w:r>
      <w:r w:rsidR="007F747D" w:rsidRPr="00F90D38">
        <w:rPr>
          <w:rFonts w:ascii="Palatino Linotype" w:hAnsi="Palatino Linotype" w:cs="Arial"/>
          <w:sz w:val="24"/>
        </w:rPr>
        <w:t>, en versión pública</w:t>
      </w:r>
      <w:r w:rsidRPr="00F90D38">
        <w:rPr>
          <w:rFonts w:ascii="Palatino Linotype" w:hAnsi="Palatino Linotype" w:cs="Arial"/>
          <w:sz w:val="24"/>
        </w:rPr>
        <w:t xml:space="preserve">. </w:t>
      </w:r>
    </w:p>
    <w:p w:rsidR="00CC69D9" w:rsidRPr="00F90D38" w:rsidRDefault="00CC69D9" w:rsidP="00CC69D9">
      <w:pPr>
        <w:pStyle w:val="Sinespaciado"/>
        <w:numPr>
          <w:ilvl w:val="0"/>
          <w:numId w:val="10"/>
        </w:numPr>
        <w:spacing w:before="240" w:line="360" w:lineRule="auto"/>
        <w:jc w:val="both"/>
        <w:rPr>
          <w:rFonts w:ascii="Palatino Linotype" w:hAnsi="Palatino Linotype" w:cs="Arial"/>
          <w:b/>
          <w:i/>
          <w:sz w:val="24"/>
        </w:rPr>
      </w:pPr>
      <w:r w:rsidRPr="00F90D38">
        <w:rPr>
          <w:rFonts w:ascii="Palatino Linotype" w:hAnsi="Palatino Linotype" w:cs="Arial"/>
          <w:sz w:val="24"/>
        </w:rPr>
        <w:lastRenderedPageBreak/>
        <w:t>7 Nombramientos, firmados por el Secretario Técnico, a diversos Directores y Jefes de área como administradores del Sistema de Datos Personales.</w:t>
      </w:r>
    </w:p>
    <w:p w:rsidR="00294679" w:rsidRPr="00F90D38" w:rsidRDefault="00294679" w:rsidP="0029467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Acta de la 4ta Sesión Ext. CT-2025.pdf</w:t>
      </w:r>
      <w:r w:rsidR="007F747D" w:rsidRPr="00F90D38">
        <w:rPr>
          <w:rFonts w:ascii="Palatino Linotype" w:hAnsi="Palatino Linotype" w:cs="Arial"/>
          <w:b/>
          <w:i/>
          <w:sz w:val="24"/>
        </w:rPr>
        <w:t xml:space="preserve">: </w:t>
      </w:r>
      <w:r w:rsidR="007F747D" w:rsidRPr="00F90D38">
        <w:rPr>
          <w:rFonts w:ascii="Palatino Linotype" w:hAnsi="Palatino Linotype" w:cs="Arial"/>
          <w:sz w:val="24"/>
        </w:rPr>
        <w:t xml:space="preserve">contiene el Acta de la Cuarta Sesión Extraordinaria del Comité de Transparencia, en la que se aprobó la ampliación de plazo para dar respuesta. </w:t>
      </w:r>
    </w:p>
    <w:p w:rsidR="00294679" w:rsidRPr="00F90D38" w:rsidRDefault="00294679" w:rsidP="0029467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Respuesta sol. 0034-2025-UPyT.pdf</w:t>
      </w:r>
      <w:r w:rsidR="007F747D" w:rsidRPr="00F90D38">
        <w:rPr>
          <w:rFonts w:ascii="Palatino Linotype" w:hAnsi="Palatino Linotype" w:cs="Arial"/>
          <w:b/>
          <w:i/>
          <w:sz w:val="24"/>
        </w:rPr>
        <w:t xml:space="preserve">: </w:t>
      </w:r>
      <w:r w:rsidR="007F747D" w:rsidRPr="00F90D38">
        <w:rPr>
          <w:rFonts w:ascii="Palatino Linotype" w:hAnsi="Palatino Linotype" w:cs="Arial"/>
          <w:sz w:val="24"/>
        </w:rPr>
        <w:t>oficio número 41100100030000S/0189/2025, firmado por la Jefa de la Unidad de Planeación y Transparencia, por medio del cual informa lo siguiente:</w:t>
      </w:r>
    </w:p>
    <w:p w:rsidR="007F747D" w:rsidRPr="00F90D38" w:rsidRDefault="00334B29" w:rsidP="00334B29">
      <w:pPr>
        <w:pStyle w:val="Sinespaciado"/>
        <w:spacing w:before="240" w:line="360" w:lineRule="auto"/>
        <w:ind w:left="360"/>
        <w:jc w:val="center"/>
        <w:rPr>
          <w:rFonts w:ascii="Palatino Linotype" w:hAnsi="Palatino Linotype" w:cs="Arial"/>
          <w:b/>
          <w:i/>
          <w:sz w:val="24"/>
        </w:rPr>
      </w:pPr>
      <w:r w:rsidRPr="00F90D38">
        <w:rPr>
          <w:rFonts w:ascii="Palatino Linotype" w:hAnsi="Palatino Linotype" w:cs="Arial"/>
          <w:b/>
          <w:i/>
          <w:noProof/>
          <w:sz w:val="24"/>
          <w:lang w:eastAsia="es-MX"/>
        </w:rPr>
        <w:drawing>
          <wp:inline distT="0" distB="0" distL="0" distR="0">
            <wp:extent cx="5547644" cy="32861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286055.tmp"/>
                    <pic:cNvPicPr/>
                  </pic:nvPicPr>
                  <pic:blipFill>
                    <a:blip r:embed="rId7">
                      <a:extLst>
                        <a:ext uri="{28A0092B-C50C-407E-A947-70E740481C1C}">
                          <a14:useLocalDpi xmlns:a14="http://schemas.microsoft.com/office/drawing/2010/main" val="0"/>
                        </a:ext>
                      </a:extLst>
                    </a:blip>
                    <a:stretch>
                      <a:fillRect/>
                    </a:stretch>
                  </pic:blipFill>
                  <pic:spPr>
                    <a:xfrm>
                      <a:off x="0" y="0"/>
                      <a:ext cx="5564393" cy="3296046"/>
                    </a:xfrm>
                    <a:prstGeom prst="rect">
                      <a:avLst/>
                    </a:prstGeom>
                  </pic:spPr>
                </pic:pic>
              </a:graphicData>
            </a:graphic>
          </wp:inline>
        </w:drawing>
      </w:r>
    </w:p>
    <w:p w:rsidR="00334B29" w:rsidRPr="00F90D38" w:rsidRDefault="00334B29" w:rsidP="007F747D">
      <w:pPr>
        <w:pStyle w:val="Sinespaciado"/>
        <w:spacing w:before="240" w:line="360" w:lineRule="auto"/>
        <w:ind w:left="720"/>
        <w:jc w:val="both"/>
        <w:rPr>
          <w:rFonts w:ascii="Palatino Linotype" w:hAnsi="Palatino Linotype" w:cs="Arial"/>
          <w:b/>
          <w:i/>
          <w:sz w:val="24"/>
        </w:rPr>
      </w:pPr>
    </w:p>
    <w:p w:rsidR="007F747D" w:rsidRPr="00F90D38" w:rsidRDefault="00334B29" w:rsidP="007F747D">
      <w:pPr>
        <w:pStyle w:val="Sinespaciado"/>
        <w:spacing w:before="240" w:line="360" w:lineRule="auto"/>
        <w:ind w:left="720"/>
        <w:jc w:val="both"/>
        <w:rPr>
          <w:rFonts w:ascii="Palatino Linotype" w:hAnsi="Palatino Linotype" w:cs="Arial"/>
          <w:b/>
          <w:i/>
          <w:sz w:val="24"/>
        </w:rPr>
      </w:pPr>
      <w:r w:rsidRPr="00F90D38">
        <w:rPr>
          <w:rFonts w:ascii="Palatino Linotype" w:hAnsi="Palatino Linotype" w:cs="Arial"/>
          <w:b/>
          <w:i/>
          <w:noProof/>
          <w:sz w:val="24"/>
          <w:lang w:eastAsia="es-MX"/>
        </w:rPr>
        <w:lastRenderedPageBreak/>
        <w:drawing>
          <wp:inline distT="0" distB="0" distL="0" distR="0">
            <wp:extent cx="4894302" cy="3876675"/>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28F536.tmp"/>
                    <pic:cNvPicPr/>
                  </pic:nvPicPr>
                  <pic:blipFill>
                    <a:blip r:embed="rId8">
                      <a:extLst>
                        <a:ext uri="{28A0092B-C50C-407E-A947-70E740481C1C}">
                          <a14:useLocalDpi xmlns:a14="http://schemas.microsoft.com/office/drawing/2010/main" val="0"/>
                        </a:ext>
                      </a:extLst>
                    </a:blip>
                    <a:stretch>
                      <a:fillRect/>
                    </a:stretch>
                  </pic:blipFill>
                  <pic:spPr>
                    <a:xfrm>
                      <a:off x="0" y="0"/>
                      <a:ext cx="4908420" cy="3887858"/>
                    </a:xfrm>
                    <a:prstGeom prst="rect">
                      <a:avLst/>
                    </a:prstGeom>
                  </pic:spPr>
                </pic:pic>
              </a:graphicData>
            </a:graphic>
          </wp:inline>
        </w:drawing>
      </w:r>
    </w:p>
    <w:p w:rsidR="00294679" w:rsidRPr="00F90D38" w:rsidRDefault="00294679" w:rsidP="0029467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Acuerdo 003- Sesión Ext. CT-2025.pdf</w:t>
      </w:r>
      <w:r w:rsidR="00334B29" w:rsidRPr="00F90D38">
        <w:rPr>
          <w:rFonts w:ascii="Palatino Linotype" w:hAnsi="Palatino Linotype" w:cs="Arial"/>
          <w:b/>
          <w:i/>
          <w:sz w:val="24"/>
        </w:rPr>
        <w:t xml:space="preserve">: </w:t>
      </w:r>
      <w:r w:rsidR="00334B29" w:rsidRPr="00F90D38">
        <w:rPr>
          <w:rFonts w:ascii="Palatino Linotype" w:hAnsi="Palatino Linotype" w:cs="Arial"/>
          <w:sz w:val="24"/>
        </w:rPr>
        <w:t xml:space="preserve">contiene el acuerdo SESEA/CT/EXT/004/2025-03, del Comité de Transparencia, en el que se propuso la ampliación de plazo para dar respuesta. </w:t>
      </w:r>
    </w:p>
    <w:p w:rsidR="009C20D9" w:rsidRPr="00F90D38" w:rsidRDefault="00294679" w:rsidP="0029467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Proyecto de clasificación-sol. 034.pdf</w:t>
      </w:r>
      <w:r w:rsidR="00334B29" w:rsidRPr="00F90D38">
        <w:rPr>
          <w:rFonts w:ascii="Palatino Linotype" w:hAnsi="Palatino Linotype" w:cs="Arial"/>
          <w:b/>
          <w:i/>
          <w:sz w:val="24"/>
        </w:rPr>
        <w:t xml:space="preserve">: </w:t>
      </w:r>
      <w:r w:rsidR="00334B29" w:rsidRPr="00F90D38">
        <w:rPr>
          <w:rFonts w:ascii="Palatino Linotype" w:hAnsi="Palatino Linotype" w:cs="Arial"/>
          <w:sz w:val="24"/>
        </w:rPr>
        <w:t>contiene el oficio número 41100100030000S/SPH/0002/2025, de fecha 08 de abril de 2025, firmado por la Servidora Pública Habilitada de la Unidad de Planeación y Transparencia, por medio del cual se propone la clasificación de la información como confidencial contenida en los Documentos de Seguridad y Cédulas de Base de Datos Personales</w:t>
      </w:r>
      <w:r w:rsidR="009C20D9" w:rsidRPr="00F90D38">
        <w:rPr>
          <w:rFonts w:ascii="Palatino Linotype" w:hAnsi="Palatino Linotype" w:cs="Arial"/>
          <w:sz w:val="24"/>
        </w:rPr>
        <w:t>.</w:t>
      </w:r>
    </w:p>
    <w:p w:rsidR="00294679" w:rsidRPr="00F90D38" w:rsidRDefault="009C20D9" w:rsidP="009C20D9">
      <w:pPr>
        <w:pStyle w:val="Sinespaciado"/>
        <w:spacing w:before="240" w:line="360" w:lineRule="auto"/>
        <w:ind w:left="720"/>
        <w:jc w:val="center"/>
        <w:rPr>
          <w:rFonts w:ascii="Palatino Linotype" w:hAnsi="Palatino Linotype" w:cs="Arial"/>
          <w:sz w:val="24"/>
        </w:rPr>
      </w:pPr>
      <w:r w:rsidRPr="00F90D38">
        <w:rPr>
          <w:rFonts w:ascii="Palatino Linotype" w:hAnsi="Palatino Linotype" w:cs="Arial"/>
          <w:noProof/>
          <w:sz w:val="24"/>
          <w:lang w:eastAsia="es-MX"/>
        </w:rPr>
        <w:lastRenderedPageBreak/>
        <w:drawing>
          <wp:inline distT="0" distB="0" distL="0" distR="0">
            <wp:extent cx="4286250" cy="1268346"/>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2876EA.tmp"/>
                    <pic:cNvPicPr/>
                  </pic:nvPicPr>
                  <pic:blipFill>
                    <a:blip r:embed="rId9">
                      <a:extLst>
                        <a:ext uri="{28A0092B-C50C-407E-A947-70E740481C1C}">
                          <a14:useLocalDpi xmlns:a14="http://schemas.microsoft.com/office/drawing/2010/main" val="0"/>
                        </a:ext>
                      </a:extLst>
                    </a:blip>
                    <a:stretch>
                      <a:fillRect/>
                    </a:stretch>
                  </pic:blipFill>
                  <pic:spPr>
                    <a:xfrm>
                      <a:off x="0" y="0"/>
                      <a:ext cx="4321345" cy="1278731"/>
                    </a:xfrm>
                    <a:prstGeom prst="rect">
                      <a:avLst/>
                    </a:prstGeom>
                  </pic:spPr>
                </pic:pic>
              </a:graphicData>
            </a:graphic>
          </wp:inline>
        </w:drawing>
      </w:r>
    </w:p>
    <w:p w:rsidR="009C20D9" w:rsidRPr="00F90D38" w:rsidRDefault="009C20D9" w:rsidP="009C20D9">
      <w:pPr>
        <w:pStyle w:val="Sinespaciado"/>
        <w:spacing w:before="240" w:line="360" w:lineRule="auto"/>
        <w:ind w:left="720"/>
        <w:jc w:val="center"/>
        <w:rPr>
          <w:rFonts w:ascii="Palatino Linotype" w:hAnsi="Palatino Linotype" w:cs="Arial"/>
          <w:b/>
          <w:i/>
          <w:sz w:val="24"/>
        </w:rPr>
      </w:pPr>
      <w:r w:rsidRPr="00F90D38">
        <w:rPr>
          <w:rFonts w:ascii="Palatino Linotype" w:hAnsi="Palatino Linotype" w:cs="Arial"/>
          <w:b/>
          <w:i/>
          <w:noProof/>
          <w:sz w:val="24"/>
          <w:lang w:eastAsia="es-MX"/>
        </w:rPr>
        <w:drawing>
          <wp:inline distT="0" distB="0" distL="0" distR="0">
            <wp:extent cx="3790950" cy="286659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2845D4.tmp"/>
                    <pic:cNvPicPr/>
                  </pic:nvPicPr>
                  <pic:blipFill>
                    <a:blip r:embed="rId10">
                      <a:extLst>
                        <a:ext uri="{28A0092B-C50C-407E-A947-70E740481C1C}">
                          <a14:useLocalDpi xmlns:a14="http://schemas.microsoft.com/office/drawing/2010/main" val="0"/>
                        </a:ext>
                      </a:extLst>
                    </a:blip>
                    <a:stretch>
                      <a:fillRect/>
                    </a:stretch>
                  </pic:blipFill>
                  <pic:spPr>
                    <a:xfrm>
                      <a:off x="0" y="0"/>
                      <a:ext cx="3834935" cy="2899852"/>
                    </a:xfrm>
                    <a:prstGeom prst="rect">
                      <a:avLst/>
                    </a:prstGeom>
                  </pic:spPr>
                </pic:pic>
              </a:graphicData>
            </a:graphic>
          </wp:inline>
        </w:drawing>
      </w:r>
    </w:p>
    <w:p w:rsidR="00294679" w:rsidRPr="00F90D38" w:rsidRDefault="00294679" w:rsidP="009C20D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RESPUESTA-034-2025-UPyT.docx</w:t>
      </w:r>
      <w:r w:rsidR="00683F8E" w:rsidRPr="00F90D38">
        <w:rPr>
          <w:rFonts w:ascii="Palatino Linotype" w:hAnsi="Palatino Linotype" w:cs="Arial"/>
          <w:b/>
          <w:i/>
          <w:sz w:val="24"/>
        </w:rPr>
        <w:t xml:space="preserve">: </w:t>
      </w:r>
      <w:r w:rsidR="009C20D9" w:rsidRPr="00F90D38">
        <w:rPr>
          <w:rFonts w:ascii="Palatino Linotype" w:hAnsi="Palatino Linotype" w:cs="Arial"/>
          <w:sz w:val="24"/>
        </w:rPr>
        <w:t xml:space="preserve">contienen el oficio número 41100100030000S/0189/2025, en formato Word. </w:t>
      </w:r>
    </w:p>
    <w:p w:rsidR="00294679" w:rsidRPr="00F90D38" w:rsidRDefault="00294679" w:rsidP="009C20D9">
      <w:pPr>
        <w:pStyle w:val="Sinespaciado"/>
        <w:numPr>
          <w:ilvl w:val="0"/>
          <w:numId w:val="1"/>
        </w:numPr>
        <w:spacing w:before="240" w:line="360" w:lineRule="auto"/>
        <w:jc w:val="both"/>
        <w:rPr>
          <w:rFonts w:ascii="Palatino Linotype" w:hAnsi="Palatino Linotype" w:cs="Arial"/>
          <w:b/>
          <w:i/>
          <w:sz w:val="24"/>
        </w:rPr>
      </w:pPr>
      <w:r w:rsidRPr="00F90D38">
        <w:rPr>
          <w:rFonts w:ascii="Palatino Linotype" w:hAnsi="Palatino Linotype" w:cs="Arial"/>
          <w:b/>
          <w:i/>
          <w:sz w:val="24"/>
        </w:rPr>
        <w:t>OFICIO DE RESPUESTA-SPH 0034.docx</w:t>
      </w:r>
      <w:r w:rsidR="009C20D9" w:rsidRPr="00F90D38">
        <w:rPr>
          <w:rFonts w:ascii="Palatino Linotype" w:hAnsi="Palatino Linotype" w:cs="Arial"/>
          <w:b/>
          <w:i/>
          <w:sz w:val="24"/>
        </w:rPr>
        <w:t xml:space="preserve">: </w:t>
      </w:r>
      <w:r w:rsidR="009C20D9" w:rsidRPr="00F90D38">
        <w:rPr>
          <w:rFonts w:ascii="Palatino Linotype" w:hAnsi="Palatino Linotype" w:cs="Arial"/>
          <w:sz w:val="24"/>
        </w:rPr>
        <w:t xml:space="preserve">contiene el oficio número 41100100030000S/SPH/0004/2025, en formato Word. </w:t>
      </w:r>
    </w:p>
    <w:p w:rsidR="00055AC4" w:rsidRPr="00F90D38" w:rsidRDefault="00294679" w:rsidP="009C20D9">
      <w:pPr>
        <w:pStyle w:val="Sinespaciado"/>
        <w:numPr>
          <w:ilvl w:val="0"/>
          <w:numId w:val="1"/>
        </w:numPr>
        <w:pBdr>
          <w:top w:val="nil"/>
          <w:left w:val="nil"/>
          <w:bottom w:val="nil"/>
          <w:right w:val="nil"/>
          <w:between w:val="nil"/>
        </w:pBdr>
        <w:spacing w:before="240" w:line="360" w:lineRule="auto"/>
        <w:contextualSpacing/>
        <w:jc w:val="both"/>
        <w:rPr>
          <w:rFonts w:ascii="Palatino Linotype" w:hAnsi="Palatino Linotype" w:cs="Arial"/>
          <w:i/>
        </w:rPr>
      </w:pPr>
      <w:r w:rsidRPr="00F90D38">
        <w:rPr>
          <w:rFonts w:ascii="Palatino Linotype" w:hAnsi="Palatino Linotype" w:cs="Arial"/>
          <w:b/>
          <w:i/>
          <w:sz w:val="24"/>
        </w:rPr>
        <w:t>Resp SPH 0034.pdf</w:t>
      </w:r>
      <w:r w:rsidR="00055AC4" w:rsidRPr="00F90D38">
        <w:rPr>
          <w:rFonts w:ascii="Palatino Linotype" w:hAnsi="Palatino Linotype" w:cs="Arial"/>
          <w:b/>
          <w:i/>
          <w:sz w:val="24"/>
        </w:rPr>
        <w:t xml:space="preserve">: </w:t>
      </w:r>
      <w:r w:rsidR="009C20D9" w:rsidRPr="00F90D38">
        <w:rPr>
          <w:rFonts w:ascii="Palatino Linotype" w:hAnsi="Palatino Linotype" w:cs="Arial"/>
          <w:sz w:val="24"/>
        </w:rPr>
        <w:t xml:space="preserve">oficio número 41100100030000S/SPH/0004/2025, firmado por la Servidora Pública Habilitada de la Unidad de Planeación y Transparencia, en el que refiere los siguiente: </w:t>
      </w:r>
    </w:p>
    <w:p w:rsidR="009C20D9" w:rsidRPr="00F90D38" w:rsidRDefault="009C20D9" w:rsidP="009C20D9">
      <w:pPr>
        <w:pStyle w:val="Citas"/>
      </w:pPr>
      <w:r w:rsidRPr="00F90D38">
        <w:t>“…</w:t>
      </w:r>
    </w:p>
    <w:p w:rsidR="009C20D9" w:rsidRPr="00F90D38" w:rsidRDefault="009C20D9" w:rsidP="009C20D9">
      <w:pPr>
        <w:pStyle w:val="Citas"/>
      </w:pPr>
      <w:r w:rsidRPr="00F90D38">
        <w:lastRenderedPageBreak/>
        <w:t xml:space="preserve">Respecto al numeral </w:t>
      </w:r>
      <w:r w:rsidRPr="00F90D38">
        <w:rPr>
          <w:b/>
          <w:bCs/>
          <w:iCs/>
        </w:rPr>
        <w:t>1. El nombre del administrador de la base de datos personales,</w:t>
      </w:r>
      <w:r w:rsidRPr="00F90D38">
        <w:rPr>
          <w:b/>
          <w:bCs/>
        </w:rPr>
        <w:t xml:space="preserve"> </w:t>
      </w:r>
      <w:r w:rsidRPr="00F90D38">
        <w:t xml:space="preserve">y de conformidad con el artículo 4, fracción I de la Ley de Protección de Datos Personales en Posesión de Sujetos Obligados del Estado de México y Municipios, son administradores de las bases o sistemas de datos personales aquellos servidores públicos que, conforme a la normatividad aplicable, cuentan con facultades para el tratamiento de datos personales en su posesión. </w:t>
      </w:r>
    </w:p>
    <w:p w:rsidR="009C20D9" w:rsidRPr="00F90D38" w:rsidRDefault="009C20D9" w:rsidP="009C20D9">
      <w:pPr>
        <w:pStyle w:val="Citas"/>
        <w:rPr>
          <w:b/>
          <w:bCs/>
        </w:rPr>
      </w:pPr>
      <w:r w:rsidRPr="00F90D38">
        <w:t xml:space="preserve">Sin embargo, la Ley de la materia </w:t>
      </w:r>
      <w:r w:rsidRPr="00F90D38">
        <w:rPr>
          <w:b/>
          <w:bCs/>
        </w:rPr>
        <w:t xml:space="preserve">no prevee </w:t>
      </w:r>
      <w:r w:rsidRPr="00F90D38">
        <w:t xml:space="preserve">la figura de </w:t>
      </w:r>
      <w:r w:rsidRPr="00F90D38">
        <w:rPr>
          <w:b/>
          <w:bCs/>
        </w:rPr>
        <w:t xml:space="preserve">administrador de la Base de Datos Personales, </w:t>
      </w:r>
      <w:r w:rsidRPr="00F90D38">
        <w:t>tal y como lo menciona la persona solicitante.</w:t>
      </w:r>
      <w:r w:rsidRPr="00F90D38">
        <w:rPr>
          <w:b/>
          <w:bCs/>
        </w:rPr>
        <w:t xml:space="preserve"> </w:t>
      </w:r>
    </w:p>
    <w:p w:rsidR="009C20D9" w:rsidRPr="00F90D38" w:rsidRDefault="009C20D9" w:rsidP="009C20D9">
      <w:pPr>
        <w:pStyle w:val="Citas"/>
      </w:pPr>
      <w:r w:rsidRPr="00F90D38">
        <w:t xml:space="preserve">En ese sentido, se remite el listado de los nombres de los administradores de los Sistemas de Datos Personales de Esta Secretaría Ejecutiva. </w:t>
      </w:r>
    </w:p>
    <w:tbl>
      <w:tblPr>
        <w:tblStyle w:val="Tablaconcuadrcula"/>
        <w:tblW w:w="0" w:type="auto"/>
        <w:tblInd w:w="988" w:type="dxa"/>
        <w:tblLook w:val="04A0" w:firstRow="1" w:lastRow="0" w:firstColumn="1" w:lastColumn="0" w:noHBand="0" w:noVBand="1"/>
      </w:tblPr>
      <w:tblGrid>
        <w:gridCol w:w="3426"/>
        <w:gridCol w:w="3803"/>
      </w:tblGrid>
      <w:tr w:rsidR="009C20D9" w:rsidRPr="00F90D38" w:rsidTr="009C20D9">
        <w:tc>
          <w:tcPr>
            <w:tcW w:w="3426" w:type="dxa"/>
            <w:shd w:val="clear" w:color="auto" w:fill="D0CECE" w:themeFill="background2" w:themeFillShade="E6"/>
          </w:tcPr>
          <w:p w:rsidR="009C20D9" w:rsidRPr="00F90D38" w:rsidRDefault="009C20D9" w:rsidP="00DD473F">
            <w:pPr>
              <w:jc w:val="center"/>
              <w:rPr>
                <w:rFonts w:ascii="Helvetica LT Light" w:eastAsia="HelveticaNeueLT Com 45 Lt" w:hAnsi="Helvetica LT Light" w:cs="HelveticaNeueLT Com 45 Lt"/>
                <w:b/>
                <w:bCs/>
                <w:sz w:val="20"/>
                <w:szCs w:val="20"/>
              </w:rPr>
            </w:pPr>
            <w:r w:rsidRPr="00F90D38">
              <w:rPr>
                <w:rFonts w:ascii="Helvetica LT Light" w:eastAsia="HelveticaNeueLT Com 45 Lt" w:hAnsi="Helvetica LT Light" w:cs="HelveticaNeueLT Com 45 Lt"/>
                <w:b/>
                <w:bCs/>
                <w:sz w:val="20"/>
                <w:szCs w:val="20"/>
              </w:rPr>
              <w:t>Sistema de Base de Datos Personales</w:t>
            </w:r>
          </w:p>
        </w:tc>
        <w:tc>
          <w:tcPr>
            <w:tcW w:w="3803" w:type="dxa"/>
            <w:shd w:val="clear" w:color="auto" w:fill="D0CECE" w:themeFill="background2" w:themeFillShade="E6"/>
          </w:tcPr>
          <w:p w:rsidR="009C20D9" w:rsidRPr="00F90D38" w:rsidRDefault="009C20D9" w:rsidP="00DD473F">
            <w:pPr>
              <w:jc w:val="center"/>
              <w:rPr>
                <w:rFonts w:ascii="Helvetica LT Light" w:eastAsia="HelveticaNeueLT Com 45 Lt" w:hAnsi="Helvetica LT Light" w:cs="HelveticaNeueLT Com 45 Lt"/>
                <w:b/>
                <w:bCs/>
                <w:sz w:val="20"/>
                <w:szCs w:val="20"/>
              </w:rPr>
            </w:pPr>
            <w:r w:rsidRPr="00F90D38">
              <w:rPr>
                <w:rFonts w:ascii="Helvetica LT Light" w:eastAsia="HelveticaNeueLT Com 45 Lt" w:hAnsi="Helvetica LT Light" w:cs="HelveticaNeueLT Com 45 Lt"/>
                <w:b/>
                <w:bCs/>
                <w:sz w:val="20"/>
                <w:szCs w:val="20"/>
              </w:rPr>
              <w:t>Nombre del Administrador</w:t>
            </w:r>
          </w:p>
        </w:tc>
      </w:tr>
      <w:tr w:rsidR="009C20D9" w:rsidRPr="00F90D38" w:rsidTr="009C20D9">
        <w:trPr>
          <w:trHeight w:val="444"/>
        </w:trPr>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Asuntos Jurídicos e Igualdad de Género</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Lic. Simón Reyes Ramos</w:t>
            </w:r>
          </w:p>
        </w:tc>
      </w:tr>
      <w:tr w:rsidR="009C20D9" w:rsidRPr="00F90D38" w:rsidTr="009C20D9">
        <w:trPr>
          <w:trHeight w:val="408"/>
        </w:trPr>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Coordinación de Administración y Finanzas</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Mtra. Ariadne Ochoa Leytte</w:t>
            </w:r>
          </w:p>
        </w:tc>
      </w:tr>
      <w:tr w:rsidR="009C20D9" w:rsidRPr="00F90D38" w:rsidTr="009C20D9">
        <w:trPr>
          <w:trHeight w:val="414"/>
        </w:trPr>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Servicios Tecnológicos y Plataforma Digital</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Mtra. Viridiana Andrés Lorenzo</w:t>
            </w:r>
          </w:p>
        </w:tc>
      </w:tr>
      <w:tr w:rsidR="009C20D9" w:rsidRPr="00F90D38" w:rsidTr="009C20D9">
        <w:trPr>
          <w:trHeight w:val="419"/>
        </w:trPr>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Unidad de Planeación y Transparencia</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Mtra. Montserrat Aguilera Vargas</w:t>
            </w:r>
          </w:p>
        </w:tc>
      </w:tr>
      <w:tr w:rsidR="009C20D9" w:rsidRPr="00F90D38" w:rsidTr="009C20D9">
        <w:trPr>
          <w:trHeight w:val="426"/>
        </w:trPr>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Unidad de Enlace</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Arq. Alejandra Gutiérrez Esquivel</w:t>
            </w:r>
          </w:p>
        </w:tc>
      </w:tr>
      <w:tr w:rsidR="009C20D9" w:rsidRPr="00F90D38" w:rsidTr="009C20D9">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Dirección General de Políticas Públicas y Riesgos en Materia Anticorrupción</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Mtra. Jacqueline Arteaga Fernández</w:t>
            </w:r>
          </w:p>
        </w:tc>
      </w:tr>
      <w:tr w:rsidR="009C20D9" w:rsidRPr="00F90D38" w:rsidTr="009C20D9">
        <w:tc>
          <w:tcPr>
            <w:tcW w:w="3426"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Dirección General de Vinculación Interinstitucional</w:t>
            </w:r>
          </w:p>
        </w:tc>
        <w:tc>
          <w:tcPr>
            <w:tcW w:w="3803" w:type="dxa"/>
          </w:tcPr>
          <w:p w:rsidR="009C20D9" w:rsidRPr="00F90D38" w:rsidRDefault="009C20D9" w:rsidP="00DD473F">
            <w:pPr>
              <w:jc w:val="center"/>
              <w:rPr>
                <w:rFonts w:ascii="Helvetica LT Light" w:eastAsia="HelveticaNeueLT Com 45 Lt" w:hAnsi="Helvetica LT Light" w:cs="HelveticaNeueLT Com 45 Lt"/>
                <w:sz w:val="20"/>
                <w:szCs w:val="20"/>
              </w:rPr>
            </w:pPr>
            <w:r w:rsidRPr="00F90D38">
              <w:rPr>
                <w:rFonts w:ascii="Helvetica LT Light" w:eastAsia="HelveticaNeueLT Com 45 Lt" w:hAnsi="Helvetica LT Light" w:cs="HelveticaNeueLT Com 45 Lt"/>
                <w:sz w:val="20"/>
                <w:szCs w:val="20"/>
              </w:rPr>
              <w:t>Mtro. César Guevara González</w:t>
            </w:r>
          </w:p>
        </w:tc>
      </w:tr>
    </w:tbl>
    <w:p w:rsidR="009C20D9" w:rsidRPr="00F90D38" w:rsidRDefault="009C20D9" w:rsidP="009C20D9">
      <w:pPr>
        <w:pStyle w:val="Citas"/>
      </w:pPr>
    </w:p>
    <w:p w:rsidR="009C20D9" w:rsidRPr="00F90D38" w:rsidRDefault="009C20D9" w:rsidP="009C20D9">
      <w:pPr>
        <w:pStyle w:val="Citas"/>
      </w:pPr>
      <w:r w:rsidRPr="00F90D38">
        <w:t xml:space="preserve">Así mismo, con lo señalado con el punto </w:t>
      </w:r>
      <w:r w:rsidRPr="00F90D38">
        <w:rPr>
          <w:b/>
          <w:bCs/>
          <w:iCs/>
        </w:rPr>
        <w:t xml:space="preserve">2. Nombramiento o su caso el documento donde se asigna como administrador de la base de datos personales [...], </w:t>
      </w:r>
      <w:r w:rsidRPr="00F90D38">
        <w:t xml:space="preserve">se hace del conocimiento que, la Ley de Protección de Datos Personales en Posesión de Sujetos Obligados del Estado de México y Municipios, </w:t>
      </w:r>
      <w:r w:rsidRPr="00F90D38">
        <w:rPr>
          <w:b/>
          <w:bCs/>
        </w:rPr>
        <w:t xml:space="preserve">no contempla el nombramiento de asignación como administrador de Sistemas de Datos </w:t>
      </w:r>
      <w:r w:rsidRPr="00F90D38">
        <w:rPr>
          <w:b/>
          <w:bCs/>
        </w:rPr>
        <w:lastRenderedPageBreak/>
        <w:t>Personales</w:t>
      </w:r>
      <w:r w:rsidRPr="00F90D38">
        <w:t>, sin embargo el articulo 4, fracción I de la Ley de Protección de Datos Personales en Posesión de Sujetos Obligados del Estado de México y Municipios, son administradores de las bases o sistemas de datos personales aquellos servidores públicos que, conforme a la normatividad aplicable, cuentan con facultades para el tratamiento de datos personales en su posesión. En este sentido, se remiten los nombramientos de los administradores de los Sistemas de Datos Personales de esta Secretaría Ejecutiva.</w:t>
      </w:r>
    </w:p>
    <w:p w:rsidR="009C20D9" w:rsidRPr="00F90D38" w:rsidRDefault="009C20D9" w:rsidP="009C20D9">
      <w:pPr>
        <w:pStyle w:val="Citas"/>
      </w:pPr>
    </w:p>
    <w:p w:rsidR="009C20D9" w:rsidRPr="00F90D38" w:rsidRDefault="009C20D9" w:rsidP="009C20D9">
      <w:pPr>
        <w:pStyle w:val="Citas"/>
        <w:rPr>
          <w:b/>
          <w:bCs/>
        </w:rPr>
      </w:pPr>
      <w:r w:rsidRPr="00F90D38">
        <w:t xml:space="preserve">Referente al punto número </w:t>
      </w:r>
      <w:r w:rsidRPr="00F90D38">
        <w:rPr>
          <w:b/>
          <w:bCs/>
          <w:iCs/>
        </w:rPr>
        <w:t xml:space="preserve">3. Aviso de privacidad integral y simplificado [...], </w:t>
      </w:r>
      <w:r w:rsidRPr="00F90D38">
        <w:t>se comunica al solicitante que, de conformidad con el artículo 29 de la Ley de Protección de Datos Personales en Posesión de Sujetos Obligados del Estado de México y Municipios, los avisos de privacidad correspondientes a esta Secretaría Ejecutiva se encuentran publicados en el sitio oficial de este Sujeto Obligado y podrán ser consultados a través del siguiente enlace:</w:t>
      </w:r>
    </w:p>
    <w:p w:rsidR="009C20D9" w:rsidRPr="00F90D38" w:rsidRDefault="00020B19" w:rsidP="009C20D9">
      <w:pPr>
        <w:pStyle w:val="Citas"/>
      </w:pPr>
      <w:hyperlink r:id="rId11" w:history="1">
        <w:r w:rsidR="009C20D9" w:rsidRPr="00F90D38">
          <w:rPr>
            <w:rStyle w:val="Hipervnculo"/>
            <w:b/>
            <w:bCs/>
          </w:rPr>
          <w:t>https://sesaemm.gob.mx/avisos_privacidad/</w:t>
        </w:r>
      </w:hyperlink>
    </w:p>
    <w:p w:rsidR="009C20D9" w:rsidRPr="00F90D38" w:rsidRDefault="009C20D9" w:rsidP="009C20D9">
      <w:pPr>
        <w:pStyle w:val="Citas"/>
      </w:pPr>
      <w:r w:rsidRPr="00F90D38">
        <w:t xml:space="preserve">Por lo que, respecta al punto donde el solicitante señala lo siguiente </w:t>
      </w:r>
      <w:r w:rsidRPr="00F90D38">
        <w:rPr>
          <w:b/>
          <w:bCs/>
          <w:iCs/>
        </w:rPr>
        <w:t>“4. Oficio solicitando que sesione el comité de transparencia, al titular de la unidad de transparencia, para la aprobación de la base de datos personales [...]</w:t>
      </w:r>
      <w:r w:rsidRPr="00F90D38">
        <w:t xml:space="preserve">, se hace del conocimiento que, de acuerdo a los artículos 49 de la Ley de Transparencia y Acceso a la Información Pública del Estado de México y Municipios y 94 de la Ley de Protección de Datos Personales en Posesión de Sujetos Obligados del Estado de México, el </w:t>
      </w:r>
      <w:r w:rsidRPr="00F90D38">
        <w:rPr>
          <w:b/>
          <w:bCs/>
          <w:u w:val="single"/>
        </w:rPr>
        <w:t>Comité de Transparencia tiene las siguientes atribuciones</w:t>
      </w:r>
      <w:r w:rsidRPr="00F90D38">
        <w:t xml:space="preserve">: </w:t>
      </w:r>
    </w:p>
    <w:p w:rsidR="009C20D9" w:rsidRPr="00F90D38" w:rsidRDefault="00084883" w:rsidP="009C20D9">
      <w:pPr>
        <w:pStyle w:val="Citas"/>
      </w:pPr>
      <w:r w:rsidRPr="00F90D38">
        <w:t>…</w:t>
      </w:r>
    </w:p>
    <w:p w:rsidR="00084883" w:rsidRPr="00F90D38" w:rsidRDefault="00084883" w:rsidP="00084883">
      <w:pPr>
        <w:pStyle w:val="Citas"/>
      </w:pPr>
      <w:r w:rsidRPr="00F90D38">
        <w:lastRenderedPageBreak/>
        <w:t xml:space="preserve">Derivado lo anterior, es importante señalar que, el Comité de Transparencia de esta Secretaría Ejecutiva, </w:t>
      </w:r>
      <w:r w:rsidRPr="00F90D38">
        <w:rPr>
          <w:b/>
          <w:bCs/>
        </w:rPr>
        <w:t>no cuenta con las atribuciones de aprobar la base de datos personales, así como el registro de la cédula de base de datos personales</w:t>
      </w:r>
      <w:r w:rsidRPr="00F90D38">
        <w:t xml:space="preserve">. </w:t>
      </w:r>
    </w:p>
    <w:p w:rsidR="00084883" w:rsidRPr="00F90D38" w:rsidRDefault="00084883" w:rsidP="00084883">
      <w:pPr>
        <w:pStyle w:val="Citas"/>
      </w:pPr>
      <w:r w:rsidRPr="00F90D38">
        <w:t>No obstante, y atendiendo al punto antes mencionado, donde el solicitante refiere</w:t>
      </w:r>
      <w:r w:rsidRPr="00F90D38">
        <w:rPr>
          <w:b/>
          <w:bCs/>
          <w:iCs/>
        </w:rPr>
        <w:t xml:space="preserve"> [...]</w:t>
      </w:r>
      <w:r w:rsidRPr="00F90D38">
        <w:t xml:space="preserve"> </w:t>
      </w:r>
      <w:r w:rsidRPr="00F90D38">
        <w:rPr>
          <w:b/>
          <w:bCs/>
          <w:iCs/>
        </w:rPr>
        <w:t>“y el oficio del proyecto de clasificación de datos personales” [...]:</w:t>
      </w:r>
      <w:r w:rsidRPr="00F90D38">
        <w:t xml:space="preserve"> se remite el oficio de proyecto de clasificación como confidencial de la Servidora Pública Habilitada, mediante el cual solicita que el Comité de Transparencia de este Sujeto Obligado, confirme la clasificación y poner a disposición del solicitante la información solicitada.</w:t>
      </w:r>
    </w:p>
    <w:p w:rsidR="00084883" w:rsidRPr="00F90D38" w:rsidRDefault="00084883" w:rsidP="00084883">
      <w:pPr>
        <w:pStyle w:val="Citas"/>
      </w:pPr>
      <w:r w:rsidRPr="00F90D38">
        <w:t>Por otro lado, y de acuerdo a los puntos</w:t>
      </w:r>
      <w:r w:rsidRPr="00F90D38">
        <w:rPr>
          <w:b/>
          <w:bCs/>
          <w:iCs/>
        </w:rPr>
        <w:t xml:space="preserve"> 5. Acta de sesión del comité de transparencia donde se aprueba el proyecto de clasificación de la base de datos personales. y […] 7. Resolución del acuerdo de comité de transparencia, donde se aprobó el proyecto de clasificación de la base de datos personales, debidamente firmada por los integrantes del comité.” [...]</w:t>
      </w:r>
      <w:r w:rsidRPr="00F90D38">
        <w:t xml:space="preserve">, se hace del conocimiento que mediante la </w:t>
      </w:r>
      <w:r w:rsidRPr="00F90D38">
        <w:rPr>
          <w:b/>
          <w:bCs/>
        </w:rPr>
        <w:t>2° Sesión Ordinaria del Comité de Transparencia de la Secretaría Ejecutiva del Sistema Estatal Anticorrupción</w:t>
      </w:r>
      <w:r w:rsidRPr="00F90D38">
        <w:t xml:space="preserve">, con fecha 23 de abril del presente año, se confirma la clasificación como confidencial de la información contenida en las cédulas de bases de datos personales, por lo que se anexa el acta y el acuerdo de comité respectivo. </w:t>
      </w:r>
    </w:p>
    <w:p w:rsidR="00084883" w:rsidRPr="00F90D38" w:rsidRDefault="00084883" w:rsidP="00084883">
      <w:pPr>
        <w:pStyle w:val="Citas"/>
      </w:pPr>
      <w:r w:rsidRPr="00F90D38">
        <w:t xml:space="preserve">En relación con lo anterior, y con el numeral </w:t>
      </w:r>
      <w:r w:rsidRPr="00F90D38">
        <w:rPr>
          <w:b/>
          <w:bCs/>
          <w:iCs/>
        </w:rPr>
        <w:t xml:space="preserve">6. Cédula de Base de Datos Personales con el registro del infoem [...], </w:t>
      </w:r>
      <w:r w:rsidRPr="00F90D38">
        <w:t xml:space="preserve">la Ley de Protección de Datos Personales en Posesión de Sujetos Obligados del Estado de México y Municipios en su artículo 37, esta Secretaría Ejecutiva cuenta con 11 Cédulas de bases de datos personales, registradas ante el </w:t>
      </w:r>
      <w:r w:rsidRPr="00F90D38">
        <w:rPr>
          <w:b/>
          <w:bCs/>
          <w:u w:val="single"/>
        </w:rPr>
        <w:t>Sistema de Datos Personales “INTRANET”</w:t>
      </w:r>
      <w:r w:rsidRPr="00F90D38">
        <w:t xml:space="preserve">, sistema publicado por el Instituto de Transparencia y Acceso a la Información </w:t>
      </w:r>
      <w:r w:rsidRPr="00F90D38">
        <w:lastRenderedPageBreak/>
        <w:t xml:space="preserve">Pública del Estado de México y Municipios (INFOEM), la cual se acredita con la versión pública, que se anexa a la presente, así como el acuerdo </w:t>
      </w:r>
      <w:r w:rsidRPr="00F90D38">
        <w:rPr>
          <w:b/>
          <w:bCs/>
        </w:rPr>
        <w:t>SESEA/CT/ORD/002/2024-4</w:t>
      </w:r>
      <w:r w:rsidRPr="00F90D38">
        <w:t xml:space="preserve">, correspondiente a la 02° Sesión Ordinaria del Comité de Transparencia de este Sujeto Obligado, donde se aprobó la clasificación como información confidencial de las medidas de seguridad contenidas en las Cédulas de Bases de Datos Personales. </w:t>
      </w:r>
    </w:p>
    <w:p w:rsidR="00084883" w:rsidRPr="00F90D38" w:rsidRDefault="00084883" w:rsidP="00084883">
      <w:pPr>
        <w:pStyle w:val="Citas"/>
        <w:rPr>
          <w:b/>
          <w:bCs/>
          <w:iCs/>
        </w:rPr>
      </w:pPr>
      <w:r w:rsidRPr="00F90D38">
        <w:t>Por último y con atención al punto número</w:t>
      </w:r>
      <w:r w:rsidRPr="00F90D38">
        <w:rPr>
          <w:b/>
          <w:bCs/>
        </w:rPr>
        <w:t xml:space="preserve"> </w:t>
      </w:r>
      <w:r w:rsidRPr="00F90D38">
        <w:rPr>
          <w:b/>
          <w:bCs/>
          <w:iCs/>
        </w:rPr>
        <w:t>8. Documento de seguridad de la unidad administrativa que garantiza la confidencialidad, integridad y disponibilidad de la información contenida en la base de datos personales. Todos los documentos deberán ser enviados a través de la plataforma Saimex [...]</w:t>
      </w:r>
      <w:r w:rsidRPr="00F90D38">
        <w:t xml:space="preserve">, se comunica al solicitante que de conformidad con el artículo 43, segundo párrafo de la Ley de Protección de Datos Personales en Posesión de Sujetos Obligados del Estado de México y Municipios, </w:t>
      </w:r>
      <w:r w:rsidRPr="00F90D38">
        <w:rPr>
          <w:iCs/>
        </w:rPr>
        <w:t xml:space="preserve">por la naturaleza de la información, </w:t>
      </w:r>
      <w:r w:rsidRPr="00F90D38">
        <w:rPr>
          <w:b/>
          <w:bCs/>
          <w:iCs/>
          <w:u w:val="single"/>
        </w:rPr>
        <w:t>las medidas de seguridad que se adopten serán consideradas confidenciales</w:t>
      </w:r>
      <w:r w:rsidRPr="00F90D38">
        <w:rPr>
          <w:iCs/>
        </w:rPr>
        <w:t xml:space="preserve"> y únicamente se comunicará al instituto, para su registro, nivel de seguridad</w:t>
      </w:r>
      <w:r w:rsidRPr="00F90D38">
        <w:t xml:space="preserve"> aplicable. En este sentido se remite el acuerdo </w:t>
      </w:r>
      <w:r w:rsidRPr="00F90D38">
        <w:rPr>
          <w:b/>
          <w:bCs/>
        </w:rPr>
        <w:t>SESEA/CT/ORD/002/2024-4</w:t>
      </w:r>
      <w:r w:rsidRPr="00F90D38">
        <w:t xml:space="preserve">, correspondiente a la 02° Sesión Ordinaria del Comité de Transparencia de este Sujeto Obligado, donde se aprobó la clasificación como información confidencial de las medidas de seguridad contenidas en los Documentos de Seguridad de la Secretaría Ejecutiva. Por lo anterior, se remite versión pública de los </w:t>
      </w:r>
      <w:r w:rsidRPr="00F90D38">
        <w:rPr>
          <w:b/>
          <w:bCs/>
        </w:rPr>
        <w:t xml:space="preserve">Documentos de Seguridad </w:t>
      </w:r>
      <w:r w:rsidRPr="00F90D38">
        <w:t>de la Secretaría Ejecutiva</w:t>
      </w:r>
      <w:r w:rsidRPr="00F90D38">
        <w:rPr>
          <w:b/>
          <w:bCs/>
        </w:rPr>
        <w:t>.</w:t>
      </w:r>
    </w:p>
    <w:p w:rsidR="009C20D9" w:rsidRPr="00F90D38" w:rsidRDefault="00084883" w:rsidP="009C20D9">
      <w:pPr>
        <w:pStyle w:val="Citas"/>
      </w:pPr>
      <w:r w:rsidRPr="00F90D38">
        <w:t>…</w:t>
      </w:r>
      <w:r w:rsidR="009C20D9" w:rsidRPr="00F90D38">
        <w:t>” (Sic)</w:t>
      </w:r>
    </w:p>
    <w:p w:rsidR="00294679" w:rsidRPr="00F90D38" w:rsidRDefault="00294679" w:rsidP="00055AC4">
      <w:pPr>
        <w:pBdr>
          <w:top w:val="nil"/>
          <w:left w:val="nil"/>
          <w:bottom w:val="nil"/>
          <w:right w:val="nil"/>
          <w:between w:val="nil"/>
        </w:pBdr>
        <w:spacing w:line="360" w:lineRule="auto"/>
        <w:contextualSpacing/>
        <w:jc w:val="both"/>
        <w:rPr>
          <w:rFonts w:ascii="Palatino Linotype" w:hAnsi="Palatino Linotype" w:cs="Arial"/>
          <w:bCs/>
        </w:rPr>
      </w:pPr>
    </w:p>
    <w:p w:rsidR="00055AC4" w:rsidRPr="00F90D38" w:rsidRDefault="00055AC4" w:rsidP="00055AC4">
      <w:pPr>
        <w:pBdr>
          <w:top w:val="nil"/>
          <w:left w:val="nil"/>
          <w:bottom w:val="nil"/>
          <w:right w:val="nil"/>
          <w:between w:val="nil"/>
        </w:pBdr>
        <w:spacing w:line="360" w:lineRule="auto"/>
        <w:contextualSpacing/>
        <w:jc w:val="both"/>
        <w:rPr>
          <w:rFonts w:ascii="Palatino Linotype" w:hAnsi="Palatino Linotype" w:cs="Arial"/>
          <w:color w:val="000000" w:themeColor="text1"/>
        </w:rPr>
      </w:pPr>
      <w:r w:rsidRPr="00F90D38">
        <w:rPr>
          <w:rFonts w:ascii="Palatino Linotype" w:hAnsi="Palatino Linotype" w:cs="Arial"/>
          <w:bCs/>
        </w:rPr>
        <w:t xml:space="preserve">Es así como, derivado de la respuesta emitida por </w:t>
      </w:r>
      <w:r w:rsidRPr="00F90D38">
        <w:rPr>
          <w:rFonts w:ascii="Palatino Linotype" w:hAnsi="Palatino Linotype" w:cs="Arial"/>
          <w:b/>
          <w:bCs/>
        </w:rPr>
        <w:t>El Sujeto Obligado</w:t>
      </w:r>
      <w:r w:rsidRPr="00F90D38">
        <w:rPr>
          <w:rFonts w:ascii="Palatino Linotype" w:hAnsi="Palatino Linotype" w:cs="Arial"/>
          <w:bCs/>
        </w:rPr>
        <w:t xml:space="preserve">, </w:t>
      </w:r>
      <w:r w:rsidRPr="00F90D38">
        <w:rPr>
          <w:rFonts w:ascii="Palatino Linotype" w:hAnsi="Palatino Linotype" w:cs="Arial"/>
          <w:b/>
          <w:bCs/>
        </w:rPr>
        <w:t>el Recurrente</w:t>
      </w:r>
      <w:r w:rsidRPr="00F90D38">
        <w:rPr>
          <w:rFonts w:ascii="Palatino Linotype" w:hAnsi="Palatino Linotype" w:cs="Arial"/>
          <w:bCs/>
        </w:rPr>
        <w:t xml:space="preserve">, interpuso el presente recurso de revisión, señalando sustancialmente como sus razones </w:t>
      </w:r>
      <w:r w:rsidRPr="00F90D38">
        <w:rPr>
          <w:rFonts w:ascii="Palatino Linotype" w:hAnsi="Palatino Linotype" w:cs="Arial"/>
          <w:bCs/>
        </w:rPr>
        <w:lastRenderedPageBreak/>
        <w:t>o motivos de inconformidad, lo siguiente:</w:t>
      </w:r>
      <w:r w:rsidRPr="00F90D38" w:rsidDel="00107C3B">
        <w:rPr>
          <w:rFonts w:ascii="Palatino Linotype" w:hAnsi="Palatino Linotype"/>
          <w:b/>
          <w:i/>
        </w:rPr>
        <w:t xml:space="preserve"> </w:t>
      </w:r>
      <w:r w:rsidRPr="00F90D38">
        <w:rPr>
          <w:rFonts w:ascii="Palatino Linotype" w:hAnsi="Palatino Linotype"/>
          <w:i/>
        </w:rPr>
        <w:t>“</w:t>
      </w:r>
      <w:r w:rsidR="00294679" w:rsidRPr="00F90D38">
        <w:rPr>
          <w:rFonts w:ascii="Palatino Linotype" w:hAnsi="Palatino Linotype"/>
          <w:i/>
        </w:rPr>
        <w:t xml:space="preserve">Por mi propio derecho y con fundamento en el articulo 176, 177 y 178 de la Ley de Transparencia y Acceso a la Información Publica del Estado de México y Municipios, comparezco respetuosamente para interponer el presente RECURSO DE REVISIÓN en contra de la respuesta emitida respecto la solicitud de información identificada con número de folio 00034/SESEA/IP/2025 a través de la plataforma del Sistema de Acceso a la Información Mexiquense (SAIMEX) al tenor de los siguientes: Se me entrega información con la cual se pretende atender el requerimiento de información, sin embargo la misma no cumple ya que las CBDP son de un sistema ya antiguo desde el 2020 , lo cual es incorrecto ya que existe el sistema REDATOSEM el cual muestra una nomenclatura distinta a la que pretender atender este sujeto obligado aunado a que se entrega con lápiz sobre un documento normado dicha nomenclatura haciéndola pasar como verídica la cual es incorrecta ya que se debió entregar el documento listado que identifica fehacientemente el documento y no deja a la ambigüedad la respuesta por lo que se debió remitir ya que no contiene ningún dato personal; asi mismo no se entregan documentos claros y legibles los cuales dificultan la lectura; </w:t>
      </w:r>
      <w:r w:rsidR="00294679" w:rsidRPr="00F90D38">
        <w:rPr>
          <w:rFonts w:ascii="Palatino Linotype" w:hAnsi="Palatino Linotype"/>
          <w:b/>
          <w:i/>
          <w:u w:val="single"/>
        </w:rPr>
        <w:t>en síntesis se admita el recurso y se ordene al sujeto obligado entregue las cedulas de bases de datos correctas y actualizadas en la plataforma debidamente diseñada para ello</w:t>
      </w:r>
      <w:r w:rsidR="00294679" w:rsidRPr="00F90D38">
        <w:rPr>
          <w:rFonts w:ascii="Palatino Linotype" w:hAnsi="Palatino Linotype"/>
          <w:i/>
        </w:rPr>
        <w:t>.</w:t>
      </w:r>
      <w:r w:rsidRPr="00F90D38">
        <w:rPr>
          <w:rFonts w:ascii="Palatino Linotype" w:hAnsi="Palatino Linotype"/>
          <w:i/>
        </w:rPr>
        <w:t>” (Sic).</w:t>
      </w:r>
    </w:p>
    <w:p w:rsidR="00055AC4" w:rsidRPr="00F90D38" w:rsidRDefault="00055AC4" w:rsidP="00055AC4">
      <w:pPr>
        <w:spacing w:after="240" w:line="360" w:lineRule="auto"/>
        <w:jc w:val="both"/>
        <w:rPr>
          <w:rFonts w:ascii="Palatino Linotype" w:hAnsi="Palatino Linotype"/>
        </w:rPr>
      </w:pPr>
    </w:p>
    <w:p w:rsidR="00055AC4" w:rsidRPr="00F90D38" w:rsidRDefault="00055AC4" w:rsidP="00055AC4">
      <w:pPr>
        <w:tabs>
          <w:tab w:val="left" w:pos="8789"/>
        </w:tabs>
        <w:spacing w:line="360" w:lineRule="auto"/>
        <w:ind w:right="49"/>
        <w:jc w:val="both"/>
        <w:rPr>
          <w:rFonts w:ascii="Palatino Linotype" w:eastAsia="Palatino Linotype" w:hAnsi="Palatino Linotype" w:cs="Palatino Linotype"/>
        </w:rPr>
      </w:pPr>
      <w:r w:rsidRPr="00F90D38">
        <w:rPr>
          <w:rFonts w:ascii="Palatino Linotype" w:eastAsia="Palatino Linotype" w:hAnsi="Palatino Linotype" w:cs="Palatino Linotype"/>
        </w:rPr>
        <w:t xml:space="preserve">En primer lugar, es de señalar que de los motivos de inconformidad en cita se aprecia que el particular únicamente se inconforma sobre </w:t>
      </w:r>
      <w:r w:rsidR="00084883" w:rsidRPr="00F90D38">
        <w:rPr>
          <w:rFonts w:ascii="Palatino Linotype" w:eastAsia="Palatino Linotype" w:hAnsi="Palatino Linotype" w:cs="Palatino Linotype"/>
        </w:rPr>
        <w:t>el punto 6</w:t>
      </w:r>
      <w:r w:rsidRPr="00F90D38">
        <w:rPr>
          <w:rFonts w:ascii="Palatino Linotype" w:eastAsia="Palatino Linotype" w:hAnsi="Palatino Linotype" w:cs="Palatino Linotype"/>
        </w:rPr>
        <w:t xml:space="preserve">, sin que se aprecie inconformidad alguna respecto </w:t>
      </w:r>
      <w:r w:rsidR="00084883" w:rsidRPr="00F90D38">
        <w:rPr>
          <w:rFonts w:ascii="Palatino Linotype" w:eastAsia="Palatino Linotype" w:hAnsi="Palatino Linotype" w:cs="Palatino Linotype"/>
        </w:rPr>
        <w:t>de los puntos 1, 2, 3, 4, 5, 7 y  8</w:t>
      </w:r>
      <w:r w:rsidRPr="00F90D38">
        <w:rPr>
          <w:rFonts w:ascii="Palatino Linotype" w:eastAsia="Palatino Linotype" w:hAnsi="Palatino Linotype" w:cs="Palatino Linotype"/>
        </w:rPr>
        <w:t>.</w:t>
      </w:r>
    </w:p>
    <w:p w:rsidR="00055AC4" w:rsidRPr="00F90D38" w:rsidRDefault="00055AC4" w:rsidP="00055AC4">
      <w:pPr>
        <w:tabs>
          <w:tab w:val="left" w:pos="8789"/>
        </w:tabs>
        <w:spacing w:line="360" w:lineRule="auto"/>
        <w:ind w:right="49"/>
        <w:jc w:val="both"/>
        <w:rPr>
          <w:rFonts w:ascii="Palatino Linotype" w:hAnsi="Palatino Linotype"/>
          <w:i/>
        </w:rPr>
      </w:pPr>
      <w:r w:rsidRPr="00F90D38">
        <w:rPr>
          <w:rFonts w:ascii="Palatino Linotype" w:eastAsia="Palatino Linotype" w:hAnsi="Palatino Linotype" w:cs="Palatino Linotype"/>
        </w:rPr>
        <w:t xml:space="preserve"> </w:t>
      </w:r>
    </w:p>
    <w:p w:rsidR="00055AC4" w:rsidRPr="00F90D38" w:rsidRDefault="00055AC4" w:rsidP="00055AC4">
      <w:pPr>
        <w:tabs>
          <w:tab w:val="left" w:pos="8789"/>
        </w:tabs>
        <w:spacing w:line="360" w:lineRule="auto"/>
        <w:ind w:right="49"/>
        <w:jc w:val="both"/>
        <w:rPr>
          <w:rFonts w:ascii="Palatino Linotype" w:hAnsi="Palatino Linotype"/>
          <w:i/>
        </w:rPr>
      </w:pPr>
      <w:r w:rsidRPr="00F90D38">
        <w:rPr>
          <w:rFonts w:ascii="Palatino Linotype" w:eastAsia="Palatino Linotype" w:hAnsi="Palatino Linotype" w:cs="Palatino Linotype"/>
        </w:rPr>
        <w:lastRenderedPageBreak/>
        <w:t>Sirve de sustento, la tesis jurisprudencial número VI.3o.C. J/60, publicada en el Semanario Judicial de la Federación y su Gaceta bajo el número de registro 176,608 que a la letra dice:</w:t>
      </w:r>
    </w:p>
    <w:p w:rsidR="00055AC4" w:rsidRPr="00F90D38" w:rsidRDefault="00055AC4" w:rsidP="00055AC4">
      <w:pPr>
        <w:tabs>
          <w:tab w:val="left" w:pos="851"/>
        </w:tabs>
        <w:ind w:left="851" w:right="616"/>
        <w:jc w:val="both"/>
        <w:rPr>
          <w:rFonts w:ascii="Palatino Linotype" w:eastAsia="Palatino Linotype" w:hAnsi="Palatino Linotype" w:cs="Palatino Linotype"/>
          <w:i/>
        </w:rPr>
      </w:pPr>
      <w:r w:rsidRPr="00F90D38">
        <w:rPr>
          <w:rFonts w:ascii="Palatino Linotype" w:eastAsia="Palatino Linotype" w:hAnsi="Palatino Linotype" w:cs="Palatino Linotype"/>
          <w:b/>
          <w:i/>
        </w:rPr>
        <w:t xml:space="preserve">“ACTOS CONSENTIDOS. SON LOS QUE NO SE IMPUGNAN MEDIANTE EL RECURSO IDÓNEO. </w:t>
      </w:r>
      <w:r w:rsidRPr="00F90D38">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055AC4" w:rsidRPr="00F90D38" w:rsidRDefault="00055AC4" w:rsidP="00055AC4">
      <w:pPr>
        <w:tabs>
          <w:tab w:val="left" w:pos="851"/>
        </w:tabs>
        <w:ind w:right="616"/>
        <w:jc w:val="both"/>
        <w:rPr>
          <w:rFonts w:ascii="Palatino Linotype" w:eastAsia="Palatino Linotype" w:hAnsi="Palatino Linotype" w:cs="Palatino Linotype"/>
        </w:rPr>
      </w:pPr>
    </w:p>
    <w:p w:rsidR="00055AC4" w:rsidRPr="00F90D38" w:rsidRDefault="00055AC4" w:rsidP="00055AC4">
      <w:pPr>
        <w:spacing w:after="280" w:line="360" w:lineRule="auto"/>
        <w:jc w:val="both"/>
        <w:rPr>
          <w:rFonts w:ascii="Palatino Linotype" w:eastAsia="Palatino Linotype" w:hAnsi="Palatino Linotype" w:cs="Palatino Linotype"/>
        </w:rPr>
      </w:pPr>
      <w:r w:rsidRPr="00F90D38">
        <w:rPr>
          <w:rFonts w:ascii="Palatino Linotype" w:eastAsia="Palatino Linotype" w:hAnsi="Palatino Linotype" w:cs="Palatino Linotype"/>
        </w:rPr>
        <w:t xml:space="preserve">De la interpretación del criterio antes citado, se advierte que cuando el particular impugnó la respuesta del </w:t>
      </w:r>
      <w:r w:rsidRPr="00F90D38">
        <w:rPr>
          <w:rFonts w:ascii="Palatino Linotype" w:eastAsia="Palatino Linotype" w:hAnsi="Palatino Linotype" w:cs="Palatino Linotype"/>
          <w:b/>
        </w:rPr>
        <w:t>SUJETO OBLIGADO</w:t>
      </w:r>
      <w:r w:rsidRPr="00F90D38">
        <w:rPr>
          <w:rFonts w:ascii="Palatino Linotype" w:eastAsia="Palatino Linotype" w:hAnsi="Palatino Linotype" w:cs="Palatino Linotype"/>
        </w:rPr>
        <w:t>, no expresó razón o motivo de inconformidad en contra de todos los rubros solicitados, por tanto, estos deben declararse atendidos.</w:t>
      </w:r>
    </w:p>
    <w:p w:rsidR="00055AC4" w:rsidRPr="00F90D38" w:rsidRDefault="00055AC4" w:rsidP="00055AC4">
      <w:pPr>
        <w:spacing w:before="280" w:after="280" w:line="360" w:lineRule="auto"/>
        <w:jc w:val="both"/>
        <w:rPr>
          <w:rFonts w:ascii="Palatino Linotype" w:eastAsia="Palatino Linotype" w:hAnsi="Palatino Linotype" w:cs="Palatino Linotype"/>
        </w:rPr>
      </w:pPr>
      <w:r w:rsidRPr="00F90D38">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055AC4" w:rsidRPr="00F90D38" w:rsidRDefault="00055AC4" w:rsidP="00055AC4">
      <w:pPr>
        <w:tabs>
          <w:tab w:val="left" w:pos="7937"/>
          <w:tab w:val="left" w:pos="8222"/>
        </w:tabs>
        <w:ind w:left="851" w:right="901"/>
        <w:jc w:val="both"/>
        <w:rPr>
          <w:rFonts w:ascii="Palatino Linotype" w:eastAsia="Palatino Linotype" w:hAnsi="Palatino Linotype" w:cs="Palatino Linotype"/>
          <w:i/>
        </w:rPr>
      </w:pPr>
      <w:r w:rsidRPr="00F90D38">
        <w:rPr>
          <w:rFonts w:ascii="Palatino Linotype" w:eastAsia="Palatino Linotype" w:hAnsi="Palatino Linotype" w:cs="Palatino Linotype"/>
          <w:b/>
          <w:i/>
        </w:rPr>
        <w:t xml:space="preserve">“REVISIÓN EN AMPARO. LOS RESOLUTIVOS NO COMBATIDOS DEBEN DECLARARSE FIRMES. </w:t>
      </w:r>
      <w:r w:rsidRPr="00F90D38">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055AC4" w:rsidRPr="00F90D38" w:rsidRDefault="00055AC4" w:rsidP="00055AC4">
      <w:pPr>
        <w:widowControl w:val="0"/>
        <w:tabs>
          <w:tab w:val="left" w:pos="1701"/>
          <w:tab w:val="left" w:pos="1843"/>
        </w:tabs>
        <w:spacing w:before="360" w:after="240" w:line="360" w:lineRule="auto"/>
        <w:jc w:val="both"/>
        <w:rPr>
          <w:rFonts w:ascii="Palatino Linotype" w:eastAsia="Palatino Linotype" w:hAnsi="Palatino Linotype" w:cs="Palatino Linotype"/>
        </w:rPr>
      </w:pPr>
      <w:r w:rsidRPr="00F90D38">
        <w:rPr>
          <w:rFonts w:ascii="Palatino Linotype" w:eastAsia="Palatino Linotype" w:hAnsi="Palatino Linotype" w:cs="Palatino Linotype"/>
        </w:rPr>
        <w:lastRenderedPageBreak/>
        <w:t xml:space="preserve">Para mayor abundamiento, también resulta aplicable el criterio 01/20 emitido por el Instituto Nacional de Transparencia, Acceso a la Información Pública y Protección de Datos Personales, que a la letra estipula lo siguiente: </w:t>
      </w:r>
    </w:p>
    <w:p w:rsidR="00055AC4" w:rsidRPr="00F90D38" w:rsidRDefault="00055AC4" w:rsidP="00055AC4">
      <w:pPr>
        <w:pStyle w:val="INFOEM"/>
        <w:spacing w:line="240" w:lineRule="auto"/>
      </w:pPr>
      <w:r w:rsidRPr="00F90D38">
        <w:rPr>
          <w:b/>
        </w:rPr>
        <w:t>Actos consentidos tácitamente. Improcedencia de su análisis</w:t>
      </w:r>
      <w:r w:rsidRPr="00F90D38">
        <w:t>. Si en su recurso de revisión, la persona recurrente no expresó inconformidad alguna con ciertas partes de la respuesta otorgada, se entienden tácitamente consentidas, por ende, no deben formar parte del estudio de fondo de la resolución que emite el Instituto.</w:t>
      </w:r>
    </w:p>
    <w:p w:rsidR="00055AC4" w:rsidRPr="00F90D38" w:rsidRDefault="00055AC4" w:rsidP="00055AC4">
      <w:pPr>
        <w:widowControl w:val="0"/>
        <w:tabs>
          <w:tab w:val="left" w:pos="1701"/>
          <w:tab w:val="left" w:pos="1843"/>
        </w:tabs>
        <w:spacing w:before="360" w:line="360" w:lineRule="auto"/>
        <w:jc w:val="both"/>
        <w:rPr>
          <w:rFonts w:ascii="Palatino Linotype" w:eastAsia="Palatino Linotype" w:hAnsi="Palatino Linotype" w:cs="Palatino Linotype"/>
        </w:rPr>
      </w:pPr>
      <w:r w:rsidRPr="00F90D38">
        <w:rPr>
          <w:rFonts w:ascii="Palatino Linotype" w:eastAsia="Palatino Linotype" w:hAnsi="Palatino Linotype" w:cs="Palatino Linotype"/>
        </w:rPr>
        <w:t xml:space="preserve">Por lo que, al no haberse inconformado sobre todos los rubros solicitados, se consideran actos consentidos y, por tanto, se tienen por colmados dichos rubros de la solicitud. </w:t>
      </w:r>
    </w:p>
    <w:p w:rsidR="00055AC4" w:rsidRPr="00F90D38" w:rsidRDefault="00055AC4" w:rsidP="00055AC4">
      <w:pPr>
        <w:widowControl w:val="0"/>
        <w:tabs>
          <w:tab w:val="left" w:pos="1701"/>
          <w:tab w:val="left" w:pos="1843"/>
        </w:tabs>
        <w:spacing w:line="360" w:lineRule="auto"/>
        <w:jc w:val="both"/>
        <w:rPr>
          <w:rFonts w:ascii="Palatino Linotype" w:eastAsia="Palatino Linotype" w:hAnsi="Palatino Linotype" w:cs="Palatino Linotype"/>
        </w:rPr>
      </w:pPr>
    </w:p>
    <w:p w:rsidR="00055AC4" w:rsidRPr="00F90D38" w:rsidRDefault="00055AC4" w:rsidP="00055AC4">
      <w:pPr>
        <w:widowControl w:val="0"/>
        <w:tabs>
          <w:tab w:val="left" w:pos="1701"/>
          <w:tab w:val="left" w:pos="1843"/>
        </w:tabs>
        <w:spacing w:line="360" w:lineRule="auto"/>
        <w:jc w:val="both"/>
        <w:rPr>
          <w:rFonts w:ascii="Palatino Linotype" w:hAnsi="Palatino Linotype" w:cs="Arial"/>
        </w:rPr>
      </w:pPr>
      <w:r w:rsidRPr="00F90D38">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 los archivos electrónicos denominados “</w:t>
      </w:r>
      <w:r w:rsidR="00084883" w:rsidRPr="00F90D38">
        <w:rPr>
          <w:rFonts w:ascii="Palatino Linotype" w:hAnsi="Palatino Linotype" w:cs="Arial"/>
          <w:b/>
          <w:i/>
        </w:rPr>
        <w:t>Manifestaciones inf. just. RR. 05015-Sol. 0034-2025.pdf</w:t>
      </w:r>
      <w:r w:rsidRPr="00F90D38">
        <w:rPr>
          <w:rFonts w:ascii="Palatino Linotype" w:hAnsi="Palatino Linotype" w:cs="Arial"/>
          <w:b/>
          <w:i/>
        </w:rPr>
        <w:t>” y “</w:t>
      </w:r>
      <w:r w:rsidR="00084883" w:rsidRPr="00F90D38">
        <w:rPr>
          <w:rFonts w:ascii="Palatino Linotype" w:hAnsi="Palatino Linotype" w:cs="Arial"/>
          <w:b/>
          <w:i/>
        </w:rPr>
        <w:t>Informe justificado RR.05015-Sol. 034-2025.pdf</w:t>
      </w:r>
      <w:r w:rsidRPr="00F90D38">
        <w:rPr>
          <w:rFonts w:ascii="Palatino Linotype" w:hAnsi="Palatino Linotype" w:cs="Arial"/>
          <w:b/>
          <w:i/>
        </w:rPr>
        <w:t>”</w:t>
      </w:r>
      <w:r w:rsidRPr="00F90D38">
        <w:rPr>
          <w:rFonts w:ascii="Palatino Linotype" w:hAnsi="Palatino Linotype" w:cs="Arial"/>
        </w:rPr>
        <w:t xml:space="preserve">, en los que ratifica su respuesta. </w:t>
      </w:r>
    </w:p>
    <w:p w:rsidR="00055AC4" w:rsidRPr="00F90D38" w:rsidRDefault="00055AC4" w:rsidP="00055AC4">
      <w:pPr>
        <w:widowControl w:val="0"/>
        <w:tabs>
          <w:tab w:val="left" w:pos="1701"/>
          <w:tab w:val="left" w:pos="1843"/>
        </w:tabs>
        <w:spacing w:line="360" w:lineRule="auto"/>
        <w:jc w:val="both"/>
        <w:rPr>
          <w:rFonts w:ascii="Palatino Linotype" w:hAnsi="Palatino Linotype" w:cs="Arial"/>
        </w:rPr>
      </w:pPr>
    </w:p>
    <w:p w:rsidR="002F09DD" w:rsidRPr="00F90D38" w:rsidRDefault="002F09DD" w:rsidP="00055AC4">
      <w:pPr>
        <w:widowControl w:val="0"/>
        <w:tabs>
          <w:tab w:val="left" w:pos="1701"/>
          <w:tab w:val="left" w:pos="1843"/>
        </w:tabs>
        <w:spacing w:line="360" w:lineRule="auto"/>
        <w:jc w:val="both"/>
        <w:rPr>
          <w:rFonts w:ascii="Palatino Linotype" w:hAnsi="Palatino Linotype" w:cs="Arial"/>
        </w:rPr>
      </w:pPr>
      <w:r w:rsidRPr="00F90D38">
        <w:rPr>
          <w:rFonts w:ascii="Palatino Linotype" w:hAnsi="Palatino Linotype" w:cs="Arial"/>
        </w:rPr>
        <w:t>Retomando el punto 6 requerido por el ahora Recurrente y del cual se inconformó, resulta necesario analizar las Cedulas de Bases de Datos remitidas en respuesta para estar en posibilidad de establecer si colman el derecho de acceso a la información pública:</w:t>
      </w:r>
    </w:p>
    <w:p w:rsidR="002D708B" w:rsidRPr="00F90D38" w:rsidRDefault="002D708B" w:rsidP="002F09DD">
      <w:pPr>
        <w:widowControl w:val="0"/>
        <w:tabs>
          <w:tab w:val="left" w:pos="1701"/>
          <w:tab w:val="left" w:pos="1843"/>
        </w:tabs>
        <w:spacing w:line="360" w:lineRule="auto"/>
        <w:jc w:val="center"/>
        <w:rPr>
          <w:rFonts w:ascii="Palatino Linotype" w:hAnsi="Palatino Linotype" w:cs="Arial"/>
        </w:rPr>
      </w:pPr>
      <w:r w:rsidRPr="00F90D38">
        <w:rPr>
          <w:rFonts w:ascii="Palatino Linotype" w:hAnsi="Palatino Linotype" w:cs="Arial"/>
          <w:noProof/>
          <w:lang w:val="es-MX" w:eastAsia="es-MX"/>
        </w:rPr>
        <w:lastRenderedPageBreak/>
        <w:drawing>
          <wp:inline distT="0" distB="0" distL="0" distR="0">
            <wp:extent cx="5324333" cy="19526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288A8C.tmp"/>
                    <pic:cNvPicPr/>
                  </pic:nvPicPr>
                  <pic:blipFill>
                    <a:blip r:embed="rId12">
                      <a:extLst>
                        <a:ext uri="{28A0092B-C50C-407E-A947-70E740481C1C}">
                          <a14:useLocalDpi xmlns:a14="http://schemas.microsoft.com/office/drawing/2010/main" val="0"/>
                        </a:ext>
                      </a:extLst>
                    </a:blip>
                    <a:stretch>
                      <a:fillRect/>
                    </a:stretch>
                  </pic:blipFill>
                  <pic:spPr>
                    <a:xfrm>
                      <a:off x="0" y="0"/>
                      <a:ext cx="5346557" cy="1960775"/>
                    </a:xfrm>
                    <a:prstGeom prst="rect">
                      <a:avLst/>
                    </a:prstGeom>
                  </pic:spPr>
                </pic:pic>
              </a:graphicData>
            </a:graphic>
          </wp:inline>
        </w:drawing>
      </w:r>
      <w:r w:rsidRPr="00F90D38">
        <w:rPr>
          <w:rFonts w:ascii="Palatino Linotype" w:hAnsi="Palatino Linotype" w:cs="Arial"/>
          <w:noProof/>
          <w:lang w:val="es-MX" w:eastAsia="es-MX"/>
        </w:rPr>
        <w:drawing>
          <wp:inline distT="0" distB="0" distL="0" distR="0">
            <wp:extent cx="5372100" cy="1768122"/>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28639E.tmp"/>
                    <pic:cNvPicPr/>
                  </pic:nvPicPr>
                  <pic:blipFill>
                    <a:blip r:embed="rId13">
                      <a:extLst>
                        <a:ext uri="{28A0092B-C50C-407E-A947-70E740481C1C}">
                          <a14:useLocalDpi xmlns:a14="http://schemas.microsoft.com/office/drawing/2010/main" val="0"/>
                        </a:ext>
                      </a:extLst>
                    </a:blip>
                    <a:stretch>
                      <a:fillRect/>
                    </a:stretch>
                  </pic:blipFill>
                  <pic:spPr>
                    <a:xfrm>
                      <a:off x="0" y="0"/>
                      <a:ext cx="5387729" cy="1773266"/>
                    </a:xfrm>
                    <a:prstGeom prst="rect">
                      <a:avLst/>
                    </a:prstGeom>
                  </pic:spPr>
                </pic:pic>
              </a:graphicData>
            </a:graphic>
          </wp:inline>
        </w:drawing>
      </w:r>
      <w:r w:rsidRPr="00F90D38">
        <w:rPr>
          <w:rFonts w:ascii="Palatino Linotype" w:hAnsi="Palatino Linotype" w:cs="Arial"/>
          <w:noProof/>
          <w:lang w:val="es-MX" w:eastAsia="es-MX"/>
        </w:rPr>
        <w:drawing>
          <wp:inline distT="0" distB="0" distL="0" distR="0">
            <wp:extent cx="5534025" cy="1800181"/>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2810D8.tmp"/>
                    <pic:cNvPicPr/>
                  </pic:nvPicPr>
                  <pic:blipFill>
                    <a:blip r:embed="rId14">
                      <a:extLst>
                        <a:ext uri="{28A0092B-C50C-407E-A947-70E740481C1C}">
                          <a14:useLocalDpi xmlns:a14="http://schemas.microsoft.com/office/drawing/2010/main" val="0"/>
                        </a:ext>
                      </a:extLst>
                    </a:blip>
                    <a:stretch>
                      <a:fillRect/>
                    </a:stretch>
                  </pic:blipFill>
                  <pic:spPr>
                    <a:xfrm>
                      <a:off x="0" y="0"/>
                      <a:ext cx="5553442" cy="1806497"/>
                    </a:xfrm>
                    <a:prstGeom prst="rect">
                      <a:avLst/>
                    </a:prstGeom>
                  </pic:spPr>
                </pic:pic>
              </a:graphicData>
            </a:graphic>
          </wp:inline>
        </w:drawing>
      </w:r>
    </w:p>
    <w:p w:rsidR="00055AC4" w:rsidRPr="00F90D38" w:rsidRDefault="00055AC4" w:rsidP="00055AC4">
      <w:pPr>
        <w:autoSpaceDE w:val="0"/>
        <w:autoSpaceDN w:val="0"/>
        <w:adjustRightInd w:val="0"/>
        <w:spacing w:before="240" w:after="240" w:line="360" w:lineRule="auto"/>
        <w:jc w:val="both"/>
        <w:rPr>
          <w:rFonts w:ascii="Palatino Linotype" w:eastAsia="Palatino Linotype" w:hAnsi="Palatino Linotype" w:cs="Palatino Linotype"/>
          <w:color w:val="000000"/>
        </w:rPr>
      </w:pPr>
    </w:p>
    <w:p w:rsidR="00DD7318" w:rsidRPr="00F90D38" w:rsidRDefault="00DD7318" w:rsidP="00055AC4">
      <w:pPr>
        <w:autoSpaceDE w:val="0"/>
        <w:autoSpaceDN w:val="0"/>
        <w:adjustRightInd w:val="0"/>
        <w:spacing w:before="240" w:after="240" w:line="360" w:lineRule="auto"/>
        <w:jc w:val="both"/>
        <w:rPr>
          <w:rFonts w:ascii="Palatino Linotype" w:eastAsia="Palatino Linotype" w:hAnsi="Palatino Linotype" w:cs="Palatino Linotype"/>
          <w:color w:val="000000"/>
        </w:rPr>
      </w:pPr>
      <w:r w:rsidRPr="00F90D38">
        <w:rPr>
          <w:rFonts w:ascii="Palatino Linotype" w:eastAsia="Palatino Linotype" w:hAnsi="Palatino Linotype" w:cs="Palatino Linotype"/>
          <w:color w:val="000000"/>
        </w:rPr>
        <w:t xml:space="preserve">Así, y con la finalidad de contar con mayores elementos para resolver el asunto que nos ocupa, se solicitó vía correo electrónico a la Dirección General de Informática a fin </w:t>
      </w:r>
      <w:r w:rsidRPr="00F90D38">
        <w:rPr>
          <w:rFonts w:ascii="Palatino Linotype" w:eastAsia="Palatino Linotype" w:hAnsi="Palatino Linotype" w:cs="Palatino Linotype"/>
          <w:color w:val="000000"/>
        </w:rPr>
        <w:lastRenderedPageBreak/>
        <w:t>de informar a esta Ponencia si el Sujeto Obligado, cuenta con bases de datos personales en el Sistema REDATOSEM a la fecha de la solicitud.</w:t>
      </w:r>
    </w:p>
    <w:p w:rsidR="00DD473F" w:rsidRPr="00F90D38" w:rsidRDefault="00DD473F" w:rsidP="00055AC4">
      <w:pPr>
        <w:autoSpaceDE w:val="0"/>
        <w:autoSpaceDN w:val="0"/>
        <w:adjustRightInd w:val="0"/>
        <w:spacing w:before="240" w:after="240" w:line="360" w:lineRule="auto"/>
        <w:jc w:val="both"/>
        <w:rPr>
          <w:rFonts w:ascii="Palatino Linotype" w:eastAsia="Palatino Linotype" w:hAnsi="Palatino Linotype" w:cs="Palatino Linotype"/>
          <w:color w:val="000000"/>
        </w:rPr>
      </w:pPr>
      <w:r w:rsidRPr="00F90D38">
        <w:rPr>
          <w:rFonts w:ascii="Palatino Linotype" w:eastAsia="Palatino Linotype" w:hAnsi="Palatino Linotype" w:cs="Palatino Linotype"/>
          <w:color w:val="000000"/>
        </w:rPr>
        <w:t>Por su parte, la Dirección antes referida informó que se cuen</w:t>
      </w:r>
      <w:r w:rsidR="0092085C" w:rsidRPr="00F90D38">
        <w:rPr>
          <w:rFonts w:ascii="Palatino Linotype" w:eastAsia="Palatino Linotype" w:hAnsi="Palatino Linotype" w:cs="Palatino Linotype"/>
          <w:color w:val="000000"/>
        </w:rPr>
        <w:t>ta con un registro de 7 Cédu</w:t>
      </w:r>
      <w:r w:rsidR="001B1D9D" w:rsidRPr="00F90D38">
        <w:rPr>
          <w:rFonts w:ascii="Palatino Linotype" w:eastAsia="Palatino Linotype" w:hAnsi="Palatino Linotype" w:cs="Palatino Linotype"/>
          <w:color w:val="000000"/>
        </w:rPr>
        <w:t>las, a la fecha de la solicitud:</w:t>
      </w:r>
    </w:p>
    <w:p w:rsidR="001B1D9D" w:rsidRPr="00F90D38" w:rsidRDefault="001B1D9D" w:rsidP="001B1D9D">
      <w:pPr>
        <w:autoSpaceDE w:val="0"/>
        <w:autoSpaceDN w:val="0"/>
        <w:adjustRightInd w:val="0"/>
        <w:spacing w:before="240" w:after="240" w:line="360" w:lineRule="auto"/>
        <w:jc w:val="center"/>
        <w:rPr>
          <w:rFonts w:ascii="Palatino Linotype" w:eastAsia="Palatino Linotype" w:hAnsi="Palatino Linotype" w:cs="Palatino Linotype"/>
          <w:color w:val="000000"/>
        </w:rPr>
      </w:pPr>
      <w:r w:rsidRPr="00F90D38">
        <w:rPr>
          <w:rFonts w:ascii="Palatino Linotype" w:eastAsia="Palatino Linotype" w:hAnsi="Palatino Linotype" w:cs="Palatino Linotype"/>
          <w:noProof/>
          <w:color w:val="000000"/>
          <w:lang w:val="es-MX" w:eastAsia="es-MX"/>
        </w:rPr>
        <w:drawing>
          <wp:inline distT="0" distB="0" distL="0" distR="0">
            <wp:extent cx="4352925" cy="1751001"/>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29C9.tmp"/>
                    <pic:cNvPicPr/>
                  </pic:nvPicPr>
                  <pic:blipFill>
                    <a:blip r:embed="rId15">
                      <a:extLst>
                        <a:ext uri="{28A0092B-C50C-407E-A947-70E740481C1C}">
                          <a14:useLocalDpi xmlns:a14="http://schemas.microsoft.com/office/drawing/2010/main" val="0"/>
                        </a:ext>
                      </a:extLst>
                    </a:blip>
                    <a:stretch>
                      <a:fillRect/>
                    </a:stretch>
                  </pic:blipFill>
                  <pic:spPr>
                    <a:xfrm>
                      <a:off x="0" y="0"/>
                      <a:ext cx="4394933" cy="1767899"/>
                    </a:xfrm>
                    <a:prstGeom prst="rect">
                      <a:avLst/>
                    </a:prstGeom>
                  </pic:spPr>
                </pic:pic>
              </a:graphicData>
            </a:graphic>
          </wp:inline>
        </w:drawing>
      </w:r>
      <w:r w:rsidRPr="00F90D38">
        <w:rPr>
          <w:rFonts w:ascii="Palatino Linotype" w:eastAsia="Palatino Linotype" w:hAnsi="Palatino Linotype" w:cs="Palatino Linotype"/>
          <w:noProof/>
          <w:color w:val="000000"/>
          <w:lang w:val="es-MX" w:eastAsia="es-MX"/>
        </w:rPr>
        <w:drawing>
          <wp:inline distT="0" distB="0" distL="0" distR="0">
            <wp:extent cx="2619741" cy="1733792"/>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68ECEB.tmp"/>
                    <pic:cNvPicPr/>
                  </pic:nvPicPr>
                  <pic:blipFill>
                    <a:blip r:embed="rId16">
                      <a:extLst>
                        <a:ext uri="{28A0092B-C50C-407E-A947-70E740481C1C}">
                          <a14:useLocalDpi xmlns:a14="http://schemas.microsoft.com/office/drawing/2010/main" val="0"/>
                        </a:ext>
                      </a:extLst>
                    </a:blip>
                    <a:stretch>
                      <a:fillRect/>
                    </a:stretch>
                  </pic:blipFill>
                  <pic:spPr>
                    <a:xfrm>
                      <a:off x="0" y="0"/>
                      <a:ext cx="2619741" cy="1733792"/>
                    </a:xfrm>
                    <a:prstGeom prst="rect">
                      <a:avLst/>
                    </a:prstGeom>
                  </pic:spPr>
                </pic:pic>
              </a:graphicData>
            </a:graphic>
          </wp:inline>
        </w:drawing>
      </w:r>
    </w:p>
    <w:p w:rsidR="00055AC4" w:rsidRPr="00F90D38" w:rsidRDefault="00055AC4" w:rsidP="00055AC4">
      <w:pPr>
        <w:autoSpaceDE w:val="0"/>
        <w:autoSpaceDN w:val="0"/>
        <w:adjustRightInd w:val="0"/>
        <w:spacing w:before="240" w:after="240" w:line="360" w:lineRule="auto"/>
        <w:jc w:val="both"/>
        <w:rPr>
          <w:rFonts w:ascii="Palatino Linotype" w:hAnsi="Palatino Linotype" w:cs="Arial"/>
        </w:rPr>
      </w:pPr>
      <w:r w:rsidRPr="00F90D38">
        <w:rPr>
          <w:rFonts w:ascii="Palatino Linotype" w:eastAsia="Palatino Linotype" w:hAnsi="Palatino Linotype" w:cs="Palatino Linotype"/>
          <w:color w:val="000000"/>
        </w:rPr>
        <w:t>Ahora bien, quedando establecido lo anterior, este Órgano Garante considera viable de establecer si la respuesta del</w:t>
      </w:r>
      <w:r w:rsidRPr="00F90D38">
        <w:rPr>
          <w:rFonts w:ascii="Palatino Linotype" w:hAnsi="Palatino Linotype" w:cs="Arial"/>
        </w:rPr>
        <w:t xml:space="preserve"> Sujeto Obligado </w:t>
      </w:r>
      <w:r w:rsidRPr="00F90D38">
        <w:rPr>
          <w:rFonts w:ascii="Palatino Linotype" w:eastAsia="Palatino Linotype" w:hAnsi="Palatino Linotype" w:cs="Palatino Linotype"/>
          <w:color w:val="000000"/>
        </w:rPr>
        <w:t>la respuesta del Sujeto Obligado colma la pretensión del Recurrente</w:t>
      </w:r>
      <w:r w:rsidRPr="00F90D38">
        <w:rPr>
          <w:rFonts w:ascii="Palatino Linotype" w:hAnsi="Palatino Linotype" w:cs="Arial"/>
        </w:rPr>
        <w:t>:</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4407"/>
        <w:gridCol w:w="1501"/>
      </w:tblGrid>
      <w:tr w:rsidR="00055AC4" w:rsidRPr="00F90D38" w:rsidTr="000052AD">
        <w:trPr>
          <w:trHeight w:val="396"/>
        </w:trPr>
        <w:tc>
          <w:tcPr>
            <w:tcW w:w="3246" w:type="dxa"/>
            <w:shd w:val="clear" w:color="auto" w:fill="E7E6E6" w:themeFill="background2"/>
          </w:tcPr>
          <w:p w:rsidR="00055AC4" w:rsidRPr="00F90D38" w:rsidRDefault="00055AC4"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Requerimientos</w:t>
            </w:r>
          </w:p>
        </w:tc>
        <w:tc>
          <w:tcPr>
            <w:tcW w:w="4407" w:type="dxa"/>
            <w:shd w:val="clear" w:color="auto" w:fill="E7E6E6" w:themeFill="background2"/>
          </w:tcPr>
          <w:p w:rsidR="00055AC4" w:rsidRPr="00F90D38" w:rsidRDefault="00055AC4"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Respuesta</w:t>
            </w:r>
          </w:p>
        </w:tc>
        <w:tc>
          <w:tcPr>
            <w:tcW w:w="1501" w:type="dxa"/>
            <w:shd w:val="clear" w:color="auto" w:fill="E7E6E6" w:themeFill="background2"/>
          </w:tcPr>
          <w:p w:rsidR="00055AC4" w:rsidRPr="00F90D38" w:rsidRDefault="00055AC4"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Colma</w:t>
            </w:r>
          </w:p>
        </w:tc>
      </w:tr>
      <w:tr w:rsidR="00055AC4" w:rsidRPr="00F90D38" w:rsidTr="000052AD">
        <w:trPr>
          <w:trHeight w:val="396"/>
        </w:trPr>
        <w:tc>
          <w:tcPr>
            <w:tcW w:w="3246" w:type="dxa"/>
            <w:shd w:val="clear" w:color="auto" w:fill="auto"/>
          </w:tcPr>
          <w:p w:rsidR="00055AC4"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t>1. El nombre del administrador de la base de datos personales</w:t>
            </w:r>
          </w:p>
        </w:tc>
        <w:tc>
          <w:tcPr>
            <w:tcW w:w="4407" w:type="dxa"/>
            <w:shd w:val="clear" w:color="auto" w:fill="auto"/>
          </w:tcPr>
          <w:p w:rsidR="00055AC4" w:rsidRPr="00F90D38" w:rsidRDefault="00DD473F" w:rsidP="000052AD">
            <w:pPr>
              <w:jc w:val="both"/>
              <w:rPr>
                <w:rFonts w:ascii="Palatino Linotype" w:hAnsi="Palatino Linotype"/>
                <w:color w:val="000000"/>
                <w:sz w:val="22"/>
                <w:szCs w:val="22"/>
              </w:rPr>
            </w:pPr>
            <w:r w:rsidRPr="00F90D38">
              <w:rPr>
                <w:rFonts w:ascii="Palatino Linotype" w:hAnsi="Palatino Linotype"/>
                <w:color w:val="000000"/>
                <w:sz w:val="22"/>
                <w:szCs w:val="22"/>
              </w:rPr>
              <w:t>Nombres de los administradores de los Sistemas de Datos Personales de Esta Secretaría Ejecutiva.</w:t>
            </w:r>
          </w:p>
        </w:tc>
        <w:tc>
          <w:tcPr>
            <w:tcW w:w="1501" w:type="dxa"/>
            <w:shd w:val="clear" w:color="auto" w:fill="auto"/>
          </w:tcPr>
          <w:p w:rsidR="00055AC4" w:rsidRPr="00F90D38" w:rsidRDefault="00055AC4"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 xml:space="preserve">  </w:t>
            </w:r>
            <w:r w:rsidR="000052AD" w:rsidRPr="00F90D38">
              <w:rPr>
                <w:rFonts w:ascii="Palatino Linotype" w:hAnsi="Palatino Linotype"/>
                <w:b/>
                <w:i/>
                <w:color w:val="000000"/>
                <w:sz w:val="22"/>
                <w:szCs w:val="22"/>
              </w:rPr>
              <w:t>Actos consentidos</w:t>
            </w:r>
          </w:p>
        </w:tc>
      </w:tr>
      <w:tr w:rsidR="00055AC4" w:rsidRPr="00F90D38" w:rsidTr="000052AD">
        <w:trPr>
          <w:trHeight w:val="396"/>
        </w:trPr>
        <w:tc>
          <w:tcPr>
            <w:tcW w:w="3246" w:type="dxa"/>
            <w:shd w:val="clear" w:color="auto" w:fill="auto"/>
          </w:tcPr>
          <w:p w:rsidR="00055AC4"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lastRenderedPageBreak/>
              <w:t>2.Nombramiento o su caso el documento donde se asigna como administrador de la base de datos personales</w:t>
            </w:r>
          </w:p>
        </w:tc>
        <w:tc>
          <w:tcPr>
            <w:tcW w:w="4407" w:type="dxa"/>
            <w:shd w:val="clear" w:color="auto" w:fill="auto"/>
          </w:tcPr>
          <w:p w:rsidR="00055AC4" w:rsidRPr="00F90D38" w:rsidRDefault="00DD473F" w:rsidP="000052AD">
            <w:pPr>
              <w:jc w:val="both"/>
              <w:rPr>
                <w:rFonts w:ascii="Palatino Linotype" w:hAnsi="Palatino Linotype"/>
                <w:color w:val="000000"/>
                <w:sz w:val="22"/>
                <w:szCs w:val="22"/>
              </w:rPr>
            </w:pPr>
            <w:r w:rsidRPr="00F90D38">
              <w:rPr>
                <w:rFonts w:ascii="Palatino Linotype" w:hAnsi="Palatino Linotype"/>
                <w:color w:val="000000"/>
                <w:sz w:val="22"/>
                <w:szCs w:val="22"/>
              </w:rPr>
              <w:t>7 Nombramientos, firmados por el Secretario Técnico, a diversos Directores y Jefes de área como administradores del Sistema de Datos Personales</w:t>
            </w:r>
          </w:p>
        </w:tc>
        <w:tc>
          <w:tcPr>
            <w:tcW w:w="1501" w:type="dxa"/>
            <w:shd w:val="clear" w:color="auto" w:fill="auto"/>
          </w:tcPr>
          <w:p w:rsidR="00055AC4"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 xml:space="preserve">  Actos consentidos</w:t>
            </w:r>
          </w:p>
        </w:tc>
      </w:tr>
      <w:tr w:rsidR="00DD473F" w:rsidRPr="00F90D38" w:rsidTr="000052AD">
        <w:trPr>
          <w:trHeight w:val="396"/>
        </w:trPr>
        <w:tc>
          <w:tcPr>
            <w:tcW w:w="3246" w:type="dxa"/>
            <w:shd w:val="clear" w:color="auto" w:fill="auto"/>
          </w:tcPr>
          <w:p w:rsidR="00DD473F"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t>3. Aviso de privacidad integral y simplificado</w:t>
            </w:r>
          </w:p>
        </w:tc>
        <w:tc>
          <w:tcPr>
            <w:tcW w:w="4407" w:type="dxa"/>
            <w:shd w:val="clear" w:color="auto" w:fill="auto"/>
          </w:tcPr>
          <w:p w:rsidR="00DD473F" w:rsidRPr="00F90D38" w:rsidRDefault="000052AD" w:rsidP="000052AD">
            <w:pPr>
              <w:jc w:val="both"/>
              <w:rPr>
                <w:rFonts w:ascii="Palatino Linotype" w:hAnsi="Palatino Linotype"/>
                <w:color w:val="000000"/>
                <w:sz w:val="22"/>
                <w:szCs w:val="22"/>
              </w:rPr>
            </w:pPr>
            <w:r w:rsidRPr="00F90D38">
              <w:rPr>
                <w:rFonts w:ascii="Palatino Linotype" w:hAnsi="Palatino Linotype"/>
                <w:color w:val="000000"/>
                <w:sz w:val="22"/>
                <w:szCs w:val="22"/>
              </w:rPr>
              <w:t xml:space="preserve">Liga electrónica </w:t>
            </w:r>
          </w:p>
        </w:tc>
        <w:tc>
          <w:tcPr>
            <w:tcW w:w="1501" w:type="dxa"/>
            <w:shd w:val="clear" w:color="auto" w:fill="auto"/>
          </w:tcPr>
          <w:p w:rsidR="00DD473F"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 xml:space="preserve">  Actos consentidos</w:t>
            </w:r>
          </w:p>
        </w:tc>
      </w:tr>
      <w:tr w:rsidR="00DD473F" w:rsidRPr="00F90D38" w:rsidTr="000052AD">
        <w:trPr>
          <w:trHeight w:val="2897"/>
        </w:trPr>
        <w:tc>
          <w:tcPr>
            <w:tcW w:w="3246" w:type="dxa"/>
            <w:shd w:val="clear" w:color="auto" w:fill="auto"/>
          </w:tcPr>
          <w:p w:rsidR="00DD473F"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t>4. Oficio solicitando que sesione el comité de transparencia, al titular de la unidad de transparencia, para la aprobación de la base de datos personales y el oficio del proyecto de clasificación de datos personales</w:t>
            </w:r>
          </w:p>
        </w:tc>
        <w:tc>
          <w:tcPr>
            <w:tcW w:w="4407" w:type="dxa"/>
            <w:shd w:val="clear" w:color="auto" w:fill="auto"/>
          </w:tcPr>
          <w:p w:rsidR="00DD473F" w:rsidRPr="00F90D38" w:rsidRDefault="000052AD" w:rsidP="000052AD">
            <w:pPr>
              <w:jc w:val="both"/>
              <w:rPr>
                <w:rFonts w:ascii="Palatino Linotype" w:hAnsi="Palatino Linotype"/>
                <w:color w:val="000000"/>
                <w:sz w:val="22"/>
                <w:szCs w:val="22"/>
              </w:rPr>
            </w:pPr>
            <w:r w:rsidRPr="00F90D38">
              <w:rPr>
                <w:rFonts w:ascii="Palatino Linotype" w:hAnsi="Palatino Linotype"/>
                <w:color w:val="000000"/>
                <w:sz w:val="22"/>
                <w:szCs w:val="22"/>
              </w:rPr>
              <w:t>oficio número 41100100030000S/SPH/0002/2025, de fecha 08 de abril de 2025, firmado por la Servidora Pública Habilitada de la Unidad de Planeación y Transparencia, por medio del cual se propone la clasificación de la información como confidencial contenida en los Documentos de Seguridad y Cédulas de Base de Datos Personales.</w:t>
            </w:r>
          </w:p>
        </w:tc>
        <w:tc>
          <w:tcPr>
            <w:tcW w:w="1501" w:type="dxa"/>
            <w:shd w:val="clear" w:color="auto" w:fill="auto"/>
          </w:tcPr>
          <w:p w:rsidR="00DD473F"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 xml:space="preserve">  Actos consentidos</w:t>
            </w:r>
          </w:p>
        </w:tc>
      </w:tr>
      <w:tr w:rsidR="00DD473F" w:rsidRPr="00F90D38" w:rsidTr="000052AD">
        <w:trPr>
          <w:trHeight w:val="396"/>
        </w:trPr>
        <w:tc>
          <w:tcPr>
            <w:tcW w:w="3246" w:type="dxa"/>
            <w:shd w:val="clear" w:color="auto" w:fill="auto"/>
          </w:tcPr>
          <w:p w:rsidR="00DD473F"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t>5. Acta de sesión del comité de transparencia donde se aprueba el proyecto de clasificación de la base de datos personales</w:t>
            </w:r>
          </w:p>
        </w:tc>
        <w:tc>
          <w:tcPr>
            <w:tcW w:w="4407" w:type="dxa"/>
            <w:shd w:val="clear" w:color="auto" w:fill="auto"/>
          </w:tcPr>
          <w:p w:rsidR="00DD473F" w:rsidRPr="00F90D38" w:rsidRDefault="000052AD" w:rsidP="000052AD">
            <w:pPr>
              <w:jc w:val="both"/>
              <w:rPr>
                <w:rFonts w:ascii="Palatino Linotype" w:hAnsi="Palatino Linotype"/>
                <w:color w:val="000000"/>
                <w:sz w:val="22"/>
                <w:szCs w:val="22"/>
              </w:rPr>
            </w:pPr>
            <w:r w:rsidRPr="00F90D38">
              <w:rPr>
                <w:rFonts w:ascii="Palatino Linotype" w:hAnsi="Palatino Linotype"/>
                <w:color w:val="000000"/>
                <w:sz w:val="22"/>
                <w:szCs w:val="22"/>
              </w:rPr>
              <w:t>Mediante la 2° Sesión Ordinaria del Comité de Transparencia de la Secretaría Ejecutiva del Sistema Estatal Anticorrupción, con fecha 23 de abril del presente año, se confirma la clasificación como confidencial de la información contenida en las cédulas de bases de datos personales, por lo que se anexa el acta y el acuerdo de comité respectivo.</w:t>
            </w:r>
          </w:p>
        </w:tc>
        <w:tc>
          <w:tcPr>
            <w:tcW w:w="1501" w:type="dxa"/>
            <w:shd w:val="clear" w:color="auto" w:fill="auto"/>
          </w:tcPr>
          <w:p w:rsidR="00DD473F"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 xml:space="preserve"> </w:t>
            </w:r>
            <w:r w:rsidRPr="00F90D38">
              <w:rPr>
                <w:rFonts w:ascii="Palatino Linotype" w:hAnsi="Palatino Linotype"/>
                <w:i/>
                <w:color w:val="000000"/>
                <w:sz w:val="22"/>
                <w:szCs w:val="22"/>
              </w:rPr>
              <w:t xml:space="preserve"> </w:t>
            </w:r>
            <w:r w:rsidRPr="00F90D38">
              <w:rPr>
                <w:rFonts w:ascii="Palatino Linotype" w:hAnsi="Palatino Linotype"/>
                <w:b/>
                <w:i/>
                <w:color w:val="000000"/>
                <w:sz w:val="22"/>
                <w:szCs w:val="22"/>
              </w:rPr>
              <w:t>Actos consentidos</w:t>
            </w:r>
          </w:p>
        </w:tc>
      </w:tr>
      <w:tr w:rsidR="00DD473F" w:rsidRPr="00F90D38" w:rsidTr="000052AD">
        <w:trPr>
          <w:trHeight w:val="396"/>
        </w:trPr>
        <w:tc>
          <w:tcPr>
            <w:tcW w:w="3246" w:type="dxa"/>
            <w:shd w:val="clear" w:color="auto" w:fill="auto"/>
          </w:tcPr>
          <w:p w:rsidR="00DD473F"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t>6. Cédula de Base de Datos Personales con el registro del INFOEM</w:t>
            </w:r>
          </w:p>
        </w:tc>
        <w:tc>
          <w:tcPr>
            <w:tcW w:w="4407" w:type="dxa"/>
            <w:shd w:val="clear" w:color="auto" w:fill="auto"/>
          </w:tcPr>
          <w:p w:rsidR="00DD473F" w:rsidRPr="00F90D38" w:rsidRDefault="00DD473F" w:rsidP="000052AD">
            <w:pPr>
              <w:jc w:val="both"/>
              <w:rPr>
                <w:rFonts w:ascii="Palatino Linotype" w:hAnsi="Palatino Linotype"/>
                <w:color w:val="000000"/>
                <w:sz w:val="22"/>
                <w:szCs w:val="22"/>
              </w:rPr>
            </w:pPr>
            <w:r w:rsidRPr="00F90D38">
              <w:rPr>
                <w:rFonts w:ascii="Palatino Linotype" w:hAnsi="Palatino Linotype"/>
                <w:color w:val="000000"/>
                <w:sz w:val="22"/>
                <w:szCs w:val="22"/>
              </w:rPr>
              <w:t>7 Cedulas de Bases de Datos de diversas áreas del año 2020.</w:t>
            </w:r>
          </w:p>
        </w:tc>
        <w:tc>
          <w:tcPr>
            <w:tcW w:w="1501" w:type="dxa"/>
            <w:shd w:val="clear" w:color="auto" w:fill="auto"/>
          </w:tcPr>
          <w:p w:rsidR="00DD473F"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 xml:space="preserve">No </w:t>
            </w:r>
          </w:p>
          <w:p w:rsidR="000052AD" w:rsidRPr="00F90D38" w:rsidRDefault="000052AD" w:rsidP="000052AD">
            <w:pPr>
              <w:jc w:val="center"/>
              <w:rPr>
                <w:rFonts w:ascii="Palatino Linotype" w:hAnsi="Palatino Linotype"/>
                <w:i/>
                <w:color w:val="000000"/>
                <w:sz w:val="22"/>
                <w:szCs w:val="22"/>
              </w:rPr>
            </w:pPr>
            <w:r w:rsidRPr="00F90D38">
              <w:rPr>
                <w:rFonts w:ascii="Palatino Linotype" w:hAnsi="Palatino Linotype"/>
                <w:i/>
                <w:color w:val="000000"/>
                <w:sz w:val="22"/>
                <w:szCs w:val="22"/>
              </w:rPr>
              <w:t xml:space="preserve">Las Cédulas no corresponden con las registradas ante este Instituto. </w:t>
            </w:r>
          </w:p>
        </w:tc>
      </w:tr>
      <w:tr w:rsidR="00DD473F" w:rsidRPr="00F90D38" w:rsidTr="000052AD">
        <w:trPr>
          <w:trHeight w:val="2305"/>
        </w:trPr>
        <w:tc>
          <w:tcPr>
            <w:tcW w:w="3246" w:type="dxa"/>
            <w:shd w:val="clear" w:color="auto" w:fill="auto"/>
          </w:tcPr>
          <w:p w:rsidR="00DD473F"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lastRenderedPageBreak/>
              <w:t>7. Resolución del acuerdo de comité de transparencia, donde se aprobó el proyecto de clasificación de la base de datos personales, debidamente firmada por los integrantes del comité.</w:t>
            </w:r>
          </w:p>
        </w:tc>
        <w:tc>
          <w:tcPr>
            <w:tcW w:w="4407" w:type="dxa"/>
            <w:shd w:val="clear" w:color="auto" w:fill="auto"/>
          </w:tcPr>
          <w:p w:rsidR="00DD473F" w:rsidRPr="00F90D38" w:rsidRDefault="000052AD" w:rsidP="000052AD">
            <w:pPr>
              <w:jc w:val="both"/>
              <w:rPr>
                <w:rFonts w:ascii="Palatino Linotype" w:hAnsi="Palatino Linotype"/>
                <w:color w:val="000000"/>
                <w:sz w:val="22"/>
                <w:szCs w:val="22"/>
              </w:rPr>
            </w:pPr>
            <w:r w:rsidRPr="00F90D38">
              <w:rPr>
                <w:rFonts w:ascii="Palatino Linotype" w:hAnsi="Palatino Linotype"/>
                <w:color w:val="000000"/>
                <w:sz w:val="22"/>
                <w:szCs w:val="22"/>
              </w:rPr>
              <w:t xml:space="preserve">Refiere remitir la información, sin embargo, no se adjuntó. </w:t>
            </w:r>
          </w:p>
        </w:tc>
        <w:tc>
          <w:tcPr>
            <w:tcW w:w="1501" w:type="dxa"/>
            <w:shd w:val="clear" w:color="auto" w:fill="auto"/>
          </w:tcPr>
          <w:p w:rsidR="00DD473F"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Actos consentidos</w:t>
            </w:r>
          </w:p>
        </w:tc>
      </w:tr>
      <w:tr w:rsidR="00DD473F" w:rsidRPr="00F90D38" w:rsidTr="000052AD">
        <w:trPr>
          <w:trHeight w:val="396"/>
        </w:trPr>
        <w:tc>
          <w:tcPr>
            <w:tcW w:w="3246" w:type="dxa"/>
            <w:shd w:val="clear" w:color="auto" w:fill="auto"/>
          </w:tcPr>
          <w:p w:rsidR="00DD473F" w:rsidRPr="00F90D38" w:rsidRDefault="00DD473F" w:rsidP="000052AD">
            <w:pPr>
              <w:tabs>
                <w:tab w:val="left" w:pos="1828"/>
              </w:tabs>
              <w:jc w:val="both"/>
              <w:rPr>
                <w:rFonts w:ascii="Palatino Linotype" w:hAnsi="Palatino Linotype"/>
                <w:color w:val="000000"/>
                <w:sz w:val="22"/>
                <w:szCs w:val="22"/>
              </w:rPr>
            </w:pPr>
            <w:r w:rsidRPr="00F90D38">
              <w:rPr>
                <w:rFonts w:ascii="Palatino Linotype" w:hAnsi="Palatino Linotype"/>
                <w:color w:val="000000"/>
                <w:sz w:val="22"/>
                <w:szCs w:val="22"/>
              </w:rPr>
              <w:t>8. Documento de seguridad de la unidad administrativa que garantiza la confidencialidad, integridad y disponibilidad de la información contenida en la base de datos personales</w:t>
            </w:r>
          </w:p>
        </w:tc>
        <w:tc>
          <w:tcPr>
            <w:tcW w:w="4407" w:type="dxa"/>
            <w:shd w:val="clear" w:color="auto" w:fill="auto"/>
          </w:tcPr>
          <w:p w:rsidR="00DD473F" w:rsidRPr="00F90D38" w:rsidRDefault="00DD473F" w:rsidP="000052AD">
            <w:pPr>
              <w:jc w:val="both"/>
              <w:rPr>
                <w:rFonts w:ascii="Palatino Linotype" w:hAnsi="Palatino Linotype"/>
                <w:color w:val="000000"/>
                <w:sz w:val="22"/>
                <w:szCs w:val="22"/>
              </w:rPr>
            </w:pPr>
            <w:r w:rsidRPr="00F90D38">
              <w:rPr>
                <w:rFonts w:ascii="Palatino Linotype" w:hAnsi="Palatino Linotype"/>
                <w:color w:val="000000"/>
                <w:sz w:val="22"/>
                <w:szCs w:val="22"/>
              </w:rPr>
              <w:t>7 Documentos de Seguridad de las áreas, en versión pública</w:t>
            </w:r>
          </w:p>
        </w:tc>
        <w:tc>
          <w:tcPr>
            <w:tcW w:w="1501" w:type="dxa"/>
            <w:shd w:val="clear" w:color="auto" w:fill="auto"/>
          </w:tcPr>
          <w:p w:rsidR="00DD473F" w:rsidRPr="00F90D38" w:rsidRDefault="000052AD" w:rsidP="000052AD">
            <w:pPr>
              <w:jc w:val="center"/>
              <w:rPr>
                <w:rFonts w:ascii="Palatino Linotype" w:hAnsi="Palatino Linotype"/>
                <w:b/>
                <w:i/>
                <w:color w:val="000000"/>
                <w:sz w:val="22"/>
                <w:szCs w:val="22"/>
              </w:rPr>
            </w:pPr>
            <w:r w:rsidRPr="00F90D38">
              <w:rPr>
                <w:rFonts w:ascii="Palatino Linotype" w:hAnsi="Palatino Linotype"/>
                <w:b/>
                <w:i/>
                <w:color w:val="000000"/>
                <w:sz w:val="22"/>
                <w:szCs w:val="22"/>
              </w:rPr>
              <w:t>Actos consentidos</w:t>
            </w:r>
          </w:p>
        </w:tc>
      </w:tr>
    </w:tbl>
    <w:p w:rsidR="00055AC4" w:rsidRPr="00F90D38" w:rsidRDefault="00055AC4" w:rsidP="00055AC4">
      <w:pPr>
        <w:spacing w:line="360" w:lineRule="auto"/>
        <w:jc w:val="both"/>
        <w:rPr>
          <w:rFonts w:ascii="Palatino Linotype" w:hAnsi="Palatino Linotype" w:cs="Arial"/>
          <w:lang w:val="es-ES_tradnl" w:eastAsia="es-MX"/>
        </w:rPr>
      </w:pPr>
    </w:p>
    <w:p w:rsidR="00055AC4" w:rsidRPr="00F90D38" w:rsidRDefault="00D53F36" w:rsidP="00055AC4">
      <w:pPr>
        <w:autoSpaceDE w:val="0"/>
        <w:autoSpaceDN w:val="0"/>
        <w:adjustRightInd w:val="0"/>
        <w:spacing w:line="360" w:lineRule="auto"/>
        <w:jc w:val="both"/>
        <w:rPr>
          <w:rFonts w:ascii="Palatino Linotype" w:hAnsi="Palatino Linotype" w:cs="Arial"/>
        </w:rPr>
      </w:pPr>
      <w:r w:rsidRPr="00F90D38">
        <w:rPr>
          <w:rFonts w:ascii="Palatino Linotype" w:hAnsi="Palatino Linotype" w:cs="Arial"/>
        </w:rPr>
        <w:t>Por ello, conviene traer a colación el contenido normativo de los siguientes artículos de la Ley de Protección de Datos Personales en Posesión de Sujetos Obligados del Estado de México y Municipios:</w:t>
      </w:r>
    </w:p>
    <w:p w:rsidR="00D53F36" w:rsidRPr="00F90D38" w:rsidRDefault="00D53F36" w:rsidP="00D53F36">
      <w:pPr>
        <w:pStyle w:val="INFOEM"/>
        <w:rPr>
          <w:lang w:val="es-ES"/>
        </w:rPr>
      </w:pPr>
      <w:r w:rsidRPr="00F90D38">
        <w:rPr>
          <w:lang w:val="es-ES"/>
        </w:rPr>
        <w:t xml:space="preserve">“… </w:t>
      </w:r>
    </w:p>
    <w:p w:rsidR="00D53F36" w:rsidRPr="00F90D38" w:rsidRDefault="00D53F36" w:rsidP="00D53F36">
      <w:pPr>
        <w:pStyle w:val="INFOEM"/>
        <w:rPr>
          <w:lang w:val="es-ES"/>
        </w:rPr>
      </w:pPr>
      <w:r w:rsidRPr="00F90D38">
        <w:rPr>
          <w:lang w:val="es-ES"/>
        </w:rPr>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rsidR="00D53F36" w:rsidRPr="00F90D38" w:rsidRDefault="00D53F36" w:rsidP="00D53F36">
      <w:pPr>
        <w:pStyle w:val="INFOEM"/>
        <w:rPr>
          <w:lang w:val="es-ES"/>
        </w:rPr>
      </w:pPr>
      <w:r w:rsidRPr="00F90D38">
        <w:rPr>
          <w:lang w:val="es-ES"/>
        </w:rPr>
        <w:t xml:space="preserve">… </w:t>
      </w:r>
    </w:p>
    <w:p w:rsidR="00D53F36" w:rsidRPr="00F90D38" w:rsidRDefault="00D53F36" w:rsidP="00D53F36">
      <w:pPr>
        <w:pStyle w:val="INFOEM"/>
        <w:rPr>
          <w:lang w:val="es-ES"/>
        </w:rPr>
      </w:pPr>
      <w:r w:rsidRPr="00F90D38">
        <w:rPr>
          <w:lang w:val="es-ES"/>
        </w:rPr>
        <w:t>XLIII. Sistema de datos personales: a los datos personales contenidos en los archivos de un sujeto obligado que puede comprender el tratamiento de una o diversas bases de datos para el cumplimiento de una o diversas finalidades.</w:t>
      </w:r>
    </w:p>
    <w:p w:rsidR="00D53F36" w:rsidRPr="00F90D38" w:rsidRDefault="00D53F36" w:rsidP="00D53F36">
      <w:pPr>
        <w:pStyle w:val="INFOEM"/>
        <w:rPr>
          <w:lang w:val="es-ES"/>
        </w:rPr>
      </w:pPr>
      <w:r w:rsidRPr="00F90D38">
        <w:rPr>
          <w:lang w:val="es-ES"/>
        </w:rPr>
        <w:lastRenderedPageBreak/>
        <w:t xml:space="preserve">… </w:t>
      </w:r>
    </w:p>
    <w:p w:rsidR="00D76A4F" w:rsidRPr="00F90D38" w:rsidRDefault="00D53F36" w:rsidP="00D53F36">
      <w:pPr>
        <w:pStyle w:val="INFOEM"/>
      </w:pPr>
      <w:r w:rsidRPr="00F90D38">
        <w:rPr>
          <w:lang w:val="es-ES"/>
        </w:rPr>
        <w:t>Artículo 35. Corresponde a cada sujeto obligado determinar, a través de su titular, órgano competente o Comité de Transparencia, la creación, modificación o supresión de sistemas y bases de datos personales, conforme a su respectivo ámbito de competencia.</w:t>
      </w:r>
    </w:p>
    <w:p w:rsidR="00D53F36" w:rsidRPr="00F90D38" w:rsidRDefault="00D53F36" w:rsidP="00055AC4">
      <w:pPr>
        <w:spacing w:line="360" w:lineRule="auto"/>
        <w:jc w:val="both"/>
        <w:rPr>
          <w:rFonts w:ascii="Palatino Linotype" w:hAnsi="Palatino Linotype" w:cs="Arial"/>
        </w:rPr>
      </w:pPr>
      <w:r w:rsidRPr="00F90D38">
        <w:rPr>
          <w:rFonts w:ascii="Palatino Linotype" w:hAnsi="Palatino Linotype" w:cs="Arial"/>
        </w:rPr>
        <w:t>Como se puede visualizar en la cita insertada previamente, la Base de datos es entendida como al como el conjunto de archivos, registros, ficheros, condicionados a criterios determinados con independencia de la forma o modalidad de su creación, tipo de soporte, procesamiento, almacenamiento, organización y acceso, de igual forma se describe al Sistema de datos personales, como los datos personales contenidos en los archivos de un sujeto obligado que puede comprender el tratamiento de una o diversas bases de datos para el cumplimiento de una o diversas finalidades; en consecuencia las bases de datos forman parte del sistema de datos personales, y deberán ceñirse al cumplimiento de los siguientes preceptos legales de la legislación referida con antelación:</w:t>
      </w:r>
    </w:p>
    <w:p w:rsidR="00D53F36" w:rsidRPr="00F90D38" w:rsidRDefault="00D53F36" w:rsidP="00D53F36">
      <w:pPr>
        <w:pStyle w:val="Citas"/>
        <w:rPr>
          <w:lang w:val="es-ES"/>
        </w:rPr>
      </w:pPr>
      <w:r w:rsidRPr="00F90D38">
        <w:rPr>
          <w:lang w:val="es-ES"/>
        </w:rPr>
        <w:t xml:space="preserve">“Artículo 36. La integración, tratamiento y tutela de los sistemas de datos personales se regirán por las disposiciones siguientes: </w:t>
      </w:r>
    </w:p>
    <w:p w:rsidR="00D53F36" w:rsidRPr="00F90D38" w:rsidRDefault="00D53F36" w:rsidP="00D53F36">
      <w:pPr>
        <w:pStyle w:val="Citas"/>
        <w:numPr>
          <w:ilvl w:val="0"/>
          <w:numId w:val="11"/>
        </w:numPr>
        <w:rPr>
          <w:lang w:val="es-ES"/>
        </w:rPr>
      </w:pPr>
      <w:r w:rsidRPr="00F90D38">
        <w:rPr>
          <w:lang w:val="es-ES"/>
        </w:rPr>
        <w:t xml:space="preserve">Cada sujeto obligado deberá informar al Instituto sobre la creación, modificación o supresión de sus sistemas de datos personales. </w:t>
      </w:r>
    </w:p>
    <w:p w:rsidR="00D53F36" w:rsidRPr="00F90D38" w:rsidRDefault="00D53F36" w:rsidP="00D53F36">
      <w:pPr>
        <w:pStyle w:val="Citas"/>
        <w:numPr>
          <w:ilvl w:val="0"/>
          <w:numId w:val="11"/>
        </w:numPr>
      </w:pPr>
      <w:r w:rsidRPr="00F90D38">
        <w:rPr>
          <w:lang w:val="es-ES"/>
        </w:rPr>
        <w:t xml:space="preserve">En caso de creación o modificación de sistemas de datos personales, se incluirá en el registro, los datos previstos la presente Ley. </w:t>
      </w:r>
    </w:p>
    <w:p w:rsidR="00D53F36" w:rsidRPr="00F90D38" w:rsidRDefault="00D53F36" w:rsidP="00D53F36">
      <w:pPr>
        <w:pStyle w:val="Citas"/>
        <w:numPr>
          <w:ilvl w:val="0"/>
          <w:numId w:val="11"/>
        </w:numPr>
      </w:pPr>
      <w:r w:rsidRPr="00F90D38">
        <w:rPr>
          <w:lang w:val="es-ES"/>
        </w:rPr>
        <w:lastRenderedPageBreak/>
        <w:t xml:space="preserve">En las disposiciones que se dicten para la supresión de los sistemas de datos personales, se establecerá el destino de los datos contenidos en los mismos o, en su caso, las previsiones que se adopten para su destrucción. </w:t>
      </w:r>
    </w:p>
    <w:p w:rsidR="00D53F36" w:rsidRPr="00F90D38" w:rsidRDefault="00D53F36" w:rsidP="00D53F36">
      <w:pPr>
        <w:pStyle w:val="Citas"/>
        <w:numPr>
          <w:ilvl w:val="0"/>
          <w:numId w:val="11"/>
        </w:numPr>
      </w:pPr>
      <w:r w:rsidRPr="00F90D38">
        <w:rPr>
          <w:lang w:val="es-ES"/>
        </w:rPr>
        <w:t xml:space="preserve">De la destrucción de los datos personales podrán ser excluidos aquellos que, con finalidades estadísticas o históricas, sean previamente sometidos al procedimiento de disociación. </w:t>
      </w:r>
    </w:p>
    <w:p w:rsidR="00D53F36" w:rsidRPr="00F90D38" w:rsidRDefault="00D53F36" w:rsidP="00D53F36">
      <w:pPr>
        <w:pStyle w:val="Citas"/>
        <w:rPr>
          <w:lang w:val="es-ES"/>
        </w:rPr>
      </w:pPr>
      <w:r w:rsidRPr="00F90D38">
        <w:rPr>
          <w:lang w:val="es-ES"/>
        </w:rPr>
        <w:t xml:space="preserve">El registro de Sistemas de Datos Personales deberá realizarse a más tardar dentro de los seis meses siguientes al inicio del tratamiento por parte del responsable. </w:t>
      </w:r>
    </w:p>
    <w:p w:rsidR="00D53F36" w:rsidRPr="00F90D38" w:rsidRDefault="00D53F36" w:rsidP="00D53F36">
      <w:pPr>
        <w:pStyle w:val="Citas"/>
        <w:rPr>
          <w:b/>
          <w:lang w:val="es-ES"/>
        </w:rPr>
      </w:pPr>
      <w:r w:rsidRPr="00F90D38">
        <w:rPr>
          <w:b/>
          <w:lang w:val="es-ES"/>
        </w:rPr>
        <w:t xml:space="preserve">Registro de Sistemas de Datos Personales </w:t>
      </w:r>
    </w:p>
    <w:p w:rsidR="00D53F36" w:rsidRPr="00F90D38" w:rsidRDefault="00D53F36" w:rsidP="00D53F36">
      <w:pPr>
        <w:pStyle w:val="Citas"/>
        <w:rPr>
          <w:lang w:val="es-ES"/>
        </w:rPr>
      </w:pPr>
      <w:r w:rsidRPr="00F90D38">
        <w:rPr>
          <w:lang w:val="es-ES"/>
        </w:rPr>
        <w:t xml:space="preserve">Artículo 37. Los sujetos obligados registrarán ante el Instituto los sistemas de datos personales que posean. El registro deberá indicar por lo menos los datos siguientes: </w:t>
      </w:r>
    </w:p>
    <w:p w:rsidR="00D53F36" w:rsidRPr="00F90D38" w:rsidRDefault="00D53F36" w:rsidP="00D53F36">
      <w:pPr>
        <w:pStyle w:val="Citas"/>
        <w:numPr>
          <w:ilvl w:val="0"/>
          <w:numId w:val="12"/>
        </w:numPr>
        <w:rPr>
          <w:lang w:val="es-ES"/>
        </w:rPr>
      </w:pPr>
      <w:r w:rsidRPr="00F90D38">
        <w:rPr>
          <w:lang w:val="es-ES"/>
        </w:rPr>
        <w:t xml:space="preserve">El sujeto obligado que tiene a su cargo el sistema de datos personales. </w:t>
      </w:r>
    </w:p>
    <w:p w:rsidR="00D53F36" w:rsidRPr="00F90D38" w:rsidRDefault="00D53F36" w:rsidP="00D53F36">
      <w:pPr>
        <w:pStyle w:val="Citas"/>
        <w:numPr>
          <w:ilvl w:val="0"/>
          <w:numId w:val="12"/>
        </w:numPr>
      </w:pPr>
      <w:r w:rsidRPr="00F90D38">
        <w:rPr>
          <w:lang w:val="es-ES"/>
        </w:rPr>
        <w:t>La denominación del sistema de datos personales, la base de datos y el tipo de datos personales objeto de tratamiento.</w:t>
      </w:r>
    </w:p>
    <w:p w:rsidR="00D53F36" w:rsidRPr="00F90D38" w:rsidRDefault="00D53F36" w:rsidP="00D53F36">
      <w:pPr>
        <w:pStyle w:val="Citas"/>
        <w:numPr>
          <w:ilvl w:val="0"/>
          <w:numId w:val="12"/>
        </w:numPr>
      </w:pPr>
      <w:r w:rsidRPr="00F90D38">
        <w:rPr>
          <w:lang w:val="es-ES"/>
        </w:rPr>
        <w:t xml:space="preserve">El nombre y cargo del administrador, así como el área o unidad administrativa a la que se encuentra adscrito. </w:t>
      </w:r>
    </w:p>
    <w:p w:rsidR="00D53F36" w:rsidRPr="00F90D38" w:rsidRDefault="00D53F36" w:rsidP="00D53F36">
      <w:pPr>
        <w:pStyle w:val="Citas"/>
        <w:numPr>
          <w:ilvl w:val="0"/>
          <w:numId w:val="12"/>
        </w:numPr>
      </w:pPr>
      <w:r w:rsidRPr="00F90D38">
        <w:rPr>
          <w:lang w:val="es-ES"/>
        </w:rPr>
        <w:t xml:space="preserve">El nombre y cargo del encargado. </w:t>
      </w:r>
    </w:p>
    <w:p w:rsidR="00D53F36" w:rsidRPr="00F90D38" w:rsidRDefault="00D53F36" w:rsidP="00D53F36">
      <w:pPr>
        <w:pStyle w:val="Citas"/>
        <w:numPr>
          <w:ilvl w:val="0"/>
          <w:numId w:val="12"/>
        </w:numPr>
      </w:pPr>
      <w:r w:rsidRPr="00F90D38">
        <w:rPr>
          <w:lang w:val="es-ES"/>
        </w:rPr>
        <w:t xml:space="preserve">La normatividad aplicable que dé fundamento al tratamiento en términos de los principios de finalidad y licitud. </w:t>
      </w:r>
    </w:p>
    <w:p w:rsidR="00D53F36" w:rsidRPr="00F90D38" w:rsidRDefault="00D53F36" w:rsidP="00D53F36">
      <w:pPr>
        <w:pStyle w:val="Citas"/>
        <w:numPr>
          <w:ilvl w:val="0"/>
          <w:numId w:val="12"/>
        </w:numPr>
      </w:pPr>
      <w:r w:rsidRPr="00F90D38">
        <w:rPr>
          <w:lang w:val="es-ES"/>
        </w:rPr>
        <w:t xml:space="preserve">La finalidad del tratamiento. </w:t>
      </w:r>
    </w:p>
    <w:p w:rsidR="00D53F36" w:rsidRPr="00F90D38" w:rsidRDefault="00D53F36" w:rsidP="00D53F36">
      <w:pPr>
        <w:pStyle w:val="Citas"/>
        <w:numPr>
          <w:ilvl w:val="0"/>
          <w:numId w:val="12"/>
        </w:numPr>
      </w:pPr>
      <w:r w:rsidRPr="00F90D38">
        <w:rPr>
          <w:lang w:val="es-ES"/>
        </w:rPr>
        <w:lastRenderedPageBreak/>
        <w:t xml:space="preserve">El origen, la forma de recolección y actualización de datos. </w:t>
      </w:r>
    </w:p>
    <w:p w:rsidR="00D53F36" w:rsidRPr="00F90D38" w:rsidRDefault="00D53F36" w:rsidP="00D53F36">
      <w:pPr>
        <w:pStyle w:val="Citas"/>
        <w:numPr>
          <w:ilvl w:val="0"/>
          <w:numId w:val="12"/>
        </w:numPr>
      </w:pPr>
      <w:r w:rsidRPr="00F90D38">
        <w:rPr>
          <w:lang w:val="es-ES"/>
        </w:rPr>
        <w:t xml:space="preserve">Datos transferidos, lugar de destino e identidad de los destinatarios, en el caso de que se registren transferencias. </w:t>
      </w:r>
    </w:p>
    <w:p w:rsidR="00D53F36" w:rsidRPr="00F90D38" w:rsidRDefault="00D53F36" w:rsidP="00D53F36">
      <w:pPr>
        <w:pStyle w:val="Citas"/>
        <w:numPr>
          <w:ilvl w:val="0"/>
          <w:numId w:val="12"/>
        </w:numPr>
      </w:pPr>
      <w:r w:rsidRPr="00F90D38">
        <w:rPr>
          <w:lang w:val="es-ES"/>
        </w:rPr>
        <w:t xml:space="preserve">El modo de interrelacionar la información registrada, o en su caso, la trazabilidad de los datos en el sistema de datos personales. </w:t>
      </w:r>
    </w:p>
    <w:p w:rsidR="00D53F36" w:rsidRPr="00F90D38" w:rsidRDefault="00D53F36" w:rsidP="00D53F36">
      <w:pPr>
        <w:pStyle w:val="Citas"/>
        <w:numPr>
          <w:ilvl w:val="0"/>
          <w:numId w:val="12"/>
        </w:numPr>
      </w:pPr>
      <w:r w:rsidRPr="00F90D38">
        <w:rPr>
          <w:lang w:val="es-ES"/>
        </w:rPr>
        <w:t xml:space="preserve">El domicilio de la Unidad de Transparencia, así como de las áreas o unidades administrativas ante las que podrán ejercitarse de manera directa los derechos ARCO. XI. El tiempo de conservación de los datos. </w:t>
      </w:r>
    </w:p>
    <w:p w:rsidR="00D53F36" w:rsidRPr="00F90D38" w:rsidRDefault="00D53F36" w:rsidP="00D53F36">
      <w:pPr>
        <w:pStyle w:val="Citas"/>
        <w:numPr>
          <w:ilvl w:val="0"/>
          <w:numId w:val="12"/>
        </w:numPr>
      </w:pPr>
      <w:r w:rsidRPr="00F90D38">
        <w:rPr>
          <w:lang w:val="es-ES"/>
        </w:rPr>
        <w:t xml:space="preserve">El nivel de seguridad. </w:t>
      </w:r>
    </w:p>
    <w:p w:rsidR="00D53F36" w:rsidRPr="00F90D38" w:rsidRDefault="00D53F36" w:rsidP="00D53F36">
      <w:pPr>
        <w:pStyle w:val="Citas"/>
        <w:numPr>
          <w:ilvl w:val="0"/>
          <w:numId w:val="12"/>
        </w:numPr>
      </w:pPr>
      <w:r w:rsidRPr="00F90D38">
        <w:rPr>
          <w:lang w:val="es-ES"/>
        </w:rPr>
        <w:t>En caso de que se hubiera presentado una violación de la seguridad de los datos personales se indicará la fecha de ocurrencia, la de detección y la de atención. Dicha información deberá permanecer en el registro un año calendario posterior a la fecha de su atención.” (Sic)</w:t>
      </w:r>
    </w:p>
    <w:p w:rsidR="00D53F36" w:rsidRPr="00F90D38" w:rsidRDefault="00D53F36" w:rsidP="00055AC4">
      <w:pPr>
        <w:spacing w:line="360" w:lineRule="auto"/>
        <w:jc w:val="both"/>
        <w:rPr>
          <w:rFonts w:ascii="Palatino Linotype" w:hAnsi="Palatino Linotype" w:cs="Arial"/>
        </w:rPr>
      </w:pPr>
    </w:p>
    <w:p w:rsidR="00D53F36" w:rsidRPr="00F90D38" w:rsidRDefault="00D53F36" w:rsidP="00055AC4">
      <w:pPr>
        <w:spacing w:line="360" w:lineRule="auto"/>
        <w:jc w:val="both"/>
        <w:rPr>
          <w:rFonts w:ascii="Palatino Linotype" w:hAnsi="Palatino Linotype" w:cs="Arial"/>
        </w:rPr>
      </w:pPr>
    </w:p>
    <w:p w:rsidR="00D53F36" w:rsidRPr="00F90D38" w:rsidRDefault="00D53F36" w:rsidP="00055AC4">
      <w:pPr>
        <w:spacing w:line="360" w:lineRule="auto"/>
        <w:jc w:val="both"/>
        <w:rPr>
          <w:rFonts w:ascii="Palatino Linotype" w:hAnsi="Palatino Linotype" w:cs="Arial"/>
        </w:rPr>
      </w:pPr>
      <w:r w:rsidRPr="00F90D38">
        <w:rPr>
          <w:rFonts w:ascii="Palatino Linotype" w:hAnsi="Palatino Linotype" w:cs="Arial"/>
        </w:rPr>
        <w:t>Bajo esta línea de pensamiento, se tiene que efectivamente las bases de datos generadas para almacenar los datos personales, deberá registrarse ante este Instituto y dicho registro deberá contener una serie de elementos, de entre los cuales destaca la denominación de la base de datos, tipo de datos personales objeto del tratamiento, finalidad del tratamiento, tiempo de conservación de los datos, nivel de seguridad, etc.</w:t>
      </w:r>
    </w:p>
    <w:p w:rsidR="00D53F36" w:rsidRPr="00F90D38" w:rsidRDefault="00D53F36" w:rsidP="00055AC4">
      <w:pPr>
        <w:spacing w:line="360" w:lineRule="auto"/>
        <w:jc w:val="both"/>
        <w:rPr>
          <w:rFonts w:ascii="Palatino Linotype" w:hAnsi="Palatino Linotype" w:cs="Arial"/>
        </w:rPr>
      </w:pPr>
    </w:p>
    <w:p w:rsidR="00D53F36" w:rsidRPr="00F90D38" w:rsidRDefault="00D53F36" w:rsidP="00055AC4">
      <w:pPr>
        <w:spacing w:line="360" w:lineRule="auto"/>
        <w:jc w:val="both"/>
        <w:rPr>
          <w:rFonts w:ascii="Palatino Linotype" w:hAnsi="Palatino Linotype" w:cs="Arial"/>
        </w:rPr>
      </w:pPr>
      <w:r w:rsidRPr="00F90D38">
        <w:rPr>
          <w:rFonts w:ascii="Palatino Linotype" w:hAnsi="Palatino Linotype" w:cs="Arial"/>
        </w:rPr>
        <w:lastRenderedPageBreak/>
        <w:t>Ahora bien, con el fin de que los sujetos obligados registrarán ante este Órgano Garante (INFOEM) las bases y sistemas de datos personales que posean, se creó el denominado Registro de Sistemas de Datos Personales del Estado de México (REDATOSEM), para lo cual incluso existe un formato, mismo que se plasma para mejor referencia:</w:t>
      </w:r>
    </w:p>
    <w:p w:rsidR="00D53F36" w:rsidRPr="00F90D38" w:rsidRDefault="00D53F36" w:rsidP="00D53F36">
      <w:pPr>
        <w:pStyle w:val="Prrafodelista"/>
        <w:numPr>
          <w:ilvl w:val="0"/>
          <w:numId w:val="13"/>
        </w:numPr>
        <w:spacing w:line="360" w:lineRule="auto"/>
        <w:jc w:val="both"/>
        <w:rPr>
          <w:rFonts w:ascii="Palatino Linotype" w:hAnsi="Palatino Linotype" w:cs="Arial"/>
        </w:rPr>
      </w:pPr>
      <w:r w:rsidRPr="00F90D38">
        <w:rPr>
          <w:rFonts w:ascii="Palatino Linotype" w:hAnsi="Palatino Linotype" w:cs="Arial"/>
        </w:rPr>
        <w:t>Formato de Cédula de Bases de Datos Personales (REDATOSEM)</w:t>
      </w:r>
    </w:p>
    <w:p w:rsidR="00D53F36" w:rsidRPr="00F90D38" w:rsidRDefault="00D53F36" w:rsidP="00055AC4">
      <w:pPr>
        <w:spacing w:line="360" w:lineRule="auto"/>
        <w:jc w:val="both"/>
        <w:rPr>
          <w:rFonts w:ascii="Palatino Linotype" w:hAnsi="Palatino Linotype" w:cs="Arial"/>
        </w:rPr>
      </w:pPr>
      <w:r w:rsidRPr="00F90D38">
        <w:rPr>
          <w:rFonts w:ascii="Palatino Linotype" w:hAnsi="Palatino Linotype" w:cs="Arial"/>
          <w:noProof/>
          <w:lang w:val="es-MX" w:eastAsia="es-MX"/>
        </w:rPr>
        <w:drawing>
          <wp:inline distT="0" distB="0" distL="0" distR="0">
            <wp:extent cx="5734850" cy="37724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F47475.tmp"/>
                    <pic:cNvPicPr/>
                  </pic:nvPicPr>
                  <pic:blipFill>
                    <a:blip r:embed="rId17">
                      <a:extLst>
                        <a:ext uri="{28A0092B-C50C-407E-A947-70E740481C1C}">
                          <a14:useLocalDpi xmlns:a14="http://schemas.microsoft.com/office/drawing/2010/main" val="0"/>
                        </a:ext>
                      </a:extLst>
                    </a:blip>
                    <a:stretch>
                      <a:fillRect/>
                    </a:stretch>
                  </pic:blipFill>
                  <pic:spPr>
                    <a:xfrm>
                      <a:off x="0" y="0"/>
                      <a:ext cx="5734850" cy="3772426"/>
                    </a:xfrm>
                    <a:prstGeom prst="rect">
                      <a:avLst/>
                    </a:prstGeom>
                  </pic:spPr>
                </pic:pic>
              </a:graphicData>
            </a:graphic>
          </wp:inline>
        </w:drawing>
      </w:r>
    </w:p>
    <w:p w:rsidR="00D53F36" w:rsidRPr="00F90D38" w:rsidRDefault="00D53F36" w:rsidP="00055AC4">
      <w:pPr>
        <w:spacing w:line="360" w:lineRule="auto"/>
        <w:jc w:val="both"/>
        <w:rPr>
          <w:rFonts w:ascii="Palatino Linotype" w:hAnsi="Palatino Linotype" w:cs="Arial"/>
        </w:rPr>
      </w:pPr>
    </w:p>
    <w:p w:rsidR="00055AC4" w:rsidRPr="00F90D38" w:rsidRDefault="00055AC4" w:rsidP="00055AC4">
      <w:pPr>
        <w:spacing w:line="360" w:lineRule="auto"/>
        <w:jc w:val="both"/>
        <w:rPr>
          <w:rFonts w:ascii="Palatino Linotype" w:hAnsi="Palatino Linotype" w:cs="Arial"/>
        </w:rPr>
      </w:pPr>
      <w:r w:rsidRPr="00F90D38">
        <w:rPr>
          <w:rFonts w:ascii="Palatino Linotype" w:hAnsi="Palatino Linotype" w:cs="Arial"/>
        </w:rPr>
        <w:t>Ahora bien, en atención a lo dispuesto por los artículos 3, fracción XI</w:t>
      </w:r>
      <w:r w:rsidR="000F56CB" w:rsidRPr="00F90D38">
        <w:rPr>
          <w:rFonts w:ascii="Palatino Linotype" w:hAnsi="Palatino Linotype" w:cs="Arial"/>
        </w:rPr>
        <w:t>, 4</w:t>
      </w:r>
      <w:r w:rsidRPr="00F90D38">
        <w:rPr>
          <w:rFonts w:ascii="Palatino Linotype" w:hAnsi="Palatino Linotype" w:cs="Arial"/>
        </w:rPr>
        <w:t xml:space="preserve"> y 12 </w:t>
      </w:r>
      <w:r w:rsidRPr="00F90D38">
        <w:rPr>
          <w:rFonts w:ascii="Palatino Linotype" w:hAnsi="Palatino Linotype" w:cs="Arial"/>
          <w:bCs/>
        </w:rPr>
        <w:t>de la Ley de Transparencia y Acceso a la Información Pública del Estado de México y Municipios</w:t>
      </w:r>
      <w:r w:rsidRPr="00F90D38">
        <w:rPr>
          <w:rFonts w:ascii="Palatino Linotype" w:hAnsi="Palatino Linotype" w:cs="Arial"/>
        </w:rPr>
        <w:t>, los cuales son del tenor literal siguiente:</w:t>
      </w:r>
    </w:p>
    <w:p w:rsidR="00055AC4" w:rsidRPr="00F90D38" w:rsidRDefault="00055AC4" w:rsidP="00055AC4">
      <w:pPr>
        <w:ind w:left="567" w:right="567"/>
        <w:jc w:val="both"/>
        <w:rPr>
          <w:rFonts w:ascii="Palatino Linotype" w:hAnsi="Palatino Linotype"/>
        </w:rPr>
      </w:pPr>
    </w:p>
    <w:p w:rsidR="00055AC4" w:rsidRPr="00F90D38" w:rsidRDefault="00055AC4" w:rsidP="00055AC4">
      <w:pPr>
        <w:ind w:left="851" w:right="851"/>
        <w:jc w:val="both"/>
        <w:rPr>
          <w:rFonts w:ascii="Palatino Linotype" w:hAnsi="Palatino Linotype"/>
          <w:i/>
        </w:rPr>
      </w:pPr>
      <w:r w:rsidRPr="00F90D38">
        <w:rPr>
          <w:rFonts w:ascii="Palatino Linotype" w:hAnsi="Palatino Linotype"/>
          <w:b/>
          <w:bCs/>
          <w:i/>
        </w:rPr>
        <w:t xml:space="preserve">Artículo 3.- </w:t>
      </w:r>
      <w:r w:rsidRPr="00F90D38">
        <w:rPr>
          <w:rFonts w:ascii="Palatino Linotype" w:hAnsi="Palatino Linotype"/>
          <w:i/>
        </w:rPr>
        <w:t>Para los efectos de la presente Ley se entenderá por:</w:t>
      </w:r>
    </w:p>
    <w:p w:rsidR="00055AC4" w:rsidRPr="00F90D38" w:rsidRDefault="00055AC4" w:rsidP="00055AC4">
      <w:pPr>
        <w:ind w:left="851" w:right="851"/>
        <w:jc w:val="both"/>
        <w:rPr>
          <w:rFonts w:ascii="Palatino Linotype" w:hAnsi="Palatino Linotype"/>
          <w:i/>
        </w:rPr>
      </w:pPr>
      <w:r w:rsidRPr="00F90D38">
        <w:rPr>
          <w:rFonts w:ascii="Palatino Linotype" w:hAnsi="Palatino Linotype"/>
          <w:i/>
        </w:rPr>
        <w:t>…</w:t>
      </w:r>
    </w:p>
    <w:p w:rsidR="00055AC4" w:rsidRPr="00F90D38" w:rsidRDefault="00055AC4" w:rsidP="00055AC4">
      <w:pPr>
        <w:ind w:left="851" w:right="851"/>
        <w:jc w:val="both"/>
        <w:rPr>
          <w:rFonts w:ascii="Palatino Linotype" w:hAnsi="Palatino Linotype"/>
          <w:i/>
        </w:rPr>
      </w:pPr>
      <w:r w:rsidRPr="00F90D38">
        <w:rPr>
          <w:rFonts w:ascii="Palatino Linotype" w:hAnsi="Palatino Linotype"/>
          <w:b/>
          <w:i/>
        </w:rPr>
        <w:lastRenderedPageBreak/>
        <w:t>XI.</w:t>
      </w:r>
      <w:r w:rsidRPr="00F90D38">
        <w:rPr>
          <w:rFonts w:ascii="Palatino Linotype" w:hAnsi="Palatino Linotype"/>
          <w:i/>
        </w:rPr>
        <w:t xml:space="preserve"> </w:t>
      </w:r>
      <w:r w:rsidRPr="00F90D38">
        <w:rPr>
          <w:rFonts w:ascii="Palatino Linotype" w:hAnsi="Palatino Linotype"/>
          <w:b/>
          <w:i/>
        </w:rPr>
        <w:t>Documento:</w:t>
      </w:r>
      <w:r w:rsidRPr="00F90D3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F90D38">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F90D38">
        <w:rPr>
          <w:rFonts w:ascii="Palatino Linotype" w:hAnsi="Palatino Linotype"/>
          <w:i/>
        </w:rPr>
        <w:t xml:space="preserve"> Los documentos podrán estar en cualquier medio, sea escrito, impreso, sonoro, visual, electrónico, informático u holográfico;</w:t>
      </w:r>
    </w:p>
    <w:p w:rsidR="00055AC4" w:rsidRPr="00F90D38" w:rsidRDefault="00055AC4" w:rsidP="00055AC4">
      <w:pPr>
        <w:ind w:left="851" w:right="851"/>
        <w:jc w:val="both"/>
        <w:rPr>
          <w:rFonts w:ascii="Palatino Linotype" w:hAnsi="Palatino Linotype"/>
          <w:i/>
        </w:rPr>
      </w:pPr>
    </w:p>
    <w:p w:rsidR="00055AC4" w:rsidRPr="00F90D38" w:rsidRDefault="00055AC4" w:rsidP="00055AC4">
      <w:pPr>
        <w:ind w:left="851" w:right="851"/>
        <w:jc w:val="both"/>
        <w:rPr>
          <w:rFonts w:ascii="Palatino Linotype" w:hAnsi="Palatino Linotype"/>
          <w:bCs/>
          <w:i/>
        </w:rPr>
      </w:pPr>
      <w:r w:rsidRPr="00F90D38">
        <w:rPr>
          <w:rFonts w:ascii="Palatino Linotype" w:hAnsi="Palatino Linotype"/>
          <w:b/>
          <w:bCs/>
          <w:i/>
        </w:rPr>
        <w:t>Artículo 4.</w:t>
      </w:r>
      <w:r w:rsidRPr="00F90D38">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055AC4" w:rsidRPr="00F90D38" w:rsidRDefault="00055AC4" w:rsidP="00055AC4">
      <w:pPr>
        <w:ind w:left="851" w:right="851"/>
        <w:jc w:val="both"/>
        <w:rPr>
          <w:rFonts w:ascii="Palatino Linotype" w:hAnsi="Palatino Linotype"/>
          <w:bCs/>
          <w:i/>
        </w:rPr>
      </w:pPr>
    </w:p>
    <w:p w:rsidR="00055AC4" w:rsidRPr="00F90D38" w:rsidRDefault="00055AC4" w:rsidP="00055AC4">
      <w:pPr>
        <w:ind w:left="851" w:right="851"/>
        <w:jc w:val="both"/>
        <w:rPr>
          <w:rFonts w:ascii="Palatino Linotype" w:hAnsi="Palatino Linotype"/>
          <w:bCs/>
          <w:i/>
        </w:rPr>
      </w:pPr>
      <w:r w:rsidRPr="00F90D38">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F90D38">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55AC4" w:rsidRPr="00F90D38" w:rsidRDefault="00055AC4" w:rsidP="00055AC4">
      <w:pPr>
        <w:ind w:left="851" w:right="851"/>
        <w:jc w:val="both"/>
        <w:rPr>
          <w:rFonts w:ascii="Palatino Linotype" w:hAnsi="Palatino Linotype"/>
          <w:bCs/>
          <w:i/>
        </w:rPr>
      </w:pPr>
    </w:p>
    <w:p w:rsidR="00055AC4" w:rsidRPr="00F90D38" w:rsidRDefault="00055AC4" w:rsidP="00055AC4">
      <w:pPr>
        <w:ind w:left="851" w:right="851"/>
        <w:jc w:val="both"/>
        <w:rPr>
          <w:rFonts w:ascii="Palatino Linotype" w:hAnsi="Palatino Linotype"/>
          <w:bCs/>
          <w:i/>
        </w:rPr>
      </w:pPr>
      <w:r w:rsidRPr="00F90D38">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055AC4" w:rsidRPr="00F90D38" w:rsidRDefault="00055AC4" w:rsidP="00055AC4">
      <w:pPr>
        <w:ind w:left="851" w:right="851"/>
        <w:jc w:val="both"/>
        <w:rPr>
          <w:rFonts w:ascii="Palatino Linotype" w:hAnsi="Palatino Linotype"/>
          <w:i/>
        </w:rPr>
      </w:pPr>
    </w:p>
    <w:p w:rsidR="00055AC4" w:rsidRPr="00F90D38" w:rsidRDefault="00055AC4" w:rsidP="00055AC4">
      <w:pPr>
        <w:ind w:left="851" w:right="851"/>
        <w:jc w:val="both"/>
        <w:rPr>
          <w:rFonts w:ascii="Palatino Linotype" w:hAnsi="Palatino Linotype"/>
          <w:i/>
        </w:rPr>
      </w:pPr>
      <w:r w:rsidRPr="00F90D38">
        <w:rPr>
          <w:rFonts w:ascii="Palatino Linotype" w:hAnsi="Palatino Linotype"/>
          <w:b/>
          <w:i/>
        </w:rPr>
        <w:t>Artículo 12.</w:t>
      </w:r>
      <w:r w:rsidRPr="00F90D38">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055AC4" w:rsidRPr="00F90D38" w:rsidRDefault="00055AC4" w:rsidP="00055AC4">
      <w:pPr>
        <w:ind w:left="851" w:right="851"/>
        <w:jc w:val="both"/>
        <w:rPr>
          <w:rFonts w:ascii="Palatino Linotype" w:hAnsi="Palatino Linotype"/>
          <w:i/>
        </w:rPr>
      </w:pPr>
    </w:p>
    <w:p w:rsidR="00055AC4" w:rsidRPr="00F90D38" w:rsidRDefault="00055AC4" w:rsidP="00055AC4">
      <w:pPr>
        <w:ind w:left="851" w:right="851"/>
        <w:jc w:val="both"/>
        <w:rPr>
          <w:rFonts w:ascii="Palatino Linotype" w:hAnsi="Palatino Linotype"/>
          <w:i/>
          <w:u w:val="single"/>
        </w:rPr>
      </w:pPr>
      <w:r w:rsidRPr="00F90D38">
        <w:rPr>
          <w:rFonts w:ascii="Palatino Linotype" w:hAnsi="Palatino Linotype"/>
          <w:b/>
          <w:i/>
          <w:u w:val="single"/>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w:t>
      </w:r>
      <w:r w:rsidRPr="00F90D38">
        <w:rPr>
          <w:rFonts w:ascii="Palatino Linotype" w:hAnsi="Palatino Linotype"/>
          <w:b/>
          <w:i/>
          <w:u w:val="single"/>
        </w:rPr>
        <w:lastRenderedPageBreak/>
        <w:t>solicitante; no estarán obligados a generarla, resumirla, efectuar cálculos o practicar investigaciones</w:t>
      </w:r>
      <w:r w:rsidRPr="00F90D38">
        <w:rPr>
          <w:rFonts w:ascii="Palatino Linotype" w:hAnsi="Palatino Linotype"/>
          <w:i/>
        </w:rPr>
        <w:t>.</w:t>
      </w:r>
    </w:p>
    <w:p w:rsidR="00055AC4" w:rsidRPr="00F90D38" w:rsidRDefault="00055AC4" w:rsidP="00055AC4">
      <w:pPr>
        <w:jc w:val="both"/>
        <w:rPr>
          <w:rFonts w:ascii="Palatino Linotype" w:hAnsi="Palatino Linotype"/>
        </w:rPr>
      </w:pPr>
    </w:p>
    <w:p w:rsidR="00055AC4" w:rsidRPr="00F90D38" w:rsidRDefault="00055AC4" w:rsidP="00055AC4">
      <w:pPr>
        <w:spacing w:line="360" w:lineRule="auto"/>
        <w:jc w:val="both"/>
        <w:rPr>
          <w:rFonts w:ascii="Palatino Linotype" w:eastAsia="Calibri" w:hAnsi="Palatino Linotype" w:cs="Arial"/>
          <w:color w:val="000000"/>
          <w:lang w:val="es-ES_tradnl" w:eastAsia="es-MX"/>
        </w:rPr>
      </w:pPr>
    </w:p>
    <w:p w:rsidR="00055AC4" w:rsidRPr="00F90D38" w:rsidRDefault="00055AC4" w:rsidP="00055AC4">
      <w:pPr>
        <w:spacing w:line="360" w:lineRule="auto"/>
        <w:jc w:val="both"/>
        <w:rPr>
          <w:rFonts w:ascii="Palatino Linotype" w:eastAsia="Calibri" w:hAnsi="Palatino Linotype" w:cs="Arial"/>
          <w:color w:val="000000"/>
          <w:lang w:val="es-ES_tradnl" w:eastAsia="es-MX"/>
        </w:rPr>
      </w:pPr>
      <w:r w:rsidRPr="00F90D38">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F90D38">
        <w:rPr>
          <w:rFonts w:ascii="Palatino Linotype" w:eastAsia="Calibri" w:hAnsi="Palatino Linotype" w:cs="Arial"/>
          <w:b/>
          <w:color w:val="000000"/>
          <w:lang w:val="es-ES_tradnl" w:eastAsia="es-MX"/>
        </w:rPr>
        <w:t xml:space="preserve"> </w:t>
      </w:r>
      <w:r w:rsidRPr="00F90D38">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F90D38">
        <w:rPr>
          <w:rFonts w:ascii="Palatino Linotype" w:eastAsia="Calibri" w:hAnsi="Palatino Linotype" w:cs="Arial"/>
          <w:i/>
          <w:color w:val="000000"/>
          <w:lang w:val="es-ES_tradnl" w:eastAsia="es-MX"/>
        </w:rPr>
        <w:t>ad hoc</w:t>
      </w:r>
      <w:r w:rsidRPr="00F90D38">
        <w:rPr>
          <w:rFonts w:ascii="Palatino Linotype" w:eastAsia="Calibri" w:hAnsi="Palatino Linotype" w:cs="Arial"/>
          <w:color w:val="000000"/>
          <w:lang w:val="es-ES_tradnl" w:eastAsia="es-MX"/>
        </w:rPr>
        <w:t>, para satisfacer el derecho de acceso a la información pública.</w:t>
      </w:r>
    </w:p>
    <w:p w:rsidR="00055AC4" w:rsidRPr="00F90D38" w:rsidRDefault="00055AC4" w:rsidP="00055AC4">
      <w:pPr>
        <w:spacing w:line="360" w:lineRule="auto"/>
        <w:jc w:val="both"/>
        <w:rPr>
          <w:rFonts w:ascii="Palatino Linotype" w:hAnsi="Palatino Linotype" w:cs="Arial"/>
          <w:noProof/>
          <w:color w:val="000000"/>
          <w:lang w:eastAsia="es-MX"/>
        </w:rPr>
      </w:pPr>
    </w:p>
    <w:p w:rsidR="00055AC4" w:rsidRPr="00F90D38" w:rsidRDefault="00055AC4" w:rsidP="00055AC4">
      <w:pPr>
        <w:spacing w:line="360" w:lineRule="auto"/>
        <w:jc w:val="both"/>
        <w:rPr>
          <w:rFonts w:ascii="Palatino Linotype" w:hAnsi="Palatino Linotype" w:cs="Palatino Linotype"/>
          <w:b/>
          <w:i/>
          <w:color w:val="000000"/>
          <w:sz w:val="28"/>
        </w:rPr>
      </w:pPr>
      <w:r w:rsidRPr="00F90D38">
        <w:rPr>
          <w:rFonts w:ascii="Palatino Linotype" w:hAnsi="Palatino Linotype" w:cs="Palatino Linotype"/>
          <w:b/>
          <w:i/>
          <w:color w:val="000000"/>
          <w:sz w:val="28"/>
        </w:rPr>
        <w:t xml:space="preserve">De la Versión Pública </w:t>
      </w:r>
    </w:p>
    <w:p w:rsidR="00055AC4" w:rsidRPr="00F90D38" w:rsidRDefault="00055AC4" w:rsidP="00055AC4">
      <w:pPr>
        <w:tabs>
          <w:tab w:val="left" w:pos="7938"/>
        </w:tabs>
        <w:spacing w:before="240" w:after="240" w:line="360" w:lineRule="auto"/>
        <w:jc w:val="both"/>
        <w:rPr>
          <w:rFonts w:ascii="Palatino Linotype" w:eastAsia="Arial Unicode MS" w:hAnsi="Palatino Linotype" w:cs="Arial"/>
          <w:lang w:val="es-ES_tradnl" w:eastAsia="es-MX"/>
        </w:rPr>
      </w:pPr>
      <w:r w:rsidRPr="00F90D38">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055AC4" w:rsidRPr="00F90D38" w:rsidRDefault="00055AC4" w:rsidP="00055AC4">
      <w:pPr>
        <w:spacing w:before="240" w:line="360" w:lineRule="auto"/>
        <w:ind w:left="851" w:right="851"/>
        <w:jc w:val="both"/>
        <w:rPr>
          <w:rFonts w:ascii="Palatino Linotype" w:eastAsia="Calibri" w:hAnsi="Palatino Linotype" w:cs="Arial"/>
          <w:i/>
          <w:lang w:val="es-ES_tradnl" w:eastAsia="es-MX"/>
        </w:rPr>
      </w:pPr>
      <w:r w:rsidRPr="00F90D38">
        <w:rPr>
          <w:rFonts w:ascii="Palatino Linotype" w:eastAsia="Calibri" w:hAnsi="Palatino Linotype" w:cs="Arial"/>
          <w:i/>
          <w:lang w:val="es-ES_tradnl" w:eastAsia="es-MX"/>
        </w:rPr>
        <w:t>“Artículo 3. Para los efectos de la presente Ley se entenderá por:</w:t>
      </w:r>
    </w:p>
    <w:p w:rsidR="00055AC4" w:rsidRPr="00F90D38" w:rsidRDefault="00055AC4" w:rsidP="00055AC4">
      <w:pPr>
        <w:spacing w:before="240" w:line="360" w:lineRule="auto"/>
        <w:ind w:left="851" w:right="851"/>
        <w:jc w:val="both"/>
        <w:rPr>
          <w:rFonts w:ascii="Palatino Linotype" w:eastAsia="Calibri" w:hAnsi="Palatino Linotype" w:cs="Arial"/>
          <w:i/>
          <w:lang w:val="es-ES_tradnl" w:eastAsia="es-MX"/>
        </w:rPr>
      </w:pPr>
      <w:r w:rsidRPr="00F90D38">
        <w:rPr>
          <w:rFonts w:ascii="Palatino Linotype" w:eastAsia="Calibri" w:hAnsi="Palatino Linotype" w:cs="Arial"/>
          <w:i/>
          <w:lang w:val="es-ES_tradnl" w:eastAsia="es-MX"/>
        </w:rPr>
        <w:t>(…)</w:t>
      </w:r>
    </w:p>
    <w:p w:rsidR="00055AC4" w:rsidRPr="00F90D38" w:rsidRDefault="00055AC4" w:rsidP="00055AC4">
      <w:pPr>
        <w:spacing w:before="240" w:line="360" w:lineRule="auto"/>
        <w:ind w:left="851" w:right="851"/>
        <w:jc w:val="both"/>
        <w:rPr>
          <w:rFonts w:ascii="Palatino Linotype" w:eastAsia="Calibri" w:hAnsi="Palatino Linotype" w:cs="Arial"/>
          <w:b/>
          <w:i/>
          <w:lang w:val="es-ES_tradnl" w:eastAsia="es-MX"/>
        </w:rPr>
      </w:pPr>
      <w:r w:rsidRPr="00F90D38">
        <w:rPr>
          <w:rFonts w:ascii="Palatino Linotype" w:eastAsia="Calibri" w:hAnsi="Palatino Linotype" w:cs="Arial"/>
          <w:b/>
          <w:i/>
          <w:u w:val="single"/>
          <w:lang w:val="es-ES_tradnl" w:eastAsia="es-MX"/>
        </w:rPr>
        <w:lastRenderedPageBreak/>
        <w:t>IX. Datos personales:</w:t>
      </w:r>
      <w:r w:rsidRPr="00F90D38">
        <w:rPr>
          <w:rFonts w:ascii="Palatino Linotype" w:eastAsia="Calibri" w:hAnsi="Palatino Linotype" w:cs="Arial"/>
          <w:b/>
          <w:i/>
          <w:lang w:val="es-ES_tradnl" w:eastAsia="es-MX"/>
        </w:rPr>
        <w:t xml:space="preserve"> </w:t>
      </w:r>
      <w:r w:rsidRPr="00F90D38">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055AC4" w:rsidRPr="00F90D38" w:rsidRDefault="00055AC4" w:rsidP="00055AC4">
      <w:pPr>
        <w:spacing w:before="240" w:line="360" w:lineRule="auto"/>
        <w:ind w:left="851" w:right="851"/>
        <w:jc w:val="both"/>
        <w:rPr>
          <w:rFonts w:ascii="Palatino Linotype" w:eastAsia="Calibri" w:hAnsi="Palatino Linotype" w:cs="Arial"/>
          <w:b/>
          <w:i/>
          <w:lang w:val="es-ES_tradnl" w:eastAsia="es-MX"/>
        </w:rPr>
      </w:pPr>
      <w:r w:rsidRPr="00F90D38">
        <w:rPr>
          <w:rFonts w:ascii="Palatino Linotype" w:eastAsia="Calibri" w:hAnsi="Palatino Linotype" w:cs="Arial"/>
          <w:b/>
          <w:i/>
          <w:lang w:val="es-ES_tradnl" w:eastAsia="es-MX"/>
        </w:rPr>
        <w:t>(…)</w:t>
      </w:r>
    </w:p>
    <w:p w:rsidR="00055AC4" w:rsidRPr="00F90D38" w:rsidRDefault="00055AC4" w:rsidP="00055AC4">
      <w:pPr>
        <w:spacing w:before="240" w:line="360" w:lineRule="auto"/>
        <w:ind w:left="851" w:right="851"/>
        <w:jc w:val="both"/>
        <w:rPr>
          <w:rFonts w:ascii="Palatino Linotype" w:eastAsia="Calibri" w:hAnsi="Palatino Linotype" w:cs="Arial"/>
          <w:b/>
          <w:i/>
          <w:lang w:val="es-ES_tradnl" w:eastAsia="es-MX"/>
        </w:rPr>
      </w:pPr>
      <w:r w:rsidRPr="00F90D38">
        <w:rPr>
          <w:rFonts w:ascii="Palatino Linotype" w:eastAsia="Calibri" w:hAnsi="Palatino Linotype" w:cs="Arial"/>
          <w:b/>
          <w:i/>
          <w:u w:val="single"/>
          <w:lang w:val="es-ES_tradnl" w:eastAsia="es-MX"/>
        </w:rPr>
        <w:t>XLV. Versión pública:</w:t>
      </w:r>
      <w:r w:rsidRPr="00F90D38">
        <w:rPr>
          <w:rFonts w:ascii="Palatino Linotype" w:eastAsia="Calibri" w:hAnsi="Palatino Linotype" w:cs="Arial"/>
          <w:b/>
          <w:i/>
          <w:lang w:val="es-ES_tradnl" w:eastAsia="es-MX"/>
        </w:rPr>
        <w:t xml:space="preserve"> </w:t>
      </w:r>
      <w:r w:rsidRPr="00F90D38">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055AC4" w:rsidRPr="00F90D38" w:rsidRDefault="00055AC4" w:rsidP="00055AC4">
      <w:pPr>
        <w:spacing w:before="240" w:line="360" w:lineRule="auto"/>
        <w:ind w:left="851" w:right="851"/>
        <w:jc w:val="both"/>
        <w:rPr>
          <w:rFonts w:ascii="Palatino Linotype" w:eastAsia="Calibri" w:hAnsi="Palatino Linotype" w:cs="Arial"/>
          <w:b/>
          <w:i/>
          <w:lang w:val="es-ES_tradnl" w:eastAsia="es-MX"/>
        </w:rPr>
      </w:pPr>
      <w:r w:rsidRPr="00F90D38">
        <w:rPr>
          <w:rFonts w:ascii="Palatino Linotype" w:eastAsia="Calibri" w:hAnsi="Palatino Linotype" w:cs="Arial"/>
          <w:i/>
          <w:lang w:val="es-ES_tradnl" w:eastAsia="es-MX"/>
        </w:rPr>
        <w:t xml:space="preserve">Artículo 122. </w:t>
      </w:r>
      <w:r w:rsidRPr="00F90D38">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055AC4" w:rsidRPr="00F90D38" w:rsidRDefault="00055AC4" w:rsidP="00055AC4">
      <w:pPr>
        <w:spacing w:before="240" w:line="360" w:lineRule="auto"/>
        <w:ind w:left="851" w:right="851"/>
        <w:jc w:val="both"/>
        <w:rPr>
          <w:rFonts w:ascii="Palatino Linotype" w:eastAsia="Calibri" w:hAnsi="Palatino Linotype" w:cs="Arial"/>
          <w:i/>
          <w:lang w:val="es-ES_tradnl" w:eastAsia="es-MX"/>
        </w:rPr>
      </w:pPr>
      <w:r w:rsidRPr="00F90D38">
        <w:rPr>
          <w:rFonts w:ascii="Palatino Linotype" w:eastAsia="Calibri" w:hAnsi="Palatino Linotype" w:cs="Arial"/>
          <w:i/>
          <w:lang w:val="es-ES_tradnl" w:eastAsia="es-MX"/>
        </w:rPr>
        <w:t>[…]</w:t>
      </w:r>
    </w:p>
    <w:p w:rsidR="00055AC4" w:rsidRPr="00F90D38" w:rsidRDefault="00055AC4" w:rsidP="00055AC4">
      <w:pPr>
        <w:spacing w:before="240" w:line="360" w:lineRule="auto"/>
        <w:ind w:left="851" w:right="851"/>
        <w:jc w:val="both"/>
        <w:rPr>
          <w:rFonts w:ascii="Palatino Linotype" w:eastAsia="Calibri" w:hAnsi="Palatino Linotype" w:cs="Arial"/>
          <w:i/>
          <w:lang w:val="es-ES_tradnl" w:eastAsia="es-MX"/>
        </w:rPr>
      </w:pPr>
      <w:r w:rsidRPr="00F90D38">
        <w:rPr>
          <w:rFonts w:ascii="Palatino Linotype" w:eastAsia="Calibri" w:hAnsi="Palatino Linotype" w:cs="Arial"/>
          <w:i/>
          <w:lang w:val="es-ES_tradnl" w:eastAsia="es-MX"/>
        </w:rPr>
        <w:t>Artículo 132. La clasificación de la información se llevará a cabo en el momento en que:</w:t>
      </w:r>
    </w:p>
    <w:p w:rsidR="00055AC4" w:rsidRPr="00F90D38" w:rsidRDefault="00055AC4" w:rsidP="00055AC4">
      <w:pPr>
        <w:spacing w:before="240" w:line="360" w:lineRule="auto"/>
        <w:ind w:left="851" w:right="851"/>
        <w:jc w:val="both"/>
        <w:rPr>
          <w:rFonts w:ascii="Palatino Linotype" w:eastAsia="Calibri" w:hAnsi="Palatino Linotype" w:cs="Arial"/>
          <w:i/>
          <w:lang w:val="es-ES_tradnl" w:eastAsia="es-MX"/>
        </w:rPr>
      </w:pPr>
      <w:r w:rsidRPr="00F90D38">
        <w:rPr>
          <w:rFonts w:ascii="Palatino Linotype" w:eastAsia="Calibri" w:hAnsi="Palatino Linotype" w:cs="Arial"/>
          <w:i/>
          <w:lang w:val="es-ES_tradnl" w:eastAsia="es-MX"/>
        </w:rPr>
        <w:t>[…]</w:t>
      </w:r>
    </w:p>
    <w:p w:rsidR="00055AC4" w:rsidRPr="00F90D38" w:rsidRDefault="00055AC4" w:rsidP="00055AC4">
      <w:pPr>
        <w:spacing w:before="240" w:line="360" w:lineRule="auto"/>
        <w:ind w:left="851" w:right="851"/>
        <w:jc w:val="both"/>
        <w:rPr>
          <w:rFonts w:ascii="Palatino Linotype" w:eastAsia="Calibri" w:hAnsi="Palatino Linotype" w:cs="Arial"/>
          <w:b/>
          <w:i/>
          <w:u w:val="single"/>
          <w:lang w:val="es-ES_tradnl" w:eastAsia="es-MX"/>
        </w:rPr>
      </w:pPr>
      <w:r w:rsidRPr="00F90D38">
        <w:rPr>
          <w:rFonts w:ascii="Palatino Linotype" w:eastAsia="Calibri" w:hAnsi="Palatino Linotype" w:cs="Arial"/>
          <w:b/>
          <w:i/>
          <w:u w:val="single"/>
          <w:lang w:val="es-ES_tradnl" w:eastAsia="es-MX"/>
        </w:rPr>
        <w:t>II. Se determine mediante resolución de autoridad competente; o</w:t>
      </w:r>
    </w:p>
    <w:p w:rsidR="00055AC4" w:rsidRPr="00F90D38" w:rsidRDefault="00055AC4" w:rsidP="00055AC4">
      <w:pPr>
        <w:spacing w:before="240" w:line="360" w:lineRule="auto"/>
        <w:ind w:left="851" w:right="851"/>
        <w:jc w:val="both"/>
        <w:rPr>
          <w:rFonts w:ascii="Palatino Linotype" w:eastAsia="Calibri" w:hAnsi="Palatino Linotype" w:cs="Arial"/>
          <w:b/>
          <w:i/>
          <w:lang w:val="es-ES_tradnl" w:eastAsia="es-MX"/>
        </w:rPr>
      </w:pPr>
      <w:r w:rsidRPr="00F90D38">
        <w:rPr>
          <w:rFonts w:ascii="Palatino Linotype" w:eastAsia="Calibri" w:hAnsi="Palatino Linotype" w:cs="Arial"/>
          <w:b/>
          <w:i/>
          <w:lang w:val="es-ES_tradnl" w:eastAsia="es-MX"/>
        </w:rPr>
        <w:t>(…)</w:t>
      </w:r>
    </w:p>
    <w:p w:rsidR="00055AC4" w:rsidRPr="00F90D38" w:rsidRDefault="00055AC4" w:rsidP="00055AC4">
      <w:pPr>
        <w:spacing w:before="240" w:line="360" w:lineRule="auto"/>
        <w:ind w:left="851" w:right="851"/>
        <w:jc w:val="both"/>
        <w:rPr>
          <w:rFonts w:ascii="Palatino Linotype" w:eastAsia="Calibri" w:hAnsi="Palatino Linotype" w:cs="Arial"/>
          <w:b/>
          <w:i/>
          <w:lang w:val="es-ES_tradnl" w:eastAsia="es-MX"/>
        </w:rPr>
      </w:pPr>
      <w:r w:rsidRPr="00F90D38">
        <w:rPr>
          <w:rFonts w:ascii="Palatino Linotype" w:eastAsia="Calibri" w:hAnsi="Palatino Linotype" w:cs="Arial"/>
          <w:i/>
          <w:lang w:val="es-ES_tradnl" w:eastAsia="es-MX"/>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w:t>
      </w:r>
      <w:r w:rsidRPr="00F90D38">
        <w:rPr>
          <w:rFonts w:ascii="Palatino Linotype" w:eastAsia="Calibri" w:hAnsi="Palatino Linotype" w:cs="Arial"/>
          <w:i/>
          <w:lang w:val="es-ES_tradnl" w:eastAsia="es-MX"/>
        </w:rPr>
        <w:lastRenderedPageBreak/>
        <w:t>su contenido</w:t>
      </w:r>
      <w:r w:rsidRPr="00F90D38">
        <w:rPr>
          <w:rFonts w:ascii="Palatino Linotype" w:eastAsia="Calibri" w:hAnsi="Palatino Linotype" w:cs="Arial"/>
          <w:b/>
          <w:i/>
          <w:lang w:val="es-ES_tradnl" w:eastAsia="es-MX"/>
        </w:rPr>
        <w:t xml:space="preserve"> </w:t>
      </w:r>
      <w:r w:rsidRPr="00F90D38">
        <w:rPr>
          <w:rFonts w:ascii="Palatino Linotype" w:eastAsia="Calibri" w:hAnsi="Palatino Linotype" w:cs="Arial"/>
          <w:b/>
          <w:i/>
          <w:u w:val="single"/>
          <w:lang w:val="es-ES_tradnl" w:eastAsia="es-MX"/>
        </w:rPr>
        <w:t xml:space="preserve">de manera genérica y fundando y motivando su clasificación.” </w:t>
      </w:r>
      <w:r w:rsidRPr="00F90D38">
        <w:rPr>
          <w:rFonts w:ascii="Palatino Linotype" w:eastAsia="Calibri" w:hAnsi="Palatino Linotype" w:cs="Arial"/>
          <w:b/>
          <w:i/>
          <w:lang w:val="es-ES_tradnl" w:eastAsia="es-MX"/>
        </w:rPr>
        <w:t>[Sic]</w:t>
      </w:r>
    </w:p>
    <w:p w:rsidR="00055AC4" w:rsidRPr="00F90D38" w:rsidRDefault="00055AC4" w:rsidP="00055AC4">
      <w:pPr>
        <w:spacing w:line="360" w:lineRule="auto"/>
        <w:jc w:val="both"/>
        <w:rPr>
          <w:rFonts w:ascii="Palatino Linotype" w:hAnsi="Palatino Linotype" w:cs="Arial"/>
        </w:rPr>
      </w:pPr>
    </w:p>
    <w:p w:rsidR="00055AC4" w:rsidRPr="00F90D38" w:rsidRDefault="00055AC4" w:rsidP="00055AC4">
      <w:pPr>
        <w:spacing w:line="360" w:lineRule="auto"/>
        <w:ind w:right="51"/>
        <w:jc w:val="both"/>
        <w:rPr>
          <w:rFonts w:ascii="Palatino Linotype" w:eastAsia="Calibri" w:hAnsi="Palatino Linotype" w:cs="Arial"/>
          <w:lang w:val="es-ES_tradnl" w:eastAsia="es-MX"/>
        </w:rPr>
      </w:pPr>
    </w:p>
    <w:p w:rsidR="00055AC4" w:rsidRPr="00F90D38" w:rsidRDefault="00055AC4" w:rsidP="00055AC4">
      <w:pPr>
        <w:spacing w:line="360" w:lineRule="auto"/>
        <w:ind w:right="51"/>
        <w:jc w:val="both"/>
        <w:rPr>
          <w:rFonts w:ascii="Palatino Linotype" w:eastAsia="Calibri" w:hAnsi="Palatino Linotype" w:cs="Arial"/>
          <w:lang w:val="es-ES_tradnl" w:eastAsia="es-MX"/>
        </w:rPr>
      </w:pPr>
      <w:r w:rsidRPr="00F90D38">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F90D38">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F90D38">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055AC4" w:rsidRPr="00F90D38" w:rsidRDefault="00055AC4" w:rsidP="00055AC4">
      <w:pPr>
        <w:spacing w:line="360" w:lineRule="auto"/>
        <w:ind w:right="51"/>
        <w:jc w:val="both"/>
        <w:rPr>
          <w:rFonts w:ascii="Palatino Linotype" w:eastAsia="Calibri" w:hAnsi="Palatino Linotype" w:cs="Arial"/>
          <w:lang w:val="es-ES_tradnl" w:eastAsia="es-MX"/>
        </w:rPr>
      </w:pPr>
    </w:p>
    <w:p w:rsidR="00055AC4" w:rsidRPr="00F90D38" w:rsidRDefault="00055AC4" w:rsidP="00055AC4">
      <w:pPr>
        <w:spacing w:line="360" w:lineRule="auto"/>
        <w:ind w:right="51"/>
        <w:jc w:val="both"/>
        <w:rPr>
          <w:rFonts w:ascii="Palatino Linotype" w:eastAsiaTheme="minorHAnsi" w:hAnsi="Palatino Linotype" w:cstheme="minorBidi"/>
          <w:lang w:val="es-MX" w:eastAsia="en-US"/>
        </w:rPr>
      </w:pPr>
      <w:r w:rsidRPr="00F90D38">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F90D38">
        <w:rPr>
          <w:rFonts w:ascii="Palatino Linotype" w:eastAsiaTheme="minorHAnsi" w:hAnsi="Palatino Linotype" w:cstheme="minorBidi"/>
          <w:b/>
          <w:lang w:val="es-MX" w:eastAsia="en-US"/>
        </w:rPr>
        <w:t>el Recurrente</w:t>
      </w:r>
      <w:r w:rsidRPr="00F90D38">
        <w:rPr>
          <w:rFonts w:ascii="Palatino Linotype" w:eastAsiaTheme="minorHAnsi" w:hAnsi="Palatino Linotype" w:cstheme="minorBidi"/>
          <w:lang w:val="es-MX" w:eastAsia="en-US"/>
        </w:rPr>
        <w:t xml:space="preserve">, con fundamento en la segunda hipótesis del artículo 186 fracción III de la Ley de Transparencia y Acceso a la Información Pública del Estado de México y Municipios, se </w:t>
      </w:r>
      <w:r w:rsidRPr="00F90D38">
        <w:rPr>
          <w:rFonts w:ascii="Palatino Linotype" w:eastAsiaTheme="minorHAnsi" w:hAnsi="Palatino Linotype" w:cstheme="minorBidi"/>
          <w:b/>
          <w:lang w:val="es-MX" w:eastAsia="en-US"/>
        </w:rPr>
        <w:t xml:space="preserve">MODIFICA </w:t>
      </w:r>
      <w:r w:rsidRPr="00F90D38">
        <w:rPr>
          <w:rFonts w:ascii="Palatino Linotype" w:eastAsiaTheme="minorHAnsi" w:hAnsi="Palatino Linotype" w:cstheme="minorBidi"/>
          <w:lang w:val="es-MX" w:eastAsia="en-US"/>
        </w:rPr>
        <w:t xml:space="preserve">la respuesta emitida a la solicitud de información </w:t>
      </w:r>
      <w:r w:rsidRPr="00F90D38">
        <w:rPr>
          <w:rFonts w:ascii="Palatino Linotype" w:hAnsi="Palatino Linotype"/>
          <w:b/>
          <w:bCs/>
        </w:rPr>
        <w:t>00034/SESEA/IP/2025</w:t>
      </w:r>
      <w:r w:rsidRPr="00F90D38">
        <w:rPr>
          <w:rFonts w:ascii="Palatino Linotype" w:eastAsiaTheme="minorHAnsi" w:hAnsi="Palatino Linotype"/>
          <w:b/>
          <w:bCs/>
        </w:rPr>
        <w:t>,</w:t>
      </w:r>
      <w:r w:rsidRPr="00F90D38">
        <w:rPr>
          <w:rFonts w:ascii="Palatino Linotype" w:eastAsiaTheme="minorHAnsi" w:hAnsi="Palatino Linotype" w:cs="Arial"/>
          <w:lang w:val="es-MX" w:eastAsia="en-US"/>
        </w:rPr>
        <w:t xml:space="preserve"> </w:t>
      </w:r>
      <w:r w:rsidRPr="00F90D38">
        <w:rPr>
          <w:rFonts w:ascii="Palatino Linotype" w:eastAsiaTheme="minorHAnsi" w:hAnsi="Palatino Linotype" w:cstheme="minorBidi"/>
          <w:lang w:val="es-MX" w:eastAsia="en-US"/>
        </w:rPr>
        <w:t>que ha sido materia del presente fallo.</w:t>
      </w:r>
    </w:p>
    <w:p w:rsidR="00055AC4" w:rsidRPr="00F90D38" w:rsidRDefault="00055AC4" w:rsidP="00055AC4">
      <w:pPr>
        <w:spacing w:line="360" w:lineRule="auto"/>
        <w:jc w:val="both"/>
        <w:rPr>
          <w:rFonts w:ascii="Palatino Linotype" w:eastAsiaTheme="minorHAnsi" w:hAnsi="Palatino Linotype" w:cstheme="minorBidi"/>
          <w:lang w:val="es-MX" w:eastAsia="en-US"/>
        </w:rPr>
      </w:pPr>
    </w:p>
    <w:p w:rsidR="00055AC4" w:rsidRPr="00F90D38" w:rsidRDefault="00055AC4" w:rsidP="00055AC4">
      <w:pPr>
        <w:spacing w:line="360" w:lineRule="auto"/>
        <w:jc w:val="both"/>
        <w:rPr>
          <w:rFonts w:ascii="Palatino Linotype" w:hAnsi="Palatino Linotype"/>
          <w:lang w:val="es-MX"/>
        </w:rPr>
      </w:pPr>
      <w:r w:rsidRPr="00F90D38">
        <w:rPr>
          <w:rFonts w:ascii="Palatino Linotype" w:hAnsi="Palatino Linotype"/>
          <w:lang w:val="es-MX"/>
        </w:rPr>
        <w:t>Por lo antes expuesto y fundado es de resolverse y,</w:t>
      </w:r>
    </w:p>
    <w:p w:rsidR="00055AC4" w:rsidRPr="00F90D38" w:rsidRDefault="00055AC4" w:rsidP="00055AC4">
      <w:pPr>
        <w:spacing w:line="360" w:lineRule="auto"/>
        <w:jc w:val="both"/>
        <w:rPr>
          <w:rFonts w:ascii="Palatino Linotype" w:hAnsi="Palatino Linotype"/>
          <w:lang w:val="es-MX"/>
        </w:rPr>
      </w:pPr>
    </w:p>
    <w:p w:rsidR="00055AC4" w:rsidRPr="00F90D38" w:rsidRDefault="00055AC4" w:rsidP="00055AC4">
      <w:pPr>
        <w:spacing w:line="360" w:lineRule="auto"/>
        <w:jc w:val="center"/>
        <w:rPr>
          <w:rFonts w:ascii="Palatino Linotype" w:hAnsi="Palatino Linotype"/>
          <w:bCs/>
          <w:spacing w:val="60"/>
          <w:lang w:val="es-ES_tradnl"/>
        </w:rPr>
      </w:pPr>
      <w:r w:rsidRPr="00F90D38">
        <w:rPr>
          <w:rFonts w:ascii="Palatino Linotype" w:hAnsi="Palatino Linotype"/>
          <w:b/>
          <w:bCs/>
          <w:spacing w:val="60"/>
          <w:sz w:val="28"/>
          <w:lang w:val="es-ES_tradnl"/>
        </w:rPr>
        <w:t>SE    RESUELVE</w:t>
      </w:r>
    </w:p>
    <w:p w:rsidR="00055AC4" w:rsidRPr="00F90D38" w:rsidRDefault="00055AC4" w:rsidP="00055AC4">
      <w:pPr>
        <w:spacing w:line="360" w:lineRule="auto"/>
        <w:jc w:val="both"/>
        <w:rPr>
          <w:rFonts w:ascii="Palatino Linotype" w:hAnsi="Palatino Linotype" w:cs="Arial"/>
        </w:rPr>
      </w:pPr>
      <w:r w:rsidRPr="00F90D38">
        <w:rPr>
          <w:rFonts w:ascii="Palatino Linotype" w:hAnsi="Palatino Linotype" w:cs="Arial"/>
          <w:b/>
          <w:sz w:val="28"/>
          <w:szCs w:val="28"/>
        </w:rPr>
        <w:t>PRIMERO</w:t>
      </w:r>
      <w:r w:rsidRPr="00F90D38">
        <w:rPr>
          <w:rFonts w:ascii="Palatino Linotype" w:hAnsi="Palatino Linotype" w:cs="Arial"/>
          <w:sz w:val="32"/>
          <w:szCs w:val="28"/>
        </w:rPr>
        <w:t>.</w:t>
      </w:r>
      <w:r w:rsidRPr="00F90D38">
        <w:rPr>
          <w:rFonts w:ascii="Palatino Linotype" w:hAnsi="Palatino Linotype" w:cs="Arial"/>
        </w:rPr>
        <w:t xml:space="preserve"> Se</w:t>
      </w:r>
      <w:r w:rsidRPr="00F90D38">
        <w:rPr>
          <w:rFonts w:ascii="Palatino Linotype" w:hAnsi="Palatino Linotype" w:cs="Arial"/>
          <w:b/>
        </w:rPr>
        <w:t xml:space="preserve"> MODIFICA </w:t>
      </w:r>
      <w:r w:rsidRPr="00F90D38">
        <w:rPr>
          <w:rFonts w:ascii="Palatino Linotype" w:hAnsi="Palatino Linotype" w:cs="Arial"/>
        </w:rPr>
        <w:t xml:space="preserve">la respuesta del </w:t>
      </w:r>
      <w:r w:rsidRPr="00F90D38">
        <w:rPr>
          <w:rFonts w:ascii="Palatino Linotype" w:hAnsi="Palatino Linotype" w:cs="Arial"/>
          <w:b/>
        </w:rPr>
        <w:t>Sujeto Obligado</w:t>
      </w:r>
      <w:r w:rsidRPr="00F90D38">
        <w:rPr>
          <w:rFonts w:ascii="Palatino Linotype" w:hAnsi="Palatino Linotype" w:cs="Arial"/>
        </w:rPr>
        <w:t xml:space="preserve"> a la solicitud de acceso a la información pública</w:t>
      </w:r>
      <w:r w:rsidRPr="00F90D38">
        <w:rPr>
          <w:rFonts w:ascii="Palatino Linotype" w:hAnsi="Palatino Linotype" w:cs="Arial"/>
          <w:b/>
        </w:rPr>
        <w:t xml:space="preserve"> </w:t>
      </w:r>
      <w:r w:rsidRPr="00F90D38">
        <w:rPr>
          <w:rFonts w:ascii="Palatino Linotype" w:hAnsi="Palatino Linotype"/>
          <w:b/>
          <w:bCs/>
        </w:rPr>
        <w:t>00034/SESEA/IP/2025</w:t>
      </w:r>
      <w:r w:rsidRPr="00F90D38">
        <w:rPr>
          <w:rFonts w:ascii="Palatino Linotype" w:hAnsi="Palatino Linotype" w:cs="Arial"/>
        </w:rPr>
        <w:t>,</w:t>
      </w:r>
      <w:r w:rsidRPr="00F90D38">
        <w:rPr>
          <w:rFonts w:ascii="Palatino Linotype" w:hAnsi="Palatino Linotype" w:cs="Tahoma"/>
          <w:b/>
        </w:rPr>
        <w:t xml:space="preserve"> </w:t>
      </w:r>
      <w:r w:rsidRPr="00F90D38">
        <w:rPr>
          <w:rFonts w:ascii="Palatino Linotype" w:hAnsi="Palatino Linotype" w:cs="Arial"/>
        </w:rPr>
        <w:t>por resultar fundados</w:t>
      </w:r>
      <w:r w:rsidRPr="00F90D38">
        <w:rPr>
          <w:rFonts w:ascii="Palatino Linotype" w:hAnsi="Palatino Linotype" w:cs="Arial"/>
          <w:b/>
        </w:rPr>
        <w:t xml:space="preserve"> </w:t>
      </w:r>
      <w:r w:rsidRPr="00F90D38">
        <w:rPr>
          <w:rFonts w:ascii="Palatino Linotype" w:hAnsi="Palatino Linotype" w:cs="Arial"/>
        </w:rPr>
        <w:t xml:space="preserve">los motivos de inconformidad vertidos por la parte </w:t>
      </w:r>
      <w:r w:rsidRPr="00F90D38">
        <w:rPr>
          <w:rFonts w:ascii="Palatino Linotype" w:hAnsi="Palatino Linotype" w:cs="Arial"/>
          <w:b/>
        </w:rPr>
        <w:t>Recurrente</w:t>
      </w:r>
      <w:r w:rsidRPr="00F90D38">
        <w:rPr>
          <w:rFonts w:ascii="Palatino Linotype" w:hAnsi="Palatino Linotype" w:cs="Arial"/>
        </w:rPr>
        <w:t>, en términos del considerando</w:t>
      </w:r>
      <w:r w:rsidRPr="00F90D38">
        <w:rPr>
          <w:rFonts w:ascii="Palatino Linotype" w:hAnsi="Palatino Linotype" w:cs="Arial"/>
          <w:b/>
        </w:rPr>
        <w:t xml:space="preserve"> CUARTO </w:t>
      </w:r>
      <w:r w:rsidRPr="00F90D38">
        <w:rPr>
          <w:rFonts w:ascii="Palatino Linotype" w:hAnsi="Palatino Linotype" w:cs="Arial"/>
        </w:rPr>
        <w:t>de la presente Resolución.</w:t>
      </w:r>
    </w:p>
    <w:p w:rsidR="00055AC4" w:rsidRPr="00F90D38" w:rsidRDefault="00055AC4" w:rsidP="00055AC4">
      <w:pPr>
        <w:spacing w:line="360" w:lineRule="auto"/>
        <w:jc w:val="both"/>
        <w:rPr>
          <w:rFonts w:ascii="Palatino Linotype" w:hAnsi="Palatino Linotype" w:cs="Arial"/>
        </w:rPr>
      </w:pPr>
    </w:p>
    <w:p w:rsidR="00055AC4" w:rsidRPr="00F90D38" w:rsidRDefault="00055AC4" w:rsidP="00055AC4">
      <w:pPr>
        <w:spacing w:line="360" w:lineRule="auto"/>
        <w:jc w:val="both"/>
        <w:rPr>
          <w:rFonts w:ascii="Palatino Linotype" w:hAnsi="Palatino Linotype" w:cs="Tahoma"/>
        </w:rPr>
      </w:pPr>
      <w:r w:rsidRPr="00F90D38">
        <w:rPr>
          <w:rFonts w:ascii="Palatino Linotype" w:hAnsi="Palatino Linotype" w:cs="Arial"/>
          <w:b/>
          <w:sz w:val="28"/>
        </w:rPr>
        <w:t>SEGUNDO</w:t>
      </w:r>
      <w:r w:rsidRPr="00F90D38">
        <w:rPr>
          <w:rFonts w:ascii="Palatino Linotype" w:hAnsi="Palatino Linotype" w:cs="Arial"/>
          <w:b/>
        </w:rPr>
        <w:t>.</w:t>
      </w:r>
      <w:r w:rsidRPr="00F90D38">
        <w:rPr>
          <w:rFonts w:ascii="Palatino Linotype" w:hAnsi="Palatino Linotype" w:cs="Tahoma"/>
        </w:rPr>
        <w:t xml:space="preserve"> Se </w:t>
      </w:r>
      <w:r w:rsidRPr="00F90D38">
        <w:rPr>
          <w:rFonts w:ascii="Palatino Linotype" w:hAnsi="Palatino Linotype" w:cs="Tahoma"/>
          <w:b/>
        </w:rPr>
        <w:t>ORDENA</w:t>
      </w:r>
      <w:r w:rsidRPr="00F90D38">
        <w:rPr>
          <w:rFonts w:ascii="Palatino Linotype" w:hAnsi="Palatino Linotype" w:cs="Tahoma"/>
        </w:rPr>
        <w:t xml:space="preserve"> al </w:t>
      </w:r>
      <w:r w:rsidRPr="00F90D38">
        <w:rPr>
          <w:rFonts w:ascii="Palatino Linotype" w:hAnsi="Palatino Linotype" w:cs="Tahoma"/>
          <w:b/>
        </w:rPr>
        <w:t>Sujeto Obligado,</w:t>
      </w:r>
      <w:r w:rsidRPr="00F90D38">
        <w:rPr>
          <w:rFonts w:ascii="Palatino Linotype" w:hAnsi="Palatino Linotype" w:cs="Tahoma"/>
        </w:rPr>
        <w:t xml:space="preserve"> haga entrega a la parte </w:t>
      </w:r>
      <w:r w:rsidRPr="00F90D38">
        <w:rPr>
          <w:rFonts w:ascii="Palatino Linotype" w:hAnsi="Palatino Linotype" w:cs="Tahoma"/>
          <w:b/>
        </w:rPr>
        <w:t>Recurrente</w:t>
      </w:r>
      <w:r w:rsidRPr="00F90D38">
        <w:rPr>
          <w:rFonts w:ascii="Palatino Linotype" w:hAnsi="Palatino Linotype" w:cs="Tahoma"/>
        </w:rPr>
        <w:t>, a través del Sistema de Acceso a la Información Mexiquense (</w:t>
      </w:r>
      <w:r w:rsidRPr="00F90D38">
        <w:rPr>
          <w:rFonts w:ascii="Palatino Linotype" w:hAnsi="Palatino Linotype" w:cs="Tahoma"/>
          <w:b/>
        </w:rPr>
        <w:t>SAIMEX</w:t>
      </w:r>
      <w:r w:rsidRPr="00F90D38">
        <w:rPr>
          <w:rFonts w:ascii="Palatino Linotype" w:hAnsi="Palatino Linotype" w:cs="Tahoma"/>
        </w:rPr>
        <w:t>), en versión pública</w:t>
      </w:r>
      <w:r w:rsidR="00CA3F76" w:rsidRPr="00F90D38">
        <w:rPr>
          <w:rFonts w:ascii="Palatino Linotype" w:hAnsi="Palatino Linotype" w:cs="Tahoma"/>
        </w:rPr>
        <w:t xml:space="preserve"> de ser procedente</w:t>
      </w:r>
      <w:r w:rsidRPr="00F90D38">
        <w:rPr>
          <w:rFonts w:ascii="Palatino Linotype" w:hAnsi="Palatino Linotype" w:cs="Tahoma"/>
        </w:rPr>
        <w:t>, de lo siguiente:</w:t>
      </w:r>
    </w:p>
    <w:p w:rsidR="00D76A4F" w:rsidRPr="00F90D38" w:rsidRDefault="00D76A4F" w:rsidP="00D76A4F">
      <w:pPr>
        <w:pStyle w:val="INFOEM"/>
        <w:numPr>
          <w:ilvl w:val="0"/>
          <w:numId w:val="5"/>
        </w:numPr>
        <w:spacing w:after="0"/>
        <w:ind w:right="567"/>
        <w:rPr>
          <w:rFonts w:cs="Tahoma"/>
          <w:bCs/>
          <w:i w:val="0"/>
          <w:sz w:val="24"/>
          <w:lang w:val="es-ES"/>
        </w:rPr>
      </w:pPr>
      <w:r w:rsidRPr="00F90D38">
        <w:rPr>
          <w:rFonts w:cs="Tahoma"/>
          <w:bCs/>
          <w:i w:val="0"/>
          <w:sz w:val="24"/>
          <w:lang w:val="es-ES"/>
        </w:rPr>
        <w:t>Cédulas de Bases de Datos</w:t>
      </w:r>
      <w:r w:rsidR="00CD6A19" w:rsidRPr="00F90D38">
        <w:rPr>
          <w:rFonts w:cs="Tahoma"/>
          <w:bCs/>
          <w:i w:val="0"/>
          <w:sz w:val="24"/>
          <w:lang w:val="es-ES"/>
        </w:rPr>
        <w:t xml:space="preserve"> Personales registradas en el </w:t>
      </w:r>
      <w:r w:rsidR="00CA3F76" w:rsidRPr="00F90D38">
        <w:rPr>
          <w:rFonts w:cs="Tahoma"/>
          <w:bCs/>
          <w:i w:val="0"/>
          <w:sz w:val="24"/>
          <w:lang w:val="es-ES"/>
        </w:rPr>
        <w:t>REDATOSEM</w:t>
      </w:r>
      <w:r w:rsidR="00CD6A19" w:rsidRPr="00F90D38">
        <w:rPr>
          <w:rFonts w:cs="Tahoma"/>
          <w:bCs/>
          <w:i w:val="0"/>
          <w:sz w:val="24"/>
          <w:lang w:val="es-ES"/>
        </w:rPr>
        <w:t xml:space="preserve">, al veinticinco de marzo de dos mil </w:t>
      </w:r>
      <w:r w:rsidR="00D406F0" w:rsidRPr="00F90D38">
        <w:rPr>
          <w:rFonts w:cs="Tahoma"/>
          <w:bCs/>
          <w:i w:val="0"/>
          <w:sz w:val="24"/>
          <w:lang w:val="es-ES"/>
        </w:rPr>
        <w:t>veinticinco</w:t>
      </w:r>
      <w:r w:rsidR="00CD6A19" w:rsidRPr="00F90D38">
        <w:rPr>
          <w:rFonts w:cs="Tahoma"/>
          <w:bCs/>
          <w:i w:val="0"/>
          <w:sz w:val="24"/>
          <w:lang w:val="es-ES"/>
        </w:rPr>
        <w:t>.</w:t>
      </w:r>
    </w:p>
    <w:p w:rsidR="00CD6A19" w:rsidRPr="00F90D38" w:rsidRDefault="00CD6A19" w:rsidP="00CD6A19">
      <w:pPr>
        <w:pStyle w:val="INFOEM"/>
        <w:spacing w:after="0"/>
        <w:ind w:left="1080" w:right="567"/>
        <w:rPr>
          <w:rFonts w:cs="Tahoma"/>
          <w:bCs/>
          <w:i w:val="0"/>
          <w:sz w:val="24"/>
          <w:lang w:val="es-ES"/>
        </w:rPr>
      </w:pPr>
    </w:p>
    <w:p w:rsidR="00055AC4" w:rsidRPr="00F90D38" w:rsidRDefault="00055AC4" w:rsidP="00055AC4">
      <w:pPr>
        <w:pStyle w:val="INFOEM"/>
        <w:spacing w:before="0" w:after="0"/>
        <w:ind w:left="1080" w:right="567"/>
      </w:pPr>
      <w:r w:rsidRPr="00F90D38">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055AC4" w:rsidRPr="00F90D38" w:rsidRDefault="00055AC4" w:rsidP="00055AC4">
      <w:pPr>
        <w:spacing w:line="360" w:lineRule="auto"/>
        <w:jc w:val="both"/>
        <w:rPr>
          <w:rFonts w:ascii="Palatino Linotype" w:hAnsi="Palatino Linotype" w:cs="Arial"/>
        </w:rPr>
      </w:pPr>
    </w:p>
    <w:p w:rsidR="00055AC4" w:rsidRPr="00F90D38" w:rsidRDefault="00055AC4" w:rsidP="00055AC4">
      <w:pPr>
        <w:spacing w:line="360" w:lineRule="auto"/>
        <w:jc w:val="both"/>
        <w:rPr>
          <w:rFonts w:ascii="Palatino Linotype" w:hAnsi="Palatino Linotype" w:cs="Tahoma"/>
          <w:bCs/>
        </w:rPr>
      </w:pPr>
      <w:r w:rsidRPr="00F90D38">
        <w:rPr>
          <w:rFonts w:ascii="Palatino Linotype" w:hAnsi="Palatino Linotype" w:cs="Arial"/>
          <w:b/>
          <w:sz w:val="28"/>
        </w:rPr>
        <w:t>TERCERO</w:t>
      </w:r>
      <w:r w:rsidRPr="00F90D38">
        <w:rPr>
          <w:rFonts w:ascii="Palatino Linotype" w:hAnsi="Palatino Linotype" w:cs="Arial"/>
          <w:b/>
        </w:rPr>
        <w:t>.</w:t>
      </w:r>
      <w:r w:rsidRPr="00F90D38">
        <w:rPr>
          <w:rFonts w:ascii="Palatino Linotype" w:hAnsi="Palatino Linotype" w:cs="Arial"/>
        </w:rPr>
        <w:t xml:space="preserve"> </w:t>
      </w:r>
      <w:r w:rsidRPr="00F90D38">
        <w:rPr>
          <w:rFonts w:ascii="Palatino Linotype" w:hAnsi="Palatino Linotype" w:cs="Tahoma"/>
          <w:b/>
        </w:rPr>
        <w:t xml:space="preserve">NOTIFÍQUESE </w:t>
      </w:r>
      <w:r w:rsidRPr="00F90D38">
        <w:rPr>
          <w:rFonts w:ascii="Palatino Linotype" w:hAnsi="Palatino Linotype" w:cs="Arial"/>
        </w:rPr>
        <w:t xml:space="preserve">a través del Sistema de Acceso a la Información Mexiquense </w:t>
      </w:r>
      <w:r w:rsidRPr="00F90D38">
        <w:rPr>
          <w:rFonts w:ascii="Palatino Linotype" w:hAnsi="Palatino Linotype" w:cs="Arial"/>
          <w:b/>
        </w:rPr>
        <w:t>(SAIMEX)</w:t>
      </w:r>
      <w:r w:rsidRPr="00F90D38">
        <w:rPr>
          <w:rFonts w:ascii="Palatino Linotype" w:hAnsi="Palatino Linotype" w:cs="Arial"/>
        </w:rPr>
        <w:t xml:space="preserve">, </w:t>
      </w:r>
      <w:r w:rsidRPr="00F90D38">
        <w:rPr>
          <w:rFonts w:ascii="Palatino Linotype" w:hAnsi="Palatino Linotype" w:cs="Tahoma"/>
        </w:rPr>
        <w:t xml:space="preserve">la presente Resolución al Titular de la Unidad de Transparencia del </w:t>
      </w:r>
      <w:r w:rsidRPr="00F90D38">
        <w:rPr>
          <w:rFonts w:ascii="Palatino Linotype" w:hAnsi="Palatino Linotype" w:cs="Tahoma"/>
          <w:b/>
        </w:rPr>
        <w:t>Sujeto Obligado</w:t>
      </w:r>
      <w:r w:rsidRPr="00F90D38">
        <w:rPr>
          <w:rFonts w:ascii="Palatino Linotype" w:hAnsi="Palatino Linotype" w:cs="Tahoma"/>
        </w:rPr>
        <w:t xml:space="preserve">, para que conforme al artículo 186 último párrafo, 189 segundo párrafo y 194 de la Ley de Transparencia y Acceso a la Información </w:t>
      </w:r>
      <w:r w:rsidRPr="00F90D38">
        <w:rPr>
          <w:rFonts w:ascii="Palatino Linotype" w:hAnsi="Palatino Linotype" w:cs="Tahoma"/>
        </w:rPr>
        <w:lastRenderedPageBreak/>
        <w:t xml:space="preserve">Pública del Estado de México y Municipios; dé cumplimiento a lo ordenado dentro del plazo de diez días hábiles, e informe a este Instituto en un plazo de tres días hábiles siguientes sobre el cumplimiento dado a la presente y, </w:t>
      </w:r>
      <w:r w:rsidRPr="00F90D3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55AC4" w:rsidRPr="00F90D38" w:rsidRDefault="00055AC4" w:rsidP="00055AC4">
      <w:pPr>
        <w:spacing w:line="360" w:lineRule="auto"/>
        <w:ind w:right="-595"/>
        <w:jc w:val="both"/>
        <w:rPr>
          <w:rFonts w:ascii="Palatino Linotype" w:hAnsi="Palatino Linotype" w:cs="Tahoma"/>
          <w:bCs/>
        </w:rPr>
      </w:pPr>
    </w:p>
    <w:p w:rsidR="00055AC4" w:rsidRPr="00F90D38" w:rsidRDefault="00055AC4" w:rsidP="00055AC4">
      <w:pPr>
        <w:autoSpaceDE w:val="0"/>
        <w:autoSpaceDN w:val="0"/>
        <w:adjustRightInd w:val="0"/>
        <w:spacing w:line="360" w:lineRule="auto"/>
        <w:jc w:val="both"/>
        <w:rPr>
          <w:rFonts w:ascii="Palatino Linotype" w:hAnsi="Palatino Linotype" w:cs="Arial"/>
        </w:rPr>
      </w:pPr>
      <w:r w:rsidRPr="00F90D38">
        <w:rPr>
          <w:rFonts w:ascii="Palatino Linotype" w:hAnsi="Palatino Linotype" w:cs="Arial"/>
          <w:b/>
          <w:sz w:val="28"/>
          <w:szCs w:val="28"/>
        </w:rPr>
        <w:t>CUARTO.</w:t>
      </w:r>
      <w:r w:rsidRPr="00F90D38">
        <w:rPr>
          <w:rFonts w:ascii="Palatino Linotype" w:hAnsi="Palatino Linotype" w:cs="Arial"/>
          <w:b/>
        </w:rPr>
        <w:t xml:space="preserve"> </w:t>
      </w:r>
      <w:r w:rsidRPr="00F90D38">
        <w:rPr>
          <w:rFonts w:ascii="Palatino Linotype" w:hAnsi="Palatino Linotype" w:cs="Arial"/>
        </w:rPr>
        <w:t xml:space="preserve">De conformidad con el artículo 198 de la Ley de Transparencia y Acceso a la Información Pública del Estado de México y Municipios, de considerarlo procedente, el </w:t>
      </w:r>
      <w:r w:rsidRPr="00F90D38">
        <w:rPr>
          <w:rFonts w:ascii="Palatino Linotype" w:hAnsi="Palatino Linotype" w:cs="Arial"/>
          <w:b/>
        </w:rPr>
        <w:t>Sujeto Obligado</w:t>
      </w:r>
      <w:r w:rsidRPr="00F90D38">
        <w:rPr>
          <w:rFonts w:ascii="Palatino Linotype" w:hAnsi="Palatino Linotype" w:cs="Arial"/>
        </w:rPr>
        <w:t xml:space="preserve"> de manera fundada y motivada, podrá solicitar una ampliación de plazo para el cumplimiento de la presente resolución.</w:t>
      </w:r>
    </w:p>
    <w:p w:rsidR="00055AC4" w:rsidRPr="00F90D38" w:rsidRDefault="00055AC4" w:rsidP="00055AC4">
      <w:pPr>
        <w:autoSpaceDE w:val="0"/>
        <w:autoSpaceDN w:val="0"/>
        <w:adjustRightInd w:val="0"/>
        <w:spacing w:line="360" w:lineRule="auto"/>
        <w:jc w:val="both"/>
        <w:rPr>
          <w:rFonts w:ascii="Palatino Linotype" w:hAnsi="Palatino Linotype" w:cs="Arial"/>
        </w:rPr>
      </w:pPr>
    </w:p>
    <w:p w:rsidR="00055AC4" w:rsidRPr="00F90D38" w:rsidRDefault="00055AC4" w:rsidP="00055AC4">
      <w:pPr>
        <w:autoSpaceDE w:val="0"/>
        <w:autoSpaceDN w:val="0"/>
        <w:adjustRightInd w:val="0"/>
        <w:spacing w:line="360" w:lineRule="auto"/>
        <w:jc w:val="both"/>
        <w:rPr>
          <w:rFonts w:ascii="Palatino Linotype" w:hAnsi="Palatino Linotype" w:cs="Arial"/>
        </w:rPr>
      </w:pPr>
      <w:r w:rsidRPr="00F90D38">
        <w:rPr>
          <w:rFonts w:ascii="Palatino Linotype" w:hAnsi="Palatino Linotype"/>
          <w:b/>
          <w:sz w:val="28"/>
          <w:szCs w:val="28"/>
        </w:rPr>
        <w:t>QUINTO</w:t>
      </w:r>
      <w:r w:rsidRPr="00F90D38">
        <w:rPr>
          <w:rFonts w:ascii="Palatino Linotype" w:hAnsi="Palatino Linotype"/>
          <w:b/>
        </w:rPr>
        <w:t xml:space="preserve">. </w:t>
      </w:r>
      <w:r w:rsidRPr="00F90D38">
        <w:rPr>
          <w:rFonts w:ascii="Palatino Linotype" w:hAnsi="Palatino Linotype" w:cs="Arial"/>
          <w:b/>
        </w:rPr>
        <w:t>NOTIFÍQUESE</w:t>
      </w:r>
      <w:r w:rsidRPr="00F90D38">
        <w:rPr>
          <w:rFonts w:ascii="Palatino Linotype" w:hAnsi="Palatino Linotype" w:cs="Arial"/>
        </w:rPr>
        <w:t xml:space="preserve"> a través del Sistema de Acceso a la Información Mexiquense </w:t>
      </w:r>
      <w:r w:rsidRPr="00F90D38">
        <w:rPr>
          <w:rFonts w:ascii="Palatino Linotype" w:hAnsi="Palatino Linotype" w:cs="Arial"/>
          <w:b/>
        </w:rPr>
        <w:t>(SAIMEX)</w:t>
      </w:r>
      <w:r w:rsidRPr="00F90D38">
        <w:rPr>
          <w:rFonts w:ascii="Palatino Linotype" w:hAnsi="Palatino Linotype" w:cs="Arial"/>
        </w:rPr>
        <w:t xml:space="preserve">, al </w:t>
      </w:r>
      <w:r w:rsidRPr="00F90D38">
        <w:rPr>
          <w:rFonts w:ascii="Palatino Linotype" w:hAnsi="Palatino Linotype" w:cs="Arial"/>
          <w:b/>
        </w:rPr>
        <w:t>Recurrente</w:t>
      </w:r>
      <w:r w:rsidRPr="00F90D38">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D406F0" w:rsidRPr="00F90D38" w:rsidRDefault="00D406F0" w:rsidP="00055AC4">
      <w:pPr>
        <w:autoSpaceDE w:val="0"/>
        <w:autoSpaceDN w:val="0"/>
        <w:adjustRightInd w:val="0"/>
        <w:spacing w:line="360" w:lineRule="auto"/>
        <w:jc w:val="both"/>
        <w:rPr>
          <w:rFonts w:ascii="Palatino Linotype" w:hAnsi="Palatino Linotype" w:cs="Arial"/>
        </w:rPr>
      </w:pPr>
    </w:p>
    <w:p w:rsidR="00D406F0" w:rsidRPr="00F90D38" w:rsidRDefault="00D406F0" w:rsidP="00055AC4">
      <w:pPr>
        <w:autoSpaceDE w:val="0"/>
        <w:autoSpaceDN w:val="0"/>
        <w:adjustRightInd w:val="0"/>
        <w:spacing w:line="360" w:lineRule="auto"/>
        <w:jc w:val="both"/>
        <w:rPr>
          <w:rFonts w:ascii="Palatino Linotype" w:hAnsi="Palatino Linotype" w:cs="Arial"/>
        </w:rPr>
      </w:pPr>
    </w:p>
    <w:p w:rsidR="00D406F0" w:rsidRPr="00F90D38" w:rsidRDefault="00D406F0" w:rsidP="00055AC4">
      <w:pPr>
        <w:autoSpaceDE w:val="0"/>
        <w:autoSpaceDN w:val="0"/>
        <w:adjustRightInd w:val="0"/>
        <w:spacing w:line="360" w:lineRule="auto"/>
        <w:jc w:val="both"/>
        <w:rPr>
          <w:rFonts w:ascii="Palatino Linotype" w:hAnsi="Palatino Linotype" w:cs="Arial"/>
        </w:rPr>
      </w:pPr>
    </w:p>
    <w:p w:rsidR="00D406F0" w:rsidRPr="00F90D38" w:rsidRDefault="00D406F0" w:rsidP="00055AC4">
      <w:pPr>
        <w:autoSpaceDE w:val="0"/>
        <w:autoSpaceDN w:val="0"/>
        <w:adjustRightInd w:val="0"/>
        <w:spacing w:line="360" w:lineRule="auto"/>
        <w:jc w:val="both"/>
        <w:rPr>
          <w:rFonts w:ascii="Palatino Linotype" w:hAnsi="Palatino Linotype" w:cs="Arial"/>
        </w:rPr>
      </w:pPr>
    </w:p>
    <w:p w:rsidR="00055AC4" w:rsidRPr="00F90D38" w:rsidRDefault="00055AC4" w:rsidP="00055AC4">
      <w:pPr>
        <w:spacing w:line="360" w:lineRule="auto"/>
        <w:jc w:val="both"/>
        <w:rPr>
          <w:rFonts w:ascii="Palatino Linotype" w:hAnsi="Palatino Linotype" w:cs="Arial"/>
        </w:rPr>
      </w:pPr>
    </w:p>
    <w:p w:rsidR="00055AC4" w:rsidRPr="00F90D38" w:rsidRDefault="00445900" w:rsidP="00055AC4">
      <w:pPr>
        <w:spacing w:line="360" w:lineRule="auto"/>
        <w:jc w:val="both"/>
        <w:rPr>
          <w:rFonts w:ascii="Palatino Linotype" w:hAnsi="Palatino Linotype" w:cs="Arial"/>
        </w:rPr>
      </w:pPr>
      <w:r w:rsidRPr="00F90D38">
        <w:rPr>
          <w:rFonts w:ascii="Palatino Linotype" w:hAnsi="Palatino Linotype" w:cs="Arial"/>
        </w:rPr>
        <w:lastRenderedPageBreak/>
        <w:t>ASÍ LO RESUELVE, POR UNANIMIDAD DE VOTOS, EL PLENO DEL</w:t>
      </w:r>
      <w:r w:rsidRPr="00F90D38">
        <w:rPr>
          <w:rFonts w:ascii="Palatino Linotype" w:eastAsia="Arial Unicode MS" w:hAnsi="Palatino Linotype" w:cs="Arial"/>
        </w:rPr>
        <w:t xml:space="preserve"> INSTITUTO DE TRANSPARENCIA, ACCESO A LA INFORMACIÓN PÚBLICA Y PROTECCIÓN DE DATOS PERSONALES DEL ESTADO DE MÉXICO Y MUNICIPIOS</w:t>
      </w:r>
      <w:r w:rsidRPr="00F90D38">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055AC4" w:rsidRPr="00F90D38">
        <w:rPr>
          <w:rFonts w:ascii="Palatino Linotype" w:hAnsi="Palatino Linotype" w:cs="Arial"/>
        </w:rPr>
        <w:t>. ----------------------------------------------------------------------------------------------------------------------------------------------------------------------------------------------------------------------------------------------------------------------------------------------------------------------------------------------------------------------------------------------------------------------------------------------------------------------------------------------------------------------------------------------------------------------------------------------------------------------------------------------------------------------------------</w:t>
      </w:r>
      <w:r w:rsidR="00FC6191" w:rsidRPr="00F90D38">
        <w:rPr>
          <w:rFonts w:ascii="Palatino Linotype" w:hAnsi="Palatino Linotype" w:cs="Arial"/>
        </w:rPr>
        <w:t>---------</w:t>
      </w:r>
    </w:p>
    <w:p w:rsidR="00055AC4" w:rsidRDefault="00055AC4" w:rsidP="00055AC4">
      <w:pPr>
        <w:spacing w:line="360" w:lineRule="auto"/>
        <w:jc w:val="both"/>
        <w:rPr>
          <w:rFonts w:ascii="Palatino Linotype" w:hAnsi="Palatino Linotype" w:cs="Arial"/>
          <w:sz w:val="16"/>
        </w:rPr>
      </w:pPr>
      <w:r w:rsidRPr="00F90D38">
        <w:rPr>
          <w:rFonts w:ascii="Palatino Linotype" w:hAnsi="Palatino Linotype" w:cs="Arial"/>
        </w:rPr>
        <w:t>------------------------------------------------------------------------------------------------------------------------------------------------------------------------------------------------------------------------------------</w:t>
      </w:r>
      <w:r w:rsidRPr="00F90D38">
        <w:rPr>
          <w:rFonts w:ascii="Palatino Linotype" w:hAnsi="Palatino Linotype" w:cs="Arial"/>
          <w:sz w:val="16"/>
        </w:rPr>
        <w:t>JMV/CCR/LMST</w:t>
      </w:r>
    </w:p>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055AC4" w:rsidRDefault="00055AC4" w:rsidP="00055AC4"/>
    <w:p w:rsidR="00B25485" w:rsidRDefault="00B25485"/>
    <w:sectPr w:rsidR="00B25485" w:rsidSect="00617DED">
      <w:headerReference w:type="default" r:id="rId18"/>
      <w:footerReference w:type="default" r:id="rId19"/>
      <w:headerReference w:type="first" r:id="rId20"/>
      <w:footerReference w:type="first" r:id="rId2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B19" w:rsidRDefault="00020B19" w:rsidP="00055AC4">
      <w:r>
        <w:separator/>
      </w:r>
    </w:p>
  </w:endnote>
  <w:endnote w:type="continuationSeparator" w:id="0">
    <w:p w:rsidR="00020B19" w:rsidRDefault="00020B19" w:rsidP="0005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LT Light">
    <w:altName w:val="Corbel"/>
    <w:charset w:val="00"/>
    <w:family w:val="auto"/>
    <w:pitch w:val="variable"/>
    <w:sig w:usb0="00000003" w:usb1="00000000" w:usb2="00000000" w:usb3="00000000" w:csb0="00000001" w:csb1="00000000"/>
  </w:font>
  <w:font w:name="HelveticaNeueLT Com 45 Lt">
    <w:altName w:val="Arial"/>
    <w:charset w:val="00"/>
    <w:family w:val="swiss"/>
    <w:pitch w:val="variable"/>
    <w:sig w:usb0="8000008F" w:usb1="10002042"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73F" w:rsidRPr="00A2780F" w:rsidRDefault="00DD473F" w:rsidP="00617DE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A0793">
      <w:rPr>
        <w:rFonts w:ascii="Arial" w:hAnsi="Arial" w:cs="Arial"/>
        <w:b/>
        <w:bCs/>
        <w:noProof/>
        <w:sz w:val="20"/>
        <w:szCs w:val="20"/>
      </w:rPr>
      <w:t>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A0793">
      <w:rPr>
        <w:rFonts w:ascii="Arial" w:hAnsi="Arial" w:cs="Arial"/>
        <w:b/>
        <w:bCs/>
        <w:noProof/>
        <w:sz w:val="20"/>
        <w:szCs w:val="20"/>
      </w:rPr>
      <w:t>37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73F" w:rsidRPr="00070856" w:rsidRDefault="00DD473F" w:rsidP="00617DE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A0793">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A0793">
      <w:rPr>
        <w:rFonts w:ascii="Arial" w:hAnsi="Arial" w:cs="Arial"/>
        <w:b/>
        <w:bCs/>
        <w:noProof/>
        <w:sz w:val="20"/>
        <w:szCs w:val="20"/>
      </w:rPr>
      <w:t>37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B19" w:rsidRDefault="00020B19" w:rsidP="00055AC4">
      <w:r>
        <w:separator/>
      </w:r>
    </w:p>
  </w:footnote>
  <w:footnote w:type="continuationSeparator" w:id="0">
    <w:p w:rsidR="00020B19" w:rsidRDefault="00020B19" w:rsidP="00055AC4">
      <w:r>
        <w:continuationSeparator/>
      </w:r>
    </w:p>
  </w:footnote>
  <w:footnote w:id="1">
    <w:p w:rsidR="00DD473F" w:rsidRPr="005552A8" w:rsidRDefault="00DD473F" w:rsidP="00055AC4">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DD473F" w:rsidRPr="005552A8" w:rsidRDefault="00DD473F" w:rsidP="00055AC4">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DD473F" w:rsidRPr="008F2CCC" w:rsidTr="00617DED">
      <w:tc>
        <w:tcPr>
          <w:tcW w:w="3620" w:type="dxa"/>
          <w:shd w:val="clear" w:color="auto" w:fill="auto"/>
        </w:tcPr>
        <w:p w:rsidR="00DD473F" w:rsidRPr="007E5FC4" w:rsidRDefault="00DD473F" w:rsidP="00617DE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DD473F" w:rsidRPr="00664658" w:rsidRDefault="00DD473F" w:rsidP="00055AC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05015/INFOEM/IP/RR/2025</w:t>
          </w:r>
        </w:p>
      </w:tc>
    </w:tr>
    <w:tr w:rsidR="00DD473F" w:rsidRPr="008F2CCC" w:rsidTr="00617DED">
      <w:tc>
        <w:tcPr>
          <w:tcW w:w="3620" w:type="dxa"/>
          <w:shd w:val="clear" w:color="auto" w:fill="auto"/>
        </w:tcPr>
        <w:p w:rsidR="00DD473F" w:rsidRPr="007E5FC4" w:rsidRDefault="00DD473F" w:rsidP="00617DE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DD473F" w:rsidRPr="00664658" w:rsidRDefault="00DD473F" w:rsidP="00617DED">
          <w:pPr>
            <w:spacing w:line="276" w:lineRule="auto"/>
            <w:jc w:val="right"/>
            <w:rPr>
              <w:rFonts w:ascii="Palatino Linotype" w:hAnsi="Palatino Linotype"/>
              <w:b/>
              <w:sz w:val="22"/>
              <w:szCs w:val="22"/>
              <w:lang w:val="es-ES_tradnl"/>
            </w:rPr>
          </w:pPr>
          <w:r w:rsidRPr="00055AC4">
            <w:rPr>
              <w:rFonts w:ascii="Palatino Linotype" w:hAnsi="Palatino Linotype"/>
              <w:b/>
              <w:sz w:val="22"/>
              <w:szCs w:val="22"/>
            </w:rPr>
            <w:t>Secretaría Ejecutiva del Sistema Estatal Anticorrupción</w:t>
          </w:r>
        </w:p>
      </w:tc>
    </w:tr>
    <w:tr w:rsidR="00DD473F" w:rsidRPr="008F2CCC" w:rsidTr="00617DED">
      <w:trPr>
        <w:trHeight w:val="228"/>
      </w:trPr>
      <w:tc>
        <w:tcPr>
          <w:tcW w:w="3620" w:type="dxa"/>
          <w:shd w:val="clear" w:color="auto" w:fill="auto"/>
        </w:tcPr>
        <w:p w:rsidR="00DD473F" w:rsidRPr="007E5FC4" w:rsidRDefault="00DD473F" w:rsidP="00617DE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DD473F" w:rsidRPr="00664658" w:rsidRDefault="00DD473F" w:rsidP="00617DE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D473F" w:rsidRDefault="00DD473F" w:rsidP="00617DED">
    <w:pPr>
      <w:pStyle w:val="Encabezado"/>
      <w:tabs>
        <w:tab w:val="clear" w:pos="4252"/>
        <w:tab w:val="clear" w:pos="8504"/>
        <w:tab w:val="left" w:pos="2326"/>
      </w:tabs>
      <w:rPr>
        <w:rFonts w:ascii="Palatino Linotype" w:hAnsi="Palatino Linotype"/>
        <w:sz w:val="20"/>
      </w:rPr>
    </w:pPr>
  </w:p>
  <w:p w:rsidR="00DD473F" w:rsidRPr="001779E0" w:rsidRDefault="00DD473F" w:rsidP="00617DE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C2CC0E9" wp14:editId="3BF1839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DD473F" w:rsidRPr="008F2CCC" w:rsidTr="00617DED">
      <w:tc>
        <w:tcPr>
          <w:tcW w:w="2977" w:type="dxa"/>
          <w:shd w:val="clear" w:color="auto" w:fill="auto"/>
        </w:tcPr>
        <w:p w:rsidR="00DD473F" w:rsidRPr="007E5FC4" w:rsidRDefault="00DD473F" w:rsidP="00617D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DD473F" w:rsidRPr="008F2CCC" w:rsidRDefault="00DD473F" w:rsidP="00055AC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05015/INFOEM/IP/RR/2025</w:t>
          </w:r>
        </w:p>
      </w:tc>
    </w:tr>
    <w:tr w:rsidR="00DD473F" w:rsidRPr="008F2CCC" w:rsidTr="00617DED">
      <w:tc>
        <w:tcPr>
          <w:tcW w:w="2977" w:type="dxa"/>
          <w:shd w:val="clear" w:color="auto" w:fill="auto"/>
          <w:vAlign w:val="center"/>
        </w:tcPr>
        <w:p w:rsidR="00DD473F" w:rsidRPr="007E5FC4" w:rsidRDefault="00DD473F" w:rsidP="00617D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DD473F" w:rsidRPr="008F2CCC" w:rsidRDefault="008A0793" w:rsidP="00617DE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w:t>
          </w:r>
          <w:r w:rsidR="00DD473F">
            <w:rPr>
              <w:rFonts w:ascii="Palatino Linotype" w:hAnsi="Palatino Linotype"/>
              <w:b/>
              <w:sz w:val="22"/>
              <w:szCs w:val="22"/>
              <w:lang w:val="es-ES_tradnl"/>
            </w:rPr>
            <w:t xml:space="preserve"> </w:t>
          </w:r>
        </w:p>
      </w:tc>
    </w:tr>
    <w:tr w:rsidR="00DD473F" w:rsidRPr="008F2CCC" w:rsidTr="00617DED">
      <w:trPr>
        <w:trHeight w:val="228"/>
      </w:trPr>
      <w:tc>
        <w:tcPr>
          <w:tcW w:w="2977" w:type="dxa"/>
          <w:shd w:val="clear" w:color="auto" w:fill="auto"/>
        </w:tcPr>
        <w:p w:rsidR="00DD473F" w:rsidRPr="007E5FC4" w:rsidRDefault="00DD473F" w:rsidP="00617D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DD473F" w:rsidRPr="00DC41C8" w:rsidRDefault="00DD473F" w:rsidP="00617DED">
          <w:pPr>
            <w:spacing w:line="360" w:lineRule="auto"/>
            <w:jc w:val="right"/>
            <w:rPr>
              <w:rFonts w:ascii="Palatino Linotype" w:hAnsi="Palatino Linotype"/>
              <w:b/>
              <w:sz w:val="22"/>
              <w:szCs w:val="22"/>
            </w:rPr>
          </w:pPr>
          <w:r w:rsidRPr="00055AC4">
            <w:rPr>
              <w:rFonts w:ascii="Palatino Linotype" w:hAnsi="Palatino Linotype"/>
              <w:b/>
              <w:sz w:val="22"/>
              <w:szCs w:val="22"/>
            </w:rPr>
            <w:t>Secretaría Ejecutiva del Sistema Estatal Anticorrupción</w:t>
          </w:r>
        </w:p>
      </w:tc>
    </w:tr>
    <w:tr w:rsidR="00DD473F" w:rsidRPr="008F2CCC" w:rsidTr="00617DED">
      <w:tc>
        <w:tcPr>
          <w:tcW w:w="2977" w:type="dxa"/>
          <w:shd w:val="clear" w:color="auto" w:fill="auto"/>
        </w:tcPr>
        <w:p w:rsidR="00DD473F" w:rsidRPr="007E5FC4" w:rsidRDefault="00DD473F" w:rsidP="00617DE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DD473F" w:rsidRPr="008F2CCC" w:rsidRDefault="00DD473F" w:rsidP="00617DE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D473F" w:rsidRPr="009F1AB6" w:rsidRDefault="00DD473F">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B51DC45" wp14:editId="4E7C278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00E3"/>
    <w:multiLevelType w:val="hybridMultilevel"/>
    <w:tmpl w:val="8EE2ECCA"/>
    <w:lvl w:ilvl="0" w:tplc="730AEB2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83055B"/>
    <w:multiLevelType w:val="hybridMultilevel"/>
    <w:tmpl w:val="4628F3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8AC3232"/>
    <w:multiLevelType w:val="hybridMultilevel"/>
    <w:tmpl w:val="A7B8B9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BB2763F"/>
    <w:multiLevelType w:val="hybridMultilevel"/>
    <w:tmpl w:val="6AF232D8"/>
    <w:lvl w:ilvl="0" w:tplc="78F6DDD8">
      <w:start w:val="1"/>
      <w:numFmt w:val="upperRoman"/>
      <w:lvlText w:val="%1."/>
      <w:lvlJc w:val="left"/>
      <w:pPr>
        <w:ind w:left="1571" w:hanging="720"/>
      </w:pPr>
    </w:lvl>
    <w:lvl w:ilvl="1" w:tplc="080A0019">
      <w:start w:val="1"/>
      <w:numFmt w:val="lowerLetter"/>
      <w:lvlText w:val="%2."/>
      <w:lvlJc w:val="left"/>
      <w:pPr>
        <w:ind w:left="1931" w:hanging="360"/>
      </w:pPr>
    </w:lvl>
    <w:lvl w:ilvl="2" w:tplc="080A001B">
      <w:start w:val="1"/>
      <w:numFmt w:val="lowerRoman"/>
      <w:lvlText w:val="%3."/>
      <w:lvlJc w:val="right"/>
      <w:pPr>
        <w:ind w:left="2651" w:hanging="180"/>
      </w:pPr>
    </w:lvl>
    <w:lvl w:ilvl="3" w:tplc="080A000F">
      <w:start w:val="1"/>
      <w:numFmt w:val="decimal"/>
      <w:lvlText w:val="%4."/>
      <w:lvlJc w:val="left"/>
      <w:pPr>
        <w:ind w:left="3371" w:hanging="360"/>
      </w:pPr>
    </w:lvl>
    <w:lvl w:ilvl="4" w:tplc="080A0019">
      <w:start w:val="1"/>
      <w:numFmt w:val="lowerLetter"/>
      <w:lvlText w:val="%5."/>
      <w:lvlJc w:val="left"/>
      <w:pPr>
        <w:ind w:left="4091" w:hanging="360"/>
      </w:pPr>
    </w:lvl>
    <w:lvl w:ilvl="5" w:tplc="080A001B">
      <w:start w:val="1"/>
      <w:numFmt w:val="lowerRoman"/>
      <w:lvlText w:val="%6."/>
      <w:lvlJc w:val="right"/>
      <w:pPr>
        <w:ind w:left="4811" w:hanging="180"/>
      </w:pPr>
    </w:lvl>
    <w:lvl w:ilvl="6" w:tplc="080A000F">
      <w:start w:val="1"/>
      <w:numFmt w:val="decimal"/>
      <w:lvlText w:val="%7."/>
      <w:lvlJc w:val="left"/>
      <w:pPr>
        <w:ind w:left="5531" w:hanging="360"/>
      </w:pPr>
    </w:lvl>
    <w:lvl w:ilvl="7" w:tplc="080A0019">
      <w:start w:val="1"/>
      <w:numFmt w:val="lowerLetter"/>
      <w:lvlText w:val="%8."/>
      <w:lvlJc w:val="left"/>
      <w:pPr>
        <w:ind w:left="6251" w:hanging="360"/>
      </w:pPr>
    </w:lvl>
    <w:lvl w:ilvl="8" w:tplc="080A001B">
      <w:start w:val="1"/>
      <w:numFmt w:val="lowerRoman"/>
      <w:lvlText w:val="%9."/>
      <w:lvlJc w:val="right"/>
      <w:pPr>
        <w:ind w:left="6971" w:hanging="180"/>
      </w:p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7DB1117"/>
    <w:multiLevelType w:val="hybridMultilevel"/>
    <w:tmpl w:val="B2E82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BF21CC"/>
    <w:multiLevelType w:val="hybridMultilevel"/>
    <w:tmpl w:val="BA782518"/>
    <w:lvl w:ilvl="0" w:tplc="0C3EFEB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6B5738EF"/>
    <w:multiLevelType w:val="hybridMultilevel"/>
    <w:tmpl w:val="74D237A2"/>
    <w:lvl w:ilvl="0" w:tplc="F88CDDC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779D22DD"/>
    <w:multiLevelType w:val="hybridMultilevel"/>
    <w:tmpl w:val="2AA4501E"/>
    <w:lvl w:ilvl="0" w:tplc="5EC8B570">
      <w:start w:val="1"/>
      <w:numFmt w:val="upperRoman"/>
      <w:lvlText w:val="%1."/>
      <w:lvlJc w:val="left"/>
      <w:pPr>
        <w:ind w:left="1571" w:hanging="720"/>
      </w:pPr>
    </w:lvl>
    <w:lvl w:ilvl="1" w:tplc="080A0019">
      <w:start w:val="1"/>
      <w:numFmt w:val="lowerLetter"/>
      <w:lvlText w:val="%2."/>
      <w:lvlJc w:val="left"/>
      <w:pPr>
        <w:ind w:left="1931" w:hanging="360"/>
      </w:pPr>
    </w:lvl>
    <w:lvl w:ilvl="2" w:tplc="080A001B">
      <w:start w:val="1"/>
      <w:numFmt w:val="lowerRoman"/>
      <w:lvlText w:val="%3."/>
      <w:lvlJc w:val="right"/>
      <w:pPr>
        <w:ind w:left="2651" w:hanging="180"/>
      </w:pPr>
    </w:lvl>
    <w:lvl w:ilvl="3" w:tplc="080A000F">
      <w:start w:val="1"/>
      <w:numFmt w:val="decimal"/>
      <w:lvlText w:val="%4."/>
      <w:lvlJc w:val="left"/>
      <w:pPr>
        <w:ind w:left="3371" w:hanging="360"/>
      </w:pPr>
    </w:lvl>
    <w:lvl w:ilvl="4" w:tplc="080A0019">
      <w:start w:val="1"/>
      <w:numFmt w:val="lowerLetter"/>
      <w:lvlText w:val="%5."/>
      <w:lvlJc w:val="left"/>
      <w:pPr>
        <w:ind w:left="4091" w:hanging="360"/>
      </w:pPr>
    </w:lvl>
    <w:lvl w:ilvl="5" w:tplc="080A001B">
      <w:start w:val="1"/>
      <w:numFmt w:val="lowerRoman"/>
      <w:lvlText w:val="%6."/>
      <w:lvlJc w:val="right"/>
      <w:pPr>
        <w:ind w:left="4811" w:hanging="180"/>
      </w:pPr>
    </w:lvl>
    <w:lvl w:ilvl="6" w:tplc="080A000F">
      <w:start w:val="1"/>
      <w:numFmt w:val="decimal"/>
      <w:lvlText w:val="%7."/>
      <w:lvlJc w:val="left"/>
      <w:pPr>
        <w:ind w:left="5531" w:hanging="360"/>
      </w:pPr>
    </w:lvl>
    <w:lvl w:ilvl="7" w:tplc="080A0019">
      <w:start w:val="1"/>
      <w:numFmt w:val="lowerLetter"/>
      <w:lvlText w:val="%8."/>
      <w:lvlJc w:val="left"/>
      <w:pPr>
        <w:ind w:left="6251" w:hanging="360"/>
      </w:pPr>
    </w:lvl>
    <w:lvl w:ilvl="8" w:tplc="080A001B">
      <w:start w:val="1"/>
      <w:numFmt w:val="lowerRoman"/>
      <w:lvlText w:val="%9."/>
      <w:lvlJc w:val="right"/>
      <w:pPr>
        <w:ind w:left="6971" w:hanging="180"/>
      </w:pPr>
    </w:lvl>
  </w:abstractNum>
  <w:num w:numId="1">
    <w:abstractNumId w:val="6"/>
  </w:num>
  <w:num w:numId="2">
    <w:abstractNumId w:val="1"/>
  </w:num>
  <w:num w:numId="3">
    <w:abstractNumId w:val="7"/>
  </w:num>
  <w:num w:numId="4">
    <w:abstractNumId w:val="4"/>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8"/>
  </w:num>
  <w:num w:numId="10">
    <w:abstractNumId w:val="2"/>
  </w:num>
  <w:num w:numId="11">
    <w:abstractNumId w:val="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C4"/>
    <w:rsid w:val="000052AD"/>
    <w:rsid w:val="00020B19"/>
    <w:rsid w:val="00055AC4"/>
    <w:rsid w:val="00084883"/>
    <w:rsid w:val="000F56CB"/>
    <w:rsid w:val="00121181"/>
    <w:rsid w:val="001B1D9D"/>
    <w:rsid w:val="001D515D"/>
    <w:rsid w:val="002147A3"/>
    <w:rsid w:val="00294679"/>
    <w:rsid w:val="002D708B"/>
    <w:rsid w:val="002F09DD"/>
    <w:rsid w:val="00334B29"/>
    <w:rsid w:val="00445900"/>
    <w:rsid w:val="005C7628"/>
    <w:rsid w:val="005D305C"/>
    <w:rsid w:val="00612C60"/>
    <w:rsid w:val="00617DED"/>
    <w:rsid w:val="00683F8E"/>
    <w:rsid w:val="007F0631"/>
    <w:rsid w:val="007F747D"/>
    <w:rsid w:val="008A0793"/>
    <w:rsid w:val="0092085C"/>
    <w:rsid w:val="009C20D9"/>
    <w:rsid w:val="00B25485"/>
    <w:rsid w:val="00BA681E"/>
    <w:rsid w:val="00CA3F76"/>
    <w:rsid w:val="00CC69D9"/>
    <w:rsid w:val="00CD6A19"/>
    <w:rsid w:val="00D406F0"/>
    <w:rsid w:val="00D53F36"/>
    <w:rsid w:val="00D76A4F"/>
    <w:rsid w:val="00DD473F"/>
    <w:rsid w:val="00DD7318"/>
    <w:rsid w:val="00F45198"/>
    <w:rsid w:val="00F90D38"/>
    <w:rsid w:val="00FC61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4A531-A3BF-418A-8096-3B426324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AC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5AC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55AC4"/>
    <w:rPr>
      <w:rFonts w:eastAsiaTheme="minorEastAsia"/>
      <w:sz w:val="24"/>
      <w:szCs w:val="24"/>
      <w:lang w:val="es-ES_tradnl" w:eastAsia="es-ES"/>
    </w:rPr>
  </w:style>
  <w:style w:type="paragraph" w:styleId="Piedepgina">
    <w:name w:val="footer"/>
    <w:basedOn w:val="Normal"/>
    <w:link w:val="PiedepginaCar"/>
    <w:uiPriority w:val="99"/>
    <w:unhideWhenUsed/>
    <w:rsid w:val="00055AC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55AC4"/>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55AC4"/>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55AC4"/>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055AC4"/>
    <w:pPr>
      <w:spacing w:after="0" w:line="240" w:lineRule="auto"/>
    </w:pPr>
  </w:style>
  <w:style w:type="character" w:customStyle="1" w:styleId="SinespaciadoCar">
    <w:name w:val="Sin espaciado Car"/>
    <w:aliases w:val="Francesa Car,INAI Car"/>
    <w:link w:val="Sinespaciado"/>
    <w:uiPriority w:val="1"/>
    <w:locked/>
    <w:rsid w:val="00055AC4"/>
  </w:style>
  <w:style w:type="character" w:styleId="Hipervnculo">
    <w:name w:val="Hyperlink"/>
    <w:aliases w:val="Hipervínculo1,Hipervínculo11,Hipervínculo12,Hipervínculo13,Hipervínculo14,Hipervínculo15"/>
    <w:basedOn w:val="Fuentedeprrafopredeter"/>
    <w:uiPriority w:val="99"/>
    <w:unhideWhenUsed/>
    <w:rsid w:val="00055AC4"/>
    <w:rPr>
      <w:color w:val="0563C1" w:themeColor="hyperlink"/>
      <w:u w:val="single"/>
    </w:rPr>
  </w:style>
  <w:style w:type="paragraph" w:customStyle="1" w:styleId="INFOEM">
    <w:name w:val="INFOEM"/>
    <w:basedOn w:val="Normal"/>
    <w:qFormat/>
    <w:rsid w:val="00055AC4"/>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55AC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55AC4"/>
    <w:rPr>
      <w:vertAlign w:val="superscript"/>
    </w:rPr>
  </w:style>
  <w:style w:type="paragraph" w:customStyle="1" w:styleId="infoemcitas">
    <w:name w:val="infoem citas"/>
    <w:basedOn w:val="Normal"/>
    <w:qFormat/>
    <w:rsid w:val="00055AC4"/>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055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5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55AC4"/>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6.tmp"/><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tmp"/><Relationship Id="rId12" Type="http://schemas.openxmlformats.org/officeDocument/2006/relationships/image" Target="media/image5.tmp"/><Relationship Id="rId17" Type="http://schemas.openxmlformats.org/officeDocument/2006/relationships/image" Target="media/image10.tmp"/><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saemm.gob.mx/avisos_privacidad/" TargetMode="External"/><Relationship Id="rId5" Type="http://schemas.openxmlformats.org/officeDocument/2006/relationships/footnotes" Target="footnotes.xml"/><Relationship Id="rId15" Type="http://schemas.openxmlformats.org/officeDocument/2006/relationships/image" Target="media/image8.tmp"/><Relationship Id="rId23" Type="http://schemas.openxmlformats.org/officeDocument/2006/relationships/theme" Target="theme/theme1.xml"/><Relationship Id="rId10" Type="http://schemas.openxmlformats.org/officeDocument/2006/relationships/image" Target="media/image4.tmp"/><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7.tmp"/><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37</Pages>
  <Words>7343</Words>
  <Characters>40389</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13</cp:revision>
  <cp:lastPrinted>2026-06-18T02:23:00Z</cp:lastPrinted>
  <dcterms:created xsi:type="dcterms:W3CDTF">2025-09-24T16:43:00Z</dcterms:created>
  <dcterms:modified xsi:type="dcterms:W3CDTF">2026-06-23T19:07:00Z</dcterms:modified>
</cp:coreProperties>
</file>