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9B951" w14:textId="334243D4" w:rsidR="00E35DF9" w:rsidRPr="00535C16" w:rsidRDefault="00E35DF9" w:rsidP="00FF426B">
      <w:pPr>
        <w:spacing w:line="360" w:lineRule="auto"/>
        <w:contextualSpacing/>
        <w:jc w:val="both"/>
        <w:rPr>
          <w:rFonts w:ascii="Palatino Linotype" w:hAnsi="Palatino Linotype" w:cs="Tahoma"/>
          <w:bCs/>
          <w:sz w:val="22"/>
          <w:szCs w:val="22"/>
        </w:rPr>
      </w:pPr>
      <w:bookmarkStart w:id="0" w:name="_Hlk76457302"/>
      <w:r w:rsidRPr="00535C16">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5147B2" w:rsidRPr="00535C16">
        <w:rPr>
          <w:rFonts w:ascii="Palatino Linotype" w:hAnsi="Palatino Linotype" w:cs="Tahoma"/>
          <w:bCs/>
          <w:sz w:val="22"/>
          <w:szCs w:val="22"/>
        </w:rPr>
        <w:t xml:space="preserve"> veinticinco</w:t>
      </w:r>
      <w:r w:rsidR="00FE0793" w:rsidRPr="00535C16">
        <w:rPr>
          <w:rFonts w:ascii="Palatino Linotype" w:hAnsi="Palatino Linotype" w:cs="Tahoma"/>
          <w:bCs/>
          <w:sz w:val="22"/>
          <w:szCs w:val="22"/>
        </w:rPr>
        <w:t xml:space="preserve"> de </w:t>
      </w:r>
      <w:r w:rsidR="005A6BEC" w:rsidRPr="00535C16">
        <w:rPr>
          <w:rFonts w:ascii="Palatino Linotype" w:hAnsi="Palatino Linotype" w:cs="Tahoma"/>
          <w:bCs/>
          <w:sz w:val="22"/>
          <w:szCs w:val="22"/>
        </w:rPr>
        <w:t>febrero</w:t>
      </w:r>
      <w:r w:rsidR="00FE0793" w:rsidRPr="00535C16">
        <w:rPr>
          <w:rFonts w:ascii="Palatino Linotype" w:hAnsi="Palatino Linotype" w:cs="Tahoma"/>
          <w:bCs/>
          <w:sz w:val="22"/>
          <w:szCs w:val="22"/>
        </w:rPr>
        <w:t xml:space="preserve"> </w:t>
      </w:r>
      <w:r w:rsidR="008453FA" w:rsidRPr="00535C16">
        <w:rPr>
          <w:rFonts w:ascii="Palatino Linotype" w:hAnsi="Palatino Linotype" w:cs="Tahoma"/>
          <w:bCs/>
          <w:sz w:val="22"/>
          <w:szCs w:val="22"/>
        </w:rPr>
        <w:t xml:space="preserve">de dos mil </w:t>
      </w:r>
      <w:r w:rsidR="005A6BEC" w:rsidRPr="00535C16">
        <w:rPr>
          <w:rFonts w:ascii="Palatino Linotype" w:hAnsi="Palatino Linotype" w:cs="Tahoma"/>
          <w:bCs/>
          <w:sz w:val="22"/>
          <w:szCs w:val="22"/>
        </w:rPr>
        <w:t>veintiséis</w:t>
      </w:r>
      <w:r w:rsidRPr="00535C16">
        <w:rPr>
          <w:rFonts w:ascii="Palatino Linotype" w:hAnsi="Palatino Linotype" w:cs="Tahoma"/>
          <w:bCs/>
          <w:sz w:val="22"/>
          <w:szCs w:val="22"/>
        </w:rPr>
        <w:t>.</w:t>
      </w:r>
    </w:p>
    <w:p w14:paraId="6EB71557" w14:textId="77777777" w:rsidR="00E35DF9" w:rsidRPr="00535C16" w:rsidRDefault="00E35DF9" w:rsidP="00FF426B">
      <w:pPr>
        <w:spacing w:line="360" w:lineRule="auto"/>
        <w:contextualSpacing/>
        <w:jc w:val="both"/>
        <w:rPr>
          <w:rFonts w:ascii="Palatino Linotype" w:hAnsi="Palatino Linotype" w:cs="Tahoma"/>
          <w:bCs/>
          <w:sz w:val="22"/>
          <w:szCs w:val="22"/>
        </w:rPr>
      </w:pPr>
    </w:p>
    <w:p w14:paraId="00BA9E4D" w14:textId="3470DB18" w:rsidR="00E35DF9" w:rsidRPr="00535C16" w:rsidRDefault="00E35DF9" w:rsidP="00FF426B">
      <w:pPr>
        <w:spacing w:line="360" w:lineRule="auto"/>
        <w:contextualSpacing/>
        <w:jc w:val="both"/>
        <w:rPr>
          <w:rFonts w:ascii="Palatino Linotype" w:hAnsi="Palatino Linotype" w:cs="Tahoma"/>
          <w:bCs/>
          <w:sz w:val="22"/>
          <w:szCs w:val="22"/>
        </w:rPr>
      </w:pPr>
      <w:r w:rsidRPr="00535C16">
        <w:rPr>
          <w:rFonts w:ascii="Palatino Linotype" w:hAnsi="Palatino Linotype" w:cs="Tahoma"/>
          <w:b/>
          <w:bCs/>
          <w:color w:val="0D0D0D" w:themeColor="text1" w:themeTint="F2"/>
          <w:sz w:val="22"/>
          <w:szCs w:val="22"/>
        </w:rPr>
        <w:t xml:space="preserve">VISTO </w:t>
      </w:r>
      <w:r w:rsidR="00D0542E" w:rsidRPr="00535C16">
        <w:rPr>
          <w:rFonts w:ascii="Palatino Linotype" w:hAnsi="Palatino Linotype" w:cs="Tahoma"/>
          <w:bCs/>
          <w:color w:val="0D0D0D" w:themeColor="text1" w:themeTint="F2"/>
          <w:sz w:val="22"/>
          <w:szCs w:val="22"/>
        </w:rPr>
        <w:t>el expediente</w:t>
      </w:r>
      <w:r w:rsidRPr="00535C16">
        <w:rPr>
          <w:rFonts w:ascii="Palatino Linotype" w:hAnsi="Palatino Linotype" w:cs="Tahoma"/>
          <w:bCs/>
          <w:color w:val="0D0D0D" w:themeColor="text1" w:themeTint="F2"/>
          <w:sz w:val="22"/>
          <w:szCs w:val="22"/>
        </w:rPr>
        <w:t xml:space="preserve"> conformado con motivo de</w:t>
      </w:r>
      <w:r w:rsidR="00E30210" w:rsidRPr="00535C16">
        <w:rPr>
          <w:rFonts w:ascii="Palatino Linotype" w:hAnsi="Palatino Linotype" w:cs="Tahoma"/>
          <w:bCs/>
          <w:color w:val="0D0D0D" w:themeColor="text1" w:themeTint="F2"/>
          <w:sz w:val="22"/>
          <w:szCs w:val="22"/>
        </w:rPr>
        <w:t>l</w:t>
      </w:r>
      <w:r w:rsidRPr="00535C16">
        <w:rPr>
          <w:rFonts w:ascii="Palatino Linotype" w:hAnsi="Palatino Linotype" w:cs="Tahoma"/>
          <w:bCs/>
          <w:color w:val="0D0D0D" w:themeColor="text1" w:themeTint="F2"/>
          <w:sz w:val="22"/>
          <w:szCs w:val="22"/>
        </w:rPr>
        <w:t xml:space="preserve"> Recurso de Revisión</w:t>
      </w:r>
      <w:r w:rsidR="0089175F" w:rsidRPr="00535C16">
        <w:rPr>
          <w:rFonts w:ascii="Palatino Linotype" w:hAnsi="Palatino Linotype" w:cs="Tahoma"/>
          <w:bCs/>
          <w:color w:val="0D0D0D" w:themeColor="text1" w:themeTint="F2"/>
          <w:sz w:val="22"/>
          <w:szCs w:val="22"/>
        </w:rPr>
        <w:t xml:space="preserve"> </w:t>
      </w:r>
      <w:r w:rsidR="005147B2" w:rsidRPr="00462439">
        <w:rPr>
          <w:rFonts w:ascii="Palatino Linotype" w:hAnsi="Palatino Linotype" w:cs="Tahoma"/>
          <w:b/>
          <w:bCs/>
          <w:color w:val="0D0D0D" w:themeColor="text1" w:themeTint="F2"/>
          <w:sz w:val="22"/>
          <w:szCs w:val="22"/>
        </w:rPr>
        <w:t>13061/INFOEM/IP/RR/2025</w:t>
      </w:r>
      <w:r w:rsidR="0089175F" w:rsidRPr="00535C16">
        <w:rPr>
          <w:rFonts w:ascii="Palatino Linotype" w:hAnsi="Palatino Linotype" w:cs="Tahoma"/>
          <w:color w:val="0D0D0D" w:themeColor="text1" w:themeTint="F2"/>
          <w:sz w:val="22"/>
          <w:szCs w:val="22"/>
        </w:rPr>
        <w:t>,</w:t>
      </w:r>
      <w:r w:rsidRPr="00535C16">
        <w:rPr>
          <w:rFonts w:ascii="Palatino Linotype" w:hAnsi="Palatino Linotype" w:cs="Tahoma"/>
          <w:color w:val="0D0D0D" w:themeColor="text1" w:themeTint="F2"/>
          <w:sz w:val="22"/>
          <w:szCs w:val="22"/>
        </w:rPr>
        <w:t xml:space="preserve"> interpuesto</w:t>
      </w:r>
      <w:r w:rsidR="00C74F5F" w:rsidRPr="00535C16">
        <w:rPr>
          <w:rFonts w:ascii="Palatino Linotype" w:hAnsi="Palatino Linotype" w:cs="Tahoma"/>
          <w:color w:val="0D0D0D" w:themeColor="text1" w:themeTint="F2"/>
          <w:sz w:val="22"/>
          <w:szCs w:val="22"/>
        </w:rPr>
        <w:t xml:space="preserve"> </w:t>
      </w:r>
      <w:r w:rsidR="007E4927" w:rsidRPr="00535C16">
        <w:rPr>
          <w:rFonts w:ascii="Palatino Linotype" w:hAnsi="Palatino Linotype" w:cs="Tahoma"/>
          <w:color w:val="0D0D0D" w:themeColor="text1" w:themeTint="F2"/>
          <w:sz w:val="22"/>
          <w:szCs w:val="22"/>
        </w:rPr>
        <w:t>por</w:t>
      </w:r>
      <w:r w:rsidR="00383BDB" w:rsidRPr="00535C16">
        <w:rPr>
          <w:rFonts w:ascii="Palatino Linotype" w:hAnsi="Palatino Linotype" w:cs="Tahoma"/>
          <w:color w:val="0D0D0D" w:themeColor="text1" w:themeTint="F2"/>
          <w:sz w:val="22"/>
          <w:szCs w:val="22"/>
        </w:rPr>
        <w:t xml:space="preserve"> </w:t>
      </w:r>
      <w:r w:rsidR="00F21D1C" w:rsidRPr="00F21D1C">
        <w:rPr>
          <w:rFonts w:ascii="Palatino Linotype" w:hAnsi="Palatino Linotype" w:cs="Tahoma"/>
          <w:color w:val="0D0D0D" w:themeColor="text1" w:themeTint="F2"/>
          <w:sz w:val="22"/>
          <w:szCs w:val="22"/>
          <w:highlight w:val="black"/>
        </w:rPr>
        <w:t>XXXXXX</w:t>
      </w:r>
      <w:r w:rsidR="007F0E3E" w:rsidRPr="00535C16">
        <w:rPr>
          <w:rFonts w:ascii="Palatino Linotype" w:hAnsi="Palatino Linotype" w:cs="Tahoma"/>
          <w:color w:val="0D0D0D" w:themeColor="text1" w:themeTint="F2"/>
          <w:sz w:val="22"/>
          <w:szCs w:val="22"/>
        </w:rPr>
        <w:t xml:space="preserve"> </w:t>
      </w:r>
      <w:r w:rsidR="00FE0793" w:rsidRPr="00535C16">
        <w:rPr>
          <w:rFonts w:ascii="Palatino Linotype" w:hAnsi="Palatino Linotype" w:cs="Tahoma"/>
          <w:color w:val="0D0D0D" w:themeColor="text1" w:themeTint="F2"/>
          <w:sz w:val="22"/>
          <w:szCs w:val="22"/>
        </w:rPr>
        <w:t xml:space="preserve">en lo sucesivo </w:t>
      </w:r>
      <w:r w:rsidRPr="00535C16">
        <w:rPr>
          <w:rFonts w:ascii="Palatino Linotype" w:hAnsi="Palatino Linotype" w:cs="Tahoma"/>
          <w:color w:val="0D0D0D" w:themeColor="text1" w:themeTint="F2"/>
          <w:sz w:val="22"/>
          <w:szCs w:val="22"/>
        </w:rPr>
        <w:t>Recurrente o Particular, en contra de la respuesta del Sujeto Obligado</w:t>
      </w:r>
      <w:r w:rsidRPr="00535C16">
        <w:rPr>
          <w:rFonts w:ascii="Palatino Linotype" w:hAnsi="Palatino Linotype"/>
          <w:sz w:val="22"/>
          <w:szCs w:val="22"/>
        </w:rPr>
        <w:t xml:space="preserve"> </w:t>
      </w:r>
      <w:r w:rsidR="007F0E3E" w:rsidRPr="00462439">
        <w:rPr>
          <w:rFonts w:ascii="Palatino Linotype" w:eastAsia="Calibri" w:hAnsi="Palatino Linotype" w:cs="Tahoma"/>
          <w:b/>
          <w:bCs/>
          <w:sz w:val="22"/>
          <w:szCs w:val="22"/>
          <w:lang w:eastAsia="en-US"/>
        </w:rPr>
        <w:t xml:space="preserve">Ayuntamiento de </w:t>
      </w:r>
      <w:r w:rsidR="005147B2" w:rsidRPr="00462439">
        <w:rPr>
          <w:rFonts w:ascii="Palatino Linotype" w:eastAsia="Calibri" w:hAnsi="Palatino Linotype" w:cs="Tahoma"/>
          <w:b/>
          <w:bCs/>
          <w:sz w:val="22"/>
          <w:szCs w:val="22"/>
          <w:lang w:eastAsia="en-US"/>
        </w:rPr>
        <w:t>Nextlalpan</w:t>
      </w:r>
      <w:r w:rsidR="004B5F21" w:rsidRPr="00535C16">
        <w:rPr>
          <w:rFonts w:ascii="Palatino Linotype" w:eastAsia="Calibri" w:hAnsi="Palatino Linotype" w:cs="Tahoma"/>
          <w:sz w:val="22"/>
          <w:szCs w:val="22"/>
          <w:lang w:eastAsia="en-US"/>
        </w:rPr>
        <w:t xml:space="preserve"> a la solicitud de información con número de folio </w:t>
      </w:r>
      <w:r w:rsidR="005147B2" w:rsidRPr="00535C16">
        <w:rPr>
          <w:rFonts w:ascii="Palatino Linotype" w:eastAsia="Calibri" w:hAnsi="Palatino Linotype" w:cs="Tahoma"/>
          <w:sz w:val="22"/>
          <w:szCs w:val="22"/>
          <w:lang w:eastAsia="en-US"/>
        </w:rPr>
        <w:t>00136/NEXTLAL/IP/2025</w:t>
      </w:r>
      <w:r w:rsidRPr="00535C16">
        <w:rPr>
          <w:rFonts w:ascii="Palatino Linotype" w:hAnsi="Palatino Linotype" w:cs="Tahoma"/>
          <w:color w:val="0D0D0D" w:themeColor="text1" w:themeTint="F2"/>
          <w:sz w:val="22"/>
          <w:szCs w:val="22"/>
        </w:rPr>
        <w:t>, se emite la presente</w:t>
      </w:r>
      <w:r w:rsidRPr="00535C16">
        <w:rPr>
          <w:rFonts w:ascii="Palatino Linotype" w:hAnsi="Palatino Linotype" w:cs="Tahoma"/>
          <w:bCs/>
          <w:color w:val="0D0D0D" w:themeColor="text1" w:themeTint="F2"/>
          <w:sz w:val="22"/>
          <w:szCs w:val="22"/>
        </w:rPr>
        <w:t xml:space="preserve"> Resolución, con base en los Antecedentes y C</w:t>
      </w:r>
      <w:r w:rsidRPr="00535C16">
        <w:rPr>
          <w:rFonts w:ascii="Palatino Linotype" w:hAnsi="Palatino Linotype" w:cs="Tahoma"/>
          <w:bCs/>
          <w:sz w:val="22"/>
          <w:szCs w:val="22"/>
        </w:rPr>
        <w:t>onsiderandos que a continuación se exponen:</w:t>
      </w:r>
    </w:p>
    <w:p w14:paraId="12578E79" w14:textId="77777777" w:rsidR="00E35DF9" w:rsidRPr="00535C16" w:rsidRDefault="00E35DF9" w:rsidP="00FF426B">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535C16" w:rsidRDefault="00E35DF9" w:rsidP="00C66180">
      <w:pPr>
        <w:tabs>
          <w:tab w:val="center" w:pos="4522"/>
          <w:tab w:val="left" w:pos="7245"/>
        </w:tabs>
        <w:spacing w:line="360" w:lineRule="auto"/>
        <w:contextualSpacing/>
        <w:jc w:val="center"/>
        <w:rPr>
          <w:rFonts w:ascii="Palatino Linotype" w:hAnsi="Palatino Linotype" w:cs="Tahoma"/>
          <w:b/>
          <w:sz w:val="22"/>
          <w:szCs w:val="22"/>
        </w:rPr>
      </w:pPr>
      <w:r w:rsidRPr="00535C16">
        <w:rPr>
          <w:rFonts w:ascii="Palatino Linotype" w:hAnsi="Palatino Linotype" w:cs="Tahoma"/>
          <w:b/>
          <w:sz w:val="22"/>
          <w:szCs w:val="22"/>
        </w:rPr>
        <w:t>A N T E C E D E N T E S</w:t>
      </w:r>
    </w:p>
    <w:p w14:paraId="05190349" w14:textId="77777777" w:rsidR="001E7B8B" w:rsidRPr="00535C16" w:rsidRDefault="001E7B8B" w:rsidP="00FF426B">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535C16" w:rsidRDefault="00E35DF9" w:rsidP="00FF426B">
      <w:pPr>
        <w:pStyle w:val="Prrafodelista"/>
        <w:tabs>
          <w:tab w:val="left" w:pos="567"/>
        </w:tabs>
        <w:spacing w:line="360" w:lineRule="auto"/>
        <w:ind w:left="0"/>
        <w:jc w:val="both"/>
        <w:rPr>
          <w:rFonts w:ascii="Palatino Linotype" w:hAnsi="Palatino Linotype" w:cs="Tahoma"/>
          <w:b/>
          <w:szCs w:val="22"/>
        </w:rPr>
      </w:pPr>
      <w:r w:rsidRPr="00535C16">
        <w:rPr>
          <w:rFonts w:ascii="Palatino Linotype" w:hAnsi="Palatino Linotype" w:cs="Tahoma"/>
          <w:b/>
          <w:szCs w:val="22"/>
        </w:rPr>
        <w:t>I. Presentación de la solicitud de información</w:t>
      </w:r>
    </w:p>
    <w:p w14:paraId="2BD2636B" w14:textId="77777777" w:rsidR="00E35DF9" w:rsidRPr="00535C16" w:rsidRDefault="00E35DF9" w:rsidP="00FF426B">
      <w:pPr>
        <w:pStyle w:val="Prrafodelista"/>
        <w:tabs>
          <w:tab w:val="left" w:pos="567"/>
        </w:tabs>
        <w:spacing w:line="360" w:lineRule="auto"/>
        <w:ind w:left="0"/>
        <w:jc w:val="both"/>
        <w:rPr>
          <w:rFonts w:ascii="Palatino Linotype" w:hAnsi="Palatino Linotype" w:cs="Tahoma"/>
          <w:b/>
          <w:sz w:val="18"/>
          <w:szCs w:val="22"/>
        </w:rPr>
      </w:pPr>
    </w:p>
    <w:p w14:paraId="413CD8BC" w14:textId="07DF8503" w:rsidR="00E35DF9" w:rsidRPr="00535C16" w:rsidRDefault="00E35DF9" w:rsidP="00FF426B">
      <w:pPr>
        <w:tabs>
          <w:tab w:val="left" w:pos="567"/>
        </w:tabs>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rPr>
        <w:t xml:space="preserve">Con fecha </w:t>
      </w:r>
      <w:r w:rsidR="005A6BEC" w:rsidRPr="00535C16">
        <w:rPr>
          <w:rFonts w:ascii="Palatino Linotype" w:hAnsi="Palatino Linotype" w:cs="Tahoma"/>
          <w:sz w:val="22"/>
          <w:szCs w:val="22"/>
        </w:rPr>
        <w:t>ocho</w:t>
      </w:r>
      <w:r w:rsidR="00FE0793" w:rsidRPr="00535C16">
        <w:rPr>
          <w:rFonts w:ascii="Palatino Linotype" w:hAnsi="Palatino Linotype" w:cs="Tahoma"/>
          <w:sz w:val="22"/>
          <w:szCs w:val="22"/>
        </w:rPr>
        <w:t xml:space="preserve"> de </w:t>
      </w:r>
      <w:r w:rsidR="009D6075" w:rsidRPr="00535C16">
        <w:rPr>
          <w:rFonts w:ascii="Palatino Linotype" w:hAnsi="Palatino Linotype" w:cs="Tahoma"/>
          <w:sz w:val="22"/>
          <w:szCs w:val="22"/>
        </w:rPr>
        <w:t>octubre</w:t>
      </w:r>
      <w:r w:rsidR="00552F49" w:rsidRPr="00535C16">
        <w:rPr>
          <w:rFonts w:ascii="Palatino Linotype" w:hAnsi="Palatino Linotype" w:cs="Tahoma"/>
          <w:sz w:val="22"/>
          <w:szCs w:val="22"/>
        </w:rPr>
        <w:t xml:space="preserve"> </w:t>
      </w:r>
      <w:r w:rsidR="008436E1" w:rsidRPr="00535C16">
        <w:rPr>
          <w:rFonts w:ascii="Palatino Linotype" w:hAnsi="Palatino Linotype" w:cs="Tahoma"/>
          <w:sz w:val="22"/>
          <w:szCs w:val="22"/>
        </w:rPr>
        <w:t xml:space="preserve">de dos mil </w:t>
      </w:r>
      <w:r w:rsidR="005A6BEC" w:rsidRPr="00535C16">
        <w:rPr>
          <w:rFonts w:ascii="Palatino Linotype" w:hAnsi="Palatino Linotype" w:cs="Tahoma"/>
          <w:sz w:val="22"/>
          <w:szCs w:val="22"/>
        </w:rPr>
        <w:t>veinticinco</w:t>
      </w:r>
      <w:r w:rsidRPr="00535C16">
        <w:rPr>
          <w:rFonts w:ascii="Palatino Linotype" w:hAnsi="Palatino Linotype" w:cs="Tahoma"/>
          <w:sz w:val="22"/>
          <w:szCs w:val="22"/>
        </w:rPr>
        <w:t>, el Particular presentó solicitud de acceso a la i</w:t>
      </w:r>
      <w:r w:rsidR="009D6672" w:rsidRPr="00535C16">
        <w:rPr>
          <w:rFonts w:ascii="Palatino Linotype" w:hAnsi="Palatino Linotype" w:cs="Tahoma"/>
          <w:sz w:val="22"/>
          <w:szCs w:val="22"/>
        </w:rPr>
        <w:t>nformación pública, a través de</w:t>
      </w:r>
      <w:r w:rsidR="00EA2594" w:rsidRPr="00535C16">
        <w:rPr>
          <w:rFonts w:ascii="Palatino Linotype" w:hAnsi="Palatino Linotype" w:cs="Tahoma"/>
          <w:sz w:val="22"/>
          <w:szCs w:val="22"/>
        </w:rPr>
        <w:t xml:space="preserve">l </w:t>
      </w:r>
      <w:r w:rsidR="00062387" w:rsidRPr="00535C16">
        <w:rPr>
          <w:rFonts w:ascii="Palatino Linotype" w:hAnsi="Palatino Linotype" w:cs="Tahoma"/>
          <w:sz w:val="22"/>
          <w:szCs w:val="22"/>
        </w:rPr>
        <w:t>Sistema de Acceso a la</w:t>
      </w:r>
      <w:r w:rsidR="000973B8" w:rsidRPr="00535C16">
        <w:rPr>
          <w:rFonts w:ascii="Palatino Linotype" w:hAnsi="Palatino Linotype" w:cs="Tahoma"/>
          <w:sz w:val="22"/>
          <w:szCs w:val="22"/>
        </w:rPr>
        <w:t xml:space="preserve"> Información Mexiquense </w:t>
      </w:r>
      <w:r w:rsidR="009C4614" w:rsidRPr="00535C16">
        <w:rPr>
          <w:rFonts w:ascii="Palatino Linotype" w:hAnsi="Palatino Linotype" w:cs="Tahoma"/>
          <w:sz w:val="22"/>
          <w:szCs w:val="22"/>
        </w:rPr>
        <w:t xml:space="preserve">en lo sucesivo </w:t>
      </w:r>
      <w:r w:rsidR="000973B8" w:rsidRPr="00535C16">
        <w:rPr>
          <w:rFonts w:ascii="Palatino Linotype" w:hAnsi="Palatino Linotype" w:cs="Tahoma"/>
          <w:sz w:val="22"/>
          <w:szCs w:val="22"/>
        </w:rPr>
        <w:t>SAIMEX</w:t>
      </w:r>
      <w:r w:rsidRPr="00535C16">
        <w:rPr>
          <w:rFonts w:ascii="Palatino Linotype" w:hAnsi="Palatino Linotype" w:cs="Tahoma"/>
          <w:sz w:val="22"/>
          <w:szCs w:val="22"/>
        </w:rPr>
        <w:t>, ante</w:t>
      </w:r>
      <w:r w:rsidR="007F0E3E" w:rsidRPr="00535C16">
        <w:rPr>
          <w:rFonts w:ascii="Palatino Linotype" w:hAnsi="Palatino Linotype" w:cs="Tahoma"/>
          <w:sz w:val="22"/>
          <w:szCs w:val="22"/>
        </w:rPr>
        <w:t xml:space="preserve"> el</w:t>
      </w:r>
      <w:r w:rsidRPr="00535C16">
        <w:rPr>
          <w:rFonts w:ascii="Palatino Linotype" w:hAnsi="Palatino Linotype" w:cs="Tahoma"/>
          <w:sz w:val="22"/>
          <w:szCs w:val="22"/>
        </w:rPr>
        <w:t xml:space="preserve"> </w:t>
      </w:r>
      <w:r w:rsidR="007F0E3E" w:rsidRPr="00535C16">
        <w:rPr>
          <w:rFonts w:ascii="Palatino Linotype" w:hAnsi="Palatino Linotype" w:cs="Tahoma"/>
          <w:sz w:val="22"/>
          <w:szCs w:val="22"/>
        </w:rPr>
        <w:t xml:space="preserve">Ayuntamiento de </w:t>
      </w:r>
      <w:r w:rsidR="005147B2" w:rsidRPr="00535C16">
        <w:rPr>
          <w:rFonts w:ascii="Palatino Linotype" w:hAnsi="Palatino Linotype" w:cs="Tahoma"/>
          <w:sz w:val="22"/>
          <w:szCs w:val="22"/>
        </w:rPr>
        <w:t>Nextlalpan</w:t>
      </w:r>
      <w:r w:rsidRPr="00535C16">
        <w:rPr>
          <w:rFonts w:ascii="Palatino Linotype" w:hAnsi="Palatino Linotype" w:cs="Tahoma"/>
          <w:sz w:val="22"/>
          <w:szCs w:val="22"/>
        </w:rPr>
        <w:t xml:space="preserve">, </w:t>
      </w:r>
      <w:r w:rsidR="003A12F1" w:rsidRPr="00535C16">
        <w:rPr>
          <w:rFonts w:ascii="Palatino Linotype" w:hAnsi="Palatino Linotype" w:cs="Tahoma"/>
          <w:sz w:val="22"/>
          <w:szCs w:val="22"/>
        </w:rPr>
        <w:t xml:space="preserve">misma que fue registrada con el número de folio </w:t>
      </w:r>
      <w:r w:rsidR="005147B2" w:rsidRPr="00535C16">
        <w:rPr>
          <w:rFonts w:ascii="Palatino Linotype" w:hAnsi="Palatino Linotype" w:cs="Tahoma"/>
          <w:sz w:val="22"/>
          <w:szCs w:val="22"/>
        </w:rPr>
        <w:t>00136/NEXTLAL/IP/2025</w:t>
      </w:r>
      <w:r w:rsidR="003A12F1" w:rsidRPr="00535C16">
        <w:rPr>
          <w:rFonts w:ascii="Palatino Linotype" w:hAnsi="Palatino Linotype" w:cs="Tahoma"/>
          <w:b/>
          <w:bCs/>
          <w:sz w:val="22"/>
          <w:szCs w:val="22"/>
        </w:rPr>
        <w:t xml:space="preserve">, </w:t>
      </w:r>
      <w:r w:rsidRPr="00535C16">
        <w:rPr>
          <w:rFonts w:ascii="Palatino Linotype" w:hAnsi="Palatino Linotype" w:cs="Tahoma"/>
          <w:sz w:val="22"/>
          <w:szCs w:val="22"/>
        </w:rPr>
        <w:t xml:space="preserve">mediante </w:t>
      </w:r>
      <w:r w:rsidR="0074594A" w:rsidRPr="00535C16">
        <w:rPr>
          <w:rFonts w:ascii="Palatino Linotype" w:hAnsi="Palatino Linotype" w:cs="Tahoma"/>
          <w:sz w:val="22"/>
          <w:szCs w:val="22"/>
        </w:rPr>
        <w:t>l</w:t>
      </w:r>
      <w:r w:rsidR="00B50512" w:rsidRPr="00535C16">
        <w:rPr>
          <w:rFonts w:ascii="Palatino Linotype" w:hAnsi="Palatino Linotype" w:cs="Tahoma"/>
          <w:sz w:val="22"/>
          <w:szCs w:val="22"/>
        </w:rPr>
        <w:t>a</w:t>
      </w:r>
      <w:r w:rsidRPr="00535C16">
        <w:rPr>
          <w:rFonts w:ascii="Palatino Linotype" w:hAnsi="Palatino Linotype" w:cs="Tahoma"/>
          <w:sz w:val="22"/>
          <w:szCs w:val="22"/>
        </w:rPr>
        <w:t xml:space="preserve"> cual requirió lo siguiente: </w:t>
      </w:r>
    </w:p>
    <w:p w14:paraId="56538E78" w14:textId="77777777" w:rsidR="00D807FB" w:rsidRPr="00535C16" w:rsidRDefault="00D807FB" w:rsidP="00FF426B">
      <w:pPr>
        <w:tabs>
          <w:tab w:val="left" w:pos="567"/>
        </w:tabs>
        <w:spacing w:line="360" w:lineRule="auto"/>
        <w:contextualSpacing/>
        <w:jc w:val="both"/>
        <w:rPr>
          <w:rFonts w:ascii="Palatino Linotype" w:hAnsi="Palatino Linotype" w:cs="Tahoma"/>
          <w:sz w:val="22"/>
        </w:rPr>
      </w:pPr>
    </w:p>
    <w:p w14:paraId="5E8D7A31" w14:textId="27B6888C" w:rsidR="00D807FB" w:rsidRPr="00535C16" w:rsidRDefault="005A6BEC" w:rsidP="00FF426B">
      <w:pPr>
        <w:tabs>
          <w:tab w:val="left" w:pos="567"/>
        </w:tabs>
        <w:spacing w:line="360" w:lineRule="auto"/>
        <w:ind w:left="567" w:right="539"/>
        <w:contextualSpacing/>
        <w:jc w:val="both"/>
        <w:rPr>
          <w:rFonts w:ascii="Palatino Linotype" w:hAnsi="Palatino Linotype" w:cs="Tahoma"/>
          <w:b/>
          <w:bCs/>
          <w:sz w:val="22"/>
          <w:szCs w:val="22"/>
        </w:rPr>
      </w:pPr>
      <w:r w:rsidRPr="00535C16">
        <w:rPr>
          <w:rFonts w:ascii="Palatino Linotype" w:hAnsi="Palatino Linotype" w:cs="Tahoma"/>
          <w:b/>
          <w:bCs/>
        </w:rPr>
        <w:t>“</w:t>
      </w:r>
      <w:r w:rsidR="00D807FB" w:rsidRPr="00535C16">
        <w:rPr>
          <w:rFonts w:ascii="Palatino Linotype" w:hAnsi="Palatino Linotype" w:cs="Tahoma"/>
          <w:b/>
          <w:bCs/>
        </w:rPr>
        <w:t>DESCRIPCIÓN CLARA Y PRECISA DE LA INFORMACIÓN SOLICITADA</w:t>
      </w:r>
      <w:r w:rsidR="00D807FB" w:rsidRPr="00535C16">
        <w:rPr>
          <w:rFonts w:ascii="Palatino Linotype" w:hAnsi="Palatino Linotype" w:cs="Tahoma"/>
          <w:b/>
          <w:bCs/>
          <w:sz w:val="22"/>
          <w:szCs w:val="22"/>
        </w:rPr>
        <w:t>:</w:t>
      </w:r>
    </w:p>
    <w:p w14:paraId="5BAA628F" w14:textId="1C090845" w:rsidR="005A6BEC" w:rsidRPr="00535C16" w:rsidRDefault="005147B2" w:rsidP="00062387">
      <w:pPr>
        <w:pStyle w:val="Prrafodelista"/>
        <w:tabs>
          <w:tab w:val="left" w:pos="567"/>
        </w:tabs>
        <w:spacing w:line="360" w:lineRule="auto"/>
        <w:ind w:left="567" w:right="539"/>
        <w:jc w:val="both"/>
        <w:rPr>
          <w:rFonts w:ascii="Palatino Linotype" w:hAnsi="Palatino Linotype"/>
          <w:i/>
          <w:iCs/>
          <w:color w:val="000000"/>
          <w:sz w:val="20"/>
          <w:szCs w:val="20"/>
        </w:rPr>
      </w:pPr>
      <w:r w:rsidRPr="00535C16">
        <w:rPr>
          <w:rFonts w:ascii="Palatino Linotype" w:hAnsi="Palatino Linotype"/>
          <w:i/>
          <w:iCs/>
          <w:color w:val="000000"/>
          <w:sz w:val="20"/>
          <w:szCs w:val="20"/>
        </w:rPr>
        <w:t xml:space="preserve">Por medio de la presente, solicito una base de datos (en formato abierto como xls o </w:t>
      </w:r>
      <w:proofErr w:type="spellStart"/>
      <w:r w:rsidRPr="00535C16">
        <w:rPr>
          <w:rFonts w:ascii="Palatino Linotype" w:hAnsi="Palatino Linotype"/>
          <w:i/>
          <w:iCs/>
          <w:color w:val="000000"/>
          <w:sz w:val="20"/>
          <w:szCs w:val="20"/>
        </w:rPr>
        <w:t>cvs</w:t>
      </w:r>
      <w:proofErr w:type="spellEnd"/>
      <w:r w:rsidRPr="00535C16">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Pr="00535C16">
        <w:rPr>
          <w:rFonts w:ascii="Palatino Linotype" w:hAnsi="Palatino Linotype"/>
          <w:i/>
          <w:iCs/>
          <w:color w:val="000000"/>
          <w:sz w:val="20"/>
          <w:szCs w:val="20"/>
        </w:rPr>
        <w:t>dd</w:t>
      </w:r>
      <w:proofErr w:type="spellEnd"/>
      <w:r w:rsidRPr="00535C16">
        <w:rPr>
          <w:rFonts w:ascii="Palatino Linotype" w:hAnsi="Palatino Linotype"/>
          <w:i/>
          <w:iCs/>
          <w:color w:val="000000"/>
          <w:sz w:val="20"/>
          <w:szCs w:val="20"/>
        </w:rPr>
        <w:t>/mm/</w:t>
      </w:r>
      <w:proofErr w:type="spellStart"/>
      <w:r w:rsidRPr="00535C16">
        <w:rPr>
          <w:rFonts w:ascii="Palatino Linotype" w:hAnsi="Palatino Linotype"/>
          <w:i/>
          <w:iCs/>
          <w:color w:val="000000"/>
          <w:sz w:val="20"/>
          <w:szCs w:val="20"/>
        </w:rPr>
        <w:t>aaaa</w:t>
      </w:r>
      <w:proofErr w:type="spellEnd"/>
      <w:r w:rsidRPr="00535C16">
        <w:rPr>
          <w:rFonts w:ascii="Palatino Linotype" w:hAnsi="Palatino Linotype"/>
          <w:i/>
          <w:iCs/>
          <w:color w:val="000000"/>
          <w:sz w:val="20"/>
          <w:szCs w:val="20"/>
        </w:rPr>
        <w:t xml:space="preserve">) DEL INCIDENTE O EVENTO LUGAR DEL INCIDENTE O EVENTO UBICACIÓN DEL INCIDENTE O EVENTO LAS COORDENADAS GEOGRÁFICAS DEL INCIDENTE O EVENTO. ESTABLECIDAS EN </w:t>
      </w:r>
      <w:r w:rsidRPr="00535C16">
        <w:rPr>
          <w:rFonts w:ascii="Palatino Linotype" w:hAnsi="Palatino Linotype"/>
          <w:i/>
          <w:iCs/>
          <w:color w:val="000000"/>
          <w:sz w:val="20"/>
          <w:szCs w:val="20"/>
        </w:rPr>
        <w:lastRenderedPageBreak/>
        <w:t xml:space="preserve">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w:t>
      </w:r>
      <w:r w:rsidRPr="00535C16">
        <w:rPr>
          <w:rFonts w:ascii="Palatino Linotype" w:hAnsi="Palatino Linotype"/>
          <w:b/>
          <w:i/>
          <w:iCs/>
          <w:color w:val="000000"/>
          <w:sz w:val="20"/>
          <w:szCs w:val="20"/>
          <w:u w:val="single"/>
        </w:rPr>
        <w:t>del 1 de enero de 2018 a la fecha de la presente solicitud.</w:t>
      </w:r>
      <w:r w:rsidRPr="00535C16">
        <w:rPr>
          <w:rFonts w:ascii="Palatino Linotype" w:hAnsi="Palatino Linotype"/>
          <w:i/>
          <w:iCs/>
          <w:color w:val="000000"/>
          <w:sz w:val="20"/>
          <w:szCs w:val="20"/>
        </w:rPr>
        <w:t xml:space="preserve">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5A6BEC" w:rsidRPr="00535C16">
        <w:rPr>
          <w:rFonts w:ascii="Palatino Linotype" w:hAnsi="Palatino Linotype"/>
          <w:i/>
          <w:iCs/>
          <w:color w:val="000000"/>
          <w:sz w:val="20"/>
          <w:szCs w:val="20"/>
        </w:rPr>
        <w:t>” (Sic)</w:t>
      </w:r>
    </w:p>
    <w:p w14:paraId="246B6100" w14:textId="77777777" w:rsidR="009D6075" w:rsidRPr="00535C16" w:rsidRDefault="009D6075" w:rsidP="00062387">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535C16" w:rsidRDefault="00E35DF9" w:rsidP="00062387">
      <w:pPr>
        <w:pStyle w:val="Prrafodelista"/>
        <w:tabs>
          <w:tab w:val="left" w:pos="567"/>
        </w:tabs>
        <w:spacing w:line="360" w:lineRule="auto"/>
        <w:ind w:left="567" w:right="539"/>
        <w:jc w:val="both"/>
        <w:rPr>
          <w:rFonts w:ascii="Palatino Linotype" w:hAnsi="Palatino Linotype" w:cs="Tahoma"/>
          <w:i/>
          <w:sz w:val="20"/>
          <w:szCs w:val="22"/>
        </w:rPr>
      </w:pPr>
      <w:r w:rsidRPr="00535C16">
        <w:rPr>
          <w:rFonts w:ascii="Palatino Linotype" w:hAnsi="Palatino Linotype" w:cs="Tahoma"/>
          <w:b/>
          <w:sz w:val="20"/>
          <w:szCs w:val="22"/>
        </w:rPr>
        <w:t>MODALIDAD DE ENTREGA</w:t>
      </w:r>
      <w:r w:rsidR="00DF57BB" w:rsidRPr="00535C16">
        <w:rPr>
          <w:rFonts w:ascii="Palatino Linotype" w:hAnsi="Palatino Linotype" w:cs="Tahoma"/>
          <w:b/>
          <w:sz w:val="20"/>
          <w:szCs w:val="22"/>
        </w:rPr>
        <w:t xml:space="preserve"> </w:t>
      </w:r>
      <w:r w:rsidR="007E4927" w:rsidRPr="00535C16">
        <w:rPr>
          <w:rFonts w:ascii="Palatino Linotype" w:hAnsi="Palatino Linotype" w:cs="Tahoma"/>
          <w:i/>
          <w:sz w:val="20"/>
          <w:szCs w:val="22"/>
        </w:rPr>
        <w:t>“</w:t>
      </w:r>
      <w:r w:rsidR="00062387" w:rsidRPr="00535C16">
        <w:rPr>
          <w:rFonts w:ascii="Palatino Linotype" w:hAnsi="Palatino Linotype" w:cs="Tahoma"/>
          <w:i/>
          <w:sz w:val="20"/>
          <w:szCs w:val="22"/>
        </w:rPr>
        <w:t>A través del SAIMEX</w:t>
      </w:r>
      <w:r w:rsidR="007E4927" w:rsidRPr="00535C16">
        <w:rPr>
          <w:rFonts w:ascii="Palatino Linotype" w:hAnsi="Palatino Linotype" w:cs="Tahoma"/>
          <w:i/>
          <w:sz w:val="20"/>
          <w:szCs w:val="22"/>
        </w:rPr>
        <w:t>”</w:t>
      </w:r>
    </w:p>
    <w:p w14:paraId="08DE3F45" w14:textId="77777777" w:rsidR="00C53C3A" w:rsidRPr="00535C16" w:rsidRDefault="00C53C3A" w:rsidP="00FF426B">
      <w:pPr>
        <w:pStyle w:val="Prrafodelista"/>
        <w:tabs>
          <w:tab w:val="left" w:pos="567"/>
        </w:tabs>
        <w:spacing w:line="360" w:lineRule="auto"/>
        <w:ind w:left="0"/>
        <w:jc w:val="both"/>
        <w:rPr>
          <w:rFonts w:ascii="Palatino Linotype" w:hAnsi="Palatino Linotype" w:cs="Tahoma"/>
          <w:b/>
          <w:szCs w:val="20"/>
        </w:rPr>
      </w:pPr>
    </w:p>
    <w:p w14:paraId="512DF4A9" w14:textId="77777777" w:rsidR="00681D84" w:rsidRPr="00535C16" w:rsidRDefault="0029110A" w:rsidP="00EA2594">
      <w:pPr>
        <w:autoSpaceDE w:val="0"/>
        <w:autoSpaceDN w:val="0"/>
        <w:adjustRightInd w:val="0"/>
        <w:spacing w:line="360" w:lineRule="auto"/>
        <w:jc w:val="both"/>
        <w:rPr>
          <w:rFonts w:ascii="Palatino Linotype" w:hAnsi="Palatino Linotype" w:cs="Tahoma"/>
          <w:b/>
          <w:sz w:val="22"/>
          <w:szCs w:val="22"/>
        </w:rPr>
      </w:pPr>
      <w:r w:rsidRPr="00535C16">
        <w:rPr>
          <w:rFonts w:ascii="Palatino Linotype" w:hAnsi="Palatino Linotype"/>
          <w:b/>
          <w:bCs/>
          <w:color w:val="000000" w:themeColor="text1"/>
          <w:sz w:val="24"/>
          <w:szCs w:val="22"/>
          <w:lang w:eastAsia="en-US"/>
        </w:rPr>
        <w:t>II.</w:t>
      </w:r>
      <w:r w:rsidR="002A74AD" w:rsidRPr="00535C16">
        <w:rPr>
          <w:rFonts w:ascii="Palatino Linotype" w:hAnsi="Palatino Linotype" w:cs="Tahoma"/>
          <w:b/>
          <w:sz w:val="22"/>
          <w:szCs w:val="22"/>
        </w:rPr>
        <w:t xml:space="preserve"> </w:t>
      </w:r>
      <w:r w:rsidR="00681D84" w:rsidRPr="00535C16">
        <w:rPr>
          <w:rFonts w:ascii="Palatino Linotype" w:hAnsi="Palatino Linotype" w:cs="Tahoma"/>
          <w:b/>
          <w:sz w:val="22"/>
          <w:szCs w:val="22"/>
        </w:rPr>
        <w:t>Respuesta del Sujeto Obligado</w:t>
      </w:r>
    </w:p>
    <w:p w14:paraId="6B0FD2E1" w14:textId="77777777" w:rsidR="00E0128F" w:rsidRPr="00535C16" w:rsidRDefault="00E0128F" w:rsidP="00FF426B">
      <w:pPr>
        <w:pStyle w:val="Prrafodelista"/>
        <w:tabs>
          <w:tab w:val="left" w:pos="567"/>
        </w:tabs>
        <w:spacing w:line="360" w:lineRule="auto"/>
        <w:ind w:left="0"/>
        <w:jc w:val="both"/>
        <w:rPr>
          <w:rFonts w:ascii="Palatino Linotype" w:hAnsi="Palatino Linotype" w:cs="Tahoma"/>
          <w:b/>
          <w:sz w:val="20"/>
          <w:szCs w:val="22"/>
        </w:rPr>
      </w:pPr>
    </w:p>
    <w:p w14:paraId="5919F99F" w14:textId="43FFFCC1" w:rsidR="0029110A" w:rsidRPr="00535C16" w:rsidRDefault="00681D84" w:rsidP="00FF426B">
      <w:pPr>
        <w:autoSpaceDE w:val="0"/>
        <w:autoSpaceDN w:val="0"/>
        <w:adjustRightInd w:val="0"/>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rPr>
        <w:t xml:space="preserve">Con fecha </w:t>
      </w:r>
      <w:r w:rsidR="005147B2" w:rsidRPr="00535C16">
        <w:rPr>
          <w:rFonts w:ascii="Palatino Linotype" w:hAnsi="Palatino Linotype" w:cs="Tahoma"/>
          <w:sz w:val="22"/>
          <w:szCs w:val="22"/>
        </w:rPr>
        <w:t>veinticuatro</w:t>
      </w:r>
      <w:r w:rsidR="009C4614" w:rsidRPr="00535C16">
        <w:rPr>
          <w:rFonts w:ascii="Palatino Linotype" w:hAnsi="Palatino Linotype" w:cs="Tahoma"/>
          <w:sz w:val="22"/>
          <w:szCs w:val="22"/>
        </w:rPr>
        <w:t xml:space="preserve"> de </w:t>
      </w:r>
      <w:r w:rsidR="005147B2" w:rsidRPr="00535C16">
        <w:rPr>
          <w:rFonts w:ascii="Palatino Linotype" w:hAnsi="Palatino Linotype" w:cs="Tahoma"/>
          <w:sz w:val="22"/>
          <w:szCs w:val="22"/>
        </w:rPr>
        <w:t>octubre</w:t>
      </w:r>
      <w:r w:rsidR="00552F49" w:rsidRPr="00535C16">
        <w:rPr>
          <w:rFonts w:ascii="Palatino Linotype" w:hAnsi="Palatino Linotype" w:cs="Tahoma"/>
          <w:sz w:val="22"/>
          <w:szCs w:val="22"/>
        </w:rPr>
        <w:t xml:space="preserve"> </w:t>
      </w:r>
      <w:r w:rsidR="00B71F2C" w:rsidRPr="00535C16">
        <w:rPr>
          <w:rFonts w:ascii="Palatino Linotype" w:hAnsi="Palatino Linotype" w:cs="Tahoma"/>
          <w:sz w:val="22"/>
          <w:szCs w:val="22"/>
        </w:rPr>
        <w:t xml:space="preserve">de dos mil </w:t>
      </w:r>
      <w:r w:rsidR="005A6BEC" w:rsidRPr="00535C16">
        <w:rPr>
          <w:rFonts w:ascii="Palatino Linotype" w:hAnsi="Palatino Linotype" w:cs="Tahoma"/>
          <w:sz w:val="22"/>
          <w:szCs w:val="22"/>
        </w:rPr>
        <w:t>veinticinco</w:t>
      </w:r>
      <w:r w:rsidRPr="00535C16">
        <w:rPr>
          <w:rFonts w:ascii="Palatino Linotype" w:hAnsi="Palatino Linotype" w:cs="Tahoma"/>
          <w:sz w:val="22"/>
          <w:szCs w:val="22"/>
        </w:rPr>
        <w:t xml:space="preserve">, </w:t>
      </w:r>
      <w:r w:rsidR="00D74B06" w:rsidRPr="00535C16">
        <w:rPr>
          <w:rFonts w:ascii="Palatino Linotype" w:hAnsi="Palatino Linotype" w:cs="Tahoma"/>
          <w:sz w:val="22"/>
          <w:szCs w:val="22"/>
        </w:rPr>
        <w:t xml:space="preserve">el Sujeto Obligado </w:t>
      </w:r>
      <w:r w:rsidR="008453FA" w:rsidRPr="00535C16">
        <w:rPr>
          <w:rFonts w:ascii="Palatino Linotype" w:hAnsi="Palatino Linotype" w:cs="Tahoma"/>
          <w:sz w:val="22"/>
          <w:szCs w:val="22"/>
        </w:rPr>
        <w:t xml:space="preserve">otorgó respuesta a través del SAIMEX </w:t>
      </w:r>
      <w:r w:rsidR="00A417C3" w:rsidRPr="00535C16">
        <w:rPr>
          <w:rFonts w:ascii="Palatino Linotype" w:hAnsi="Palatino Linotype" w:cs="Tahoma"/>
          <w:sz w:val="22"/>
          <w:szCs w:val="22"/>
        </w:rPr>
        <w:t>en los siguientes términos:</w:t>
      </w:r>
    </w:p>
    <w:p w14:paraId="548A3A94" w14:textId="77777777" w:rsidR="0029110A" w:rsidRPr="00535C16" w:rsidRDefault="0029110A" w:rsidP="00552F49">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55F6163B" w14:textId="77777777" w:rsidR="007F0E3E" w:rsidRPr="00535C16" w:rsidRDefault="00552F49"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w:t>
      </w:r>
      <w:r w:rsidR="00F25E23" w:rsidRPr="00535C16">
        <w:rPr>
          <w:rFonts w:ascii="Palatino Linotype" w:hAnsi="Palatino Linotype" w:cs="Tahoma"/>
          <w:i/>
          <w:szCs w:val="22"/>
        </w:rPr>
        <w:t xml:space="preserve"> </w:t>
      </w:r>
    </w:p>
    <w:p w14:paraId="7C470F89" w14:textId="544E9558" w:rsidR="005A6BEC" w:rsidRPr="00535C16" w:rsidRDefault="005147B2"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Esperando que se encuentre con bienestar y salud, reciba un cortés saludo y al mismo tiempo hago envío de la respuesta a su solicitud.</w:t>
      </w:r>
    </w:p>
    <w:p w14:paraId="1253BA82" w14:textId="4D2BE4F1" w:rsidR="007F0E3E" w:rsidRPr="00535C16" w:rsidRDefault="00A417C3" w:rsidP="00F25E2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535C16">
        <w:rPr>
          <w:rFonts w:ascii="Palatino Linotype" w:hAnsi="Palatino Linotype" w:cs="Tahoma"/>
          <w:i/>
          <w:szCs w:val="22"/>
        </w:rPr>
        <w:t>…</w:t>
      </w:r>
      <w:r w:rsidR="007F0E3E" w:rsidRPr="00535C16">
        <w:rPr>
          <w:rFonts w:ascii="Palatino Linotype" w:hAnsi="Palatino Linotype" w:cs="Tahoma"/>
          <w:b/>
          <w:i/>
          <w:szCs w:val="22"/>
        </w:rPr>
        <w:t xml:space="preserve">” </w:t>
      </w:r>
    </w:p>
    <w:p w14:paraId="3126B7A3" w14:textId="77777777" w:rsidR="007F0E3E" w:rsidRPr="00535C16" w:rsidRDefault="007F0E3E" w:rsidP="00A417C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072A8F8B" w14:textId="77777777" w:rsidR="005147B2" w:rsidRPr="00535C16" w:rsidRDefault="00A417C3" w:rsidP="00E16CFE">
      <w:pPr>
        <w:autoSpaceDE w:val="0"/>
        <w:autoSpaceDN w:val="0"/>
        <w:adjustRightInd w:val="0"/>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rPr>
        <w:t xml:space="preserve">A esta respuesta, adjuntó el archivo de nombre </w:t>
      </w:r>
      <w:r w:rsidR="005147B2" w:rsidRPr="00535C16">
        <w:rPr>
          <w:rFonts w:ascii="Palatino Linotype" w:hAnsi="Palatino Linotype" w:cs="Tahoma"/>
          <w:b/>
          <w:bCs/>
          <w:sz w:val="22"/>
          <w:szCs w:val="22"/>
        </w:rPr>
        <w:t>OFICIO EXT 222 SEGURIDAD.pdf</w:t>
      </w:r>
      <w:r w:rsidR="00E16CFE" w:rsidRPr="00535C16">
        <w:rPr>
          <w:rFonts w:ascii="Palatino Linotype" w:hAnsi="Palatino Linotype" w:cs="Tahoma"/>
          <w:b/>
          <w:bCs/>
          <w:sz w:val="22"/>
          <w:szCs w:val="22"/>
        </w:rPr>
        <w:t xml:space="preserve">, </w:t>
      </w:r>
      <w:r w:rsidR="00E16CFE" w:rsidRPr="00535C16">
        <w:rPr>
          <w:rFonts w:ascii="Palatino Linotype" w:hAnsi="Palatino Linotype" w:cs="Tahoma"/>
          <w:sz w:val="22"/>
          <w:szCs w:val="22"/>
        </w:rPr>
        <w:t xml:space="preserve">que contiene </w:t>
      </w:r>
      <w:r w:rsidR="001F1C4C" w:rsidRPr="00535C16">
        <w:rPr>
          <w:rFonts w:ascii="Palatino Linotype" w:hAnsi="Palatino Linotype" w:cs="Tahoma"/>
          <w:sz w:val="22"/>
          <w:szCs w:val="22"/>
        </w:rPr>
        <w:t xml:space="preserve">un documento de </w:t>
      </w:r>
      <w:r w:rsidR="005147B2" w:rsidRPr="00535C16">
        <w:rPr>
          <w:rFonts w:ascii="Palatino Linotype" w:hAnsi="Palatino Linotype" w:cs="Tahoma"/>
          <w:sz w:val="22"/>
          <w:szCs w:val="22"/>
        </w:rPr>
        <w:t>cuatro</w:t>
      </w:r>
      <w:r w:rsidR="005A6BEC" w:rsidRPr="00535C16">
        <w:rPr>
          <w:rFonts w:ascii="Palatino Linotype" w:hAnsi="Palatino Linotype" w:cs="Tahoma"/>
          <w:sz w:val="22"/>
          <w:szCs w:val="22"/>
        </w:rPr>
        <w:t xml:space="preserve"> fojas, </w:t>
      </w:r>
      <w:r w:rsidR="005147B2" w:rsidRPr="00535C16">
        <w:rPr>
          <w:rFonts w:ascii="Palatino Linotype" w:hAnsi="Palatino Linotype" w:cs="Tahoma"/>
          <w:sz w:val="22"/>
          <w:szCs w:val="22"/>
        </w:rPr>
        <w:t xml:space="preserve">el primer oficio, firmado por el Responsable de la Unidad de Transparencia, en donde respondió que se adjuntó la información remitida por el Servidor Público Habilitado, el segundo de ellos, firmado por el Director de Seguridad y Vialidad de </w:t>
      </w:r>
      <w:proofErr w:type="spellStart"/>
      <w:r w:rsidR="005147B2" w:rsidRPr="00535C16">
        <w:rPr>
          <w:rFonts w:ascii="Palatino Linotype" w:hAnsi="Palatino Linotype" w:cs="Tahoma"/>
          <w:sz w:val="22"/>
          <w:szCs w:val="22"/>
        </w:rPr>
        <w:t>Nextlapan</w:t>
      </w:r>
      <w:proofErr w:type="spellEnd"/>
      <w:r w:rsidR="005147B2" w:rsidRPr="00535C16">
        <w:rPr>
          <w:rFonts w:ascii="Palatino Linotype" w:hAnsi="Palatino Linotype" w:cs="Tahoma"/>
          <w:sz w:val="22"/>
          <w:szCs w:val="22"/>
        </w:rPr>
        <w:t>, que en lo central respondió lo siguiente:</w:t>
      </w:r>
    </w:p>
    <w:p w14:paraId="7B51B542" w14:textId="77777777" w:rsidR="00D50961" w:rsidRPr="00535C16" w:rsidRDefault="00D50961" w:rsidP="00E16CFE">
      <w:pPr>
        <w:autoSpaceDE w:val="0"/>
        <w:autoSpaceDN w:val="0"/>
        <w:adjustRightInd w:val="0"/>
        <w:spacing w:line="360" w:lineRule="auto"/>
        <w:contextualSpacing/>
        <w:jc w:val="both"/>
        <w:rPr>
          <w:rFonts w:ascii="Palatino Linotype" w:hAnsi="Palatino Linotype" w:cs="Tahoma"/>
          <w:sz w:val="22"/>
          <w:szCs w:val="22"/>
        </w:rPr>
      </w:pPr>
    </w:p>
    <w:p w14:paraId="08A38C28" w14:textId="38B7235E"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“…la Dirección de Seguridad Pública y Vialidad, realizó una búsqueda exhaustiva y razonable en su archivo y no se encontró información correspondiente a los años 2018, 2019, 2020, 2021, por lo que no se cuenta con la información requerida; y referente a los años 2022, 2023, 2024 y 202</w:t>
      </w:r>
      <w:r w:rsidR="00CE2FF5" w:rsidRPr="00535C16">
        <w:rPr>
          <w:rFonts w:ascii="Palatino Linotype" w:hAnsi="Palatino Linotype" w:cs="Tahoma"/>
          <w:i/>
          <w:szCs w:val="22"/>
        </w:rPr>
        <w:t>5</w:t>
      </w:r>
      <w:r w:rsidRPr="00535C16">
        <w:rPr>
          <w:rFonts w:ascii="Palatino Linotype" w:hAnsi="Palatino Linotype" w:cs="Tahoma"/>
          <w:i/>
          <w:szCs w:val="22"/>
        </w:rPr>
        <w:t>, se informa que se cuenta con un archivo de resguardo parcial de la información solicitada y que de acuerdo a los Artículos 12 y 19 de la Ley de Transparencia y Acceso a la Información Pública del Estado de México y Municipios, que a la letra dicen:</w:t>
      </w:r>
    </w:p>
    <w:p w14:paraId="5EE0B2E3" w14:textId="4DDB984C"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w:t>
      </w:r>
    </w:p>
    <w:p w14:paraId="5E66C95E" w14:textId="751DD804"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Por lo que esta Dirección de Seguridad Pública, no está obligada a generar resumir, efectuar cálculos o practicar investigaciones ni presentarla conforme al interés del solicitante.</w:t>
      </w:r>
    </w:p>
    <w:p w14:paraId="417D7A72" w14:textId="77777777"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05CF509E" w14:textId="16851000"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Y que en el Acuerdo por el que se Emiten los Lineamientos para el Llenado, Entrega, Recepción, Registro, Resguardo y Consulta del Informe Policial Homologado, Apartado Tercero, Alcance; del uso y aplicación del IPH. En donde incluye las fases de publicidad, disponibilidad, llenado, entrega y recepción derivado de un hecho probablemente delictivo o una infracción administrativa, así como el registro, resguardo y consulta de la información en El Sistema Nacional de Información en Seguridad Pública (SIN) dice claramente que la información del IPH, estará sujeta al análisis y evaluación por parte del Centro Nacional de Información (CNI), quien será el que podrá utilizarla con fines de inteligencia en coordinación con otras instituciones públicas de los tres órdenes de gobierno.</w:t>
      </w:r>
    </w:p>
    <w:p w14:paraId="09C39CF4" w14:textId="77777777"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30690506" w14:textId="7FBBF9D7" w:rsidR="00D50961" w:rsidRPr="00535C16" w:rsidRDefault="00D50961" w:rsidP="00D50961">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535C16">
        <w:rPr>
          <w:rFonts w:ascii="Palatino Linotype" w:hAnsi="Palatino Linotype" w:cs="Tahoma"/>
          <w:i/>
          <w:szCs w:val="22"/>
        </w:rPr>
        <w:t xml:space="preserve">Dicho así, u a fin de garantizar el derecho al acceso de la información pública y limitando su excepción; se pone </w:t>
      </w:r>
      <w:r w:rsidR="00A25C99" w:rsidRPr="00535C16">
        <w:rPr>
          <w:rFonts w:ascii="Palatino Linotype" w:hAnsi="Palatino Linotype" w:cs="Tahoma"/>
          <w:i/>
          <w:szCs w:val="22"/>
        </w:rPr>
        <w:t xml:space="preserve">a disposición del solicitante el enlace del Secretariado Ejecutivo del Sistema Estatal de Seguridad Pública, </w:t>
      </w:r>
      <w:hyperlink r:id="rId8" w:history="1">
        <w:r w:rsidR="00A25C99" w:rsidRPr="00535C16">
          <w:rPr>
            <w:rStyle w:val="Hipervnculo"/>
            <w:rFonts w:ascii="Palatino Linotype" w:hAnsi="Palatino Linotype" w:cs="Tahoma"/>
            <w:i/>
            <w:szCs w:val="22"/>
          </w:rPr>
          <w:t>http://sesespem.edomex.gob.mx/numeralia</w:t>
        </w:r>
      </w:hyperlink>
      <w:r w:rsidR="00A25C99" w:rsidRPr="00535C16">
        <w:rPr>
          <w:rFonts w:ascii="Palatino Linotype" w:hAnsi="Palatino Linotype" w:cs="Tahoma"/>
          <w:i/>
          <w:szCs w:val="22"/>
        </w:rPr>
        <w:t xml:space="preserve"> en la cual podrá encontrar Encuestas, Censos e Incidencia Delictiva, creado por la Agencia Digital del Estado de México.</w:t>
      </w:r>
    </w:p>
    <w:p w14:paraId="7C02B94A" w14:textId="77777777" w:rsidR="00623A23" w:rsidRPr="00535C16" w:rsidRDefault="00623A23" w:rsidP="00E16CFE">
      <w:pPr>
        <w:autoSpaceDE w:val="0"/>
        <w:autoSpaceDN w:val="0"/>
        <w:adjustRightInd w:val="0"/>
        <w:spacing w:line="360" w:lineRule="auto"/>
        <w:contextualSpacing/>
        <w:jc w:val="both"/>
        <w:rPr>
          <w:rFonts w:ascii="Palatino Linotype" w:hAnsi="Palatino Linotype" w:cs="Tahoma"/>
          <w:sz w:val="22"/>
          <w:szCs w:val="22"/>
        </w:rPr>
      </w:pPr>
    </w:p>
    <w:bookmarkEnd w:id="0"/>
    <w:p w14:paraId="355FBAB6" w14:textId="77777777" w:rsidR="001A412B" w:rsidRPr="00535C16" w:rsidRDefault="007812D1" w:rsidP="00FF426B">
      <w:pPr>
        <w:autoSpaceDE w:val="0"/>
        <w:autoSpaceDN w:val="0"/>
        <w:adjustRightInd w:val="0"/>
        <w:spacing w:line="360" w:lineRule="auto"/>
        <w:contextualSpacing/>
        <w:jc w:val="both"/>
        <w:rPr>
          <w:rFonts w:ascii="Palatino Linotype" w:hAnsi="Palatino Linotype" w:cs="Tahoma"/>
          <w:b/>
          <w:sz w:val="22"/>
          <w:szCs w:val="22"/>
        </w:rPr>
      </w:pPr>
      <w:r w:rsidRPr="00535C16">
        <w:rPr>
          <w:rFonts w:ascii="Palatino Linotype" w:hAnsi="Palatino Linotype" w:cs="Tahoma"/>
          <w:b/>
          <w:sz w:val="22"/>
          <w:szCs w:val="22"/>
        </w:rPr>
        <w:t>I</w:t>
      </w:r>
      <w:r w:rsidR="00EA2594" w:rsidRPr="00535C16">
        <w:rPr>
          <w:rFonts w:ascii="Palatino Linotype" w:hAnsi="Palatino Linotype" w:cs="Tahoma"/>
          <w:b/>
          <w:sz w:val="22"/>
          <w:szCs w:val="22"/>
        </w:rPr>
        <w:t>II</w:t>
      </w:r>
      <w:r w:rsidR="009A7587" w:rsidRPr="00535C16">
        <w:rPr>
          <w:rFonts w:ascii="Palatino Linotype" w:hAnsi="Palatino Linotype" w:cs="Tahoma"/>
          <w:b/>
          <w:sz w:val="22"/>
          <w:szCs w:val="22"/>
        </w:rPr>
        <w:t>. Interposición del Recurso de Revisión</w:t>
      </w:r>
    </w:p>
    <w:p w14:paraId="348AB16F" w14:textId="77777777" w:rsidR="00F87649" w:rsidRPr="00535C16" w:rsidRDefault="00F87649" w:rsidP="00FF426B">
      <w:pPr>
        <w:autoSpaceDE w:val="0"/>
        <w:autoSpaceDN w:val="0"/>
        <w:adjustRightInd w:val="0"/>
        <w:spacing w:line="360" w:lineRule="auto"/>
        <w:contextualSpacing/>
        <w:jc w:val="both"/>
        <w:rPr>
          <w:rFonts w:ascii="Palatino Linotype" w:hAnsi="Palatino Linotype" w:cs="Tahoma"/>
          <w:b/>
          <w:sz w:val="18"/>
          <w:szCs w:val="22"/>
        </w:rPr>
      </w:pPr>
    </w:p>
    <w:p w14:paraId="47C5B695" w14:textId="6978CFF0" w:rsidR="009A7587" w:rsidRPr="00535C16" w:rsidRDefault="009A7587" w:rsidP="00FF426B">
      <w:pPr>
        <w:tabs>
          <w:tab w:val="left" w:pos="3122"/>
        </w:tabs>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rPr>
        <w:t>Con fecha</w:t>
      </w:r>
      <w:r w:rsidR="00E13C8C" w:rsidRPr="00535C16">
        <w:rPr>
          <w:rFonts w:ascii="Palatino Linotype" w:hAnsi="Palatino Linotype" w:cs="Tahoma"/>
          <w:sz w:val="22"/>
          <w:szCs w:val="22"/>
        </w:rPr>
        <w:t xml:space="preserve"> </w:t>
      </w:r>
      <w:r w:rsidR="00CE2FF5" w:rsidRPr="00535C16">
        <w:rPr>
          <w:rFonts w:ascii="Palatino Linotype" w:hAnsi="Palatino Linotype" w:cs="Tahoma"/>
          <w:sz w:val="22"/>
          <w:szCs w:val="22"/>
        </w:rPr>
        <w:t>catorce</w:t>
      </w:r>
      <w:r w:rsidR="009C4614" w:rsidRPr="00535C16">
        <w:rPr>
          <w:rFonts w:ascii="Palatino Linotype" w:hAnsi="Palatino Linotype" w:cs="Tahoma"/>
          <w:sz w:val="22"/>
          <w:szCs w:val="22"/>
        </w:rPr>
        <w:t xml:space="preserve"> de </w:t>
      </w:r>
      <w:r w:rsidR="00CE2FF5" w:rsidRPr="00535C16">
        <w:rPr>
          <w:rFonts w:ascii="Palatino Linotype" w:hAnsi="Palatino Linotype" w:cs="Tahoma"/>
          <w:sz w:val="22"/>
          <w:szCs w:val="22"/>
        </w:rPr>
        <w:t>noviembre</w:t>
      </w:r>
      <w:r w:rsidR="009C4614" w:rsidRPr="00535C16">
        <w:rPr>
          <w:rFonts w:ascii="Palatino Linotype" w:hAnsi="Palatino Linotype" w:cs="Tahoma"/>
          <w:sz w:val="22"/>
          <w:szCs w:val="22"/>
        </w:rPr>
        <w:t xml:space="preserve"> </w:t>
      </w:r>
      <w:r w:rsidR="00B267E1" w:rsidRPr="00535C16">
        <w:rPr>
          <w:rFonts w:ascii="Palatino Linotype" w:hAnsi="Palatino Linotype" w:cs="Tahoma"/>
          <w:sz w:val="22"/>
          <w:szCs w:val="22"/>
        </w:rPr>
        <w:t xml:space="preserve">de dos mil </w:t>
      </w:r>
      <w:r w:rsidR="00CC337B" w:rsidRPr="00535C16">
        <w:rPr>
          <w:rFonts w:ascii="Palatino Linotype" w:hAnsi="Palatino Linotype" w:cs="Tahoma"/>
          <w:sz w:val="22"/>
          <w:szCs w:val="22"/>
        </w:rPr>
        <w:t>veinticinco</w:t>
      </w:r>
      <w:r w:rsidRPr="00535C16">
        <w:rPr>
          <w:rFonts w:ascii="Palatino Linotype" w:hAnsi="Palatino Linotype" w:cs="Tahoma"/>
          <w:sz w:val="22"/>
          <w:szCs w:val="22"/>
        </w:rPr>
        <w:t xml:space="preserve">, a través del </w:t>
      </w:r>
      <w:r w:rsidRPr="00535C16">
        <w:rPr>
          <w:rFonts w:ascii="Palatino Linotype" w:hAnsi="Palatino Linotype" w:cs="Tahoma"/>
          <w:sz w:val="22"/>
          <w:szCs w:val="22"/>
          <w:lang w:val="es-ES"/>
        </w:rPr>
        <w:t>SAIMEX</w:t>
      </w:r>
      <w:r w:rsidR="00A048C7" w:rsidRPr="00535C16">
        <w:rPr>
          <w:rFonts w:ascii="Palatino Linotype" w:hAnsi="Palatino Linotype" w:cs="Tahoma"/>
          <w:sz w:val="22"/>
          <w:szCs w:val="22"/>
        </w:rPr>
        <w:t>, se interpus</w:t>
      </w:r>
      <w:r w:rsidR="003C3E71" w:rsidRPr="00535C16">
        <w:rPr>
          <w:rFonts w:ascii="Palatino Linotype" w:hAnsi="Palatino Linotype" w:cs="Tahoma"/>
          <w:sz w:val="22"/>
          <w:szCs w:val="22"/>
        </w:rPr>
        <w:t>o</w:t>
      </w:r>
      <w:r w:rsidR="00A048C7" w:rsidRPr="00535C16">
        <w:rPr>
          <w:rFonts w:ascii="Palatino Linotype" w:hAnsi="Palatino Linotype" w:cs="Tahoma"/>
          <w:sz w:val="22"/>
          <w:szCs w:val="22"/>
        </w:rPr>
        <w:t xml:space="preserve"> </w:t>
      </w:r>
      <w:r w:rsidR="003C3E71" w:rsidRPr="00535C16">
        <w:rPr>
          <w:rFonts w:ascii="Palatino Linotype" w:hAnsi="Palatino Linotype" w:cs="Tahoma"/>
          <w:sz w:val="22"/>
          <w:szCs w:val="22"/>
        </w:rPr>
        <w:t>el</w:t>
      </w:r>
      <w:r w:rsidRPr="00535C16">
        <w:rPr>
          <w:rFonts w:ascii="Palatino Linotype" w:hAnsi="Palatino Linotype" w:cs="Tahoma"/>
          <w:sz w:val="22"/>
          <w:szCs w:val="22"/>
        </w:rPr>
        <w:t xml:space="preserve"> presente Recurso de Revisión por</w:t>
      </w:r>
      <w:r w:rsidR="008E6658" w:rsidRPr="00535C16">
        <w:rPr>
          <w:rFonts w:ascii="Palatino Linotype" w:hAnsi="Palatino Linotype" w:cs="Tahoma"/>
          <w:sz w:val="22"/>
          <w:szCs w:val="22"/>
        </w:rPr>
        <w:t xml:space="preserve"> </w:t>
      </w:r>
      <w:r w:rsidR="0035716C" w:rsidRPr="00535C16">
        <w:rPr>
          <w:rFonts w:ascii="Palatino Linotype" w:hAnsi="Palatino Linotype" w:cs="Tahoma"/>
          <w:sz w:val="22"/>
          <w:szCs w:val="22"/>
        </w:rPr>
        <w:t xml:space="preserve">el </w:t>
      </w:r>
      <w:r w:rsidRPr="00535C16">
        <w:rPr>
          <w:rFonts w:ascii="Palatino Linotype" w:hAnsi="Palatino Linotype" w:cs="Tahoma"/>
          <w:sz w:val="22"/>
          <w:szCs w:val="22"/>
        </w:rPr>
        <w:t xml:space="preserve">Recurrente, en contra de </w:t>
      </w:r>
      <w:r w:rsidR="00655265" w:rsidRPr="00535C16">
        <w:rPr>
          <w:rFonts w:ascii="Palatino Linotype" w:hAnsi="Palatino Linotype" w:cs="Tahoma"/>
          <w:sz w:val="22"/>
          <w:szCs w:val="22"/>
        </w:rPr>
        <w:t>la respuesta emitida</w:t>
      </w:r>
      <w:r w:rsidRPr="00535C16">
        <w:rPr>
          <w:rFonts w:ascii="Palatino Linotype" w:hAnsi="Palatino Linotype" w:cs="Tahoma"/>
          <w:sz w:val="22"/>
          <w:szCs w:val="22"/>
        </w:rPr>
        <w:t xml:space="preserve"> por el Sujeto Obligado a </w:t>
      </w:r>
      <w:r w:rsidR="00655265" w:rsidRPr="00535C16">
        <w:rPr>
          <w:rFonts w:ascii="Palatino Linotype" w:hAnsi="Palatino Linotype" w:cs="Tahoma"/>
          <w:sz w:val="22"/>
          <w:szCs w:val="22"/>
        </w:rPr>
        <w:t>la solicitud</w:t>
      </w:r>
      <w:r w:rsidRPr="00535C16">
        <w:rPr>
          <w:rFonts w:ascii="Palatino Linotype" w:hAnsi="Palatino Linotype" w:cs="Tahoma"/>
          <w:sz w:val="22"/>
          <w:szCs w:val="22"/>
        </w:rPr>
        <w:t xml:space="preserve"> de información, en los siguientes términos:</w:t>
      </w:r>
    </w:p>
    <w:p w14:paraId="06FA4202" w14:textId="77777777" w:rsidR="00AB6595" w:rsidRPr="00535C16" w:rsidRDefault="00AB6595" w:rsidP="00FF57AD">
      <w:pPr>
        <w:tabs>
          <w:tab w:val="left" w:pos="4995"/>
        </w:tabs>
        <w:spacing w:line="360" w:lineRule="auto"/>
        <w:contextualSpacing/>
        <w:jc w:val="both"/>
        <w:rPr>
          <w:rFonts w:ascii="Palatino Linotype" w:hAnsi="Palatino Linotype" w:cs="Tahoma"/>
          <w:sz w:val="22"/>
          <w:szCs w:val="22"/>
        </w:rPr>
      </w:pPr>
    </w:p>
    <w:p w14:paraId="49C2EBF7" w14:textId="67C6BBE8" w:rsidR="00D5699B" w:rsidRPr="00535C16" w:rsidRDefault="00CC337B" w:rsidP="00FF426B">
      <w:pPr>
        <w:spacing w:line="360" w:lineRule="auto"/>
        <w:ind w:left="567" w:right="539"/>
        <w:contextualSpacing/>
        <w:jc w:val="both"/>
        <w:rPr>
          <w:rFonts w:ascii="Palatino Linotype" w:hAnsi="Palatino Linotype" w:cs="Tahoma"/>
          <w:b/>
          <w:bCs/>
          <w:szCs w:val="22"/>
        </w:rPr>
      </w:pPr>
      <w:r w:rsidRPr="00535C16">
        <w:rPr>
          <w:rFonts w:ascii="Palatino Linotype" w:hAnsi="Palatino Linotype" w:cs="Tahoma"/>
          <w:b/>
          <w:bCs/>
          <w:szCs w:val="22"/>
        </w:rPr>
        <w:t>“</w:t>
      </w:r>
      <w:r w:rsidR="00D5699B" w:rsidRPr="00535C16">
        <w:rPr>
          <w:rFonts w:ascii="Palatino Linotype" w:hAnsi="Palatino Linotype" w:cs="Tahoma"/>
          <w:b/>
          <w:bCs/>
          <w:szCs w:val="22"/>
        </w:rPr>
        <w:t>ACTO IMPUGNADO:</w:t>
      </w:r>
    </w:p>
    <w:p w14:paraId="55E34722" w14:textId="0AEBDE92" w:rsidR="003D1770" w:rsidRPr="00535C16" w:rsidRDefault="00CC337B" w:rsidP="000659C2">
      <w:pPr>
        <w:spacing w:line="360" w:lineRule="auto"/>
        <w:ind w:left="567" w:right="539"/>
        <w:contextualSpacing/>
        <w:jc w:val="both"/>
        <w:rPr>
          <w:rFonts w:ascii="Palatino Linotype" w:hAnsi="Palatino Linotype" w:cs="Tahoma"/>
          <w:bCs/>
          <w:i/>
          <w:szCs w:val="22"/>
        </w:rPr>
      </w:pPr>
      <w:r w:rsidRPr="00535C16">
        <w:rPr>
          <w:rFonts w:ascii="Palatino Linotype" w:hAnsi="Palatino Linotype" w:cs="Tahoma"/>
          <w:bCs/>
          <w:i/>
          <w:szCs w:val="22"/>
        </w:rPr>
        <w:t>Respuesta del sujeto obligado</w:t>
      </w:r>
      <w:r w:rsidR="00E55401" w:rsidRPr="00535C16">
        <w:rPr>
          <w:rFonts w:ascii="Palatino Linotype" w:hAnsi="Palatino Linotype" w:cs="Tahoma"/>
          <w:bCs/>
          <w:i/>
          <w:szCs w:val="22"/>
        </w:rPr>
        <w:t>"</w:t>
      </w:r>
    </w:p>
    <w:p w14:paraId="0B2CCC7B" w14:textId="77777777" w:rsidR="00CE2F19" w:rsidRPr="00535C16" w:rsidRDefault="00CE2F19" w:rsidP="00CE2F19">
      <w:pPr>
        <w:spacing w:line="360" w:lineRule="auto"/>
        <w:ind w:left="567" w:right="539"/>
        <w:contextualSpacing/>
        <w:jc w:val="both"/>
        <w:rPr>
          <w:rFonts w:ascii="Palatino Linotype" w:hAnsi="Palatino Linotype" w:cs="Tahoma"/>
          <w:bCs/>
          <w:szCs w:val="22"/>
        </w:rPr>
      </w:pPr>
    </w:p>
    <w:p w14:paraId="50AD3817" w14:textId="4B3C89E4" w:rsidR="00CE2F19" w:rsidRPr="00535C16" w:rsidRDefault="00CC337B" w:rsidP="00CE2F19">
      <w:pPr>
        <w:spacing w:line="360" w:lineRule="auto"/>
        <w:ind w:left="567" w:right="539"/>
        <w:contextualSpacing/>
        <w:jc w:val="both"/>
        <w:rPr>
          <w:rFonts w:ascii="Palatino Linotype" w:hAnsi="Palatino Linotype" w:cs="Tahoma"/>
          <w:b/>
          <w:bCs/>
          <w:szCs w:val="22"/>
        </w:rPr>
      </w:pPr>
      <w:r w:rsidRPr="00535C16">
        <w:rPr>
          <w:rFonts w:ascii="Palatino Linotype" w:hAnsi="Palatino Linotype" w:cs="Tahoma"/>
          <w:b/>
          <w:bCs/>
          <w:szCs w:val="22"/>
        </w:rPr>
        <w:t>“</w:t>
      </w:r>
      <w:r w:rsidR="00CE2F19" w:rsidRPr="00535C16">
        <w:rPr>
          <w:rFonts w:ascii="Palatino Linotype" w:hAnsi="Palatino Linotype" w:cs="Tahoma"/>
          <w:b/>
          <w:bCs/>
          <w:szCs w:val="22"/>
        </w:rPr>
        <w:t>RAZONES O MOTIVOS DE LA INCONFORMIDAD</w:t>
      </w:r>
    </w:p>
    <w:p w14:paraId="5E0E1EEC" w14:textId="37A8334A" w:rsidR="007E4927" w:rsidRPr="00535C16" w:rsidRDefault="00CE2FF5" w:rsidP="00FF426B">
      <w:pPr>
        <w:spacing w:line="360" w:lineRule="auto"/>
        <w:ind w:left="567" w:right="539"/>
        <w:contextualSpacing/>
        <w:jc w:val="both"/>
        <w:rPr>
          <w:rFonts w:ascii="Palatino Linotype" w:hAnsi="Palatino Linotype" w:cs="Tahoma"/>
          <w:bCs/>
          <w:i/>
        </w:rPr>
      </w:pPr>
      <w:r w:rsidRPr="00535C16">
        <w:rPr>
          <w:rFonts w:ascii="Palatino Linotype" w:hAnsi="Palatino Linotype" w:cs="Tahoma"/>
          <w:bCs/>
          <w:i/>
        </w:rPr>
        <w:t xml:space="preserve">En la respuesta recibida vía Plataforma Nacional de Transparencia (PNT), el Sujeto Obligado no entrega la información que le solicité. Esto, debido a que me </w:t>
      </w:r>
      <w:r w:rsidRPr="00535C16">
        <w:rPr>
          <w:rFonts w:ascii="Palatino Linotype" w:hAnsi="Palatino Linotype" w:cs="Tahoma"/>
          <w:b/>
          <w:bCs/>
          <w:i/>
        </w:rPr>
        <w:t>remite a la información que publica el Secretariado Ejecutivo del Sistema Nacional de Seguridad Pública (SESNSP), información que expresamente mencioné, que no era de mi interés dentro de mi solicitud de acceso a la información</w:t>
      </w:r>
      <w:r w:rsidRPr="00535C16">
        <w:rPr>
          <w:rFonts w:ascii="Palatino Linotype" w:hAnsi="Palatino Linotype" w:cs="Tahoma"/>
          <w:bCs/>
          <w:i/>
        </w:rPr>
        <w:t>.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fiscalías estatales, como “autoridad competente”, se encuentra la de recibir por parte de las instituciones policiales, el Informe Policial Homologado (IPH), mismo que detalla los datos de los incidentes de probables delitos. Lo anterior, con fundamento en los Lineamientos para el Llenado, Entrega, Recepción, Registro, Resguardo y Consulta del Informe Policial Homologado (LIPH) publicados en el DOF el 21/02/2020. Ya establecida la obligación de recibir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 se define a las autoridades competentes, las cuales encuadran dentro de la descripción para las fiscalías locales y bien, federal. Ahora bien, dentro del IPH, se encuentra la información la cual el Sujeto Obligado ha omitido entregar,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de la información, por lo que no tengo certeza jurídica de que se haya realizado la búsqueda exhaustiva de la información solicitada. De igual manera, considero que el sujeto obligado no agota el principio de exhaustividad al no pronunciarse sobre todos los puntos de mi solicitud ni tampoco el principio de congruencia al no existir concordancia entre lo solicitado y la respuesta del sujeto obligado de acuerdo con el Criterio 02/171, emitido por el Peno del Instituto Nacional de Transparencia, Acceso a la Información Pública y Protección de Datos Personales</w:t>
      </w:r>
      <w:proofErr w:type="gramStart"/>
      <w:r w:rsidRPr="00535C16">
        <w:rPr>
          <w:rFonts w:ascii="Palatino Linotype" w:hAnsi="Palatino Linotype" w:cs="Tahoma"/>
          <w:bCs/>
          <w:i/>
        </w:rPr>
        <w:t>.</w:t>
      </w:r>
      <w:r w:rsidR="00F32684" w:rsidRPr="00535C16">
        <w:rPr>
          <w:rFonts w:ascii="Palatino Linotype" w:hAnsi="Palatino Linotype" w:cs="Tahoma"/>
          <w:bCs/>
          <w:i/>
        </w:rPr>
        <w:t>”</w:t>
      </w:r>
      <w:r w:rsidR="00CC337B" w:rsidRPr="00535C16">
        <w:rPr>
          <w:rFonts w:ascii="Palatino Linotype" w:hAnsi="Palatino Linotype" w:cs="Tahoma"/>
          <w:bCs/>
          <w:i/>
        </w:rPr>
        <w:t>(</w:t>
      </w:r>
      <w:proofErr w:type="gramEnd"/>
      <w:r w:rsidR="00CC337B" w:rsidRPr="00535C16">
        <w:rPr>
          <w:rFonts w:ascii="Palatino Linotype" w:hAnsi="Palatino Linotype" w:cs="Tahoma"/>
          <w:bCs/>
          <w:i/>
        </w:rPr>
        <w:t>Sic)</w:t>
      </w:r>
    </w:p>
    <w:p w14:paraId="60AA636B" w14:textId="7386A9BD" w:rsidR="00F32684" w:rsidRPr="00535C16" w:rsidRDefault="00F32684" w:rsidP="00FF426B">
      <w:pPr>
        <w:spacing w:line="360" w:lineRule="auto"/>
        <w:ind w:left="567" w:right="539"/>
        <w:contextualSpacing/>
        <w:jc w:val="both"/>
        <w:rPr>
          <w:rFonts w:ascii="Palatino Linotype" w:hAnsi="Palatino Linotype" w:cs="Tahoma"/>
          <w:bCs/>
          <w:iCs/>
          <w:sz w:val="22"/>
          <w:szCs w:val="22"/>
        </w:rPr>
      </w:pPr>
      <w:r w:rsidRPr="00535C16">
        <w:rPr>
          <w:rFonts w:ascii="Palatino Linotype" w:hAnsi="Palatino Linotype" w:cs="Tahoma"/>
          <w:bCs/>
          <w:iCs/>
          <w:sz w:val="22"/>
          <w:szCs w:val="22"/>
        </w:rPr>
        <w:t>Énfasis añadido</w:t>
      </w:r>
    </w:p>
    <w:p w14:paraId="253F3FFA" w14:textId="77777777" w:rsidR="00F32684" w:rsidRPr="00535C16" w:rsidRDefault="00F32684" w:rsidP="00FF426B">
      <w:pPr>
        <w:spacing w:line="360" w:lineRule="auto"/>
        <w:ind w:left="567" w:right="539"/>
        <w:contextualSpacing/>
        <w:jc w:val="both"/>
        <w:rPr>
          <w:rFonts w:ascii="Palatino Linotype" w:hAnsi="Palatino Linotype" w:cs="Tahoma"/>
          <w:bCs/>
          <w:i/>
          <w:szCs w:val="22"/>
        </w:rPr>
      </w:pPr>
    </w:p>
    <w:p w14:paraId="5EC519FA" w14:textId="77777777" w:rsidR="009A7587" w:rsidRPr="00535C16" w:rsidRDefault="00EA2594" w:rsidP="00FF426B">
      <w:pPr>
        <w:spacing w:line="360" w:lineRule="auto"/>
        <w:contextualSpacing/>
        <w:jc w:val="both"/>
        <w:rPr>
          <w:rFonts w:ascii="Palatino Linotype" w:eastAsia="Batang" w:hAnsi="Palatino Linotype" w:cs="Tahoma"/>
          <w:b/>
          <w:bCs/>
          <w:sz w:val="22"/>
          <w:szCs w:val="22"/>
        </w:rPr>
      </w:pPr>
      <w:r w:rsidRPr="00535C16">
        <w:rPr>
          <w:rFonts w:ascii="Palatino Linotype" w:hAnsi="Palatino Linotype" w:cs="Tahoma"/>
          <w:b/>
          <w:sz w:val="22"/>
          <w:szCs w:val="22"/>
        </w:rPr>
        <w:t>I</w:t>
      </w:r>
      <w:r w:rsidR="00FF1049" w:rsidRPr="00535C16">
        <w:rPr>
          <w:rFonts w:ascii="Palatino Linotype" w:hAnsi="Palatino Linotype" w:cs="Tahoma"/>
          <w:b/>
          <w:sz w:val="22"/>
          <w:szCs w:val="22"/>
        </w:rPr>
        <w:t>V</w:t>
      </w:r>
      <w:r w:rsidR="009A7587" w:rsidRPr="00535C16">
        <w:rPr>
          <w:rFonts w:ascii="Palatino Linotype" w:hAnsi="Palatino Linotype" w:cs="Tahoma"/>
          <w:b/>
          <w:sz w:val="22"/>
          <w:szCs w:val="22"/>
        </w:rPr>
        <w:t xml:space="preserve">. </w:t>
      </w:r>
      <w:r w:rsidR="009A7587" w:rsidRPr="00535C16">
        <w:rPr>
          <w:rFonts w:ascii="Palatino Linotype" w:eastAsia="Batang" w:hAnsi="Palatino Linotype" w:cs="Tahoma"/>
          <w:b/>
          <w:bCs/>
          <w:sz w:val="22"/>
          <w:szCs w:val="22"/>
        </w:rPr>
        <w:t xml:space="preserve">Trámite del </w:t>
      </w:r>
      <w:r w:rsidR="009A7587" w:rsidRPr="00535C16">
        <w:rPr>
          <w:rFonts w:ascii="Palatino Linotype" w:hAnsi="Palatino Linotype" w:cs="Tahoma"/>
          <w:b/>
          <w:sz w:val="22"/>
          <w:szCs w:val="22"/>
        </w:rPr>
        <w:t xml:space="preserve">Recurso de Revisión </w:t>
      </w:r>
      <w:r w:rsidR="009A7587" w:rsidRPr="00535C16">
        <w:rPr>
          <w:rFonts w:ascii="Palatino Linotype" w:eastAsia="Batang" w:hAnsi="Palatino Linotype" w:cs="Tahoma"/>
          <w:b/>
          <w:bCs/>
          <w:sz w:val="22"/>
          <w:szCs w:val="22"/>
        </w:rPr>
        <w:t>ante el Instituto.</w:t>
      </w:r>
    </w:p>
    <w:p w14:paraId="4A826848" w14:textId="77777777" w:rsidR="007E4927" w:rsidRPr="00535C16" w:rsidRDefault="007E4927" w:rsidP="00FF426B">
      <w:pPr>
        <w:spacing w:line="360" w:lineRule="auto"/>
        <w:contextualSpacing/>
        <w:jc w:val="both"/>
        <w:rPr>
          <w:rFonts w:ascii="Palatino Linotype" w:eastAsia="Batang" w:hAnsi="Palatino Linotype" w:cs="Tahoma"/>
          <w:b/>
          <w:bCs/>
          <w:sz w:val="22"/>
          <w:szCs w:val="22"/>
        </w:rPr>
      </w:pPr>
    </w:p>
    <w:p w14:paraId="07E7718B" w14:textId="76C76CC2" w:rsidR="00C950E3" w:rsidRPr="00535C16" w:rsidRDefault="009A7587" w:rsidP="00FF426B">
      <w:pPr>
        <w:spacing w:line="360" w:lineRule="auto"/>
        <w:contextualSpacing/>
        <w:jc w:val="both"/>
        <w:rPr>
          <w:rFonts w:ascii="Palatino Linotype" w:eastAsia="Batang" w:hAnsi="Palatino Linotype" w:cs="Tahoma"/>
          <w:bCs/>
          <w:sz w:val="22"/>
          <w:szCs w:val="22"/>
        </w:rPr>
      </w:pPr>
      <w:r w:rsidRPr="00535C16">
        <w:rPr>
          <w:rFonts w:ascii="Palatino Linotype" w:eastAsia="Batang" w:hAnsi="Palatino Linotype" w:cs="Tahoma"/>
          <w:b/>
          <w:bCs/>
          <w:sz w:val="22"/>
          <w:szCs w:val="22"/>
        </w:rPr>
        <w:t xml:space="preserve">a) Turno del </w:t>
      </w:r>
      <w:r w:rsidRPr="00535C16">
        <w:rPr>
          <w:rFonts w:ascii="Palatino Linotype" w:hAnsi="Palatino Linotype" w:cs="Tahoma"/>
          <w:b/>
          <w:sz w:val="22"/>
          <w:szCs w:val="22"/>
        </w:rPr>
        <w:t>Recurso de Revisión</w:t>
      </w:r>
      <w:r w:rsidRPr="00535C16">
        <w:rPr>
          <w:rFonts w:ascii="Palatino Linotype" w:eastAsia="Batang" w:hAnsi="Palatino Linotype" w:cs="Tahoma"/>
          <w:b/>
          <w:bCs/>
          <w:sz w:val="22"/>
          <w:szCs w:val="22"/>
        </w:rPr>
        <w:t xml:space="preserve">. </w:t>
      </w:r>
      <w:r w:rsidR="00A06844" w:rsidRPr="00535C16">
        <w:rPr>
          <w:rFonts w:ascii="Palatino Linotype" w:eastAsia="Batang" w:hAnsi="Palatino Linotype" w:cs="Tahoma"/>
          <w:bCs/>
          <w:sz w:val="22"/>
          <w:szCs w:val="22"/>
        </w:rPr>
        <w:t xml:space="preserve">El </w:t>
      </w:r>
      <w:r w:rsidR="00CE2FF5" w:rsidRPr="00535C16">
        <w:rPr>
          <w:rFonts w:ascii="Palatino Linotype" w:hAnsi="Palatino Linotype" w:cs="Tahoma"/>
          <w:sz w:val="22"/>
          <w:szCs w:val="22"/>
        </w:rPr>
        <w:t>veinticuatro</w:t>
      </w:r>
      <w:r w:rsidR="009C4614" w:rsidRPr="00535C16">
        <w:rPr>
          <w:rFonts w:ascii="Palatino Linotype" w:hAnsi="Palatino Linotype" w:cs="Tahoma"/>
          <w:sz w:val="22"/>
          <w:szCs w:val="22"/>
        </w:rPr>
        <w:t xml:space="preserve"> de </w:t>
      </w:r>
      <w:r w:rsidR="00CE2FF5" w:rsidRPr="00535C16">
        <w:rPr>
          <w:rFonts w:ascii="Palatino Linotype" w:hAnsi="Palatino Linotype" w:cs="Tahoma"/>
          <w:sz w:val="22"/>
          <w:szCs w:val="22"/>
        </w:rPr>
        <w:t>octubre</w:t>
      </w:r>
      <w:r w:rsidR="00F93A36" w:rsidRPr="00535C16">
        <w:rPr>
          <w:rFonts w:ascii="Palatino Linotype" w:hAnsi="Palatino Linotype" w:cs="Tahoma"/>
          <w:sz w:val="22"/>
          <w:szCs w:val="22"/>
        </w:rPr>
        <w:t xml:space="preserve"> </w:t>
      </w:r>
      <w:r w:rsidR="00B51AEA" w:rsidRPr="00535C16">
        <w:rPr>
          <w:rFonts w:ascii="Palatino Linotype" w:hAnsi="Palatino Linotype" w:cs="Tahoma"/>
          <w:sz w:val="22"/>
          <w:szCs w:val="22"/>
        </w:rPr>
        <w:t xml:space="preserve">de dos mil </w:t>
      </w:r>
      <w:r w:rsidR="00CC337B" w:rsidRPr="00535C16">
        <w:rPr>
          <w:rFonts w:ascii="Palatino Linotype" w:hAnsi="Palatino Linotype" w:cs="Tahoma"/>
          <w:sz w:val="22"/>
          <w:szCs w:val="22"/>
        </w:rPr>
        <w:t>veinticinco</w:t>
      </w:r>
      <w:r w:rsidR="00A06844" w:rsidRPr="00535C16">
        <w:rPr>
          <w:rFonts w:ascii="Palatino Linotype" w:eastAsia="Batang" w:hAnsi="Palatino Linotype" w:cs="Tahoma"/>
          <w:bCs/>
          <w:sz w:val="22"/>
          <w:szCs w:val="22"/>
        </w:rPr>
        <w:t xml:space="preserve">, </w:t>
      </w:r>
      <w:r w:rsidR="00D5699B" w:rsidRPr="00535C16">
        <w:rPr>
          <w:rFonts w:ascii="Palatino Linotype" w:eastAsia="Batang" w:hAnsi="Palatino Linotype" w:cs="Tahoma"/>
          <w:bCs/>
          <w:sz w:val="22"/>
          <w:szCs w:val="22"/>
        </w:rPr>
        <w:t xml:space="preserve">el Sistema de Acceso a la Información Mexiquense (SAIMEX), asignó el número de expediente </w:t>
      </w:r>
      <w:r w:rsidR="00CE2FF5" w:rsidRPr="00535C16">
        <w:rPr>
          <w:rFonts w:ascii="Palatino Linotype" w:eastAsia="Batang" w:hAnsi="Palatino Linotype" w:cs="Tahoma"/>
          <w:b/>
          <w:bCs/>
          <w:sz w:val="22"/>
          <w:szCs w:val="22"/>
        </w:rPr>
        <w:t>13061</w:t>
      </w:r>
      <w:r w:rsidR="005A6BEC" w:rsidRPr="00535C16">
        <w:rPr>
          <w:rFonts w:ascii="Palatino Linotype" w:eastAsia="Batang" w:hAnsi="Palatino Linotype" w:cs="Tahoma"/>
          <w:b/>
          <w:bCs/>
          <w:sz w:val="22"/>
          <w:szCs w:val="22"/>
        </w:rPr>
        <w:t>/INFOEM/IP/RR/2025</w:t>
      </w:r>
      <w:r w:rsidR="00D5699B" w:rsidRPr="00535C16">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535C16">
        <w:rPr>
          <w:rFonts w:ascii="Palatino Linotype" w:eastAsia="Batang" w:hAnsi="Palatino Linotype" w:cs="Tahoma"/>
          <w:b/>
          <w:bCs/>
          <w:sz w:val="22"/>
          <w:szCs w:val="22"/>
        </w:rPr>
        <w:t>Comisionado Ponente Luis Gustavo Parra Noriega</w:t>
      </w:r>
      <w:r w:rsidR="00D5699B" w:rsidRPr="00535C16">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535C16" w:rsidRDefault="00D5699B" w:rsidP="00FF426B">
      <w:pPr>
        <w:spacing w:line="360" w:lineRule="auto"/>
        <w:contextualSpacing/>
        <w:jc w:val="both"/>
        <w:rPr>
          <w:rFonts w:ascii="Palatino Linotype" w:eastAsia="Batang" w:hAnsi="Palatino Linotype" w:cs="Tahoma"/>
          <w:b/>
          <w:bCs/>
          <w:sz w:val="22"/>
          <w:szCs w:val="22"/>
        </w:rPr>
      </w:pPr>
    </w:p>
    <w:p w14:paraId="53DF36FF" w14:textId="05E59743" w:rsidR="00253937" w:rsidRPr="00535C16" w:rsidRDefault="009A7587" w:rsidP="00FF426B">
      <w:pPr>
        <w:spacing w:line="360" w:lineRule="auto"/>
        <w:contextualSpacing/>
        <w:jc w:val="both"/>
        <w:rPr>
          <w:rFonts w:ascii="Palatino Linotype" w:hAnsi="Palatino Linotype" w:cs="Tahoma"/>
          <w:bCs/>
          <w:sz w:val="22"/>
          <w:szCs w:val="22"/>
          <w:lang w:val="es-ES_tradnl"/>
        </w:rPr>
      </w:pPr>
      <w:r w:rsidRPr="00535C16">
        <w:rPr>
          <w:rFonts w:ascii="Palatino Linotype" w:eastAsia="Batang" w:hAnsi="Palatino Linotype" w:cs="Tahoma"/>
          <w:b/>
          <w:bCs/>
          <w:sz w:val="22"/>
          <w:szCs w:val="22"/>
        </w:rPr>
        <w:t xml:space="preserve">b) Admisión del </w:t>
      </w:r>
      <w:r w:rsidRPr="00535C16">
        <w:rPr>
          <w:rFonts w:ascii="Palatino Linotype" w:hAnsi="Palatino Linotype" w:cs="Tahoma"/>
          <w:b/>
          <w:sz w:val="22"/>
          <w:szCs w:val="22"/>
        </w:rPr>
        <w:t>Recurso de Revisión</w:t>
      </w:r>
      <w:r w:rsidRPr="00535C16">
        <w:rPr>
          <w:rFonts w:ascii="Palatino Linotype" w:eastAsia="Batang" w:hAnsi="Palatino Linotype" w:cs="Tahoma"/>
          <w:b/>
          <w:bCs/>
          <w:sz w:val="22"/>
          <w:szCs w:val="22"/>
          <w:lang w:val="es-ES_tradnl"/>
        </w:rPr>
        <w:t xml:space="preserve">. </w:t>
      </w:r>
      <w:r w:rsidRPr="00535C16">
        <w:rPr>
          <w:rFonts w:ascii="Palatino Linotype" w:hAnsi="Palatino Linotype" w:cs="Tahoma"/>
          <w:bCs/>
          <w:sz w:val="22"/>
          <w:szCs w:val="22"/>
        </w:rPr>
        <w:t>El</w:t>
      </w:r>
      <w:r w:rsidR="00EB3A2C" w:rsidRPr="00535C16">
        <w:rPr>
          <w:rFonts w:ascii="Palatino Linotype" w:hAnsi="Palatino Linotype" w:cs="Tahoma"/>
          <w:bCs/>
          <w:sz w:val="22"/>
          <w:szCs w:val="22"/>
        </w:rPr>
        <w:t xml:space="preserve"> </w:t>
      </w:r>
      <w:r w:rsidR="00CE2FF5" w:rsidRPr="00535C16">
        <w:rPr>
          <w:rFonts w:ascii="Palatino Linotype" w:hAnsi="Palatino Linotype" w:cs="Tahoma"/>
          <w:bCs/>
          <w:sz w:val="22"/>
          <w:szCs w:val="22"/>
        </w:rPr>
        <w:t>veinte</w:t>
      </w:r>
      <w:r w:rsidR="009C4614" w:rsidRPr="00535C16">
        <w:rPr>
          <w:rFonts w:ascii="Palatino Linotype" w:hAnsi="Palatino Linotype" w:cs="Tahoma"/>
          <w:bCs/>
          <w:sz w:val="22"/>
          <w:szCs w:val="22"/>
        </w:rPr>
        <w:t xml:space="preserve"> de </w:t>
      </w:r>
      <w:r w:rsidR="00CE2FF5" w:rsidRPr="00535C16">
        <w:rPr>
          <w:rFonts w:ascii="Palatino Linotype" w:hAnsi="Palatino Linotype" w:cs="Tahoma"/>
          <w:bCs/>
          <w:sz w:val="22"/>
          <w:szCs w:val="22"/>
        </w:rPr>
        <w:t>noviembre</w:t>
      </w:r>
      <w:r w:rsidR="0029110A" w:rsidRPr="00535C16">
        <w:rPr>
          <w:rFonts w:ascii="Palatino Linotype" w:hAnsi="Palatino Linotype" w:cs="Tahoma"/>
          <w:bCs/>
          <w:sz w:val="22"/>
          <w:szCs w:val="22"/>
        </w:rPr>
        <w:t xml:space="preserve"> </w:t>
      </w:r>
      <w:r w:rsidR="00C01EA2" w:rsidRPr="00535C16">
        <w:rPr>
          <w:rFonts w:ascii="Palatino Linotype" w:hAnsi="Palatino Linotype" w:cs="Tahoma"/>
          <w:bCs/>
          <w:sz w:val="22"/>
          <w:szCs w:val="22"/>
        </w:rPr>
        <w:t>de</w:t>
      </w:r>
      <w:r w:rsidR="00F93A36" w:rsidRPr="00535C16">
        <w:rPr>
          <w:rFonts w:ascii="Palatino Linotype" w:hAnsi="Palatino Linotype" w:cs="Tahoma"/>
          <w:bCs/>
          <w:sz w:val="22"/>
          <w:szCs w:val="22"/>
        </w:rPr>
        <w:t xml:space="preserve"> </w:t>
      </w:r>
      <w:r w:rsidR="00697AD7" w:rsidRPr="00535C16">
        <w:rPr>
          <w:rFonts w:ascii="Palatino Linotype" w:hAnsi="Palatino Linotype" w:cs="Tahoma"/>
          <w:bCs/>
          <w:sz w:val="22"/>
          <w:szCs w:val="22"/>
        </w:rPr>
        <w:t xml:space="preserve">dos mil </w:t>
      </w:r>
      <w:r w:rsidR="00CC337B" w:rsidRPr="00535C16">
        <w:rPr>
          <w:rFonts w:ascii="Palatino Linotype" w:hAnsi="Palatino Linotype" w:cs="Tahoma"/>
          <w:bCs/>
          <w:sz w:val="22"/>
          <w:szCs w:val="22"/>
        </w:rPr>
        <w:t>veinticinco</w:t>
      </w:r>
      <w:r w:rsidRPr="00535C16">
        <w:rPr>
          <w:rFonts w:ascii="Palatino Linotype" w:hAnsi="Palatino Linotype" w:cs="Tahoma"/>
          <w:bCs/>
          <w:sz w:val="22"/>
          <w:szCs w:val="22"/>
        </w:rPr>
        <w:t>,</w:t>
      </w:r>
      <w:r w:rsidR="00CC337B" w:rsidRPr="00535C16">
        <w:rPr>
          <w:rFonts w:ascii="Palatino Linotype" w:hAnsi="Palatino Linotype" w:cs="Tahoma"/>
          <w:bCs/>
          <w:sz w:val="22"/>
          <w:szCs w:val="22"/>
        </w:rPr>
        <w:t xml:space="preserve"> a través del SAIMEX</w:t>
      </w:r>
      <w:r w:rsidRPr="00535C16">
        <w:rPr>
          <w:rFonts w:ascii="Palatino Linotype" w:hAnsi="Palatino Linotype" w:cs="Tahoma"/>
          <w:bCs/>
          <w:sz w:val="22"/>
          <w:szCs w:val="22"/>
        </w:rPr>
        <w:t xml:space="preserve"> </w:t>
      </w:r>
      <w:r w:rsidR="001F787A" w:rsidRPr="00535C16">
        <w:rPr>
          <w:rFonts w:ascii="Palatino Linotype" w:hAnsi="Palatino Linotype" w:cs="Tahoma"/>
          <w:bCs/>
          <w:sz w:val="22"/>
          <w:szCs w:val="22"/>
        </w:rPr>
        <w:t xml:space="preserve">se </w:t>
      </w:r>
      <w:r w:rsidR="00CC337B" w:rsidRPr="00535C16">
        <w:rPr>
          <w:rFonts w:ascii="Palatino Linotype" w:hAnsi="Palatino Linotype" w:cs="Tahoma"/>
          <w:bCs/>
          <w:sz w:val="22"/>
          <w:szCs w:val="22"/>
        </w:rPr>
        <w:t>notificó a las partes</w:t>
      </w:r>
      <w:r w:rsidR="001F787A" w:rsidRPr="00535C16">
        <w:rPr>
          <w:rFonts w:ascii="Palatino Linotype" w:hAnsi="Palatino Linotype" w:cs="Tahoma"/>
          <w:bCs/>
          <w:sz w:val="22"/>
          <w:szCs w:val="22"/>
        </w:rPr>
        <w:t xml:space="preserve"> la admisión del </w:t>
      </w:r>
      <w:r w:rsidR="001F787A" w:rsidRPr="00535C16">
        <w:rPr>
          <w:rFonts w:ascii="Palatino Linotype" w:hAnsi="Palatino Linotype" w:cs="Tahoma"/>
          <w:bCs/>
          <w:sz w:val="22"/>
          <w:szCs w:val="22"/>
          <w:lang w:val="es-ES_tradnl"/>
        </w:rPr>
        <w:t xml:space="preserve">Recurso de Revisión interpuesto por el Recurrente en contra del </w:t>
      </w:r>
      <w:r w:rsidR="001F787A" w:rsidRPr="00535C16">
        <w:rPr>
          <w:rFonts w:ascii="Palatino Linotype" w:hAnsi="Palatino Linotype" w:cs="Tahoma"/>
          <w:b/>
          <w:bCs/>
          <w:sz w:val="22"/>
          <w:szCs w:val="22"/>
          <w:lang w:val="es-ES_tradnl"/>
        </w:rPr>
        <w:t>Sujeto Obligado</w:t>
      </w:r>
      <w:r w:rsidR="001F787A" w:rsidRPr="00535C16">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535C16">
        <w:rPr>
          <w:rFonts w:ascii="Palatino Linotype" w:hAnsi="Palatino Linotype" w:cs="Tahoma"/>
          <w:bCs/>
          <w:sz w:val="22"/>
          <w:szCs w:val="22"/>
          <w:lang w:val="es-ES_tradnl"/>
        </w:rPr>
        <w:t xml:space="preserve"> Estado de México y Municipios, </w:t>
      </w:r>
      <w:r w:rsidR="001F787A" w:rsidRPr="00535C16">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535C16" w:rsidRDefault="00253937" w:rsidP="00FF426B">
      <w:pPr>
        <w:spacing w:line="360" w:lineRule="auto"/>
        <w:contextualSpacing/>
        <w:jc w:val="both"/>
        <w:rPr>
          <w:rFonts w:ascii="Palatino Linotype" w:hAnsi="Palatino Linotype" w:cs="Tahoma"/>
          <w:bCs/>
          <w:sz w:val="22"/>
          <w:szCs w:val="22"/>
          <w:lang w:val="es-ES_tradnl"/>
        </w:rPr>
      </w:pPr>
    </w:p>
    <w:p w14:paraId="1FBF3EA2" w14:textId="301BFFCE" w:rsidR="00CE2FF5" w:rsidRPr="00535C16" w:rsidRDefault="00EA2594" w:rsidP="00CE2FF5">
      <w:pPr>
        <w:spacing w:line="360" w:lineRule="auto"/>
        <w:jc w:val="both"/>
        <w:rPr>
          <w:rFonts w:ascii="Palatino Linotype" w:eastAsia="Batang" w:hAnsi="Palatino Linotype" w:cs="Tahoma"/>
          <w:bCs/>
          <w:sz w:val="22"/>
          <w:szCs w:val="22"/>
          <w:lang w:val="es-ES_tradnl"/>
        </w:rPr>
      </w:pPr>
      <w:r w:rsidRPr="00535C16">
        <w:rPr>
          <w:rFonts w:ascii="Palatino Linotype" w:eastAsia="Batang" w:hAnsi="Palatino Linotype" w:cs="Tahoma"/>
          <w:b/>
          <w:bCs/>
          <w:sz w:val="22"/>
          <w:szCs w:val="22"/>
          <w:lang w:val="es-ES_tradnl"/>
        </w:rPr>
        <w:t xml:space="preserve">c) Informe Justificado. </w:t>
      </w:r>
      <w:r w:rsidRPr="00535C16">
        <w:rPr>
          <w:rFonts w:ascii="Palatino Linotype" w:eastAsia="Batang" w:hAnsi="Palatino Linotype" w:cs="Tahoma"/>
          <w:bCs/>
          <w:sz w:val="22"/>
          <w:szCs w:val="22"/>
          <w:lang w:val="es-ES_tradnl"/>
        </w:rPr>
        <w:t xml:space="preserve">El </w:t>
      </w:r>
      <w:r w:rsidR="00CE2FF5" w:rsidRPr="00535C16">
        <w:rPr>
          <w:rFonts w:ascii="Palatino Linotype" w:eastAsia="Batang" w:hAnsi="Palatino Linotype" w:cs="Tahoma"/>
          <w:bCs/>
          <w:sz w:val="22"/>
          <w:szCs w:val="22"/>
          <w:lang w:val="es-ES_tradnl"/>
        </w:rPr>
        <w:t xml:space="preserve">veintiséis de noviembre de dos mil veinticinco, el Sujeto Obligado, remitió un archivo de diecinueve fojas, a través del cual, modificó su respuesta y clasificó como reservada la información solicitada con el recurso de revisión que nos ocupa, </w:t>
      </w:r>
      <w:r w:rsidR="008F6C65" w:rsidRPr="00535C16">
        <w:rPr>
          <w:rFonts w:ascii="Palatino Linotype" w:eastAsia="Batang" w:hAnsi="Palatino Linotype" w:cs="Tahoma"/>
          <w:bCs/>
          <w:sz w:val="22"/>
          <w:szCs w:val="22"/>
          <w:lang w:val="es-ES_tradnl"/>
        </w:rPr>
        <w:t>sin ser preciso dentro de su estudio si se refiere a la totalidad de la temporalidad o solo a los años que refirió el área generadora de la información poseer, tampoco estableció la prueba de daño, ni señaló las particularidades de la reserva.</w:t>
      </w:r>
    </w:p>
    <w:p w14:paraId="18A7F10D" w14:textId="77777777" w:rsidR="00254182" w:rsidRPr="00535C16" w:rsidRDefault="00254182" w:rsidP="009C4614">
      <w:pPr>
        <w:spacing w:line="360" w:lineRule="auto"/>
        <w:jc w:val="both"/>
        <w:rPr>
          <w:rFonts w:ascii="Palatino Linotype" w:eastAsia="Batang" w:hAnsi="Palatino Linotype" w:cs="Tahoma"/>
          <w:bCs/>
          <w:sz w:val="22"/>
          <w:szCs w:val="22"/>
          <w:lang w:val="es-ES_tradnl"/>
        </w:rPr>
      </w:pPr>
    </w:p>
    <w:p w14:paraId="46607FD8" w14:textId="29808C03" w:rsidR="00254182" w:rsidRPr="00535C16" w:rsidRDefault="00254182" w:rsidP="009C4614">
      <w:pPr>
        <w:spacing w:line="360" w:lineRule="auto"/>
        <w:jc w:val="both"/>
        <w:rPr>
          <w:rFonts w:ascii="Palatino Linotype" w:hAnsi="Palatino Linotype" w:cs="Tahoma"/>
          <w:sz w:val="22"/>
          <w:szCs w:val="22"/>
        </w:rPr>
      </w:pPr>
      <w:r w:rsidRPr="00535C16">
        <w:rPr>
          <w:rFonts w:ascii="Palatino Linotype" w:eastAsia="Batang" w:hAnsi="Palatino Linotype" w:cs="Tahoma"/>
          <w:b/>
          <w:bCs/>
          <w:sz w:val="22"/>
          <w:szCs w:val="22"/>
          <w:lang w:val="es-ES_tradnl"/>
        </w:rPr>
        <w:t xml:space="preserve">d) Manifestaciones. </w:t>
      </w:r>
      <w:r w:rsidRPr="00535C16">
        <w:rPr>
          <w:rFonts w:ascii="Palatino Linotype" w:eastAsia="Batang" w:hAnsi="Palatino Linotype" w:cs="Tahoma"/>
          <w:sz w:val="22"/>
          <w:szCs w:val="22"/>
          <w:lang w:val="es-ES_tradnl"/>
        </w:rPr>
        <w:t>El Particular, fue omiso en realizar pronunciamiento alguno, que a su derecho convenga.</w:t>
      </w:r>
    </w:p>
    <w:p w14:paraId="35CB8B28" w14:textId="77777777" w:rsidR="00EA2594" w:rsidRPr="00535C16" w:rsidRDefault="00EA2594" w:rsidP="00EA2594">
      <w:pPr>
        <w:spacing w:line="360" w:lineRule="auto"/>
        <w:jc w:val="both"/>
        <w:rPr>
          <w:rFonts w:ascii="Palatino Linotype" w:hAnsi="Palatino Linotype" w:cs="Tahoma"/>
          <w:b/>
          <w:sz w:val="22"/>
          <w:szCs w:val="24"/>
        </w:rPr>
      </w:pPr>
    </w:p>
    <w:p w14:paraId="5CA64F94" w14:textId="7D7248D9" w:rsidR="00ED5DF5" w:rsidRPr="00535C16" w:rsidRDefault="00254182" w:rsidP="00FF426B">
      <w:pPr>
        <w:spacing w:line="360" w:lineRule="auto"/>
        <w:jc w:val="both"/>
        <w:rPr>
          <w:rFonts w:ascii="Palatino Linotype" w:hAnsi="Palatino Linotype" w:cs="Tahoma"/>
          <w:sz w:val="22"/>
          <w:szCs w:val="22"/>
        </w:rPr>
      </w:pPr>
      <w:r w:rsidRPr="00535C16">
        <w:rPr>
          <w:rFonts w:ascii="Palatino Linotype" w:hAnsi="Palatino Linotype" w:cs="Tahoma"/>
          <w:b/>
          <w:sz w:val="22"/>
          <w:szCs w:val="22"/>
        </w:rPr>
        <w:t>e</w:t>
      </w:r>
      <w:r w:rsidR="003B0501" w:rsidRPr="00535C16">
        <w:rPr>
          <w:rFonts w:ascii="Palatino Linotype" w:hAnsi="Palatino Linotype" w:cs="Tahoma"/>
          <w:b/>
          <w:sz w:val="22"/>
          <w:szCs w:val="22"/>
        </w:rPr>
        <w:t>)</w:t>
      </w:r>
      <w:r w:rsidR="00C3485C" w:rsidRPr="00535C16">
        <w:rPr>
          <w:rFonts w:ascii="Palatino Linotype" w:eastAsia="Batang" w:hAnsi="Palatino Linotype" w:cs="Tahoma"/>
          <w:b/>
          <w:bCs/>
          <w:sz w:val="22"/>
          <w:szCs w:val="22"/>
          <w:lang w:val="es-ES_tradnl"/>
        </w:rPr>
        <w:t xml:space="preserve"> </w:t>
      </w:r>
      <w:r w:rsidR="00ED5DF5" w:rsidRPr="00535C16">
        <w:rPr>
          <w:rFonts w:ascii="Palatino Linotype" w:hAnsi="Palatino Linotype" w:cs="Tahoma"/>
          <w:b/>
          <w:bCs/>
          <w:sz w:val="22"/>
          <w:szCs w:val="22"/>
        </w:rPr>
        <w:t xml:space="preserve">Cierre de instrucción. </w:t>
      </w:r>
      <w:r w:rsidR="00ED5DF5" w:rsidRPr="00535C16">
        <w:rPr>
          <w:rFonts w:ascii="Palatino Linotype" w:hAnsi="Palatino Linotype" w:cs="Tahoma"/>
          <w:sz w:val="22"/>
          <w:szCs w:val="22"/>
        </w:rPr>
        <w:t>El</w:t>
      </w:r>
      <w:r w:rsidR="000F437A" w:rsidRPr="00535C16">
        <w:rPr>
          <w:rFonts w:ascii="Palatino Linotype" w:hAnsi="Palatino Linotype" w:cs="Tahoma"/>
          <w:sz w:val="22"/>
          <w:szCs w:val="22"/>
        </w:rPr>
        <w:t xml:space="preserve"> </w:t>
      </w:r>
      <w:r w:rsidR="00950276" w:rsidRPr="00535C16">
        <w:rPr>
          <w:rFonts w:ascii="Palatino Linotype" w:hAnsi="Palatino Linotype" w:cs="Tahoma"/>
          <w:sz w:val="22"/>
          <w:szCs w:val="22"/>
        </w:rPr>
        <w:t>dieciocho</w:t>
      </w:r>
      <w:r w:rsidR="000659C2" w:rsidRPr="00535C16">
        <w:rPr>
          <w:rFonts w:ascii="Palatino Linotype" w:hAnsi="Palatino Linotype" w:cs="Tahoma"/>
          <w:sz w:val="22"/>
          <w:szCs w:val="22"/>
        </w:rPr>
        <w:t xml:space="preserve"> de </w:t>
      </w:r>
      <w:r w:rsidR="0075173E" w:rsidRPr="00535C16">
        <w:rPr>
          <w:rFonts w:ascii="Palatino Linotype" w:hAnsi="Palatino Linotype" w:cs="Tahoma"/>
          <w:sz w:val="22"/>
          <w:szCs w:val="22"/>
        </w:rPr>
        <w:t>febrero</w:t>
      </w:r>
      <w:r w:rsidR="000659C2" w:rsidRPr="00535C16">
        <w:rPr>
          <w:rFonts w:ascii="Palatino Linotype" w:hAnsi="Palatino Linotype" w:cs="Tahoma"/>
          <w:sz w:val="22"/>
          <w:szCs w:val="22"/>
        </w:rPr>
        <w:t xml:space="preserve"> </w:t>
      </w:r>
      <w:r w:rsidR="00E95147" w:rsidRPr="00535C16">
        <w:rPr>
          <w:rFonts w:ascii="Palatino Linotype" w:hAnsi="Palatino Linotype" w:cs="Tahoma"/>
          <w:sz w:val="22"/>
          <w:szCs w:val="22"/>
        </w:rPr>
        <w:t xml:space="preserve">de dos mil </w:t>
      </w:r>
      <w:r w:rsidR="0075173E" w:rsidRPr="00535C16">
        <w:rPr>
          <w:rFonts w:ascii="Palatino Linotype" w:hAnsi="Palatino Linotype" w:cs="Tahoma"/>
          <w:sz w:val="22"/>
          <w:szCs w:val="22"/>
        </w:rPr>
        <w:t>veintiséis</w:t>
      </w:r>
      <w:r w:rsidR="00ED5DF5" w:rsidRPr="00535C16">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535C16">
        <w:rPr>
          <w:rFonts w:ascii="Palatino Linotype" w:hAnsi="Palatino Linotype" w:cs="Tahoma"/>
          <w:sz w:val="22"/>
          <w:szCs w:val="22"/>
        </w:rPr>
        <w:t>el mismo día</w:t>
      </w:r>
      <w:r w:rsidR="00ED5DF5" w:rsidRPr="00535C16">
        <w:rPr>
          <w:rFonts w:ascii="Palatino Linotype" w:hAnsi="Palatino Linotype" w:cs="Tahoma"/>
          <w:sz w:val="22"/>
          <w:szCs w:val="22"/>
        </w:rPr>
        <w:t xml:space="preserve">, a través del </w:t>
      </w:r>
      <w:r w:rsidR="00ED5DF5" w:rsidRPr="00535C16">
        <w:rPr>
          <w:rFonts w:ascii="Palatino Linotype" w:hAnsi="Palatino Linotype" w:cs="Tahoma"/>
          <w:sz w:val="22"/>
          <w:szCs w:val="22"/>
          <w:lang w:val="es-ES"/>
        </w:rPr>
        <w:t>Sistema de Acceso a la Información Mexiquense (SAIMEX)</w:t>
      </w:r>
      <w:r w:rsidR="00ED5DF5" w:rsidRPr="00535C16">
        <w:rPr>
          <w:rFonts w:ascii="Palatino Linotype" w:hAnsi="Palatino Linotype" w:cs="Tahoma"/>
          <w:sz w:val="22"/>
          <w:szCs w:val="22"/>
        </w:rPr>
        <w:t>.</w:t>
      </w:r>
    </w:p>
    <w:p w14:paraId="7347CDA2" w14:textId="77777777" w:rsidR="00CE5228" w:rsidRPr="00535C16" w:rsidRDefault="00CE5228" w:rsidP="00FF426B">
      <w:pPr>
        <w:spacing w:line="360" w:lineRule="auto"/>
        <w:contextualSpacing/>
        <w:jc w:val="both"/>
        <w:rPr>
          <w:rFonts w:ascii="Palatino Linotype" w:hAnsi="Palatino Linotype" w:cs="Tahoma"/>
          <w:color w:val="000000"/>
          <w:sz w:val="22"/>
          <w:szCs w:val="22"/>
        </w:rPr>
      </w:pPr>
    </w:p>
    <w:p w14:paraId="24A8BD22" w14:textId="77777777" w:rsidR="004F2D88" w:rsidRPr="00535C16" w:rsidRDefault="004F2D88" w:rsidP="00FF426B">
      <w:pPr>
        <w:spacing w:line="360" w:lineRule="auto"/>
        <w:contextualSpacing/>
        <w:jc w:val="both"/>
        <w:rPr>
          <w:rFonts w:ascii="Palatino Linotype" w:hAnsi="Palatino Linotype" w:cs="Tahoma"/>
          <w:color w:val="000000"/>
          <w:sz w:val="22"/>
          <w:szCs w:val="22"/>
        </w:rPr>
      </w:pPr>
      <w:r w:rsidRPr="00535C16">
        <w:rPr>
          <w:rFonts w:ascii="Palatino Linotype" w:hAnsi="Palatino Linotype" w:cs="Tahoma"/>
          <w:color w:val="000000"/>
          <w:sz w:val="22"/>
          <w:szCs w:val="22"/>
        </w:rPr>
        <w:t xml:space="preserve">En </w:t>
      </w:r>
      <w:r w:rsidR="00367F82" w:rsidRPr="00535C16">
        <w:rPr>
          <w:rFonts w:ascii="Palatino Linotype" w:hAnsi="Palatino Linotype" w:cs="Tahoma"/>
          <w:color w:val="000000"/>
          <w:sz w:val="22"/>
          <w:szCs w:val="22"/>
        </w:rPr>
        <w:t>razón de que fue debidamente su</w:t>
      </w:r>
      <w:r w:rsidRPr="00535C16">
        <w:rPr>
          <w:rFonts w:ascii="Palatino Linotype" w:hAnsi="Palatino Linotype" w:cs="Tahoma"/>
          <w:color w:val="000000"/>
          <w:sz w:val="22"/>
          <w:szCs w:val="22"/>
        </w:rPr>
        <w:t xml:space="preserve">stanciado el expediente </w:t>
      </w:r>
      <w:r w:rsidR="00367F82" w:rsidRPr="00535C16">
        <w:rPr>
          <w:rFonts w:ascii="Palatino Linotype" w:hAnsi="Palatino Linotype" w:cs="Tahoma"/>
          <w:color w:val="000000"/>
          <w:sz w:val="22"/>
          <w:szCs w:val="22"/>
        </w:rPr>
        <w:t xml:space="preserve">electrónico </w:t>
      </w:r>
      <w:r w:rsidRPr="00535C16">
        <w:rPr>
          <w:rFonts w:ascii="Palatino Linotype" w:hAnsi="Palatino Linotype" w:cs="Tahoma"/>
          <w:color w:val="000000"/>
          <w:sz w:val="22"/>
          <w:szCs w:val="22"/>
        </w:rPr>
        <w:t>y no exist</w:t>
      </w:r>
      <w:r w:rsidR="00367F82" w:rsidRPr="00535C16">
        <w:rPr>
          <w:rFonts w:ascii="Palatino Linotype" w:hAnsi="Palatino Linotype" w:cs="Tahoma"/>
          <w:color w:val="000000"/>
          <w:sz w:val="22"/>
          <w:szCs w:val="22"/>
        </w:rPr>
        <w:t>e</w:t>
      </w:r>
      <w:r w:rsidRPr="00535C16">
        <w:rPr>
          <w:rFonts w:ascii="Palatino Linotype" w:hAnsi="Palatino Linotype" w:cs="Tahoma"/>
          <w:color w:val="000000"/>
          <w:sz w:val="22"/>
          <w:szCs w:val="22"/>
        </w:rPr>
        <w:t xml:space="preserve"> dilige</w:t>
      </w:r>
      <w:r w:rsidR="00367F82" w:rsidRPr="00535C16">
        <w:rPr>
          <w:rFonts w:ascii="Palatino Linotype" w:hAnsi="Palatino Linotype" w:cs="Tahoma"/>
          <w:color w:val="000000"/>
          <w:sz w:val="22"/>
          <w:szCs w:val="22"/>
        </w:rPr>
        <w:t xml:space="preserve">ncia pendiente de desahogo, se </w:t>
      </w:r>
      <w:r w:rsidRPr="00535C16">
        <w:rPr>
          <w:rFonts w:ascii="Palatino Linotype" w:hAnsi="Palatino Linotype" w:cs="Tahoma"/>
          <w:color w:val="000000"/>
          <w:sz w:val="22"/>
          <w:szCs w:val="22"/>
        </w:rPr>
        <w:t>emit</w:t>
      </w:r>
      <w:r w:rsidR="00367F82" w:rsidRPr="00535C16">
        <w:rPr>
          <w:rFonts w:ascii="Palatino Linotype" w:hAnsi="Palatino Linotype" w:cs="Tahoma"/>
          <w:color w:val="000000"/>
          <w:sz w:val="22"/>
          <w:szCs w:val="22"/>
        </w:rPr>
        <w:t>e</w:t>
      </w:r>
      <w:r w:rsidRPr="00535C16">
        <w:rPr>
          <w:rFonts w:ascii="Palatino Linotype" w:hAnsi="Palatino Linotype" w:cs="Tahoma"/>
          <w:color w:val="000000"/>
          <w:sz w:val="22"/>
          <w:szCs w:val="22"/>
        </w:rPr>
        <w:t xml:space="preserve"> la resolución que conforme a Derecho proceda, de acuerdo a l</w:t>
      </w:r>
      <w:r w:rsidR="009A620E" w:rsidRPr="00535C16">
        <w:rPr>
          <w:rFonts w:ascii="Palatino Linotype" w:hAnsi="Palatino Linotype" w:cs="Tahoma"/>
          <w:color w:val="000000"/>
          <w:sz w:val="22"/>
          <w:szCs w:val="22"/>
        </w:rPr>
        <w:t>o</w:t>
      </w:r>
      <w:r w:rsidRPr="00535C16">
        <w:rPr>
          <w:rFonts w:ascii="Palatino Linotype" w:hAnsi="Palatino Linotype" w:cs="Tahoma"/>
          <w:color w:val="000000"/>
          <w:sz w:val="22"/>
          <w:szCs w:val="22"/>
        </w:rPr>
        <w:t xml:space="preserve">s siguientes: </w:t>
      </w:r>
    </w:p>
    <w:p w14:paraId="786C8FCC" w14:textId="77777777" w:rsidR="001C0C73" w:rsidRPr="00535C16" w:rsidRDefault="001C0C73" w:rsidP="00FF426B">
      <w:pPr>
        <w:spacing w:line="360" w:lineRule="auto"/>
        <w:contextualSpacing/>
        <w:jc w:val="both"/>
        <w:rPr>
          <w:rFonts w:ascii="Palatino Linotype" w:hAnsi="Palatino Linotype" w:cs="Tahoma"/>
          <w:color w:val="000000"/>
          <w:sz w:val="22"/>
          <w:szCs w:val="22"/>
        </w:rPr>
      </w:pPr>
    </w:p>
    <w:p w14:paraId="77D58C21" w14:textId="77777777" w:rsidR="00EA4E4A" w:rsidRPr="00535C16" w:rsidRDefault="00EA4E4A" w:rsidP="00C66180">
      <w:pPr>
        <w:spacing w:line="360" w:lineRule="auto"/>
        <w:contextualSpacing/>
        <w:jc w:val="center"/>
        <w:rPr>
          <w:rFonts w:ascii="Palatino Linotype" w:hAnsi="Palatino Linotype" w:cs="Tahoma"/>
          <w:b/>
          <w:sz w:val="22"/>
          <w:szCs w:val="22"/>
        </w:rPr>
      </w:pPr>
      <w:r w:rsidRPr="00535C16">
        <w:rPr>
          <w:rFonts w:ascii="Palatino Linotype" w:hAnsi="Palatino Linotype" w:cs="Tahoma"/>
          <w:b/>
          <w:sz w:val="22"/>
          <w:szCs w:val="22"/>
        </w:rPr>
        <w:t>C O N S I D E R A N D O S</w:t>
      </w:r>
    </w:p>
    <w:p w14:paraId="566DB41D" w14:textId="77777777" w:rsidR="00EA4E4A" w:rsidRPr="00535C16" w:rsidRDefault="00EA4E4A" w:rsidP="00FF426B">
      <w:pPr>
        <w:spacing w:line="360" w:lineRule="auto"/>
        <w:contextualSpacing/>
        <w:jc w:val="both"/>
        <w:rPr>
          <w:rFonts w:ascii="Palatino Linotype" w:hAnsi="Palatino Linotype" w:cs="Tahoma"/>
          <w:b/>
          <w:sz w:val="22"/>
          <w:szCs w:val="22"/>
        </w:rPr>
      </w:pPr>
    </w:p>
    <w:p w14:paraId="49A3AC8D" w14:textId="77777777" w:rsidR="00EA4E4A" w:rsidRPr="00535C16" w:rsidRDefault="00EA4E4A" w:rsidP="00FF426B">
      <w:pPr>
        <w:autoSpaceDE w:val="0"/>
        <w:autoSpaceDN w:val="0"/>
        <w:adjustRightInd w:val="0"/>
        <w:spacing w:line="360" w:lineRule="auto"/>
        <w:contextualSpacing/>
        <w:jc w:val="both"/>
        <w:rPr>
          <w:rFonts w:ascii="Palatino Linotype" w:hAnsi="Palatino Linotype" w:cs="Tahoma"/>
          <w:b/>
          <w:sz w:val="22"/>
          <w:szCs w:val="22"/>
        </w:rPr>
      </w:pPr>
      <w:r w:rsidRPr="00535C16">
        <w:rPr>
          <w:rFonts w:ascii="Palatino Linotype" w:eastAsia="Calibri" w:hAnsi="Palatino Linotype" w:cs="Tahoma"/>
          <w:b/>
          <w:color w:val="000000"/>
          <w:sz w:val="22"/>
          <w:szCs w:val="22"/>
          <w:lang w:eastAsia="es-MX"/>
        </w:rPr>
        <w:t>PRIMERO</w:t>
      </w:r>
      <w:r w:rsidRPr="00535C16">
        <w:rPr>
          <w:rFonts w:ascii="Palatino Linotype" w:eastAsia="Calibri" w:hAnsi="Palatino Linotype" w:cs="Tahoma"/>
          <w:color w:val="000000"/>
          <w:sz w:val="22"/>
          <w:szCs w:val="22"/>
          <w:lang w:eastAsia="es-MX"/>
        </w:rPr>
        <w:t xml:space="preserve">. </w:t>
      </w:r>
      <w:r w:rsidRPr="00535C16">
        <w:rPr>
          <w:rFonts w:ascii="Palatino Linotype" w:hAnsi="Palatino Linotype" w:cs="Tahoma"/>
          <w:b/>
          <w:sz w:val="22"/>
          <w:szCs w:val="22"/>
        </w:rPr>
        <w:t>Competencia</w:t>
      </w:r>
    </w:p>
    <w:p w14:paraId="271F8C45" w14:textId="77777777" w:rsidR="00EA4E4A" w:rsidRPr="00535C16" w:rsidRDefault="00EA4E4A" w:rsidP="00FF426B">
      <w:pPr>
        <w:autoSpaceDE w:val="0"/>
        <w:autoSpaceDN w:val="0"/>
        <w:adjustRightInd w:val="0"/>
        <w:spacing w:line="360" w:lineRule="auto"/>
        <w:contextualSpacing/>
        <w:jc w:val="both"/>
        <w:rPr>
          <w:rFonts w:ascii="Palatino Linotype" w:hAnsi="Palatino Linotype" w:cs="Tahoma"/>
          <w:b/>
          <w:sz w:val="22"/>
          <w:szCs w:val="22"/>
        </w:rPr>
      </w:pPr>
    </w:p>
    <w:p w14:paraId="5536E77E" w14:textId="6EF44290" w:rsidR="00F66601" w:rsidRPr="00535C16" w:rsidRDefault="0075173E" w:rsidP="00FF426B">
      <w:pPr>
        <w:spacing w:line="360" w:lineRule="auto"/>
        <w:jc w:val="both"/>
        <w:rPr>
          <w:rFonts w:ascii="Palatino Linotype" w:eastAsia="Calibri" w:hAnsi="Palatino Linotype" w:cs="Tahoma"/>
          <w:color w:val="000000"/>
          <w:sz w:val="22"/>
          <w:szCs w:val="22"/>
          <w:lang w:eastAsia="es-MX"/>
        </w:rPr>
      </w:pPr>
      <w:r w:rsidRPr="00535C16">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BAA6F45" w14:textId="77777777" w:rsidR="0075173E" w:rsidRPr="00535C16" w:rsidRDefault="0075173E" w:rsidP="00FF426B">
      <w:pPr>
        <w:spacing w:line="360" w:lineRule="auto"/>
        <w:jc w:val="both"/>
        <w:rPr>
          <w:rFonts w:ascii="Palatino Linotype" w:hAnsi="Palatino Linotype" w:cs="Tahoma"/>
          <w:sz w:val="22"/>
          <w:szCs w:val="22"/>
          <w:shd w:val="clear" w:color="auto" w:fill="FFFFFF"/>
        </w:rPr>
      </w:pPr>
    </w:p>
    <w:p w14:paraId="365BB84C" w14:textId="77777777" w:rsidR="00CE0B4C" w:rsidRPr="00535C16"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535C16">
        <w:rPr>
          <w:rFonts w:ascii="Palatino Linotype" w:eastAsia="Calibri" w:hAnsi="Palatino Linotype" w:cs="Tahoma"/>
          <w:b/>
          <w:color w:val="000000"/>
          <w:sz w:val="22"/>
          <w:szCs w:val="22"/>
          <w:lang w:eastAsia="es-MX"/>
        </w:rPr>
        <w:t>SEGUNDO</w:t>
      </w:r>
      <w:r w:rsidRPr="00535C16">
        <w:rPr>
          <w:rFonts w:ascii="Palatino Linotype" w:eastAsia="Calibri" w:hAnsi="Palatino Linotype" w:cs="Tahoma"/>
          <w:color w:val="000000"/>
          <w:sz w:val="22"/>
          <w:szCs w:val="22"/>
          <w:lang w:eastAsia="es-MX"/>
        </w:rPr>
        <w:t xml:space="preserve">. </w:t>
      </w:r>
      <w:r w:rsidRPr="00535C16">
        <w:rPr>
          <w:rFonts w:ascii="Palatino Linotype" w:eastAsia="Calibri" w:hAnsi="Palatino Linotype" w:cs="Tahoma"/>
          <w:b/>
          <w:color w:val="000000"/>
          <w:sz w:val="22"/>
          <w:szCs w:val="22"/>
          <w:lang w:eastAsia="es-MX"/>
        </w:rPr>
        <w:t>Causales de improcedencia y sobreseimiento</w:t>
      </w:r>
    </w:p>
    <w:p w14:paraId="77BA1692" w14:textId="77777777" w:rsidR="00566562" w:rsidRPr="00535C16" w:rsidRDefault="00566562"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3900CC83" w14:textId="77777777" w:rsidR="00CE0B4C" w:rsidRPr="00535C16"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535C16">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EB27F99" w14:textId="77777777" w:rsidR="00CE0B4C" w:rsidRPr="00535C16"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0D611C2" w14:textId="77777777" w:rsidR="00CE0B4C" w:rsidRPr="00535C16"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535C16">
        <w:rPr>
          <w:rFonts w:ascii="Palatino Linotype" w:eastAsia="Calibri" w:hAnsi="Palatino Linotype" w:cs="Tahoma"/>
          <w:color w:val="000000"/>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F741F03" w14:textId="77777777" w:rsidR="00CE0B4C" w:rsidRPr="00535C16" w:rsidRDefault="00CE0B4C" w:rsidP="00FF426B">
      <w:pPr>
        <w:spacing w:line="360" w:lineRule="auto"/>
        <w:jc w:val="both"/>
        <w:rPr>
          <w:rFonts w:ascii="Palatino Linotype" w:eastAsia="Calibri" w:hAnsi="Palatino Linotype" w:cs="Tahoma"/>
          <w:b/>
          <w:sz w:val="22"/>
          <w:szCs w:val="22"/>
          <w:lang w:eastAsia="es-ES_tradnl"/>
        </w:rPr>
      </w:pPr>
    </w:p>
    <w:p w14:paraId="64D68044" w14:textId="77777777" w:rsidR="00CE0B4C" w:rsidRPr="00535C16" w:rsidRDefault="00CE0B4C" w:rsidP="00FF426B">
      <w:pPr>
        <w:spacing w:line="360" w:lineRule="auto"/>
        <w:jc w:val="both"/>
        <w:rPr>
          <w:rFonts w:ascii="Palatino Linotype" w:eastAsia="Calibri" w:hAnsi="Palatino Linotype" w:cs="Tahoma"/>
          <w:b/>
          <w:sz w:val="22"/>
          <w:szCs w:val="22"/>
          <w:lang w:eastAsia="es-ES_tradnl"/>
        </w:rPr>
      </w:pPr>
      <w:r w:rsidRPr="00535C16">
        <w:rPr>
          <w:rFonts w:ascii="Palatino Linotype" w:eastAsia="Calibri" w:hAnsi="Palatino Linotype" w:cs="Tahoma"/>
          <w:b/>
          <w:sz w:val="22"/>
          <w:szCs w:val="22"/>
          <w:lang w:eastAsia="es-ES_tradnl"/>
        </w:rPr>
        <w:t>Causales de sobreseimiento</w:t>
      </w:r>
    </w:p>
    <w:p w14:paraId="1403AA2A" w14:textId="77777777" w:rsidR="00CE0B4C" w:rsidRPr="00535C16" w:rsidRDefault="00CE0B4C" w:rsidP="00FF426B">
      <w:pPr>
        <w:spacing w:line="360" w:lineRule="auto"/>
        <w:jc w:val="both"/>
        <w:rPr>
          <w:rFonts w:ascii="Palatino Linotype" w:eastAsia="Calibri" w:hAnsi="Palatino Linotype" w:cs="Tahoma"/>
          <w:sz w:val="22"/>
          <w:szCs w:val="22"/>
          <w:lang w:eastAsia="es-ES_tradnl"/>
        </w:rPr>
      </w:pPr>
    </w:p>
    <w:p w14:paraId="6BA3D197" w14:textId="77777777" w:rsidR="00CE0B4C" w:rsidRPr="00535C16" w:rsidRDefault="00CE0B4C" w:rsidP="00FF426B">
      <w:pPr>
        <w:spacing w:line="360" w:lineRule="auto"/>
        <w:jc w:val="both"/>
        <w:rPr>
          <w:rFonts w:ascii="Palatino Linotype" w:eastAsia="Calibri" w:hAnsi="Palatino Linotype" w:cs="Tahoma"/>
          <w:sz w:val="22"/>
          <w:szCs w:val="22"/>
          <w:lang w:eastAsia="es-ES_tradnl"/>
        </w:rPr>
      </w:pPr>
      <w:r w:rsidRPr="00535C16">
        <w:rPr>
          <w:rFonts w:ascii="Palatino Linotype" w:eastAsia="Calibri" w:hAnsi="Palatino Linotype" w:cs="Tahoma"/>
          <w:sz w:val="22"/>
          <w:szCs w:val="22"/>
          <w:lang w:eastAsia="es-ES_tradnl"/>
        </w:rPr>
        <w:t>Por lo que hace a las causales de sobreseimiento, del análisis realizado por este Instituto, se advierte que</w:t>
      </w:r>
      <w:r w:rsidRPr="00535C16">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535C16">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535C16">
        <w:rPr>
          <w:rFonts w:ascii="Palatino Linotype" w:eastAsia="Calibri" w:hAnsi="Palatino Linotype" w:cs="Tahoma"/>
          <w:bCs/>
          <w:sz w:val="22"/>
          <w:szCs w:val="22"/>
          <w:lang w:eastAsia="es-ES_tradnl"/>
        </w:rPr>
        <w:t xml:space="preserve">Por tales motivos, </w:t>
      </w:r>
      <w:r w:rsidRPr="00535C16">
        <w:rPr>
          <w:rFonts w:ascii="Palatino Linotype" w:eastAsia="Calibri" w:hAnsi="Palatino Linotype" w:cs="Tahoma"/>
          <w:sz w:val="22"/>
          <w:szCs w:val="22"/>
          <w:lang w:eastAsia="es-ES_tradnl"/>
        </w:rPr>
        <w:t xml:space="preserve">se considera procedente entrar al fondo del presente asunto. </w:t>
      </w:r>
    </w:p>
    <w:p w14:paraId="358B1B0A" w14:textId="77777777" w:rsidR="00AB43F0" w:rsidRPr="00535C16" w:rsidRDefault="00AB43F0"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22D8BDF6" w14:textId="0E217B7D" w:rsidR="00CE0B4C" w:rsidRPr="00535C16"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r w:rsidRPr="00535C16">
        <w:rPr>
          <w:rFonts w:ascii="Palatino Linotype" w:eastAsia="Calibri" w:hAnsi="Palatino Linotype" w:cs="Tahoma"/>
          <w:b/>
          <w:iCs/>
          <w:sz w:val="22"/>
          <w:szCs w:val="22"/>
          <w:lang w:val="es-ES" w:eastAsia="es-ES_tradnl"/>
        </w:rPr>
        <w:t>TERCERO. Determinación de la Controversia</w:t>
      </w:r>
    </w:p>
    <w:p w14:paraId="6FFC3CC3" w14:textId="77777777" w:rsidR="00CE0B4C" w:rsidRPr="00535C16"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3AB40019" w14:textId="5C098358" w:rsidR="00282505" w:rsidRPr="00535C16" w:rsidRDefault="00CE0B4C" w:rsidP="00282505">
      <w:pPr>
        <w:tabs>
          <w:tab w:val="left" w:pos="4962"/>
        </w:tabs>
        <w:spacing w:line="360" w:lineRule="auto"/>
        <w:jc w:val="both"/>
        <w:rPr>
          <w:rFonts w:ascii="Palatino Linotype" w:eastAsia="Calibri" w:hAnsi="Palatino Linotype" w:cs="Tahoma"/>
          <w:iCs/>
          <w:sz w:val="22"/>
          <w:szCs w:val="22"/>
          <w:lang w:val="es-ES" w:eastAsia="es-ES_tradnl"/>
        </w:rPr>
      </w:pPr>
      <w:r w:rsidRPr="00535C16">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el </w:t>
      </w:r>
      <w:r w:rsidR="00F805F6" w:rsidRPr="00535C16">
        <w:rPr>
          <w:rFonts w:ascii="Palatino Linotype" w:eastAsia="Calibri" w:hAnsi="Palatino Linotype" w:cs="Tahoma"/>
          <w:iCs/>
          <w:sz w:val="22"/>
          <w:szCs w:val="22"/>
          <w:lang w:val="es-ES" w:eastAsia="es-ES_tradnl"/>
        </w:rPr>
        <w:t xml:space="preserve">Particular </w:t>
      </w:r>
      <w:r w:rsidRPr="00535C16">
        <w:rPr>
          <w:rFonts w:ascii="Palatino Linotype" w:eastAsia="Calibri" w:hAnsi="Palatino Linotype" w:cs="Tahoma"/>
          <w:iCs/>
          <w:sz w:val="22"/>
          <w:szCs w:val="22"/>
          <w:lang w:val="es-ES" w:eastAsia="es-ES_tradnl"/>
        </w:rPr>
        <w:t>solicitó a</w:t>
      </w:r>
      <w:r w:rsidR="00212285" w:rsidRPr="00535C16">
        <w:rPr>
          <w:rFonts w:ascii="Palatino Linotype" w:eastAsia="Calibri" w:hAnsi="Palatino Linotype" w:cs="Tahoma"/>
          <w:iCs/>
          <w:sz w:val="22"/>
          <w:szCs w:val="22"/>
          <w:lang w:val="es-ES" w:eastAsia="es-ES_tradnl"/>
        </w:rPr>
        <w:t>l</w:t>
      </w:r>
      <w:r w:rsidR="0003473A" w:rsidRPr="00535C16">
        <w:rPr>
          <w:rFonts w:ascii="Palatino Linotype" w:eastAsia="Calibri" w:hAnsi="Palatino Linotype" w:cs="Tahoma"/>
          <w:iCs/>
          <w:sz w:val="22"/>
          <w:szCs w:val="22"/>
          <w:lang w:val="es-ES" w:eastAsia="es-ES_tradnl"/>
        </w:rPr>
        <w:t xml:space="preserve"> </w:t>
      </w:r>
      <w:r w:rsidR="007F0E3E" w:rsidRPr="00535C16">
        <w:rPr>
          <w:rFonts w:ascii="Palatino Linotype" w:eastAsia="Calibri" w:hAnsi="Palatino Linotype" w:cs="Tahoma"/>
          <w:iCs/>
          <w:sz w:val="22"/>
          <w:szCs w:val="22"/>
          <w:lang w:val="es-ES" w:eastAsia="es-ES_tradnl"/>
        </w:rPr>
        <w:t xml:space="preserve">Ayuntamiento de </w:t>
      </w:r>
      <w:r w:rsidR="005147B2" w:rsidRPr="00535C16">
        <w:rPr>
          <w:rFonts w:ascii="Palatino Linotype" w:eastAsia="Calibri" w:hAnsi="Palatino Linotype" w:cs="Tahoma"/>
          <w:iCs/>
          <w:sz w:val="22"/>
          <w:szCs w:val="22"/>
          <w:lang w:val="es-ES" w:eastAsia="es-ES_tradnl"/>
        </w:rPr>
        <w:t>Nextlalpan</w:t>
      </w:r>
      <w:r w:rsidRPr="00535C16">
        <w:rPr>
          <w:rFonts w:ascii="Palatino Linotype" w:eastAsia="Calibri" w:hAnsi="Palatino Linotype" w:cs="Tahoma"/>
          <w:iCs/>
          <w:sz w:val="22"/>
          <w:szCs w:val="22"/>
          <w:lang w:val="es-ES" w:eastAsia="es-ES_tradnl"/>
        </w:rPr>
        <w:t>,</w:t>
      </w:r>
      <w:r w:rsidR="0018547D" w:rsidRPr="00535C16">
        <w:rPr>
          <w:rFonts w:ascii="Palatino Linotype" w:eastAsia="Calibri" w:hAnsi="Palatino Linotype" w:cs="Tahoma"/>
          <w:iCs/>
          <w:sz w:val="22"/>
          <w:szCs w:val="22"/>
          <w:lang w:val="es-ES" w:eastAsia="es-ES_tradnl"/>
        </w:rPr>
        <w:t xml:space="preserve"> </w:t>
      </w:r>
      <w:r w:rsidR="00282505" w:rsidRPr="00535C16">
        <w:rPr>
          <w:rFonts w:ascii="Palatino Linotype" w:eastAsia="Calibri" w:hAnsi="Palatino Linotype" w:cs="Tahoma"/>
          <w:iCs/>
          <w:sz w:val="22"/>
          <w:szCs w:val="22"/>
          <w:lang w:val="es-ES" w:eastAsia="es-ES_tradnl"/>
        </w:rPr>
        <w:t>una base de datos de incidencia delictiva o reporte de incidentes, eventos o cualquier registro o documento con el que cuente el Sujeto Obligado.</w:t>
      </w:r>
    </w:p>
    <w:p w14:paraId="767471DD" w14:textId="77777777" w:rsidR="008F6C65" w:rsidRPr="00535C16" w:rsidRDefault="008F6C65" w:rsidP="00282505">
      <w:pPr>
        <w:tabs>
          <w:tab w:val="left" w:pos="4962"/>
        </w:tabs>
        <w:spacing w:line="360" w:lineRule="auto"/>
        <w:jc w:val="both"/>
        <w:rPr>
          <w:rFonts w:ascii="Palatino Linotype" w:eastAsia="Calibri" w:hAnsi="Palatino Linotype" w:cs="Tahoma"/>
          <w:iCs/>
          <w:sz w:val="22"/>
          <w:szCs w:val="22"/>
          <w:lang w:val="es-ES" w:eastAsia="es-ES_tradnl"/>
        </w:rPr>
      </w:pPr>
    </w:p>
    <w:p w14:paraId="39C295DC" w14:textId="31152560" w:rsidR="008F6C65" w:rsidRPr="00535C16" w:rsidRDefault="008F6C65" w:rsidP="008F6C65">
      <w:pPr>
        <w:tabs>
          <w:tab w:val="left" w:pos="4962"/>
        </w:tabs>
        <w:spacing w:line="360" w:lineRule="auto"/>
        <w:jc w:val="both"/>
        <w:rPr>
          <w:rFonts w:ascii="Palatino Linotype" w:eastAsia="Calibri" w:hAnsi="Palatino Linotype" w:cs="Tahoma"/>
          <w:iCs/>
          <w:sz w:val="22"/>
          <w:szCs w:val="22"/>
          <w:lang w:val="es-ES" w:eastAsia="es-ES_tradnl"/>
        </w:rPr>
      </w:pPr>
      <w:r w:rsidRPr="00535C16">
        <w:rPr>
          <w:rFonts w:ascii="Palatino Linotype" w:eastAsia="Calibri" w:hAnsi="Palatino Linotype" w:cs="Tahoma"/>
          <w:iCs/>
          <w:sz w:val="22"/>
          <w:szCs w:val="22"/>
          <w:lang w:val="es-ES" w:eastAsia="es-ES_tradnl"/>
        </w:rPr>
        <w:t>En respuesta, el Sujeto Obligado por conducto de su servidor público habilitado competente informó que no se encontró información correspondiente a los años 2018, 2019, 2020, 2021, por lo que no se cuenta con la información requerida y respecto a los años 2022, 2023, 2024 y 2025, se informa que se cuenta con un archivo de resguardo parcial de la información solicitada, sin embargo, remitió a solicitarla directamente ante el Secretariado Ejecutivo del Sistema Nacional de Seguridad Pública y orientó al Particular a solicitar la información ante otro Sujeto Obligado.</w:t>
      </w:r>
    </w:p>
    <w:p w14:paraId="66006F81" w14:textId="77777777" w:rsidR="008F6C65" w:rsidRPr="00535C16" w:rsidRDefault="008F6C65" w:rsidP="00282505">
      <w:pPr>
        <w:tabs>
          <w:tab w:val="left" w:pos="4962"/>
        </w:tabs>
        <w:spacing w:line="360" w:lineRule="auto"/>
        <w:jc w:val="both"/>
        <w:rPr>
          <w:rFonts w:ascii="Palatino Linotype" w:eastAsia="Calibri" w:hAnsi="Palatino Linotype" w:cs="Tahoma"/>
          <w:iCs/>
          <w:sz w:val="22"/>
          <w:szCs w:val="22"/>
          <w:lang w:val="es-ES" w:eastAsia="es-ES_tradnl"/>
        </w:rPr>
      </w:pPr>
    </w:p>
    <w:p w14:paraId="6C411DFF" w14:textId="77777777" w:rsidR="008F6C65" w:rsidRPr="00535C16" w:rsidRDefault="008F6C65" w:rsidP="00282505">
      <w:pPr>
        <w:tabs>
          <w:tab w:val="left" w:pos="4962"/>
        </w:tabs>
        <w:spacing w:line="360" w:lineRule="auto"/>
        <w:jc w:val="both"/>
        <w:rPr>
          <w:rFonts w:ascii="Palatino Linotype" w:eastAsia="Calibri" w:hAnsi="Palatino Linotype" w:cs="Tahoma"/>
          <w:iCs/>
          <w:sz w:val="22"/>
          <w:szCs w:val="22"/>
          <w:lang w:val="es-ES" w:eastAsia="es-ES_tradnl"/>
        </w:rPr>
      </w:pPr>
    </w:p>
    <w:p w14:paraId="237AE5C8" w14:textId="77777777" w:rsidR="0075173E" w:rsidRPr="00535C16" w:rsidRDefault="0075173E" w:rsidP="00282505">
      <w:pPr>
        <w:tabs>
          <w:tab w:val="left" w:pos="4962"/>
        </w:tabs>
        <w:spacing w:line="360" w:lineRule="auto"/>
        <w:jc w:val="both"/>
        <w:rPr>
          <w:rFonts w:ascii="Palatino Linotype" w:eastAsia="Calibri" w:hAnsi="Palatino Linotype" w:cs="Tahoma"/>
          <w:iCs/>
          <w:sz w:val="22"/>
          <w:szCs w:val="22"/>
          <w:lang w:val="es-ES" w:eastAsia="es-ES_tradnl"/>
        </w:rPr>
      </w:pPr>
    </w:p>
    <w:p w14:paraId="7808A386" w14:textId="1D6BE683" w:rsidR="00CE0B4C" w:rsidRPr="00535C16" w:rsidRDefault="0075173E" w:rsidP="00237EDD">
      <w:pPr>
        <w:tabs>
          <w:tab w:val="left" w:pos="4962"/>
        </w:tabs>
        <w:spacing w:line="360" w:lineRule="auto"/>
        <w:jc w:val="both"/>
        <w:rPr>
          <w:rFonts w:ascii="Palatino Linotype" w:eastAsia="Calibri" w:hAnsi="Palatino Linotype" w:cs="Tahoma"/>
          <w:iCs/>
          <w:sz w:val="22"/>
          <w:szCs w:val="22"/>
          <w:lang w:eastAsia="es-ES_tradnl"/>
        </w:rPr>
      </w:pPr>
      <w:r w:rsidRPr="00535C16">
        <w:rPr>
          <w:rFonts w:ascii="Palatino Linotype" w:eastAsia="Calibri" w:hAnsi="Palatino Linotype" w:cs="Tahoma"/>
          <w:iCs/>
          <w:sz w:val="22"/>
          <w:szCs w:val="22"/>
          <w:lang w:val="es-ES" w:eastAsia="es-ES_tradnl"/>
        </w:rPr>
        <w:t xml:space="preserve">El Sujeto Obligado, se inconformó </w:t>
      </w:r>
      <w:r w:rsidR="008F6C65" w:rsidRPr="00535C16">
        <w:rPr>
          <w:rFonts w:ascii="Palatino Linotype" w:eastAsia="Calibri" w:hAnsi="Palatino Linotype" w:cs="Tahoma"/>
          <w:iCs/>
          <w:sz w:val="22"/>
          <w:szCs w:val="22"/>
          <w:lang w:val="es-ES" w:eastAsia="es-ES_tradnl"/>
        </w:rPr>
        <w:t xml:space="preserve">en dos sentidos, el primero referente a que </w:t>
      </w:r>
      <w:r w:rsidRPr="00535C16">
        <w:rPr>
          <w:rFonts w:ascii="Palatino Linotype" w:eastAsia="Calibri" w:hAnsi="Palatino Linotype" w:cs="Tahoma"/>
          <w:iCs/>
          <w:sz w:val="22"/>
          <w:szCs w:val="22"/>
          <w:lang w:val="es-ES" w:eastAsia="es-ES_tradnl"/>
        </w:rPr>
        <w:t>no quiere la información del Secretariado, sino que su interés es acceder a la información generada por el Sujeto Obligado</w:t>
      </w:r>
      <w:r w:rsidR="008F6C65" w:rsidRPr="00535C16">
        <w:rPr>
          <w:rFonts w:ascii="Palatino Linotype" w:eastAsia="Calibri" w:hAnsi="Palatino Linotype" w:cs="Tahoma"/>
          <w:iCs/>
          <w:sz w:val="22"/>
          <w:szCs w:val="22"/>
          <w:lang w:val="es-ES" w:eastAsia="es-ES_tradnl"/>
        </w:rPr>
        <w:t xml:space="preserve"> y el segundo punto, refiere a la inexistencia de la información, al señalar que no hay certeza de que se hubiese realizado una búsqueda exhaustiva de la información, debido a que no hay acuerdo de inexistencia;</w:t>
      </w:r>
      <w:r w:rsidRPr="00535C16">
        <w:rPr>
          <w:rFonts w:ascii="Palatino Linotype" w:eastAsia="Calibri" w:hAnsi="Palatino Linotype" w:cs="Tahoma"/>
          <w:iCs/>
          <w:sz w:val="22"/>
          <w:szCs w:val="22"/>
          <w:lang w:val="es-ES" w:eastAsia="es-ES_tradnl"/>
        </w:rPr>
        <w:t xml:space="preserve"> a</w:t>
      </w:r>
      <w:r w:rsidR="002C400E" w:rsidRPr="00535C16">
        <w:rPr>
          <w:rFonts w:ascii="Palatino Linotype" w:eastAsia="Calibri" w:hAnsi="Palatino Linotype" w:cs="Tahoma"/>
          <w:iCs/>
          <w:sz w:val="22"/>
          <w:szCs w:val="22"/>
          <w:lang w:eastAsia="es-ES_tradnl"/>
        </w:rPr>
        <w:t xml:space="preserve">sí, el Recurso de Revisión se considera procedente, en términos del artículo 179, </w:t>
      </w:r>
      <w:r w:rsidR="008F6C65" w:rsidRPr="00535C16">
        <w:rPr>
          <w:rFonts w:ascii="Palatino Linotype" w:eastAsia="Calibri" w:hAnsi="Palatino Linotype" w:cs="Tahoma"/>
          <w:iCs/>
          <w:sz w:val="22"/>
          <w:szCs w:val="22"/>
          <w:lang w:eastAsia="es-ES_tradnl"/>
        </w:rPr>
        <w:t>fracciones III y</w:t>
      </w:r>
      <w:r w:rsidR="002C400E" w:rsidRPr="00535C16">
        <w:rPr>
          <w:rFonts w:ascii="Palatino Linotype" w:eastAsia="Calibri" w:hAnsi="Palatino Linotype" w:cs="Tahoma"/>
          <w:iCs/>
          <w:sz w:val="22"/>
          <w:szCs w:val="22"/>
          <w:lang w:eastAsia="es-ES_tradnl"/>
        </w:rPr>
        <w:t xml:space="preserve"> </w:t>
      </w:r>
      <w:r w:rsidR="00B66EFB" w:rsidRPr="00535C16">
        <w:rPr>
          <w:rFonts w:ascii="Palatino Linotype" w:eastAsia="Calibri" w:hAnsi="Palatino Linotype" w:cs="Tahoma"/>
          <w:iCs/>
          <w:sz w:val="22"/>
          <w:szCs w:val="22"/>
          <w:lang w:eastAsia="es-ES_tradnl"/>
        </w:rPr>
        <w:t xml:space="preserve">V de la Ley de Transparencia, que contempla que el </w:t>
      </w:r>
      <w:r w:rsidR="00237EDD" w:rsidRPr="00535C16">
        <w:rPr>
          <w:rFonts w:ascii="Palatino Linotype" w:eastAsia="Calibri" w:hAnsi="Palatino Linotype" w:cs="Tahoma"/>
          <w:iCs/>
          <w:sz w:val="22"/>
          <w:szCs w:val="22"/>
          <w:lang w:eastAsia="es-ES_tradnl"/>
        </w:rPr>
        <w:t xml:space="preserve">recurso de revisión es un medio de protección que la Ley otorga a los particulares, para hacer valer su derecho de acceso a la información pública, y procederá en contra de </w:t>
      </w:r>
      <w:r w:rsidR="008F6C65" w:rsidRPr="00535C16">
        <w:rPr>
          <w:rFonts w:ascii="Palatino Linotype" w:eastAsia="Calibri" w:hAnsi="Palatino Linotype" w:cs="Tahoma"/>
          <w:b/>
          <w:iCs/>
          <w:sz w:val="22"/>
          <w:szCs w:val="22"/>
          <w:lang w:eastAsia="es-ES_tradnl"/>
        </w:rPr>
        <w:t xml:space="preserve">-la declaración de inexistencia de la información- y </w:t>
      </w:r>
      <w:r w:rsidR="00237EDD" w:rsidRPr="00535C16">
        <w:rPr>
          <w:rFonts w:ascii="Palatino Linotype" w:eastAsia="Calibri" w:hAnsi="Palatino Linotype" w:cs="Tahoma"/>
          <w:b/>
          <w:bCs/>
          <w:iCs/>
          <w:sz w:val="22"/>
          <w:szCs w:val="22"/>
          <w:lang w:eastAsia="es-ES_tradnl"/>
        </w:rPr>
        <w:t>-</w:t>
      </w:r>
      <w:r w:rsidR="00237EDD" w:rsidRPr="00535C16">
        <w:rPr>
          <w:b/>
          <w:bCs/>
        </w:rPr>
        <w:t>l</w:t>
      </w:r>
      <w:r w:rsidR="00237EDD" w:rsidRPr="00535C16">
        <w:rPr>
          <w:rFonts w:ascii="Palatino Linotype" w:eastAsia="Calibri" w:hAnsi="Palatino Linotype" w:cs="Tahoma"/>
          <w:b/>
          <w:bCs/>
          <w:iCs/>
          <w:sz w:val="22"/>
          <w:szCs w:val="22"/>
          <w:lang w:eastAsia="es-ES_tradnl"/>
        </w:rPr>
        <w:t>a entrega de información incompleta-.</w:t>
      </w:r>
    </w:p>
    <w:p w14:paraId="7E764BBB" w14:textId="77777777" w:rsidR="00CE0B4C" w:rsidRPr="00535C16" w:rsidRDefault="00CE0B4C" w:rsidP="00FF426B">
      <w:pPr>
        <w:tabs>
          <w:tab w:val="left" w:pos="4962"/>
        </w:tabs>
        <w:spacing w:line="360" w:lineRule="auto"/>
        <w:jc w:val="both"/>
        <w:rPr>
          <w:rFonts w:ascii="Palatino Linotype" w:eastAsia="Calibri" w:hAnsi="Palatino Linotype" w:cs="Tahoma"/>
          <w:iCs/>
          <w:sz w:val="22"/>
          <w:szCs w:val="22"/>
          <w:lang w:eastAsia="es-ES_tradnl"/>
        </w:rPr>
      </w:pPr>
    </w:p>
    <w:p w14:paraId="1B442F1C" w14:textId="77777777" w:rsidR="00CE0B4C" w:rsidRPr="00535C16" w:rsidRDefault="00CE0B4C" w:rsidP="00FF426B">
      <w:pPr>
        <w:spacing w:line="360" w:lineRule="auto"/>
        <w:ind w:right="-93"/>
        <w:jc w:val="both"/>
        <w:rPr>
          <w:rFonts w:ascii="Palatino Linotype" w:hAnsi="Palatino Linotype" w:cs="Tahoma"/>
          <w:b/>
          <w:sz w:val="22"/>
          <w:szCs w:val="22"/>
        </w:rPr>
      </w:pPr>
      <w:r w:rsidRPr="00535C16">
        <w:rPr>
          <w:rFonts w:ascii="Palatino Linotype" w:hAnsi="Palatino Linotype" w:cs="Tahoma"/>
          <w:b/>
          <w:sz w:val="22"/>
          <w:szCs w:val="22"/>
          <w:lang w:val="es-ES"/>
        </w:rPr>
        <w:t xml:space="preserve">CUARTO. </w:t>
      </w:r>
      <w:r w:rsidRPr="00535C16">
        <w:rPr>
          <w:rFonts w:ascii="Palatino Linotype" w:hAnsi="Palatino Linotype" w:cs="Tahoma"/>
          <w:b/>
          <w:sz w:val="22"/>
          <w:szCs w:val="22"/>
        </w:rPr>
        <w:t>Marco normativo aplicable en materia de transparencia y acceso a la información pública</w:t>
      </w:r>
    </w:p>
    <w:p w14:paraId="21D0077C" w14:textId="77777777" w:rsidR="00CE0B4C" w:rsidRPr="00535C16" w:rsidRDefault="00CE0B4C" w:rsidP="00FF426B">
      <w:pPr>
        <w:spacing w:line="360" w:lineRule="auto"/>
        <w:contextualSpacing/>
        <w:jc w:val="both"/>
        <w:rPr>
          <w:rFonts w:ascii="Palatino Linotype" w:hAnsi="Palatino Linotype" w:cs="Tahoma"/>
          <w:sz w:val="22"/>
          <w:szCs w:val="22"/>
        </w:rPr>
      </w:pPr>
    </w:p>
    <w:p w14:paraId="44BBF05F" w14:textId="77777777" w:rsidR="00CE0B4C" w:rsidRPr="00535C16" w:rsidRDefault="00CE0B4C" w:rsidP="00FF426B">
      <w:pPr>
        <w:widowControl w:val="0"/>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rPr>
        <w:t xml:space="preserve">El artículo 6°, Apartado A), fracción I de la Constitución Política de los Estados Unidos Mexicanos, establece que toda la información en posesión de cualquier </w:t>
      </w:r>
      <w:r w:rsidR="005A1884" w:rsidRPr="00535C16">
        <w:rPr>
          <w:rFonts w:ascii="Palatino Linotype" w:hAnsi="Palatino Linotype" w:cs="Tahoma"/>
          <w:sz w:val="22"/>
          <w:szCs w:val="22"/>
        </w:rPr>
        <w:t>autoridad</w:t>
      </w:r>
      <w:r w:rsidRPr="00535C16">
        <w:rPr>
          <w:rFonts w:ascii="Palatino Linotype" w:hAnsi="Palatino Linotype" w:cs="Tahoma"/>
          <w:sz w:val="22"/>
          <w:szCs w:val="22"/>
        </w:rPr>
        <w:t xml:space="preserve"> es pública y sólo podrá ser reservada temporalmente por razones de interés público.</w:t>
      </w:r>
    </w:p>
    <w:p w14:paraId="44A63C03" w14:textId="77777777" w:rsidR="00FC379B" w:rsidRPr="00535C16" w:rsidRDefault="00FC379B" w:rsidP="00FF426B">
      <w:pPr>
        <w:spacing w:line="360" w:lineRule="auto"/>
        <w:jc w:val="both"/>
        <w:rPr>
          <w:rFonts w:ascii="Palatino Linotype" w:hAnsi="Palatino Linotype" w:cs="Tahoma"/>
          <w:sz w:val="22"/>
          <w:szCs w:val="22"/>
        </w:rPr>
      </w:pPr>
    </w:p>
    <w:p w14:paraId="4B733A94" w14:textId="77777777" w:rsidR="00CE0B4C" w:rsidRPr="00535C16" w:rsidRDefault="00CE0B4C" w:rsidP="00FF426B">
      <w:pPr>
        <w:spacing w:line="360" w:lineRule="auto"/>
        <w:jc w:val="both"/>
        <w:rPr>
          <w:rFonts w:ascii="Palatino Linotype" w:hAnsi="Palatino Linotype" w:cs="Tahoma"/>
          <w:sz w:val="22"/>
          <w:szCs w:val="22"/>
        </w:rPr>
      </w:pPr>
      <w:r w:rsidRPr="00535C16">
        <w:rPr>
          <w:rFonts w:ascii="Palatino Linotype" w:hAnsi="Palatino Linotype" w:cs="Tahoma"/>
          <w:sz w:val="22"/>
          <w:szCs w:val="22"/>
        </w:rPr>
        <w:t>En materia local, el artículo 5°, fracción I</w:t>
      </w:r>
      <w:r w:rsidR="00002CF8" w:rsidRPr="00535C16">
        <w:rPr>
          <w:rFonts w:ascii="Palatino Linotype" w:hAnsi="Palatino Linotype" w:cs="Tahoma"/>
          <w:sz w:val="22"/>
          <w:szCs w:val="22"/>
        </w:rPr>
        <w:t>,</w:t>
      </w:r>
      <w:r w:rsidRPr="00535C16">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E9B2AD7" w14:textId="77777777" w:rsidR="00CE0B4C" w:rsidRPr="00535C16" w:rsidRDefault="00CE0B4C" w:rsidP="00FF426B">
      <w:pPr>
        <w:spacing w:line="360" w:lineRule="auto"/>
        <w:jc w:val="both"/>
        <w:rPr>
          <w:rFonts w:ascii="Palatino Linotype" w:hAnsi="Palatino Linotype" w:cs="Tahoma"/>
          <w:sz w:val="22"/>
          <w:szCs w:val="22"/>
        </w:rPr>
      </w:pPr>
    </w:p>
    <w:p w14:paraId="41C7433C" w14:textId="77777777" w:rsidR="00CE0B4C" w:rsidRPr="00535C16" w:rsidRDefault="00CE0B4C" w:rsidP="00FF426B">
      <w:pPr>
        <w:spacing w:line="360" w:lineRule="auto"/>
        <w:jc w:val="both"/>
        <w:rPr>
          <w:rFonts w:ascii="Palatino Linotype" w:hAnsi="Palatino Linotype" w:cs="Tahoma"/>
          <w:sz w:val="22"/>
          <w:szCs w:val="22"/>
        </w:rPr>
      </w:pPr>
      <w:r w:rsidRPr="00535C16">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146B396E" w14:textId="77777777" w:rsidR="00CE0B4C" w:rsidRPr="00535C16" w:rsidRDefault="00CE0B4C" w:rsidP="00FF426B">
      <w:pPr>
        <w:spacing w:line="360" w:lineRule="auto"/>
        <w:jc w:val="both"/>
        <w:rPr>
          <w:rFonts w:ascii="Palatino Linotype" w:hAnsi="Palatino Linotype" w:cs="Tahoma"/>
          <w:sz w:val="22"/>
          <w:szCs w:val="22"/>
        </w:rPr>
      </w:pPr>
    </w:p>
    <w:p w14:paraId="7086E243" w14:textId="77777777" w:rsidR="00CE0B4C" w:rsidRPr="00535C16" w:rsidRDefault="00CE0B4C" w:rsidP="00FF426B">
      <w:pPr>
        <w:spacing w:line="360" w:lineRule="auto"/>
        <w:jc w:val="both"/>
        <w:rPr>
          <w:rFonts w:ascii="Palatino Linotype" w:hAnsi="Palatino Linotype" w:cs="Tahoma"/>
          <w:sz w:val="22"/>
          <w:szCs w:val="22"/>
        </w:rPr>
      </w:pPr>
      <w:r w:rsidRPr="00535C16">
        <w:rPr>
          <w:rFonts w:ascii="Palatino Linotype" w:hAnsi="Palatino Linotype" w:cs="Tahoma"/>
          <w:sz w:val="22"/>
          <w:szCs w:val="22"/>
        </w:rPr>
        <w:t>El artículo 12, que, quienes generen, recopilen, administren, manejen, procesen, archiven o conserven información pública serán responsables de la misma.</w:t>
      </w:r>
    </w:p>
    <w:p w14:paraId="01A3121D" w14:textId="77777777" w:rsidR="00EF5683" w:rsidRPr="00535C16" w:rsidRDefault="00EF5683" w:rsidP="00FF426B">
      <w:pPr>
        <w:spacing w:line="360" w:lineRule="auto"/>
        <w:jc w:val="both"/>
        <w:rPr>
          <w:rFonts w:ascii="Palatino Linotype" w:hAnsi="Palatino Linotype" w:cs="Tahoma"/>
          <w:sz w:val="22"/>
          <w:szCs w:val="22"/>
        </w:rPr>
      </w:pPr>
    </w:p>
    <w:p w14:paraId="67FA9A0E" w14:textId="77777777" w:rsidR="00CE0B4C" w:rsidRPr="00535C16" w:rsidRDefault="00CE0B4C" w:rsidP="00FF426B">
      <w:pPr>
        <w:spacing w:line="360" w:lineRule="auto"/>
        <w:jc w:val="both"/>
        <w:rPr>
          <w:rFonts w:ascii="Palatino Linotype" w:hAnsi="Palatino Linotype" w:cs="Tahoma"/>
          <w:sz w:val="22"/>
          <w:szCs w:val="22"/>
        </w:rPr>
      </w:pPr>
      <w:r w:rsidRPr="00535C16">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3F4FBC8" w14:textId="77777777" w:rsidR="00F66601" w:rsidRPr="00535C16" w:rsidRDefault="00F66601" w:rsidP="00FF426B">
      <w:pPr>
        <w:spacing w:line="360" w:lineRule="auto"/>
        <w:jc w:val="both"/>
        <w:rPr>
          <w:rFonts w:ascii="Palatino Linotype" w:hAnsi="Palatino Linotype" w:cs="Tahoma"/>
          <w:sz w:val="22"/>
          <w:szCs w:val="22"/>
        </w:rPr>
      </w:pPr>
    </w:p>
    <w:p w14:paraId="386BEDCA" w14:textId="77777777" w:rsidR="00CE0B4C" w:rsidRPr="00535C16" w:rsidRDefault="00CE0B4C" w:rsidP="00FF426B">
      <w:pPr>
        <w:spacing w:line="360" w:lineRule="auto"/>
        <w:jc w:val="both"/>
        <w:rPr>
          <w:rFonts w:ascii="Palatino Linotype" w:hAnsi="Palatino Linotype" w:cs="Tahoma"/>
          <w:sz w:val="22"/>
          <w:szCs w:val="22"/>
        </w:rPr>
      </w:pPr>
      <w:r w:rsidRPr="00535C16">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F8E38D3" w14:textId="77777777" w:rsidR="00553D1F" w:rsidRPr="00535C16" w:rsidRDefault="00553D1F" w:rsidP="00FF426B">
      <w:pPr>
        <w:spacing w:line="360" w:lineRule="auto"/>
        <w:ind w:right="-93"/>
        <w:jc w:val="both"/>
        <w:rPr>
          <w:rFonts w:ascii="Palatino Linotype" w:hAnsi="Palatino Linotype" w:cs="Tahoma"/>
          <w:b/>
          <w:sz w:val="22"/>
          <w:szCs w:val="22"/>
          <w:lang w:val="es-ES"/>
        </w:rPr>
      </w:pPr>
    </w:p>
    <w:p w14:paraId="2E26B358" w14:textId="77777777" w:rsidR="00CE0B4C" w:rsidRPr="00535C16" w:rsidRDefault="00CE0B4C" w:rsidP="00FF426B">
      <w:pPr>
        <w:spacing w:line="360" w:lineRule="auto"/>
        <w:ind w:right="-93"/>
        <w:jc w:val="both"/>
        <w:rPr>
          <w:rFonts w:ascii="Palatino Linotype" w:hAnsi="Palatino Linotype" w:cs="Tahoma"/>
          <w:b/>
          <w:sz w:val="22"/>
          <w:szCs w:val="22"/>
          <w:lang w:val="es-ES"/>
        </w:rPr>
      </w:pPr>
      <w:r w:rsidRPr="00535C16">
        <w:rPr>
          <w:rFonts w:ascii="Palatino Linotype" w:hAnsi="Palatino Linotype" w:cs="Tahoma"/>
          <w:b/>
          <w:sz w:val="22"/>
          <w:szCs w:val="22"/>
          <w:lang w:val="es-ES"/>
        </w:rPr>
        <w:t>QUINTO. Estudio de Fondo</w:t>
      </w:r>
    </w:p>
    <w:p w14:paraId="1DBB15C1" w14:textId="77777777" w:rsidR="00040101" w:rsidRPr="00535C16" w:rsidRDefault="00040101" w:rsidP="00FF426B">
      <w:pPr>
        <w:spacing w:line="360" w:lineRule="auto"/>
        <w:ind w:right="-93"/>
        <w:jc w:val="both"/>
        <w:rPr>
          <w:rFonts w:ascii="Palatino Linotype" w:hAnsi="Palatino Linotype" w:cs="Tahoma"/>
          <w:b/>
          <w:sz w:val="22"/>
          <w:szCs w:val="22"/>
          <w:lang w:val="es-ES"/>
        </w:rPr>
      </w:pPr>
    </w:p>
    <w:p w14:paraId="65358C6A" w14:textId="3AAE9C0E" w:rsidR="009B4513" w:rsidRPr="00535C16" w:rsidRDefault="000F51D3" w:rsidP="000F51D3">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conveniente analizar si la respuesta del Sujeto Obligado cumple con los requisitos y procedimientos del derecho de acceso a la información pública.</w:t>
      </w:r>
    </w:p>
    <w:p w14:paraId="4573CBD1" w14:textId="77777777" w:rsidR="00ED0344" w:rsidRPr="00535C16" w:rsidRDefault="00ED0344" w:rsidP="000F51D3">
      <w:pPr>
        <w:spacing w:line="360" w:lineRule="auto"/>
        <w:ind w:right="-93"/>
        <w:jc w:val="both"/>
        <w:rPr>
          <w:rFonts w:ascii="Palatino Linotype" w:hAnsi="Palatino Linotype" w:cs="Tahoma"/>
          <w:sz w:val="22"/>
          <w:szCs w:val="22"/>
        </w:rPr>
      </w:pPr>
    </w:p>
    <w:p w14:paraId="0501D49E" w14:textId="69EFE3FE" w:rsidR="00ED0344" w:rsidRPr="00535C16" w:rsidRDefault="00ED0344" w:rsidP="00ED0344">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 xml:space="preserve">En ese orden de ideas, es importante señalar que, el artículo 4°, párrafo segundo de la Ley de Transparencia y Acceso a la Información Pública del Estado de México y Municipios, señala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14:paraId="35978985" w14:textId="77777777" w:rsidR="00D10E54" w:rsidRPr="00535C16" w:rsidRDefault="00D10E54" w:rsidP="00ED0344">
      <w:pPr>
        <w:spacing w:line="360" w:lineRule="auto"/>
        <w:ind w:right="-93"/>
        <w:jc w:val="both"/>
        <w:rPr>
          <w:rFonts w:ascii="Palatino Linotype" w:hAnsi="Palatino Linotype" w:cs="Tahoma"/>
          <w:sz w:val="22"/>
          <w:szCs w:val="22"/>
        </w:rPr>
      </w:pPr>
    </w:p>
    <w:p w14:paraId="7D5839E2" w14:textId="2E7CDC44" w:rsidR="00D10E54" w:rsidRPr="00535C16" w:rsidRDefault="00D10E54" w:rsidP="00D10E54">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De lo anterior, se deduce que la información generada, obtenida, adquirida, transmitida, administrada o en posesión de los Sujetos Obligados, será accesible a cualquier persona, privilegiando el principio de máxima publicidad de la información.</w:t>
      </w:r>
    </w:p>
    <w:p w14:paraId="2DD9190C" w14:textId="77777777" w:rsidR="00D10E54" w:rsidRPr="00535C16" w:rsidRDefault="00D10E54" w:rsidP="00D10E54">
      <w:pPr>
        <w:spacing w:line="360" w:lineRule="auto"/>
        <w:ind w:right="-93"/>
        <w:jc w:val="both"/>
        <w:rPr>
          <w:rFonts w:ascii="Palatino Linotype" w:hAnsi="Palatino Linotype" w:cs="Tahoma"/>
          <w:sz w:val="22"/>
          <w:szCs w:val="22"/>
        </w:rPr>
      </w:pPr>
    </w:p>
    <w:p w14:paraId="532986FD" w14:textId="77777777" w:rsidR="00D10E54" w:rsidRPr="00535C16" w:rsidRDefault="00D10E54" w:rsidP="00D10E54">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síntesis, el derecho de acceso a la información pública se satisface en aquellos casos en que</w:t>
      </w:r>
    </w:p>
    <w:p w14:paraId="077641EA" w14:textId="2444EDA2" w:rsidR="00D10E54" w:rsidRPr="00535C16" w:rsidRDefault="00D10E54" w:rsidP="00D10E54">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se entregue el soporte documental en que conste la información pública, sin la necesidad de elaborar documentos ad hoc; lo cual, toma sustento en el artículo 160 de la Ley de Transparencia y Acceso a la Información Pública del Estado de México y Municipios, el cual refiere que los</w:t>
      </w:r>
      <w:r w:rsidR="00F832C7" w:rsidRPr="00535C16">
        <w:rPr>
          <w:rFonts w:ascii="Palatino Linotype" w:hAnsi="Palatino Linotype" w:cs="Tahoma"/>
          <w:sz w:val="22"/>
          <w:szCs w:val="22"/>
        </w:rPr>
        <w:t xml:space="preserve"> </w:t>
      </w:r>
      <w:r w:rsidRPr="00535C16">
        <w:rPr>
          <w:rFonts w:ascii="Palatino Linotype" w:hAnsi="Palatino Linotype" w:cs="Tahoma"/>
          <w:sz w:val="22"/>
          <w:szCs w:val="22"/>
        </w:rPr>
        <w:t>sujetos obligados deberán entregar la información que obre en sus archivos.</w:t>
      </w:r>
    </w:p>
    <w:p w14:paraId="3DC47BA7" w14:textId="77777777" w:rsidR="001B16D9" w:rsidRPr="00535C16" w:rsidRDefault="001B16D9" w:rsidP="00D10E54">
      <w:pPr>
        <w:spacing w:line="360" w:lineRule="auto"/>
        <w:ind w:right="-93"/>
        <w:jc w:val="both"/>
        <w:rPr>
          <w:rFonts w:ascii="Palatino Linotype" w:hAnsi="Palatino Linotype" w:cs="Tahoma"/>
          <w:sz w:val="22"/>
          <w:szCs w:val="22"/>
        </w:rPr>
      </w:pPr>
    </w:p>
    <w:p w14:paraId="68283790" w14:textId="7148FC9E" w:rsidR="001B16D9" w:rsidRPr="00535C16" w:rsidRDefault="001B16D9" w:rsidP="001B16D9">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Asimismo, el artículo 24 de la Ley de la materia, dispone que los Sujetos Obligados sólo proporcionarán la información pública que generen, administren o posean en el ejercicio de sus</w:t>
      </w:r>
      <w:r w:rsidR="007B7A88" w:rsidRPr="00535C16">
        <w:rPr>
          <w:rFonts w:ascii="Palatino Linotype" w:hAnsi="Palatino Linotype" w:cs="Tahoma"/>
          <w:sz w:val="22"/>
          <w:szCs w:val="22"/>
        </w:rPr>
        <w:t xml:space="preserve"> </w:t>
      </w:r>
      <w:r w:rsidRPr="00535C16">
        <w:rPr>
          <w:rFonts w:ascii="Palatino Linotype" w:hAnsi="Palatino Linotype" w:cs="Tahoma"/>
          <w:sz w:val="22"/>
          <w:szCs w:val="22"/>
        </w:rPr>
        <w:t>atribuciones; por consiguiente, la información pública se encuentra a disposición de cualquier</w:t>
      </w:r>
      <w:r w:rsidR="007B7A88" w:rsidRPr="00535C16">
        <w:rPr>
          <w:rFonts w:ascii="Palatino Linotype" w:hAnsi="Palatino Linotype" w:cs="Tahoma"/>
          <w:sz w:val="22"/>
          <w:szCs w:val="22"/>
        </w:rPr>
        <w:t xml:space="preserve"> </w:t>
      </w:r>
      <w:r w:rsidRPr="00535C16">
        <w:rPr>
          <w:rFonts w:ascii="Palatino Linotype" w:hAnsi="Palatino Linotype" w:cs="Tahoma"/>
          <w:sz w:val="22"/>
          <w:szCs w:val="22"/>
        </w:rPr>
        <w:t>persona, lo que implica que es deber de los sujetos obligados, garantizar el derecho de acceso</w:t>
      </w:r>
      <w:r w:rsidR="007B7A88" w:rsidRPr="00535C16">
        <w:rPr>
          <w:rFonts w:ascii="Palatino Linotype" w:hAnsi="Palatino Linotype" w:cs="Tahoma"/>
          <w:sz w:val="22"/>
          <w:szCs w:val="22"/>
        </w:rPr>
        <w:t xml:space="preserve"> </w:t>
      </w:r>
      <w:r w:rsidRPr="00535C16">
        <w:rPr>
          <w:rFonts w:ascii="Palatino Linotype" w:hAnsi="Palatino Linotype" w:cs="Tahoma"/>
          <w:sz w:val="22"/>
          <w:szCs w:val="22"/>
        </w:rPr>
        <w:t>a la información pública.</w:t>
      </w:r>
    </w:p>
    <w:p w14:paraId="6E49C7A8" w14:textId="77777777" w:rsidR="008B1103" w:rsidRPr="00535C16" w:rsidRDefault="008B1103" w:rsidP="001B16D9">
      <w:pPr>
        <w:spacing w:line="360" w:lineRule="auto"/>
        <w:ind w:right="-93"/>
        <w:jc w:val="both"/>
        <w:rPr>
          <w:rFonts w:ascii="Palatino Linotype" w:hAnsi="Palatino Linotype" w:cs="Tahoma"/>
          <w:sz w:val="22"/>
          <w:szCs w:val="22"/>
        </w:rPr>
      </w:pPr>
    </w:p>
    <w:p w14:paraId="2B5AC8E5" w14:textId="4DCEDCBF" w:rsidR="008B1103" w:rsidRPr="00535C16" w:rsidRDefault="008B1103" w:rsidP="008B1103">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Establecido lo anterior, es preciso señalar que, todos los actos que realicen los sujetos</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obligados deben estar documentados y, bajo el más alto estándar de transparencia deberán</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poner toda la información que se encuentre en su posesión, a disposición de los particulares</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que la soliciten, resulta necesario referir que, el artículo 6° apartado A fracción I, de la</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Constitución Política de los Estados Unidos Mexicanos, artículo 5 fracción I de la Constitución</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Política del Estado Libre y Soberano de México y el artículo 18 de la Ley de Transparencia y</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Acceso a la Información Pública del Estado de México y Municipios, guardan una estrecha</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relación, puesto que los ordenamientos citados concurren refiriendo que los Sujetos Obligados</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deberán documentar todo acto que se derive del ejercicio de sus facultades, competencias o</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funciones, considerando desde su origen la eventual publicidad y reutilización de la</w:t>
      </w:r>
      <w:r w:rsidR="00A11241" w:rsidRPr="00535C16">
        <w:rPr>
          <w:rFonts w:ascii="Palatino Linotype" w:hAnsi="Palatino Linotype" w:cs="Tahoma"/>
          <w:sz w:val="22"/>
          <w:szCs w:val="22"/>
        </w:rPr>
        <w:t xml:space="preserve"> </w:t>
      </w:r>
      <w:r w:rsidRPr="00535C16">
        <w:rPr>
          <w:rFonts w:ascii="Palatino Linotype" w:hAnsi="Palatino Linotype" w:cs="Tahoma"/>
          <w:sz w:val="22"/>
          <w:szCs w:val="22"/>
        </w:rPr>
        <w:t>información que generen, posean o administren.</w:t>
      </w:r>
    </w:p>
    <w:p w14:paraId="24BDBCF4" w14:textId="77777777" w:rsidR="00263E7D" w:rsidRPr="00535C16" w:rsidRDefault="00263E7D" w:rsidP="008B1103">
      <w:pPr>
        <w:spacing w:line="360" w:lineRule="auto"/>
        <w:ind w:right="-93"/>
        <w:jc w:val="both"/>
        <w:rPr>
          <w:rFonts w:ascii="Palatino Linotype" w:hAnsi="Palatino Linotype" w:cs="Tahoma"/>
          <w:sz w:val="22"/>
          <w:szCs w:val="22"/>
        </w:rPr>
      </w:pPr>
    </w:p>
    <w:p w14:paraId="7946E66B" w14:textId="2CED2613" w:rsidR="00263E7D" w:rsidRPr="00535C16" w:rsidRDefault="00263E7D" w:rsidP="00263E7D">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 xml:space="preserve">Precisado lo anterior, sobre la naturaleza de la información solicitada, es oportuno </w:t>
      </w:r>
      <w:r w:rsidR="00AC17D3" w:rsidRPr="00535C16">
        <w:rPr>
          <w:rFonts w:ascii="Palatino Linotype" w:hAnsi="Palatino Linotype" w:cs="Tahoma"/>
          <w:sz w:val="22"/>
          <w:szCs w:val="22"/>
        </w:rPr>
        <w:t xml:space="preserve">reproducir los preceptos normativos de la </w:t>
      </w:r>
      <w:r w:rsidR="00B65586" w:rsidRPr="00535C16">
        <w:rPr>
          <w:rFonts w:ascii="Palatino Linotype" w:hAnsi="Palatino Linotype" w:cs="Tahoma"/>
          <w:sz w:val="22"/>
          <w:szCs w:val="22"/>
        </w:rPr>
        <w:t>Ley General del Sistema Nacional de Seguridad Pública</w:t>
      </w:r>
      <w:r w:rsidR="00B17D14" w:rsidRPr="00535C16">
        <w:rPr>
          <w:rFonts w:ascii="Palatino Linotype" w:hAnsi="Palatino Linotype" w:cs="Tahoma"/>
          <w:sz w:val="22"/>
          <w:szCs w:val="22"/>
        </w:rPr>
        <w:t xml:space="preserve"> vigente</w:t>
      </w:r>
      <w:r w:rsidR="00B65586" w:rsidRPr="00535C16">
        <w:rPr>
          <w:rFonts w:ascii="Palatino Linotype" w:hAnsi="Palatino Linotype" w:cs="Tahoma"/>
          <w:sz w:val="22"/>
          <w:szCs w:val="22"/>
        </w:rPr>
        <w:t>,</w:t>
      </w:r>
      <w:r w:rsidR="00083AD1" w:rsidRPr="00535C16">
        <w:rPr>
          <w:rFonts w:ascii="Palatino Linotype" w:hAnsi="Palatino Linotype" w:cs="Tahoma"/>
          <w:sz w:val="22"/>
          <w:szCs w:val="22"/>
        </w:rPr>
        <w:t xml:space="preserve">, con la precisión de que el Particular, requirió información </w:t>
      </w:r>
      <w:r w:rsidR="002376CA" w:rsidRPr="00535C16">
        <w:rPr>
          <w:rFonts w:ascii="Palatino Linotype" w:hAnsi="Palatino Linotype" w:cs="Tahoma"/>
          <w:sz w:val="22"/>
          <w:szCs w:val="22"/>
        </w:rPr>
        <w:t>desde el 2018</w:t>
      </w:r>
      <w:r w:rsidR="00B17D14" w:rsidRPr="00535C16">
        <w:rPr>
          <w:rFonts w:ascii="Palatino Linotype" w:hAnsi="Palatino Linotype" w:cs="Tahoma"/>
          <w:sz w:val="22"/>
          <w:szCs w:val="22"/>
        </w:rPr>
        <w:t xml:space="preserve"> y hasta la fecha de la solicitud que fue el ocho de octubre de dos mil veinticinco, </w:t>
      </w:r>
      <w:r w:rsidR="00EA56C8" w:rsidRPr="00535C16">
        <w:rPr>
          <w:rFonts w:ascii="Palatino Linotype" w:hAnsi="Palatino Linotype" w:cs="Tahoma"/>
          <w:sz w:val="22"/>
          <w:szCs w:val="22"/>
        </w:rPr>
        <w:t>por lo que la información solicitada, se relaciona con dos leyes del Sistema de Seguridad Pública</w:t>
      </w:r>
      <w:r w:rsidR="00F824A6" w:rsidRPr="00535C16">
        <w:rPr>
          <w:rFonts w:ascii="Palatino Linotype" w:hAnsi="Palatino Linotype" w:cs="Tahoma"/>
          <w:sz w:val="22"/>
          <w:szCs w:val="22"/>
        </w:rPr>
        <w:t>; tras las reformas de 2025, la antigua Ley General del Sistema Nacional de Seguridad fue abrogada y sustituida por una nueva Ley General del Sistema Nacional de Seguridad Pública que entró en vigor el 16 de julio de 2025 y abroga expresamente la anterior publicada en 2009</w:t>
      </w:r>
      <w:r w:rsidR="00EA56C8" w:rsidRPr="00535C16">
        <w:rPr>
          <w:rFonts w:ascii="Palatino Linotype" w:hAnsi="Palatino Linotype" w:cs="Tahoma"/>
          <w:sz w:val="22"/>
          <w:szCs w:val="22"/>
        </w:rPr>
        <w:t xml:space="preserve"> </w:t>
      </w:r>
      <w:r w:rsidR="00CD4D70" w:rsidRPr="00535C16">
        <w:rPr>
          <w:rFonts w:ascii="Palatino Linotype" w:hAnsi="Palatino Linotype" w:cs="Tahoma"/>
          <w:sz w:val="22"/>
          <w:szCs w:val="22"/>
        </w:rPr>
        <w:t xml:space="preserve"> y uno de los cambios sustanciales Pública  es la regulación expresa, del informe policial homologado (IPH) que en la antigua ley venía regulado en su artículo 43 y en la actual, lo remite a los Lineamientos</w:t>
      </w:r>
      <w:r w:rsidR="00F63272" w:rsidRPr="00535C16">
        <w:rPr>
          <w:rFonts w:ascii="Palatino Linotype" w:hAnsi="Palatino Linotype" w:cs="Tahoma"/>
          <w:sz w:val="22"/>
          <w:szCs w:val="22"/>
        </w:rPr>
        <w:t xml:space="preserve">. Asimismo, se reproducen </w:t>
      </w:r>
      <w:r w:rsidRPr="00535C16">
        <w:rPr>
          <w:rFonts w:ascii="Palatino Linotype" w:hAnsi="Palatino Linotype" w:cs="Tahoma"/>
          <w:sz w:val="22"/>
          <w:szCs w:val="22"/>
        </w:rPr>
        <w:t xml:space="preserve">los </w:t>
      </w:r>
      <w:r w:rsidR="00F63272" w:rsidRPr="00535C16">
        <w:rPr>
          <w:rFonts w:ascii="Palatino Linotype" w:hAnsi="Palatino Linotype" w:cs="Tahoma"/>
          <w:sz w:val="22"/>
          <w:szCs w:val="22"/>
        </w:rPr>
        <w:t>artículos</w:t>
      </w:r>
      <w:r w:rsidRPr="00535C16">
        <w:rPr>
          <w:rFonts w:ascii="Palatino Linotype" w:hAnsi="Palatino Linotype" w:cs="Tahoma"/>
          <w:sz w:val="22"/>
          <w:szCs w:val="22"/>
        </w:rPr>
        <w:t xml:space="preserve"> 125, fracción VIII y 142 de la Ley Orgánica Municipal del Estado de México; disposiciones legales que disponen a la literalidad lo siguiente:</w:t>
      </w:r>
    </w:p>
    <w:p w14:paraId="3D040603" w14:textId="77777777" w:rsidR="00A50671" w:rsidRPr="00535C16" w:rsidRDefault="00A50671" w:rsidP="00263E7D">
      <w:pPr>
        <w:spacing w:line="360" w:lineRule="auto"/>
        <w:ind w:right="-93"/>
        <w:jc w:val="both"/>
        <w:rPr>
          <w:rFonts w:ascii="Palatino Linotype" w:hAnsi="Palatino Linotype" w:cs="Tahoma"/>
          <w:sz w:val="22"/>
          <w:szCs w:val="22"/>
        </w:rPr>
      </w:pPr>
    </w:p>
    <w:p w14:paraId="3D2DCFB3" w14:textId="1F53D6B7" w:rsidR="00F5718D" w:rsidRPr="00535C16" w:rsidRDefault="00F5718D" w:rsidP="00F5718D">
      <w:pPr>
        <w:spacing w:line="360" w:lineRule="auto"/>
        <w:ind w:left="567" w:right="567"/>
        <w:jc w:val="both"/>
        <w:rPr>
          <w:rFonts w:ascii="Palatino Linotype" w:hAnsi="Palatino Linotype" w:cs="Tahoma"/>
          <w:i/>
          <w:iCs/>
        </w:rPr>
      </w:pPr>
      <w:r w:rsidRPr="00535C16">
        <w:rPr>
          <w:rFonts w:ascii="Palatino Linotype" w:hAnsi="Palatino Linotype" w:cs="Tahoma"/>
          <w:i/>
          <w:iCs/>
        </w:rPr>
        <w:t>Ley General del Sistema Nacional de Seguridad Pública</w:t>
      </w:r>
      <w:r w:rsidR="00F63272" w:rsidRPr="00535C16">
        <w:rPr>
          <w:rFonts w:ascii="Palatino Linotype" w:hAnsi="Palatino Linotype" w:cs="Tahoma"/>
          <w:i/>
          <w:iCs/>
        </w:rPr>
        <w:t xml:space="preserve"> (vigente)</w:t>
      </w:r>
    </w:p>
    <w:p w14:paraId="426273F4" w14:textId="09374624" w:rsidR="00A50671" w:rsidRPr="00535C16" w:rsidRDefault="00A50671"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Artículo 10. Corresponde a la Federación, las entidades federativas y los municipios, en el ámbito de sus respectivas competencias:</w:t>
      </w:r>
    </w:p>
    <w:p w14:paraId="6F7E6561" w14:textId="70DCC9DC" w:rsidR="00A50671" w:rsidRPr="00535C16" w:rsidRDefault="00A50671"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w:t>
      </w:r>
    </w:p>
    <w:p w14:paraId="5FDB22D2" w14:textId="24460279" w:rsidR="00A50671" w:rsidRPr="00535C16" w:rsidRDefault="00765A0E"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II. Contribuir a la efectiva coordinación del Sistema;</w:t>
      </w:r>
    </w:p>
    <w:p w14:paraId="6A783096" w14:textId="7E1F52C0" w:rsidR="00765A0E" w:rsidRPr="00535C16" w:rsidRDefault="00765A0E"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w:t>
      </w:r>
    </w:p>
    <w:p w14:paraId="302867F3" w14:textId="0B751225" w:rsidR="004527DB" w:rsidRPr="00535C16" w:rsidRDefault="004527DB"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X. Integrar y consultar la información relativa a la operación y desarrollo policial para el registro y seguimiento en el Sistema Nacional de Información;</w:t>
      </w:r>
    </w:p>
    <w:p w14:paraId="1426230A" w14:textId="7ECF96E4" w:rsidR="004527DB" w:rsidRPr="00535C16" w:rsidRDefault="004527DB"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w:t>
      </w:r>
    </w:p>
    <w:p w14:paraId="020C7DDF" w14:textId="288A771F" w:rsidR="00A0773C" w:rsidRPr="00535C16" w:rsidRDefault="00A0773C" w:rsidP="00477A6C">
      <w:pPr>
        <w:spacing w:line="360" w:lineRule="auto"/>
        <w:ind w:left="567" w:right="567"/>
        <w:jc w:val="both"/>
        <w:rPr>
          <w:rFonts w:ascii="Palatino Linotype" w:hAnsi="Palatino Linotype" w:cs="Tahoma"/>
          <w:i/>
          <w:iCs/>
        </w:rPr>
      </w:pPr>
    </w:p>
    <w:p w14:paraId="7A40C3A4" w14:textId="77777777" w:rsidR="00A0773C" w:rsidRPr="00535C16" w:rsidRDefault="00A0773C" w:rsidP="00477A6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56CC3CE2" w14:textId="77777777" w:rsidR="00A0773C" w:rsidRPr="00535C16" w:rsidRDefault="00A0773C" w:rsidP="00477A6C">
      <w:pPr>
        <w:spacing w:line="360" w:lineRule="auto"/>
        <w:ind w:left="567" w:right="567"/>
        <w:jc w:val="both"/>
        <w:rPr>
          <w:rFonts w:ascii="Palatino Linotype" w:hAnsi="Palatino Linotype" w:cs="Tahoma"/>
          <w:i/>
          <w:iCs/>
        </w:rPr>
      </w:pPr>
    </w:p>
    <w:p w14:paraId="189CC6F2" w14:textId="77777777" w:rsidR="00A0773C" w:rsidRPr="00535C16" w:rsidRDefault="00A0773C" w:rsidP="00477A6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0C47F9D5" w14:textId="77777777" w:rsidR="00A0773C" w:rsidRPr="00535C16" w:rsidRDefault="00A0773C" w:rsidP="00477A6C">
      <w:pPr>
        <w:spacing w:line="360" w:lineRule="auto"/>
        <w:ind w:left="567" w:right="567"/>
        <w:jc w:val="both"/>
        <w:rPr>
          <w:rFonts w:ascii="Palatino Linotype" w:hAnsi="Palatino Linotype" w:cs="Tahoma"/>
          <w:i/>
          <w:iCs/>
        </w:rPr>
      </w:pPr>
    </w:p>
    <w:p w14:paraId="1E9593BB" w14:textId="5188E863" w:rsidR="00A0773C" w:rsidRPr="00535C16" w:rsidRDefault="00A0773C" w:rsidP="00477A6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25F2C42D" w14:textId="77777777" w:rsidR="00A0773C" w:rsidRPr="00535C16" w:rsidRDefault="00A0773C" w:rsidP="00477A6C">
      <w:pPr>
        <w:spacing w:line="360" w:lineRule="auto"/>
        <w:ind w:left="567" w:right="567"/>
        <w:jc w:val="both"/>
        <w:rPr>
          <w:rFonts w:ascii="Palatino Linotype" w:hAnsi="Palatino Linotype" w:cs="Tahoma"/>
          <w:i/>
          <w:iCs/>
        </w:rPr>
      </w:pPr>
    </w:p>
    <w:p w14:paraId="67779A18" w14:textId="6B513889" w:rsidR="00A0773C" w:rsidRPr="00535C16" w:rsidRDefault="00A0773C" w:rsidP="00477A6C">
      <w:pPr>
        <w:spacing w:line="360" w:lineRule="auto"/>
        <w:ind w:left="567" w:right="567"/>
        <w:jc w:val="both"/>
        <w:rPr>
          <w:rFonts w:ascii="Palatino Linotype" w:hAnsi="Palatino Linotype" w:cs="Tahoma"/>
          <w:i/>
          <w:iCs/>
        </w:rPr>
      </w:pPr>
      <w:r w:rsidRPr="00535C16">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5D37D2E3" w14:textId="77777777" w:rsidR="00D60655" w:rsidRPr="00535C16" w:rsidRDefault="00D60655" w:rsidP="00477A6C">
      <w:pPr>
        <w:spacing w:line="360" w:lineRule="auto"/>
        <w:ind w:left="567" w:right="567"/>
        <w:jc w:val="both"/>
        <w:rPr>
          <w:rFonts w:ascii="Palatino Linotype" w:hAnsi="Palatino Linotype" w:cs="Tahoma"/>
          <w:i/>
          <w:iCs/>
        </w:rPr>
      </w:pPr>
    </w:p>
    <w:p w14:paraId="479C572E" w14:textId="77777777"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Ley Orgánica Municipal del Estado de México</w:t>
      </w:r>
    </w:p>
    <w:p w14:paraId="7EDA413F" w14:textId="7ABE4820"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Artículo 125.- Los municipios tendrán a su cargo la prestación, explotación, administración y</w:t>
      </w:r>
      <w:r w:rsidR="00B15A26" w:rsidRPr="00535C16">
        <w:rPr>
          <w:rFonts w:ascii="Palatino Linotype" w:hAnsi="Palatino Linotype" w:cs="Tahoma"/>
          <w:i/>
          <w:iCs/>
        </w:rPr>
        <w:t xml:space="preserve"> </w:t>
      </w:r>
      <w:r w:rsidRPr="00535C16">
        <w:rPr>
          <w:rFonts w:ascii="Palatino Linotype" w:hAnsi="Palatino Linotype" w:cs="Tahoma"/>
          <w:i/>
          <w:iCs/>
        </w:rPr>
        <w:t>conservación de los servicios públicos municipales, considerándose enunciativa y no</w:t>
      </w:r>
      <w:r w:rsidR="00B15A26" w:rsidRPr="00535C16">
        <w:rPr>
          <w:rFonts w:ascii="Palatino Linotype" w:hAnsi="Palatino Linotype" w:cs="Tahoma"/>
          <w:i/>
          <w:iCs/>
        </w:rPr>
        <w:t xml:space="preserve"> </w:t>
      </w:r>
      <w:r w:rsidRPr="00535C16">
        <w:rPr>
          <w:rFonts w:ascii="Palatino Linotype" w:hAnsi="Palatino Linotype" w:cs="Tahoma"/>
          <w:i/>
          <w:iCs/>
        </w:rPr>
        <w:t>limitativamente, los siguientes:</w:t>
      </w:r>
    </w:p>
    <w:p w14:paraId="1605FA03" w14:textId="77777777"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I a VII…</w:t>
      </w:r>
    </w:p>
    <w:p w14:paraId="7E54FCC2" w14:textId="77777777"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VIII. Seguridad pública y tránsito;</w:t>
      </w:r>
    </w:p>
    <w:p w14:paraId="1D719D1C" w14:textId="77777777"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IX a XI…</w:t>
      </w:r>
    </w:p>
    <w:p w14:paraId="2AA4EDC0" w14:textId="77777777" w:rsidR="00D60655" w:rsidRPr="00535C16" w:rsidRDefault="00D60655" w:rsidP="00D60655">
      <w:pPr>
        <w:spacing w:line="360" w:lineRule="auto"/>
        <w:ind w:left="567" w:right="567"/>
        <w:jc w:val="both"/>
        <w:rPr>
          <w:rFonts w:ascii="Palatino Linotype" w:hAnsi="Palatino Linotype" w:cs="Tahoma"/>
          <w:i/>
          <w:iCs/>
        </w:rPr>
      </w:pPr>
    </w:p>
    <w:p w14:paraId="3535D5CB" w14:textId="0999494F"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Artículo 142.- Las funciones de seguridad pública del municipio en su respectivo ámbito de</w:t>
      </w:r>
      <w:r w:rsidR="00B15A26" w:rsidRPr="00535C16">
        <w:rPr>
          <w:rFonts w:ascii="Palatino Linotype" w:hAnsi="Palatino Linotype" w:cs="Tahoma"/>
          <w:i/>
          <w:iCs/>
        </w:rPr>
        <w:t xml:space="preserve"> </w:t>
      </w:r>
      <w:r w:rsidRPr="00535C16">
        <w:rPr>
          <w:rFonts w:ascii="Palatino Linotype" w:hAnsi="Palatino Linotype" w:cs="Tahoma"/>
          <w:i/>
          <w:iCs/>
        </w:rPr>
        <w:t>competencia, estarán a cargo de un Director de Seguridad Pública Municipal o su equivalente, el</w:t>
      </w:r>
      <w:r w:rsidR="00B15A26" w:rsidRPr="00535C16">
        <w:rPr>
          <w:rFonts w:ascii="Palatino Linotype" w:hAnsi="Palatino Linotype" w:cs="Tahoma"/>
          <w:i/>
          <w:iCs/>
        </w:rPr>
        <w:t xml:space="preserve"> </w:t>
      </w:r>
      <w:r w:rsidRPr="00535C16">
        <w:rPr>
          <w:rFonts w:ascii="Palatino Linotype" w:hAnsi="Palatino Linotype" w:cs="Tahoma"/>
          <w:i/>
          <w:iCs/>
        </w:rPr>
        <w:t>cual deberá ser nombrado en los términos y requisitos establecidos en la Ley de Seguridad del Estado</w:t>
      </w:r>
      <w:r w:rsidR="00B15A26" w:rsidRPr="00535C16">
        <w:rPr>
          <w:rFonts w:ascii="Palatino Linotype" w:hAnsi="Palatino Linotype" w:cs="Tahoma"/>
          <w:i/>
          <w:iCs/>
        </w:rPr>
        <w:t xml:space="preserve"> </w:t>
      </w:r>
      <w:r w:rsidRPr="00535C16">
        <w:rPr>
          <w:rFonts w:ascii="Palatino Linotype" w:hAnsi="Palatino Linotype" w:cs="Tahoma"/>
          <w:i/>
          <w:iCs/>
        </w:rPr>
        <w:t>de México.</w:t>
      </w:r>
    </w:p>
    <w:p w14:paraId="425A274A" w14:textId="77777777" w:rsidR="00B15A26" w:rsidRPr="00535C16" w:rsidRDefault="00B15A26" w:rsidP="00D60655">
      <w:pPr>
        <w:spacing w:line="360" w:lineRule="auto"/>
        <w:ind w:left="567" w:right="567"/>
        <w:jc w:val="both"/>
        <w:rPr>
          <w:rFonts w:ascii="Palatino Linotype" w:hAnsi="Palatino Linotype" w:cs="Tahoma"/>
          <w:i/>
          <w:iCs/>
        </w:rPr>
      </w:pPr>
    </w:p>
    <w:p w14:paraId="08E1FC9E" w14:textId="3DF46A2A" w:rsidR="00D60655" w:rsidRPr="00535C16" w:rsidRDefault="00D60655" w:rsidP="00D60655">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 En cada municipio se deberán integrar cuerpos de seguridad pública, de bomberos y, en su caso, de</w:t>
      </w:r>
      <w:r w:rsidR="00B15A26" w:rsidRPr="00535C16">
        <w:rPr>
          <w:rFonts w:ascii="Palatino Linotype" w:hAnsi="Palatino Linotype" w:cs="Tahoma"/>
          <w:i/>
          <w:iCs/>
        </w:rPr>
        <w:t xml:space="preserve"> </w:t>
      </w:r>
      <w:r w:rsidRPr="00535C16">
        <w:rPr>
          <w:rFonts w:ascii="Palatino Linotype" w:hAnsi="Palatino Linotype" w:cs="Tahoma"/>
          <w:i/>
          <w:iCs/>
        </w:rPr>
        <w:t>tránsito, estos servidores públicos preferentemente serán vecinos del municipio, de los cuales el</w:t>
      </w:r>
      <w:r w:rsidR="00B15A26" w:rsidRPr="00535C16">
        <w:rPr>
          <w:rFonts w:ascii="Palatino Linotype" w:hAnsi="Palatino Linotype" w:cs="Tahoma"/>
          <w:i/>
          <w:iCs/>
        </w:rPr>
        <w:t xml:space="preserve"> </w:t>
      </w:r>
      <w:r w:rsidRPr="00535C16">
        <w:rPr>
          <w:rFonts w:ascii="Palatino Linotype" w:hAnsi="Palatino Linotype" w:cs="Tahoma"/>
          <w:i/>
          <w:iCs/>
        </w:rPr>
        <w:t>presidente municipal será el jefe inmediato” [Sic]</w:t>
      </w:r>
    </w:p>
    <w:p w14:paraId="5623D8CD" w14:textId="77777777" w:rsidR="00B93D02" w:rsidRPr="00535C16" w:rsidRDefault="00B93D02" w:rsidP="00B93D02">
      <w:pPr>
        <w:spacing w:line="360" w:lineRule="auto"/>
        <w:ind w:left="567" w:right="567"/>
        <w:jc w:val="both"/>
        <w:rPr>
          <w:rFonts w:ascii="Palatino Linotype" w:hAnsi="Palatino Linotype" w:cs="Tahoma"/>
          <w:i/>
          <w:iCs/>
        </w:rPr>
      </w:pPr>
    </w:p>
    <w:p w14:paraId="5268B1E4" w14:textId="1E8BCDEC" w:rsidR="00453EFC" w:rsidRPr="00535C16" w:rsidRDefault="00D409C1"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LINEAMIENTOS PARA EL LLENADO, ENTREGA, RECEPCIÓN, REGISTRO, RESGUARDO Y CONSULTA DEL INFORME POLICIAL HOMOLOGADO</w:t>
      </w:r>
      <w:r w:rsidR="001F4DD2" w:rsidRPr="00535C16">
        <w:rPr>
          <w:rFonts w:ascii="Palatino Linotype" w:hAnsi="Palatino Linotype" w:cs="Tahoma"/>
        </w:rPr>
        <w:t xml:space="preserve"> (publicado en el DOF el 24 de febrero de 2020).</w:t>
      </w:r>
    </w:p>
    <w:p w14:paraId="7597D81B" w14:textId="4E6E1F3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0C643389"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El IPH para hechos probablemente delictivos contendrá al menos los siguientes datos: </w:t>
      </w:r>
    </w:p>
    <w:p w14:paraId="27884DB0"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 El Número de Referencia o el Número de folio asignado; </w:t>
      </w:r>
    </w:p>
    <w:p w14:paraId="68C5D082"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II. Los datos del o los integrantes de la institución policial que lo emite; </w:t>
      </w:r>
    </w:p>
    <w:p w14:paraId="4393E916"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III. Los datos de la autoridad competente que lo recibe; </w:t>
      </w:r>
    </w:p>
    <w:p w14:paraId="6C817823"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IV. Los datos generales de la intervención o actuación; </w:t>
      </w:r>
    </w:p>
    <w:p w14:paraId="7446D27F"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V. El motivo de la intervención o actuación; </w:t>
      </w:r>
    </w:p>
    <w:p w14:paraId="7766DE62" w14:textId="77777777" w:rsidR="00876088" w:rsidRPr="00535C16" w:rsidRDefault="00453EFC" w:rsidP="00453EFC">
      <w:pPr>
        <w:spacing w:line="360" w:lineRule="auto"/>
        <w:ind w:left="567" w:right="567"/>
        <w:jc w:val="both"/>
        <w:rPr>
          <w:rFonts w:ascii="Palatino Linotype" w:hAnsi="Palatino Linotype" w:cs="Tahoma"/>
          <w:b/>
          <w:bCs/>
          <w:i/>
          <w:iCs/>
        </w:rPr>
      </w:pPr>
      <w:r w:rsidRPr="00535C16">
        <w:rPr>
          <w:rFonts w:ascii="Palatino Linotype" w:hAnsi="Palatino Linotype" w:cs="Tahoma"/>
          <w:b/>
          <w:bCs/>
          <w:i/>
          <w:iCs/>
        </w:rPr>
        <w:t xml:space="preserve">VI. La ubicación del o los lugares de la intervención o actuación; </w:t>
      </w:r>
    </w:p>
    <w:p w14:paraId="645A2C18"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14:paraId="16862520" w14:textId="77777777" w:rsidR="00876088" w:rsidRPr="00535C16" w:rsidRDefault="00453EFC"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VIII. En caso de personas detenidas:</w:t>
      </w:r>
      <w:r w:rsidR="00DF0C30" w:rsidRPr="00535C16">
        <w:rPr>
          <w:rFonts w:ascii="Palatino Linotype" w:hAnsi="Palatino Linotype" w:cs="Tahoma"/>
          <w:i/>
          <w:iCs/>
        </w:rPr>
        <w:t xml:space="preserve"> </w:t>
      </w:r>
    </w:p>
    <w:p w14:paraId="60FA784D" w14:textId="77777777" w:rsidR="00876088"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a) El Número del Registro Nacional de Detenciones; </w:t>
      </w:r>
    </w:p>
    <w:p w14:paraId="2AAD6F4B" w14:textId="77777777" w:rsidR="0095077E"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b) Los motivos de la detención; </w:t>
      </w:r>
    </w:p>
    <w:p w14:paraId="1473C928" w14:textId="77777777" w:rsidR="00207F15"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c) Los datos generales de la persona; </w:t>
      </w:r>
    </w:p>
    <w:p w14:paraId="38411D05" w14:textId="77777777" w:rsidR="00207F15"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d) La descripción de la persona, incluyendo su estado físico aparente; </w:t>
      </w:r>
    </w:p>
    <w:p w14:paraId="544F98F6" w14:textId="77777777" w:rsidR="00207F15"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 Las armas de fuego y/o los objetos que le fueron recolectados y/o asegurados, y </w:t>
      </w:r>
    </w:p>
    <w:p w14:paraId="3C2F887A" w14:textId="77777777" w:rsidR="00207F15"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f) El lugar al que es puesta a disposición la persona; </w:t>
      </w:r>
    </w:p>
    <w:p w14:paraId="6A68018B"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0F77AFE4"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X. En caso de inspección de vehículo, los datos generales sobre sus características; </w:t>
      </w:r>
    </w:p>
    <w:p w14:paraId="05076EF0"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XI. En caso de recolección y/o aseguramiento de armas de fuego u objetos, los datos generales sobre sus características y apariencias; </w:t>
      </w:r>
    </w:p>
    <w:p w14:paraId="3820D427"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XII. En caso de preservar el lugar de la intervención o actuación, los datos generales sobre su entrega-recepción, y </w:t>
      </w:r>
    </w:p>
    <w:p w14:paraId="054B958D"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XIII. En caso de entrevistas, los datos generales de la persona entrevistada y el relato de la misma. </w:t>
      </w:r>
    </w:p>
    <w:p w14:paraId="2F8E936B" w14:textId="0BBA4DE9"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El IPH para infracciones administrativas contendrá al menos los siguientes datos: </w:t>
      </w:r>
    </w:p>
    <w:p w14:paraId="1C1A6783"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 El Número de Referencia o el Número de folio asignado; </w:t>
      </w:r>
    </w:p>
    <w:p w14:paraId="71143342"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II. Los datos del o los integrantes de la institución policial que lo emite; </w:t>
      </w:r>
    </w:p>
    <w:p w14:paraId="13EE416E"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III. Los datos de la autoridad competente que lo recibe; </w:t>
      </w:r>
    </w:p>
    <w:p w14:paraId="58BC2873"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IV. Los datos generales de la intervención o actuación; </w:t>
      </w:r>
    </w:p>
    <w:p w14:paraId="589BF1C5"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V. El motivo de la intervención o actuación; </w:t>
      </w:r>
    </w:p>
    <w:p w14:paraId="463A407B"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VI. La ubicación del o los lugares de la intervención o actuación; VII. La descripción de hechos, que deberá detallar modo, tiempo y lugar, entre otros datos. Así como, justificar razonablemente el control provisional preventivo y/o los niveles de contacto; </w:t>
      </w:r>
    </w:p>
    <w:p w14:paraId="7C672E2A" w14:textId="77777777" w:rsidR="00F55070"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VIII. En caso de personas arrestadas: </w:t>
      </w:r>
    </w:p>
    <w:p w14:paraId="0E7165B5"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a) El Número del Registro Nacional de Detenciones; </w:t>
      </w:r>
    </w:p>
    <w:p w14:paraId="4B813CB8"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b) Los motivos de la detención; </w:t>
      </w:r>
    </w:p>
    <w:p w14:paraId="6CB6D95C"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c) Los datos generales de la persona; </w:t>
      </w:r>
    </w:p>
    <w:p w14:paraId="2AC97C7F"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d) La descripción de la persona, incluyendo su estado físico aparente, y </w:t>
      </w:r>
    </w:p>
    <w:p w14:paraId="0C2815CD"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 El lugar en el que es puesta a disposición la persona, y </w:t>
      </w:r>
    </w:p>
    <w:p w14:paraId="38FB01A6"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IX. En caso de involucramiento de vehículo, los datos generales sobre sus características. </w:t>
      </w:r>
    </w:p>
    <w:p w14:paraId="5D78B502" w14:textId="77777777" w:rsidR="004E72AA"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3FF50655" w14:textId="107B18F2" w:rsidR="00453EFC" w:rsidRPr="00535C16" w:rsidRDefault="00DF0C30" w:rsidP="00453EFC">
      <w:pPr>
        <w:spacing w:line="360" w:lineRule="auto"/>
        <w:ind w:left="567" w:right="567"/>
        <w:jc w:val="both"/>
        <w:rPr>
          <w:rFonts w:ascii="Palatino Linotype" w:hAnsi="Palatino Linotype" w:cs="Tahoma"/>
          <w:i/>
          <w:iCs/>
        </w:rPr>
      </w:pPr>
      <w:r w:rsidRPr="00535C16">
        <w:rPr>
          <w:rFonts w:ascii="Palatino Linotype" w:hAnsi="Palatino Linotype" w:cs="Tahoma"/>
          <w:i/>
          <w:iCs/>
        </w:rPr>
        <w:t>No se exigirá la totalidad del llenado y entrega de los Anexos cuando el caso no lo amerite.</w:t>
      </w:r>
    </w:p>
    <w:p w14:paraId="63E1AB74" w14:textId="77777777" w:rsidR="00453EFC" w:rsidRPr="00535C16" w:rsidRDefault="00453EFC" w:rsidP="00453EFC">
      <w:pPr>
        <w:spacing w:line="360" w:lineRule="auto"/>
        <w:ind w:left="567" w:right="567"/>
        <w:jc w:val="both"/>
        <w:rPr>
          <w:rFonts w:ascii="Palatino Linotype" w:hAnsi="Palatino Linotype" w:cs="Tahoma"/>
          <w:i/>
          <w:iCs/>
        </w:rPr>
      </w:pPr>
    </w:p>
    <w:p w14:paraId="5859412B" w14:textId="7DA6D30E" w:rsidR="00E827DF" w:rsidRPr="00535C16" w:rsidRDefault="00885CD1" w:rsidP="00885CD1">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 xml:space="preserve">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w:t>
      </w:r>
      <w:r w:rsidR="00E827DF" w:rsidRPr="00535C16">
        <w:rPr>
          <w:rFonts w:ascii="Palatino Linotype" w:hAnsi="Palatino Linotype" w:cs="Tahoma"/>
          <w:sz w:val="22"/>
          <w:szCs w:val="22"/>
        </w:rPr>
        <w:t xml:space="preserve">Incluso, la respuesta del Sujeto </w:t>
      </w:r>
      <w:r w:rsidR="00D353B1" w:rsidRPr="00535C16">
        <w:rPr>
          <w:rFonts w:ascii="Palatino Linotype" w:hAnsi="Palatino Linotype" w:cs="Tahoma"/>
          <w:sz w:val="22"/>
          <w:szCs w:val="22"/>
        </w:rPr>
        <w:t>Obligado</w:t>
      </w:r>
      <w:r w:rsidR="00E827DF" w:rsidRPr="00535C16">
        <w:rPr>
          <w:rFonts w:ascii="Palatino Linotype" w:hAnsi="Palatino Linotype" w:cs="Tahoma"/>
          <w:sz w:val="22"/>
          <w:szCs w:val="22"/>
        </w:rPr>
        <w:t xml:space="preserve"> no radica en negar las atribuciones para contar con la misma, sino en dirigir al Solicitante a acceder a la información que obra en poder del </w:t>
      </w:r>
      <w:r w:rsidR="002E6C8E" w:rsidRPr="00535C16">
        <w:rPr>
          <w:rFonts w:ascii="Palatino Linotype" w:hAnsi="Palatino Linotype" w:cs="Tahoma"/>
          <w:sz w:val="22"/>
          <w:szCs w:val="22"/>
        </w:rPr>
        <w:t>Secretariado Ejecutivo del Sistema Nacional de Seguridad Pública, lo que es contrario a lo solicitado por el Particular.</w:t>
      </w:r>
    </w:p>
    <w:p w14:paraId="5E5A550E" w14:textId="77777777" w:rsidR="00E827DF" w:rsidRPr="00535C16" w:rsidRDefault="00E827DF" w:rsidP="00885CD1">
      <w:pPr>
        <w:spacing w:line="360" w:lineRule="auto"/>
        <w:ind w:right="-93"/>
        <w:jc w:val="both"/>
        <w:rPr>
          <w:rFonts w:ascii="Palatino Linotype" w:hAnsi="Palatino Linotype" w:cs="Tahoma"/>
          <w:sz w:val="22"/>
          <w:szCs w:val="22"/>
        </w:rPr>
      </w:pPr>
    </w:p>
    <w:p w14:paraId="2D8001D1" w14:textId="7A4DBDBA" w:rsidR="00885CD1" w:rsidRPr="00535C16" w:rsidRDefault="00885CD1" w:rsidP="00885CD1">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Así las cosas, de la información requerida</w:t>
      </w:r>
      <w:r w:rsidR="008F6C65" w:rsidRPr="00535C16">
        <w:rPr>
          <w:rFonts w:ascii="Palatino Linotype" w:hAnsi="Palatino Linotype" w:cs="Tahoma"/>
          <w:sz w:val="22"/>
          <w:szCs w:val="22"/>
        </w:rPr>
        <w:t>,</w:t>
      </w:r>
      <w:r w:rsidRPr="00535C16">
        <w:rPr>
          <w:rFonts w:ascii="Palatino Linotype" w:hAnsi="Palatino Linotype" w:cs="Tahoma"/>
          <w:sz w:val="22"/>
          <w:szCs w:val="22"/>
        </w:rPr>
        <w:t xml:space="preserve"> </w:t>
      </w:r>
      <w:r w:rsidR="008F6C65" w:rsidRPr="00535C16">
        <w:rPr>
          <w:rFonts w:ascii="Palatino Linotype" w:hAnsi="Palatino Linotype" w:cs="Tahoma"/>
          <w:sz w:val="22"/>
          <w:szCs w:val="22"/>
        </w:rPr>
        <w:t>estriban</w:t>
      </w:r>
      <w:r w:rsidRPr="00535C16">
        <w:rPr>
          <w:rFonts w:ascii="Palatino Linotype" w:hAnsi="Palatino Linotype" w:cs="Tahoma"/>
          <w:sz w:val="22"/>
          <w:szCs w:val="22"/>
        </w:rPr>
        <w:t xml:space="preserve">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72971DAD" w14:textId="77777777" w:rsidR="00B15A26" w:rsidRPr="00535C16" w:rsidRDefault="00B15A26" w:rsidP="00885CD1">
      <w:pPr>
        <w:spacing w:line="360" w:lineRule="auto"/>
        <w:ind w:right="-93"/>
        <w:jc w:val="both"/>
        <w:rPr>
          <w:rFonts w:ascii="Palatino Linotype" w:hAnsi="Palatino Linotype" w:cs="Tahoma"/>
          <w:sz w:val="22"/>
          <w:szCs w:val="22"/>
        </w:rPr>
      </w:pPr>
    </w:p>
    <w:p w14:paraId="67F9456D" w14:textId="68F09DB0"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“Artículo 24. Para el cumplimiento de los objetivos de esta Ley, los sujetos obligados deberán cumplir con las siguientes obligaciones, según corresponda, de acuerdo a su naturaleza:</w:t>
      </w:r>
    </w:p>
    <w:p w14:paraId="60E944A2" w14:textId="77777777"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I a XI…</w:t>
      </w:r>
    </w:p>
    <w:p w14:paraId="0A148939" w14:textId="5728CE2B"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XII. Publicar y mantener actualizada la información relativa a las obligaciones generales de</w:t>
      </w:r>
      <w:r w:rsidR="00874B50" w:rsidRPr="00535C16">
        <w:rPr>
          <w:rFonts w:ascii="Palatino Linotype" w:hAnsi="Palatino Linotype" w:cs="Tahoma"/>
          <w:i/>
          <w:iCs/>
        </w:rPr>
        <w:t xml:space="preserve"> </w:t>
      </w:r>
      <w:r w:rsidRPr="00535C16">
        <w:rPr>
          <w:rFonts w:ascii="Palatino Linotype" w:hAnsi="Palatino Linotype" w:cs="Tahoma"/>
          <w:i/>
          <w:iCs/>
        </w:rPr>
        <w:t>transparencia previstas en la presente Ley o determinadas así por el Instituto, y en general aquella</w:t>
      </w:r>
      <w:r w:rsidR="00874B50" w:rsidRPr="00535C16">
        <w:rPr>
          <w:rFonts w:ascii="Palatino Linotype" w:hAnsi="Palatino Linotype" w:cs="Tahoma"/>
          <w:i/>
          <w:iCs/>
        </w:rPr>
        <w:t xml:space="preserve"> </w:t>
      </w:r>
      <w:r w:rsidRPr="00535C16">
        <w:rPr>
          <w:rFonts w:ascii="Palatino Linotype" w:hAnsi="Palatino Linotype" w:cs="Tahoma"/>
          <w:i/>
          <w:iCs/>
        </w:rPr>
        <w:t>que sea de interés público;</w:t>
      </w:r>
    </w:p>
    <w:p w14:paraId="50E0F6AB" w14:textId="77777777"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XIII a XXV…</w:t>
      </w:r>
    </w:p>
    <w:p w14:paraId="6163E957" w14:textId="77777777" w:rsidR="00B15A26" w:rsidRPr="00535C16" w:rsidRDefault="00B15A26" w:rsidP="00B15A26">
      <w:pPr>
        <w:spacing w:line="360" w:lineRule="auto"/>
        <w:ind w:left="567" w:right="567"/>
        <w:jc w:val="both"/>
        <w:rPr>
          <w:rFonts w:ascii="Palatino Linotype" w:hAnsi="Palatino Linotype" w:cs="Tahoma"/>
          <w:i/>
          <w:iCs/>
        </w:rPr>
      </w:pPr>
    </w:p>
    <w:p w14:paraId="5A3EC624" w14:textId="5B80F0A6"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Artículo 92. Los sujetos obligados deberán poner a disposición del público de manera permanente y</w:t>
      </w:r>
      <w:r w:rsidR="00874B50" w:rsidRPr="00535C16">
        <w:rPr>
          <w:rFonts w:ascii="Palatino Linotype" w:hAnsi="Palatino Linotype" w:cs="Tahoma"/>
          <w:i/>
          <w:iCs/>
        </w:rPr>
        <w:t xml:space="preserve"> </w:t>
      </w:r>
      <w:r w:rsidRPr="00535C16">
        <w:rPr>
          <w:rFonts w:ascii="Palatino Linotype" w:hAnsi="Palatino Linotype" w:cs="Tahoma"/>
          <w:i/>
          <w:iCs/>
        </w:rPr>
        <w:t>actualizada de forma sencilla, precisa y entendible, en los respectivos medios electrónicos, de acuerdo</w:t>
      </w:r>
      <w:r w:rsidR="00874B50" w:rsidRPr="00535C16">
        <w:rPr>
          <w:rFonts w:ascii="Palatino Linotype" w:hAnsi="Palatino Linotype" w:cs="Tahoma"/>
          <w:i/>
          <w:iCs/>
        </w:rPr>
        <w:t xml:space="preserve"> </w:t>
      </w:r>
      <w:r w:rsidRPr="00535C16">
        <w:rPr>
          <w:rFonts w:ascii="Palatino Linotype" w:hAnsi="Palatino Linotype" w:cs="Tahoma"/>
          <w:i/>
          <w:iCs/>
        </w:rPr>
        <w:t>con sus facultades, atribuciones, funciones u objeto social, según corresponda, la información, por</w:t>
      </w:r>
      <w:r w:rsidR="00874B50" w:rsidRPr="00535C16">
        <w:rPr>
          <w:rFonts w:ascii="Palatino Linotype" w:hAnsi="Palatino Linotype" w:cs="Tahoma"/>
          <w:i/>
          <w:iCs/>
        </w:rPr>
        <w:t xml:space="preserve"> </w:t>
      </w:r>
      <w:r w:rsidRPr="00535C16">
        <w:rPr>
          <w:rFonts w:ascii="Palatino Linotype" w:hAnsi="Palatino Linotype" w:cs="Tahoma"/>
          <w:i/>
          <w:iCs/>
        </w:rPr>
        <w:t>lo menos, de los temas, documentos y políticas que a continuación se señalan:</w:t>
      </w:r>
    </w:p>
    <w:p w14:paraId="35442E0B" w14:textId="77777777"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I a XXXIII…</w:t>
      </w:r>
    </w:p>
    <w:p w14:paraId="13A7231B" w14:textId="77777777"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XXXIV. Las estadísticas que generen en cumplimiento de sus facultades, competencias o funciones</w:t>
      </w:r>
    </w:p>
    <w:p w14:paraId="0DFA84C0" w14:textId="77777777"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con la mayor desagregación posible</w:t>
      </w:r>
    </w:p>
    <w:p w14:paraId="6BF0FC93" w14:textId="5EC3673B" w:rsidR="00B15A26" w:rsidRPr="00535C16" w:rsidRDefault="00B15A26" w:rsidP="00B15A26">
      <w:pPr>
        <w:spacing w:line="360" w:lineRule="auto"/>
        <w:ind w:left="567" w:right="567"/>
        <w:jc w:val="both"/>
        <w:rPr>
          <w:rFonts w:ascii="Palatino Linotype" w:hAnsi="Palatino Linotype" w:cs="Tahoma"/>
          <w:i/>
          <w:iCs/>
        </w:rPr>
      </w:pPr>
      <w:r w:rsidRPr="00535C16">
        <w:rPr>
          <w:rFonts w:ascii="Palatino Linotype" w:hAnsi="Palatino Linotype" w:cs="Tahoma"/>
          <w:i/>
          <w:iCs/>
        </w:rPr>
        <w:t>XXXV a LII…</w:t>
      </w:r>
    </w:p>
    <w:p w14:paraId="016874CC" w14:textId="77777777" w:rsidR="00885CD1" w:rsidRPr="00535C16" w:rsidRDefault="00885CD1" w:rsidP="000F51D3">
      <w:pPr>
        <w:spacing w:line="360" w:lineRule="auto"/>
        <w:ind w:right="-93"/>
        <w:jc w:val="both"/>
        <w:rPr>
          <w:rFonts w:ascii="Palatino Linotype" w:hAnsi="Palatino Linotype" w:cs="Tahoma"/>
          <w:i/>
          <w:iCs/>
          <w:sz w:val="22"/>
          <w:szCs w:val="22"/>
        </w:rPr>
      </w:pPr>
    </w:p>
    <w:p w14:paraId="09AB467B" w14:textId="18AD6B1B" w:rsidR="00C930F3" w:rsidRPr="00535C16" w:rsidRDefault="00C930F3" w:rsidP="00C930F3">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De forma complementaria, resulta de nuestro particular interés el criterio 008/2023 emitido</w:t>
      </w:r>
      <w:r w:rsidR="0055465E" w:rsidRPr="00535C16">
        <w:rPr>
          <w:rFonts w:ascii="Palatino Linotype" w:hAnsi="Palatino Linotype" w:cs="Tahoma"/>
          <w:sz w:val="22"/>
          <w:szCs w:val="22"/>
        </w:rPr>
        <w:t xml:space="preserve"> </w:t>
      </w:r>
      <w:r w:rsidRPr="00535C16">
        <w:rPr>
          <w:rFonts w:ascii="Palatino Linotype" w:hAnsi="Palatino Linotype" w:cs="Tahoma"/>
          <w:sz w:val="22"/>
          <w:szCs w:val="22"/>
        </w:rPr>
        <w:t>por el Instituto Nacional de Transparencia, Acceso a la Información y Protección de Datos</w:t>
      </w:r>
      <w:r w:rsidR="0055465E" w:rsidRPr="00535C16">
        <w:rPr>
          <w:rFonts w:ascii="Palatino Linotype" w:hAnsi="Palatino Linotype" w:cs="Tahoma"/>
          <w:sz w:val="22"/>
          <w:szCs w:val="22"/>
        </w:rPr>
        <w:t xml:space="preserve"> </w:t>
      </w:r>
      <w:r w:rsidRPr="00535C16">
        <w:rPr>
          <w:rFonts w:ascii="Palatino Linotype" w:hAnsi="Palatino Linotype" w:cs="Tahoma"/>
          <w:sz w:val="22"/>
          <w:szCs w:val="22"/>
        </w:rPr>
        <w:t>Personales, que a la letra dispone lo siguiente:</w:t>
      </w:r>
    </w:p>
    <w:p w14:paraId="3945739F" w14:textId="77777777" w:rsidR="00DE04DE" w:rsidRPr="00535C16" w:rsidRDefault="00DE04DE" w:rsidP="00C930F3">
      <w:pPr>
        <w:spacing w:line="360" w:lineRule="auto"/>
        <w:ind w:right="-93"/>
        <w:jc w:val="both"/>
        <w:rPr>
          <w:rFonts w:ascii="Palatino Linotype" w:hAnsi="Palatino Linotype" w:cs="Tahoma"/>
          <w:sz w:val="22"/>
          <w:szCs w:val="22"/>
        </w:rPr>
      </w:pPr>
    </w:p>
    <w:p w14:paraId="1A0CE9A8" w14:textId="184BBEB1" w:rsidR="00EE029E" w:rsidRPr="00535C16" w:rsidRDefault="00DE04DE" w:rsidP="00EE029E">
      <w:pPr>
        <w:spacing w:line="360" w:lineRule="auto"/>
        <w:ind w:left="567" w:right="567"/>
        <w:jc w:val="both"/>
        <w:rPr>
          <w:rFonts w:ascii="Palatino Linotype" w:hAnsi="Palatino Linotype" w:cs="Tahoma"/>
          <w:i/>
          <w:iCs/>
        </w:rPr>
      </w:pPr>
      <w:r w:rsidRPr="00535C16">
        <w:rPr>
          <w:rFonts w:ascii="Palatino Linotype" w:hAnsi="Palatino Linotype" w:cs="Tahoma"/>
          <w:b/>
          <w:bCs/>
          <w:i/>
          <w:iCs/>
        </w:rPr>
        <w:t>“Ejercicio del derecho de Acceso a la Información Pública. La información estadística es</w:t>
      </w:r>
      <w:r w:rsidR="00EE029E" w:rsidRPr="00535C16">
        <w:rPr>
          <w:rFonts w:ascii="Palatino Linotype" w:hAnsi="Palatino Linotype" w:cs="Tahoma"/>
          <w:b/>
          <w:bCs/>
          <w:i/>
          <w:iCs/>
        </w:rPr>
        <w:t xml:space="preserve"> </w:t>
      </w:r>
      <w:r w:rsidRPr="00535C16">
        <w:rPr>
          <w:rFonts w:ascii="Palatino Linotype" w:hAnsi="Palatino Linotype" w:cs="Tahoma"/>
          <w:b/>
          <w:bCs/>
          <w:i/>
          <w:iCs/>
        </w:rPr>
        <w:t>de naturaleza pública, independientemente de la materia con la que se encuentre vinculada.</w:t>
      </w:r>
      <w:r w:rsidR="00EE029E" w:rsidRPr="00535C16">
        <w:rPr>
          <w:rFonts w:ascii="Palatino Linotype" w:hAnsi="Palatino Linotype" w:cs="Tahoma"/>
          <w:i/>
          <w:iCs/>
        </w:rPr>
        <w:t xml:space="preserve"> </w:t>
      </w:r>
      <w:r w:rsidRPr="00535C16">
        <w:rPr>
          <w:rFonts w:ascii="Palatino Linotype" w:hAnsi="Palatino Linotype" w:cs="Tahoma"/>
          <w:i/>
          <w:iCs/>
        </w:rPr>
        <w:t>Considerando que la información estadística es el producto de un conjunto de resultados</w:t>
      </w:r>
      <w:r w:rsidR="00EE029E" w:rsidRPr="00535C16">
        <w:rPr>
          <w:rFonts w:ascii="Palatino Linotype" w:hAnsi="Palatino Linotype" w:cs="Tahoma"/>
          <w:i/>
          <w:iCs/>
        </w:rPr>
        <w:t xml:space="preserve"> </w:t>
      </w:r>
      <w:r w:rsidRPr="00535C16">
        <w:rPr>
          <w:rFonts w:ascii="Palatino Linotype" w:hAnsi="Palatino Linotype" w:cs="Tahoma"/>
          <w:i/>
          <w:iCs/>
        </w:rPr>
        <w:t>cuantitativos obtenidos de un proceso sistemático de captación de datos primarios obtenidos sobre</w:t>
      </w:r>
      <w:r w:rsidR="007774E4" w:rsidRPr="00535C16">
        <w:rPr>
          <w:rFonts w:ascii="Palatino Linotype" w:hAnsi="Palatino Linotype" w:cs="Tahoma"/>
          <w:i/>
          <w:iCs/>
        </w:rPr>
        <w:t xml:space="preserve"> </w:t>
      </w:r>
      <w:r w:rsidRPr="00535C16">
        <w:rPr>
          <w:rFonts w:ascii="Palatino Linotype" w:hAnsi="Palatino Linotype" w:cs="Tahoma"/>
          <w:i/>
          <w:iCs/>
        </w:rPr>
        <w:t>hechos que constan en documentos que los sujetos obligados poseen, derivado del ejercicio de sus</w:t>
      </w:r>
      <w:r w:rsidR="007774E4" w:rsidRPr="00535C16">
        <w:rPr>
          <w:rFonts w:ascii="Palatino Linotype" w:hAnsi="Palatino Linotype" w:cs="Tahoma"/>
          <w:i/>
          <w:iCs/>
        </w:rPr>
        <w:t xml:space="preserve"> </w:t>
      </w:r>
      <w:r w:rsidRPr="00535C16">
        <w:rPr>
          <w:rFonts w:ascii="Palatino Linotype" w:hAnsi="Palatino Linotype" w:cs="Tahoma"/>
          <w:i/>
          <w:iCs/>
        </w:rPr>
        <w:t>atribuciones; con base en lo dispuesto por el artículo 70 fracción XLVIII de la Ley General de</w:t>
      </w:r>
      <w:r w:rsidR="007774E4" w:rsidRPr="00535C16">
        <w:rPr>
          <w:rFonts w:ascii="Palatino Linotype" w:hAnsi="Palatino Linotype" w:cs="Tahoma"/>
          <w:i/>
          <w:iCs/>
        </w:rPr>
        <w:t xml:space="preserve"> </w:t>
      </w:r>
      <w:r w:rsidRPr="00535C16">
        <w:rPr>
          <w:rFonts w:ascii="Palatino Linotype" w:hAnsi="Palatino Linotype" w:cs="Tahoma"/>
          <w:i/>
          <w:iCs/>
        </w:rPr>
        <w:t>Transparencia y Acceso a la Información Pública, los sujetos obligados deberán poner a disposición</w:t>
      </w:r>
      <w:r w:rsidR="007774E4" w:rsidRPr="00535C16">
        <w:rPr>
          <w:rFonts w:ascii="Palatino Linotype" w:hAnsi="Palatino Linotype" w:cs="Tahoma"/>
          <w:i/>
          <w:iCs/>
        </w:rPr>
        <w:t xml:space="preserve"> </w:t>
      </w:r>
      <w:r w:rsidRPr="00535C16">
        <w:rPr>
          <w:rFonts w:ascii="Palatino Linotype" w:hAnsi="Palatino Linotype" w:cs="Tahoma"/>
          <w:i/>
          <w:iCs/>
        </w:rPr>
        <w:t>del público, entre otra, la relativa a la que con base en la información estadística, responda a las</w:t>
      </w:r>
      <w:r w:rsidR="007774E4" w:rsidRPr="00535C16">
        <w:rPr>
          <w:rFonts w:ascii="Palatino Linotype" w:hAnsi="Palatino Linotype" w:cs="Tahoma"/>
          <w:i/>
          <w:iCs/>
        </w:rPr>
        <w:t xml:space="preserve"> </w:t>
      </w:r>
      <w:r w:rsidR="00EE029E" w:rsidRPr="00535C16">
        <w:rPr>
          <w:rFonts w:ascii="Palatino Linotype" w:hAnsi="Palatino Linotype" w:cs="Tahoma"/>
          <w:i/>
          <w:iCs/>
        </w:rPr>
        <w:t>preguntas hechas con más frecuencia por el público, por lo que es posible afirmar que la información</w:t>
      </w:r>
      <w:r w:rsidR="007774E4" w:rsidRPr="00535C16">
        <w:rPr>
          <w:rFonts w:ascii="Palatino Linotype" w:hAnsi="Palatino Linotype" w:cs="Tahoma"/>
          <w:i/>
          <w:iCs/>
        </w:rPr>
        <w:t xml:space="preserve"> </w:t>
      </w:r>
      <w:r w:rsidR="00EE029E" w:rsidRPr="00535C16">
        <w:rPr>
          <w:rFonts w:ascii="Palatino Linotype" w:hAnsi="Palatino Linotype" w:cs="Tahoma"/>
          <w:i/>
          <w:iCs/>
        </w:rPr>
        <w:t>estadística es de naturaleza pública, siempre y cuando los datos estadísticos no se encuentren</w:t>
      </w:r>
      <w:r w:rsidR="007774E4" w:rsidRPr="00535C16">
        <w:rPr>
          <w:rFonts w:ascii="Palatino Linotype" w:hAnsi="Palatino Linotype" w:cs="Tahoma"/>
          <w:i/>
          <w:iCs/>
        </w:rPr>
        <w:t xml:space="preserve"> </w:t>
      </w:r>
      <w:r w:rsidR="00EE029E" w:rsidRPr="00535C16">
        <w:rPr>
          <w:rFonts w:ascii="Palatino Linotype" w:hAnsi="Palatino Linotype" w:cs="Tahoma"/>
          <w:i/>
          <w:iCs/>
        </w:rPr>
        <w:t>individualizados o personalizados a casos o situaciones específicas, que pudieran llegar a justificar</w:t>
      </w:r>
      <w:r w:rsidR="007774E4" w:rsidRPr="00535C16">
        <w:rPr>
          <w:rFonts w:ascii="Palatino Linotype" w:hAnsi="Palatino Linotype" w:cs="Tahoma"/>
          <w:i/>
          <w:iCs/>
        </w:rPr>
        <w:t xml:space="preserve"> </w:t>
      </w:r>
      <w:r w:rsidR="00EE029E" w:rsidRPr="00535C16">
        <w:rPr>
          <w:rFonts w:ascii="Palatino Linotype" w:hAnsi="Palatino Linotype" w:cs="Tahoma"/>
          <w:i/>
          <w:iCs/>
        </w:rPr>
        <w:t>su clasificación.</w:t>
      </w:r>
    </w:p>
    <w:p w14:paraId="7FDE158E" w14:textId="77777777" w:rsidR="00F50602" w:rsidRPr="00535C16" w:rsidRDefault="00F50602" w:rsidP="00EE029E">
      <w:pPr>
        <w:spacing w:line="360" w:lineRule="auto"/>
        <w:ind w:left="567" w:right="567"/>
        <w:jc w:val="both"/>
        <w:rPr>
          <w:rFonts w:ascii="Palatino Linotype" w:hAnsi="Palatino Linotype" w:cs="Tahoma"/>
          <w:i/>
          <w:iCs/>
        </w:rPr>
      </w:pPr>
    </w:p>
    <w:p w14:paraId="0FC104E5" w14:textId="70BAAAD5" w:rsidR="00F50602" w:rsidRPr="00535C16" w:rsidRDefault="00F50602" w:rsidP="00483346">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Con base en lo expuesto, se arriba a la conclusión de que la esfera competencial del Sujeto Obligado lo constriñe a generar, poseer y administrar la información requerida, por parte del</w:t>
      </w:r>
      <w:r w:rsidR="006B0943"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Particular, tan es así, </w:t>
      </w:r>
      <w:r w:rsidR="00510305" w:rsidRPr="00535C16">
        <w:rPr>
          <w:rFonts w:ascii="Palatino Linotype" w:hAnsi="Palatino Linotype" w:cs="Tahoma"/>
          <w:sz w:val="22"/>
          <w:szCs w:val="22"/>
        </w:rPr>
        <w:t>que aceptó contar con una parte de la información, mientras que sobre los años 2018 al 2021, refirió que la misma no obra en sus archivos</w:t>
      </w:r>
      <w:r w:rsidR="00483346" w:rsidRPr="00535C16">
        <w:rPr>
          <w:rFonts w:ascii="Palatino Linotype" w:hAnsi="Palatino Linotype" w:cs="Tahoma"/>
          <w:sz w:val="22"/>
          <w:szCs w:val="22"/>
        </w:rPr>
        <w:t>.</w:t>
      </w:r>
    </w:p>
    <w:p w14:paraId="44389EF8" w14:textId="77777777" w:rsidR="00510305" w:rsidRPr="00535C16" w:rsidRDefault="00510305" w:rsidP="00483346">
      <w:pPr>
        <w:spacing w:line="360" w:lineRule="auto"/>
        <w:ind w:right="-93"/>
        <w:jc w:val="both"/>
        <w:rPr>
          <w:rFonts w:ascii="Palatino Linotype" w:hAnsi="Palatino Linotype" w:cs="Tahoma"/>
          <w:sz w:val="22"/>
          <w:szCs w:val="22"/>
        </w:rPr>
      </w:pPr>
    </w:p>
    <w:p w14:paraId="2A345241" w14:textId="7AB1839D" w:rsidR="005B40B3" w:rsidRPr="00535C16" w:rsidRDefault="00510305" w:rsidP="005B40B3">
      <w:pPr>
        <w:spacing w:line="360" w:lineRule="auto"/>
        <w:ind w:right="-93"/>
        <w:jc w:val="both"/>
        <w:rPr>
          <w:rFonts w:ascii="Palatino Linotype" w:hAnsi="Palatino Linotype"/>
          <w:noProof/>
          <w:sz w:val="22"/>
          <w:szCs w:val="22"/>
          <w:lang w:eastAsia="es-MX"/>
        </w:rPr>
      </w:pPr>
      <w:r w:rsidRPr="00535C16">
        <w:rPr>
          <w:rFonts w:ascii="Palatino Linotype" w:hAnsi="Palatino Linotype" w:cs="Tahoma"/>
          <w:sz w:val="22"/>
          <w:szCs w:val="22"/>
        </w:rPr>
        <w:t>En este sentido</w:t>
      </w:r>
      <w:r w:rsidR="000564EC" w:rsidRPr="00535C16">
        <w:rPr>
          <w:rFonts w:ascii="Palatino Linotype" w:hAnsi="Palatino Linotype" w:cs="Tahoma"/>
          <w:sz w:val="22"/>
          <w:szCs w:val="22"/>
        </w:rPr>
        <w:t>, de las constancias digitales, debemos señalar la existencia de dos supuestos, el primero, radica en el periodo 2018-2021, sobre la cual el Sujeto Obligado se pronunció desde respuesta, refiriendo a que la información no obra en sus archivos</w:t>
      </w:r>
      <w:r w:rsidR="005B40B3" w:rsidRPr="00535C16">
        <w:rPr>
          <w:rFonts w:ascii="Palatino Linotype" w:hAnsi="Palatino Linotype" w:cs="Tahoma"/>
          <w:sz w:val="22"/>
          <w:szCs w:val="22"/>
        </w:rPr>
        <w:t xml:space="preserve"> y a través de informe justificado, declaró la inexistencia</w:t>
      </w:r>
      <w:r w:rsidR="000564EC" w:rsidRPr="00535C16">
        <w:rPr>
          <w:rFonts w:ascii="Palatino Linotype" w:hAnsi="Palatino Linotype" w:cs="Tahoma"/>
          <w:sz w:val="22"/>
          <w:szCs w:val="22"/>
        </w:rPr>
        <w:t>. El segundo supuesto, de la temporalidad 2022-2025</w:t>
      </w:r>
      <w:r w:rsidR="00163943" w:rsidRPr="00535C16">
        <w:rPr>
          <w:rFonts w:ascii="Palatino Linotype" w:hAnsi="Palatino Linotype" w:cs="Tahoma"/>
          <w:sz w:val="22"/>
          <w:szCs w:val="22"/>
        </w:rPr>
        <w:t>, el Sujeto Obligado</w:t>
      </w:r>
      <w:r w:rsidR="00E150FD" w:rsidRPr="00535C16">
        <w:rPr>
          <w:rFonts w:ascii="Palatino Linotype" w:hAnsi="Palatino Linotype" w:cs="Tahoma"/>
          <w:sz w:val="22"/>
          <w:szCs w:val="22"/>
        </w:rPr>
        <w:t xml:space="preserve"> en respuesta señaló que la información es la remitida ante al Secretariado Ejecutivo del Sistema Estatal de Seguridad Pública</w:t>
      </w:r>
      <w:r w:rsidR="005B40B3" w:rsidRPr="00535C16">
        <w:rPr>
          <w:rFonts w:ascii="Palatino Linotype" w:hAnsi="Palatino Linotype" w:cs="Tahoma"/>
          <w:sz w:val="22"/>
          <w:szCs w:val="22"/>
        </w:rPr>
        <w:t xml:space="preserve">, sin embargo, a través del informe justificado informó que la información tiene carácter de reservada. </w:t>
      </w:r>
      <w:r w:rsidR="00F01059" w:rsidRPr="00535C16">
        <w:rPr>
          <w:rFonts w:ascii="Palatino Linotype" w:hAnsi="Palatino Linotype" w:cs="Tahoma"/>
          <w:sz w:val="22"/>
          <w:szCs w:val="22"/>
        </w:rPr>
        <w:t>En este contexto, debemos señalar que ni la declaratoria de inexistencia ni el acuerdo de clasificación, son actos debidamente fundados y motivados conforme a lo establecido en la legislación aplicable a la materia, para lo cual, resulta de valor, invocar las siguientes tesis jurisprudenciales</w:t>
      </w:r>
      <w:r w:rsidR="005B40B3" w:rsidRPr="00535C16">
        <w:rPr>
          <w:rFonts w:ascii="Palatino Linotype" w:hAnsi="Palatino Linotype"/>
          <w:noProof/>
          <w:sz w:val="22"/>
          <w:szCs w:val="22"/>
          <w:lang w:eastAsia="es-MX"/>
        </w:rPr>
        <w:t>:</w:t>
      </w:r>
    </w:p>
    <w:p w14:paraId="34444761" w14:textId="77777777" w:rsidR="005B40B3" w:rsidRPr="00535C16" w:rsidRDefault="005B40B3" w:rsidP="005B40B3">
      <w:pPr>
        <w:spacing w:line="360" w:lineRule="auto"/>
        <w:jc w:val="both"/>
        <w:rPr>
          <w:rFonts w:ascii="Palatino Linotype" w:hAnsi="Palatino Linotype"/>
          <w:noProof/>
          <w:sz w:val="22"/>
          <w:szCs w:val="22"/>
          <w:lang w:eastAsia="es-MX"/>
        </w:rPr>
      </w:pPr>
    </w:p>
    <w:p w14:paraId="07131C71" w14:textId="77777777" w:rsidR="00F01059" w:rsidRPr="00535C16" w:rsidRDefault="005B40B3" w:rsidP="005B40B3">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 xml:space="preserve">Jurisprudencia I.3o.C. J/47, de Tribunales Colegiados de Circuito, visible en la página 1964 del Semanario Judicial de la Federación y su Gaceta, Tomo XXVII, febrero de 2008, Novena Época, de rubro: </w:t>
      </w:r>
    </w:p>
    <w:p w14:paraId="3A731DD2" w14:textId="0336DF04" w:rsidR="005B40B3" w:rsidRPr="00535C16" w:rsidRDefault="005B40B3" w:rsidP="005B40B3">
      <w:pPr>
        <w:spacing w:line="360" w:lineRule="auto"/>
        <w:ind w:left="567" w:right="567"/>
        <w:jc w:val="both"/>
        <w:rPr>
          <w:rFonts w:ascii="Palatino Linotype" w:hAnsi="Palatino Linotype"/>
          <w:i/>
          <w:noProof/>
          <w:lang w:eastAsia="es-MX"/>
        </w:rPr>
      </w:pPr>
      <w:r w:rsidRPr="00535C16">
        <w:rPr>
          <w:rFonts w:ascii="Palatino Linotype" w:hAnsi="Palatino Linotype"/>
          <w:b/>
          <w:i/>
          <w:noProof/>
          <w:lang w:eastAsia="es-MX"/>
        </w:rPr>
        <w:t>FUNDAMENTACIÓN Y MOTIVACIÓN. LA DIFERENCIA ENTRE LA FALTA Y LA INDEBIDA SATISFACCIÓN DE AMBOS REQUISITOS CONSTITUCIONALES TRASCIENDE AL ORDEN EN QUE DEBEN ESTUDIARSE LOS CONCEPTOS DE VIOLACIÓN Y A LOS EFECTOS DEL FALLO PROTECTOR</w:t>
      </w:r>
      <w:r w:rsidRPr="00535C16">
        <w:rPr>
          <w:rFonts w:ascii="Palatino Linotype" w:hAnsi="Palatino Linotype"/>
          <w:i/>
          <w:noProof/>
          <w:lang w:eastAsia="es-MX"/>
        </w:rPr>
        <w:t>. Misma que, en la parte que nos interesa, señala …Se produce la falta de fundamentación y motivación, cuando se omite expresar el dispositivo legal aplicable al asunto y las razones que se hayan considerado para estimar que el caso puede subsumirse en la hipótesis prevista en esa norma jurídica.</w:t>
      </w:r>
    </w:p>
    <w:p w14:paraId="6D4BC300" w14:textId="77777777" w:rsidR="005B40B3" w:rsidRPr="00535C16" w:rsidRDefault="005B40B3" w:rsidP="005B40B3">
      <w:pPr>
        <w:spacing w:line="360" w:lineRule="auto"/>
        <w:ind w:left="567" w:right="567"/>
        <w:jc w:val="both"/>
        <w:rPr>
          <w:rFonts w:ascii="Palatino Linotype" w:hAnsi="Palatino Linotype"/>
          <w:i/>
          <w:noProof/>
          <w:lang w:eastAsia="es-MX"/>
        </w:rPr>
      </w:pPr>
    </w:p>
    <w:p w14:paraId="6B164643" w14:textId="77777777" w:rsidR="00F01059" w:rsidRPr="00535C16" w:rsidRDefault="005B40B3" w:rsidP="005B40B3">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Jurisprudencia IV.2o.C. J/12, de Tribunales Colegiados de Circuito, visible en la página 2053 del Semanario Judicial de la Federación y su Gaceta, Tomo XXXIII, febrero de 2011, Novena Época, de rubro y texto siguientes:</w:t>
      </w:r>
    </w:p>
    <w:p w14:paraId="1A72BFDA" w14:textId="09D90C25" w:rsidR="00F01059" w:rsidRPr="00535C16" w:rsidRDefault="005B40B3" w:rsidP="00F01059">
      <w:pPr>
        <w:spacing w:line="360" w:lineRule="auto"/>
        <w:ind w:left="567" w:right="567"/>
        <w:jc w:val="both"/>
        <w:rPr>
          <w:rFonts w:ascii="Palatino Linotype" w:hAnsi="Palatino Linotype"/>
          <w:i/>
          <w:noProof/>
          <w:lang w:eastAsia="es-MX"/>
        </w:rPr>
      </w:pPr>
      <w:r w:rsidRPr="00535C16">
        <w:rPr>
          <w:rFonts w:ascii="Palatino Linotype" w:hAnsi="Palatino Linotype"/>
          <w:b/>
          <w:i/>
          <w:noProof/>
          <w:lang w:eastAsia="es-MX"/>
        </w:rPr>
        <w:t>FUNDAMENTACIÓN Y MOTIVACIÓN. ARGUMENTOS QUE DEBEN EXAMINARSE PARA DETERMINAR LO FUNDADO O INFUNDADO DE UNA INCONFORMIDAD CUANDO SE ALEGA LA AUSENCIA DE AQUÉLLA O SE TACHA DE INDEBIDA.</w:t>
      </w:r>
      <w:r w:rsidRPr="00535C16">
        <w:rPr>
          <w:rFonts w:ascii="Palatino Linotype" w:hAnsi="Palatino Linotype"/>
          <w:i/>
          <w:noProof/>
          <w:lang w:eastAsia="es-MX"/>
        </w:rPr>
        <w:t xml:space="preserve"> Al atender un motivo de desacuerdo relacionado con la fundamentación y motivación, para producir una respuesta congruente debe, del contexto integral de la argumentación del inconforme, advertirse si lo que imputa es ausencia de aquélla, o solamente la tacha de indebida, pues en la primer hipótesis bastará observar si la resolución contiene o no argumentos apoyados en la cita de preceptos legales para quedar en aptitud de declarar fundado o infundado el atinente motivo de desacuerdo. En cambio, en el segundo supuesto, cuando la fundamentación y motivación se tachan de indebidas, es menester apreciar los argumentos del motivo de desacuerdo, expresados para explicar por qué la invocación de preceptos legales se estima errónea, o por qué la motivación es incorrecta o insuficiente, pues será a la luz de tales razones que pueda establecerse lo fundado o infundado de la inconformidad.</w:t>
      </w:r>
    </w:p>
    <w:p w14:paraId="10DB371C" w14:textId="77777777" w:rsidR="00F01059" w:rsidRPr="00535C16" w:rsidRDefault="00F01059" w:rsidP="00F01059">
      <w:pPr>
        <w:spacing w:line="360" w:lineRule="auto"/>
        <w:ind w:right="567"/>
        <w:jc w:val="both"/>
        <w:rPr>
          <w:rFonts w:ascii="Palatino Linotype" w:hAnsi="Palatino Linotype"/>
          <w:i/>
          <w:noProof/>
          <w:lang w:eastAsia="es-MX"/>
        </w:rPr>
      </w:pPr>
    </w:p>
    <w:p w14:paraId="44DDEC1D" w14:textId="57ECC7B6" w:rsidR="00F01059" w:rsidRPr="00535C16" w:rsidRDefault="00F01059" w:rsidP="008607BE">
      <w:pPr>
        <w:spacing w:line="360" w:lineRule="auto"/>
        <w:jc w:val="both"/>
        <w:rPr>
          <w:rFonts w:ascii="Palatino Linotype" w:hAnsi="Palatino Linotype" w:cs="Tahoma"/>
          <w:sz w:val="22"/>
          <w:szCs w:val="22"/>
        </w:rPr>
      </w:pPr>
      <w:r w:rsidRPr="00535C16">
        <w:rPr>
          <w:rFonts w:ascii="Palatino Linotype" w:hAnsi="Palatino Linotype" w:cs="Tahoma"/>
          <w:sz w:val="22"/>
          <w:szCs w:val="22"/>
        </w:rPr>
        <w:t xml:space="preserve">Entonces, </w:t>
      </w:r>
      <w:r w:rsidR="002D5DEA" w:rsidRPr="00535C16">
        <w:rPr>
          <w:rFonts w:ascii="Palatino Linotype" w:hAnsi="Palatino Linotype" w:cs="Tahoma"/>
          <w:sz w:val="22"/>
          <w:szCs w:val="22"/>
        </w:rPr>
        <w:t>estamos ante dos supuestos, por cuanto refiere a la declaratoria formal de inexistencia, la cual, podemos definir como el acuerdo emitido por el Comité de Transparencia, que contempla las razones debidamente fundadas y motivadas, que detallen las razones por las cuales la información no obra en sus archivos y su sustento son los artículos 19 último párrafo y 169 de la Ley de Transparencia que contemplan:</w:t>
      </w:r>
    </w:p>
    <w:p w14:paraId="31B68209" w14:textId="77777777" w:rsidR="002D5DEA" w:rsidRPr="00535C16" w:rsidRDefault="002D5DEA" w:rsidP="00F01059">
      <w:pPr>
        <w:spacing w:line="360" w:lineRule="auto"/>
        <w:ind w:right="567"/>
        <w:jc w:val="both"/>
        <w:rPr>
          <w:rFonts w:ascii="Palatino Linotype" w:hAnsi="Palatino Linotype" w:cs="Tahoma"/>
          <w:sz w:val="22"/>
          <w:szCs w:val="22"/>
        </w:rPr>
      </w:pPr>
    </w:p>
    <w:p w14:paraId="7EA1111F" w14:textId="77777777" w:rsidR="002D5DEA" w:rsidRPr="00535C16" w:rsidRDefault="002D5DEA" w:rsidP="002D5DEA">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 xml:space="preserve">Artículo 19. Se presume que la información debe existir si se refiere a las facultades, competencias y funciones que los ordenamientos jurídicos aplicables otorgan a los sujetos obligados. </w:t>
      </w:r>
    </w:p>
    <w:p w14:paraId="10E9D4EF" w14:textId="77777777" w:rsidR="002D5DEA" w:rsidRPr="00535C16" w:rsidRDefault="002D5DEA" w:rsidP="002D5DEA">
      <w:pPr>
        <w:spacing w:line="360" w:lineRule="auto"/>
        <w:ind w:left="567" w:right="567"/>
        <w:jc w:val="both"/>
        <w:rPr>
          <w:rFonts w:ascii="Palatino Linotype" w:hAnsi="Palatino Linotype"/>
          <w:i/>
          <w:noProof/>
          <w:lang w:eastAsia="es-MX"/>
        </w:rPr>
      </w:pPr>
    </w:p>
    <w:p w14:paraId="759A8992" w14:textId="77777777" w:rsidR="002D5DEA" w:rsidRPr="00535C16" w:rsidRDefault="002D5DEA" w:rsidP="002D5DEA">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 xml:space="preserve">En los casos en que ciertas facultades, competencias o funciones no se hayan ejercido, se debe motivar la respuesta en función de las causas que motiven tal circunstancia. </w:t>
      </w:r>
    </w:p>
    <w:p w14:paraId="47EA728C" w14:textId="77777777" w:rsidR="002D5DEA" w:rsidRPr="00535C16" w:rsidRDefault="002D5DEA" w:rsidP="002D5DEA">
      <w:pPr>
        <w:spacing w:line="360" w:lineRule="auto"/>
        <w:ind w:left="567" w:right="567"/>
        <w:jc w:val="both"/>
        <w:rPr>
          <w:rFonts w:ascii="Palatino Linotype" w:hAnsi="Palatino Linotype"/>
          <w:i/>
          <w:noProof/>
          <w:lang w:eastAsia="es-MX"/>
        </w:rPr>
      </w:pPr>
    </w:p>
    <w:p w14:paraId="41A762D8" w14:textId="449CA172" w:rsidR="002D5DEA"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0839406D" w14:textId="77777777" w:rsidR="002D5DEA" w:rsidRPr="00535C16" w:rsidRDefault="002D5DEA" w:rsidP="002D5DEA">
      <w:pPr>
        <w:spacing w:line="360" w:lineRule="auto"/>
        <w:ind w:left="567" w:right="567"/>
        <w:jc w:val="both"/>
        <w:rPr>
          <w:rFonts w:ascii="Palatino Linotype" w:hAnsi="Palatino Linotype"/>
          <w:b/>
          <w:i/>
          <w:noProof/>
          <w:lang w:eastAsia="es-MX"/>
        </w:rPr>
      </w:pPr>
    </w:p>
    <w:p w14:paraId="423ED65B" w14:textId="77777777" w:rsidR="008607BE"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 xml:space="preserve">Artículo 169. Cuando la información no se encuentre en los archivos del sujeto obligado, el Comité de Transparencia: </w:t>
      </w:r>
    </w:p>
    <w:p w14:paraId="70BBBB8E" w14:textId="77777777" w:rsidR="008607BE"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 xml:space="preserve">I. Analizará el caso y tomará las medidas necesarias para localizar la información; </w:t>
      </w:r>
    </w:p>
    <w:p w14:paraId="0A835AEA" w14:textId="77777777" w:rsidR="008607BE"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 xml:space="preserve">II. Expedirá una resolución que confirme la inexistencia del documento; </w:t>
      </w:r>
    </w:p>
    <w:p w14:paraId="73E8BBEC" w14:textId="34361AD4" w:rsidR="008607BE"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w:t>
      </w:r>
      <w:r w:rsidR="008607BE" w:rsidRPr="00535C16">
        <w:rPr>
          <w:rFonts w:ascii="Palatino Linotype" w:hAnsi="Palatino Linotype"/>
          <w:b/>
          <w:i/>
          <w:noProof/>
          <w:lang w:eastAsia="es-MX"/>
        </w:rPr>
        <w:t>e la Unidad de Transparencia; y</w:t>
      </w:r>
    </w:p>
    <w:p w14:paraId="008E79A1" w14:textId="77777777" w:rsidR="008607BE" w:rsidRPr="00535C16" w:rsidRDefault="002D5DEA" w:rsidP="002D5DEA">
      <w:pPr>
        <w:spacing w:line="360" w:lineRule="auto"/>
        <w:ind w:left="567" w:right="567"/>
        <w:jc w:val="both"/>
        <w:rPr>
          <w:rFonts w:ascii="Palatino Linotype" w:hAnsi="Palatino Linotype"/>
          <w:b/>
          <w:i/>
          <w:noProof/>
          <w:lang w:eastAsia="es-MX"/>
        </w:rPr>
      </w:pPr>
      <w:r w:rsidRPr="00535C16">
        <w:rPr>
          <w:rFonts w:ascii="Palatino Linotype" w:hAnsi="Palatino Linotype"/>
          <w:b/>
          <w:i/>
          <w:noProof/>
          <w:lang w:eastAsia="es-MX"/>
        </w:rPr>
        <w:t xml:space="preserve">IV. Notificará al órgano interno de control o equivalente del sujeto obligado quien, en su caso, deberá iniciar el procedimiento de responsabilidad administrativa que corresponda. </w:t>
      </w:r>
    </w:p>
    <w:p w14:paraId="572485BC" w14:textId="77777777" w:rsidR="008607BE" w:rsidRPr="00535C16" w:rsidRDefault="008607BE" w:rsidP="002D5DEA">
      <w:pPr>
        <w:spacing w:line="360" w:lineRule="auto"/>
        <w:ind w:left="567" w:right="567"/>
        <w:jc w:val="both"/>
        <w:rPr>
          <w:rFonts w:ascii="Palatino Linotype" w:hAnsi="Palatino Linotype"/>
          <w:i/>
          <w:noProof/>
          <w:lang w:eastAsia="es-MX"/>
        </w:rPr>
      </w:pPr>
    </w:p>
    <w:p w14:paraId="2F2B6F6A" w14:textId="77777777" w:rsidR="008607BE" w:rsidRPr="00535C16" w:rsidRDefault="002D5DEA" w:rsidP="002D5DEA">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 xml:space="preserve">La Unidad de Transparencia deberá notificarlo al solicitante por escrito, en un plazo que no exceda de quince días hábiles contados a partir del día siguiente a la presentación de la solicitud. </w:t>
      </w:r>
    </w:p>
    <w:p w14:paraId="216BD2EE" w14:textId="77777777" w:rsidR="008607BE" w:rsidRPr="00535C16" w:rsidRDefault="008607BE" w:rsidP="002D5DEA">
      <w:pPr>
        <w:spacing w:line="360" w:lineRule="auto"/>
        <w:ind w:left="567" w:right="567"/>
        <w:jc w:val="both"/>
        <w:rPr>
          <w:rFonts w:ascii="Palatino Linotype" w:hAnsi="Palatino Linotype"/>
          <w:i/>
          <w:noProof/>
          <w:lang w:eastAsia="es-MX"/>
        </w:rPr>
      </w:pPr>
    </w:p>
    <w:p w14:paraId="176947BA" w14:textId="305E017D" w:rsidR="002D5DEA" w:rsidRPr="00535C16" w:rsidRDefault="002D5DEA" w:rsidP="002D5DEA">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Este plazo podrá ampliarse hasta por otros siete días hábiles, siempre que existan razones para ello, debiendo notificarse por escrito al solicitante.</w:t>
      </w:r>
    </w:p>
    <w:p w14:paraId="3F36C964" w14:textId="77777777" w:rsidR="00F01059" w:rsidRPr="00535C16" w:rsidRDefault="00F01059" w:rsidP="002D5DEA">
      <w:pPr>
        <w:spacing w:line="360" w:lineRule="auto"/>
        <w:ind w:right="567"/>
        <w:jc w:val="both"/>
        <w:rPr>
          <w:rFonts w:ascii="Palatino Linotype" w:hAnsi="Palatino Linotype" w:cs="Tahoma"/>
          <w:sz w:val="22"/>
          <w:szCs w:val="22"/>
        </w:rPr>
      </w:pPr>
    </w:p>
    <w:p w14:paraId="44B8FB5D" w14:textId="5BD5B5BB" w:rsidR="008607BE" w:rsidRPr="00535C16" w:rsidRDefault="008607BE" w:rsidP="002064DD">
      <w:pPr>
        <w:spacing w:line="360" w:lineRule="auto"/>
        <w:jc w:val="both"/>
        <w:rPr>
          <w:rFonts w:ascii="Palatino Linotype" w:hAnsi="Palatino Linotype" w:cs="Tahoma"/>
          <w:sz w:val="22"/>
          <w:szCs w:val="22"/>
        </w:rPr>
      </w:pPr>
      <w:r w:rsidRPr="00535C16">
        <w:rPr>
          <w:rFonts w:ascii="Palatino Linotype" w:hAnsi="Palatino Linotype" w:cs="Tahoma"/>
          <w:sz w:val="22"/>
          <w:szCs w:val="22"/>
        </w:rPr>
        <w:t>Aunado a esto, tal como se advierte del artículo 169 de la Ley de Transparencia,</w:t>
      </w:r>
      <w:r w:rsidR="002064DD" w:rsidRPr="00535C16">
        <w:rPr>
          <w:rFonts w:ascii="Palatino Linotype" w:hAnsi="Palatino Linotype" w:cs="Tahoma"/>
          <w:sz w:val="22"/>
          <w:szCs w:val="22"/>
        </w:rPr>
        <w:t xml:space="preserve"> el punto 1, contempla que se </w:t>
      </w:r>
      <w:r w:rsidR="002064DD" w:rsidRPr="00535C16">
        <w:rPr>
          <w:rFonts w:ascii="Palatino Linotype" w:hAnsi="Palatino Linotype" w:cs="Tahoma"/>
          <w:i/>
          <w:sz w:val="22"/>
          <w:szCs w:val="22"/>
        </w:rPr>
        <w:t xml:space="preserve">“analizará el caso y tomará las medidas necesarias para localizar la información”, </w:t>
      </w:r>
      <w:r w:rsidR="002064DD" w:rsidRPr="00535C16">
        <w:rPr>
          <w:rFonts w:ascii="Palatino Linotype" w:hAnsi="Palatino Linotype" w:cs="Tahoma"/>
          <w:sz w:val="22"/>
          <w:szCs w:val="22"/>
        </w:rPr>
        <w:t>lo cual implica, que la declaratoria de inexistencia, debe realizarse una vez que se realizaron todos los esfuerzos para localizar la información, los cuales debe plasmarse en el acuerdo de declaratoria formal de inexistencia, incluso el otrora INAI, a través del criterio de interpretación con clave de control 004/2019, que contempla:</w:t>
      </w:r>
    </w:p>
    <w:p w14:paraId="1AE4AF2F" w14:textId="77777777" w:rsidR="002064DD" w:rsidRPr="00535C16" w:rsidRDefault="002064DD" w:rsidP="002064DD">
      <w:pPr>
        <w:spacing w:line="360" w:lineRule="auto"/>
        <w:jc w:val="both"/>
        <w:rPr>
          <w:rFonts w:ascii="Palatino Linotype" w:hAnsi="Palatino Linotype" w:cs="Tahoma"/>
          <w:sz w:val="22"/>
          <w:szCs w:val="22"/>
        </w:rPr>
      </w:pPr>
    </w:p>
    <w:p w14:paraId="52214BDB" w14:textId="4DB7ADC4" w:rsidR="002064DD" w:rsidRPr="00535C16" w:rsidRDefault="002064DD" w:rsidP="002064DD">
      <w:pPr>
        <w:spacing w:line="360" w:lineRule="auto"/>
        <w:ind w:left="567" w:right="567"/>
        <w:jc w:val="both"/>
        <w:rPr>
          <w:rFonts w:ascii="Palatino Linotype" w:hAnsi="Palatino Linotype"/>
          <w:i/>
          <w:noProof/>
          <w:lang w:eastAsia="es-MX"/>
        </w:rPr>
      </w:pPr>
      <w:r w:rsidRPr="00535C16">
        <w:rPr>
          <w:rFonts w:ascii="Palatino Linotype" w:hAnsi="Palatino Linotype"/>
          <w:i/>
          <w:noProof/>
          <w:lang w:eastAsia="es-MX"/>
        </w:rPr>
        <w:t>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078FEFF0" w14:textId="77777777" w:rsidR="008607BE" w:rsidRPr="00535C16" w:rsidRDefault="008607BE" w:rsidP="002064DD">
      <w:pPr>
        <w:spacing w:line="360" w:lineRule="auto"/>
        <w:jc w:val="both"/>
        <w:rPr>
          <w:rFonts w:ascii="Palatino Linotype" w:hAnsi="Palatino Linotype" w:cs="Tahoma"/>
          <w:sz w:val="22"/>
          <w:szCs w:val="22"/>
        </w:rPr>
      </w:pPr>
    </w:p>
    <w:p w14:paraId="65D090E6" w14:textId="7944368E" w:rsidR="002064DD" w:rsidRPr="00535C16" w:rsidRDefault="002064DD" w:rsidP="002064DD">
      <w:pPr>
        <w:spacing w:line="360" w:lineRule="auto"/>
        <w:jc w:val="both"/>
        <w:rPr>
          <w:rFonts w:ascii="Palatino Linotype" w:hAnsi="Palatino Linotype" w:cs="Tahoma"/>
          <w:sz w:val="22"/>
          <w:szCs w:val="22"/>
        </w:rPr>
      </w:pPr>
      <w:r w:rsidRPr="00535C16">
        <w:rPr>
          <w:rFonts w:ascii="Palatino Linotype" w:hAnsi="Palatino Linotype" w:cs="Tahoma"/>
          <w:sz w:val="22"/>
          <w:szCs w:val="22"/>
        </w:rPr>
        <w:t>En este orden de ideas el acuerdo que declare formalmente la inexistencia no basta con señalar que no obra en sus archivos, sino que debe acreditarse el procedimiento de búsqueda a efecto de acreditar que dicha información no obra en sus archivos, para lo cual, además el punto tres establece la necesidad de recuperar dicha información, salvo en el caso de que sea materialmente imposible y el último de los puntos, implica la vista al Órgano Interno de Control, para que inicie las indagatorias correspondientes y en su caso inicie los procedimientos de responsabilidad a que haya lugar ante la inexistencia factual de la información, o bien, el procedimiento archivístico de baja a que fue sujeta la información eliminada. En este sentido, al referir no contar con la información, deberá emitir el acuerdo debidamente fundado y motivado con todos los elementos que establece el artículo 169 de la Ley de Transparencia, en donde se identifique claramente cuál es la información sobre la cual se declara la inexistencia.</w:t>
      </w:r>
    </w:p>
    <w:p w14:paraId="29676244" w14:textId="3C30785B" w:rsidR="002064DD" w:rsidRPr="00535C16" w:rsidRDefault="002064DD" w:rsidP="002064DD">
      <w:pPr>
        <w:spacing w:line="360" w:lineRule="auto"/>
        <w:jc w:val="both"/>
        <w:rPr>
          <w:rFonts w:ascii="Palatino Linotype" w:hAnsi="Palatino Linotype" w:cs="Tahoma"/>
          <w:sz w:val="22"/>
          <w:szCs w:val="22"/>
        </w:rPr>
      </w:pPr>
    </w:p>
    <w:p w14:paraId="03046EE0" w14:textId="0E88237C" w:rsidR="00F82EAD" w:rsidRPr="00535C16" w:rsidRDefault="002064DD" w:rsidP="002064DD">
      <w:pPr>
        <w:spacing w:line="360" w:lineRule="auto"/>
        <w:jc w:val="both"/>
        <w:rPr>
          <w:rFonts w:ascii="Palatino Linotype" w:hAnsi="Palatino Linotype" w:cs="Tahoma"/>
          <w:sz w:val="22"/>
          <w:szCs w:val="22"/>
        </w:rPr>
      </w:pPr>
      <w:r w:rsidRPr="00535C16">
        <w:rPr>
          <w:rFonts w:ascii="Palatino Linotype" w:hAnsi="Palatino Linotype" w:cs="Tahoma"/>
          <w:sz w:val="22"/>
          <w:szCs w:val="22"/>
        </w:rPr>
        <w:t>Por cuanto refiere al segundo supuesto, debemos señalar que</w:t>
      </w:r>
      <w:r w:rsidR="00D20142" w:rsidRPr="00535C16">
        <w:rPr>
          <w:rFonts w:ascii="Palatino Linotype" w:hAnsi="Palatino Linotype" w:cs="Tahoma"/>
          <w:sz w:val="22"/>
          <w:szCs w:val="22"/>
        </w:rPr>
        <w:t xml:space="preserve"> para cuando se determine limitar el acceso</w:t>
      </w:r>
      <w:r w:rsidRPr="00535C16">
        <w:rPr>
          <w:rFonts w:ascii="Palatino Linotype" w:hAnsi="Palatino Linotype" w:cs="Tahoma"/>
          <w:sz w:val="22"/>
          <w:szCs w:val="22"/>
        </w:rPr>
        <w:t xml:space="preserve"> por clasificación de la información</w:t>
      </w:r>
      <w:r w:rsidR="00D20142" w:rsidRPr="00535C16">
        <w:rPr>
          <w:rFonts w:ascii="Palatino Linotype" w:hAnsi="Palatino Linotype" w:cs="Tahoma"/>
          <w:sz w:val="22"/>
          <w:szCs w:val="22"/>
        </w:rPr>
        <w:t xml:space="preserve">, se debe aprobar a través del Comité de Transparencia, para la confidencialidad, es necesario fundar y motivar la limitación en el artículo 143 de la Ley de Transparencia y cuando sea reservada, se debe desarrollar la prueba de daño, conforme a lo establecen los artículos 125, 128, 129 y 140 de la Ley de Transparencia en cita, </w:t>
      </w:r>
      <w:r w:rsidR="00F82EAD" w:rsidRPr="00535C16">
        <w:rPr>
          <w:rFonts w:ascii="Palatino Linotype" w:hAnsi="Palatino Linotype" w:cs="Tahoma"/>
          <w:sz w:val="22"/>
          <w:szCs w:val="22"/>
        </w:rPr>
        <w:t xml:space="preserve"> realizó la prueba de daño correspondiente, situación que se robustece con lo señalado en la Tesis Aislada número I.10o.A.79 A (10a.), (Gaceta del Semanario Judicial de la Federación, Libro 60, Noviembre de 2018, Tomo III, </w:t>
      </w:r>
      <w:proofErr w:type="spellStart"/>
      <w:r w:rsidR="00F82EAD" w:rsidRPr="00535C16">
        <w:rPr>
          <w:rFonts w:ascii="Palatino Linotype" w:hAnsi="Palatino Linotype" w:cs="Tahoma"/>
          <w:sz w:val="22"/>
          <w:szCs w:val="22"/>
        </w:rPr>
        <w:t>pag.</w:t>
      </w:r>
      <w:proofErr w:type="spellEnd"/>
      <w:r w:rsidR="00F82EAD" w:rsidRPr="00535C16">
        <w:rPr>
          <w:rFonts w:ascii="Palatino Linotype" w:hAnsi="Palatino Linotype" w:cs="Tahoma"/>
          <w:sz w:val="22"/>
          <w:szCs w:val="22"/>
        </w:rPr>
        <w:t xml:space="preserve"> 2318) como se muestra a continuación:</w:t>
      </w:r>
    </w:p>
    <w:p w14:paraId="0BB1F603" w14:textId="77777777" w:rsidR="00F82EAD" w:rsidRPr="00535C16" w:rsidRDefault="00F82EAD" w:rsidP="00F82EAD">
      <w:pPr>
        <w:spacing w:line="360" w:lineRule="auto"/>
        <w:ind w:left="567" w:right="567"/>
        <w:jc w:val="both"/>
        <w:rPr>
          <w:rFonts w:ascii="Palatino Linotype" w:hAnsi="Palatino Linotype" w:cs="Tahoma"/>
          <w:i/>
          <w:iCs/>
        </w:rPr>
      </w:pPr>
    </w:p>
    <w:p w14:paraId="7C924F9B" w14:textId="57956153" w:rsidR="00F82EAD" w:rsidRPr="00535C16" w:rsidRDefault="00F82EAD" w:rsidP="00F82EAD">
      <w:pPr>
        <w:spacing w:line="360" w:lineRule="auto"/>
        <w:ind w:left="567" w:right="567"/>
        <w:jc w:val="both"/>
        <w:rPr>
          <w:rFonts w:ascii="Palatino Linotype" w:hAnsi="Palatino Linotype" w:cs="Tahoma"/>
          <w:i/>
          <w:iCs/>
        </w:rPr>
      </w:pPr>
      <w:r w:rsidRPr="00535C16">
        <w:rPr>
          <w:rFonts w:ascii="Palatino Linotype" w:hAnsi="Palatino Linotype" w:cs="Tahoma"/>
          <w:i/>
          <w:iCs/>
        </w:rPr>
        <w:t>PRUEBA DE DAÑO EN LA CLASIFICACIÓN DE LA INFORMACIÓN PÚBLICA. SU VALIDEZ NO DEPENDE DE LOS MEDIOS DE PRUEBA QUE EL SUJETO OBLIGADO APORTE.</w:t>
      </w:r>
    </w:p>
    <w:p w14:paraId="6231F56A" w14:textId="39866617" w:rsidR="00EC239F" w:rsidRPr="00535C16" w:rsidRDefault="00EC239F" w:rsidP="00EC239F">
      <w:pPr>
        <w:spacing w:line="360" w:lineRule="auto"/>
        <w:ind w:left="567" w:right="567"/>
        <w:jc w:val="both"/>
        <w:rPr>
          <w:rFonts w:ascii="Palatino Linotype" w:hAnsi="Palatino Linotype" w:cs="Tahoma"/>
          <w:i/>
          <w:iCs/>
          <w:u w:val="single"/>
        </w:rPr>
      </w:pPr>
      <w:r w:rsidRPr="00535C16">
        <w:rPr>
          <w:rFonts w:ascii="Palatino Linotype" w:hAnsi="Palatino Linotype" w:cs="Tahoma"/>
          <w:i/>
          <w:iCs/>
        </w:rPr>
        <w:t xml:space="preserve">De acuerdo con el artículo 104 de la Ley General de Transparencia y Acceso a la Información Pública, y con los lineamientos segundo, fracción XIII y trigésimo tercero, de los Lineamientos generales en materia de clasificación y desclasificación de la información, así como para la elaboración de versiones públicas, aprobados por el Consejo Nacional del Sistema Nacional de Transparencia, Acceso a la Información Pública y Protección de Datos Personales y publicados en el Diario Oficial de la Federación el 15 de abril de 2016, la prueba de daño es la argumentación fundada y motivada que deben realizar los sujetos obligados para acreditar que la divulgación de la información lesiona un interés jurídicamente protegido y que el daño que puede producir es mayor que el interés de conocer ésta. Para tal efecto, disponen que en la clasificación de la información pública (como reservada o confidencial), debe justificarse que su divulgación representa un riesgo real, demostrable e identificable de perjuicio significativo al interés público o a la seguridad nacional; que ese riesgo supera el interés público general de que se difunda; y, que la limitación se adecua al principio de proporcionalidad y representa el medio menos restrictivo disponible para evitar el perjuicio. Así, la prueba de daño establece líneas argumentativas mínimas que deben cursarse, a fin de constatar que la publicidad de la información solicitada no ocasionaría un daño a un interés jurídicamente protegido, ya sea de índole estatal o particular. Por tanto, al tratarse de un aspecto constreñido al ámbito argumentativo, </w:t>
      </w:r>
      <w:r w:rsidRPr="00535C16">
        <w:rPr>
          <w:rFonts w:ascii="Palatino Linotype" w:hAnsi="Palatino Linotype" w:cs="Tahoma"/>
          <w:i/>
          <w:iCs/>
          <w:u w:val="single"/>
        </w:rPr>
        <w:t>la validez de la prueba de daño no depende de los medios de prueba que el sujeto obligado aporte, sino de la solidez del juicio de ponderación que se efectúe en los términos señalados.</w:t>
      </w:r>
    </w:p>
    <w:p w14:paraId="08F7BF5A" w14:textId="77777777" w:rsidR="00F111E5" w:rsidRPr="00535C16" w:rsidRDefault="00F111E5" w:rsidP="008607BE">
      <w:pPr>
        <w:spacing w:line="360" w:lineRule="auto"/>
        <w:ind w:right="567"/>
        <w:jc w:val="both"/>
        <w:rPr>
          <w:rFonts w:ascii="Palatino Linotype" w:hAnsi="Palatino Linotype" w:cs="Tahoma"/>
          <w:i/>
          <w:iCs/>
        </w:rPr>
      </w:pPr>
    </w:p>
    <w:p w14:paraId="4A7B2DF1" w14:textId="2C718FDA" w:rsidR="00F111E5" w:rsidRPr="00535C16" w:rsidRDefault="00F111E5" w:rsidP="00F111E5">
      <w:pPr>
        <w:spacing w:line="360" w:lineRule="auto"/>
        <w:ind w:right="-93"/>
        <w:jc w:val="both"/>
        <w:rPr>
          <w:rFonts w:ascii="Palatino Linotype" w:hAnsi="Palatino Linotype" w:cs="Tahoma"/>
          <w:b/>
          <w:bCs/>
          <w:sz w:val="22"/>
          <w:szCs w:val="22"/>
          <w:u w:val="single"/>
        </w:rPr>
      </w:pPr>
      <w:r w:rsidRPr="00535C16">
        <w:rPr>
          <w:rFonts w:ascii="Palatino Linotype" w:hAnsi="Palatino Linotype" w:cs="Tahoma"/>
          <w:sz w:val="22"/>
          <w:szCs w:val="22"/>
        </w:rPr>
        <w:t>De lo anterior, se desprende que la información reservada, es aquella que cuando, de manera</w:t>
      </w:r>
      <w:r w:rsidR="00063834" w:rsidRPr="00535C16">
        <w:rPr>
          <w:rFonts w:ascii="Palatino Linotype" w:hAnsi="Palatino Linotype" w:cs="Tahoma"/>
          <w:sz w:val="22"/>
          <w:szCs w:val="22"/>
        </w:rPr>
        <w:t xml:space="preserve"> </w:t>
      </w:r>
      <w:r w:rsidRPr="00535C16">
        <w:rPr>
          <w:rFonts w:ascii="Palatino Linotype" w:hAnsi="Palatino Linotype" w:cs="Tahoma"/>
          <w:sz w:val="22"/>
          <w:szCs w:val="22"/>
        </w:rPr>
        <w:t>excepcional y por razones de interés público, su publicidad puede causar un daño al interés</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jurídico tutelado por la Ley, en alguno de los supuestos establecidos en el artículo 140 de la</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Ley de la materia, y desarrollar la prueba de daño de acuerdo a lo establecido en los</w:t>
      </w:r>
      <w:r w:rsidR="00063834" w:rsidRPr="00535C16">
        <w:rPr>
          <w:rFonts w:ascii="Palatino Linotype" w:hAnsi="Palatino Linotype" w:cs="Tahoma"/>
          <w:sz w:val="22"/>
          <w:szCs w:val="22"/>
        </w:rPr>
        <w:t xml:space="preserve"> </w:t>
      </w:r>
      <w:r w:rsidRPr="00535C16">
        <w:rPr>
          <w:rFonts w:ascii="Palatino Linotype" w:hAnsi="Palatino Linotype" w:cs="Tahoma"/>
          <w:sz w:val="22"/>
          <w:szCs w:val="22"/>
        </w:rPr>
        <w:t>Lineamientos</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Generales en materia de Clasificación y Desclasificación de la Información, así</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como para Elaboración de Versiones Públicas, misma que </w:t>
      </w:r>
      <w:r w:rsidR="00063834" w:rsidRPr="00535C16">
        <w:rPr>
          <w:rFonts w:ascii="Palatino Linotype" w:hAnsi="Palatino Linotype" w:cs="Tahoma"/>
          <w:sz w:val="22"/>
          <w:szCs w:val="22"/>
        </w:rPr>
        <w:t>será</w:t>
      </w:r>
      <w:r w:rsidRPr="00535C16">
        <w:rPr>
          <w:rFonts w:ascii="Palatino Linotype" w:hAnsi="Palatino Linotype" w:cs="Tahoma"/>
          <w:sz w:val="22"/>
          <w:szCs w:val="22"/>
        </w:rPr>
        <w:t xml:space="preserve"> caso por caso, ya que no se</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podrá clasificar la información </w:t>
      </w:r>
      <w:r w:rsidR="00063834" w:rsidRPr="00535C16">
        <w:rPr>
          <w:rFonts w:ascii="Palatino Linotype" w:hAnsi="Palatino Linotype" w:cs="Tahoma"/>
          <w:sz w:val="22"/>
          <w:szCs w:val="22"/>
        </w:rPr>
        <w:t>únicamente</w:t>
      </w:r>
      <w:r w:rsidRPr="00535C16">
        <w:rPr>
          <w:rFonts w:ascii="Palatino Linotype" w:hAnsi="Palatino Linotype" w:cs="Tahoma"/>
          <w:sz w:val="22"/>
          <w:szCs w:val="22"/>
        </w:rPr>
        <w:t xml:space="preserve"> por estar vinculada con los supuestos establecidos</w:t>
      </w:r>
      <w:r w:rsidR="0098728E"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en la Ley sino que además se </w:t>
      </w:r>
      <w:r w:rsidRPr="00535C16">
        <w:rPr>
          <w:rFonts w:ascii="Palatino Linotype" w:hAnsi="Palatino Linotype" w:cs="Tahoma"/>
          <w:b/>
          <w:bCs/>
          <w:sz w:val="22"/>
          <w:szCs w:val="22"/>
          <w:u w:val="single"/>
        </w:rPr>
        <w:t>demostrara que efectivamente dar a conocer la información</w:t>
      </w:r>
      <w:r w:rsidR="0098728E" w:rsidRPr="00535C16">
        <w:rPr>
          <w:rFonts w:ascii="Palatino Linotype" w:hAnsi="Palatino Linotype" w:cs="Tahoma"/>
          <w:b/>
          <w:bCs/>
          <w:sz w:val="22"/>
          <w:szCs w:val="22"/>
          <w:u w:val="single"/>
        </w:rPr>
        <w:t xml:space="preserve"> </w:t>
      </w:r>
      <w:r w:rsidRPr="00535C16">
        <w:rPr>
          <w:rFonts w:ascii="Palatino Linotype" w:hAnsi="Palatino Linotype" w:cs="Tahoma"/>
          <w:b/>
          <w:bCs/>
          <w:sz w:val="22"/>
          <w:szCs w:val="22"/>
          <w:u w:val="single"/>
        </w:rPr>
        <w:t xml:space="preserve">que se clasifica podría afectar las funciones y el actuar de los diversos </w:t>
      </w:r>
      <w:r w:rsidR="00063834" w:rsidRPr="00535C16">
        <w:rPr>
          <w:rFonts w:ascii="Palatino Linotype" w:hAnsi="Palatino Linotype" w:cs="Tahoma"/>
          <w:b/>
          <w:bCs/>
          <w:sz w:val="22"/>
          <w:szCs w:val="22"/>
          <w:u w:val="single"/>
        </w:rPr>
        <w:t>sujetos</w:t>
      </w:r>
      <w:r w:rsidRPr="00535C16">
        <w:rPr>
          <w:rFonts w:ascii="Palatino Linotype" w:hAnsi="Palatino Linotype" w:cs="Tahoma"/>
          <w:b/>
          <w:bCs/>
          <w:sz w:val="22"/>
          <w:szCs w:val="22"/>
          <w:u w:val="single"/>
        </w:rPr>
        <w:t xml:space="preserve"> obligados.</w:t>
      </w:r>
    </w:p>
    <w:p w14:paraId="7B1AB216" w14:textId="77777777" w:rsidR="009927D2" w:rsidRPr="00535C16" w:rsidRDefault="009927D2" w:rsidP="00F111E5">
      <w:pPr>
        <w:spacing w:line="360" w:lineRule="auto"/>
        <w:ind w:right="-93"/>
        <w:jc w:val="both"/>
        <w:rPr>
          <w:rFonts w:ascii="Palatino Linotype" w:hAnsi="Palatino Linotype" w:cs="Tahoma"/>
          <w:b/>
          <w:bCs/>
          <w:sz w:val="22"/>
          <w:szCs w:val="22"/>
          <w:u w:val="single"/>
        </w:rPr>
      </w:pPr>
    </w:p>
    <w:p w14:paraId="06F54A7F" w14:textId="636FF5D7" w:rsidR="009927D2" w:rsidRPr="00535C16" w:rsidRDefault="009927D2" w:rsidP="009927D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Dicha prueba de daño consiste en exponer los argumentos y razones, basados en elementos verificables, a partir de los cuales se derive que la divulgación de información, en particular, puede afectar, poner en riesgo o dañar el interés protegido. Asimismo, esta no debe basarse en meras especulaciones o suposiciones, sino en elementos objetivos que deban evaluar que existe un riego actual e inminente.</w:t>
      </w:r>
    </w:p>
    <w:p w14:paraId="2EB12B48" w14:textId="77777777" w:rsidR="00C223FB" w:rsidRPr="00535C16" w:rsidRDefault="00C223FB" w:rsidP="009927D2">
      <w:pPr>
        <w:spacing w:line="360" w:lineRule="auto"/>
        <w:ind w:right="-93"/>
        <w:jc w:val="both"/>
        <w:rPr>
          <w:rFonts w:ascii="Palatino Linotype" w:hAnsi="Palatino Linotype" w:cs="Tahoma"/>
          <w:sz w:val="22"/>
          <w:szCs w:val="22"/>
        </w:rPr>
      </w:pPr>
    </w:p>
    <w:p w14:paraId="20814E55" w14:textId="55BA1F6B" w:rsidR="00C51FEE" w:rsidRPr="00535C16" w:rsidRDefault="00C51FEE" w:rsidP="009927D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El Sujeto Obligado, a través del acuerdo remitido en informe justificado, no acreditó la clasificación de la información, pues, como se puede leer, no acreditó la prueba de daño del artículo 129 de la Ley de Transparencia</w:t>
      </w:r>
      <w:r w:rsidR="000D4F1F" w:rsidRPr="00535C16">
        <w:rPr>
          <w:rFonts w:ascii="Palatino Linotype" w:hAnsi="Palatino Linotype" w:cs="Tahoma"/>
          <w:sz w:val="22"/>
          <w:szCs w:val="22"/>
        </w:rPr>
        <w:t xml:space="preserve">, no estableció la causal en el caso específico, como se establece en el artículo 140 de la Ley invocada ni señaló la temporalidad de la reserva, </w:t>
      </w:r>
      <w:r w:rsidRPr="00535C16">
        <w:rPr>
          <w:rFonts w:ascii="Palatino Linotype" w:hAnsi="Palatino Linotype" w:cs="Tahoma"/>
          <w:sz w:val="22"/>
          <w:szCs w:val="22"/>
        </w:rPr>
        <w:t>además</w:t>
      </w:r>
      <w:r w:rsidR="000D4F1F" w:rsidRPr="00535C16">
        <w:rPr>
          <w:rFonts w:ascii="Palatino Linotype" w:hAnsi="Palatino Linotype" w:cs="Tahoma"/>
          <w:sz w:val="22"/>
          <w:szCs w:val="22"/>
        </w:rPr>
        <w:t xml:space="preserve">, contrario a lo afirmado, la información solicitada </w:t>
      </w:r>
      <w:r w:rsidRPr="00535C16">
        <w:rPr>
          <w:rFonts w:ascii="Palatino Linotype" w:hAnsi="Palatino Linotype" w:cs="Tahoma"/>
          <w:sz w:val="22"/>
          <w:szCs w:val="22"/>
        </w:rPr>
        <w:t>versa sobre estadística, que como ya se señaló</w:t>
      </w:r>
      <w:r w:rsidR="000D4F1F" w:rsidRPr="00535C16">
        <w:rPr>
          <w:rFonts w:ascii="Palatino Linotype" w:hAnsi="Palatino Linotype" w:cs="Tahoma"/>
          <w:sz w:val="22"/>
          <w:szCs w:val="22"/>
        </w:rPr>
        <w:t xml:space="preserve"> en líneas previas, es de naturaleza </w:t>
      </w:r>
      <w:r w:rsidRPr="00535C16">
        <w:rPr>
          <w:rFonts w:ascii="Palatino Linotype" w:hAnsi="Palatino Linotype" w:cs="Tahoma"/>
          <w:sz w:val="22"/>
          <w:szCs w:val="22"/>
        </w:rPr>
        <w:t xml:space="preserve">pública porque la misma, permite conocer a las personas cuáles son los delitos </w:t>
      </w:r>
      <w:r w:rsidR="000D4F1F" w:rsidRPr="00535C16">
        <w:rPr>
          <w:rFonts w:ascii="Palatino Linotype" w:hAnsi="Palatino Linotype" w:cs="Tahoma"/>
          <w:sz w:val="22"/>
          <w:szCs w:val="22"/>
        </w:rPr>
        <w:t>cometidos en el territorio municipal</w:t>
      </w:r>
      <w:r w:rsidRPr="00535C16">
        <w:rPr>
          <w:rFonts w:ascii="Palatino Linotype" w:hAnsi="Palatino Linotype" w:cs="Tahoma"/>
          <w:sz w:val="22"/>
          <w:szCs w:val="22"/>
        </w:rPr>
        <w:t>, esto es, su difusión no</w:t>
      </w:r>
      <w:r w:rsidR="000D4F1F" w:rsidRPr="00535C16">
        <w:rPr>
          <w:rFonts w:ascii="Palatino Linotype" w:hAnsi="Palatino Linotype" w:cs="Tahoma"/>
          <w:sz w:val="22"/>
          <w:szCs w:val="22"/>
        </w:rPr>
        <w:t xml:space="preserve"> se advierte que la difusión de esta información cause</w:t>
      </w:r>
      <w:r w:rsidRPr="00535C16">
        <w:rPr>
          <w:rFonts w:ascii="Palatino Linotype" w:hAnsi="Palatino Linotype" w:cs="Tahoma"/>
          <w:sz w:val="22"/>
          <w:szCs w:val="22"/>
        </w:rPr>
        <w:t xml:space="preserve"> un daño al interés público ni a la seguridad pública y por el contrario, se trata de información de interés social que permite conocer los avances o retrocesos en materia de seguridad pública de las </w:t>
      </w:r>
      <w:r w:rsidR="000D4F1F" w:rsidRPr="00535C16">
        <w:rPr>
          <w:rFonts w:ascii="Palatino Linotype" w:hAnsi="Palatino Linotype" w:cs="Tahoma"/>
          <w:sz w:val="22"/>
          <w:szCs w:val="22"/>
        </w:rPr>
        <w:t>autoridades</w:t>
      </w:r>
      <w:r w:rsidRPr="00535C16">
        <w:rPr>
          <w:rFonts w:ascii="Palatino Linotype" w:hAnsi="Palatino Linotype" w:cs="Tahoma"/>
          <w:sz w:val="22"/>
          <w:szCs w:val="22"/>
        </w:rPr>
        <w:t>, de tal suerte que no es posible advertir la existencia de un daño real, demostrable e identificable.</w:t>
      </w:r>
    </w:p>
    <w:p w14:paraId="6054324C" w14:textId="77777777" w:rsidR="000D4F1F" w:rsidRPr="00535C16" w:rsidRDefault="000D4F1F" w:rsidP="009927D2">
      <w:pPr>
        <w:spacing w:line="360" w:lineRule="auto"/>
        <w:ind w:right="-93"/>
        <w:jc w:val="both"/>
        <w:rPr>
          <w:rFonts w:ascii="Palatino Linotype" w:hAnsi="Palatino Linotype" w:cs="Tahoma"/>
          <w:sz w:val="22"/>
          <w:szCs w:val="22"/>
        </w:rPr>
      </w:pPr>
    </w:p>
    <w:p w14:paraId="191A7311" w14:textId="74CDA091" w:rsidR="000D4F1F" w:rsidRPr="00535C16" w:rsidRDefault="000D4F1F" w:rsidP="009927D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 xml:space="preserve">Sin embargo, uno de los puntos, es sobre las coordenadas geográficas, establecidas en el lugar de la intervención, </w:t>
      </w:r>
      <w:r w:rsidR="00006C6F" w:rsidRPr="00535C16">
        <w:rPr>
          <w:rFonts w:ascii="Palatino Linotype" w:hAnsi="Palatino Linotype" w:cs="Tahoma"/>
          <w:sz w:val="22"/>
          <w:szCs w:val="22"/>
        </w:rPr>
        <w:t xml:space="preserve">para lo cual, debemos entender que es información que podría ser confidencial de considerarse datos personales, para lo cual, es importante invocar que </w:t>
      </w:r>
      <w:r w:rsidRPr="00535C16">
        <w:rPr>
          <w:rFonts w:ascii="Palatino Linotype" w:hAnsi="Palatino Linotype" w:cs="Tahoma"/>
          <w:sz w:val="22"/>
          <w:szCs w:val="22"/>
        </w:rPr>
        <w:t xml:space="preserve">los </w:t>
      </w:r>
      <w:r w:rsidRPr="00535C16">
        <w:rPr>
          <w:rFonts w:ascii="Palatino Linotype" w:hAnsi="Palatino Linotype" w:cs="Tahoma"/>
          <w:i/>
          <w:sz w:val="22"/>
          <w:szCs w:val="22"/>
        </w:rPr>
        <w:t>Lineamientos para el Llenado, Entrega, Recepción, Registro, Resguardo y Consulta del Informe Policial Homologado</w:t>
      </w:r>
      <w:r w:rsidRPr="00535C16">
        <w:rPr>
          <w:rFonts w:ascii="Palatino Linotype" w:hAnsi="Palatino Linotype" w:cs="Tahoma"/>
          <w:sz w:val="22"/>
          <w:szCs w:val="22"/>
        </w:rPr>
        <w:t xml:space="preserve"> </w:t>
      </w:r>
      <w:r w:rsidR="00006C6F" w:rsidRPr="00535C16">
        <w:rPr>
          <w:rFonts w:ascii="Palatino Linotype" w:hAnsi="Palatino Linotype" w:cs="Tahoma"/>
          <w:sz w:val="22"/>
          <w:szCs w:val="22"/>
        </w:rPr>
        <w:t>con contemplan la</w:t>
      </w:r>
      <w:r w:rsidRPr="00535C16">
        <w:rPr>
          <w:rFonts w:ascii="Palatino Linotype" w:hAnsi="Palatino Linotype" w:cs="Tahoma"/>
          <w:sz w:val="22"/>
          <w:szCs w:val="22"/>
        </w:rPr>
        <w:t xml:space="preserve"> obligación de que el informe policial homologado deba contener coordenadas geográficas, sino solamente la ubicación del evento, el cual puede ser solventado con la dirección, por lo que la información se debe proporcionar con el mayor grado de desagregación posible, ya que al nivel que solicita el Particular, confiere al Sujeto Obligado a practicar una investigación, por lo que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14:paraId="1BA6C588" w14:textId="77777777" w:rsidR="00C51FEE" w:rsidRPr="00535C16" w:rsidRDefault="00C51FEE" w:rsidP="009927D2">
      <w:pPr>
        <w:spacing w:line="360" w:lineRule="auto"/>
        <w:ind w:right="-93"/>
        <w:jc w:val="both"/>
        <w:rPr>
          <w:rFonts w:ascii="Palatino Linotype" w:hAnsi="Palatino Linotype" w:cs="Tahoma"/>
          <w:sz w:val="22"/>
          <w:szCs w:val="22"/>
        </w:rPr>
      </w:pPr>
    </w:p>
    <w:p w14:paraId="54B93DAC" w14:textId="01D9559C" w:rsidR="000D4F1F" w:rsidRPr="00535C16" w:rsidRDefault="000D4F1F" w:rsidP="000D4F1F">
      <w:pPr>
        <w:spacing w:line="360" w:lineRule="auto"/>
        <w:ind w:left="567" w:right="567"/>
        <w:jc w:val="both"/>
        <w:rPr>
          <w:rFonts w:ascii="Palatino Linotype" w:hAnsi="Palatino Linotype" w:cs="Tahoma"/>
          <w:i/>
        </w:rPr>
      </w:pPr>
      <w:r w:rsidRPr="00535C16">
        <w:rPr>
          <w:rFonts w:ascii="Palatino Linotype" w:hAnsi="Palatino Linotype" w:cs="Tahoma"/>
          <w:b/>
          <w:i/>
        </w:rPr>
        <w:t>“No existe obligación de elaborar documentos ad hoc para atender las solicitudes de acceso a la información</w:t>
      </w:r>
      <w:r w:rsidRPr="00535C16">
        <w:rPr>
          <w:rFonts w:ascii="Palatino Linotype" w:hAnsi="Palatino Linotype" w:cs="Tahoma"/>
          <w:i/>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17FE0A0" w14:textId="77777777" w:rsidR="000D4F1F" w:rsidRPr="00535C16" w:rsidRDefault="000D4F1F" w:rsidP="009927D2">
      <w:pPr>
        <w:spacing w:line="360" w:lineRule="auto"/>
        <w:ind w:right="-93"/>
        <w:jc w:val="both"/>
        <w:rPr>
          <w:rFonts w:ascii="Palatino Linotype" w:hAnsi="Palatino Linotype" w:cs="Tahoma"/>
          <w:sz w:val="22"/>
          <w:szCs w:val="22"/>
        </w:rPr>
      </w:pPr>
    </w:p>
    <w:p w14:paraId="240BBA34" w14:textId="731BF186" w:rsidR="00993791" w:rsidRPr="00535C16" w:rsidRDefault="00006C6F" w:rsidP="00993791">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Es por todas estas razones, que por cuanto respecta a la temporalidad 2018-2021, deberá entregar el acuerdo de inexistencia, conforme lo establece la Ley de Transparencia y por la temporalidad 2022-2025, de la cual, aceptó contar con la información,</w:t>
      </w:r>
      <w:r w:rsidR="00D20142" w:rsidRPr="00535C16">
        <w:rPr>
          <w:rFonts w:ascii="Palatino Linotype" w:hAnsi="Palatino Linotype" w:cs="Tahoma"/>
          <w:sz w:val="22"/>
          <w:szCs w:val="22"/>
        </w:rPr>
        <w:t xml:space="preserve"> deberá hacer entrega de la </w:t>
      </w:r>
      <w:r w:rsidRPr="00535C16">
        <w:rPr>
          <w:rFonts w:ascii="Palatino Linotype" w:hAnsi="Palatino Linotype" w:cs="Tahoma"/>
          <w:sz w:val="22"/>
          <w:szCs w:val="22"/>
        </w:rPr>
        <w:t>misma</w:t>
      </w:r>
      <w:r w:rsidR="00D20142" w:rsidRPr="00535C16">
        <w:rPr>
          <w:rFonts w:ascii="Palatino Linotype" w:hAnsi="Palatino Linotype" w:cs="Tahoma"/>
          <w:sz w:val="22"/>
          <w:szCs w:val="22"/>
        </w:rPr>
        <w:t>, n</w:t>
      </w:r>
      <w:r w:rsidR="003D6B70" w:rsidRPr="00535C16">
        <w:rPr>
          <w:rFonts w:ascii="Palatino Linotype" w:hAnsi="Palatino Linotype" w:cs="Tahoma"/>
          <w:sz w:val="22"/>
          <w:szCs w:val="22"/>
        </w:rPr>
        <w:t>o obstante,</w:t>
      </w:r>
      <w:r w:rsidRPr="00535C16">
        <w:rPr>
          <w:rFonts w:ascii="Palatino Linotype" w:hAnsi="Palatino Linotype" w:cs="Tahoma"/>
          <w:sz w:val="22"/>
          <w:szCs w:val="22"/>
        </w:rPr>
        <w:t xml:space="preserve"> toda vez que </w:t>
      </w:r>
      <w:r w:rsidR="003D6B70" w:rsidRPr="00535C16">
        <w:rPr>
          <w:rFonts w:ascii="Palatino Linotype" w:hAnsi="Palatino Linotype" w:cs="Tahoma"/>
          <w:sz w:val="22"/>
          <w:szCs w:val="22"/>
        </w:rPr>
        <w:t xml:space="preserve"> </w:t>
      </w:r>
      <w:r w:rsidRPr="00535C16">
        <w:rPr>
          <w:rFonts w:ascii="Palatino Linotype" w:hAnsi="Palatino Linotype" w:cs="Tahoma"/>
          <w:sz w:val="22"/>
          <w:szCs w:val="22"/>
        </w:rPr>
        <w:t>en uno de los puntos de información se</w:t>
      </w:r>
      <w:r w:rsidR="003D6B70" w:rsidRPr="00535C16">
        <w:rPr>
          <w:rFonts w:ascii="Palatino Linotype" w:hAnsi="Palatino Linotype" w:cs="Tahoma"/>
          <w:sz w:val="22"/>
          <w:szCs w:val="22"/>
        </w:rPr>
        <w:t xml:space="preserve"> señala que requiere la información, con las coordenadas geográficas, establecidas en el lugar de la intervención</w:t>
      </w:r>
      <w:r w:rsidRPr="00535C16">
        <w:rPr>
          <w:rFonts w:ascii="Palatino Linotype" w:hAnsi="Palatino Linotype" w:cs="Tahoma"/>
          <w:sz w:val="22"/>
          <w:szCs w:val="22"/>
        </w:rPr>
        <w:t xml:space="preserve"> es información que no tiene la obligación de poseer conforme el</w:t>
      </w:r>
      <w:r w:rsidR="004A6943" w:rsidRPr="00535C16">
        <w:rPr>
          <w:rFonts w:ascii="Palatino Linotype" w:hAnsi="Palatino Linotype" w:cs="Tahoma"/>
          <w:sz w:val="22"/>
          <w:szCs w:val="22"/>
        </w:rPr>
        <w:t xml:space="preserve"> décimo primero de los Lineamientos para el Llenado, Entrega, Recepción, Registro, Resguardo y Consulta del Informe Policial Homologado, publicado en el DOF el 24 de febrero de 2020, que contempla en su fracción VI, </w:t>
      </w:r>
      <w:r w:rsidRPr="00535C16">
        <w:rPr>
          <w:rFonts w:ascii="Palatino Linotype" w:hAnsi="Palatino Linotype" w:cs="Tahoma"/>
          <w:sz w:val="22"/>
          <w:szCs w:val="22"/>
        </w:rPr>
        <w:t xml:space="preserve">que contempla </w:t>
      </w:r>
      <w:r w:rsidR="004A6943" w:rsidRPr="00535C16">
        <w:rPr>
          <w:rFonts w:ascii="Palatino Linotype" w:hAnsi="Palatino Linotype" w:cs="Tahoma"/>
          <w:sz w:val="22"/>
          <w:szCs w:val="22"/>
        </w:rPr>
        <w:t xml:space="preserve">el colocar la ubicación del o </w:t>
      </w:r>
      <w:r w:rsidRPr="00535C16">
        <w:rPr>
          <w:rFonts w:ascii="Palatino Linotype" w:hAnsi="Palatino Linotype" w:cs="Tahoma"/>
          <w:sz w:val="22"/>
          <w:szCs w:val="22"/>
        </w:rPr>
        <w:t xml:space="preserve">de los </w:t>
      </w:r>
      <w:r w:rsidR="004A6943" w:rsidRPr="00535C16">
        <w:rPr>
          <w:rFonts w:ascii="Palatino Linotype" w:hAnsi="Palatino Linotype" w:cs="Tahoma"/>
          <w:sz w:val="22"/>
          <w:szCs w:val="22"/>
        </w:rPr>
        <w:t>lugares de la intervención o actuación</w:t>
      </w:r>
      <w:r w:rsidRPr="00535C16">
        <w:rPr>
          <w:rFonts w:ascii="Palatino Linotype" w:hAnsi="Palatino Linotype" w:cs="Tahoma"/>
          <w:sz w:val="22"/>
          <w:szCs w:val="22"/>
        </w:rPr>
        <w:t>,</w:t>
      </w:r>
      <w:r w:rsidR="00993791" w:rsidRPr="00535C16">
        <w:rPr>
          <w:rFonts w:ascii="Palatino Linotype" w:hAnsi="Palatino Linotype" w:cs="Tahoma"/>
          <w:sz w:val="22"/>
          <w:szCs w:val="22"/>
        </w:rPr>
        <w:t xml:space="preserve"> por lo que la información se debe proporcionar con el mayor</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grado de desagregación posible, ya que al nivel que solicita el Particular, confiere al Sujeto</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Obligado a practicar una investigación, por lo que el derecho de acceso a la información</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pública se satisface en aquellos casos en que se entregue el soporte documental en el que conste</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la información solicitada, sin necesidad de elaborar documentos ad hoc; lo cual, toma sustento</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en el artículo 160 de la Ley de Transparencia y Acceso a la Información Pública del Estado de</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México y Municipios, el cual refiere que los sujetos obligados deberán entregar la información</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que obre en sus archivos. Además, resulta aplicable el Criterio 03/17 del Instituto Nacional de</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Transparencia, Acceso a la Información y Protección de Datos Personales que a continuación</w:t>
      </w:r>
      <w:r w:rsidR="004A6943" w:rsidRPr="00535C16">
        <w:rPr>
          <w:rFonts w:ascii="Palatino Linotype" w:hAnsi="Palatino Linotype" w:cs="Tahoma"/>
          <w:sz w:val="22"/>
          <w:szCs w:val="22"/>
        </w:rPr>
        <w:t xml:space="preserve"> </w:t>
      </w:r>
      <w:r w:rsidR="00993791" w:rsidRPr="00535C16">
        <w:rPr>
          <w:rFonts w:ascii="Palatino Linotype" w:hAnsi="Palatino Linotype" w:cs="Tahoma"/>
          <w:sz w:val="22"/>
          <w:szCs w:val="22"/>
        </w:rPr>
        <w:t>se cita:</w:t>
      </w:r>
    </w:p>
    <w:p w14:paraId="13EBED03" w14:textId="77777777" w:rsidR="00993791" w:rsidRPr="00535C16" w:rsidRDefault="00993791" w:rsidP="00993791">
      <w:pPr>
        <w:spacing w:line="360" w:lineRule="auto"/>
        <w:ind w:right="-93"/>
        <w:jc w:val="both"/>
        <w:rPr>
          <w:rFonts w:ascii="Palatino Linotype" w:hAnsi="Palatino Linotype" w:cs="Tahoma"/>
          <w:sz w:val="22"/>
          <w:szCs w:val="22"/>
        </w:rPr>
      </w:pPr>
    </w:p>
    <w:p w14:paraId="5541E018" w14:textId="6765404A" w:rsidR="00993791" w:rsidRPr="00535C16" w:rsidRDefault="00993791" w:rsidP="004A6943">
      <w:pPr>
        <w:spacing w:line="360" w:lineRule="auto"/>
        <w:ind w:left="567" w:right="567"/>
        <w:jc w:val="both"/>
        <w:rPr>
          <w:rFonts w:ascii="Palatino Linotype" w:hAnsi="Palatino Linotype" w:cs="Tahoma"/>
          <w:i/>
          <w:iCs/>
        </w:rPr>
      </w:pPr>
      <w:r w:rsidRPr="00535C16">
        <w:rPr>
          <w:rFonts w:ascii="Palatino Linotype" w:hAnsi="Palatino Linotype" w:cs="Tahoma"/>
          <w:i/>
          <w:iCs/>
        </w:rPr>
        <w:t>“No existe obligación de elaborar documentos ad hoc para atender las solicitudes de</w:t>
      </w:r>
      <w:r w:rsidR="004A6943" w:rsidRPr="00535C16">
        <w:rPr>
          <w:rFonts w:ascii="Palatino Linotype" w:hAnsi="Palatino Linotype" w:cs="Tahoma"/>
          <w:i/>
          <w:iCs/>
        </w:rPr>
        <w:t xml:space="preserve"> </w:t>
      </w:r>
      <w:r w:rsidRPr="00535C16">
        <w:rPr>
          <w:rFonts w:ascii="Palatino Linotype" w:hAnsi="Palatino Linotype" w:cs="Tahoma"/>
          <w:i/>
          <w:iCs/>
        </w:rPr>
        <w:t>acceso a la información. Los artículos 129 de la Ley General de Transparencia y Acceso a la</w:t>
      </w:r>
      <w:r w:rsidR="004A6943" w:rsidRPr="00535C16">
        <w:rPr>
          <w:rFonts w:ascii="Palatino Linotype" w:hAnsi="Palatino Linotype" w:cs="Tahoma"/>
          <w:i/>
          <w:iCs/>
        </w:rPr>
        <w:t xml:space="preserve"> </w:t>
      </w:r>
      <w:r w:rsidRPr="00535C16">
        <w:rPr>
          <w:rFonts w:ascii="Palatino Linotype" w:hAnsi="Palatino Linotype" w:cs="Tahoma"/>
          <w:i/>
          <w:iCs/>
        </w:rPr>
        <w:t>Información Pública y 130, párrafo cuarto, de la Ley Federal de Transparencia y Acceso a la</w:t>
      </w:r>
      <w:r w:rsidR="004A6943" w:rsidRPr="00535C16">
        <w:rPr>
          <w:rFonts w:ascii="Palatino Linotype" w:hAnsi="Palatino Linotype" w:cs="Tahoma"/>
          <w:i/>
          <w:iCs/>
        </w:rPr>
        <w:t xml:space="preserve"> </w:t>
      </w:r>
      <w:r w:rsidRPr="00535C16">
        <w:rPr>
          <w:rFonts w:ascii="Palatino Linotype" w:hAnsi="Palatino Linotype" w:cs="Tahoma"/>
          <w:i/>
          <w:iCs/>
        </w:rPr>
        <w:t>Información Pública, señalan que los sujetos obligados deberán otorgar acceso a los documentos que</w:t>
      </w:r>
      <w:r w:rsidR="004A6943" w:rsidRPr="00535C16">
        <w:rPr>
          <w:rFonts w:ascii="Palatino Linotype" w:hAnsi="Palatino Linotype" w:cs="Tahoma"/>
          <w:i/>
          <w:iCs/>
        </w:rPr>
        <w:t xml:space="preserve"> </w:t>
      </w:r>
      <w:r w:rsidRPr="00535C16">
        <w:rPr>
          <w:rFonts w:ascii="Palatino Linotype" w:hAnsi="Palatino Linotype" w:cs="Tahoma"/>
          <w:i/>
          <w:iCs/>
        </w:rPr>
        <w:t>se encuentren en sus archivos o que estén obligados a documentar, de acuerdo con sus facultades,</w:t>
      </w:r>
      <w:r w:rsidR="004A6943" w:rsidRPr="00535C16">
        <w:rPr>
          <w:rFonts w:ascii="Palatino Linotype" w:hAnsi="Palatino Linotype" w:cs="Tahoma"/>
          <w:i/>
          <w:iCs/>
        </w:rPr>
        <w:t xml:space="preserve"> </w:t>
      </w:r>
      <w:r w:rsidRPr="00535C16">
        <w:rPr>
          <w:rFonts w:ascii="Palatino Linotype" w:hAnsi="Palatino Linotype" w:cs="Tahoma"/>
          <w:i/>
          <w:iCs/>
        </w:rPr>
        <w:t>competencias o funciones, conforme a las características físicas de la información o del lugar donde</w:t>
      </w:r>
      <w:r w:rsidR="004A6943" w:rsidRPr="00535C16">
        <w:rPr>
          <w:rFonts w:ascii="Palatino Linotype" w:hAnsi="Palatino Linotype" w:cs="Tahoma"/>
          <w:i/>
          <w:iCs/>
        </w:rPr>
        <w:t xml:space="preserve"> </w:t>
      </w:r>
      <w:r w:rsidRPr="00535C16">
        <w:rPr>
          <w:rFonts w:ascii="Palatino Linotype" w:hAnsi="Palatino Linotype" w:cs="Tahoma"/>
          <w:i/>
          <w:iCs/>
        </w:rPr>
        <w:t>se encuentre. Por lo anterior, los sujetos obligados deben garantizar el derecho de acceso a la</w:t>
      </w:r>
      <w:r w:rsidR="004A6943" w:rsidRPr="00535C16">
        <w:rPr>
          <w:rFonts w:ascii="Palatino Linotype" w:hAnsi="Palatino Linotype" w:cs="Tahoma"/>
          <w:i/>
          <w:iCs/>
        </w:rPr>
        <w:t xml:space="preserve"> </w:t>
      </w:r>
      <w:r w:rsidRPr="00535C16">
        <w:rPr>
          <w:rFonts w:ascii="Palatino Linotype" w:hAnsi="Palatino Linotype" w:cs="Tahoma"/>
          <w:i/>
          <w:iCs/>
        </w:rPr>
        <w:t>información del particular, proporcionando la información con la que cuentan en el formato en que</w:t>
      </w:r>
      <w:r w:rsidR="004A6943" w:rsidRPr="00535C16">
        <w:rPr>
          <w:rFonts w:ascii="Palatino Linotype" w:hAnsi="Palatino Linotype" w:cs="Tahoma"/>
          <w:i/>
          <w:iCs/>
        </w:rPr>
        <w:t xml:space="preserve"> </w:t>
      </w:r>
      <w:r w:rsidRPr="00535C16">
        <w:rPr>
          <w:rFonts w:ascii="Palatino Linotype" w:hAnsi="Palatino Linotype" w:cs="Tahoma"/>
          <w:i/>
          <w:iCs/>
        </w:rPr>
        <w:t>la misma obre en sus archivos; sin necesidad de elaborar documentos ad hoc para atender las</w:t>
      </w:r>
      <w:r w:rsidR="004A6943" w:rsidRPr="00535C16">
        <w:rPr>
          <w:rFonts w:ascii="Palatino Linotype" w:hAnsi="Palatino Linotype" w:cs="Tahoma"/>
          <w:i/>
          <w:iCs/>
        </w:rPr>
        <w:t xml:space="preserve"> </w:t>
      </w:r>
      <w:r w:rsidRPr="00535C16">
        <w:rPr>
          <w:rFonts w:ascii="Palatino Linotype" w:hAnsi="Palatino Linotype" w:cs="Tahoma"/>
          <w:i/>
          <w:iCs/>
        </w:rPr>
        <w:t>solicitudes de información.”</w:t>
      </w:r>
    </w:p>
    <w:p w14:paraId="06A11C6A" w14:textId="77777777" w:rsidR="00993791" w:rsidRPr="00535C16" w:rsidRDefault="00993791" w:rsidP="00993791">
      <w:pPr>
        <w:spacing w:line="360" w:lineRule="auto"/>
        <w:ind w:right="-93"/>
        <w:jc w:val="both"/>
        <w:rPr>
          <w:rFonts w:ascii="Palatino Linotype" w:hAnsi="Palatino Linotype" w:cs="Tahoma"/>
          <w:sz w:val="22"/>
          <w:szCs w:val="22"/>
        </w:rPr>
      </w:pPr>
    </w:p>
    <w:p w14:paraId="1B30896B" w14:textId="2C005C06" w:rsidR="00993791" w:rsidRPr="00535C16" w:rsidRDefault="00993791" w:rsidP="00993791">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De tales circunstancias, se concluye que los sujetos obligados únicamente se encuentran</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constreñidos a proporcionar los documentos que den cuenta de la información solicitada,</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como obren en sus archivos, sin tener que elaborarlos a las necesidades del Recurrente.</w:t>
      </w:r>
    </w:p>
    <w:p w14:paraId="0930AD00" w14:textId="77777777" w:rsidR="009D6912" w:rsidRPr="00535C16" w:rsidRDefault="009D6912" w:rsidP="00993791">
      <w:pPr>
        <w:spacing w:line="360" w:lineRule="auto"/>
        <w:ind w:right="-93"/>
        <w:jc w:val="both"/>
        <w:rPr>
          <w:rFonts w:ascii="Palatino Linotype" w:hAnsi="Palatino Linotype" w:cs="Tahoma"/>
          <w:sz w:val="22"/>
          <w:szCs w:val="22"/>
        </w:rPr>
      </w:pPr>
    </w:p>
    <w:p w14:paraId="0E60F1EA" w14:textId="38AAD2E9" w:rsidR="009D6912" w:rsidRPr="00535C16" w:rsidRDefault="009D6912" w:rsidP="009D691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Además, en el caso de que las coordenadas permitan identificar el lugar específico de la</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posible comisión de un delito y dicho sitio sea un domicilio particular, la información actualiza</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la causal de confidencialidad establecida en el artículo 143, fracción I de la Ley de la materia,</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por tratarse de datos personales ya que se hace identificable la vivienda de una o varias</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personas con la posible comisión de un delito por lo que incluso, no procedería su entrega.</w:t>
      </w:r>
    </w:p>
    <w:p w14:paraId="78CF8E08" w14:textId="77777777" w:rsidR="000A5E89" w:rsidRPr="00535C16" w:rsidRDefault="000A5E89" w:rsidP="009D6912">
      <w:pPr>
        <w:spacing w:line="360" w:lineRule="auto"/>
        <w:ind w:right="-93"/>
        <w:jc w:val="both"/>
        <w:rPr>
          <w:rFonts w:ascii="Palatino Linotype" w:hAnsi="Palatino Linotype" w:cs="Tahoma"/>
          <w:sz w:val="22"/>
          <w:szCs w:val="22"/>
        </w:rPr>
      </w:pPr>
    </w:p>
    <w:p w14:paraId="131F4E5A" w14:textId="5ED8AB2F" w:rsidR="000A5E89" w:rsidRPr="00535C16" w:rsidRDefault="000A5E89" w:rsidP="009D691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No se omite señalar que no existe fuente obligacional, para el registro estadístico de las faltas administrativas, por lo cual, de no obran en sus archivos, bastará con hacerlo del conocimiento al Particular en dichos términos.</w:t>
      </w:r>
    </w:p>
    <w:p w14:paraId="4FC92F3F" w14:textId="77777777" w:rsidR="00F82EAD" w:rsidRPr="00535C16" w:rsidRDefault="00F82EAD" w:rsidP="000F51D3">
      <w:pPr>
        <w:spacing w:line="360" w:lineRule="auto"/>
        <w:ind w:right="-93"/>
        <w:jc w:val="both"/>
        <w:rPr>
          <w:rFonts w:ascii="Palatino Linotype" w:hAnsi="Palatino Linotype" w:cs="Tahoma"/>
          <w:sz w:val="22"/>
          <w:szCs w:val="22"/>
        </w:rPr>
      </w:pPr>
    </w:p>
    <w:p w14:paraId="20396E4B" w14:textId="5D30771E" w:rsidR="009D6912" w:rsidRPr="00535C16" w:rsidRDefault="009D6912" w:rsidP="000F51D3">
      <w:pPr>
        <w:spacing w:line="360" w:lineRule="auto"/>
        <w:ind w:right="-93"/>
        <w:jc w:val="both"/>
        <w:rPr>
          <w:rFonts w:ascii="Palatino Linotype" w:hAnsi="Palatino Linotype" w:cs="Tahoma"/>
          <w:b/>
          <w:bCs/>
          <w:sz w:val="22"/>
          <w:szCs w:val="22"/>
        </w:rPr>
      </w:pPr>
      <w:r w:rsidRPr="00535C16">
        <w:rPr>
          <w:rFonts w:ascii="Palatino Linotype" w:hAnsi="Palatino Linotype" w:cs="Tahoma"/>
          <w:b/>
          <w:bCs/>
          <w:sz w:val="22"/>
          <w:szCs w:val="22"/>
        </w:rPr>
        <w:t>Versión Pública.</w:t>
      </w:r>
    </w:p>
    <w:p w14:paraId="43653DAE" w14:textId="77777777" w:rsidR="009D6912" w:rsidRPr="00535C16" w:rsidRDefault="009D6912" w:rsidP="000F51D3">
      <w:pPr>
        <w:spacing w:line="360" w:lineRule="auto"/>
        <w:ind w:right="-93"/>
        <w:jc w:val="both"/>
        <w:rPr>
          <w:rFonts w:ascii="Palatino Linotype" w:hAnsi="Palatino Linotype" w:cs="Tahoma"/>
          <w:sz w:val="22"/>
          <w:szCs w:val="22"/>
        </w:rPr>
      </w:pPr>
    </w:p>
    <w:p w14:paraId="6B4B5DDE" w14:textId="205E3CFA" w:rsidR="009D6912" w:rsidRPr="00535C16" w:rsidRDefault="009D6912" w:rsidP="009D691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Como ya se hizo la referencia, entre los documentos solicitados por el Particular puede haber</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información susceptible de ser clasificada como confidencial, por lo que, el Sujeto Obligado</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deberá elaborar las versiones públicas respectivas, de conformidad con los artículos 49,</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fracciones II y VIII, 143, fracción I y 149 de la Ley de Transparencia y Acceso a la Información</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Pública del Estado de México y Municipios.</w:t>
      </w:r>
    </w:p>
    <w:p w14:paraId="4B58C07B" w14:textId="77777777" w:rsidR="009D6912" w:rsidRPr="00535C16" w:rsidRDefault="009D6912" w:rsidP="009D6912">
      <w:pPr>
        <w:spacing w:line="360" w:lineRule="auto"/>
        <w:ind w:right="-93"/>
        <w:jc w:val="both"/>
        <w:rPr>
          <w:rFonts w:ascii="Palatino Linotype" w:hAnsi="Palatino Linotype" w:cs="Tahoma"/>
          <w:sz w:val="22"/>
          <w:szCs w:val="22"/>
        </w:rPr>
      </w:pPr>
    </w:p>
    <w:p w14:paraId="0A3ABBBB" w14:textId="5BD847CD" w:rsidR="009D6912" w:rsidRPr="00535C16" w:rsidRDefault="009D6912" w:rsidP="009D691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Al respecto de la versión pública, se precisa que la Ley General de Transparencia y Acceso a</w:t>
      </w:r>
      <w:r w:rsidR="00B955D4" w:rsidRPr="00535C16">
        <w:rPr>
          <w:rFonts w:ascii="Palatino Linotype" w:hAnsi="Palatino Linotype" w:cs="Tahoma"/>
          <w:sz w:val="22"/>
          <w:szCs w:val="22"/>
        </w:rPr>
        <w:t xml:space="preserve"> </w:t>
      </w:r>
      <w:r w:rsidRPr="00535C16">
        <w:rPr>
          <w:rFonts w:ascii="Palatino Linotype" w:hAnsi="Palatino Linotype" w:cs="Tahoma"/>
          <w:sz w:val="22"/>
          <w:szCs w:val="22"/>
        </w:rPr>
        <w:t>la Información Pública, en su artículo 116, dispone que se considera información confidencial</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la que contenga datos personales concernientes a una persona física identificada o</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identificable.</w:t>
      </w:r>
    </w:p>
    <w:p w14:paraId="42EF0D34" w14:textId="77777777" w:rsidR="00B97CDA" w:rsidRPr="00535C16" w:rsidRDefault="00B97CDA" w:rsidP="009D6912">
      <w:pPr>
        <w:spacing w:line="360" w:lineRule="auto"/>
        <w:ind w:right="-93"/>
        <w:jc w:val="both"/>
        <w:rPr>
          <w:rFonts w:ascii="Palatino Linotype" w:hAnsi="Palatino Linotype" w:cs="Tahoma"/>
          <w:sz w:val="22"/>
          <w:szCs w:val="22"/>
        </w:rPr>
      </w:pPr>
    </w:p>
    <w:p w14:paraId="411F2B87" w14:textId="58A1DF68" w:rsidR="00B97CDA" w:rsidRPr="00535C16" w:rsidRDefault="00B97CDA" w:rsidP="00B97CDA">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De la misma manera, el artículo 5°, fracciones I y II de la Constitución Política del Estado Libre</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y Soberano de México, prevé que toda la información en posesión de los Sujetos Obligados</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será pública; no obstante, aquella referente a la intimidad de la vida privada y la imagen de</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las personas, será protegida a través de un marco jurídico rígido, de tratamiento y manejo de</w:t>
      </w:r>
      <w:r w:rsidR="00F0288F" w:rsidRPr="00535C16">
        <w:rPr>
          <w:rFonts w:ascii="Palatino Linotype" w:hAnsi="Palatino Linotype" w:cs="Tahoma"/>
          <w:sz w:val="22"/>
          <w:szCs w:val="22"/>
        </w:rPr>
        <w:t xml:space="preserve"> </w:t>
      </w:r>
      <w:r w:rsidRPr="00535C16">
        <w:rPr>
          <w:rFonts w:ascii="Palatino Linotype" w:hAnsi="Palatino Linotype" w:cs="Tahoma"/>
          <w:sz w:val="22"/>
          <w:szCs w:val="22"/>
        </w:rPr>
        <w:t>datos personales.</w:t>
      </w:r>
    </w:p>
    <w:p w14:paraId="60750F36" w14:textId="77777777" w:rsidR="00B97CDA" w:rsidRPr="00535C16" w:rsidRDefault="00B97CDA" w:rsidP="00B97CDA">
      <w:pPr>
        <w:spacing w:line="360" w:lineRule="auto"/>
        <w:ind w:right="-93"/>
        <w:jc w:val="both"/>
        <w:rPr>
          <w:rFonts w:ascii="Palatino Linotype" w:hAnsi="Palatino Linotype" w:cs="Tahoma"/>
          <w:sz w:val="22"/>
          <w:szCs w:val="22"/>
        </w:rPr>
      </w:pPr>
    </w:p>
    <w:p w14:paraId="6A21E425" w14:textId="0578E2A6" w:rsidR="00B97CDA" w:rsidRPr="00535C16" w:rsidRDefault="00B97CDA" w:rsidP="00B97CDA">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Por su parte, el artículo 24, fracción VI, de la Ley de Transparencia y Acceso a la Información</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Pública del Estado de México y Municipios, precisa que los Sujetos Obligados serán los</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responsables de proteger y resguardar la información clasificada como reservada o</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confidencial.</w:t>
      </w:r>
    </w:p>
    <w:p w14:paraId="2FE683E3" w14:textId="77777777" w:rsidR="00B97CDA" w:rsidRPr="00535C16" w:rsidRDefault="00B97CDA" w:rsidP="00B97CDA">
      <w:pPr>
        <w:spacing w:line="360" w:lineRule="auto"/>
        <w:ind w:right="-93"/>
        <w:jc w:val="both"/>
        <w:rPr>
          <w:rFonts w:ascii="Palatino Linotype" w:hAnsi="Palatino Linotype" w:cs="Tahoma"/>
          <w:sz w:val="22"/>
          <w:szCs w:val="22"/>
        </w:rPr>
      </w:pPr>
    </w:p>
    <w:p w14:paraId="74A22737" w14:textId="4DEE9B4A" w:rsidR="00B97CDA" w:rsidRPr="00535C16" w:rsidRDefault="00B97CDA" w:rsidP="00B97CDA">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concordancia con lo previo, el artículo 143, fracción I, de la Ley previamente citada,</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establece</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que la información privada y los datos personales, concernientes a una persona física</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o jurídica colectiva identificada o identificable son confidenciales.</w:t>
      </w:r>
    </w:p>
    <w:p w14:paraId="4C69297D" w14:textId="77777777" w:rsidR="00B97CDA" w:rsidRPr="00535C16" w:rsidRDefault="00B97CDA" w:rsidP="00B97CDA">
      <w:pPr>
        <w:spacing w:line="360" w:lineRule="auto"/>
        <w:ind w:right="-93"/>
        <w:jc w:val="both"/>
        <w:rPr>
          <w:rFonts w:ascii="Palatino Linotype" w:hAnsi="Palatino Linotype" w:cs="Tahoma"/>
          <w:sz w:val="22"/>
          <w:szCs w:val="22"/>
        </w:rPr>
      </w:pPr>
    </w:p>
    <w:p w14:paraId="696C00B5" w14:textId="0D7B0982" w:rsidR="00341572" w:rsidRPr="00535C16" w:rsidRDefault="00B97CDA" w:rsidP="0034157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Asimismo, en el artículo 145 de la Ley de Transparencia y Acceso a la Información Pública del</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Estado de México y Municipios, prevé que para que los Sujetos Obligados puedan permitir el</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acceso a la información confidencial, requieren obtener el consentimiento de los particulares</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titulares de la información, excepto cuando i) la información se encuentre en registros públicos</w:t>
      </w:r>
      <w:r w:rsidR="00DD17D2"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o fuentes de acceso público, </w:t>
      </w:r>
      <w:proofErr w:type="spellStart"/>
      <w:r w:rsidRPr="00535C16">
        <w:rPr>
          <w:rFonts w:ascii="Palatino Linotype" w:hAnsi="Palatino Linotype" w:cs="Tahoma"/>
          <w:sz w:val="22"/>
          <w:szCs w:val="22"/>
        </w:rPr>
        <w:t>ii</w:t>
      </w:r>
      <w:proofErr w:type="spellEnd"/>
      <w:r w:rsidRPr="00535C16">
        <w:rPr>
          <w:rFonts w:ascii="Palatino Linotype" w:hAnsi="Palatino Linotype" w:cs="Tahoma"/>
          <w:sz w:val="22"/>
          <w:szCs w:val="22"/>
        </w:rPr>
        <w:t xml:space="preserve">) por ley tenga el carácter de pública, </w:t>
      </w:r>
      <w:proofErr w:type="spellStart"/>
      <w:r w:rsidRPr="00535C16">
        <w:rPr>
          <w:rFonts w:ascii="Palatino Linotype" w:hAnsi="Palatino Linotype" w:cs="Tahoma"/>
          <w:sz w:val="22"/>
          <w:szCs w:val="22"/>
        </w:rPr>
        <w:t>iii</w:t>
      </w:r>
      <w:proofErr w:type="spellEnd"/>
      <w:r w:rsidRPr="00535C16">
        <w:rPr>
          <w:rFonts w:ascii="Palatino Linotype" w:hAnsi="Palatino Linotype" w:cs="Tahoma"/>
          <w:sz w:val="22"/>
          <w:szCs w:val="22"/>
        </w:rPr>
        <w:t>) exista una orden</w:t>
      </w:r>
      <w:r w:rsidR="00640BE3"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judicial, </w:t>
      </w:r>
      <w:proofErr w:type="spellStart"/>
      <w:r w:rsidRPr="00535C16">
        <w:rPr>
          <w:rFonts w:ascii="Palatino Linotype" w:hAnsi="Palatino Linotype" w:cs="Tahoma"/>
          <w:sz w:val="22"/>
          <w:szCs w:val="22"/>
        </w:rPr>
        <w:t>iv</w:t>
      </w:r>
      <w:proofErr w:type="spellEnd"/>
      <w:r w:rsidRPr="00535C16">
        <w:rPr>
          <w:rFonts w:ascii="Palatino Linotype" w:hAnsi="Palatino Linotype" w:cs="Tahoma"/>
          <w:sz w:val="22"/>
          <w:szCs w:val="22"/>
        </w:rPr>
        <w:t>) por razones de seguridad nacional y salubridad general o v) para proteger los</w:t>
      </w:r>
      <w:r w:rsidR="00341572" w:rsidRPr="00535C16">
        <w:rPr>
          <w:rFonts w:ascii="Palatino Linotype" w:hAnsi="Palatino Linotype" w:cs="Tahoma"/>
          <w:sz w:val="22"/>
          <w:szCs w:val="22"/>
        </w:rPr>
        <w:t xml:space="preserve"> derechos de terceros o cuando se transmita entre sujetos obligados en términos de los tratados</w:t>
      </w:r>
    </w:p>
    <w:p w14:paraId="5F87273B" w14:textId="6F640B80" w:rsidR="00B97CDA" w:rsidRPr="00535C16" w:rsidRDefault="00341572" w:rsidP="0034157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y los acuerdos interinstitucionales.</w:t>
      </w:r>
    </w:p>
    <w:p w14:paraId="27D196BF" w14:textId="77777777" w:rsidR="00341572" w:rsidRPr="00535C16" w:rsidRDefault="00341572" w:rsidP="00341572">
      <w:pPr>
        <w:spacing w:line="360" w:lineRule="auto"/>
        <w:ind w:right="-93"/>
        <w:jc w:val="both"/>
        <w:rPr>
          <w:rFonts w:ascii="Palatino Linotype" w:hAnsi="Palatino Linotype" w:cs="Tahoma"/>
          <w:sz w:val="22"/>
          <w:szCs w:val="22"/>
        </w:rPr>
      </w:pPr>
    </w:p>
    <w:p w14:paraId="5B054678" w14:textId="528D81C2" w:rsidR="00341572" w:rsidRPr="00535C16" w:rsidRDefault="00341572" w:rsidP="0034157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términos de lo expuesto, la documentación y aquellos datos que se consideren</w:t>
      </w:r>
      <w:r w:rsidR="00D56066" w:rsidRPr="00535C16">
        <w:rPr>
          <w:rFonts w:ascii="Palatino Linotype" w:hAnsi="Palatino Linotype" w:cs="Tahoma"/>
          <w:sz w:val="22"/>
          <w:szCs w:val="22"/>
        </w:rPr>
        <w:t xml:space="preserve"> </w:t>
      </w:r>
      <w:r w:rsidRPr="00535C16">
        <w:rPr>
          <w:rFonts w:ascii="Palatino Linotype" w:hAnsi="Palatino Linotype" w:cs="Tahoma"/>
          <w:sz w:val="22"/>
          <w:szCs w:val="22"/>
        </w:rPr>
        <w:t>confidenciales, serán una limitante del derecho de acceso a la información, siempre y cuando:</w:t>
      </w:r>
    </w:p>
    <w:p w14:paraId="746D4F6B" w14:textId="77777777" w:rsidR="00341572" w:rsidRPr="00535C16" w:rsidRDefault="00341572" w:rsidP="00341572">
      <w:pPr>
        <w:spacing w:line="360" w:lineRule="auto"/>
        <w:ind w:right="-93"/>
        <w:jc w:val="both"/>
        <w:rPr>
          <w:rFonts w:ascii="Palatino Linotype" w:hAnsi="Palatino Linotype" w:cs="Tahoma"/>
          <w:sz w:val="22"/>
          <w:szCs w:val="22"/>
        </w:rPr>
      </w:pPr>
    </w:p>
    <w:p w14:paraId="1BC68B49" w14:textId="77777777" w:rsidR="00F53C54" w:rsidRPr="00535C16" w:rsidRDefault="00341572" w:rsidP="00341572">
      <w:pPr>
        <w:pStyle w:val="Prrafodelista"/>
        <w:numPr>
          <w:ilvl w:val="0"/>
          <w:numId w:val="27"/>
        </w:numPr>
        <w:spacing w:line="360" w:lineRule="auto"/>
        <w:ind w:right="-93"/>
        <w:jc w:val="both"/>
        <w:rPr>
          <w:rFonts w:ascii="Palatino Linotype" w:hAnsi="Palatino Linotype" w:cs="Tahoma"/>
          <w:szCs w:val="22"/>
        </w:rPr>
      </w:pPr>
      <w:r w:rsidRPr="00535C16">
        <w:rPr>
          <w:rFonts w:ascii="Palatino Linotype" w:hAnsi="Palatino Linotype" w:cs="Tahoma"/>
          <w:szCs w:val="22"/>
        </w:rPr>
        <w:t>Se trate de datos personales o información privada; esto es, información concerniente</w:t>
      </w:r>
      <w:r w:rsidR="00F53C54" w:rsidRPr="00535C16">
        <w:rPr>
          <w:rFonts w:ascii="Palatino Linotype" w:hAnsi="Palatino Linotype" w:cs="Tahoma"/>
          <w:szCs w:val="22"/>
        </w:rPr>
        <w:t xml:space="preserve"> </w:t>
      </w:r>
      <w:r w:rsidRPr="00535C16">
        <w:rPr>
          <w:rFonts w:ascii="Palatino Linotype" w:hAnsi="Palatino Linotype" w:cs="Tahoma"/>
          <w:szCs w:val="22"/>
        </w:rPr>
        <w:t>a una persona física o jurídico colectiva y que ésta sea identificada o identificable.</w:t>
      </w:r>
    </w:p>
    <w:p w14:paraId="05A67495" w14:textId="31D1C443" w:rsidR="00341572" w:rsidRPr="00535C16" w:rsidRDefault="00341572" w:rsidP="00341572">
      <w:pPr>
        <w:pStyle w:val="Prrafodelista"/>
        <w:numPr>
          <w:ilvl w:val="0"/>
          <w:numId w:val="27"/>
        </w:numPr>
        <w:spacing w:line="360" w:lineRule="auto"/>
        <w:ind w:right="-93"/>
        <w:jc w:val="both"/>
        <w:rPr>
          <w:rFonts w:ascii="Palatino Linotype" w:hAnsi="Palatino Linotype" w:cs="Tahoma"/>
          <w:szCs w:val="22"/>
        </w:rPr>
      </w:pPr>
      <w:r w:rsidRPr="00535C16">
        <w:rPr>
          <w:rFonts w:ascii="Palatino Linotype" w:hAnsi="Palatino Linotype" w:cs="Tahoma"/>
          <w:szCs w:val="22"/>
        </w:rPr>
        <w:t>Para la difusión de los datos, se requiera el consentimiento del titular.</w:t>
      </w:r>
    </w:p>
    <w:p w14:paraId="03AAE522" w14:textId="77777777" w:rsidR="00341572" w:rsidRPr="00535C16" w:rsidRDefault="00341572" w:rsidP="00341572">
      <w:pPr>
        <w:spacing w:line="360" w:lineRule="auto"/>
        <w:ind w:right="-93"/>
        <w:jc w:val="both"/>
        <w:rPr>
          <w:rFonts w:ascii="Palatino Linotype" w:hAnsi="Palatino Linotype" w:cs="Tahoma"/>
          <w:sz w:val="22"/>
          <w:szCs w:val="22"/>
        </w:rPr>
      </w:pPr>
    </w:p>
    <w:p w14:paraId="74E9643C" w14:textId="6376307B" w:rsidR="00341572" w:rsidRPr="00535C16" w:rsidRDefault="00341572" w:rsidP="0034157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ese orden de ideas, de conformidad con el artículo 3°, fracción IX, de la Ley de</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Transparencia y Acceso a la Información Pública del Estado de México y Municipios, con</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relación el diverso 4°, fracciones XI y XII, de la Ley de Protección de Datos Personales en</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Posesión de Sujetos Obligados del Estado de México y Municipios, se advierte que son datos</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personales, la información concerniente a una persona física identificada o identificable</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(cuando su identidad pueda determinarse directa o indirectamente a través de cualquier</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documento informativo físico o electrónico), establecida en cualquier formato o modalidad. </w:t>
      </w:r>
    </w:p>
    <w:p w14:paraId="47D38287" w14:textId="77777777" w:rsidR="00F53C54" w:rsidRPr="00535C16" w:rsidRDefault="00F53C54" w:rsidP="00341572">
      <w:pPr>
        <w:spacing w:line="360" w:lineRule="auto"/>
        <w:ind w:right="-93"/>
        <w:jc w:val="both"/>
        <w:rPr>
          <w:rFonts w:ascii="Palatino Linotype" w:hAnsi="Palatino Linotype" w:cs="Tahoma"/>
          <w:sz w:val="22"/>
          <w:szCs w:val="22"/>
        </w:rPr>
      </w:pPr>
    </w:p>
    <w:p w14:paraId="7A4F3657" w14:textId="09122DA7" w:rsidR="00341572" w:rsidRPr="00535C16" w:rsidRDefault="00341572" w:rsidP="00341572">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Además, en el artículo 5° de dicho ordenamiento jurídico, establece que es la Ley aplicable</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para todo tratamiento de datos personales.</w:t>
      </w:r>
    </w:p>
    <w:p w14:paraId="7F1BFAC1" w14:textId="77777777" w:rsidR="00341572" w:rsidRPr="00535C16" w:rsidRDefault="00341572" w:rsidP="00341572">
      <w:pPr>
        <w:spacing w:line="360" w:lineRule="auto"/>
        <w:ind w:right="-93"/>
        <w:jc w:val="both"/>
        <w:rPr>
          <w:rFonts w:ascii="Palatino Linotype" w:hAnsi="Palatino Linotype" w:cs="Tahoma"/>
          <w:sz w:val="22"/>
          <w:szCs w:val="22"/>
        </w:rPr>
      </w:pPr>
    </w:p>
    <w:p w14:paraId="2DF8EEC2" w14:textId="063F632B" w:rsidR="00341572" w:rsidRPr="00535C16" w:rsidRDefault="00341572"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ese orden de ideas, los artículos 6°, 7°, 8° y 14 de la Ley de Protección de Datos Personales</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en Posesión de Sujetos Obligados del Estado de México y Municipios, disponen que los</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responsables del tratamiento de datos personales, deben observar los principios de licitud,</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consentimiento, información, calidad, lealtad, finalidad, proporcionalidad y responsabilidad;</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además, que dicho tratamiento deberá obedecer exclusivamente a sus atribuciones legales y</w:t>
      </w:r>
      <w:r w:rsidR="00592145" w:rsidRPr="00535C16">
        <w:rPr>
          <w:rFonts w:ascii="Palatino Linotype" w:hAnsi="Palatino Linotype" w:cs="Tahoma"/>
          <w:sz w:val="22"/>
          <w:szCs w:val="22"/>
        </w:rPr>
        <w:t xml:space="preserve"> con el consentimiento de su titular, además de que debe estar justificado en ley (principio de</w:t>
      </w:r>
      <w:r w:rsidR="00F53C54" w:rsidRPr="00535C16">
        <w:rPr>
          <w:rFonts w:ascii="Palatino Linotype" w:hAnsi="Palatino Linotype" w:cs="Tahoma"/>
          <w:sz w:val="22"/>
          <w:szCs w:val="22"/>
        </w:rPr>
        <w:t xml:space="preserve"> </w:t>
      </w:r>
      <w:r w:rsidR="00592145" w:rsidRPr="00535C16">
        <w:rPr>
          <w:rFonts w:ascii="Palatino Linotype" w:hAnsi="Palatino Linotype" w:cs="Tahoma"/>
          <w:sz w:val="22"/>
          <w:szCs w:val="22"/>
        </w:rPr>
        <w:t>finalidad).</w:t>
      </w:r>
    </w:p>
    <w:p w14:paraId="4FA7CAEB" w14:textId="77777777" w:rsidR="00592145" w:rsidRPr="00535C16" w:rsidRDefault="00592145" w:rsidP="00592145">
      <w:pPr>
        <w:spacing w:line="360" w:lineRule="auto"/>
        <w:ind w:right="-93"/>
        <w:jc w:val="both"/>
        <w:rPr>
          <w:rFonts w:ascii="Palatino Linotype" w:hAnsi="Palatino Linotype" w:cs="Tahoma"/>
          <w:sz w:val="22"/>
          <w:szCs w:val="22"/>
        </w:rPr>
      </w:pPr>
    </w:p>
    <w:p w14:paraId="024C7A8F" w14:textId="088A2522"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Por tales situaciones, un dato personal es cualquier información que pueda hacer a una</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persona física identificada e identificable, como su nombre o imagen. Asimismo, la doctrina</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desarrollada a nivel internacional, respecto del tema de datos personales, establece que</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también las preferencias, gustos, cualidades, opiniones y creencias, constituyen datos</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personales. En este sentido, cualquier información que por sí sola o relacionada con otra</w:t>
      </w:r>
      <w:r w:rsidR="00F53C54" w:rsidRPr="00535C16">
        <w:rPr>
          <w:rFonts w:ascii="Palatino Linotype" w:hAnsi="Palatino Linotype" w:cs="Tahoma"/>
          <w:sz w:val="22"/>
          <w:szCs w:val="22"/>
        </w:rPr>
        <w:t xml:space="preserve"> </w:t>
      </w:r>
      <w:r w:rsidRPr="00535C16">
        <w:rPr>
          <w:rFonts w:ascii="Palatino Linotype" w:hAnsi="Palatino Linotype" w:cs="Tahoma"/>
          <w:sz w:val="22"/>
          <w:szCs w:val="22"/>
        </w:rPr>
        <w:t>permita hacer identificable a una persona, es un dato personal, susceptible de ser clasificado.</w:t>
      </w:r>
    </w:p>
    <w:p w14:paraId="4B066616" w14:textId="77777777" w:rsidR="00592145" w:rsidRPr="00535C16" w:rsidRDefault="00592145" w:rsidP="00592145">
      <w:pPr>
        <w:spacing w:line="360" w:lineRule="auto"/>
        <w:ind w:right="-93"/>
        <w:jc w:val="both"/>
        <w:rPr>
          <w:rFonts w:ascii="Palatino Linotype" w:hAnsi="Palatino Linotype" w:cs="Tahoma"/>
          <w:sz w:val="22"/>
          <w:szCs w:val="22"/>
        </w:rPr>
      </w:pPr>
    </w:p>
    <w:p w14:paraId="4C55282F" w14:textId="3C5D9EA8"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este contexto, la confidencialidad de los datos personales tiene por objetivo establecer el</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límite del derecho de acceso a la información a partir del derecho a la intimidad y la vida</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privada de los individuos. Sobre el particular, el legislador realizó un análisis en donde se</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ponderaban dos derechos: el derecho a la intimidad y la protección de los datos personales</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versus el interés público de conocer el ejercicio de atribuciones y de recursos públicos de las</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instituciones y es a partir de ahí, en donde las instituciones públicas deben determinar la</w:t>
      </w:r>
      <w:r w:rsidR="00CB5EF8" w:rsidRPr="00535C16">
        <w:rPr>
          <w:rFonts w:ascii="Palatino Linotype" w:hAnsi="Palatino Linotype" w:cs="Tahoma"/>
          <w:sz w:val="22"/>
          <w:szCs w:val="22"/>
        </w:rPr>
        <w:t xml:space="preserve"> </w:t>
      </w:r>
      <w:r w:rsidRPr="00535C16">
        <w:rPr>
          <w:rFonts w:ascii="Palatino Linotype" w:hAnsi="Palatino Linotype" w:cs="Tahoma"/>
          <w:sz w:val="22"/>
          <w:szCs w:val="22"/>
        </w:rPr>
        <w:t>publicidad de su información.</w:t>
      </w:r>
    </w:p>
    <w:p w14:paraId="79F3656B" w14:textId="77777777" w:rsidR="00592145" w:rsidRPr="00535C16" w:rsidRDefault="00592145" w:rsidP="00592145">
      <w:pPr>
        <w:spacing w:line="360" w:lineRule="auto"/>
        <w:ind w:right="-93"/>
        <w:jc w:val="both"/>
        <w:rPr>
          <w:rFonts w:ascii="Palatino Linotype" w:hAnsi="Palatino Linotype" w:cs="Tahoma"/>
          <w:sz w:val="22"/>
          <w:szCs w:val="22"/>
        </w:rPr>
      </w:pPr>
    </w:p>
    <w:p w14:paraId="581997A2" w14:textId="677011B1"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De tal suerte, las instituciones públicas tienen la doble responsabilidad, por un lado, de</w:t>
      </w:r>
      <w:r w:rsidR="00502A63" w:rsidRPr="00535C16">
        <w:rPr>
          <w:rFonts w:ascii="Palatino Linotype" w:hAnsi="Palatino Linotype" w:cs="Tahoma"/>
          <w:sz w:val="22"/>
          <w:szCs w:val="22"/>
        </w:rPr>
        <w:t xml:space="preserve"> </w:t>
      </w:r>
      <w:r w:rsidRPr="00535C16">
        <w:rPr>
          <w:rFonts w:ascii="Palatino Linotype" w:hAnsi="Palatino Linotype" w:cs="Tahoma"/>
          <w:sz w:val="22"/>
          <w:szCs w:val="22"/>
        </w:rPr>
        <w:t>proteger los datos personales y por otro, darles publicidad cuando la relevancia de esos datos</w:t>
      </w:r>
      <w:r w:rsidR="00502A63" w:rsidRPr="00535C16">
        <w:rPr>
          <w:rFonts w:ascii="Palatino Linotype" w:hAnsi="Palatino Linotype" w:cs="Tahoma"/>
          <w:sz w:val="22"/>
          <w:szCs w:val="22"/>
        </w:rPr>
        <w:t xml:space="preserve"> </w:t>
      </w:r>
      <w:r w:rsidRPr="00535C16">
        <w:rPr>
          <w:rFonts w:ascii="Palatino Linotype" w:hAnsi="Palatino Linotype" w:cs="Tahoma"/>
          <w:sz w:val="22"/>
          <w:szCs w:val="22"/>
        </w:rPr>
        <w:t>sea de interés público.</w:t>
      </w:r>
    </w:p>
    <w:p w14:paraId="68DB129E" w14:textId="77777777" w:rsidR="00592145" w:rsidRPr="00535C16" w:rsidRDefault="00592145" w:rsidP="00592145">
      <w:pPr>
        <w:spacing w:line="360" w:lineRule="auto"/>
        <w:ind w:right="-93"/>
        <w:jc w:val="both"/>
        <w:rPr>
          <w:rFonts w:ascii="Palatino Linotype" w:hAnsi="Palatino Linotype" w:cs="Tahoma"/>
          <w:sz w:val="22"/>
          <w:szCs w:val="22"/>
        </w:rPr>
      </w:pPr>
    </w:p>
    <w:p w14:paraId="012A31DE" w14:textId="0D8F8FA6"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En este orden de ideas, toda la información que transparente la gestión pública, favorezca la</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rendición de cuentas y contribuya a la democratización del Estado Mexicano es, sin excepción,</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de naturaleza pública; tal es el caso de los salarios de todos los servidores públicos, la entrega</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de recursos públicos bajo cualquier esquema, el cumplimiento de requisitos legales, entre</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otros; información que necesariamente está vinculada con datos personales, que pierden la protección</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en beneficio del interés público (no por eso dejan de ser datos personales, sólo que</w:t>
      </w:r>
      <w:r w:rsidR="00E34F1B" w:rsidRPr="00535C16">
        <w:rPr>
          <w:rFonts w:ascii="Palatino Linotype" w:hAnsi="Palatino Linotype" w:cs="Tahoma"/>
          <w:sz w:val="22"/>
          <w:szCs w:val="22"/>
        </w:rPr>
        <w:t xml:space="preserve"> </w:t>
      </w:r>
      <w:r w:rsidRPr="00535C16">
        <w:rPr>
          <w:rFonts w:ascii="Palatino Linotype" w:hAnsi="Palatino Linotype" w:cs="Tahoma"/>
          <w:sz w:val="22"/>
          <w:szCs w:val="22"/>
        </w:rPr>
        <w:t>no están protegidos en la confidencialidad).</w:t>
      </w:r>
    </w:p>
    <w:p w14:paraId="4AC7B0D1" w14:textId="77777777" w:rsidR="00592145" w:rsidRPr="00535C16" w:rsidRDefault="00592145" w:rsidP="00592145">
      <w:pPr>
        <w:spacing w:line="360" w:lineRule="auto"/>
        <w:ind w:right="-93"/>
        <w:jc w:val="both"/>
        <w:rPr>
          <w:rFonts w:ascii="Palatino Linotype" w:hAnsi="Palatino Linotype" w:cs="Tahoma"/>
          <w:sz w:val="22"/>
          <w:szCs w:val="22"/>
        </w:rPr>
      </w:pPr>
    </w:p>
    <w:p w14:paraId="3F7D89F4" w14:textId="3E3EC6E1"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Dada la complejidad de la información cuando involucra datos personales, pudiera pensarse</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que se trata de dos derechos en colisión; por un lado, la garantía individual de conocer sobre</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el ejercicio de atribuciones de servidores públicos así como de recursos públicos y, por el otro,</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el derecho de las personas a la autodeterminación informativa y el derecho a la vida privada;</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tratándose de los datos personales que obran en los archivos de las instituciones públicas, la</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regla es clara, ya que los datos personales que permiten verificar el desempeño de los</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servidores públicos y el cumplimiento de obligaciones legales, transparentan la gestión</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pública y favorecen la rendición de cuentas, constituyen información de naturaleza pública,</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en razón de que el beneficio de su publicidad es mayor que el beneficio de su clasificación,</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aun tratándose de información personal.</w:t>
      </w:r>
    </w:p>
    <w:p w14:paraId="5F27127E" w14:textId="77777777" w:rsidR="00592145" w:rsidRPr="00535C16" w:rsidRDefault="00592145" w:rsidP="00592145">
      <w:pPr>
        <w:spacing w:line="360" w:lineRule="auto"/>
        <w:ind w:right="-93"/>
        <w:jc w:val="both"/>
        <w:rPr>
          <w:rFonts w:ascii="Palatino Linotype" w:hAnsi="Palatino Linotype" w:cs="Tahoma"/>
          <w:sz w:val="22"/>
          <w:szCs w:val="22"/>
        </w:rPr>
      </w:pPr>
    </w:p>
    <w:p w14:paraId="2BD6B67F" w14:textId="15030411" w:rsidR="00592145" w:rsidRPr="00535C16" w:rsidRDefault="00592145" w:rsidP="00592145">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Ahora bien, cuando las personas tienen una relación comercial, laboral, de servicios, trámites</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o del tipo que sea, necesariamente por un tema de interés público, debe cederse un poco de</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privacidad, de tal forma que la gente en general pueda verificar el debido desempeño de los</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servidores públicos, la aplicación de la ley y el ejercicio de recursos públicos; sin embargo, esto</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obliga a un ejercicio de ponderación en donde únicamente se privilegie la publicidad de los</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datos esenciales para la transparencia y rendición de cuentas, sin afectar la vida privada de</w:t>
      </w:r>
      <w:r w:rsidR="00D724DC" w:rsidRPr="00535C16">
        <w:rPr>
          <w:rFonts w:ascii="Palatino Linotype" w:hAnsi="Palatino Linotype" w:cs="Tahoma"/>
          <w:sz w:val="22"/>
          <w:szCs w:val="22"/>
        </w:rPr>
        <w:t xml:space="preserve"> </w:t>
      </w:r>
      <w:r w:rsidRPr="00535C16">
        <w:rPr>
          <w:rFonts w:ascii="Palatino Linotype" w:hAnsi="Palatino Linotype" w:cs="Tahoma"/>
          <w:sz w:val="22"/>
          <w:szCs w:val="22"/>
        </w:rPr>
        <w:t>las personas.</w:t>
      </w:r>
    </w:p>
    <w:p w14:paraId="017B9C80" w14:textId="77777777" w:rsidR="00F82EAD" w:rsidRPr="00535C16" w:rsidRDefault="00F82EAD" w:rsidP="000F51D3">
      <w:pPr>
        <w:spacing w:line="360" w:lineRule="auto"/>
        <w:ind w:right="-93"/>
        <w:jc w:val="both"/>
        <w:rPr>
          <w:rFonts w:ascii="Palatino Linotype" w:hAnsi="Palatino Linotype" w:cs="Tahoma"/>
          <w:sz w:val="22"/>
          <w:szCs w:val="22"/>
        </w:rPr>
      </w:pPr>
    </w:p>
    <w:p w14:paraId="5258B532" w14:textId="77777777" w:rsidR="009B4513" w:rsidRPr="00535C16" w:rsidRDefault="009B4513" w:rsidP="009B4513">
      <w:pPr>
        <w:spacing w:line="360" w:lineRule="auto"/>
        <w:ind w:right="-93"/>
        <w:jc w:val="both"/>
        <w:rPr>
          <w:rFonts w:ascii="Palatino Linotype" w:hAnsi="Palatino Linotype" w:cs="Tahoma"/>
          <w:b/>
          <w:sz w:val="22"/>
          <w:szCs w:val="22"/>
        </w:rPr>
      </w:pPr>
      <w:r w:rsidRPr="00535C16">
        <w:rPr>
          <w:rFonts w:ascii="Palatino Linotype" w:hAnsi="Palatino Linotype" w:cs="Tahoma"/>
          <w:b/>
          <w:sz w:val="22"/>
          <w:szCs w:val="22"/>
        </w:rPr>
        <w:t>SEXTO. Decisión</w:t>
      </w:r>
    </w:p>
    <w:p w14:paraId="302C0E37" w14:textId="77777777" w:rsidR="009B4513" w:rsidRPr="00535C16" w:rsidRDefault="009B4513" w:rsidP="009B4513">
      <w:pPr>
        <w:spacing w:line="360" w:lineRule="auto"/>
        <w:ind w:right="-93"/>
        <w:jc w:val="both"/>
        <w:rPr>
          <w:rFonts w:ascii="Palatino Linotype" w:hAnsi="Palatino Linotype" w:cs="Tahoma"/>
          <w:b/>
          <w:sz w:val="22"/>
          <w:szCs w:val="22"/>
        </w:rPr>
      </w:pPr>
    </w:p>
    <w:p w14:paraId="252A1FA9" w14:textId="6D51C4C6" w:rsidR="009B4513" w:rsidRPr="00535C16" w:rsidRDefault="009B4513" w:rsidP="009B4513">
      <w:pPr>
        <w:spacing w:line="360" w:lineRule="auto"/>
        <w:ind w:right="-93"/>
        <w:jc w:val="both"/>
        <w:rPr>
          <w:rFonts w:ascii="Palatino Linotype" w:hAnsi="Palatino Linotype" w:cs="Tahoma"/>
          <w:sz w:val="22"/>
          <w:szCs w:val="22"/>
        </w:rPr>
      </w:pPr>
      <w:r w:rsidRPr="00535C16">
        <w:rPr>
          <w:rFonts w:ascii="Palatino Linotype" w:hAnsi="Palatino Linotype" w:cs="Tahoma"/>
          <w:sz w:val="22"/>
          <w:szCs w:val="22"/>
        </w:rPr>
        <w:t>Con fundamento en el artículo 186, fracción III, de la Ley de Transparencia y Acceso a la</w:t>
      </w:r>
      <w:r w:rsidR="00477EA1" w:rsidRPr="00535C16">
        <w:rPr>
          <w:rFonts w:ascii="Palatino Linotype" w:hAnsi="Palatino Linotype" w:cs="Tahoma"/>
          <w:sz w:val="22"/>
          <w:szCs w:val="22"/>
        </w:rPr>
        <w:t xml:space="preserve"> </w:t>
      </w:r>
      <w:r w:rsidRPr="00535C16">
        <w:rPr>
          <w:rFonts w:ascii="Palatino Linotype" w:hAnsi="Palatino Linotype" w:cs="Tahoma"/>
          <w:sz w:val="22"/>
          <w:szCs w:val="22"/>
        </w:rPr>
        <w:t xml:space="preserve">Información Pública del Estado de México y Municipios, este Instituto considera procedente </w:t>
      </w:r>
      <w:r w:rsidR="00980389" w:rsidRPr="00535C16">
        <w:rPr>
          <w:rFonts w:ascii="Palatino Linotype" w:hAnsi="Palatino Linotype" w:cs="Tahoma"/>
          <w:b/>
          <w:sz w:val="22"/>
          <w:szCs w:val="22"/>
        </w:rPr>
        <w:t>REVOCAR</w:t>
      </w:r>
      <w:r w:rsidRPr="00535C16">
        <w:rPr>
          <w:rFonts w:ascii="Palatino Linotype" w:hAnsi="Palatino Linotype" w:cs="Tahoma"/>
          <w:sz w:val="22"/>
          <w:szCs w:val="22"/>
        </w:rPr>
        <w:t xml:space="preserve"> la respuesta otorgada por el Sujeto Obligado a la solicitud de información </w:t>
      </w:r>
      <w:r w:rsidR="00006C6F" w:rsidRPr="00535C16">
        <w:rPr>
          <w:rFonts w:ascii="Palatino Linotype" w:eastAsia="Calibri" w:hAnsi="Palatino Linotype" w:cs="Tahoma"/>
          <w:b/>
          <w:bCs/>
          <w:sz w:val="22"/>
          <w:szCs w:val="22"/>
          <w:lang w:eastAsia="en-US"/>
        </w:rPr>
        <w:t>00136/NEXTLAL/IP/2025</w:t>
      </w:r>
      <w:r w:rsidRPr="00535C16">
        <w:rPr>
          <w:rFonts w:ascii="Palatino Linotype" w:hAnsi="Palatino Linotype" w:cs="Tahoma"/>
          <w:sz w:val="22"/>
          <w:szCs w:val="22"/>
        </w:rPr>
        <w:t xml:space="preserve">, por resultar </w:t>
      </w:r>
      <w:r w:rsidR="004C112D" w:rsidRPr="00535C16">
        <w:rPr>
          <w:rFonts w:ascii="Palatino Linotype" w:hAnsi="Palatino Linotype" w:cs="Tahoma"/>
          <w:sz w:val="22"/>
          <w:szCs w:val="22"/>
        </w:rPr>
        <w:t xml:space="preserve">parcialmente </w:t>
      </w:r>
      <w:r w:rsidRPr="00535C16">
        <w:rPr>
          <w:rFonts w:ascii="Palatino Linotype" w:hAnsi="Palatino Linotype" w:cs="Tahoma"/>
          <w:sz w:val="22"/>
          <w:szCs w:val="22"/>
        </w:rPr>
        <w:t xml:space="preserve">fundadas las razones o motivos de inconformidad hechos valer por el Recurrente, en el Recurso de Revisión </w:t>
      </w:r>
      <w:r w:rsidR="00CE2FF5" w:rsidRPr="00535C16">
        <w:rPr>
          <w:rFonts w:ascii="Palatino Linotype" w:hAnsi="Palatino Linotype" w:cs="Tahoma"/>
          <w:b/>
          <w:sz w:val="22"/>
          <w:szCs w:val="22"/>
        </w:rPr>
        <w:t>13061</w:t>
      </w:r>
      <w:r w:rsidR="005A6BEC" w:rsidRPr="00535C16">
        <w:rPr>
          <w:rFonts w:ascii="Palatino Linotype" w:hAnsi="Palatino Linotype" w:cs="Tahoma"/>
          <w:b/>
          <w:sz w:val="22"/>
          <w:szCs w:val="22"/>
        </w:rPr>
        <w:t>/INFOEM/IP/RR/2025</w:t>
      </w:r>
      <w:r w:rsidRPr="00535C16">
        <w:rPr>
          <w:rFonts w:ascii="Palatino Linotype" w:hAnsi="Palatino Linotype" w:cs="Tahoma"/>
          <w:sz w:val="22"/>
          <w:szCs w:val="22"/>
        </w:rPr>
        <w:t xml:space="preserve">, en consecuencia procede </w:t>
      </w:r>
      <w:r w:rsidRPr="00535C16">
        <w:rPr>
          <w:rFonts w:ascii="Palatino Linotype" w:hAnsi="Palatino Linotype" w:cs="Tahoma"/>
          <w:b/>
          <w:sz w:val="22"/>
          <w:szCs w:val="22"/>
        </w:rPr>
        <w:t>ORDENAR</w:t>
      </w:r>
      <w:r w:rsidR="00F66F26" w:rsidRPr="00535C16">
        <w:rPr>
          <w:rFonts w:ascii="Palatino Linotype" w:hAnsi="Palatino Linotype" w:cs="Tahoma"/>
          <w:sz w:val="22"/>
          <w:szCs w:val="22"/>
        </w:rPr>
        <w:t xml:space="preserve"> la información solicitada.</w:t>
      </w:r>
    </w:p>
    <w:p w14:paraId="5C0D5B67" w14:textId="77777777" w:rsidR="009B4513" w:rsidRPr="00535C16" w:rsidRDefault="009B4513" w:rsidP="009B4513">
      <w:pPr>
        <w:spacing w:line="360" w:lineRule="auto"/>
        <w:ind w:right="-93"/>
        <w:jc w:val="both"/>
        <w:rPr>
          <w:rFonts w:ascii="Palatino Linotype" w:eastAsia="Palatino Linotype" w:hAnsi="Palatino Linotype" w:cs="Palatino Linotype"/>
          <w:sz w:val="22"/>
          <w:szCs w:val="22"/>
        </w:rPr>
      </w:pPr>
    </w:p>
    <w:p w14:paraId="0778636D" w14:textId="77777777" w:rsidR="009B4513" w:rsidRPr="00535C16" w:rsidRDefault="009B4513" w:rsidP="009B4513">
      <w:pPr>
        <w:spacing w:line="360" w:lineRule="auto"/>
        <w:contextualSpacing/>
        <w:jc w:val="both"/>
        <w:rPr>
          <w:rFonts w:ascii="Palatino Linotype" w:eastAsia="Calibri" w:hAnsi="Palatino Linotype" w:cs="Tahoma"/>
          <w:b/>
          <w:bCs/>
          <w:iCs/>
          <w:sz w:val="22"/>
          <w:szCs w:val="22"/>
          <w:lang w:val="es-ES" w:eastAsia="es-ES_tradnl"/>
        </w:rPr>
      </w:pPr>
      <w:r w:rsidRPr="00535C16">
        <w:rPr>
          <w:rFonts w:ascii="Palatino Linotype" w:eastAsia="Calibri" w:hAnsi="Palatino Linotype" w:cs="Tahoma"/>
          <w:b/>
          <w:bCs/>
          <w:iCs/>
          <w:sz w:val="22"/>
          <w:szCs w:val="22"/>
          <w:lang w:val="es-ES" w:eastAsia="es-ES_tradnl"/>
        </w:rPr>
        <w:t>Términos de la Resolución para el Recurrente</w:t>
      </w:r>
    </w:p>
    <w:p w14:paraId="308AFA61" w14:textId="77777777" w:rsidR="009B4513" w:rsidRPr="00535C16" w:rsidRDefault="009B4513" w:rsidP="009B4513">
      <w:pPr>
        <w:spacing w:line="360" w:lineRule="auto"/>
        <w:jc w:val="both"/>
        <w:rPr>
          <w:rFonts w:ascii="Palatino Linotype" w:eastAsia="Calibri" w:hAnsi="Palatino Linotype" w:cs="Tahoma"/>
          <w:iCs/>
          <w:sz w:val="22"/>
          <w:szCs w:val="22"/>
          <w:lang w:eastAsia="es-ES_tradnl"/>
        </w:rPr>
      </w:pPr>
    </w:p>
    <w:p w14:paraId="5EB43467" w14:textId="6E50051C" w:rsidR="00F75CE4" w:rsidRPr="00535C16" w:rsidRDefault="00F75CE4" w:rsidP="00F75CE4">
      <w:pPr>
        <w:spacing w:line="360" w:lineRule="auto"/>
        <w:jc w:val="both"/>
        <w:rPr>
          <w:rFonts w:ascii="Palatino Linotype" w:hAnsi="Palatino Linotype" w:cs="Tahoma"/>
          <w:bCs/>
          <w:sz w:val="22"/>
          <w:szCs w:val="22"/>
          <w:u w:val="single"/>
        </w:rPr>
      </w:pPr>
      <w:r w:rsidRPr="00535C16">
        <w:rPr>
          <w:rFonts w:ascii="Palatino Linotype" w:hAnsi="Palatino Linotype" w:cs="Tahoma"/>
          <w:bCs/>
          <w:sz w:val="22"/>
          <w:szCs w:val="22"/>
          <w:u w:val="single"/>
        </w:rPr>
        <w:t xml:space="preserve">Este Instituto, determinó </w:t>
      </w:r>
      <w:r w:rsidR="00980389" w:rsidRPr="00535C16">
        <w:rPr>
          <w:rFonts w:ascii="Palatino Linotype" w:hAnsi="Palatino Linotype" w:cs="Tahoma"/>
          <w:bCs/>
          <w:sz w:val="22"/>
          <w:szCs w:val="22"/>
          <w:u w:val="single"/>
        </w:rPr>
        <w:t>revocar</w:t>
      </w:r>
      <w:r w:rsidRPr="00535C16">
        <w:rPr>
          <w:rFonts w:ascii="Palatino Linotype" w:hAnsi="Palatino Linotype" w:cs="Tahoma"/>
          <w:bCs/>
          <w:sz w:val="22"/>
          <w:szCs w:val="22"/>
          <w:u w:val="single"/>
        </w:rPr>
        <w:t xml:space="preserve"> la respuesta que le entregó el Sujeto Obligado a su solicitud de acceso, </w:t>
      </w:r>
      <w:r w:rsidR="00AD137F" w:rsidRPr="00535C16">
        <w:rPr>
          <w:rFonts w:ascii="Palatino Linotype" w:hAnsi="Palatino Linotype" w:cs="Tahoma"/>
          <w:bCs/>
          <w:sz w:val="22"/>
          <w:szCs w:val="22"/>
          <w:u w:val="single"/>
        </w:rPr>
        <w:t xml:space="preserve">para que, </w:t>
      </w:r>
      <w:r w:rsidR="00F66F26" w:rsidRPr="00535C16">
        <w:rPr>
          <w:rFonts w:ascii="Palatino Linotype" w:hAnsi="Palatino Linotype" w:cs="Tahoma"/>
          <w:bCs/>
          <w:sz w:val="22"/>
          <w:szCs w:val="22"/>
          <w:u w:val="single"/>
        </w:rPr>
        <w:t xml:space="preserve">haga entrega </w:t>
      </w:r>
      <w:r w:rsidR="00006C6F" w:rsidRPr="00535C16">
        <w:rPr>
          <w:rFonts w:ascii="Palatino Linotype" w:hAnsi="Palatino Linotype" w:cs="Tahoma"/>
          <w:bCs/>
          <w:sz w:val="22"/>
          <w:szCs w:val="22"/>
          <w:u w:val="single"/>
        </w:rPr>
        <w:t>de la información solicitada de los años 2021 a la fecha de la solicitud y de la temporalidad faltante, el acuerdo de declaratoria de inexistencia, todo esto, en versión pública de ser así procedente.</w:t>
      </w:r>
    </w:p>
    <w:p w14:paraId="424B331A" w14:textId="77777777" w:rsidR="00F75CE4" w:rsidRPr="00535C16" w:rsidRDefault="00F75CE4" w:rsidP="009B4513">
      <w:pPr>
        <w:spacing w:line="360" w:lineRule="auto"/>
        <w:ind w:right="-93"/>
        <w:jc w:val="both"/>
        <w:rPr>
          <w:rFonts w:ascii="Palatino Linotype" w:hAnsi="Palatino Linotype" w:cs="Tahoma"/>
          <w:bCs/>
          <w:sz w:val="22"/>
          <w:szCs w:val="22"/>
          <w:u w:val="single"/>
        </w:rPr>
      </w:pPr>
    </w:p>
    <w:p w14:paraId="59F4448F" w14:textId="77777777" w:rsidR="009B4513" w:rsidRPr="00535C16" w:rsidRDefault="009B4513" w:rsidP="009B4513">
      <w:pPr>
        <w:spacing w:line="360" w:lineRule="auto"/>
        <w:ind w:right="-93"/>
        <w:jc w:val="both"/>
        <w:rPr>
          <w:rFonts w:ascii="Palatino Linotype" w:hAnsi="Palatino Linotype" w:cs="Tahoma"/>
          <w:bCs/>
          <w:sz w:val="22"/>
          <w:szCs w:val="22"/>
          <w:u w:val="single"/>
        </w:rPr>
      </w:pPr>
      <w:r w:rsidRPr="00535C16">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0AF7132B" w14:textId="77777777" w:rsidR="009B4513" w:rsidRPr="00535C16" w:rsidRDefault="009B4513" w:rsidP="009B4513">
      <w:pPr>
        <w:spacing w:line="360" w:lineRule="auto"/>
        <w:ind w:right="-91"/>
        <w:jc w:val="center"/>
        <w:rPr>
          <w:rFonts w:ascii="Palatino Linotype" w:eastAsia="Calibri" w:hAnsi="Palatino Linotype" w:cs="Tahoma"/>
          <w:b/>
          <w:bCs/>
          <w:sz w:val="22"/>
          <w:szCs w:val="22"/>
          <w:lang w:eastAsia="en-US"/>
        </w:rPr>
      </w:pPr>
    </w:p>
    <w:p w14:paraId="43A71DB5" w14:textId="77777777" w:rsidR="009B4513" w:rsidRPr="00535C16" w:rsidRDefault="009B4513" w:rsidP="009B4513">
      <w:pPr>
        <w:spacing w:line="360" w:lineRule="auto"/>
        <w:ind w:right="-91"/>
        <w:jc w:val="center"/>
        <w:rPr>
          <w:rFonts w:ascii="Palatino Linotype" w:eastAsia="Calibri" w:hAnsi="Palatino Linotype" w:cs="Tahoma"/>
          <w:b/>
          <w:bCs/>
          <w:sz w:val="22"/>
          <w:szCs w:val="22"/>
          <w:lang w:eastAsia="en-US"/>
        </w:rPr>
      </w:pPr>
      <w:r w:rsidRPr="00535C16">
        <w:rPr>
          <w:rFonts w:ascii="Palatino Linotype" w:eastAsia="Calibri" w:hAnsi="Palatino Linotype" w:cs="Tahoma"/>
          <w:b/>
          <w:bCs/>
          <w:sz w:val="22"/>
          <w:szCs w:val="22"/>
          <w:lang w:eastAsia="en-US"/>
        </w:rPr>
        <w:t>R E S U E L V E</w:t>
      </w:r>
    </w:p>
    <w:p w14:paraId="7D2B6E5C" w14:textId="77777777" w:rsidR="009B4513" w:rsidRPr="00535C16" w:rsidRDefault="009B4513" w:rsidP="009B4513">
      <w:pPr>
        <w:spacing w:line="360" w:lineRule="auto"/>
        <w:jc w:val="both"/>
        <w:rPr>
          <w:rFonts w:ascii="Palatino Linotype" w:hAnsi="Palatino Linotype" w:cs="Tahoma"/>
          <w:b/>
          <w:bCs/>
          <w:sz w:val="22"/>
          <w:szCs w:val="22"/>
        </w:rPr>
      </w:pPr>
    </w:p>
    <w:p w14:paraId="0635B5D0" w14:textId="52D05D16" w:rsidR="009B4513" w:rsidRPr="00535C16" w:rsidRDefault="009B4513" w:rsidP="009B4513">
      <w:pPr>
        <w:spacing w:line="360" w:lineRule="auto"/>
        <w:contextualSpacing/>
        <w:jc w:val="both"/>
        <w:rPr>
          <w:rFonts w:ascii="Palatino Linotype" w:eastAsia="Calibri" w:hAnsi="Palatino Linotype" w:cs="Tahoma"/>
          <w:bCs/>
          <w:sz w:val="22"/>
          <w:szCs w:val="22"/>
          <w:lang w:eastAsia="en-US"/>
        </w:rPr>
      </w:pPr>
      <w:r w:rsidRPr="00535C16">
        <w:rPr>
          <w:rFonts w:ascii="Palatino Linotype" w:hAnsi="Palatino Linotype" w:cs="Tahoma"/>
          <w:b/>
          <w:bCs/>
          <w:sz w:val="22"/>
          <w:szCs w:val="22"/>
        </w:rPr>
        <w:t xml:space="preserve">PRIMERO. </w:t>
      </w:r>
      <w:r w:rsidRPr="00535C16">
        <w:rPr>
          <w:rFonts w:ascii="Palatino Linotype" w:hAnsi="Palatino Linotype" w:cs="Tahoma"/>
          <w:bCs/>
          <w:sz w:val="22"/>
          <w:szCs w:val="22"/>
        </w:rPr>
        <w:t xml:space="preserve">Se </w:t>
      </w:r>
      <w:r w:rsidR="00F66F26" w:rsidRPr="00535C16">
        <w:rPr>
          <w:rFonts w:ascii="Palatino Linotype" w:hAnsi="Palatino Linotype" w:cs="Tahoma"/>
          <w:b/>
          <w:bCs/>
          <w:sz w:val="22"/>
          <w:szCs w:val="22"/>
        </w:rPr>
        <w:t>REVOCA</w:t>
      </w:r>
      <w:r w:rsidRPr="00535C16">
        <w:rPr>
          <w:rFonts w:ascii="Palatino Linotype" w:hAnsi="Palatino Linotype" w:cs="Tahoma"/>
          <w:bCs/>
          <w:sz w:val="22"/>
          <w:szCs w:val="22"/>
        </w:rPr>
        <w:t xml:space="preserve"> la respuesta entregada por el </w:t>
      </w:r>
      <w:r w:rsidRPr="00535C16">
        <w:rPr>
          <w:rFonts w:ascii="Palatino Linotype" w:hAnsi="Palatino Linotype" w:cs="Tahoma"/>
          <w:sz w:val="22"/>
          <w:szCs w:val="22"/>
        </w:rPr>
        <w:t xml:space="preserve">Ayuntamiento de </w:t>
      </w:r>
      <w:r w:rsidR="005147B2" w:rsidRPr="00535C16">
        <w:rPr>
          <w:rFonts w:ascii="Palatino Linotype" w:hAnsi="Palatino Linotype" w:cs="Tahoma"/>
          <w:sz w:val="22"/>
          <w:szCs w:val="22"/>
        </w:rPr>
        <w:t>Nextlalpan</w:t>
      </w:r>
      <w:r w:rsidRPr="00535C16">
        <w:rPr>
          <w:rFonts w:ascii="Palatino Linotype" w:hAnsi="Palatino Linotype" w:cs="Tahoma"/>
          <w:sz w:val="22"/>
          <w:szCs w:val="22"/>
        </w:rPr>
        <w:t xml:space="preserve"> </w:t>
      </w:r>
      <w:r w:rsidRPr="00535C16">
        <w:rPr>
          <w:rFonts w:ascii="Palatino Linotype" w:eastAsia="Calibri" w:hAnsi="Palatino Linotype" w:cs="Tahoma"/>
          <w:sz w:val="22"/>
          <w:szCs w:val="22"/>
          <w:lang w:eastAsia="en-US"/>
        </w:rPr>
        <w:t>a</w:t>
      </w:r>
      <w:r w:rsidRPr="00535C16">
        <w:rPr>
          <w:rFonts w:ascii="Palatino Linotype" w:hAnsi="Palatino Linotype" w:cs="Tahoma"/>
          <w:sz w:val="22"/>
          <w:szCs w:val="22"/>
        </w:rPr>
        <w:t xml:space="preserve"> la solicitud de información </w:t>
      </w:r>
      <w:r w:rsidR="005147B2" w:rsidRPr="00535C16">
        <w:rPr>
          <w:rFonts w:ascii="Palatino Linotype" w:hAnsi="Palatino Linotype"/>
          <w:sz w:val="22"/>
          <w:szCs w:val="22"/>
        </w:rPr>
        <w:t>00136/NEXTLAL/IP/2025</w:t>
      </w:r>
      <w:r w:rsidRPr="00535C16">
        <w:rPr>
          <w:rFonts w:ascii="Palatino Linotype" w:hAnsi="Palatino Linotype"/>
          <w:sz w:val="22"/>
          <w:szCs w:val="22"/>
        </w:rPr>
        <w:t xml:space="preserve"> por resultar </w:t>
      </w:r>
      <w:r w:rsidR="008B3CBF" w:rsidRPr="00535C16">
        <w:rPr>
          <w:rFonts w:ascii="Palatino Linotype" w:hAnsi="Palatino Linotype"/>
          <w:b/>
          <w:bCs/>
          <w:sz w:val="22"/>
          <w:szCs w:val="22"/>
        </w:rPr>
        <w:t>FUNDADAS</w:t>
      </w:r>
      <w:r w:rsidRPr="00535C16">
        <w:rPr>
          <w:rFonts w:ascii="Palatino Linotype" w:hAnsi="Palatino Linotype" w:cs="Tahoma"/>
          <w:sz w:val="22"/>
          <w:szCs w:val="22"/>
        </w:rPr>
        <w:t xml:space="preserve"> </w:t>
      </w:r>
      <w:r w:rsidRPr="00535C16">
        <w:rPr>
          <w:rFonts w:ascii="Palatino Linotype" w:eastAsia="Calibri" w:hAnsi="Palatino Linotype" w:cs="Tahoma"/>
          <w:sz w:val="22"/>
          <w:szCs w:val="22"/>
          <w:lang w:eastAsia="en-US"/>
        </w:rPr>
        <w:t xml:space="preserve">las razones o motivos de inconformidad hechos valer por el Recurrente en el Recurso de Revisión </w:t>
      </w:r>
      <w:r w:rsidR="00CE2FF5" w:rsidRPr="00535C16">
        <w:rPr>
          <w:rFonts w:ascii="Palatino Linotype" w:hAnsi="Palatino Linotype" w:cs="Tahoma"/>
          <w:color w:val="0D0D0D" w:themeColor="text1" w:themeTint="F2"/>
          <w:sz w:val="22"/>
          <w:szCs w:val="22"/>
        </w:rPr>
        <w:t>13061</w:t>
      </w:r>
      <w:r w:rsidR="005A6BEC" w:rsidRPr="00535C16">
        <w:rPr>
          <w:rFonts w:ascii="Palatino Linotype" w:hAnsi="Palatino Linotype" w:cs="Tahoma"/>
          <w:color w:val="0D0D0D" w:themeColor="text1" w:themeTint="F2"/>
          <w:sz w:val="22"/>
          <w:szCs w:val="22"/>
        </w:rPr>
        <w:t>/INFOEM/IP/RR/2025</w:t>
      </w:r>
      <w:r w:rsidRPr="00535C16">
        <w:rPr>
          <w:rFonts w:ascii="Palatino Linotype" w:eastAsia="Calibri" w:hAnsi="Palatino Linotype" w:cs="Tahoma"/>
          <w:sz w:val="22"/>
          <w:szCs w:val="22"/>
          <w:lang w:eastAsia="en-US"/>
        </w:rPr>
        <w:t>, en</w:t>
      </w:r>
      <w:r w:rsidRPr="00535C16">
        <w:rPr>
          <w:rFonts w:ascii="Palatino Linotype" w:eastAsia="Calibri" w:hAnsi="Palatino Linotype" w:cs="Tahoma"/>
          <w:bCs/>
          <w:sz w:val="22"/>
          <w:szCs w:val="22"/>
          <w:lang w:eastAsia="en-US"/>
        </w:rPr>
        <w:t xml:space="preserve"> términos de los considerandos </w:t>
      </w:r>
      <w:r w:rsidRPr="00535C16">
        <w:rPr>
          <w:rFonts w:ascii="Palatino Linotype" w:eastAsia="Calibri" w:hAnsi="Palatino Linotype" w:cs="Tahoma"/>
          <w:b/>
          <w:sz w:val="22"/>
          <w:szCs w:val="22"/>
          <w:lang w:eastAsia="en-US"/>
        </w:rPr>
        <w:t>QUINTO y SEXTO</w:t>
      </w:r>
      <w:r w:rsidRPr="00535C16">
        <w:rPr>
          <w:rFonts w:ascii="Palatino Linotype" w:eastAsia="Calibri" w:hAnsi="Palatino Linotype" w:cs="Tahoma"/>
          <w:bCs/>
          <w:sz w:val="22"/>
          <w:szCs w:val="22"/>
          <w:lang w:eastAsia="en-US"/>
        </w:rPr>
        <w:t xml:space="preserve"> de la presente Resolución.</w:t>
      </w:r>
    </w:p>
    <w:p w14:paraId="558C9FBD" w14:textId="77777777" w:rsidR="009B4513" w:rsidRPr="00535C16" w:rsidRDefault="009B4513" w:rsidP="009B4513">
      <w:pPr>
        <w:spacing w:line="360" w:lineRule="auto"/>
        <w:contextualSpacing/>
        <w:jc w:val="both"/>
        <w:rPr>
          <w:rFonts w:ascii="Palatino Linotype" w:hAnsi="Palatino Linotype" w:cs="Tahoma"/>
          <w:bCs/>
          <w:sz w:val="22"/>
          <w:szCs w:val="22"/>
        </w:rPr>
      </w:pPr>
    </w:p>
    <w:p w14:paraId="0AA7D718" w14:textId="222FFF3F" w:rsidR="003F1FB2" w:rsidRPr="00535C16" w:rsidRDefault="009B4513" w:rsidP="003F1FB2">
      <w:pPr>
        <w:autoSpaceDE w:val="0"/>
        <w:autoSpaceDN w:val="0"/>
        <w:adjustRightInd w:val="0"/>
        <w:spacing w:line="360" w:lineRule="auto"/>
        <w:ind w:right="49"/>
        <w:jc w:val="both"/>
        <w:rPr>
          <w:rFonts w:ascii="Palatino Linotype" w:hAnsi="Palatino Linotype" w:cs="Tahoma"/>
          <w:sz w:val="22"/>
          <w:szCs w:val="22"/>
        </w:rPr>
      </w:pPr>
      <w:r w:rsidRPr="00535C16">
        <w:rPr>
          <w:rFonts w:ascii="Palatino Linotype" w:hAnsi="Palatino Linotype" w:cs="Tahoma"/>
          <w:b/>
          <w:bCs/>
          <w:sz w:val="22"/>
          <w:szCs w:val="22"/>
        </w:rPr>
        <w:t xml:space="preserve">SEGUNDO. </w:t>
      </w:r>
      <w:r w:rsidRPr="00535C16">
        <w:rPr>
          <w:rFonts w:ascii="Palatino Linotype" w:hAnsi="Palatino Linotype" w:cs="Tahoma"/>
          <w:sz w:val="22"/>
          <w:szCs w:val="22"/>
        </w:rPr>
        <w:t xml:space="preserve">Se </w:t>
      </w:r>
      <w:r w:rsidRPr="00535C16">
        <w:rPr>
          <w:rFonts w:ascii="Palatino Linotype" w:hAnsi="Palatino Linotype" w:cs="Tahoma"/>
          <w:b/>
          <w:sz w:val="22"/>
          <w:szCs w:val="22"/>
        </w:rPr>
        <w:t xml:space="preserve">ORDENA </w:t>
      </w:r>
      <w:r w:rsidRPr="00535C16">
        <w:rPr>
          <w:rFonts w:ascii="Palatino Linotype" w:hAnsi="Palatino Linotype" w:cs="Tahoma"/>
          <w:sz w:val="22"/>
          <w:szCs w:val="22"/>
        </w:rPr>
        <w:t xml:space="preserve">al </w:t>
      </w:r>
      <w:r w:rsidRPr="00535C16">
        <w:rPr>
          <w:rFonts w:ascii="Palatino Linotype" w:eastAsia="Calibri" w:hAnsi="Palatino Linotype" w:cs="Tahoma"/>
          <w:sz w:val="22"/>
          <w:szCs w:val="22"/>
          <w:lang w:eastAsia="en-US"/>
        </w:rPr>
        <w:t xml:space="preserve">Ayuntamiento de </w:t>
      </w:r>
      <w:r w:rsidR="005147B2" w:rsidRPr="00535C16">
        <w:rPr>
          <w:rFonts w:ascii="Palatino Linotype" w:eastAsia="Calibri" w:hAnsi="Palatino Linotype" w:cs="Tahoma"/>
          <w:sz w:val="22"/>
          <w:szCs w:val="22"/>
          <w:lang w:eastAsia="en-US"/>
        </w:rPr>
        <w:t>Nextlalpan</w:t>
      </w:r>
      <w:r w:rsidRPr="00535C16">
        <w:rPr>
          <w:rFonts w:ascii="Palatino Linotype" w:hAnsi="Palatino Linotype" w:cs="Tahoma"/>
          <w:sz w:val="22"/>
          <w:szCs w:val="22"/>
        </w:rPr>
        <w:t>, a efecto de que</w:t>
      </w:r>
      <w:r w:rsidR="008B3CBF" w:rsidRPr="00535C16">
        <w:rPr>
          <w:rFonts w:ascii="Palatino Linotype" w:hAnsi="Palatino Linotype" w:cs="Tahoma"/>
          <w:sz w:val="22"/>
          <w:szCs w:val="22"/>
        </w:rPr>
        <w:t xml:space="preserve"> previa búsqueda exhaustiva y razonable en las unidades administrativas competentes,</w:t>
      </w:r>
      <w:r w:rsidR="000D465A" w:rsidRPr="00535C16">
        <w:rPr>
          <w:rFonts w:ascii="Palatino Linotype" w:hAnsi="Palatino Linotype" w:cs="Tahoma"/>
          <w:sz w:val="22"/>
          <w:szCs w:val="22"/>
        </w:rPr>
        <w:t xml:space="preserve"> haga entrega </w:t>
      </w:r>
      <w:r w:rsidR="003F1FB2" w:rsidRPr="00535C16">
        <w:rPr>
          <w:rFonts w:ascii="Palatino Linotype" w:hAnsi="Palatino Linotype" w:cs="Tahoma"/>
          <w:sz w:val="22"/>
          <w:szCs w:val="22"/>
        </w:rPr>
        <w:t xml:space="preserve">a través del SAIMEX, en formato abierto xls, </w:t>
      </w:r>
      <w:proofErr w:type="spellStart"/>
      <w:r w:rsidR="003F1FB2" w:rsidRPr="00535C16">
        <w:rPr>
          <w:rFonts w:ascii="Palatino Linotype" w:hAnsi="Palatino Linotype" w:cs="Tahoma"/>
          <w:sz w:val="22"/>
          <w:szCs w:val="22"/>
        </w:rPr>
        <w:t>cvs</w:t>
      </w:r>
      <w:proofErr w:type="spellEnd"/>
      <w:r w:rsidR="003F1FB2" w:rsidRPr="00535C16">
        <w:rPr>
          <w:rFonts w:ascii="Palatino Linotype" w:hAnsi="Palatino Linotype" w:cs="Tahoma"/>
          <w:sz w:val="22"/>
          <w:szCs w:val="22"/>
        </w:rPr>
        <w:t xml:space="preserve"> o aquel en el que haya</w:t>
      </w:r>
      <w:r w:rsidR="00006C6F" w:rsidRPr="00535C16">
        <w:rPr>
          <w:rFonts w:ascii="Palatino Linotype" w:hAnsi="Palatino Linotype" w:cs="Tahoma"/>
          <w:sz w:val="22"/>
          <w:szCs w:val="22"/>
        </w:rPr>
        <w:t xml:space="preserve"> </w:t>
      </w:r>
      <w:r w:rsidR="003F1FB2" w:rsidRPr="00535C16">
        <w:rPr>
          <w:rFonts w:ascii="Palatino Linotype" w:hAnsi="Palatino Linotype" w:cs="Tahoma"/>
          <w:sz w:val="22"/>
          <w:szCs w:val="22"/>
        </w:rPr>
        <w:t>sido generad</w:t>
      </w:r>
      <w:r w:rsidR="008B3CBF" w:rsidRPr="00535C16">
        <w:rPr>
          <w:rFonts w:ascii="Palatino Linotype" w:hAnsi="Palatino Linotype" w:cs="Tahoma"/>
          <w:sz w:val="22"/>
          <w:szCs w:val="22"/>
        </w:rPr>
        <w:t>o</w:t>
      </w:r>
      <w:r w:rsidR="003F1FB2" w:rsidRPr="00535C16">
        <w:rPr>
          <w:rFonts w:ascii="Palatino Linotype" w:hAnsi="Palatino Linotype" w:cs="Tahoma"/>
          <w:sz w:val="22"/>
          <w:szCs w:val="22"/>
        </w:rPr>
        <w:t>, el soporte documental en el que conste lo siguiente:</w:t>
      </w:r>
    </w:p>
    <w:p w14:paraId="3AC7F090" w14:textId="77777777" w:rsidR="00381297" w:rsidRPr="00535C16" w:rsidRDefault="00381297" w:rsidP="003F1FB2">
      <w:pPr>
        <w:autoSpaceDE w:val="0"/>
        <w:autoSpaceDN w:val="0"/>
        <w:adjustRightInd w:val="0"/>
        <w:spacing w:line="360" w:lineRule="auto"/>
        <w:ind w:right="49"/>
        <w:jc w:val="both"/>
        <w:rPr>
          <w:rFonts w:ascii="Palatino Linotype" w:hAnsi="Palatino Linotype" w:cs="Tahoma"/>
          <w:sz w:val="22"/>
          <w:szCs w:val="22"/>
        </w:rPr>
      </w:pPr>
    </w:p>
    <w:p w14:paraId="0DA7E55F" w14:textId="5867BC91" w:rsidR="003F1FB2" w:rsidRPr="00535C16" w:rsidRDefault="00381297" w:rsidP="00006C6F">
      <w:pPr>
        <w:pStyle w:val="Prrafodelista"/>
        <w:numPr>
          <w:ilvl w:val="0"/>
          <w:numId w:val="28"/>
        </w:numPr>
        <w:autoSpaceDE w:val="0"/>
        <w:autoSpaceDN w:val="0"/>
        <w:adjustRightInd w:val="0"/>
        <w:spacing w:line="360" w:lineRule="auto"/>
        <w:ind w:right="49"/>
        <w:jc w:val="both"/>
        <w:rPr>
          <w:rFonts w:ascii="Palatino Linotype" w:hAnsi="Palatino Linotype" w:cs="Tahoma"/>
          <w:szCs w:val="22"/>
        </w:rPr>
      </w:pPr>
      <w:r w:rsidRPr="00535C16">
        <w:rPr>
          <w:rFonts w:ascii="Palatino Linotype" w:hAnsi="Palatino Linotype" w:cs="Tahoma"/>
          <w:szCs w:val="22"/>
        </w:rPr>
        <w:t xml:space="preserve">La incidencia delictiva y/o incidencia de faltas administrativas, al mayor grado de desagregación posible, del periodo comprendido del primero de enero de dos mil </w:t>
      </w:r>
      <w:r w:rsidR="00006C6F" w:rsidRPr="00535C16">
        <w:rPr>
          <w:rFonts w:ascii="Palatino Linotype" w:hAnsi="Palatino Linotype" w:cs="Tahoma"/>
          <w:szCs w:val="22"/>
        </w:rPr>
        <w:t>veintidós</w:t>
      </w:r>
      <w:r w:rsidRPr="00535C16">
        <w:rPr>
          <w:rFonts w:ascii="Palatino Linotype" w:hAnsi="Palatino Linotype" w:cs="Tahoma"/>
          <w:szCs w:val="22"/>
        </w:rPr>
        <w:t xml:space="preserve"> al ocho de octubre de dos mil</w:t>
      </w:r>
      <w:r w:rsidR="00D50C33" w:rsidRPr="00535C16">
        <w:rPr>
          <w:rFonts w:ascii="Palatino Linotype" w:hAnsi="Palatino Linotype" w:cs="Tahoma"/>
          <w:szCs w:val="22"/>
        </w:rPr>
        <w:t xml:space="preserve"> veinticinco.</w:t>
      </w:r>
    </w:p>
    <w:p w14:paraId="14A62DCE" w14:textId="77777777" w:rsidR="00A623AF" w:rsidRPr="00535C16" w:rsidRDefault="00A623AF" w:rsidP="00A623AF">
      <w:pPr>
        <w:pStyle w:val="Prrafodelista"/>
        <w:autoSpaceDE w:val="0"/>
        <w:autoSpaceDN w:val="0"/>
        <w:adjustRightInd w:val="0"/>
        <w:spacing w:line="360" w:lineRule="auto"/>
        <w:ind w:right="49"/>
        <w:jc w:val="both"/>
        <w:rPr>
          <w:rFonts w:ascii="Palatino Linotype" w:hAnsi="Palatino Linotype" w:cs="Tahoma"/>
          <w:szCs w:val="22"/>
        </w:rPr>
      </w:pPr>
    </w:p>
    <w:p w14:paraId="3BB02F8E" w14:textId="659BF7F6" w:rsidR="00A623AF" w:rsidRPr="00535C16" w:rsidRDefault="00A623AF" w:rsidP="00A623AF">
      <w:pPr>
        <w:pStyle w:val="Prrafodelista"/>
        <w:numPr>
          <w:ilvl w:val="0"/>
          <w:numId w:val="28"/>
        </w:numPr>
        <w:spacing w:line="360" w:lineRule="auto"/>
        <w:jc w:val="both"/>
        <w:rPr>
          <w:rFonts w:ascii="Palatino Linotype" w:hAnsi="Palatino Linotype"/>
        </w:rPr>
      </w:pPr>
      <w:r w:rsidRPr="00535C16">
        <w:rPr>
          <w:rFonts w:ascii="Palatino Linotype" w:hAnsi="Palatino Linotype"/>
        </w:rPr>
        <w:t xml:space="preserve">El Acuerdo del Comité de Transparencia, donde confirme la inexistencia </w:t>
      </w:r>
      <w:r w:rsidRPr="00535C16">
        <w:rPr>
          <w:rFonts w:ascii="Palatino Linotype" w:hAnsi="Palatino Linotype" w:cs="Tahoma"/>
          <w:szCs w:val="22"/>
        </w:rPr>
        <w:t>de la incidencia delictiva y/o incidencia de faltas administrativas del primero de enero de dos mil dieciocho al treinta y uno de diciembre de dos mil veintiuno</w:t>
      </w:r>
      <w:r w:rsidRPr="00535C16">
        <w:rPr>
          <w:rFonts w:ascii="Palatino Linotype" w:hAnsi="Palatino Linotype"/>
        </w:rPr>
        <w:t>, en términos de los artículos 19, párrafo tercero, 169 y 170, de la Ley de Transparencia y Acceso a la Información Pública del Estado de México y Municipios.</w:t>
      </w:r>
    </w:p>
    <w:p w14:paraId="0F7014E6" w14:textId="77777777" w:rsidR="00C06BD1" w:rsidRPr="00535C16" w:rsidRDefault="00C06BD1" w:rsidP="00C06BD1">
      <w:pPr>
        <w:autoSpaceDE w:val="0"/>
        <w:autoSpaceDN w:val="0"/>
        <w:adjustRightInd w:val="0"/>
        <w:spacing w:line="360" w:lineRule="auto"/>
        <w:ind w:right="49"/>
        <w:jc w:val="both"/>
        <w:rPr>
          <w:rFonts w:ascii="Palatino Linotype" w:hAnsi="Palatino Linotype" w:cs="Tahoma"/>
          <w:szCs w:val="22"/>
        </w:rPr>
      </w:pPr>
    </w:p>
    <w:p w14:paraId="31E8817B" w14:textId="73183CCC" w:rsidR="000A5E89" w:rsidRPr="00535C16" w:rsidRDefault="000A5E89" w:rsidP="000A5E89">
      <w:pPr>
        <w:autoSpaceDE w:val="0"/>
        <w:autoSpaceDN w:val="0"/>
        <w:adjustRightInd w:val="0"/>
        <w:spacing w:line="360" w:lineRule="auto"/>
        <w:ind w:right="49"/>
        <w:jc w:val="both"/>
        <w:rPr>
          <w:rFonts w:ascii="Palatino Linotype" w:hAnsi="Palatino Linotype" w:cs="Tahoma"/>
          <w:sz w:val="22"/>
          <w:szCs w:val="22"/>
        </w:rPr>
      </w:pPr>
      <w:r w:rsidRPr="00535C16">
        <w:rPr>
          <w:rFonts w:ascii="Palatino Linotype" w:hAnsi="Palatino Linotype" w:cs="Tahoma"/>
          <w:sz w:val="22"/>
          <w:szCs w:val="22"/>
        </w:rPr>
        <w:t>Junto con las versiones públicas que se entreguen</w:t>
      </w:r>
      <w:r w:rsidR="008B3CBF" w:rsidRPr="00535C16">
        <w:rPr>
          <w:rFonts w:ascii="Palatino Linotype" w:hAnsi="Palatino Linotype" w:cs="Tahoma"/>
          <w:sz w:val="22"/>
          <w:szCs w:val="22"/>
        </w:rPr>
        <w:t xml:space="preserve"> para atender el numeral 1</w:t>
      </w:r>
      <w:r w:rsidRPr="00535C16">
        <w:rPr>
          <w:rFonts w:ascii="Palatino Linotype" w:hAnsi="Palatino Linotype" w:cs="Tahoma"/>
          <w:sz w:val="22"/>
          <w:szCs w:val="22"/>
        </w:rPr>
        <w:t>, se deberá proporcionar el Acuerdo de Clasificación donde el Comité de Transparencia, confirme la eliminación de los datos y documentos clasificados en su totalidad como confidenciales, de conformidad con los artículos 49, fracciones II y VIII, 132, fracción II, 143, fracción I y 149 de la Ley de Transparencia y Acceso a la Información Pública del Estado de México y Municipios.</w:t>
      </w:r>
    </w:p>
    <w:p w14:paraId="3FBC1484" w14:textId="77777777" w:rsidR="000A5E89" w:rsidRPr="00535C16" w:rsidRDefault="000A5E89" w:rsidP="000A5E89">
      <w:pPr>
        <w:autoSpaceDE w:val="0"/>
        <w:autoSpaceDN w:val="0"/>
        <w:adjustRightInd w:val="0"/>
        <w:spacing w:line="360" w:lineRule="auto"/>
        <w:ind w:right="49"/>
        <w:jc w:val="both"/>
        <w:rPr>
          <w:rFonts w:ascii="Palatino Linotype" w:hAnsi="Palatino Linotype" w:cs="Tahoma"/>
          <w:sz w:val="22"/>
          <w:szCs w:val="22"/>
        </w:rPr>
      </w:pPr>
    </w:p>
    <w:p w14:paraId="3200EAFC" w14:textId="38CECBB0" w:rsidR="009B4513" w:rsidRPr="00535C16" w:rsidRDefault="000A5E89" w:rsidP="000D465A">
      <w:pPr>
        <w:autoSpaceDE w:val="0"/>
        <w:autoSpaceDN w:val="0"/>
        <w:adjustRightInd w:val="0"/>
        <w:spacing w:line="360" w:lineRule="auto"/>
        <w:ind w:right="49"/>
        <w:jc w:val="both"/>
        <w:rPr>
          <w:rFonts w:ascii="Palatino Linotype" w:hAnsi="Palatino Linotype" w:cs="Tahoma"/>
          <w:bCs/>
          <w:szCs w:val="22"/>
        </w:rPr>
      </w:pPr>
      <w:r w:rsidRPr="00535C16">
        <w:rPr>
          <w:rFonts w:ascii="Palatino Linotype" w:hAnsi="Palatino Linotype" w:cs="Tahoma"/>
          <w:sz w:val="22"/>
          <w:szCs w:val="22"/>
        </w:rPr>
        <w:t>Para el caso de que la información que se ordena entregar</w:t>
      </w:r>
      <w:r w:rsidR="00006C6F" w:rsidRPr="00535C16">
        <w:rPr>
          <w:rFonts w:ascii="Palatino Linotype" w:hAnsi="Palatino Linotype" w:cs="Tahoma"/>
          <w:sz w:val="22"/>
          <w:szCs w:val="22"/>
        </w:rPr>
        <w:t xml:space="preserve"> en el numeral 1),</w:t>
      </w:r>
      <w:r w:rsidRPr="00535C16">
        <w:rPr>
          <w:rFonts w:ascii="Palatino Linotype" w:hAnsi="Palatino Linotype" w:cs="Tahoma"/>
          <w:sz w:val="22"/>
          <w:szCs w:val="22"/>
        </w:rPr>
        <w:t xml:space="preserve"> sobre la incidencia de faltas administrativas no obre en los archivos del Sujeto Obligado, por no haber sido generada, bastará con que lo haga del conocimiento del Recurrente, de manera precisa y clara</w:t>
      </w:r>
      <w:r w:rsidR="00006C6F" w:rsidRPr="00535C16">
        <w:rPr>
          <w:rFonts w:ascii="Palatino Linotype" w:hAnsi="Palatino Linotype" w:cs="Tahoma"/>
          <w:sz w:val="22"/>
          <w:szCs w:val="22"/>
        </w:rPr>
        <w:t>.</w:t>
      </w:r>
    </w:p>
    <w:p w14:paraId="42C06C47" w14:textId="77777777" w:rsidR="00AD137F" w:rsidRPr="00535C16" w:rsidRDefault="00AD137F" w:rsidP="009B4513">
      <w:pPr>
        <w:spacing w:line="360" w:lineRule="auto"/>
        <w:ind w:right="-93"/>
        <w:jc w:val="both"/>
        <w:rPr>
          <w:rFonts w:ascii="Palatino Linotype" w:hAnsi="Palatino Linotype" w:cs="Tahoma"/>
          <w:bCs/>
          <w:sz w:val="22"/>
          <w:szCs w:val="22"/>
          <w:lang w:eastAsia="en-US"/>
        </w:rPr>
      </w:pPr>
    </w:p>
    <w:p w14:paraId="369DB089" w14:textId="77777777" w:rsidR="009B4513" w:rsidRPr="00535C16" w:rsidRDefault="009B4513" w:rsidP="009B4513">
      <w:pPr>
        <w:spacing w:line="360" w:lineRule="auto"/>
        <w:contextualSpacing/>
        <w:jc w:val="both"/>
        <w:rPr>
          <w:rFonts w:ascii="Palatino Linotype" w:eastAsia="Calibri" w:hAnsi="Palatino Linotype" w:cs="Tahoma"/>
          <w:bCs/>
          <w:sz w:val="22"/>
          <w:szCs w:val="22"/>
          <w:lang w:eastAsia="en-US"/>
        </w:rPr>
      </w:pPr>
      <w:r w:rsidRPr="00535C16">
        <w:rPr>
          <w:rFonts w:ascii="Palatino Linotype" w:eastAsia="Calibri" w:hAnsi="Palatino Linotype" w:cs="Tahoma"/>
          <w:b/>
          <w:bCs/>
          <w:sz w:val="22"/>
          <w:szCs w:val="22"/>
          <w:lang w:eastAsia="en-US"/>
        </w:rPr>
        <w:t xml:space="preserve">TERCERO. NOTIFÍQUESE POR SAIMEX </w:t>
      </w:r>
      <w:r w:rsidRPr="00535C16">
        <w:rPr>
          <w:rFonts w:ascii="Palatino Linotype" w:eastAsia="Calibri" w:hAnsi="Palatino Linotype" w:cs="Tahoma"/>
          <w:bCs/>
          <w:sz w:val="22"/>
          <w:szCs w:val="22"/>
          <w:lang w:eastAsia="en-U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A8A4385" w14:textId="77777777" w:rsidR="009B4513" w:rsidRPr="00535C16" w:rsidRDefault="009B4513" w:rsidP="009B4513">
      <w:pPr>
        <w:spacing w:line="360" w:lineRule="auto"/>
        <w:contextualSpacing/>
        <w:jc w:val="both"/>
        <w:rPr>
          <w:rFonts w:ascii="Palatino Linotype" w:hAnsi="Palatino Linotype" w:cs="Tahoma"/>
          <w:sz w:val="22"/>
          <w:szCs w:val="22"/>
        </w:rPr>
      </w:pPr>
    </w:p>
    <w:p w14:paraId="054D37A9" w14:textId="77777777" w:rsidR="009B4513" w:rsidRPr="00535C16" w:rsidRDefault="009B4513" w:rsidP="009B4513">
      <w:pPr>
        <w:spacing w:line="360" w:lineRule="auto"/>
        <w:contextualSpacing/>
        <w:jc w:val="both"/>
        <w:rPr>
          <w:rFonts w:ascii="Palatino Linotype" w:hAnsi="Palatino Linotype" w:cs="Tahoma"/>
          <w:iCs/>
          <w:sz w:val="22"/>
          <w:szCs w:val="22"/>
        </w:rPr>
      </w:pPr>
      <w:r w:rsidRPr="00535C16">
        <w:rPr>
          <w:rFonts w:ascii="Palatino Linotype"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E5D08E9" w14:textId="77777777" w:rsidR="009B4513" w:rsidRPr="00535C16" w:rsidRDefault="009B4513" w:rsidP="009B4513">
      <w:pPr>
        <w:spacing w:line="360" w:lineRule="auto"/>
        <w:contextualSpacing/>
        <w:jc w:val="both"/>
        <w:rPr>
          <w:rFonts w:ascii="Palatino Linotype" w:eastAsia="Calibri" w:hAnsi="Palatino Linotype" w:cs="Tahoma"/>
          <w:color w:val="000000"/>
          <w:sz w:val="22"/>
          <w:szCs w:val="22"/>
          <w:lang w:val="es-ES" w:eastAsia="es-MX"/>
        </w:rPr>
      </w:pPr>
    </w:p>
    <w:p w14:paraId="448C0A74" w14:textId="77777777" w:rsidR="002342FD" w:rsidRPr="00535C16" w:rsidRDefault="002342FD" w:rsidP="002342FD">
      <w:pPr>
        <w:spacing w:line="360" w:lineRule="auto"/>
        <w:jc w:val="both"/>
        <w:rPr>
          <w:rFonts w:ascii="Palatino Linotype" w:hAnsi="Palatino Linotype" w:cs="Tahoma"/>
          <w:color w:val="000000" w:themeColor="text1"/>
          <w:sz w:val="22"/>
          <w:szCs w:val="22"/>
        </w:rPr>
      </w:pPr>
      <w:r w:rsidRPr="00535C16">
        <w:rPr>
          <w:rFonts w:ascii="Palatino Linotype" w:eastAsia="Calibri" w:hAnsi="Palatino Linotype" w:cs="Tahoma"/>
          <w:b/>
          <w:color w:val="000000" w:themeColor="text1"/>
          <w:sz w:val="22"/>
          <w:szCs w:val="22"/>
          <w:lang w:eastAsia="es-MX"/>
        </w:rPr>
        <w:t>CUARTO</w:t>
      </w:r>
      <w:r w:rsidRPr="00535C16">
        <w:rPr>
          <w:rFonts w:ascii="Palatino Linotype" w:eastAsia="Calibri" w:hAnsi="Palatino Linotype" w:cs="Tahoma"/>
          <w:b/>
          <w:bCs/>
          <w:color w:val="000000" w:themeColor="text1"/>
          <w:sz w:val="22"/>
          <w:szCs w:val="22"/>
          <w:lang w:eastAsia="en-US"/>
        </w:rPr>
        <w:t xml:space="preserve">. </w:t>
      </w:r>
      <w:r w:rsidRPr="00535C16">
        <w:rPr>
          <w:rFonts w:ascii="Palatino Linotype" w:hAnsi="Palatino Linotype" w:cs="Tahoma"/>
          <w:b/>
          <w:color w:val="000000" w:themeColor="text1"/>
          <w:sz w:val="22"/>
          <w:szCs w:val="22"/>
        </w:rPr>
        <w:t>NOTIFÍQUESE</w:t>
      </w:r>
      <w:r w:rsidRPr="00535C16">
        <w:rPr>
          <w:rFonts w:ascii="Palatino Linotype" w:hAnsi="Palatino Linotype" w:cs="Tahoma"/>
          <w:color w:val="000000" w:themeColor="text1"/>
          <w:sz w:val="22"/>
          <w:szCs w:val="22"/>
        </w:rPr>
        <w:t xml:space="preserve"> </w:t>
      </w:r>
      <w:r w:rsidRPr="00535C16">
        <w:rPr>
          <w:rFonts w:ascii="Palatino Linotype" w:eastAsia="Calibri" w:hAnsi="Palatino Linotype" w:cs="Tahoma"/>
          <w:b/>
          <w:bCs/>
          <w:sz w:val="22"/>
          <w:szCs w:val="22"/>
          <w:lang w:eastAsia="en-US"/>
        </w:rPr>
        <w:t xml:space="preserve">POR SAIMEX </w:t>
      </w:r>
      <w:r w:rsidRPr="00535C16">
        <w:rPr>
          <w:rFonts w:ascii="Palatino Linotype" w:hAnsi="Palatino Linotype" w:cs="Tahoma"/>
          <w:color w:val="000000" w:themeColor="text1"/>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r w:rsidRPr="00535C16">
        <w:rPr>
          <w:rFonts w:ascii="Palatino Linotype" w:hAnsi="Palatino Linotype" w:cs="Tahoma"/>
          <w:sz w:val="22"/>
          <w:szCs w:val="22"/>
        </w:rPr>
        <w:t>.</w:t>
      </w:r>
    </w:p>
    <w:p w14:paraId="757889AF" w14:textId="0D5B9971" w:rsidR="009B4513" w:rsidRPr="00535C16" w:rsidRDefault="009B4513" w:rsidP="00A567EA">
      <w:pPr>
        <w:spacing w:line="360" w:lineRule="auto"/>
        <w:contextualSpacing/>
        <w:jc w:val="both"/>
        <w:rPr>
          <w:rFonts w:ascii="Palatino Linotype" w:hAnsi="Palatino Linotype" w:cs="Tahoma"/>
          <w:b/>
          <w:sz w:val="22"/>
          <w:szCs w:val="22"/>
        </w:rPr>
      </w:pPr>
    </w:p>
    <w:p w14:paraId="2C46F004" w14:textId="259F6D3B" w:rsidR="00803E3D" w:rsidRDefault="00803E3D" w:rsidP="00FF426B">
      <w:pPr>
        <w:spacing w:line="360" w:lineRule="auto"/>
        <w:contextualSpacing/>
        <w:jc w:val="both"/>
        <w:rPr>
          <w:rFonts w:ascii="Palatino Linotype" w:hAnsi="Palatino Linotype" w:cs="Tahoma"/>
          <w:sz w:val="22"/>
          <w:szCs w:val="22"/>
        </w:rPr>
      </w:pPr>
      <w:r w:rsidRPr="00535C16">
        <w:rPr>
          <w:rFonts w:ascii="Palatino Linotype" w:hAnsi="Palatino Linotype" w:cs="Tahoma"/>
          <w:sz w:val="22"/>
          <w:szCs w:val="22"/>
          <w:lang w:eastAsia="es-MX"/>
        </w:rPr>
        <w:t xml:space="preserve">ASÍ LO RESUELVE, POR </w:t>
      </w:r>
      <w:r w:rsidRPr="00535C16">
        <w:rPr>
          <w:rFonts w:ascii="Palatino Linotype" w:hAnsi="Palatino Linotype" w:cs="Tahoma"/>
          <w:b/>
          <w:sz w:val="22"/>
          <w:szCs w:val="22"/>
          <w:lang w:eastAsia="es-MX"/>
        </w:rPr>
        <w:t>UNANIMIDAD</w:t>
      </w:r>
      <w:r w:rsidRPr="00535C16">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50276" w:rsidRPr="00535C16">
        <w:rPr>
          <w:rFonts w:ascii="Palatino Linotype" w:hAnsi="Palatino Linotype" w:cs="Tahoma"/>
          <w:sz w:val="22"/>
          <w:szCs w:val="22"/>
          <w:lang w:eastAsia="es-MX"/>
        </w:rPr>
        <w:t>SÉPTIMA</w:t>
      </w:r>
      <w:r w:rsidR="00841960" w:rsidRPr="00535C16">
        <w:rPr>
          <w:rFonts w:ascii="Palatino Linotype" w:hAnsi="Palatino Linotype" w:cs="Tahoma"/>
          <w:sz w:val="22"/>
          <w:szCs w:val="22"/>
          <w:lang w:eastAsia="es-MX"/>
        </w:rPr>
        <w:t xml:space="preserve"> </w:t>
      </w:r>
      <w:r w:rsidRPr="00535C16">
        <w:rPr>
          <w:rFonts w:ascii="Palatino Linotype" w:hAnsi="Palatino Linotype" w:cs="Tahoma"/>
          <w:sz w:val="22"/>
          <w:szCs w:val="22"/>
          <w:lang w:eastAsia="es-MX"/>
        </w:rPr>
        <w:t xml:space="preserve">SESIÓN ORDINARIA, CELEBRADA EL </w:t>
      </w:r>
      <w:r w:rsidR="00950276" w:rsidRPr="00535C16">
        <w:rPr>
          <w:rFonts w:ascii="Palatino Linotype" w:hAnsi="Palatino Linotype" w:cs="Tahoma"/>
          <w:sz w:val="22"/>
          <w:szCs w:val="22"/>
          <w:lang w:eastAsia="es-MX"/>
        </w:rPr>
        <w:t>VEINTICINCO</w:t>
      </w:r>
      <w:r w:rsidR="00027C0D" w:rsidRPr="00535C16">
        <w:rPr>
          <w:rFonts w:ascii="Palatino Linotype" w:hAnsi="Palatino Linotype" w:cs="Tahoma"/>
          <w:sz w:val="22"/>
          <w:szCs w:val="22"/>
          <w:lang w:eastAsia="es-MX"/>
        </w:rPr>
        <w:t xml:space="preserve"> </w:t>
      </w:r>
      <w:r w:rsidR="00C90886" w:rsidRPr="00535C16">
        <w:rPr>
          <w:rFonts w:ascii="Palatino Linotype" w:hAnsi="Palatino Linotype" w:cs="Tahoma"/>
          <w:sz w:val="22"/>
          <w:szCs w:val="22"/>
          <w:lang w:eastAsia="es-MX"/>
        </w:rPr>
        <w:t xml:space="preserve">DE </w:t>
      </w:r>
      <w:r w:rsidR="00DB0529" w:rsidRPr="00535C16">
        <w:rPr>
          <w:rFonts w:ascii="Palatino Linotype" w:hAnsi="Palatino Linotype" w:cs="Tahoma"/>
          <w:sz w:val="22"/>
          <w:szCs w:val="22"/>
          <w:lang w:eastAsia="es-MX"/>
        </w:rPr>
        <w:t>FEBRERO</w:t>
      </w:r>
      <w:r w:rsidR="00841960" w:rsidRPr="00535C16">
        <w:rPr>
          <w:rFonts w:ascii="Palatino Linotype" w:hAnsi="Palatino Linotype" w:cs="Tahoma"/>
          <w:sz w:val="22"/>
          <w:szCs w:val="22"/>
          <w:lang w:eastAsia="es-MX"/>
        </w:rPr>
        <w:t xml:space="preserve"> </w:t>
      </w:r>
      <w:r w:rsidR="00B73D51" w:rsidRPr="00535C16">
        <w:rPr>
          <w:rFonts w:ascii="Palatino Linotype" w:hAnsi="Palatino Linotype" w:cs="Tahoma"/>
          <w:sz w:val="22"/>
          <w:szCs w:val="22"/>
          <w:lang w:eastAsia="es-MX"/>
        </w:rPr>
        <w:t xml:space="preserve">DE DOS MIL </w:t>
      </w:r>
      <w:r w:rsidR="0000789A">
        <w:rPr>
          <w:rFonts w:ascii="Palatino Linotype" w:hAnsi="Palatino Linotype" w:cs="Tahoma"/>
          <w:sz w:val="22"/>
          <w:szCs w:val="22"/>
          <w:lang w:eastAsia="es-MX"/>
        </w:rPr>
        <w:t>VEINTISÉIS</w:t>
      </w:r>
      <w:r w:rsidRPr="00535C16">
        <w:rPr>
          <w:rFonts w:ascii="Palatino Linotype" w:hAnsi="Palatino Linotype" w:cs="Tahoma"/>
          <w:sz w:val="22"/>
          <w:szCs w:val="22"/>
          <w:lang w:eastAsia="es-MX"/>
        </w:rPr>
        <w:t>, ANTE EL SECRETARIO TÉCNICO DEL PLENO, ALEXIS TAPIA RAMÍREZ.</w:t>
      </w:r>
    </w:p>
    <w:p w14:paraId="3872A398" w14:textId="77777777" w:rsidR="00163BAA" w:rsidRDefault="00163BAA" w:rsidP="00FF426B">
      <w:pPr>
        <w:spacing w:line="360" w:lineRule="auto"/>
        <w:contextualSpacing/>
        <w:jc w:val="both"/>
        <w:rPr>
          <w:rFonts w:ascii="Palatino Linotype" w:hAnsi="Palatino Linotype" w:cs="Tahoma"/>
          <w:sz w:val="22"/>
          <w:szCs w:val="22"/>
        </w:rPr>
      </w:pPr>
    </w:p>
    <w:p w14:paraId="20FAC567" w14:textId="77777777" w:rsidR="00163BAA" w:rsidRDefault="00163BAA" w:rsidP="00FF426B">
      <w:pPr>
        <w:spacing w:line="360" w:lineRule="auto"/>
        <w:contextualSpacing/>
        <w:jc w:val="both"/>
        <w:rPr>
          <w:rFonts w:ascii="Palatino Linotype" w:hAnsi="Palatino Linotype" w:cs="Tahoma"/>
          <w:sz w:val="22"/>
          <w:szCs w:val="22"/>
        </w:rPr>
      </w:pPr>
    </w:p>
    <w:p w14:paraId="4F73C953" w14:textId="77777777" w:rsidR="00163BAA" w:rsidRDefault="00163BAA" w:rsidP="00FF426B">
      <w:pPr>
        <w:spacing w:line="360" w:lineRule="auto"/>
        <w:contextualSpacing/>
        <w:jc w:val="both"/>
        <w:rPr>
          <w:rFonts w:ascii="Palatino Linotype" w:hAnsi="Palatino Linotype" w:cs="Tahoma"/>
          <w:sz w:val="22"/>
          <w:szCs w:val="22"/>
        </w:rPr>
      </w:pPr>
    </w:p>
    <w:p w14:paraId="27FF44E1" w14:textId="77777777" w:rsidR="0089175F" w:rsidRDefault="0089175F" w:rsidP="00FF426B">
      <w:pPr>
        <w:spacing w:line="360" w:lineRule="auto"/>
        <w:contextualSpacing/>
        <w:jc w:val="both"/>
        <w:rPr>
          <w:rFonts w:ascii="Palatino Linotype" w:hAnsi="Palatino Linotype" w:cs="Tahoma"/>
          <w:sz w:val="22"/>
          <w:szCs w:val="22"/>
        </w:rPr>
      </w:pPr>
    </w:p>
    <w:p w14:paraId="07022968" w14:textId="77777777" w:rsidR="0089175F" w:rsidRDefault="0089175F" w:rsidP="00FF426B">
      <w:pPr>
        <w:spacing w:line="360" w:lineRule="auto"/>
        <w:contextualSpacing/>
        <w:jc w:val="both"/>
        <w:rPr>
          <w:rFonts w:ascii="Palatino Linotype" w:hAnsi="Palatino Linotype" w:cs="Tahoma"/>
          <w:sz w:val="22"/>
          <w:szCs w:val="22"/>
        </w:rPr>
      </w:pPr>
    </w:p>
    <w:p w14:paraId="78FB4110" w14:textId="77777777" w:rsidR="0089175F" w:rsidRDefault="0089175F" w:rsidP="00FF426B">
      <w:pPr>
        <w:spacing w:line="360" w:lineRule="auto"/>
        <w:contextualSpacing/>
        <w:jc w:val="both"/>
        <w:rPr>
          <w:rFonts w:ascii="Palatino Linotype" w:hAnsi="Palatino Linotype" w:cs="Tahoma"/>
          <w:sz w:val="22"/>
          <w:szCs w:val="22"/>
        </w:rPr>
      </w:pPr>
    </w:p>
    <w:p w14:paraId="59FBEB30" w14:textId="77777777" w:rsidR="0089175F" w:rsidRDefault="0089175F" w:rsidP="00FF426B">
      <w:pPr>
        <w:spacing w:line="360" w:lineRule="auto"/>
        <w:contextualSpacing/>
        <w:jc w:val="both"/>
        <w:rPr>
          <w:rFonts w:ascii="Palatino Linotype" w:hAnsi="Palatino Linotype" w:cs="Tahoma"/>
          <w:sz w:val="22"/>
          <w:szCs w:val="22"/>
        </w:rPr>
      </w:pPr>
    </w:p>
    <w:p w14:paraId="307A6B54" w14:textId="77777777" w:rsidR="001F1A77" w:rsidRDefault="001F1A77" w:rsidP="00FF426B">
      <w:pPr>
        <w:spacing w:line="360" w:lineRule="auto"/>
        <w:contextualSpacing/>
        <w:jc w:val="both"/>
        <w:rPr>
          <w:rFonts w:ascii="Palatino Linotype" w:hAnsi="Palatino Linotype" w:cs="Tahoma"/>
          <w:sz w:val="22"/>
          <w:szCs w:val="22"/>
        </w:rPr>
      </w:pPr>
    </w:p>
    <w:p w14:paraId="637435A7" w14:textId="77777777" w:rsidR="001F1A77" w:rsidRDefault="001F1A77" w:rsidP="00FF426B">
      <w:pPr>
        <w:spacing w:line="360" w:lineRule="auto"/>
        <w:contextualSpacing/>
        <w:jc w:val="both"/>
        <w:rPr>
          <w:rFonts w:ascii="Palatino Linotype" w:hAnsi="Palatino Linotype" w:cs="Tahoma"/>
          <w:sz w:val="22"/>
          <w:szCs w:val="22"/>
        </w:rPr>
      </w:pPr>
    </w:p>
    <w:p w14:paraId="7C3B3416" w14:textId="77777777" w:rsidR="000B1059" w:rsidRDefault="000B1059" w:rsidP="00FF426B">
      <w:pPr>
        <w:spacing w:line="360" w:lineRule="auto"/>
        <w:contextualSpacing/>
        <w:jc w:val="both"/>
        <w:rPr>
          <w:rFonts w:ascii="Palatino Linotype" w:hAnsi="Palatino Linotype" w:cs="Tahoma"/>
          <w:sz w:val="22"/>
          <w:szCs w:val="22"/>
        </w:rPr>
      </w:pPr>
    </w:p>
    <w:p w14:paraId="064A29D4" w14:textId="77777777" w:rsidR="000B1059" w:rsidRDefault="000B1059" w:rsidP="00FF426B">
      <w:pPr>
        <w:spacing w:line="360" w:lineRule="auto"/>
        <w:contextualSpacing/>
        <w:jc w:val="both"/>
        <w:rPr>
          <w:rFonts w:ascii="Palatino Linotype" w:hAnsi="Palatino Linotype" w:cs="Tahoma"/>
          <w:sz w:val="22"/>
          <w:szCs w:val="22"/>
        </w:rPr>
      </w:pPr>
    </w:p>
    <w:p w14:paraId="7B8BF031" w14:textId="77777777" w:rsidR="005A6BEC" w:rsidRDefault="005A6BEC" w:rsidP="00FF426B">
      <w:pPr>
        <w:spacing w:line="360" w:lineRule="auto"/>
        <w:contextualSpacing/>
        <w:jc w:val="both"/>
        <w:rPr>
          <w:rFonts w:ascii="Palatino Linotype" w:hAnsi="Palatino Linotype" w:cs="Tahoma"/>
          <w:sz w:val="22"/>
          <w:szCs w:val="22"/>
        </w:rPr>
      </w:pPr>
    </w:p>
    <w:p w14:paraId="251D15D0" w14:textId="77777777" w:rsidR="001F1A77" w:rsidRDefault="001F1A77" w:rsidP="00FF426B">
      <w:pPr>
        <w:spacing w:line="360" w:lineRule="auto"/>
        <w:contextualSpacing/>
        <w:jc w:val="both"/>
        <w:rPr>
          <w:rFonts w:ascii="Palatino Linotype" w:hAnsi="Palatino Linotype" w:cs="Tahoma"/>
          <w:sz w:val="22"/>
          <w:szCs w:val="22"/>
        </w:rPr>
      </w:pPr>
    </w:p>
    <w:p w14:paraId="67DAA55A" w14:textId="77777777" w:rsidR="001F1A77" w:rsidRDefault="001F1A77" w:rsidP="00FF426B">
      <w:pPr>
        <w:spacing w:line="360" w:lineRule="auto"/>
        <w:contextualSpacing/>
        <w:jc w:val="both"/>
        <w:rPr>
          <w:rFonts w:ascii="Palatino Linotype" w:hAnsi="Palatino Linotype" w:cs="Tahoma"/>
          <w:sz w:val="22"/>
          <w:szCs w:val="22"/>
        </w:rPr>
      </w:pPr>
    </w:p>
    <w:p w14:paraId="4A0650E6" w14:textId="77777777" w:rsidR="001F1A77" w:rsidRDefault="001F1A77" w:rsidP="00FF426B">
      <w:pPr>
        <w:spacing w:line="360" w:lineRule="auto"/>
        <w:contextualSpacing/>
        <w:jc w:val="both"/>
        <w:rPr>
          <w:rFonts w:ascii="Palatino Linotype" w:hAnsi="Palatino Linotype" w:cs="Tahoma"/>
          <w:sz w:val="22"/>
          <w:szCs w:val="22"/>
        </w:rPr>
      </w:pPr>
    </w:p>
    <w:p w14:paraId="16FEC81E" w14:textId="77777777" w:rsidR="00462439" w:rsidRDefault="00462439" w:rsidP="00FF426B">
      <w:pPr>
        <w:spacing w:line="360" w:lineRule="auto"/>
        <w:contextualSpacing/>
        <w:jc w:val="both"/>
        <w:rPr>
          <w:rFonts w:ascii="Palatino Linotype" w:hAnsi="Palatino Linotype" w:cs="Tahoma"/>
          <w:sz w:val="22"/>
          <w:szCs w:val="22"/>
        </w:rPr>
      </w:pPr>
    </w:p>
    <w:p w14:paraId="618FB778" w14:textId="77777777" w:rsidR="00462439" w:rsidRDefault="00462439" w:rsidP="00FF426B">
      <w:pPr>
        <w:spacing w:line="360" w:lineRule="auto"/>
        <w:contextualSpacing/>
        <w:jc w:val="both"/>
        <w:rPr>
          <w:rFonts w:ascii="Palatino Linotype" w:hAnsi="Palatino Linotype" w:cs="Tahoma"/>
          <w:sz w:val="22"/>
          <w:szCs w:val="22"/>
        </w:rPr>
      </w:pPr>
    </w:p>
    <w:p w14:paraId="4AF98948" w14:textId="77777777" w:rsidR="00462439" w:rsidRDefault="00462439" w:rsidP="00FF426B">
      <w:pPr>
        <w:spacing w:line="360" w:lineRule="auto"/>
        <w:contextualSpacing/>
        <w:jc w:val="both"/>
        <w:rPr>
          <w:rFonts w:ascii="Palatino Linotype" w:hAnsi="Palatino Linotype" w:cs="Tahoma"/>
          <w:sz w:val="22"/>
          <w:szCs w:val="22"/>
        </w:rPr>
      </w:pPr>
    </w:p>
    <w:p w14:paraId="454EC1D3" w14:textId="77777777" w:rsidR="00462439" w:rsidRDefault="00462439" w:rsidP="00FF426B">
      <w:pPr>
        <w:spacing w:line="360" w:lineRule="auto"/>
        <w:contextualSpacing/>
        <w:jc w:val="both"/>
        <w:rPr>
          <w:rFonts w:ascii="Palatino Linotype" w:hAnsi="Palatino Linotype" w:cs="Tahoma"/>
          <w:sz w:val="22"/>
          <w:szCs w:val="22"/>
        </w:rPr>
      </w:pPr>
    </w:p>
    <w:p w14:paraId="6F5A7446" w14:textId="77777777" w:rsidR="001F1A77" w:rsidRPr="003A1DF0" w:rsidRDefault="001F1A77" w:rsidP="00FF426B">
      <w:pPr>
        <w:spacing w:line="360" w:lineRule="auto"/>
        <w:contextualSpacing/>
        <w:jc w:val="both"/>
        <w:rPr>
          <w:rFonts w:ascii="Palatino Linotype" w:hAnsi="Palatino Linotype" w:cs="Tahoma"/>
          <w:sz w:val="22"/>
          <w:szCs w:val="22"/>
        </w:rPr>
      </w:pPr>
    </w:p>
    <w:p w14:paraId="7C2B90C5" w14:textId="77777777" w:rsidR="003A1DF0" w:rsidRPr="003A1DF0" w:rsidRDefault="003A1DF0" w:rsidP="00FF426B">
      <w:pPr>
        <w:spacing w:line="360" w:lineRule="auto"/>
        <w:contextualSpacing/>
        <w:jc w:val="both"/>
        <w:rPr>
          <w:rFonts w:ascii="Palatino Linotype" w:hAnsi="Palatino Linotype" w:cs="Tahoma"/>
          <w:sz w:val="22"/>
          <w:szCs w:val="22"/>
        </w:rPr>
      </w:pPr>
    </w:p>
    <w:sectPr w:rsidR="003A1DF0" w:rsidRPr="003A1DF0" w:rsidSect="0003481C">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07427" w14:textId="77777777" w:rsidR="00113209" w:rsidRDefault="00113209" w:rsidP="00B31222">
      <w:r>
        <w:separator/>
      </w:r>
    </w:p>
  </w:endnote>
  <w:endnote w:type="continuationSeparator" w:id="0">
    <w:p w14:paraId="2BF74C70" w14:textId="77777777" w:rsidR="00113209" w:rsidRDefault="00113209" w:rsidP="00B31222">
      <w:r>
        <w:continuationSeparator/>
      </w:r>
    </w:p>
  </w:endnote>
  <w:endnote w:type="continuationNotice" w:id="1">
    <w:p w14:paraId="265A3CAD" w14:textId="77777777" w:rsidR="00113209" w:rsidRDefault="00113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15699">
              <w:rPr>
                <w:b/>
                <w:bCs/>
                <w:noProof/>
              </w:rPr>
              <w:t>34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15699">
              <w:rPr>
                <w:b/>
                <w:bCs/>
                <w:noProof/>
              </w:rPr>
              <w:t>34</w:t>
            </w:r>
            <w:r>
              <w:rPr>
                <w:b/>
                <w:bCs/>
                <w:sz w:val="24"/>
                <w:szCs w:val="24"/>
              </w:rPr>
              <w:fldChar w:fldCharType="end"/>
            </w:r>
          </w:p>
        </w:sdtContent>
      </w:sdt>
    </w:sdtContent>
  </w:sdt>
  <w:p w14:paraId="5B99DFC2" w14:textId="77777777" w:rsidR="00006C6F" w:rsidRDefault="00006C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9D18E7">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9D18E7">
              <w:rPr>
                <w:b/>
                <w:bCs/>
                <w:noProof/>
              </w:rPr>
              <w:t>1</w:t>
            </w:r>
            <w:r>
              <w:rPr>
                <w:b/>
                <w:bCs/>
                <w:sz w:val="24"/>
                <w:szCs w:val="24"/>
              </w:rPr>
              <w:fldChar w:fldCharType="end"/>
            </w:r>
          </w:p>
        </w:sdtContent>
      </w:sdt>
    </w:sdtContent>
  </w:sdt>
  <w:p w14:paraId="14D79AC7" w14:textId="77777777" w:rsidR="00006C6F" w:rsidRDefault="00006C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DF38A" w14:textId="77777777" w:rsidR="00113209" w:rsidRDefault="00113209" w:rsidP="00B31222">
      <w:r>
        <w:separator/>
      </w:r>
    </w:p>
  </w:footnote>
  <w:footnote w:type="continuationSeparator" w:id="0">
    <w:p w14:paraId="29155FB4" w14:textId="77777777" w:rsidR="00113209" w:rsidRDefault="00113209" w:rsidP="00B31222">
      <w:r>
        <w:continuationSeparator/>
      </w:r>
    </w:p>
  </w:footnote>
  <w:footnote w:type="continuationNotice" w:id="1">
    <w:p w14:paraId="4AFAF06B" w14:textId="77777777" w:rsidR="00113209" w:rsidRDefault="00113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B30" w14:textId="77777777" w:rsidR="00006C6F" w:rsidRDefault="00113209">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5C106F" w14:paraId="7D0E4A89" w14:textId="77777777" w:rsidTr="00202DB8">
      <w:trPr>
        <w:trHeight w:val="1435"/>
      </w:trPr>
      <w:tc>
        <w:tcPr>
          <w:tcW w:w="2835" w:type="dxa"/>
        </w:tcPr>
        <w:p w14:paraId="1B205B04" w14:textId="77777777" w:rsidR="00006C6F" w:rsidRPr="005C106F" w:rsidRDefault="00006C6F"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006C6F" w:rsidRDefault="00006C6F"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14:paraId="33FBFC3A" w14:textId="77777777" w:rsidTr="00DF3BE8">
            <w:trPr>
              <w:trHeight w:val="144"/>
            </w:trPr>
            <w:tc>
              <w:tcPr>
                <w:tcW w:w="2589" w:type="dxa"/>
              </w:tcPr>
              <w:p w14:paraId="7EEEB398"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743AEFD3" w:rsidR="00006C6F" w:rsidRPr="0075173E" w:rsidRDefault="00006C6F"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13061</w:t>
                </w:r>
                <w:r w:rsidRPr="0075173E">
                  <w:rPr>
                    <w:rFonts w:ascii="Palatino Linotype" w:eastAsia="Calibri" w:hAnsi="Palatino Linotype" w:cs="Tahoma"/>
                    <w:bCs/>
                    <w:sz w:val="22"/>
                    <w:szCs w:val="22"/>
                    <w:lang w:val="es-MX" w:eastAsia="en-US"/>
                  </w:rPr>
                  <w:t>/INFOEM/IP/RR/2025</w:t>
                </w:r>
              </w:p>
            </w:tc>
          </w:tr>
          <w:tr w:rsidR="00006C6F" w14:paraId="78104ECC" w14:textId="77777777" w:rsidTr="00DF3BE8">
            <w:trPr>
              <w:trHeight w:val="283"/>
            </w:trPr>
            <w:tc>
              <w:tcPr>
                <w:tcW w:w="2589" w:type="dxa"/>
              </w:tcPr>
              <w:p w14:paraId="65081B07"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71A586ED" w:rsidR="00006C6F" w:rsidRPr="0075173E" w:rsidRDefault="00A65E5D" w:rsidP="0075173E">
                <w:pPr>
                  <w:tabs>
                    <w:tab w:val="left" w:pos="2834"/>
                    <w:tab w:val="right" w:pos="8838"/>
                  </w:tabs>
                  <w:ind w:left="-106" w:right="171"/>
                  <w:jc w:val="both"/>
                  <w:rPr>
                    <w:rFonts w:ascii="Palatino Linotype" w:eastAsia="Calibri" w:hAnsi="Palatino Linotype" w:cs="Tahoma"/>
                    <w:bCs/>
                    <w:sz w:val="22"/>
                    <w:szCs w:val="22"/>
                    <w:lang w:eastAsia="en-US"/>
                  </w:rPr>
                </w:pPr>
                <w:r w:rsidRPr="008B3CBF">
                  <w:rPr>
                    <w:rFonts w:ascii="Palatino Linotype" w:eastAsia="Calibri" w:hAnsi="Palatino Linotype" w:cs="Tahoma"/>
                    <w:sz w:val="22"/>
                    <w:szCs w:val="22"/>
                    <w:lang w:eastAsia="en-US"/>
                  </w:rPr>
                  <w:t>Ayuntamiento de Nextlalpan</w:t>
                </w:r>
              </w:p>
            </w:tc>
          </w:tr>
          <w:tr w:rsidR="00006C6F" w14:paraId="23751EDD" w14:textId="77777777" w:rsidTr="00DF3BE8">
            <w:trPr>
              <w:trHeight w:val="283"/>
            </w:trPr>
            <w:tc>
              <w:tcPr>
                <w:tcW w:w="2589" w:type="dxa"/>
              </w:tcPr>
              <w:p w14:paraId="24ABF14F"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006C6F" w:rsidRPr="00431A70" w:rsidRDefault="00006C6F"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006C6F" w:rsidRPr="005C106F" w:rsidRDefault="00006C6F" w:rsidP="005743D2">
          <w:pPr>
            <w:tabs>
              <w:tab w:val="right" w:pos="8838"/>
            </w:tabs>
            <w:ind w:left="-28"/>
            <w:jc w:val="both"/>
            <w:rPr>
              <w:rFonts w:ascii="Arial" w:eastAsia="Calibri" w:hAnsi="Arial" w:cs="Arial"/>
              <w:b/>
              <w:sz w:val="22"/>
              <w:szCs w:val="22"/>
              <w:lang w:eastAsia="en-US"/>
            </w:rPr>
          </w:pPr>
        </w:p>
      </w:tc>
    </w:tr>
  </w:tbl>
  <w:p w14:paraId="284E6A20" w14:textId="77777777" w:rsidR="00006C6F" w:rsidRPr="00A25151" w:rsidRDefault="00006C6F"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330DA7" w14:paraId="12E92AA6" w14:textId="77777777" w:rsidTr="003B165A">
      <w:trPr>
        <w:trHeight w:val="1435"/>
      </w:trPr>
      <w:tc>
        <w:tcPr>
          <w:tcW w:w="2835" w:type="dxa"/>
        </w:tcPr>
        <w:p w14:paraId="1B7249B5" w14:textId="77777777" w:rsidR="00006C6F" w:rsidRPr="00330DA7" w:rsidRDefault="00006C6F"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rsidRPr="00431A70" w14:paraId="6B1FFA8A" w14:textId="77777777" w:rsidTr="00DF3BE8">
            <w:trPr>
              <w:trHeight w:val="144"/>
            </w:trPr>
            <w:tc>
              <w:tcPr>
                <w:tcW w:w="2589" w:type="dxa"/>
              </w:tcPr>
              <w:p w14:paraId="0A8274C8" w14:textId="77777777" w:rsidR="00006C6F" w:rsidRPr="00431A70" w:rsidRDefault="00006C6F"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3B0132CE" w:rsidR="00006C6F" w:rsidRPr="00BF5185" w:rsidRDefault="00006C6F" w:rsidP="00CB1F95">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13061/INFOEM/IP/RR/2025</w:t>
                </w:r>
              </w:p>
            </w:tc>
          </w:tr>
          <w:tr w:rsidR="00006C6F" w:rsidRPr="00286D0C" w14:paraId="04216ADB" w14:textId="77777777" w:rsidTr="00DF3BE8">
            <w:trPr>
              <w:trHeight w:val="144"/>
            </w:trPr>
            <w:tc>
              <w:tcPr>
                <w:tcW w:w="2589" w:type="dxa"/>
              </w:tcPr>
              <w:p w14:paraId="44DB6A02"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3341BD1A" w:rsidR="00006C6F" w:rsidRPr="00286D0C" w:rsidRDefault="004C4286" w:rsidP="005A6BEC">
                <w:pPr>
                  <w:tabs>
                    <w:tab w:val="left" w:pos="3122"/>
                    <w:tab w:val="right" w:pos="8838"/>
                  </w:tabs>
                  <w:ind w:left="-106" w:right="-105"/>
                  <w:jc w:val="both"/>
                  <w:rPr>
                    <w:rFonts w:ascii="Palatino Linotype" w:eastAsia="Calibri" w:hAnsi="Palatino Linotype" w:cs="Tahoma"/>
                    <w:bCs/>
                    <w:sz w:val="22"/>
                    <w:szCs w:val="22"/>
                    <w:lang w:eastAsia="en-US"/>
                  </w:rPr>
                </w:pPr>
                <w:r w:rsidRPr="004C4286">
                  <w:rPr>
                    <w:rFonts w:ascii="Palatino Linotype" w:eastAsia="Calibri" w:hAnsi="Palatino Linotype" w:cs="Tahoma"/>
                    <w:bCs/>
                    <w:sz w:val="22"/>
                    <w:szCs w:val="22"/>
                    <w:highlight w:val="black"/>
                    <w:lang w:eastAsia="en-US"/>
                  </w:rPr>
                  <w:t>XXXXXXXXXX</w:t>
                </w:r>
                <w:r w:rsidR="00006C6F" w:rsidRPr="007F0E3E">
                  <w:rPr>
                    <w:rFonts w:ascii="Palatino Linotype" w:eastAsia="Calibri" w:hAnsi="Palatino Linotype" w:cs="Tahoma"/>
                    <w:bCs/>
                    <w:sz w:val="22"/>
                    <w:szCs w:val="22"/>
                    <w:lang w:eastAsia="en-US"/>
                  </w:rPr>
                  <w:t xml:space="preserve"> </w:t>
                </w:r>
              </w:p>
            </w:tc>
          </w:tr>
          <w:tr w:rsidR="00006C6F" w:rsidRPr="00431A70" w14:paraId="1EDBE1E0" w14:textId="77777777" w:rsidTr="00DF3BE8">
            <w:trPr>
              <w:trHeight w:val="283"/>
            </w:trPr>
            <w:tc>
              <w:tcPr>
                <w:tcW w:w="2589" w:type="dxa"/>
              </w:tcPr>
              <w:p w14:paraId="110CFAC0"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139FBA7D" w:rsidR="00006C6F" w:rsidRPr="005F13CF" w:rsidRDefault="00A65E5D" w:rsidP="005A6BEC">
                <w:pPr>
                  <w:tabs>
                    <w:tab w:val="left" w:pos="2834"/>
                    <w:tab w:val="right" w:pos="8838"/>
                  </w:tabs>
                  <w:ind w:left="-106" w:right="-105"/>
                  <w:jc w:val="both"/>
                  <w:rPr>
                    <w:rFonts w:ascii="Palatino Linotype" w:eastAsia="Calibri" w:hAnsi="Palatino Linotype" w:cs="Tahoma"/>
                    <w:bCs/>
                    <w:sz w:val="22"/>
                    <w:szCs w:val="22"/>
                    <w:lang w:eastAsia="en-US"/>
                  </w:rPr>
                </w:pPr>
                <w:r w:rsidRPr="008B3CBF">
                  <w:rPr>
                    <w:rFonts w:ascii="Palatino Linotype" w:eastAsia="Calibri" w:hAnsi="Palatino Linotype" w:cs="Tahoma"/>
                    <w:sz w:val="22"/>
                    <w:szCs w:val="22"/>
                    <w:lang w:eastAsia="en-US"/>
                  </w:rPr>
                  <w:t>Ayuntamiento de Nextlalpan</w:t>
                </w:r>
              </w:p>
            </w:tc>
          </w:tr>
          <w:tr w:rsidR="00006C6F" w:rsidRPr="00431A70" w14:paraId="673137C1" w14:textId="77777777" w:rsidTr="00DF3BE8">
            <w:trPr>
              <w:trHeight w:val="283"/>
            </w:trPr>
            <w:tc>
              <w:tcPr>
                <w:tcW w:w="2589" w:type="dxa"/>
              </w:tcPr>
              <w:p w14:paraId="74750585"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006C6F" w:rsidRPr="00431A70" w:rsidRDefault="00006C6F"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006C6F" w:rsidRPr="00330DA7" w:rsidRDefault="00006C6F" w:rsidP="00DB7E5F">
          <w:pPr>
            <w:tabs>
              <w:tab w:val="right" w:pos="8838"/>
            </w:tabs>
            <w:ind w:left="-28"/>
            <w:jc w:val="both"/>
            <w:rPr>
              <w:rFonts w:ascii="Arial" w:eastAsia="Calibri" w:hAnsi="Arial" w:cs="Arial"/>
              <w:b/>
              <w:sz w:val="22"/>
              <w:szCs w:val="22"/>
              <w:lang w:eastAsia="en-US"/>
            </w:rPr>
          </w:pPr>
        </w:p>
      </w:tc>
    </w:tr>
  </w:tbl>
  <w:p w14:paraId="1615E272" w14:textId="77777777" w:rsidR="00006C6F" w:rsidRPr="00330DA7" w:rsidRDefault="00006C6F"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2C3E30"/>
    <w:multiLevelType w:val="hybridMultilevel"/>
    <w:tmpl w:val="CEE26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E32FC5"/>
    <w:multiLevelType w:val="hybridMultilevel"/>
    <w:tmpl w:val="09821538"/>
    <w:lvl w:ilvl="0" w:tplc="69CACF42">
      <w:start w:val="1"/>
      <w:numFmt w:val="decimal"/>
      <w:lvlText w:val="%1."/>
      <w:lvlJc w:val="left"/>
      <w:pPr>
        <w:ind w:left="720" w:hanging="360"/>
      </w:pPr>
      <w:rPr>
        <w:rFonts w:ascii="Palatino Linotype" w:eastAsia="Times New Roman" w:hAnsi="Palatino Linotype" w:cs="Tahom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1"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6"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02377502">
    <w:abstractNumId w:val="0"/>
  </w:num>
  <w:num w:numId="2" w16cid:durableId="487789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245554">
    <w:abstractNumId w:val="26"/>
  </w:num>
  <w:num w:numId="4" w16cid:durableId="1028875743">
    <w:abstractNumId w:val="4"/>
  </w:num>
  <w:num w:numId="5" w16cid:durableId="164395351">
    <w:abstractNumId w:val="6"/>
  </w:num>
  <w:num w:numId="6" w16cid:durableId="23941804">
    <w:abstractNumId w:val="17"/>
  </w:num>
  <w:num w:numId="7" w16cid:durableId="1129516102">
    <w:abstractNumId w:val="3"/>
  </w:num>
  <w:num w:numId="8" w16cid:durableId="708647770">
    <w:abstractNumId w:val="10"/>
  </w:num>
  <w:num w:numId="9" w16cid:durableId="305664868">
    <w:abstractNumId w:val="2"/>
  </w:num>
  <w:num w:numId="10" w16cid:durableId="1468937146">
    <w:abstractNumId w:val="23"/>
  </w:num>
  <w:num w:numId="11" w16cid:durableId="1485514128">
    <w:abstractNumId w:val="11"/>
  </w:num>
  <w:num w:numId="12" w16cid:durableId="1943763897">
    <w:abstractNumId w:val="7"/>
  </w:num>
  <w:num w:numId="13" w16cid:durableId="500658240">
    <w:abstractNumId w:val="14"/>
  </w:num>
  <w:num w:numId="14" w16cid:durableId="21213360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7638357">
    <w:abstractNumId w:val="12"/>
  </w:num>
  <w:num w:numId="16" w16cid:durableId="2086369259">
    <w:abstractNumId w:val="21"/>
  </w:num>
  <w:num w:numId="17" w16cid:durableId="1775248103">
    <w:abstractNumId w:val="16"/>
  </w:num>
  <w:num w:numId="18" w16cid:durableId="103306839">
    <w:abstractNumId w:val="27"/>
  </w:num>
  <w:num w:numId="19" w16cid:durableId="1866751027">
    <w:abstractNumId w:val="5"/>
  </w:num>
  <w:num w:numId="20" w16cid:durableId="962686600">
    <w:abstractNumId w:val="8"/>
  </w:num>
  <w:num w:numId="21" w16cid:durableId="660668667">
    <w:abstractNumId w:val="9"/>
  </w:num>
  <w:num w:numId="22" w16cid:durableId="800224253">
    <w:abstractNumId w:val="24"/>
  </w:num>
  <w:num w:numId="23" w16cid:durableId="1030371619">
    <w:abstractNumId w:val="15"/>
  </w:num>
  <w:num w:numId="24" w16cid:durableId="631860662">
    <w:abstractNumId w:val="20"/>
  </w:num>
  <w:num w:numId="25" w16cid:durableId="566691072">
    <w:abstractNumId w:val="19"/>
  </w:num>
  <w:num w:numId="26" w16cid:durableId="567155378">
    <w:abstractNumId w:val="1"/>
  </w:num>
  <w:num w:numId="27" w16cid:durableId="143162620">
    <w:abstractNumId w:val="22"/>
  </w:num>
  <w:num w:numId="28" w16cid:durableId="1015230975">
    <w:abstractNumId w:val="18"/>
  </w:num>
  <w:num w:numId="29" w16cid:durableId="132520906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581F"/>
    <w:rsid w:val="00006091"/>
    <w:rsid w:val="00006543"/>
    <w:rsid w:val="00006C6F"/>
    <w:rsid w:val="00006DC5"/>
    <w:rsid w:val="0000789A"/>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C1B"/>
    <w:rsid w:val="00050AB0"/>
    <w:rsid w:val="00051243"/>
    <w:rsid w:val="00051E32"/>
    <w:rsid w:val="000523BB"/>
    <w:rsid w:val="000528E6"/>
    <w:rsid w:val="00053784"/>
    <w:rsid w:val="00053EEF"/>
    <w:rsid w:val="00054106"/>
    <w:rsid w:val="0005422F"/>
    <w:rsid w:val="00055361"/>
    <w:rsid w:val="000564EC"/>
    <w:rsid w:val="00056A85"/>
    <w:rsid w:val="00057250"/>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49A5"/>
    <w:rsid w:val="00075542"/>
    <w:rsid w:val="000758B2"/>
    <w:rsid w:val="00075C83"/>
    <w:rsid w:val="000765EA"/>
    <w:rsid w:val="00076C7C"/>
    <w:rsid w:val="00077700"/>
    <w:rsid w:val="000778B2"/>
    <w:rsid w:val="00080222"/>
    <w:rsid w:val="000805CC"/>
    <w:rsid w:val="000813B0"/>
    <w:rsid w:val="0008148B"/>
    <w:rsid w:val="00081756"/>
    <w:rsid w:val="00081C1C"/>
    <w:rsid w:val="00082E37"/>
    <w:rsid w:val="00083AD1"/>
    <w:rsid w:val="000851BA"/>
    <w:rsid w:val="00086A01"/>
    <w:rsid w:val="0008787B"/>
    <w:rsid w:val="0009087C"/>
    <w:rsid w:val="000910AA"/>
    <w:rsid w:val="00091672"/>
    <w:rsid w:val="00091759"/>
    <w:rsid w:val="00092475"/>
    <w:rsid w:val="0009263F"/>
    <w:rsid w:val="00092AD0"/>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89"/>
    <w:rsid w:val="000A6287"/>
    <w:rsid w:val="000A7211"/>
    <w:rsid w:val="000B0C2B"/>
    <w:rsid w:val="000B1059"/>
    <w:rsid w:val="000B1D37"/>
    <w:rsid w:val="000B2318"/>
    <w:rsid w:val="000B24EE"/>
    <w:rsid w:val="000B254D"/>
    <w:rsid w:val="000B2C93"/>
    <w:rsid w:val="000B36DD"/>
    <w:rsid w:val="000B37D3"/>
    <w:rsid w:val="000B4248"/>
    <w:rsid w:val="000B4E61"/>
    <w:rsid w:val="000B5711"/>
    <w:rsid w:val="000B5B9F"/>
    <w:rsid w:val="000B5E8D"/>
    <w:rsid w:val="000B6020"/>
    <w:rsid w:val="000C0396"/>
    <w:rsid w:val="000C04EA"/>
    <w:rsid w:val="000C055A"/>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465A"/>
    <w:rsid w:val="000D4F1F"/>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61E"/>
    <w:rsid w:val="000F6834"/>
    <w:rsid w:val="000F75DE"/>
    <w:rsid w:val="000F76AB"/>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3209"/>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B72"/>
    <w:rsid w:val="00130C11"/>
    <w:rsid w:val="00132A80"/>
    <w:rsid w:val="00132F95"/>
    <w:rsid w:val="00133222"/>
    <w:rsid w:val="00133B0C"/>
    <w:rsid w:val="00133BBB"/>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3C9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B1A"/>
    <w:rsid w:val="00155F96"/>
    <w:rsid w:val="00155FE6"/>
    <w:rsid w:val="00156408"/>
    <w:rsid w:val="00156A6B"/>
    <w:rsid w:val="0015731F"/>
    <w:rsid w:val="001606D4"/>
    <w:rsid w:val="00160E54"/>
    <w:rsid w:val="00161DF9"/>
    <w:rsid w:val="00162383"/>
    <w:rsid w:val="00162A24"/>
    <w:rsid w:val="00162CCE"/>
    <w:rsid w:val="00163387"/>
    <w:rsid w:val="00163943"/>
    <w:rsid w:val="00163BAA"/>
    <w:rsid w:val="001646D2"/>
    <w:rsid w:val="001649B8"/>
    <w:rsid w:val="00165010"/>
    <w:rsid w:val="00165891"/>
    <w:rsid w:val="0016712E"/>
    <w:rsid w:val="00167136"/>
    <w:rsid w:val="00170545"/>
    <w:rsid w:val="00171ADD"/>
    <w:rsid w:val="001728F3"/>
    <w:rsid w:val="00172F78"/>
    <w:rsid w:val="00173533"/>
    <w:rsid w:val="00173548"/>
    <w:rsid w:val="00174390"/>
    <w:rsid w:val="0017459B"/>
    <w:rsid w:val="00175A0D"/>
    <w:rsid w:val="00175CEB"/>
    <w:rsid w:val="00175E61"/>
    <w:rsid w:val="00176367"/>
    <w:rsid w:val="00176852"/>
    <w:rsid w:val="00177532"/>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295F"/>
    <w:rsid w:val="0019389B"/>
    <w:rsid w:val="00196522"/>
    <w:rsid w:val="001A1B94"/>
    <w:rsid w:val="001A22F5"/>
    <w:rsid w:val="001A372F"/>
    <w:rsid w:val="001A3887"/>
    <w:rsid w:val="001A3AF1"/>
    <w:rsid w:val="001A3BE1"/>
    <w:rsid w:val="001A412B"/>
    <w:rsid w:val="001A4B83"/>
    <w:rsid w:val="001A4BBA"/>
    <w:rsid w:val="001A4BBC"/>
    <w:rsid w:val="001A5BDB"/>
    <w:rsid w:val="001A5DF5"/>
    <w:rsid w:val="001A7153"/>
    <w:rsid w:val="001A769E"/>
    <w:rsid w:val="001A7FD2"/>
    <w:rsid w:val="001B04B4"/>
    <w:rsid w:val="001B0D53"/>
    <w:rsid w:val="001B107D"/>
    <w:rsid w:val="001B16D9"/>
    <w:rsid w:val="001B1997"/>
    <w:rsid w:val="001B2CD9"/>
    <w:rsid w:val="001B2EA3"/>
    <w:rsid w:val="001B37E2"/>
    <w:rsid w:val="001B38FF"/>
    <w:rsid w:val="001B4549"/>
    <w:rsid w:val="001B58CF"/>
    <w:rsid w:val="001B62A0"/>
    <w:rsid w:val="001B6C10"/>
    <w:rsid w:val="001B6FC6"/>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B58"/>
    <w:rsid w:val="001D1C9C"/>
    <w:rsid w:val="001D3086"/>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4DD2"/>
    <w:rsid w:val="001F5C7C"/>
    <w:rsid w:val="001F5D3A"/>
    <w:rsid w:val="001F652C"/>
    <w:rsid w:val="001F787A"/>
    <w:rsid w:val="001F78D9"/>
    <w:rsid w:val="0020024D"/>
    <w:rsid w:val="00200E50"/>
    <w:rsid w:val="002020FA"/>
    <w:rsid w:val="00202DB8"/>
    <w:rsid w:val="00203950"/>
    <w:rsid w:val="002051ED"/>
    <w:rsid w:val="002060B4"/>
    <w:rsid w:val="002064DD"/>
    <w:rsid w:val="002066D0"/>
    <w:rsid w:val="002068F4"/>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700"/>
    <w:rsid w:val="002342FD"/>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FF7"/>
    <w:rsid w:val="002520B1"/>
    <w:rsid w:val="00252669"/>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3DDD"/>
    <w:rsid w:val="00263E7D"/>
    <w:rsid w:val="00263FE3"/>
    <w:rsid w:val="002649C4"/>
    <w:rsid w:val="002657E2"/>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D8C"/>
    <w:rsid w:val="00280DC2"/>
    <w:rsid w:val="00281A35"/>
    <w:rsid w:val="00281AD9"/>
    <w:rsid w:val="00282505"/>
    <w:rsid w:val="002825EB"/>
    <w:rsid w:val="00283068"/>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42AB"/>
    <w:rsid w:val="00295F53"/>
    <w:rsid w:val="002A093E"/>
    <w:rsid w:val="002A0FB8"/>
    <w:rsid w:val="002A116B"/>
    <w:rsid w:val="002A169A"/>
    <w:rsid w:val="002A1B97"/>
    <w:rsid w:val="002A2EA3"/>
    <w:rsid w:val="002A415C"/>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D95"/>
    <w:rsid w:val="002D13F4"/>
    <w:rsid w:val="002D1BE4"/>
    <w:rsid w:val="002D1D6C"/>
    <w:rsid w:val="002D33B0"/>
    <w:rsid w:val="002D3962"/>
    <w:rsid w:val="002D438B"/>
    <w:rsid w:val="002D4C3D"/>
    <w:rsid w:val="002D5DEA"/>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6418"/>
    <w:rsid w:val="003100F3"/>
    <w:rsid w:val="0031023E"/>
    <w:rsid w:val="00310C11"/>
    <w:rsid w:val="00311D8B"/>
    <w:rsid w:val="00311DCB"/>
    <w:rsid w:val="0031243F"/>
    <w:rsid w:val="00312456"/>
    <w:rsid w:val="0031313F"/>
    <w:rsid w:val="00316600"/>
    <w:rsid w:val="00317214"/>
    <w:rsid w:val="003172EC"/>
    <w:rsid w:val="00320253"/>
    <w:rsid w:val="00320B79"/>
    <w:rsid w:val="00320FC1"/>
    <w:rsid w:val="0032150B"/>
    <w:rsid w:val="0032170B"/>
    <w:rsid w:val="00322C74"/>
    <w:rsid w:val="00323325"/>
    <w:rsid w:val="0032377D"/>
    <w:rsid w:val="00323E3D"/>
    <w:rsid w:val="00323EA6"/>
    <w:rsid w:val="003243B0"/>
    <w:rsid w:val="003243D4"/>
    <w:rsid w:val="00324C7C"/>
    <w:rsid w:val="00325EC0"/>
    <w:rsid w:val="00326A83"/>
    <w:rsid w:val="00326EA2"/>
    <w:rsid w:val="0032741D"/>
    <w:rsid w:val="00330729"/>
    <w:rsid w:val="00330822"/>
    <w:rsid w:val="00330D7B"/>
    <w:rsid w:val="00330DA7"/>
    <w:rsid w:val="003323E7"/>
    <w:rsid w:val="00332724"/>
    <w:rsid w:val="003340EC"/>
    <w:rsid w:val="0033421F"/>
    <w:rsid w:val="00334225"/>
    <w:rsid w:val="00334528"/>
    <w:rsid w:val="003350FF"/>
    <w:rsid w:val="003357F7"/>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5456"/>
    <w:rsid w:val="00355DC6"/>
    <w:rsid w:val="00356A4E"/>
    <w:rsid w:val="00356F72"/>
    <w:rsid w:val="0035716C"/>
    <w:rsid w:val="00357700"/>
    <w:rsid w:val="00360391"/>
    <w:rsid w:val="003604D7"/>
    <w:rsid w:val="003604E7"/>
    <w:rsid w:val="00361176"/>
    <w:rsid w:val="003613DA"/>
    <w:rsid w:val="0036164E"/>
    <w:rsid w:val="003622C8"/>
    <w:rsid w:val="0036351E"/>
    <w:rsid w:val="00363615"/>
    <w:rsid w:val="003641D1"/>
    <w:rsid w:val="00364521"/>
    <w:rsid w:val="00364D22"/>
    <w:rsid w:val="00365026"/>
    <w:rsid w:val="00366C8C"/>
    <w:rsid w:val="0036780A"/>
    <w:rsid w:val="00367F82"/>
    <w:rsid w:val="00370CB0"/>
    <w:rsid w:val="00370F54"/>
    <w:rsid w:val="0037163B"/>
    <w:rsid w:val="00371916"/>
    <w:rsid w:val="00372803"/>
    <w:rsid w:val="00373387"/>
    <w:rsid w:val="003746AA"/>
    <w:rsid w:val="003749EC"/>
    <w:rsid w:val="00374AC2"/>
    <w:rsid w:val="003756AF"/>
    <w:rsid w:val="00375815"/>
    <w:rsid w:val="00375832"/>
    <w:rsid w:val="00375B33"/>
    <w:rsid w:val="00375FCD"/>
    <w:rsid w:val="003777EE"/>
    <w:rsid w:val="00377848"/>
    <w:rsid w:val="00377EFD"/>
    <w:rsid w:val="00380441"/>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B21"/>
    <w:rsid w:val="003C217B"/>
    <w:rsid w:val="003C28B8"/>
    <w:rsid w:val="003C3BD5"/>
    <w:rsid w:val="003C3E71"/>
    <w:rsid w:val="003C4519"/>
    <w:rsid w:val="003C5C01"/>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FB2"/>
    <w:rsid w:val="003F25D4"/>
    <w:rsid w:val="003F3157"/>
    <w:rsid w:val="003F3C2B"/>
    <w:rsid w:val="003F3DEE"/>
    <w:rsid w:val="003F405A"/>
    <w:rsid w:val="003F413E"/>
    <w:rsid w:val="003F57CA"/>
    <w:rsid w:val="003F650B"/>
    <w:rsid w:val="003F6A77"/>
    <w:rsid w:val="003F6EF0"/>
    <w:rsid w:val="003F772B"/>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91A"/>
    <w:rsid w:val="00416C17"/>
    <w:rsid w:val="00417AF1"/>
    <w:rsid w:val="00417DE3"/>
    <w:rsid w:val="00417F91"/>
    <w:rsid w:val="00420B07"/>
    <w:rsid w:val="00420CCC"/>
    <w:rsid w:val="00420E30"/>
    <w:rsid w:val="00421B36"/>
    <w:rsid w:val="00421D3F"/>
    <w:rsid w:val="0042247C"/>
    <w:rsid w:val="00422869"/>
    <w:rsid w:val="004228E8"/>
    <w:rsid w:val="00423B0B"/>
    <w:rsid w:val="00423D2F"/>
    <w:rsid w:val="00423F48"/>
    <w:rsid w:val="004250D2"/>
    <w:rsid w:val="00426448"/>
    <w:rsid w:val="00426613"/>
    <w:rsid w:val="00426ACE"/>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640B"/>
    <w:rsid w:val="004464AF"/>
    <w:rsid w:val="00447C98"/>
    <w:rsid w:val="00447F7D"/>
    <w:rsid w:val="004506B1"/>
    <w:rsid w:val="004506BF"/>
    <w:rsid w:val="004524C9"/>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2439"/>
    <w:rsid w:val="00463F50"/>
    <w:rsid w:val="0046548F"/>
    <w:rsid w:val="00465497"/>
    <w:rsid w:val="00466346"/>
    <w:rsid w:val="00466C2C"/>
    <w:rsid w:val="00467498"/>
    <w:rsid w:val="004675F7"/>
    <w:rsid w:val="004676FF"/>
    <w:rsid w:val="004702B0"/>
    <w:rsid w:val="00473F72"/>
    <w:rsid w:val="004751D6"/>
    <w:rsid w:val="00475E6B"/>
    <w:rsid w:val="0047608E"/>
    <w:rsid w:val="004763B0"/>
    <w:rsid w:val="004769EB"/>
    <w:rsid w:val="00476A1A"/>
    <w:rsid w:val="00476EE9"/>
    <w:rsid w:val="00477546"/>
    <w:rsid w:val="00477667"/>
    <w:rsid w:val="00477A6C"/>
    <w:rsid w:val="00477AD3"/>
    <w:rsid w:val="00477DBA"/>
    <w:rsid w:val="00477E20"/>
    <w:rsid w:val="00477EA1"/>
    <w:rsid w:val="00480034"/>
    <w:rsid w:val="004809DC"/>
    <w:rsid w:val="00480A77"/>
    <w:rsid w:val="00480BB8"/>
    <w:rsid w:val="00481492"/>
    <w:rsid w:val="00481AC6"/>
    <w:rsid w:val="00481D51"/>
    <w:rsid w:val="00483346"/>
    <w:rsid w:val="0048519E"/>
    <w:rsid w:val="00485949"/>
    <w:rsid w:val="00485EC7"/>
    <w:rsid w:val="004860BD"/>
    <w:rsid w:val="00487430"/>
    <w:rsid w:val="00487710"/>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112D"/>
    <w:rsid w:val="004C14AC"/>
    <w:rsid w:val="004C17E0"/>
    <w:rsid w:val="004C30D4"/>
    <w:rsid w:val="004C36F9"/>
    <w:rsid w:val="004C4286"/>
    <w:rsid w:val="004C4ACC"/>
    <w:rsid w:val="004C4E6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573"/>
    <w:rsid w:val="004D42A5"/>
    <w:rsid w:val="004D583C"/>
    <w:rsid w:val="004D5DB3"/>
    <w:rsid w:val="004D6AAE"/>
    <w:rsid w:val="004E019E"/>
    <w:rsid w:val="004E0AA4"/>
    <w:rsid w:val="004E0D17"/>
    <w:rsid w:val="004E24D4"/>
    <w:rsid w:val="004E2B43"/>
    <w:rsid w:val="004E2CEB"/>
    <w:rsid w:val="004E345F"/>
    <w:rsid w:val="004E3BBA"/>
    <w:rsid w:val="004E401B"/>
    <w:rsid w:val="004E41C7"/>
    <w:rsid w:val="004E43D5"/>
    <w:rsid w:val="004E446D"/>
    <w:rsid w:val="004E5A9D"/>
    <w:rsid w:val="004E5BB8"/>
    <w:rsid w:val="004E5D3C"/>
    <w:rsid w:val="004E622C"/>
    <w:rsid w:val="004E660C"/>
    <w:rsid w:val="004E72AA"/>
    <w:rsid w:val="004E747A"/>
    <w:rsid w:val="004E7603"/>
    <w:rsid w:val="004E7759"/>
    <w:rsid w:val="004E7842"/>
    <w:rsid w:val="004E7C22"/>
    <w:rsid w:val="004E7DB7"/>
    <w:rsid w:val="004F0223"/>
    <w:rsid w:val="004F0E3C"/>
    <w:rsid w:val="004F26C4"/>
    <w:rsid w:val="004F2C69"/>
    <w:rsid w:val="004F2D88"/>
    <w:rsid w:val="004F2F70"/>
    <w:rsid w:val="004F3134"/>
    <w:rsid w:val="004F3156"/>
    <w:rsid w:val="004F3D21"/>
    <w:rsid w:val="004F4D64"/>
    <w:rsid w:val="004F582B"/>
    <w:rsid w:val="004F60EF"/>
    <w:rsid w:val="004F637B"/>
    <w:rsid w:val="004F6532"/>
    <w:rsid w:val="004F67C2"/>
    <w:rsid w:val="004F6E78"/>
    <w:rsid w:val="00501150"/>
    <w:rsid w:val="00501276"/>
    <w:rsid w:val="005014BB"/>
    <w:rsid w:val="00501A0B"/>
    <w:rsid w:val="00502502"/>
    <w:rsid w:val="005028CC"/>
    <w:rsid w:val="00502A63"/>
    <w:rsid w:val="005036C3"/>
    <w:rsid w:val="0050402D"/>
    <w:rsid w:val="00506B49"/>
    <w:rsid w:val="005070C3"/>
    <w:rsid w:val="00510305"/>
    <w:rsid w:val="00510D32"/>
    <w:rsid w:val="00510E39"/>
    <w:rsid w:val="0051172F"/>
    <w:rsid w:val="00511BC6"/>
    <w:rsid w:val="00511FA0"/>
    <w:rsid w:val="0051276F"/>
    <w:rsid w:val="005130AC"/>
    <w:rsid w:val="00513E1E"/>
    <w:rsid w:val="005147B2"/>
    <w:rsid w:val="0051575F"/>
    <w:rsid w:val="00517427"/>
    <w:rsid w:val="00520C2F"/>
    <w:rsid w:val="00521A73"/>
    <w:rsid w:val="005220BE"/>
    <w:rsid w:val="005223C0"/>
    <w:rsid w:val="00523D44"/>
    <w:rsid w:val="00523D57"/>
    <w:rsid w:val="00524076"/>
    <w:rsid w:val="0052421B"/>
    <w:rsid w:val="005242AD"/>
    <w:rsid w:val="0052605B"/>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6"/>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A8D"/>
    <w:rsid w:val="00560FD1"/>
    <w:rsid w:val="005614EF"/>
    <w:rsid w:val="005638D9"/>
    <w:rsid w:val="00563BEB"/>
    <w:rsid w:val="005651B9"/>
    <w:rsid w:val="00565223"/>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F23"/>
    <w:rsid w:val="00590A85"/>
    <w:rsid w:val="005912F7"/>
    <w:rsid w:val="00591E3A"/>
    <w:rsid w:val="00592145"/>
    <w:rsid w:val="005921DB"/>
    <w:rsid w:val="00592510"/>
    <w:rsid w:val="00593411"/>
    <w:rsid w:val="00593CB4"/>
    <w:rsid w:val="00593E68"/>
    <w:rsid w:val="0059433D"/>
    <w:rsid w:val="005A04BD"/>
    <w:rsid w:val="005A16B3"/>
    <w:rsid w:val="005A1884"/>
    <w:rsid w:val="005A52AC"/>
    <w:rsid w:val="005A5B69"/>
    <w:rsid w:val="005A62BE"/>
    <w:rsid w:val="005A6BEC"/>
    <w:rsid w:val="005A6C82"/>
    <w:rsid w:val="005A738C"/>
    <w:rsid w:val="005B02DF"/>
    <w:rsid w:val="005B08E6"/>
    <w:rsid w:val="005B0CA1"/>
    <w:rsid w:val="005B0D7C"/>
    <w:rsid w:val="005B0E86"/>
    <w:rsid w:val="005B2240"/>
    <w:rsid w:val="005B2B96"/>
    <w:rsid w:val="005B40B3"/>
    <w:rsid w:val="005B5416"/>
    <w:rsid w:val="005B582C"/>
    <w:rsid w:val="005B5CB1"/>
    <w:rsid w:val="005B5D03"/>
    <w:rsid w:val="005B6854"/>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6A2B"/>
    <w:rsid w:val="005D6AD9"/>
    <w:rsid w:val="005E1099"/>
    <w:rsid w:val="005E15D1"/>
    <w:rsid w:val="005E1BC2"/>
    <w:rsid w:val="005E1EE5"/>
    <w:rsid w:val="005E2F72"/>
    <w:rsid w:val="005E32ED"/>
    <w:rsid w:val="005E37E9"/>
    <w:rsid w:val="005E4B75"/>
    <w:rsid w:val="005E4BAF"/>
    <w:rsid w:val="005E6CA4"/>
    <w:rsid w:val="005E6E23"/>
    <w:rsid w:val="005E6EE8"/>
    <w:rsid w:val="005E7994"/>
    <w:rsid w:val="005F03DB"/>
    <w:rsid w:val="005F0F0A"/>
    <w:rsid w:val="005F13CF"/>
    <w:rsid w:val="005F220F"/>
    <w:rsid w:val="005F2E78"/>
    <w:rsid w:val="005F3812"/>
    <w:rsid w:val="005F3BF5"/>
    <w:rsid w:val="005F48F1"/>
    <w:rsid w:val="005F52F4"/>
    <w:rsid w:val="005F7BA4"/>
    <w:rsid w:val="00600280"/>
    <w:rsid w:val="0060111D"/>
    <w:rsid w:val="00601E59"/>
    <w:rsid w:val="00602657"/>
    <w:rsid w:val="00602736"/>
    <w:rsid w:val="0060381C"/>
    <w:rsid w:val="00603A46"/>
    <w:rsid w:val="006045FD"/>
    <w:rsid w:val="00605E6E"/>
    <w:rsid w:val="00606194"/>
    <w:rsid w:val="00607826"/>
    <w:rsid w:val="0061051A"/>
    <w:rsid w:val="00610656"/>
    <w:rsid w:val="00610DF8"/>
    <w:rsid w:val="0061115C"/>
    <w:rsid w:val="00611A49"/>
    <w:rsid w:val="00611ADB"/>
    <w:rsid w:val="00613017"/>
    <w:rsid w:val="00613A54"/>
    <w:rsid w:val="00614619"/>
    <w:rsid w:val="00614691"/>
    <w:rsid w:val="006157C9"/>
    <w:rsid w:val="00615933"/>
    <w:rsid w:val="00616189"/>
    <w:rsid w:val="00616AB4"/>
    <w:rsid w:val="0062078C"/>
    <w:rsid w:val="00620E8F"/>
    <w:rsid w:val="00621760"/>
    <w:rsid w:val="006217BB"/>
    <w:rsid w:val="00623A23"/>
    <w:rsid w:val="00625134"/>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82B"/>
    <w:rsid w:val="006418ED"/>
    <w:rsid w:val="0064229C"/>
    <w:rsid w:val="00642B13"/>
    <w:rsid w:val="0064309D"/>
    <w:rsid w:val="006431FF"/>
    <w:rsid w:val="00644B26"/>
    <w:rsid w:val="00645F7D"/>
    <w:rsid w:val="00645F85"/>
    <w:rsid w:val="00646100"/>
    <w:rsid w:val="00646C1B"/>
    <w:rsid w:val="006474B3"/>
    <w:rsid w:val="006476CA"/>
    <w:rsid w:val="0064771A"/>
    <w:rsid w:val="00647B98"/>
    <w:rsid w:val="00650554"/>
    <w:rsid w:val="00650BF8"/>
    <w:rsid w:val="0065303D"/>
    <w:rsid w:val="00654AF0"/>
    <w:rsid w:val="00655265"/>
    <w:rsid w:val="006552AE"/>
    <w:rsid w:val="00655773"/>
    <w:rsid w:val="00655DD0"/>
    <w:rsid w:val="006563CA"/>
    <w:rsid w:val="00656730"/>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455C"/>
    <w:rsid w:val="006845C0"/>
    <w:rsid w:val="00684600"/>
    <w:rsid w:val="00684887"/>
    <w:rsid w:val="00684E76"/>
    <w:rsid w:val="00685898"/>
    <w:rsid w:val="00685D11"/>
    <w:rsid w:val="006867FA"/>
    <w:rsid w:val="006907C6"/>
    <w:rsid w:val="00690B13"/>
    <w:rsid w:val="00690B14"/>
    <w:rsid w:val="00690EE9"/>
    <w:rsid w:val="00690F20"/>
    <w:rsid w:val="00693C8E"/>
    <w:rsid w:val="00693E63"/>
    <w:rsid w:val="00694912"/>
    <w:rsid w:val="00694A75"/>
    <w:rsid w:val="00694E36"/>
    <w:rsid w:val="00695D61"/>
    <w:rsid w:val="0069605A"/>
    <w:rsid w:val="006969BA"/>
    <w:rsid w:val="00696DD6"/>
    <w:rsid w:val="006975FA"/>
    <w:rsid w:val="00697AD7"/>
    <w:rsid w:val="00697E11"/>
    <w:rsid w:val="00697F04"/>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943"/>
    <w:rsid w:val="006B0962"/>
    <w:rsid w:val="006B0D07"/>
    <w:rsid w:val="006B0E83"/>
    <w:rsid w:val="006B100F"/>
    <w:rsid w:val="006B180E"/>
    <w:rsid w:val="006B1D90"/>
    <w:rsid w:val="006B385B"/>
    <w:rsid w:val="006B4562"/>
    <w:rsid w:val="006B5493"/>
    <w:rsid w:val="006B5FFD"/>
    <w:rsid w:val="006B6856"/>
    <w:rsid w:val="006B6FED"/>
    <w:rsid w:val="006B72F6"/>
    <w:rsid w:val="006B77E2"/>
    <w:rsid w:val="006C005A"/>
    <w:rsid w:val="006C02A0"/>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FD7"/>
    <w:rsid w:val="006F13AF"/>
    <w:rsid w:val="006F1B55"/>
    <w:rsid w:val="006F1F3A"/>
    <w:rsid w:val="006F2104"/>
    <w:rsid w:val="006F6CA7"/>
    <w:rsid w:val="006F7EB8"/>
    <w:rsid w:val="007007DA"/>
    <w:rsid w:val="00700825"/>
    <w:rsid w:val="0070094A"/>
    <w:rsid w:val="00701DE4"/>
    <w:rsid w:val="00702DD7"/>
    <w:rsid w:val="00704085"/>
    <w:rsid w:val="00704138"/>
    <w:rsid w:val="00704305"/>
    <w:rsid w:val="007043CB"/>
    <w:rsid w:val="0070476D"/>
    <w:rsid w:val="007047D3"/>
    <w:rsid w:val="00704B24"/>
    <w:rsid w:val="00705663"/>
    <w:rsid w:val="00705C40"/>
    <w:rsid w:val="00710855"/>
    <w:rsid w:val="0071087E"/>
    <w:rsid w:val="00711EF8"/>
    <w:rsid w:val="00712750"/>
    <w:rsid w:val="00713A8D"/>
    <w:rsid w:val="00713C0E"/>
    <w:rsid w:val="00713EB7"/>
    <w:rsid w:val="00713EC3"/>
    <w:rsid w:val="007143A9"/>
    <w:rsid w:val="007145CD"/>
    <w:rsid w:val="007147C2"/>
    <w:rsid w:val="0071508D"/>
    <w:rsid w:val="00715699"/>
    <w:rsid w:val="0071622D"/>
    <w:rsid w:val="007169A8"/>
    <w:rsid w:val="00716C32"/>
    <w:rsid w:val="00721648"/>
    <w:rsid w:val="00721831"/>
    <w:rsid w:val="00721B25"/>
    <w:rsid w:val="007229A1"/>
    <w:rsid w:val="00722F18"/>
    <w:rsid w:val="007235AA"/>
    <w:rsid w:val="00724BD3"/>
    <w:rsid w:val="00725E35"/>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FF2"/>
    <w:rsid w:val="00737108"/>
    <w:rsid w:val="00737D63"/>
    <w:rsid w:val="0074028E"/>
    <w:rsid w:val="00740478"/>
    <w:rsid w:val="00740C8C"/>
    <w:rsid w:val="00741745"/>
    <w:rsid w:val="00741AC4"/>
    <w:rsid w:val="007429E1"/>
    <w:rsid w:val="00742CA5"/>
    <w:rsid w:val="00743504"/>
    <w:rsid w:val="00743CA7"/>
    <w:rsid w:val="0074489F"/>
    <w:rsid w:val="0074594A"/>
    <w:rsid w:val="00746642"/>
    <w:rsid w:val="00747181"/>
    <w:rsid w:val="0075065B"/>
    <w:rsid w:val="007513F0"/>
    <w:rsid w:val="007515BC"/>
    <w:rsid w:val="0075173E"/>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C4E"/>
    <w:rsid w:val="007804C8"/>
    <w:rsid w:val="00780571"/>
    <w:rsid w:val="0078080D"/>
    <w:rsid w:val="00780CD6"/>
    <w:rsid w:val="007812D1"/>
    <w:rsid w:val="00781A64"/>
    <w:rsid w:val="00782EA4"/>
    <w:rsid w:val="00784834"/>
    <w:rsid w:val="00785461"/>
    <w:rsid w:val="00785A0A"/>
    <w:rsid w:val="00785DC5"/>
    <w:rsid w:val="0078639C"/>
    <w:rsid w:val="00786B36"/>
    <w:rsid w:val="00786F25"/>
    <w:rsid w:val="00786FF3"/>
    <w:rsid w:val="0078758E"/>
    <w:rsid w:val="007875F5"/>
    <w:rsid w:val="007876CF"/>
    <w:rsid w:val="00787B77"/>
    <w:rsid w:val="00790309"/>
    <w:rsid w:val="007929AE"/>
    <w:rsid w:val="00793090"/>
    <w:rsid w:val="00793B8B"/>
    <w:rsid w:val="007948A8"/>
    <w:rsid w:val="007950E6"/>
    <w:rsid w:val="007958AC"/>
    <w:rsid w:val="00795CBE"/>
    <w:rsid w:val="00796484"/>
    <w:rsid w:val="007967B8"/>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AB"/>
    <w:rsid w:val="007A5398"/>
    <w:rsid w:val="007A5C59"/>
    <w:rsid w:val="007B00A0"/>
    <w:rsid w:val="007B0C10"/>
    <w:rsid w:val="007B0E89"/>
    <w:rsid w:val="007B2C38"/>
    <w:rsid w:val="007B2E54"/>
    <w:rsid w:val="007B31B9"/>
    <w:rsid w:val="007B38DE"/>
    <w:rsid w:val="007B3BE3"/>
    <w:rsid w:val="007B56A8"/>
    <w:rsid w:val="007B7498"/>
    <w:rsid w:val="007B77DC"/>
    <w:rsid w:val="007B7A88"/>
    <w:rsid w:val="007B7AEE"/>
    <w:rsid w:val="007C02F6"/>
    <w:rsid w:val="007C0D24"/>
    <w:rsid w:val="007C283C"/>
    <w:rsid w:val="007C3548"/>
    <w:rsid w:val="007C3E2E"/>
    <w:rsid w:val="007C5C01"/>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BC7"/>
    <w:rsid w:val="00820F86"/>
    <w:rsid w:val="008216D3"/>
    <w:rsid w:val="00821D62"/>
    <w:rsid w:val="008221B0"/>
    <w:rsid w:val="008231C8"/>
    <w:rsid w:val="008242C5"/>
    <w:rsid w:val="0082496F"/>
    <w:rsid w:val="00825F1D"/>
    <w:rsid w:val="008267E8"/>
    <w:rsid w:val="00826BB6"/>
    <w:rsid w:val="0082778C"/>
    <w:rsid w:val="00827F88"/>
    <w:rsid w:val="008310F6"/>
    <w:rsid w:val="008315CE"/>
    <w:rsid w:val="00831AA8"/>
    <w:rsid w:val="008336A5"/>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3E1"/>
    <w:rsid w:val="00857B6B"/>
    <w:rsid w:val="008604BD"/>
    <w:rsid w:val="008605C1"/>
    <w:rsid w:val="00860659"/>
    <w:rsid w:val="008607BE"/>
    <w:rsid w:val="00860E4C"/>
    <w:rsid w:val="008612BE"/>
    <w:rsid w:val="00862771"/>
    <w:rsid w:val="00862E30"/>
    <w:rsid w:val="00865800"/>
    <w:rsid w:val="00865B2C"/>
    <w:rsid w:val="0086682F"/>
    <w:rsid w:val="00867687"/>
    <w:rsid w:val="008704DF"/>
    <w:rsid w:val="00870622"/>
    <w:rsid w:val="008706E3"/>
    <w:rsid w:val="008715CB"/>
    <w:rsid w:val="00874300"/>
    <w:rsid w:val="00874748"/>
    <w:rsid w:val="00874894"/>
    <w:rsid w:val="00874B50"/>
    <w:rsid w:val="00875DB0"/>
    <w:rsid w:val="00876057"/>
    <w:rsid w:val="00876088"/>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63F0"/>
    <w:rsid w:val="0089708C"/>
    <w:rsid w:val="00897444"/>
    <w:rsid w:val="008A01F7"/>
    <w:rsid w:val="008A03A5"/>
    <w:rsid w:val="008A0DF3"/>
    <w:rsid w:val="008A10D3"/>
    <w:rsid w:val="008A1B76"/>
    <w:rsid w:val="008A24AE"/>
    <w:rsid w:val="008A282C"/>
    <w:rsid w:val="008A3808"/>
    <w:rsid w:val="008A4138"/>
    <w:rsid w:val="008A5662"/>
    <w:rsid w:val="008A5D96"/>
    <w:rsid w:val="008A5F7E"/>
    <w:rsid w:val="008A6178"/>
    <w:rsid w:val="008A61E2"/>
    <w:rsid w:val="008A73EF"/>
    <w:rsid w:val="008B00A4"/>
    <w:rsid w:val="008B1103"/>
    <w:rsid w:val="008B1C74"/>
    <w:rsid w:val="008B28D1"/>
    <w:rsid w:val="008B3CBF"/>
    <w:rsid w:val="008B440B"/>
    <w:rsid w:val="008B5AB3"/>
    <w:rsid w:val="008B5B21"/>
    <w:rsid w:val="008B5E49"/>
    <w:rsid w:val="008B6848"/>
    <w:rsid w:val="008B75B8"/>
    <w:rsid w:val="008C0024"/>
    <w:rsid w:val="008C1393"/>
    <w:rsid w:val="008C15FF"/>
    <w:rsid w:val="008C2FA1"/>
    <w:rsid w:val="008C58DF"/>
    <w:rsid w:val="008C5AE6"/>
    <w:rsid w:val="008C62AB"/>
    <w:rsid w:val="008C6C63"/>
    <w:rsid w:val="008C796D"/>
    <w:rsid w:val="008C7A97"/>
    <w:rsid w:val="008D0157"/>
    <w:rsid w:val="008D098D"/>
    <w:rsid w:val="008D1369"/>
    <w:rsid w:val="008D1D7D"/>
    <w:rsid w:val="008D2028"/>
    <w:rsid w:val="008D2C4C"/>
    <w:rsid w:val="008D2E01"/>
    <w:rsid w:val="008D3354"/>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2327"/>
    <w:rsid w:val="008E2C9C"/>
    <w:rsid w:val="008E2D66"/>
    <w:rsid w:val="008E3507"/>
    <w:rsid w:val="008E3EFA"/>
    <w:rsid w:val="008E431C"/>
    <w:rsid w:val="008E4A6D"/>
    <w:rsid w:val="008E4FAD"/>
    <w:rsid w:val="008E5077"/>
    <w:rsid w:val="008E5F0E"/>
    <w:rsid w:val="008E64F0"/>
    <w:rsid w:val="008E6658"/>
    <w:rsid w:val="008E6FF3"/>
    <w:rsid w:val="008E767B"/>
    <w:rsid w:val="008E7B05"/>
    <w:rsid w:val="008E7EB3"/>
    <w:rsid w:val="008F13A5"/>
    <w:rsid w:val="008F18ED"/>
    <w:rsid w:val="008F2631"/>
    <w:rsid w:val="008F452A"/>
    <w:rsid w:val="008F46C2"/>
    <w:rsid w:val="008F5C6C"/>
    <w:rsid w:val="008F6C65"/>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A5C"/>
    <w:rsid w:val="009125AE"/>
    <w:rsid w:val="009125C5"/>
    <w:rsid w:val="00914408"/>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A12"/>
    <w:rsid w:val="00941C5E"/>
    <w:rsid w:val="009439D3"/>
    <w:rsid w:val="00943BCE"/>
    <w:rsid w:val="009451DC"/>
    <w:rsid w:val="009466BE"/>
    <w:rsid w:val="00950276"/>
    <w:rsid w:val="009503FE"/>
    <w:rsid w:val="0095077E"/>
    <w:rsid w:val="009508A0"/>
    <w:rsid w:val="00950A17"/>
    <w:rsid w:val="00952615"/>
    <w:rsid w:val="009535BD"/>
    <w:rsid w:val="00953D8B"/>
    <w:rsid w:val="00953FF0"/>
    <w:rsid w:val="00954502"/>
    <w:rsid w:val="00954829"/>
    <w:rsid w:val="0095506D"/>
    <w:rsid w:val="009553A4"/>
    <w:rsid w:val="00955A98"/>
    <w:rsid w:val="00955DA9"/>
    <w:rsid w:val="009576B2"/>
    <w:rsid w:val="00960346"/>
    <w:rsid w:val="00960F05"/>
    <w:rsid w:val="00961724"/>
    <w:rsid w:val="009617D3"/>
    <w:rsid w:val="009626F7"/>
    <w:rsid w:val="0096463B"/>
    <w:rsid w:val="00967035"/>
    <w:rsid w:val="00967869"/>
    <w:rsid w:val="0096796E"/>
    <w:rsid w:val="009702DB"/>
    <w:rsid w:val="00970BEB"/>
    <w:rsid w:val="0097149A"/>
    <w:rsid w:val="00971F54"/>
    <w:rsid w:val="009721A0"/>
    <w:rsid w:val="009725C5"/>
    <w:rsid w:val="00972AEA"/>
    <w:rsid w:val="00972B4E"/>
    <w:rsid w:val="0097393A"/>
    <w:rsid w:val="009739F3"/>
    <w:rsid w:val="00973E34"/>
    <w:rsid w:val="00973F40"/>
    <w:rsid w:val="00974529"/>
    <w:rsid w:val="00974C1A"/>
    <w:rsid w:val="00975F0E"/>
    <w:rsid w:val="00980389"/>
    <w:rsid w:val="00980900"/>
    <w:rsid w:val="00982BC9"/>
    <w:rsid w:val="009830A4"/>
    <w:rsid w:val="009830F7"/>
    <w:rsid w:val="00983824"/>
    <w:rsid w:val="00983EDC"/>
    <w:rsid w:val="00983EED"/>
    <w:rsid w:val="009849EF"/>
    <w:rsid w:val="00984A3A"/>
    <w:rsid w:val="00984BC7"/>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D75"/>
    <w:rsid w:val="009A1234"/>
    <w:rsid w:val="009A306D"/>
    <w:rsid w:val="009A347A"/>
    <w:rsid w:val="009A3661"/>
    <w:rsid w:val="009A5A3D"/>
    <w:rsid w:val="009A620E"/>
    <w:rsid w:val="009A6743"/>
    <w:rsid w:val="009A7587"/>
    <w:rsid w:val="009B0214"/>
    <w:rsid w:val="009B02EF"/>
    <w:rsid w:val="009B0A91"/>
    <w:rsid w:val="009B19CD"/>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A63"/>
    <w:rsid w:val="009D18E7"/>
    <w:rsid w:val="009D1B5D"/>
    <w:rsid w:val="009D27C3"/>
    <w:rsid w:val="009D28FA"/>
    <w:rsid w:val="009D4200"/>
    <w:rsid w:val="009D43FE"/>
    <w:rsid w:val="009D4BC4"/>
    <w:rsid w:val="009D4E9E"/>
    <w:rsid w:val="009D53FD"/>
    <w:rsid w:val="009D5C19"/>
    <w:rsid w:val="009D6075"/>
    <w:rsid w:val="009D6672"/>
    <w:rsid w:val="009D6912"/>
    <w:rsid w:val="009D69C6"/>
    <w:rsid w:val="009D6F70"/>
    <w:rsid w:val="009D7501"/>
    <w:rsid w:val="009D7975"/>
    <w:rsid w:val="009E10E1"/>
    <w:rsid w:val="009E3966"/>
    <w:rsid w:val="009E3C52"/>
    <w:rsid w:val="009E4361"/>
    <w:rsid w:val="009E4852"/>
    <w:rsid w:val="009E4D79"/>
    <w:rsid w:val="009E5419"/>
    <w:rsid w:val="009E5A6E"/>
    <w:rsid w:val="009E619C"/>
    <w:rsid w:val="009E6500"/>
    <w:rsid w:val="009E6692"/>
    <w:rsid w:val="009E6AC4"/>
    <w:rsid w:val="009E70E7"/>
    <w:rsid w:val="009E7122"/>
    <w:rsid w:val="009E7784"/>
    <w:rsid w:val="009E7DB9"/>
    <w:rsid w:val="009F1D8A"/>
    <w:rsid w:val="009F1E38"/>
    <w:rsid w:val="009F25A8"/>
    <w:rsid w:val="009F34D3"/>
    <w:rsid w:val="009F3CA9"/>
    <w:rsid w:val="009F40EF"/>
    <w:rsid w:val="009F4353"/>
    <w:rsid w:val="009F46DC"/>
    <w:rsid w:val="009F508F"/>
    <w:rsid w:val="009F6006"/>
    <w:rsid w:val="009F65AF"/>
    <w:rsid w:val="009F72A8"/>
    <w:rsid w:val="009F754F"/>
    <w:rsid w:val="009F7D54"/>
    <w:rsid w:val="00A00109"/>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5C99"/>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17D1"/>
    <w:rsid w:val="00A61D6F"/>
    <w:rsid w:val="00A623AF"/>
    <w:rsid w:val="00A640F1"/>
    <w:rsid w:val="00A64F4B"/>
    <w:rsid w:val="00A650C6"/>
    <w:rsid w:val="00A65E5D"/>
    <w:rsid w:val="00A660D1"/>
    <w:rsid w:val="00A66829"/>
    <w:rsid w:val="00A6682B"/>
    <w:rsid w:val="00A6697B"/>
    <w:rsid w:val="00A71251"/>
    <w:rsid w:val="00A719AA"/>
    <w:rsid w:val="00A71E7E"/>
    <w:rsid w:val="00A731B5"/>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2694"/>
    <w:rsid w:val="00A93072"/>
    <w:rsid w:val="00A93C61"/>
    <w:rsid w:val="00A94938"/>
    <w:rsid w:val="00A95838"/>
    <w:rsid w:val="00A9629C"/>
    <w:rsid w:val="00A96A29"/>
    <w:rsid w:val="00A97219"/>
    <w:rsid w:val="00A97515"/>
    <w:rsid w:val="00AA07B1"/>
    <w:rsid w:val="00AA14D4"/>
    <w:rsid w:val="00AA193D"/>
    <w:rsid w:val="00AA2289"/>
    <w:rsid w:val="00AA3193"/>
    <w:rsid w:val="00AA35D5"/>
    <w:rsid w:val="00AA417B"/>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3F0"/>
    <w:rsid w:val="00AB5936"/>
    <w:rsid w:val="00AB6595"/>
    <w:rsid w:val="00AB67EF"/>
    <w:rsid w:val="00AB76D8"/>
    <w:rsid w:val="00AB7760"/>
    <w:rsid w:val="00AB7E6A"/>
    <w:rsid w:val="00AC17D3"/>
    <w:rsid w:val="00AC193A"/>
    <w:rsid w:val="00AC1B50"/>
    <w:rsid w:val="00AC1B61"/>
    <w:rsid w:val="00AC28E0"/>
    <w:rsid w:val="00AC2C6E"/>
    <w:rsid w:val="00AC3A3F"/>
    <w:rsid w:val="00AC41CA"/>
    <w:rsid w:val="00AC5363"/>
    <w:rsid w:val="00AC5EE6"/>
    <w:rsid w:val="00AC6B75"/>
    <w:rsid w:val="00AC6C2F"/>
    <w:rsid w:val="00AC706C"/>
    <w:rsid w:val="00AD0AB4"/>
    <w:rsid w:val="00AD0D24"/>
    <w:rsid w:val="00AD0DE0"/>
    <w:rsid w:val="00AD137F"/>
    <w:rsid w:val="00AD1480"/>
    <w:rsid w:val="00AD1923"/>
    <w:rsid w:val="00AD2611"/>
    <w:rsid w:val="00AD285F"/>
    <w:rsid w:val="00AD368D"/>
    <w:rsid w:val="00AD3AC5"/>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6A7D"/>
    <w:rsid w:val="00AE79E1"/>
    <w:rsid w:val="00AE7FF6"/>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4154"/>
    <w:rsid w:val="00B1415B"/>
    <w:rsid w:val="00B1463E"/>
    <w:rsid w:val="00B14A9A"/>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222"/>
    <w:rsid w:val="00B31516"/>
    <w:rsid w:val="00B318C9"/>
    <w:rsid w:val="00B31FDB"/>
    <w:rsid w:val="00B327FB"/>
    <w:rsid w:val="00B33998"/>
    <w:rsid w:val="00B33EEF"/>
    <w:rsid w:val="00B348F1"/>
    <w:rsid w:val="00B416D0"/>
    <w:rsid w:val="00B41D89"/>
    <w:rsid w:val="00B42C7F"/>
    <w:rsid w:val="00B42E81"/>
    <w:rsid w:val="00B4329D"/>
    <w:rsid w:val="00B457EF"/>
    <w:rsid w:val="00B45BEE"/>
    <w:rsid w:val="00B46A26"/>
    <w:rsid w:val="00B46C8E"/>
    <w:rsid w:val="00B50512"/>
    <w:rsid w:val="00B50F74"/>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79DB"/>
    <w:rsid w:val="00BA7E4A"/>
    <w:rsid w:val="00BB1236"/>
    <w:rsid w:val="00BB174A"/>
    <w:rsid w:val="00BB1A27"/>
    <w:rsid w:val="00BB375D"/>
    <w:rsid w:val="00BB4277"/>
    <w:rsid w:val="00BB49A0"/>
    <w:rsid w:val="00BB515F"/>
    <w:rsid w:val="00BB532B"/>
    <w:rsid w:val="00BC0924"/>
    <w:rsid w:val="00BC0C50"/>
    <w:rsid w:val="00BC11E0"/>
    <w:rsid w:val="00BC198A"/>
    <w:rsid w:val="00BC1FA5"/>
    <w:rsid w:val="00BC2598"/>
    <w:rsid w:val="00BC299D"/>
    <w:rsid w:val="00BC2C0C"/>
    <w:rsid w:val="00BC3B70"/>
    <w:rsid w:val="00BC4AE9"/>
    <w:rsid w:val="00BC6E7C"/>
    <w:rsid w:val="00BC7182"/>
    <w:rsid w:val="00BC732A"/>
    <w:rsid w:val="00BC7398"/>
    <w:rsid w:val="00BC7458"/>
    <w:rsid w:val="00BC758B"/>
    <w:rsid w:val="00BC79AA"/>
    <w:rsid w:val="00BC79C3"/>
    <w:rsid w:val="00BC7D51"/>
    <w:rsid w:val="00BD1045"/>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5185"/>
    <w:rsid w:val="00BF667D"/>
    <w:rsid w:val="00BF68BB"/>
    <w:rsid w:val="00BF69D9"/>
    <w:rsid w:val="00BF6E25"/>
    <w:rsid w:val="00BF706E"/>
    <w:rsid w:val="00BF773F"/>
    <w:rsid w:val="00BF7E94"/>
    <w:rsid w:val="00C0169B"/>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23FB"/>
    <w:rsid w:val="00C22901"/>
    <w:rsid w:val="00C22969"/>
    <w:rsid w:val="00C22C44"/>
    <w:rsid w:val="00C22E49"/>
    <w:rsid w:val="00C2404F"/>
    <w:rsid w:val="00C24F30"/>
    <w:rsid w:val="00C25238"/>
    <w:rsid w:val="00C260FA"/>
    <w:rsid w:val="00C2682F"/>
    <w:rsid w:val="00C26853"/>
    <w:rsid w:val="00C2770D"/>
    <w:rsid w:val="00C305F2"/>
    <w:rsid w:val="00C318DD"/>
    <w:rsid w:val="00C31F8B"/>
    <w:rsid w:val="00C3253F"/>
    <w:rsid w:val="00C3345C"/>
    <w:rsid w:val="00C33886"/>
    <w:rsid w:val="00C3485C"/>
    <w:rsid w:val="00C35376"/>
    <w:rsid w:val="00C3583A"/>
    <w:rsid w:val="00C35A5E"/>
    <w:rsid w:val="00C364D0"/>
    <w:rsid w:val="00C36C23"/>
    <w:rsid w:val="00C37A5F"/>
    <w:rsid w:val="00C407E5"/>
    <w:rsid w:val="00C40B65"/>
    <w:rsid w:val="00C4265A"/>
    <w:rsid w:val="00C42DAC"/>
    <w:rsid w:val="00C4342B"/>
    <w:rsid w:val="00C44C5C"/>
    <w:rsid w:val="00C44C87"/>
    <w:rsid w:val="00C45345"/>
    <w:rsid w:val="00C45818"/>
    <w:rsid w:val="00C459A9"/>
    <w:rsid w:val="00C46EF4"/>
    <w:rsid w:val="00C47763"/>
    <w:rsid w:val="00C477E7"/>
    <w:rsid w:val="00C4793A"/>
    <w:rsid w:val="00C502A5"/>
    <w:rsid w:val="00C503A6"/>
    <w:rsid w:val="00C5063C"/>
    <w:rsid w:val="00C51CD8"/>
    <w:rsid w:val="00C51FEE"/>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63DF"/>
    <w:rsid w:val="00C96DFE"/>
    <w:rsid w:val="00C96FE8"/>
    <w:rsid w:val="00C97151"/>
    <w:rsid w:val="00C9737D"/>
    <w:rsid w:val="00C976D1"/>
    <w:rsid w:val="00CA015B"/>
    <w:rsid w:val="00CA0F81"/>
    <w:rsid w:val="00CA2C6A"/>
    <w:rsid w:val="00CA2D01"/>
    <w:rsid w:val="00CA308F"/>
    <w:rsid w:val="00CA3730"/>
    <w:rsid w:val="00CA3C52"/>
    <w:rsid w:val="00CA563F"/>
    <w:rsid w:val="00CA5C24"/>
    <w:rsid w:val="00CA5FDD"/>
    <w:rsid w:val="00CA67BA"/>
    <w:rsid w:val="00CA71D4"/>
    <w:rsid w:val="00CB0326"/>
    <w:rsid w:val="00CB03C1"/>
    <w:rsid w:val="00CB1F95"/>
    <w:rsid w:val="00CB5B59"/>
    <w:rsid w:val="00CB5D29"/>
    <w:rsid w:val="00CB5EF8"/>
    <w:rsid w:val="00CB6019"/>
    <w:rsid w:val="00CB675A"/>
    <w:rsid w:val="00CB6847"/>
    <w:rsid w:val="00CB6EC8"/>
    <w:rsid w:val="00CB7423"/>
    <w:rsid w:val="00CB782B"/>
    <w:rsid w:val="00CC082B"/>
    <w:rsid w:val="00CC0E77"/>
    <w:rsid w:val="00CC13BE"/>
    <w:rsid w:val="00CC2092"/>
    <w:rsid w:val="00CC285C"/>
    <w:rsid w:val="00CC291F"/>
    <w:rsid w:val="00CC2E28"/>
    <w:rsid w:val="00CC3244"/>
    <w:rsid w:val="00CC337B"/>
    <w:rsid w:val="00CC3F80"/>
    <w:rsid w:val="00CC4FFD"/>
    <w:rsid w:val="00CC5595"/>
    <w:rsid w:val="00CC596D"/>
    <w:rsid w:val="00CC5AAD"/>
    <w:rsid w:val="00CC5E76"/>
    <w:rsid w:val="00CC687B"/>
    <w:rsid w:val="00CC79AA"/>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5A1"/>
    <w:rsid w:val="00CE2F19"/>
    <w:rsid w:val="00CE2FF5"/>
    <w:rsid w:val="00CE33C1"/>
    <w:rsid w:val="00CE43B9"/>
    <w:rsid w:val="00CE478C"/>
    <w:rsid w:val="00CE4DD6"/>
    <w:rsid w:val="00CE5049"/>
    <w:rsid w:val="00CE5228"/>
    <w:rsid w:val="00CE5EF9"/>
    <w:rsid w:val="00CE6A87"/>
    <w:rsid w:val="00CE76FF"/>
    <w:rsid w:val="00CF090B"/>
    <w:rsid w:val="00CF0C41"/>
    <w:rsid w:val="00CF1CF7"/>
    <w:rsid w:val="00CF3AEC"/>
    <w:rsid w:val="00CF3B92"/>
    <w:rsid w:val="00CF4012"/>
    <w:rsid w:val="00CF43D5"/>
    <w:rsid w:val="00CF446E"/>
    <w:rsid w:val="00CF517B"/>
    <w:rsid w:val="00CF5F40"/>
    <w:rsid w:val="00CF6BD9"/>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10711"/>
    <w:rsid w:val="00D10E54"/>
    <w:rsid w:val="00D117D5"/>
    <w:rsid w:val="00D11916"/>
    <w:rsid w:val="00D11D77"/>
    <w:rsid w:val="00D125A8"/>
    <w:rsid w:val="00D1276A"/>
    <w:rsid w:val="00D134FE"/>
    <w:rsid w:val="00D14DB7"/>
    <w:rsid w:val="00D15D92"/>
    <w:rsid w:val="00D15E6A"/>
    <w:rsid w:val="00D15ED5"/>
    <w:rsid w:val="00D16656"/>
    <w:rsid w:val="00D16FD7"/>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3009"/>
    <w:rsid w:val="00D3376E"/>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4EC"/>
    <w:rsid w:val="00D44C07"/>
    <w:rsid w:val="00D44E9D"/>
    <w:rsid w:val="00D450DA"/>
    <w:rsid w:val="00D4567E"/>
    <w:rsid w:val="00D45887"/>
    <w:rsid w:val="00D4642E"/>
    <w:rsid w:val="00D46722"/>
    <w:rsid w:val="00D472A7"/>
    <w:rsid w:val="00D47BC2"/>
    <w:rsid w:val="00D50198"/>
    <w:rsid w:val="00D504F1"/>
    <w:rsid w:val="00D50961"/>
    <w:rsid w:val="00D50C33"/>
    <w:rsid w:val="00D514B7"/>
    <w:rsid w:val="00D51515"/>
    <w:rsid w:val="00D5217F"/>
    <w:rsid w:val="00D5381C"/>
    <w:rsid w:val="00D53C84"/>
    <w:rsid w:val="00D54BD5"/>
    <w:rsid w:val="00D56066"/>
    <w:rsid w:val="00D5699B"/>
    <w:rsid w:val="00D575F0"/>
    <w:rsid w:val="00D57960"/>
    <w:rsid w:val="00D6004B"/>
    <w:rsid w:val="00D60578"/>
    <w:rsid w:val="00D60655"/>
    <w:rsid w:val="00D60B56"/>
    <w:rsid w:val="00D614C8"/>
    <w:rsid w:val="00D61A0E"/>
    <w:rsid w:val="00D61A90"/>
    <w:rsid w:val="00D62055"/>
    <w:rsid w:val="00D62551"/>
    <w:rsid w:val="00D6295D"/>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2B5"/>
    <w:rsid w:val="00DA374D"/>
    <w:rsid w:val="00DA3C99"/>
    <w:rsid w:val="00DA4192"/>
    <w:rsid w:val="00DA495D"/>
    <w:rsid w:val="00DA4C0A"/>
    <w:rsid w:val="00DA4F15"/>
    <w:rsid w:val="00DA5280"/>
    <w:rsid w:val="00DA5DCA"/>
    <w:rsid w:val="00DA600C"/>
    <w:rsid w:val="00DA67B9"/>
    <w:rsid w:val="00DA7BA0"/>
    <w:rsid w:val="00DA7C37"/>
    <w:rsid w:val="00DA7D03"/>
    <w:rsid w:val="00DB0529"/>
    <w:rsid w:val="00DB132B"/>
    <w:rsid w:val="00DB15D7"/>
    <w:rsid w:val="00DB3319"/>
    <w:rsid w:val="00DB400B"/>
    <w:rsid w:val="00DB42EB"/>
    <w:rsid w:val="00DB42F5"/>
    <w:rsid w:val="00DB43A2"/>
    <w:rsid w:val="00DB44D6"/>
    <w:rsid w:val="00DB469A"/>
    <w:rsid w:val="00DB50B8"/>
    <w:rsid w:val="00DB52C3"/>
    <w:rsid w:val="00DB5454"/>
    <w:rsid w:val="00DB5DA3"/>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0FD"/>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2117"/>
    <w:rsid w:val="00E424DE"/>
    <w:rsid w:val="00E43469"/>
    <w:rsid w:val="00E4359A"/>
    <w:rsid w:val="00E4369C"/>
    <w:rsid w:val="00E43A0F"/>
    <w:rsid w:val="00E43AA2"/>
    <w:rsid w:val="00E4438B"/>
    <w:rsid w:val="00E445DA"/>
    <w:rsid w:val="00E447EE"/>
    <w:rsid w:val="00E45379"/>
    <w:rsid w:val="00E4659B"/>
    <w:rsid w:val="00E465CB"/>
    <w:rsid w:val="00E46ADE"/>
    <w:rsid w:val="00E472D6"/>
    <w:rsid w:val="00E47C0D"/>
    <w:rsid w:val="00E50929"/>
    <w:rsid w:val="00E50A7E"/>
    <w:rsid w:val="00E50B22"/>
    <w:rsid w:val="00E51206"/>
    <w:rsid w:val="00E51D7B"/>
    <w:rsid w:val="00E51E18"/>
    <w:rsid w:val="00E5267D"/>
    <w:rsid w:val="00E52703"/>
    <w:rsid w:val="00E533BD"/>
    <w:rsid w:val="00E5346C"/>
    <w:rsid w:val="00E53706"/>
    <w:rsid w:val="00E53DE8"/>
    <w:rsid w:val="00E55401"/>
    <w:rsid w:val="00E556C7"/>
    <w:rsid w:val="00E55B38"/>
    <w:rsid w:val="00E56663"/>
    <w:rsid w:val="00E576EB"/>
    <w:rsid w:val="00E57CE2"/>
    <w:rsid w:val="00E60967"/>
    <w:rsid w:val="00E617BD"/>
    <w:rsid w:val="00E617DF"/>
    <w:rsid w:val="00E61E05"/>
    <w:rsid w:val="00E61F0D"/>
    <w:rsid w:val="00E61F5C"/>
    <w:rsid w:val="00E63111"/>
    <w:rsid w:val="00E63348"/>
    <w:rsid w:val="00E64BD9"/>
    <w:rsid w:val="00E64D65"/>
    <w:rsid w:val="00E6519C"/>
    <w:rsid w:val="00E65A16"/>
    <w:rsid w:val="00E6646A"/>
    <w:rsid w:val="00E6698C"/>
    <w:rsid w:val="00E67E50"/>
    <w:rsid w:val="00E705B4"/>
    <w:rsid w:val="00E72597"/>
    <w:rsid w:val="00E72967"/>
    <w:rsid w:val="00E74577"/>
    <w:rsid w:val="00E754ED"/>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E1A"/>
    <w:rsid w:val="00EA030F"/>
    <w:rsid w:val="00EA0E04"/>
    <w:rsid w:val="00EA220D"/>
    <w:rsid w:val="00EA2594"/>
    <w:rsid w:val="00EA2FBD"/>
    <w:rsid w:val="00EA3156"/>
    <w:rsid w:val="00EA3E85"/>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059"/>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C67"/>
    <w:rsid w:val="00F0603B"/>
    <w:rsid w:val="00F061A6"/>
    <w:rsid w:val="00F0710C"/>
    <w:rsid w:val="00F07119"/>
    <w:rsid w:val="00F072BF"/>
    <w:rsid w:val="00F110D8"/>
    <w:rsid w:val="00F111E5"/>
    <w:rsid w:val="00F11AB3"/>
    <w:rsid w:val="00F11F3F"/>
    <w:rsid w:val="00F1282E"/>
    <w:rsid w:val="00F14017"/>
    <w:rsid w:val="00F160C8"/>
    <w:rsid w:val="00F1684C"/>
    <w:rsid w:val="00F17435"/>
    <w:rsid w:val="00F17BCE"/>
    <w:rsid w:val="00F20633"/>
    <w:rsid w:val="00F210B8"/>
    <w:rsid w:val="00F21A88"/>
    <w:rsid w:val="00F21CB5"/>
    <w:rsid w:val="00F21D1C"/>
    <w:rsid w:val="00F228DB"/>
    <w:rsid w:val="00F23316"/>
    <w:rsid w:val="00F2385F"/>
    <w:rsid w:val="00F23B0A"/>
    <w:rsid w:val="00F23CCC"/>
    <w:rsid w:val="00F24527"/>
    <w:rsid w:val="00F24E11"/>
    <w:rsid w:val="00F25CFE"/>
    <w:rsid w:val="00F25E23"/>
    <w:rsid w:val="00F26CB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20CA"/>
    <w:rsid w:val="00F422A7"/>
    <w:rsid w:val="00F427A1"/>
    <w:rsid w:val="00F42AE8"/>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5070"/>
    <w:rsid w:val="00F56272"/>
    <w:rsid w:val="00F563D6"/>
    <w:rsid w:val="00F56709"/>
    <w:rsid w:val="00F568B4"/>
    <w:rsid w:val="00F56B6D"/>
    <w:rsid w:val="00F56CC2"/>
    <w:rsid w:val="00F56F47"/>
    <w:rsid w:val="00F5718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BD7"/>
    <w:rsid w:val="00F66F26"/>
    <w:rsid w:val="00F677E2"/>
    <w:rsid w:val="00F705D2"/>
    <w:rsid w:val="00F70C9C"/>
    <w:rsid w:val="00F717E6"/>
    <w:rsid w:val="00F71D2E"/>
    <w:rsid w:val="00F7216B"/>
    <w:rsid w:val="00F7264A"/>
    <w:rsid w:val="00F72E5E"/>
    <w:rsid w:val="00F73751"/>
    <w:rsid w:val="00F75CE4"/>
    <w:rsid w:val="00F75EAD"/>
    <w:rsid w:val="00F7627D"/>
    <w:rsid w:val="00F763CA"/>
    <w:rsid w:val="00F77154"/>
    <w:rsid w:val="00F805F6"/>
    <w:rsid w:val="00F80F33"/>
    <w:rsid w:val="00F822B5"/>
    <w:rsid w:val="00F824A6"/>
    <w:rsid w:val="00F8257B"/>
    <w:rsid w:val="00F82D9E"/>
    <w:rsid w:val="00F82EAD"/>
    <w:rsid w:val="00F82FA8"/>
    <w:rsid w:val="00F8308D"/>
    <w:rsid w:val="00F8328B"/>
    <w:rsid w:val="00F832C7"/>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341D"/>
    <w:rsid w:val="00F937CF"/>
    <w:rsid w:val="00F93A36"/>
    <w:rsid w:val="00F93C90"/>
    <w:rsid w:val="00F94A68"/>
    <w:rsid w:val="00F94B81"/>
    <w:rsid w:val="00F94E99"/>
    <w:rsid w:val="00F9650A"/>
    <w:rsid w:val="00F967C7"/>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C91"/>
    <w:rsid w:val="00FB1557"/>
    <w:rsid w:val="00FB1ACE"/>
    <w:rsid w:val="00FB2144"/>
    <w:rsid w:val="00FB3EA0"/>
    <w:rsid w:val="00FB55F4"/>
    <w:rsid w:val="00FB58D8"/>
    <w:rsid w:val="00FB6548"/>
    <w:rsid w:val="00FB688E"/>
    <w:rsid w:val="00FB7140"/>
    <w:rsid w:val="00FC0365"/>
    <w:rsid w:val="00FC0B63"/>
    <w:rsid w:val="00FC1226"/>
    <w:rsid w:val="00FC15DA"/>
    <w:rsid w:val="00FC1B7A"/>
    <w:rsid w:val="00FC2209"/>
    <w:rsid w:val="00FC31A6"/>
    <w:rsid w:val="00FC376A"/>
    <w:rsid w:val="00FC379B"/>
    <w:rsid w:val="00FC53DD"/>
    <w:rsid w:val="00FC6827"/>
    <w:rsid w:val="00FC7531"/>
    <w:rsid w:val="00FC7950"/>
    <w:rsid w:val="00FC7DD1"/>
    <w:rsid w:val="00FC7EAA"/>
    <w:rsid w:val="00FD17F9"/>
    <w:rsid w:val="00FD21E3"/>
    <w:rsid w:val="00FD4877"/>
    <w:rsid w:val="00FD4FA5"/>
    <w:rsid w:val="00FD5166"/>
    <w:rsid w:val="00FD526A"/>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943"/>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semiHidden/>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spem.edomex.gob.mx/numerali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FAE11-1966-43B8-9B99-65E83D2C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10004</Words>
  <Characters>55024</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Jorge Sánchez</cp:lastModifiedBy>
  <cp:revision>4</cp:revision>
  <cp:lastPrinted>2020-01-16T18:20:00Z</cp:lastPrinted>
  <dcterms:created xsi:type="dcterms:W3CDTF">2026-02-27T03:47:00Z</dcterms:created>
  <dcterms:modified xsi:type="dcterms:W3CDTF">2026-04-10T01:15:00Z</dcterms:modified>
</cp:coreProperties>
</file>