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929805807"/>
        <w:docPartObj>
          <w:docPartGallery w:val="Table of Contents"/>
          <w:docPartUnique/>
        </w:docPartObj>
      </w:sdtPr>
      <w:sdtEndPr>
        <w:rPr>
          <w:b/>
          <w:bCs/>
        </w:rPr>
      </w:sdtEndPr>
      <w:sdtContent>
        <w:p w14:paraId="3343FADF" w14:textId="5072EF15" w:rsidR="00343F9B" w:rsidRDefault="00343F9B">
          <w:pPr>
            <w:pStyle w:val="TtulodeTDC"/>
          </w:pPr>
          <w:r>
            <w:rPr>
              <w:lang w:val="es-ES"/>
            </w:rPr>
            <w:t>Tabla de contenido</w:t>
          </w:r>
        </w:p>
        <w:p w14:paraId="68E895A6" w14:textId="77777777" w:rsidR="00945033" w:rsidRDefault="00343F9B">
          <w:pPr>
            <w:pStyle w:val="TDC1"/>
            <w:tabs>
              <w:tab w:val="right" w:leader="dot" w:pos="9204"/>
            </w:tabs>
            <w:rPr>
              <w:rFonts w:asciiTheme="minorHAnsi" w:eastAsiaTheme="minorEastAsia" w:hAnsiTheme="minorHAnsi" w:cstheme="minorBidi"/>
              <w:noProof/>
            </w:rPr>
          </w:pPr>
          <w:r>
            <w:rPr>
              <w:b/>
              <w:bCs/>
              <w:lang w:val="es-ES"/>
            </w:rPr>
            <w:fldChar w:fldCharType="begin"/>
          </w:r>
          <w:r>
            <w:rPr>
              <w:b/>
              <w:bCs/>
              <w:lang w:val="es-ES"/>
            </w:rPr>
            <w:instrText xml:space="preserve"> TOC \o "1-3" \h \z \u </w:instrText>
          </w:r>
          <w:r>
            <w:rPr>
              <w:b/>
              <w:bCs/>
              <w:lang w:val="es-ES"/>
            </w:rPr>
            <w:fldChar w:fldCharType="separate"/>
          </w:r>
          <w:hyperlink w:anchor="_Toc223619856" w:history="1">
            <w:r w:rsidR="00945033" w:rsidRPr="00E829B8">
              <w:rPr>
                <w:rStyle w:val="Hipervnculo"/>
                <w:noProof/>
              </w:rPr>
              <w:t>A N T E C E D E N T E S</w:t>
            </w:r>
            <w:r w:rsidR="00945033">
              <w:rPr>
                <w:noProof/>
                <w:webHidden/>
              </w:rPr>
              <w:tab/>
            </w:r>
            <w:r w:rsidR="00945033">
              <w:rPr>
                <w:noProof/>
                <w:webHidden/>
              </w:rPr>
              <w:fldChar w:fldCharType="begin"/>
            </w:r>
            <w:r w:rsidR="00945033">
              <w:rPr>
                <w:noProof/>
                <w:webHidden/>
              </w:rPr>
              <w:instrText xml:space="preserve"> PAGEREF _Toc223619856 \h </w:instrText>
            </w:r>
            <w:r w:rsidR="00945033">
              <w:rPr>
                <w:noProof/>
                <w:webHidden/>
              </w:rPr>
            </w:r>
            <w:r w:rsidR="00945033">
              <w:rPr>
                <w:noProof/>
                <w:webHidden/>
              </w:rPr>
              <w:fldChar w:fldCharType="separate"/>
            </w:r>
            <w:r w:rsidR="00F76120">
              <w:rPr>
                <w:noProof/>
                <w:webHidden/>
              </w:rPr>
              <w:t>2</w:t>
            </w:r>
            <w:r w:rsidR="00945033">
              <w:rPr>
                <w:noProof/>
                <w:webHidden/>
              </w:rPr>
              <w:fldChar w:fldCharType="end"/>
            </w:r>
          </w:hyperlink>
        </w:p>
        <w:p w14:paraId="3DC1F691" w14:textId="77777777" w:rsidR="00945033" w:rsidRDefault="00C775A5">
          <w:pPr>
            <w:pStyle w:val="TDC2"/>
            <w:tabs>
              <w:tab w:val="right" w:leader="dot" w:pos="9204"/>
            </w:tabs>
            <w:rPr>
              <w:rFonts w:asciiTheme="minorHAnsi" w:eastAsiaTheme="minorEastAsia" w:hAnsiTheme="minorHAnsi" w:cstheme="minorBidi"/>
              <w:noProof/>
            </w:rPr>
          </w:pPr>
          <w:hyperlink w:anchor="_Toc223619857" w:history="1">
            <w:r w:rsidR="00945033" w:rsidRPr="00E829B8">
              <w:rPr>
                <w:rStyle w:val="Hipervnculo"/>
                <w:noProof/>
              </w:rPr>
              <w:t>I. Presentación de la solicitud de información</w:t>
            </w:r>
            <w:r w:rsidR="00945033">
              <w:rPr>
                <w:noProof/>
                <w:webHidden/>
              </w:rPr>
              <w:tab/>
            </w:r>
            <w:r w:rsidR="00945033">
              <w:rPr>
                <w:noProof/>
                <w:webHidden/>
              </w:rPr>
              <w:fldChar w:fldCharType="begin"/>
            </w:r>
            <w:r w:rsidR="00945033">
              <w:rPr>
                <w:noProof/>
                <w:webHidden/>
              </w:rPr>
              <w:instrText xml:space="preserve"> PAGEREF _Toc223619857 \h </w:instrText>
            </w:r>
            <w:r w:rsidR="00945033">
              <w:rPr>
                <w:noProof/>
                <w:webHidden/>
              </w:rPr>
            </w:r>
            <w:r w:rsidR="00945033">
              <w:rPr>
                <w:noProof/>
                <w:webHidden/>
              </w:rPr>
              <w:fldChar w:fldCharType="separate"/>
            </w:r>
            <w:r w:rsidR="00F76120">
              <w:rPr>
                <w:noProof/>
                <w:webHidden/>
              </w:rPr>
              <w:t>2</w:t>
            </w:r>
            <w:r w:rsidR="00945033">
              <w:rPr>
                <w:noProof/>
                <w:webHidden/>
              </w:rPr>
              <w:fldChar w:fldCharType="end"/>
            </w:r>
          </w:hyperlink>
        </w:p>
        <w:p w14:paraId="551CFCC7" w14:textId="77777777" w:rsidR="00945033" w:rsidRDefault="00C775A5">
          <w:pPr>
            <w:pStyle w:val="TDC2"/>
            <w:tabs>
              <w:tab w:val="right" w:leader="dot" w:pos="9204"/>
            </w:tabs>
            <w:rPr>
              <w:rFonts w:asciiTheme="minorHAnsi" w:eastAsiaTheme="minorEastAsia" w:hAnsiTheme="minorHAnsi" w:cstheme="minorBidi"/>
              <w:noProof/>
            </w:rPr>
          </w:pPr>
          <w:hyperlink w:anchor="_Toc223619858" w:history="1">
            <w:r w:rsidR="00945033" w:rsidRPr="00E829B8">
              <w:rPr>
                <w:rStyle w:val="Hipervnculo"/>
                <w:noProof/>
              </w:rPr>
              <w:t>II. Prórroga</w:t>
            </w:r>
            <w:r w:rsidR="00945033">
              <w:rPr>
                <w:noProof/>
                <w:webHidden/>
              </w:rPr>
              <w:tab/>
            </w:r>
            <w:r w:rsidR="00945033">
              <w:rPr>
                <w:noProof/>
                <w:webHidden/>
              </w:rPr>
              <w:fldChar w:fldCharType="begin"/>
            </w:r>
            <w:r w:rsidR="00945033">
              <w:rPr>
                <w:noProof/>
                <w:webHidden/>
              </w:rPr>
              <w:instrText xml:space="preserve"> PAGEREF _Toc223619858 \h </w:instrText>
            </w:r>
            <w:r w:rsidR="00945033">
              <w:rPr>
                <w:noProof/>
                <w:webHidden/>
              </w:rPr>
            </w:r>
            <w:r w:rsidR="00945033">
              <w:rPr>
                <w:noProof/>
                <w:webHidden/>
              </w:rPr>
              <w:fldChar w:fldCharType="separate"/>
            </w:r>
            <w:r w:rsidR="00F76120">
              <w:rPr>
                <w:noProof/>
                <w:webHidden/>
              </w:rPr>
              <w:t>3</w:t>
            </w:r>
            <w:r w:rsidR="00945033">
              <w:rPr>
                <w:noProof/>
                <w:webHidden/>
              </w:rPr>
              <w:fldChar w:fldCharType="end"/>
            </w:r>
          </w:hyperlink>
        </w:p>
        <w:p w14:paraId="541A51E8" w14:textId="77777777" w:rsidR="00945033" w:rsidRDefault="00C775A5">
          <w:pPr>
            <w:pStyle w:val="TDC2"/>
            <w:tabs>
              <w:tab w:val="right" w:leader="dot" w:pos="9204"/>
            </w:tabs>
            <w:rPr>
              <w:rFonts w:asciiTheme="minorHAnsi" w:eastAsiaTheme="minorEastAsia" w:hAnsiTheme="minorHAnsi" w:cstheme="minorBidi"/>
              <w:noProof/>
            </w:rPr>
          </w:pPr>
          <w:hyperlink w:anchor="_Toc223619859" w:history="1">
            <w:r w:rsidR="00945033" w:rsidRPr="00E829B8">
              <w:rPr>
                <w:rStyle w:val="Hipervnculo"/>
                <w:noProof/>
              </w:rPr>
              <w:t>III. Respuesta del Sujeto Obligado</w:t>
            </w:r>
            <w:r w:rsidR="00945033">
              <w:rPr>
                <w:noProof/>
                <w:webHidden/>
              </w:rPr>
              <w:tab/>
            </w:r>
            <w:r w:rsidR="00945033">
              <w:rPr>
                <w:noProof/>
                <w:webHidden/>
              </w:rPr>
              <w:fldChar w:fldCharType="begin"/>
            </w:r>
            <w:r w:rsidR="00945033">
              <w:rPr>
                <w:noProof/>
                <w:webHidden/>
              </w:rPr>
              <w:instrText xml:space="preserve"> PAGEREF _Toc223619859 \h </w:instrText>
            </w:r>
            <w:r w:rsidR="00945033">
              <w:rPr>
                <w:noProof/>
                <w:webHidden/>
              </w:rPr>
            </w:r>
            <w:r w:rsidR="00945033">
              <w:rPr>
                <w:noProof/>
                <w:webHidden/>
              </w:rPr>
              <w:fldChar w:fldCharType="separate"/>
            </w:r>
            <w:r w:rsidR="00F76120">
              <w:rPr>
                <w:noProof/>
                <w:webHidden/>
              </w:rPr>
              <w:t>3</w:t>
            </w:r>
            <w:r w:rsidR="00945033">
              <w:rPr>
                <w:noProof/>
                <w:webHidden/>
              </w:rPr>
              <w:fldChar w:fldCharType="end"/>
            </w:r>
          </w:hyperlink>
        </w:p>
        <w:p w14:paraId="10C5158A" w14:textId="77777777" w:rsidR="00945033" w:rsidRDefault="00C775A5">
          <w:pPr>
            <w:pStyle w:val="TDC2"/>
            <w:tabs>
              <w:tab w:val="right" w:leader="dot" w:pos="9204"/>
            </w:tabs>
            <w:rPr>
              <w:rFonts w:asciiTheme="minorHAnsi" w:eastAsiaTheme="minorEastAsia" w:hAnsiTheme="minorHAnsi" w:cstheme="minorBidi"/>
              <w:noProof/>
            </w:rPr>
          </w:pPr>
          <w:hyperlink w:anchor="_Toc223619860" w:history="1">
            <w:r w:rsidR="00945033" w:rsidRPr="00E829B8">
              <w:rPr>
                <w:rStyle w:val="Hipervnculo"/>
                <w:noProof/>
              </w:rPr>
              <w:t>IV. Interposición del Recurso de Revisión</w:t>
            </w:r>
            <w:r w:rsidR="00945033">
              <w:rPr>
                <w:noProof/>
                <w:webHidden/>
              </w:rPr>
              <w:tab/>
            </w:r>
            <w:r w:rsidR="00945033">
              <w:rPr>
                <w:noProof/>
                <w:webHidden/>
              </w:rPr>
              <w:fldChar w:fldCharType="begin"/>
            </w:r>
            <w:r w:rsidR="00945033">
              <w:rPr>
                <w:noProof/>
                <w:webHidden/>
              </w:rPr>
              <w:instrText xml:space="preserve"> PAGEREF _Toc223619860 \h </w:instrText>
            </w:r>
            <w:r w:rsidR="00945033">
              <w:rPr>
                <w:noProof/>
                <w:webHidden/>
              </w:rPr>
            </w:r>
            <w:r w:rsidR="00945033">
              <w:rPr>
                <w:noProof/>
                <w:webHidden/>
              </w:rPr>
              <w:fldChar w:fldCharType="separate"/>
            </w:r>
            <w:r w:rsidR="00F76120">
              <w:rPr>
                <w:noProof/>
                <w:webHidden/>
              </w:rPr>
              <w:t>4</w:t>
            </w:r>
            <w:r w:rsidR="00945033">
              <w:rPr>
                <w:noProof/>
                <w:webHidden/>
              </w:rPr>
              <w:fldChar w:fldCharType="end"/>
            </w:r>
          </w:hyperlink>
        </w:p>
        <w:p w14:paraId="73D803F4" w14:textId="77777777" w:rsidR="00945033" w:rsidRDefault="00C775A5">
          <w:pPr>
            <w:pStyle w:val="TDC2"/>
            <w:tabs>
              <w:tab w:val="right" w:leader="dot" w:pos="9204"/>
            </w:tabs>
            <w:rPr>
              <w:rFonts w:asciiTheme="minorHAnsi" w:eastAsiaTheme="minorEastAsia" w:hAnsiTheme="minorHAnsi" w:cstheme="minorBidi"/>
              <w:noProof/>
            </w:rPr>
          </w:pPr>
          <w:hyperlink w:anchor="_Toc223619861" w:history="1">
            <w:r w:rsidR="00945033" w:rsidRPr="00E829B8">
              <w:rPr>
                <w:rStyle w:val="Hipervnculo"/>
                <w:noProof/>
              </w:rPr>
              <w:t>V. Trámite del Recurso de Revisión ante este Instituto</w:t>
            </w:r>
            <w:r w:rsidR="00945033">
              <w:rPr>
                <w:noProof/>
                <w:webHidden/>
              </w:rPr>
              <w:tab/>
            </w:r>
            <w:r w:rsidR="00945033">
              <w:rPr>
                <w:noProof/>
                <w:webHidden/>
              </w:rPr>
              <w:fldChar w:fldCharType="begin"/>
            </w:r>
            <w:r w:rsidR="00945033">
              <w:rPr>
                <w:noProof/>
                <w:webHidden/>
              </w:rPr>
              <w:instrText xml:space="preserve"> PAGEREF _Toc223619861 \h </w:instrText>
            </w:r>
            <w:r w:rsidR="00945033">
              <w:rPr>
                <w:noProof/>
                <w:webHidden/>
              </w:rPr>
            </w:r>
            <w:r w:rsidR="00945033">
              <w:rPr>
                <w:noProof/>
                <w:webHidden/>
              </w:rPr>
              <w:fldChar w:fldCharType="separate"/>
            </w:r>
            <w:r w:rsidR="00F76120">
              <w:rPr>
                <w:noProof/>
                <w:webHidden/>
              </w:rPr>
              <w:t>4</w:t>
            </w:r>
            <w:r w:rsidR="00945033">
              <w:rPr>
                <w:noProof/>
                <w:webHidden/>
              </w:rPr>
              <w:fldChar w:fldCharType="end"/>
            </w:r>
          </w:hyperlink>
        </w:p>
        <w:p w14:paraId="411CAA04" w14:textId="77777777" w:rsidR="00945033" w:rsidRDefault="00C775A5">
          <w:pPr>
            <w:pStyle w:val="TDC1"/>
            <w:tabs>
              <w:tab w:val="right" w:leader="dot" w:pos="9204"/>
            </w:tabs>
            <w:rPr>
              <w:rFonts w:asciiTheme="minorHAnsi" w:eastAsiaTheme="minorEastAsia" w:hAnsiTheme="minorHAnsi" w:cstheme="minorBidi"/>
              <w:noProof/>
            </w:rPr>
          </w:pPr>
          <w:hyperlink w:anchor="_Toc223619862" w:history="1">
            <w:r w:rsidR="00945033" w:rsidRPr="00E829B8">
              <w:rPr>
                <w:rStyle w:val="Hipervnculo"/>
                <w:noProof/>
              </w:rPr>
              <w:t>C O N S I D E R A N D O S</w:t>
            </w:r>
            <w:r w:rsidR="00945033">
              <w:rPr>
                <w:noProof/>
                <w:webHidden/>
              </w:rPr>
              <w:tab/>
            </w:r>
            <w:r w:rsidR="00945033">
              <w:rPr>
                <w:noProof/>
                <w:webHidden/>
              </w:rPr>
              <w:fldChar w:fldCharType="begin"/>
            </w:r>
            <w:r w:rsidR="00945033">
              <w:rPr>
                <w:noProof/>
                <w:webHidden/>
              </w:rPr>
              <w:instrText xml:space="preserve"> PAGEREF _Toc223619862 \h </w:instrText>
            </w:r>
            <w:r w:rsidR="00945033">
              <w:rPr>
                <w:noProof/>
                <w:webHidden/>
              </w:rPr>
            </w:r>
            <w:r w:rsidR="00945033">
              <w:rPr>
                <w:noProof/>
                <w:webHidden/>
              </w:rPr>
              <w:fldChar w:fldCharType="separate"/>
            </w:r>
            <w:r w:rsidR="00F76120">
              <w:rPr>
                <w:noProof/>
                <w:webHidden/>
              </w:rPr>
              <w:t>8</w:t>
            </w:r>
            <w:r w:rsidR="00945033">
              <w:rPr>
                <w:noProof/>
                <w:webHidden/>
              </w:rPr>
              <w:fldChar w:fldCharType="end"/>
            </w:r>
          </w:hyperlink>
        </w:p>
        <w:p w14:paraId="03B33765" w14:textId="77777777" w:rsidR="00945033" w:rsidRDefault="00C775A5">
          <w:pPr>
            <w:pStyle w:val="TDC2"/>
            <w:tabs>
              <w:tab w:val="right" w:leader="dot" w:pos="9204"/>
            </w:tabs>
            <w:rPr>
              <w:rFonts w:asciiTheme="minorHAnsi" w:eastAsiaTheme="minorEastAsia" w:hAnsiTheme="minorHAnsi" w:cstheme="minorBidi"/>
              <w:noProof/>
            </w:rPr>
          </w:pPr>
          <w:hyperlink w:anchor="_Toc223619863" w:history="1">
            <w:r w:rsidR="00945033" w:rsidRPr="00E829B8">
              <w:rPr>
                <w:rStyle w:val="Hipervnculo"/>
                <w:noProof/>
              </w:rPr>
              <w:t>PRIMERO. Competencia</w:t>
            </w:r>
            <w:r w:rsidR="00945033">
              <w:rPr>
                <w:noProof/>
                <w:webHidden/>
              </w:rPr>
              <w:tab/>
            </w:r>
            <w:r w:rsidR="00945033">
              <w:rPr>
                <w:noProof/>
                <w:webHidden/>
              </w:rPr>
              <w:fldChar w:fldCharType="begin"/>
            </w:r>
            <w:r w:rsidR="00945033">
              <w:rPr>
                <w:noProof/>
                <w:webHidden/>
              </w:rPr>
              <w:instrText xml:space="preserve"> PAGEREF _Toc223619863 \h </w:instrText>
            </w:r>
            <w:r w:rsidR="00945033">
              <w:rPr>
                <w:noProof/>
                <w:webHidden/>
              </w:rPr>
            </w:r>
            <w:r w:rsidR="00945033">
              <w:rPr>
                <w:noProof/>
                <w:webHidden/>
              </w:rPr>
              <w:fldChar w:fldCharType="separate"/>
            </w:r>
            <w:r w:rsidR="00F76120">
              <w:rPr>
                <w:noProof/>
                <w:webHidden/>
              </w:rPr>
              <w:t>8</w:t>
            </w:r>
            <w:r w:rsidR="00945033">
              <w:rPr>
                <w:noProof/>
                <w:webHidden/>
              </w:rPr>
              <w:fldChar w:fldCharType="end"/>
            </w:r>
          </w:hyperlink>
        </w:p>
        <w:p w14:paraId="0D60CC4D" w14:textId="77777777" w:rsidR="00945033" w:rsidRDefault="00C775A5">
          <w:pPr>
            <w:pStyle w:val="TDC2"/>
            <w:tabs>
              <w:tab w:val="right" w:leader="dot" w:pos="9204"/>
            </w:tabs>
            <w:rPr>
              <w:rFonts w:asciiTheme="minorHAnsi" w:eastAsiaTheme="minorEastAsia" w:hAnsiTheme="minorHAnsi" w:cstheme="minorBidi"/>
              <w:noProof/>
            </w:rPr>
          </w:pPr>
          <w:hyperlink w:anchor="_Toc223619864" w:history="1">
            <w:r w:rsidR="00945033" w:rsidRPr="00E829B8">
              <w:rPr>
                <w:rStyle w:val="Hipervnculo"/>
                <w:noProof/>
              </w:rPr>
              <w:t>SEGUNDO. Causales de improcedencia</w:t>
            </w:r>
            <w:r w:rsidR="00945033">
              <w:rPr>
                <w:noProof/>
                <w:webHidden/>
              </w:rPr>
              <w:tab/>
            </w:r>
            <w:r w:rsidR="00945033">
              <w:rPr>
                <w:noProof/>
                <w:webHidden/>
              </w:rPr>
              <w:fldChar w:fldCharType="begin"/>
            </w:r>
            <w:r w:rsidR="00945033">
              <w:rPr>
                <w:noProof/>
                <w:webHidden/>
              </w:rPr>
              <w:instrText xml:space="preserve"> PAGEREF _Toc223619864 \h </w:instrText>
            </w:r>
            <w:r w:rsidR="00945033">
              <w:rPr>
                <w:noProof/>
                <w:webHidden/>
              </w:rPr>
            </w:r>
            <w:r w:rsidR="00945033">
              <w:rPr>
                <w:noProof/>
                <w:webHidden/>
              </w:rPr>
              <w:fldChar w:fldCharType="separate"/>
            </w:r>
            <w:r w:rsidR="00F76120">
              <w:rPr>
                <w:noProof/>
                <w:webHidden/>
              </w:rPr>
              <w:t>8</w:t>
            </w:r>
            <w:r w:rsidR="00945033">
              <w:rPr>
                <w:noProof/>
                <w:webHidden/>
              </w:rPr>
              <w:fldChar w:fldCharType="end"/>
            </w:r>
          </w:hyperlink>
        </w:p>
        <w:p w14:paraId="558A58B3" w14:textId="77777777" w:rsidR="00945033" w:rsidRDefault="00C775A5">
          <w:pPr>
            <w:pStyle w:val="TDC2"/>
            <w:tabs>
              <w:tab w:val="right" w:leader="dot" w:pos="9204"/>
            </w:tabs>
            <w:rPr>
              <w:rFonts w:asciiTheme="minorHAnsi" w:eastAsiaTheme="minorEastAsia" w:hAnsiTheme="minorHAnsi" w:cstheme="minorBidi"/>
              <w:noProof/>
            </w:rPr>
          </w:pPr>
          <w:hyperlink w:anchor="_Toc223619865" w:history="1">
            <w:r w:rsidR="00945033" w:rsidRPr="00E829B8">
              <w:rPr>
                <w:rStyle w:val="Hipervnculo"/>
                <w:noProof/>
              </w:rPr>
              <w:t>TERCERO. Causales de sobreseimiento</w:t>
            </w:r>
            <w:r w:rsidR="00945033">
              <w:rPr>
                <w:noProof/>
                <w:webHidden/>
              </w:rPr>
              <w:tab/>
            </w:r>
            <w:r w:rsidR="00945033">
              <w:rPr>
                <w:noProof/>
                <w:webHidden/>
              </w:rPr>
              <w:fldChar w:fldCharType="begin"/>
            </w:r>
            <w:r w:rsidR="00945033">
              <w:rPr>
                <w:noProof/>
                <w:webHidden/>
              </w:rPr>
              <w:instrText xml:space="preserve"> PAGEREF _Toc223619865 \h </w:instrText>
            </w:r>
            <w:r w:rsidR="00945033">
              <w:rPr>
                <w:noProof/>
                <w:webHidden/>
              </w:rPr>
            </w:r>
            <w:r w:rsidR="00945033">
              <w:rPr>
                <w:noProof/>
                <w:webHidden/>
              </w:rPr>
              <w:fldChar w:fldCharType="separate"/>
            </w:r>
            <w:r w:rsidR="00F76120">
              <w:rPr>
                <w:noProof/>
                <w:webHidden/>
              </w:rPr>
              <w:t>9</w:t>
            </w:r>
            <w:r w:rsidR="00945033">
              <w:rPr>
                <w:noProof/>
                <w:webHidden/>
              </w:rPr>
              <w:fldChar w:fldCharType="end"/>
            </w:r>
          </w:hyperlink>
        </w:p>
        <w:p w14:paraId="3779A3BE" w14:textId="77777777" w:rsidR="00945033" w:rsidRDefault="00C775A5">
          <w:pPr>
            <w:pStyle w:val="TDC2"/>
            <w:tabs>
              <w:tab w:val="right" w:leader="dot" w:pos="9204"/>
            </w:tabs>
            <w:rPr>
              <w:rFonts w:asciiTheme="minorHAnsi" w:eastAsiaTheme="minorEastAsia" w:hAnsiTheme="minorHAnsi" w:cstheme="minorBidi"/>
              <w:noProof/>
            </w:rPr>
          </w:pPr>
          <w:hyperlink w:anchor="_Toc223619866" w:history="1">
            <w:r w:rsidR="00945033" w:rsidRPr="00E829B8">
              <w:rPr>
                <w:rStyle w:val="Hipervnculo"/>
                <w:noProof/>
              </w:rPr>
              <w:t>CUARTO. Decisión</w:t>
            </w:r>
            <w:r w:rsidR="00945033">
              <w:rPr>
                <w:noProof/>
                <w:webHidden/>
              </w:rPr>
              <w:tab/>
            </w:r>
            <w:r w:rsidR="00945033">
              <w:rPr>
                <w:noProof/>
                <w:webHidden/>
              </w:rPr>
              <w:fldChar w:fldCharType="begin"/>
            </w:r>
            <w:r w:rsidR="00945033">
              <w:rPr>
                <w:noProof/>
                <w:webHidden/>
              </w:rPr>
              <w:instrText xml:space="preserve"> PAGEREF _Toc223619866 \h </w:instrText>
            </w:r>
            <w:r w:rsidR="00945033">
              <w:rPr>
                <w:noProof/>
                <w:webHidden/>
              </w:rPr>
            </w:r>
            <w:r w:rsidR="00945033">
              <w:rPr>
                <w:noProof/>
                <w:webHidden/>
              </w:rPr>
              <w:fldChar w:fldCharType="separate"/>
            </w:r>
            <w:r w:rsidR="00F76120">
              <w:rPr>
                <w:noProof/>
                <w:webHidden/>
              </w:rPr>
              <w:t>18</w:t>
            </w:r>
            <w:r w:rsidR="00945033">
              <w:rPr>
                <w:noProof/>
                <w:webHidden/>
              </w:rPr>
              <w:fldChar w:fldCharType="end"/>
            </w:r>
          </w:hyperlink>
        </w:p>
        <w:p w14:paraId="508B8C42" w14:textId="77777777" w:rsidR="00945033" w:rsidRDefault="00C775A5">
          <w:pPr>
            <w:pStyle w:val="TDC1"/>
            <w:tabs>
              <w:tab w:val="right" w:leader="dot" w:pos="9204"/>
            </w:tabs>
            <w:rPr>
              <w:rFonts w:asciiTheme="minorHAnsi" w:eastAsiaTheme="minorEastAsia" w:hAnsiTheme="minorHAnsi" w:cstheme="minorBidi"/>
              <w:noProof/>
            </w:rPr>
          </w:pPr>
          <w:hyperlink w:anchor="_Toc223619867" w:history="1">
            <w:r w:rsidR="00945033" w:rsidRPr="00E829B8">
              <w:rPr>
                <w:rStyle w:val="Hipervnculo"/>
                <w:noProof/>
              </w:rPr>
              <w:t>R E S U E L V E</w:t>
            </w:r>
            <w:r w:rsidR="00945033">
              <w:rPr>
                <w:noProof/>
                <w:webHidden/>
              </w:rPr>
              <w:tab/>
            </w:r>
            <w:r w:rsidR="00945033">
              <w:rPr>
                <w:noProof/>
                <w:webHidden/>
              </w:rPr>
              <w:fldChar w:fldCharType="begin"/>
            </w:r>
            <w:r w:rsidR="00945033">
              <w:rPr>
                <w:noProof/>
                <w:webHidden/>
              </w:rPr>
              <w:instrText xml:space="preserve"> PAGEREF _Toc223619867 \h </w:instrText>
            </w:r>
            <w:r w:rsidR="00945033">
              <w:rPr>
                <w:noProof/>
                <w:webHidden/>
              </w:rPr>
            </w:r>
            <w:r w:rsidR="00945033">
              <w:rPr>
                <w:noProof/>
                <w:webHidden/>
              </w:rPr>
              <w:fldChar w:fldCharType="separate"/>
            </w:r>
            <w:r w:rsidR="00F76120">
              <w:rPr>
                <w:noProof/>
                <w:webHidden/>
              </w:rPr>
              <w:t>19</w:t>
            </w:r>
            <w:r w:rsidR="00945033">
              <w:rPr>
                <w:noProof/>
                <w:webHidden/>
              </w:rPr>
              <w:fldChar w:fldCharType="end"/>
            </w:r>
          </w:hyperlink>
        </w:p>
        <w:p w14:paraId="51FBFA27" w14:textId="1DFEBBAF" w:rsidR="00343F9B" w:rsidRDefault="00343F9B">
          <w:r>
            <w:rPr>
              <w:b/>
              <w:bCs/>
              <w:lang w:val="es-ES"/>
            </w:rPr>
            <w:fldChar w:fldCharType="end"/>
          </w:r>
        </w:p>
      </w:sdtContent>
    </w:sdt>
    <w:p w14:paraId="20CE5E4C" w14:textId="77777777" w:rsidR="00DB3EC4" w:rsidRPr="00343F9B" w:rsidRDefault="00DB3EC4">
      <w:pPr>
        <w:pStyle w:val="Ttulo2"/>
        <w:spacing w:before="0" w:after="0"/>
      </w:pPr>
    </w:p>
    <w:p w14:paraId="28044674" w14:textId="77777777" w:rsidR="00DB3EC4" w:rsidRPr="00343F9B" w:rsidRDefault="00DB3EC4">
      <w:pPr>
        <w:spacing w:after="0" w:line="360" w:lineRule="auto"/>
      </w:pPr>
    </w:p>
    <w:p w14:paraId="470F9680" w14:textId="77777777" w:rsidR="00DB3EC4" w:rsidRPr="00343F9B" w:rsidRDefault="00CE7591">
      <w:pPr>
        <w:spacing w:after="0" w:line="360" w:lineRule="auto"/>
      </w:pPr>
      <w:r w:rsidRPr="00343F9B">
        <w:br w:type="page"/>
      </w:r>
    </w:p>
    <w:p w14:paraId="3C0D757B" w14:textId="77777777" w:rsidR="00DB3EC4" w:rsidRPr="00343F9B" w:rsidRDefault="00CE7591">
      <w:pPr>
        <w:spacing w:after="0" w:line="360" w:lineRule="auto"/>
      </w:pPr>
      <w:r w:rsidRPr="00343F9B">
        <w:lastRenderedPageBreak/>
        <w:t>Resolución del Pleno del Instituto de Transparencia, Acceso a la Información Pública y Protección de Datos Personales del Estado de México y Municipios, con domicilio en Metepec, Estado de México, de fecha cinco de marzo de dos mil veintiséis.</w:t>
      </w:r>
    </w:p>
    <w:p w14:paraId="6B60C660" w14:textId="77777777" w:rsidR="00DB3EC4" w:rsidRPr="00343F9B" w:rsidRDefault="00DB3EC4">
      <w:pPr>
        <w:spacing w:after="0" w:line="360" w:lineRule="auto"/>
        <w:rPr>
          <w:b/>
          <w:bCs/>
        </w:rPr>
      </w:pPr>
    </w:p>
    <w:p w14:paraId="7AA730C8" w14:textId="77777777" w:rsidR="00DB3EC4" w:rsidRPr="00343F9B" w:rsidRDefault="00CE7591">
      <w:pPr>
        <w:spacing w:after="0" w:line="360" w:lineRule="auto"/>
      </w:pPr>
      <w:r w:rsidRPr="00343F9B">
        <w:rPr>
          <w:b/>
          <w:bCs/>
        </w:rPr>
        <w:t>VISTO</w:t>
      </w:r>
      <w:r w:rsidRPr="00343F9B">
        <w:t xml:space="preserve"> el expediente conformado con motivo del Recurso de Revisión </w:t>
      </w:r>
      <w:r w:rsidRPr="008C6C4B">
        <w:rPr>
          <w:b/>
        </w:rPr>
        <w:t>00876/INFOEM/IP/RR/2026</w:t>
      </w:r>
      <w:r w:rsidRPr="00343F9B">
        <w:t xml:space="preserve">, interpuesto por un Particular, en lo sucesivo la persona Recurrente o Particular, en contra de la respuesta del Sujeto Obligado, </w:t>
      </w:r>
      <w:bookmarkStart w:id="0" w:name="_GoBack"/>
      <w:r w:rsidRPr="008C6C4B">
        <w:rPr>
          <w:b/>
        </w:rPr>
        <w:t>Ayuntamiento de Melchor Ocampo</w:t>
      </w:r>
      <w:r w:rsidRPr="00343F9B">
        <w:t xml:space="preserve"> </w:t>
      </w:r>
      <w:bookmarkEnd w:id="0"/>
      <w:r w:rsidRPr="00343F9B">
        <w:t>se emite la presente Resolución, con base en los antecedentes y considerandos que se exponen a continuación:</w:t>
      </w:r>
    </w:p>
    <w:p w14:paraId="7B0755AC" w14:textId="77777777" w:rsidR="00DB3EC4" w:rsidRPr="00343F9B" w:rsidRDefault="00DB3EC4">
      <w:pPr>
        <w:spacing w:after="0" w:line="360" w:lineRule="auto"/>
      </w:pPr>
    </w:p>
    <w:p w14:paraId="636EB2C6" w14:textId="77777777" w:rsidR="00DB3EC4" w:rsidRPr="00343F9B" w:rsidRDefault="00CE7591">
      <w:pPr>
        <w:pStyle w:val="Ttulo1"/>
        <w:spacing w:before="0" w:after="0"/>
        <w:rPr>
          <w:sz w:val="22"/>
          <w:szCs w:val="22"/>
        </w:rPr>
      </w:pPr>
      <w:bookmarkStart w:id="1" w:name="_heading=h.tzbdfvfdv0fb" w:colFirst="0" w:colLast="0"/>
      <w:bookmarkStart w:id="2" w:name="_Toc223619856"/>
      <w:bookmarkEnd w:id="1"/>
      <w:r w:rsidRPr="00343F9B">
        <w:rPr>
          <w:sz w:val="22"/>
          <w:szCs w:val="22"/>
        </w:rPr>
        <w:t>A N T E C E D E N T E S</w:t>
      </w:r>
      <w:bookmarkEnd w:id="2"/>
    </w:p>
    <w:p w14:paraId="28CD498C" w14:textId="77777777" w:rsidR="00DB3EC4" w:rsidRPr="00343F9B" w:rsidRDefault="00DB3EC4">
      <w:pPr>
        <w:spacing w:after="0" w:line="360" w:lineRule="auto"/>
      </w:pPr>
      <w:bookmarkStart w:id="3" w:name="_heading=h.gjdgxs" w:colFirst="0" w:colLast="0"/>
      <w:bookmarkEnd w:id="3"/>
    </w:p>
    <w:p w14:paraId="668B3DC0" w14:textId="77777777" w:rsidR="00DB3EC4" w:rsidRPr="00343F9B" w:rsidRDefault="00CE7591">
      <w:pPr>
        <w:pStyle w:val="Ttulo2"/>
        <w:spacing w:before="0" w:after="0"/>
      </w:pPr>
      <w:bookmarkStart w:id="4" w:name="_heading=h.6wer5owbumhm" w:colFirst="0" w:colLast="0"/>
      <w:bookmarkStart w:id="5" w:name="_Toc223619857"/>
      <w:bookmarkEnd w:id="4"/>
      <w:r w:rsidRPr="00343F9B">
        <w:t>I. Presentación de la solicitud de información</w:t>
      </w:r>
      <w:bookmarkEnd w:id="5"/>
    </w:p>
    <w:p w14:paraId="06CCC9F1" w14:textId="77777777" w:rsidR="00DB3EC4" w:rsidRPr="00343F9B" w:rsidRDefault="00DB3EC4">
      <w:pPr>
        <w:tabs>
          <w:tab w:val="left" w:pos="567"/>
        </w:tabs>
        <w:spacing w:after="0" w:line="360" w:lineRule="auto"/>
      </w:pPr>
    </w:p>
    <w:p w14:paraId="796BD832" w14:textId="77777777" w:rsidR="00DB3EC4" w:rsidRPr="00343F9B" w:rsidRDefault="00CE7591">
      <w:pPr>
        <w:spacing w:after="0" w:line="360" w:lineRule="auto"/>
        <w:rPr>
          <w:color w:val="000000"/>
        </w:rPr>
      </w:pPr>
      <w:r w:rsidRPr="00343F9B">
        <w:t xml:space="preserve">Con fecha dieciocho de noviembre dos mil veinticinco, </w:t>
      </w:r>
      <w:r w:rsidRPr="00343F9B">
        <w:rPr>
          <w:color w:val="000000"/>
        </w:rPr>
        <w:t>la parte Solicitante presentó una solicitud de acceso a la información pública,</w:t>
      </w:r>
      <w:r w:rsidRPr="00343F9B">
        <w:t xml:space="preserve"> a través del</w:t>
      </w:r>
      <w:r w:rsidRPr="00343F9B">
        <w:rPr>
          <w:color w:val="000000"/>
        </w:rPr>
        <w:t xml:space="preserve"> Sistema de Acceso a la Información Mexiquense, en lo sucesivo el SAIMEX; ante el Ayuntamiento de Melchor Ocampo, en la que requirió lo siguiente:</w:t>
      </w:r>
    </w:p>
    <w:p w14:paraId="3951F877" w14:textId="77777777" w:rsidR="00DB3EC4" w:rsidRPr="00343F9B" w:rsidRDefault="00DB3EC4">
      <w:pPr>
        <w:spacing w:after="0" w:line="360" w:lineRule="auto"/>
        <w:rPr>
          <w:color w:val="000000"/>
        </w:rPr>
      </w:pPr>
    </w:p>
    <w:p w14:paraId="18B5C247" w14:textId="77777777" w:rsidR="00DB3EC4" w:rsidRPr="00343F9B" w:rsidRDefault="00CE7591">
      <w:pPr>
        <w:tabs>
          <w:tab w:val="left" w:pos="567"/>
        </w:tabs>
        <w:spacing w:after="0" w:line="360" w:lineRule="auto"/>
        <w:ind w:left="567" w:right="709"/>
        <w:rPr>
          <w:b/>
          <w:bCs/>
          <w:sz w:val="20"/>
          <w:szCs w:val="20"/>
        </w:rPr>
      </w:pPr>
      <w:r w:rsidRPr="00343F9B">
        <w:rPr>
          <w:b/>
          <w:bCs/>
          <w:sz w:val="20"/>
          <w:szCs w:val="20"/>
        </w:rPr>
        <w:t>Folio de la solicitud: 00253/MELOCAM/IP/2025</w:t>
      </w:r>
    </w:p>
    <w:p w14:paraId="0FEAD77E" w14:textId="77777777" w:rsidR="00DB3EC4" w:rsidRPr="00343F9B" w:rsidRDefault="00CE7591">
      <w:pPr>
        <w:tabs>
          <w:tab w:val="left" w:pos="567"/>
        </w:tabs>
        <w:spacing w:after="0" w:line="360" w:lineRule="auto"/>
        <w:ind w:left="567" w:right="709"/>
        <w:rPr>
          <w:b/>
          <w:bCs/>
          <w:sz w:val="20"/>
          <w:szCs w:val="20"/>
        </w:rPr>
      </w:pPr>
      <w:r w:rsidRPr="00343F9B">
        <w:rPr>
          <w:b/>
          <w:bCs/>
          <w:sz w:val="20"/>
          <w:szCs w:val="20"/>
        </w:rPr>
        <w:t>DESCRIPCIÓN CLARA Y PRECISA DE LA INFORMACIÓN SOLICITADA</w:t>
      </w:r>
    </w:p>
    <w:p w14:paraId="3F59AB01" w14:textId="77777777" w:rsidR="00DB3EC4" w:rsidRPr="00343F9B" w:rsidRDefault="00CE7591">
      <w:pPr>
        <w:tabs>
          <w:tab w:val="left" w:pos="4667"/>
        </w:tabs>
        <w:spacing w:after="0" w:line="360" w:lineRule="auto"/>
        <w:ind w:left="567" w:right="709"/>
        <w:rPr>
          <w:i/>
          <w:iCs/>
          <w:sz w:val="20"/>
          <w:szCs w:val="20"/>
        </w:rPr>
      </w:pPr>
      <w:r w:rsidRPr="00343F9B">
        <w:rPr>
          <w:i/>
          <w:iCs/>
          <w:sz w:val="20"/>
          <w:szCs w:val="20"/>
        </w:rPr>
        <w:t xml:space="preserve">“Buenas tardes, solicito el reglamento del comité de obra pública, mismo que utilizan para operar en </w:t>
      </w:r>
      <w:proofErr w:type="spellStart"/>
      <w:r w:rsidRPr="00343F9B">
        <w:rPr>
          <w:i/>
          <w:iCs/>
          <w:sz w:val="20"/>
          <w:szCs w:val="20"/>
        </w:rPr>
        <w:t>melchor</w:t>
      </w:r>
      <w:proofErr w:type="spellEnd"/>
      <w:r w:rsidRPr="00343F9B">
        <w:rPr>
          <w:i/>
          <w:iCs/>
          <w:sz w:val="20"/>
          <w:szCs w:val="20"/>
        </w:rPr>
        <w:t xml:space="preserve"> </w:t>
      </w:r>
      <w:proofErr w:type="spellStart"/>
      <w:r w:rsidRPr="00343F9B">
        <w:rPr>
          <w:i/>
          <w:iCs/>
          <w:sz w:val="20"/>
          <w:szCs w:val="20"/>
        </w:rPr>
        <w:t>ocampo</w:t>
      </w:r>
      <w:proofErr w:type="spellEnd"/>
      <w:r w:rsidRPr="00343F9B">
        <w:rPr>
          <w:i/>
          <w:iCs/>
          <w:sz w:val="20"/>
          <w:szCs w:val="20"/>
        </w:rPr>
        <w:t xml:space="preserve"> </w:t>
      </w:r>
      <w:proofErr w:type="spellStart"/>
      <w:r w:rsidRPr="00343F9B">
        <w:rPr>
          <w:i/>
          <w:iCs/>
          <w:sz w:val="20"/>
          <w:szCs w:val="20"/>
        </w:rPr>
        <w:t>asi</w:t>
      </w:r>
      <w:proofErr w:type="spellEnd"/>
      <w:r w:rsidRPr="00343F9B">
        <w:rPr>
          <w:i/>
          <w:iCs/>
          <w:sz w:val="20"/>
          <w:szCs w:val="20"/>
        </w:rPr>
        <w:t xml:space="preserve"> como el reglamento del comité de adquisiciones y Servicios, mismo que utilizan para operar en </w:t>
      </w:r>
      <w:proofErr w:type="spellStart"/>
      <w:r w:rsidRPr="00343F9B">
        <w:rPr>
          <w:i/>
          <w:iCs/>
          <w:sz w:val="20"/>
          <w:szCs w:val="20"/>
        </w:rPr>
        <w:t>melchor</w:t>
      </w:r>
      <w:proofErr w:type="spellEnd"/>
      <w:r w:rsidRPr="00343F9B">
        <w:rPr>
          <w:i/>
          <w:iCs/>
          <w:sz w:val="20"/>
          <w:szCs w:val="20"/>
        </w:rPr>
        <w:t xml:space="preserve"> </w:t>
      </w:r>
      <w:proofErr w:type="spellStart"/>
      <w:r w:rsidRPr="00343F9B">
        <w:rPr>
          <w:i/>
          <w:iCs/>
          <w:sz w:val="20"/>
          <w:szCs w:val="20"/>
        </w:rPr>
        <w:t>ocampo</w:t>
      </w:r>
      <w:proofErr w:type="spellEnd"/>
      <w:r w:rsidRPr="00343F9B">
        <w:rPr>
          <w:i/>
          <w:iCs/>
          <w:sz w:val="20"/>
          <w:szCs w:val="20"/>
        </w:rPr>
        <w:t xml:space="preserve"> y finalmente el reglamento del comité de arrendamientos, adquisiciones de inmuebles y enajenaciones que ocupan para operar en </w:t>
      </w:r>
      <w:proofErr w:type="spellStart"/>
      <w:r w:rsidRPr="00343F9B">
        <w:rPr>
          <w:i/>
          <w:iCs/>
          <w:sz w:val="20"/>
          <w:szCs w:val="20"/>
        </w:rPr>
        <w:t>melchor</w:t>
      </w:r>
      <w:proofErr w:type="spellEnd"/>
      <w:r w:rsidRPr="00343F9B">
        <w:rPr>
          <w:i/>
          <w:iCs/>
          <w:sz w:val="20"/>
          <w:szCs w:val="20"/>
        </w:rPr>
        <w:t xml:space="preserve"> </w:t>
      </w:r>
      <w:proofErr w:type="spellStart"/>
      <w:r w:rsidRPr="00343F9B">
        <w:rPr>
          <w:i/>
          <w:iCs/>
          <w:sz w:val="20"/>
          <w:szCs w:val="20"/>
        </w:rPr>
        <w:t>ocampo</w:t>
      </w:r>
      <w:proofErr w:type="spellEnd"/>
      <w:r w:rsidRPr="00343F9B">
        <w:rPr>
          <w:i/>
          <w:iCs/>
          <w:sz w:val="20"/>
          <w:szCs w:val="20"/>
        </w:rPr>
        <w:t>"  (Sic).</w:t>
      </w:r>
    </w:p>
    <w:p w14:paraId="6E0221F9" w14:textId="77777777" w:rsidR="00DB3EC4" w:rsidRPr="00343F9B" w:rsidRDefault="00DB3EC4">
      <w:pPr>
        <w:tabs>
          <w:tab w:val="left" w:pos="4667"/>
        </w:tabs>
        <w:spacing w:after="0" w:line="360" w:lineRule="auto"/>
        <w:ind w:left="567" w:right="709"/>
        <w:rPr>
          <w:b/>
          <w:bCs/>
          <w:sz w:val="20"/>
          <w:szCs w:val="20"/>
        </w:rPr>
      </w:pPr>
    </w:p>
    <w:p w14:paraId="62DE3AC7" w14:textId="77777777" w:rsidR="00DB3EC4" w:rsidRPr="00343F9B" w:rsidRDefault="00CE7591">
      <w:pPr>
        <w:tabs>
          <w:tab w:val="left" w:pos="4667"/>
        </w:tabs>
        <w:spacing w:after="0" w:line="360" w:lineRule="auto"/>
        <w:ind w:left="567" w:right="709"/>
        <w:rPr>
          <w:i/>
          <w:iCs/>
          <w:sz w:val="20"/>
          <w:szCs w:val="20"/>
        </w:rPr>
      </w:pPr>
      <w:r w:rsidRPr="00343F9B">
        <w:rPr>
          <w:b/>
          <w:bCs/>
          <w:sz w:val="20"/>
          <w:szCs w:val="20"/>
        </w:rPr>
        <w:t xml:space="preserve">MODALIDAD DE ENTREGA </w:t>
      </w:r>
      <w:r w:rsidRPr="00343F9B">
        <w:rPr>
          <w:i/>
          <w:iCs/>
          <w:sz w:val="20"/>
          <w:szCs w:val="20"/>
        </w:rPr>
        <w:t>“A través del SAIMEX.”</w:t>
      </w:r>
    </w:p>
    <w:p w14:paraId="467EEEFD" w14:textId="77777777" w:rsidR="00DB3EC4" w:rsidRPr="00343F9B" w:rsidRDefault="00DB3EC4" w:rsidP="00343F9B">
      <w:pPr>
        <w:spacing w:after="0" w:line="360" w:lineRule="auto"/>
        <w:rPr>
          <w:i/>
          <w:iCs/>
          <w:color w:val="000000"/>
        </w:rPr>
      </w:pPr>
    </w:p>
    <w:p w14:paraId="0EA33EB3" w14:textId="77777777" w:rsidR="00DB3EC4" w:rsidRPr="00343F9B" w:rsidRDefault="00CE7591" w:rsidP="00343F9B">
      <w:pPr>
        <w:pStyle w:val="Ttulo2"/>
        <w:rPr>
          <w:b w:val="0"/>
          <w:bCs w:val="0"/>
          <w:color w:val="000000"/>
        </w:rPr>
      </w:pPr>
      <w:bookmarkStart w:id="6" w:name="_heading=h.35nkun2" w:colFirst="0" w:colLast="0"/>
      <w:bookmarkStart w:id="7" w:name="_Toc223619858"/>
      <w:bookmarkEnd w:id="6"/>
      <w:r w:rsidRPr="00343F9B">
        <w:rPr>
          <w:color w:val="000000"/>
        </w:rPr>
        <w:lastRenderedPageBreak/>
        <w:t>II. Prórroga</w:t>
      </w:r>
      <w:bookmarkEnd w:id="7"/>
    </w:p>
    <w:p w14:paraId="27A91AE4" w14:textId="77777777" w:rsidR="00DB3EC4" w:rsidRPr="00343F9B" w:rsidRDefault="00DB3EC4">
      <w:pPr>
        <w:spacing w:after="0" w:line="360" w:lineRule="auto"/>
        <w:rPr>
          <w:color w:val="000000"/>
        </w:rPr>
      </w:pPr>
    </w:p>
    <w:p w14:paraId="1D7969B5" w14:textId="77777777" w:rsidR="00DB3EC4" w:rsidRPr="00343F9B" w:rsidRDefault="00CE7591">
      <w:pPr>
        <w:tabs>
          <w:tab w:val="left" w:pos="4667"/>
        </w:tabs>
        <w:spacing w:after="0" w:line="360" w:lineRule="auto"/>
        <w:rPr>
          <w:b/>
          <w:bCs/>
          <w:color w:val="000000"/>
        </w:rPr>
      </w:pPr>
      <w:r w:rsidRPr="00343F9B">
        <w:rPr>
          <w:color w:val="000000"/>
        </w:rPr>
        <w:t xml:space="preserve">Con fecha nueve de diciembre de dos mil veinticinco, el Sujeto Obligado, a través del SAIMEX y mediante el Responsable de la Unidad de Transparencia, informó que se </w:t>
      </w:r>
      <w:r w:rsidRPr="00343F9B">
        <w:t>prorrogó</w:t>
      </w:r>
      <w:r w:rsidRPr="00343F9B">
        <w:rPr>
          <w:color w:val="000000"/>
        </w:rPr>
        <w:t xml:space="preserve"> el plazo para dar respuesta, sin embargo no indicó si fue aprobada por el Comité de Transparencia, por tanto, se le </w:t>
      </w:r>
      <w:r w:rsidRPr="00343F9B">
        <w:rPr>
          <w:b/>
          <w:bCs/>
          <w:color w:val="000000"/>
          <w:u w:val="single"/>
        </w:rPr>
        <w:t>insta para que en futuras ocasiones remita el acta en el que el Comité de Transparencia aprueba la prórroga para dar respuesta en términos de lo dispuesto en el artículo 163 de la Ley de Transparencia y Acceso a la Información Pública del Estado de México y Municipios</w:t>
      </w:r>
      <w:r w:rsidRPr="00343F9B">
        <w:rPr>
          <w:b/>
          <w:bCs/>
          <w:color w:val="000000"/>
        </w:rPr>
        <w:t xml:space="preserve">. </w:t>
      </w:r>
    </w:p>
    <w:p w14:paraId="55D9062A" w14:textId="77777777" w:rsidR="00DB3EC4" w:rsidRPr="00343F9B" w:rsidRDefault="00DB3EC4">
      <w:pPr>
        <w:tabs>
          <w:tab w:val="left" w:pos="4667"/>
        </w:tabs>
        <w:spacing w:after="0" w:line="360" w:lineRule="auto"/>
        <w:ind w:right="709"/>
        <w:rPr>
          <w:b/>
          <w:bCs/>
        </w:rPr>
      </w:pPr>
    </w:p>
    <w:p w14:paraId="01CE690E" w14:textId="77777777" w:rsidR="00DB3EC4" w:rsidRPr="00343F9B" w:rsidRDefault="00CE7591">
      <w:pPr>
        <w:pStyle w:val="Ttulo2"/>
        <w:spacing w:before="0" w:after="0"/>
      </w:pPr>
      <w:bookmarkStart w:id="8" w:name="_heading=h.4r30j3oipp1z" w:colFirst="0" w:colLast="0"/>
      <w:bookmarkStart w:id="9" w:name="_Toc223619859"/>
      <w:bookmarkEnd w:id="8"/>
      <w:r w:rsidRPr="00343F9B">
        <w:t>III. Respuesta del Sujeto Obligado</w:t>
      </w:r>
      <w:bookmarkEnd w:id="9"/>
    </w:p>
    <w:p w14:paraId="66A0F1DC" w14:textId="77777777" w:rsidR="00DB3EC4" w:rsidRPr="00343F9B" w:rsidRDefault="00DB3EC4">
      <w:pPr>
        <w:spacing w:after="0" w:line="360" w:lineRule="auto"/>
      </w:pPr>
    </w:p>
    <w:p w14:paraId="476B7278" w14:textId="77777777" w:rsidR="00DB3EC4" w:rsidRPr="00343F9B" w:rsidRDefault="00CE7591">
      <w:pPr>
        <w:spacing w:after="0" w:line="360" w:lineRule="auto"/>
      </w:pPr>
      <w:r w:rsidRPr="00343F9B">
        <w:t>El doce de diciembre de dos mil veinticinco, el Sujeto Obligado a través de SAIMEX, dio respuesta mediante los siguientes archivos:</w:t>
      </w:r>
    </w:p>
    <w:p w14:paraId="00134582" w14:textId="77777777" w:rsidR="00DB3EC4" w:rsidRPr="00343F9B" w:rsidRDefault="00DB3EC4">
      <w:pPr>
        <w:spacing w:after="0" w:line="360" w:lineRule="auto"/>
      </w:pPr>
    </w:p>
    <w:p w14:paraId="7E5E2C84" w14:textId="77777777" w:rsidR="00DB3EC4" w:rsidRPr="00343F9B" w:rsidRDefault="00CE7591">
      <w:pPr>
        <w:numPr>
          <w:ilvl w:val="0"/>
          <w:numId w:val="2"/>
        </w:numPr>
        <w:pBdr>
          <w:top w:val="nil"/>
          <w:left w:val="nil"/>
          <w:bottom w:val="nil"/>
          <w:right w:val="nil"/>
          <w:between w:val="nil"/>
        </w:pBdr>
        <w:spacing w:after="0" w:line="360" w:lineRule="auto"/>
        <w:rPr>
          <w:b/>
          <w:bCs/>
          <w:i/>
          <w:iCs/>
          <w:color w:val="000000"/>
        </w:rPr>
      </w:pPr>
      <w:r w:rsidRPr="00343F9B">
        <w:rPr>
          <w:b/>
          <w:bCs/>
          <w:i/>
          <w:iCs/>
          <w:color w:val="000000"/>
        </w:rPr>
        <w:t xml:space="preserve">folio 253-25.pdf; </w:t>
      </w:r>
      <w:r w:rsidRPr="00343F9B">
        <w:rPr>
          <w:color w:val="000000"/>
        </w:rPr>
        <w:t>del que se desprenden los siguientes:</w:t>
      </w:r>
    </w:p>
    <w:p w14:paraId="43BA6C1C" w14:textId="77777777" w:rsidR="004B79A8" w:rsidRPr="00343F9B" w:rsidRDefault="004B79A8" w:rsidP="004B79A8">
      <w:pPr>
        <w:pBdr>
          <w:top w:val="nil"/>
          <w:left w:val="nil"/>
          <w:bottom w:val="nil"/>
          <w:right w:val="nil"/>
          <w:between w:val="nil"/>
        </w:pBdr>
        <w:spacing w:after="0" w:line="360" w:lineRule="auto"/>
        <w:ind w:left="720"/>
        <w:rPr>
          <w:b/>
          <w:bCs/>
          <w:i/>
          <w:iCs/>
          <w:color w:val="000000"/>
        </w:rPr>
      </w:pPr>
    </w:p>
    <w:p w14:paraId="7DDECF2B" w14:textId="77777777" w:rsidR="00DB3EC4" w:rsidRPr="00343F9B" w:rsidRDefault="00CE7591">
      <w:pPr>
        <w:numPr>
          <w:ilvl w:val="1"/>
          <w:numId w:val="2"/>
        </w:numPr>
        <w:pBdr>
          <w:top w:val="nil"/>
          <w:left w:val="nil"/>
          <w:bottom w:val="nil"/>
          <w:right w:val="nil"/>
          <w:between w:val="nil"/>
        </w:pBdr>
        <w:spacing w:after="0" w:line="360" w:lineRule="auto"/>
        <w:rPr>
          <w:b/>
          <w:bCs/>
          <w:i/>
          <w:iCs/>
          <w:color w:val="000000"/>
        </w:rPr>
      </w:pPr>
      <w:r w:rsidRPr="00343F9B">
        <w:rPr>
          <w:color w:val="000000"/>
        </w:rPr>
        <w:t>Oficio suscrito por la Directora de Obras Públicas y Medio Ambiente, en el que informó lo siguiente:</w:t>
      </w:r>
    </w:p>
    <w:p w14:paraId="67BE9ED4" w14:textId="77777777" w:rsidR="00DB3EC4" w:rsidRPr="00343F9B" w:rsidRDefault="00CE7591">
      <w:pPr>
        <w:spacing w:after="0" w:line="360" w:lineRule="auto"/>
        <w:ind w:left="567" w:right="709"/>
        <w:rPr>
          <w:i/>
          <w:iCs/>
          <w:sz w:val="20"/>
          <w:szCs w:val="20"/>
        </w:rPr>
      </w:pPr>
      <w:r w:rsidRPr="00343F9B">
        <w:rPr>
          <w:i/>
          <w:iCs/>
          <w:sz w:val="20"/>
          <w:szCs w:val="20"/>
        </w:rPr>
        <w:t>“…</w:t>
      </w:r>
    </w:p>
    <w:p w14:paraId="16E00EBF" w14:textId="77777777" w:rsidR="00DB3EC4" w:rsidRPr="00343F9B" w:rsidRDefault="00CE7591">
      <w:pPr>
        <w:spacing w:after="0" w:line="360" w:lineRule="auto"/>
        <w:ind w:left="567" w:right="709"/>
        <w:rPr>
          <w:i/>
          <w:iCs/>
          <w:sz w:val="20"/>
          <w:szCs w:val="20"/>
        </w:rPr>
      </w:pPr>
      <w:r w:rsidRPr="00343F9B">
        <w:rPr>
          <w:i/>
          <w:iCs/>
          <w:sz w:val="20"/>
          <w:szCs w:val="20"/>
        </w:rPr>
        <w:t xml:space="preserve">RESPUESTA: Esta Unidad Administrativa en términos del artículo 96 BIS de la Ley Orgánica Municipal del Estado de México, es competente para responder esta fracción del requerimiento, "Buenas tardes, solicito el reglamento del comité de obras pública, mismo que utilizan para operar en </w:t>
      </w:r>
      <w:proofErr w:type="spellStart"/>
      <w:r w:rsidRPr="00343F9B">
        <w:rPr>
          <w:i/>
          <w:iCs/>
          <w:sz w:val="20"/>
          <w:szCs w:val="20"/>
        </w:rPr>
        <w:t>melchor</w:t>
      </w:r>
      <w:proofErr w:type="spellEnd"/>
      <w:r w:rsidRPr="00343F9B">
        <w:rPr>
          <w:i/>
          <w:iCs/>
          <w:sz w:val="20"/>
          <w:szCs w:val="20"/>
        </w:rPr>
        <w:t xml:space="preserve"> </w:t>
      </w:r>
      <w:proofErr w:type="spellStart"/>
      <w:r w:rsidRPr="00343F9B">
        <w:rPr>
          <w:i/>
          <w:iCs/>
          <w:sz w:val="20"/>
          <w:szCs w:val="20"/>
        </w:rPr>
        <w:t>ocampo</w:t>
      </w:r>
      <w:proofErr w:type="spellEnd"/>
      <w:r w:rsidRPr="00343F9B">
        <w:rPr>
          <w:i/>
          <w:iCs/>
          <w:sz w:val="20"/>
          <w:szCs w:val="20"/>
        </w:rPr>
        <w:t>........ (</w:t>
      </w:r>
      <w:proofErr w:type="gramStart"/>
      <w:r w:rsidRPr="00343F9B">
        <w:rPr>
          <w:i/>
          <w:iCs/>
          <w:sz w:val="20"/>
          <w:szCs w:val="20"/>
        </w:rPr>
        <w:t>sic</w:t>
      </w:r>
      <w:proofErr w:type="gramEnd"/>
      <w:r w:rsidRPr="00343F9B">
        <w:rPr>
          <w:i/>
          <w:iCs/>
          <w:sz w:val="20"/>
          <w:szCs w:val="20"/>
        </w:rPr>
        <w:t xml:space="preserve">)". Por lo que adjunto, al presente </w:t>
      </w:r>
      <w:r w:rsidRPr="00343F9B">
        <w:rPr>
          <w:b/>
          <w:bCs/>
          <w:i/>
          <w:iCs/>
          <w:sz w:val="20"/>
          <w:szCs w:val="20"/>
        </w:rPr>
        <w:t xml:space="preserve">el reglamento del comité de obras públicas.” </w:t>
      </w:r>
      <w:r w:rsidRPr="00343F9B">
        <w:rPr>
          <w:i/>
          <w:iCs/>
          <w:sz w:val="20"/>
          <w:szCs w:val="20"/>
        </w:rPr>
        <w:t>(Énfasis añadido)</w:t>
      </w:r>
    </w:p>
    <w:p w14:paraId="2CA28629" w14:textId="77777777" w:rsidR="00DB3EC4" w:rsidRPr="00343F9B" w:rsidRDefault="00DB3EC4">
      <w:pPr>
        <w:spacing w:after="0" w:line="360" w:lineRule="auto"/>
        <w:ind w:left="567" w:right="709"/>
        <w:rPr>
          <w:i/>
          <w:iCs/>
        </w:rPr>
      </w:pPr>
    </w:p>
    <w:p w14:paraId="7201A563" w14:textId="77777777" w:rsidR="00DB3EC4" w:rsidRPr="00343F9B" w:rsidRDefault="00CE7591">
      <w:pPr>
        <w:numPr>
          <w:ilvl w:val="1"/>
          <w:numId w:val="2"/>
        </w:numPr>
        <w:pBdr>
          <w:top w:val="nil"/>
          <w:left w:val="nil"/>
          <w:bottom w:val="nil"/>
          <w:right w:val="nil"/>
          <w:between w:val="nil"/>
        </w:pBdr>
        <w:spacing w:after="0" w:line="360" w:lineRule="auto"/>
        <w:ind w:right="709"/>
        <w:rPr>
          <w:i/>
          <w:iCs/>
          <w:color w:val="000000"/>
        </w:rPr>
      </w:pPr>
      <w:r w:rsidRPr="00343F9B">
        <w:rPr>
          <w:color w:val="000000"/>
        </w:rPr>
        <w:lastRenderedPageBreak/>
        <w:t>Manual de Integración y Funcionamiento del Comité Interno de Obra Pública del Municipio de Melchor Ocampo, del Estado de México, aprobado por el Pleno del Comité en fecha 30 de enero de 2025.</w:t>
      </w:r>
    </w:p>
    <w:p w14:paraId="4432C6A5" w14:textId="77777777" w:rsidR="00DB3EC4" w:rsidRPr="00343F9B" w:rsidRDefault="00DB3EC4">
      <w:pPr>
        <w:spacing w:after="0" w:line="360" w:lineRule="auto"/>
        <w:rPr>
          <w:b/>
          <w:bCs/>
          <w:i/>
          <w:iCs/>
        </w:rPr>
      </w:pPr>
    </w:p>
    <w:p w14:paraId="6AFB6F32" w14:textId="77777777" w:rsidR="00DB3EC4" w:rsidRPr="00343F9B" w:rsidRDefault="00CE7591">
      <w:pPr>
        <w:numPr>
          <w:ilvl w:val="0"/>
          <w:numId w:val="2"/>
        </w:numPr>
        <w:pBdr>
          <w:top w:val="nil"/>
          <w:left w:val="nil"/>
          <w:bottom w:val="nil"/>
          <w:right w:val="nil"/>
          <w:between w:val="nil"/>
        </w:pBdr>
        <w:spacing w:after="0" w:line="360" w:lineRule="auto"/>
        <w:rPr>
          <w:b/>
          <w:bCs/>
          <w:i/>
          <w:iCs/>
          <w:color w:val="000000"/>
        </w:rPr>
      </w:pPr>
      <w:r w:rsidRPr="00343F9B">
        <w:rPr>
          <w:b/>
          <w:bCs/>
          <w:i/>
          <w:iCs/>
          <w:color w:val="000000"/>
        </w:rPr>
        <w:t>Manual de Operaciones del Comité de Adquisiciones (1).</w:t>
      </w:r>
      <w:proofErr w:type="spellStart"/>
      <w:r w:rsidRPr="00343F9B">
        <w:rPr>
          <w:b/>
          <w:bCs/>
          <w:i/>
          <w:iCs/>
          <w:color w:val="000000"/>
        </w:rPr>
        <w:t>pdf</w:t>
      </w:r>
      <w:proofErr w:type="spellEnd"/>
      <w:r w:rsidRPr="00343F9B">
        <w:rPr>
          <w:b/>
          <w:bCs/>
          <w:i/>
          <w:iCs/>
          <w:color w:val="000000"/>
        </w:rPr>
        <w:t xml:space="preserve">; </w:t>
      </w:r>
      <w:r w:rsidRPr="00343F9B">
        <w:rPr>
          <w:color w:val="000000"/>
        </w:rPr>
        <w:t>del que se advierte el Manual de Operaciones del Comité de Adquisiciones y Servicios del Municipio de Melchor Ocampo, Estado de México, publicado en septiembre de 2024</w:t>
      </w:r>
    </w:p>
    <w:p w14:paraId="4AE5C767" w14:textId="77777777" w:rsidR="00DB3EC4" w:rsidRPr="00343F9B" w:rsidRDefault="00DB3EC4">
      <w:pPr>
        <w:pBdr>
          <w:top w:val="nil"/>
          <w:left w:val="nil"/>
          <w:bottom w:val="nil"/>
          <w:right w:val="nil"/>
          <w:between w:val="nil"/>
        </w:pBdr>
        <w:spacing w:after="0" w:line="360" w:lineRule="auto"/>
        <w:ind w:left="720"/>
        <w:rPr>
          <w:b/>
          <w:bCs/>
          <w:i/>
          <w:iCs/>
          <w:color w:val="000000"/>
        </w:rPr>
      </w:pPr>
    </w:p>
    <w:p w14:paraId="6C1F8605" w14:textId="77777777" w:rsidR="00DB3EC4" w:rsidRPr="00343F9B" w:rsidRDefault="00CE7591">
      <w:pPr>
        <w:numPr>
          <w:ilvl w:val="0"/>
          <w:numId w:val="2"/>
        </w:numPr>
        <w:pBdr>
          <w:top w:val="nil"/>
          <w:left w:val="nil"/>
          <w:bottom w:val="nil"/>
          <w:right w:val="nil"/>
          <w:between w:val="nil"/>
        </w:pBdr>
        <w:spacing w:after="0" w:line="360" w:lineRule="auto"/>
        <w:rPr>
          <w:b/>
          <w:bCs/>
          <w:i/>
          <w:iCs/>
          <w:color w:val="000000"/>
        </w:rPr>
      </w:pPr>
      <w:r w:rsidRPr="00343F9B">
        <w:rPr>
          <w:b/>
          <w:bCs/>
          <w:i/>
          <w:iCs/>
          <w:color w:val="000000"/>
        </w:rPr>
        <w:t xml:space="preserve">DA-CA-501-2025.pdf; </w:t>
      </w:r>
      <w:r w:rsidRPr="00343F9B">
        <w:rPr>
          <w:color w:val="000000"/>
        </w:rPr>
        <w:t>del que advierte un oficio suscrito por el Coordinador de Adquisiciones y Servicios, en el que informó que respecto a la información solicitada se remite el Manual de Operaciones del Comité de Adquisiciones y Servicios del Municipio de Melchor Ocampo, Estado de México.</w:t>
      </w:r>
    </w:p>
    <w:p w14:paraId="10655239" w14:textId="77777777" w:rsidR="00DB3EC4" w:rsidRPr="00343F9B" w:rsidRDefault="00DB3EC4">
      <w:pPr>
        <w:pBdr>
          <w:top w:val="nil"/>
          <w:left w:val="nil"/>
          <w:bottom w:val="nil"/>
          <w:right w:val="nil"/>
          <w:between w:val="nil"/>
        </w:pBdr>
        <w:spacing w:after="0" w:line="360" w:lineRule="auto"/>
        <w:rPr>
          <w:i/>
          <w:iCs/>
          <w:color w:val="000000"/>
        </w:rPr>
      </w:pPr>
    </w:p>
    <w:p w14:paraId="1A101779" w14:textId="77777777" w:rsidR="00DB3EC4" w:rsidRPr="00343F9B" w:rsidRDefault="00CE7591">
      <w:pPr>
        <w:pStyle w:val="Ttulo2"/>
        <w:spacing w:before="0" w:after="0"/>
      </w:pPr>
      <w:bookmarkStart w:id="10" w:name="_heading=h.jwpmuu1hx4vr" w:colFirst="0" w:colLast="0"/>
      <w:bookmarkStart w:id="11" w:name="_Toc223619860"/>
      <w:bookmarkEnd w:id="10"/>
      <w:r w:rsidRPr="00343F9B">
        <w:t>IV. Interposición del Recurso de Revisión</w:t>
      </w:r>
      <w:bookmarkEnd w:id="11"/>
    </w:p>
    <w:p w14:paraId="76612A5C" w14:textId="77777777" w:rsidR="00DB3EC4" w:rsidRPr="00343F9B" w:rsidRDefault="00DB3EC4">
      <w:pPr>
        <w:spacing w:after="0" w:line="360" w:lineRule="auto"/>
        <w:rPr>
          <w:b/>
          <w:bCs/>
        </w:rPr>
      </w:pPr>
    </w:p>
    <w:p w14:paraId="08A30E7A" w14:textId="77777777" w:rsidR="00DB3EC4" w:rsidRPr="00343F9B" w:rsidRDefault="00CE7591">
      <w:pPr>
        <w:spacing w:after="0" w:line="360" w:lineRule="auto"/>
      </w:pPr>
      <w:bookmarkStart w:id="12" w:name="_heading=h.2et92p0" w:colFirst="0" w:colLast="0"/>
      <w:bookmarkEnd w:id="12"/>
      <w:r w:rsidRPr="00343F9B">
        <w:t>Con fecha veintiuno de enero de dos mil veintiséis, se recibió en este Instituto, a través del SAIMEX, el Recurso de Revisión interpuesto por la persona Recurrente, en los siguientes términos:</w:t>
      </w:r>
    </w:p>
    <w:p w14:paraId="726F05F4" w14:textId="77777777" w:rsidR="00DB3EC4" w:rsidRPr="00343F9B" w:rsidRDefault="00DB3EC4">
      <w:pPr>
        <w:spacing w:after="0" w:line="360" w:lineRule="auto"/>
      </w:pPr>
    </w:p>
    <w:p w14:paraId="28446537" w14:textId="77777777" w:rsidR="00DB3EC4" w:rsidRPr="00343F9B" w:rsidRDefault="00CE7591">
      <w:pPr>
        <w:spacing w:after="0" w:line="360" w:lineRule="auto"/>
        <w:ind w:left="567" w:right="709"/>
        <w:rPr>
          <w:b/>
          <w:bCs/>
          <w:sz w:val="20"/>
          <w:szCs w:val="20"/>
        </w:rPr>
      </w:pPr>
      <w:r w:rsidRPr="00343F9B">
        <w:rPr>
          <w:b/>
          <w:bCs/>
          <w:sz w:val="20"/>
          <w:szCs w:val="20"/>
        </w:rPr>
        <w:t>ACTO IMPUGNADO</w:t>
      </w:r>
      <w:r w:rsidRPr="00343F9B">
        <w:rPr>
          <w:b/>
          <w:bCs/>
          <w:sz w:val="20"/>
          <w:szCs w:val="20"/>
        </w:rPr>
        <w:tab/>
      </w:r>
    </w:p>
    <w:p w14:paraId="62EBC752" w14:textId="77777777" w:rsidR="00DB3EC4" w:rsidRPr="00343F9B" w:rsidRDefault="00CE7591">
      <w:pPr>
        <w:spacing w:after="0" w:line="360" w:lineRule="auto"/>
        <w:ind w:left="567" w:right="709"/>
        <w:rPr>
          <w:i/>
          <w:iCs/>
          <w:sz w:val="20"/>
          <w:szCs w:val="20"/>
        </w:rPr>
      </w:pPr>
      <w:r w:rsidRPr="00343F9B">
        <w:rPr>
          <w:i/>
          <w:iCs/>
          <w:sz w:val="20"/>
          <w:szCs w:val="20"/>
        </w:rPr>
        <w:t xml:space="preserve">“Información enviada” </w:t>
      </w:r>
    </w:p>
    <w:p w14:paraId="0A4A748D" w14:textId="77777777" w:rsidR="00DB3EC4" w:rsidRPr="00343F9B" w:rsidRDefault="00DB3EC4">
      <w:pPr>
        <w:spacing w:after="0" w:line="360" w:lineRule="auto"/>
        <w:ind w:left="567" w:right="709"/>
        <w:rPr>
          <w:sz w:val="20"/>
          <w:szCs w:val="20"/>
        </w:rPr>
      </w:pPr>
    </w:p>
    <w:p w14:paraId="6565FDF1" w14:textId="77777777" w:rsidR="00DB3EC4" w:rsidRPr="00343F9B" w:rsidRDefault="00CE7591">
      <w:pPr>
        <w:spacing w:after="0" w:line="360" w:lineRule="auto"/>
        <w:ind w:left="567" w:right="709"/>
        <w:rPr>
          <w:b/>
          <w:bCs/>
          <w:sz w:val="20"/>
          <w:szCs w:val="20"/>
        </w:rPr>
      </w:pPr>
      <w:r w:rsidRPr="00343F9B">
        <w:rPr>
          <w:b/>
          <w:bCs/>
          <w:sz w:val="20"/>
          <w:szCs w:val="20"/>
        </w:rPr>
        <w:t>RAZONES O MOTIVOS DE LA INCONFORMIDAD</w:t>
      </w:r>
      <w:r w:rsidRPr="00343F9B">
        <w:rPr>
          <w:b/>
          <w:bCs/>
          <w:sz w:val="20"/>
          <w:szCs w:val="20"/>
        </w:rPr>
        <w:tab/>
      </w:r>
    </w:p>
    <w:p w14:paraId="14CBF3A6" w14:textId="77777777" w:rsidR="00DB3EC4" w:rsidRPr="00343F9B" w:rsidRDefault="00CE7591">
      <w:pPr>
        <w:tabs>
          <w:tab w:val="left" w:pos="4667"/>
        </w:tabs>
        <w:spacing w:after="0" w:line="360" w:lineRule="auto"/>
        <w:ind w:left="567" w:right="709"/>
        <w:rPr>
          <w:i/>
          <w:iCs/>
          <w:sz w:val="20"/>
          <w:szCs w:val="20"/>
        </w:rPr>
      </w:pPr>
      <w:r w:rsidRPr="00343F9B">
        <w:rPr>
          <w:i/>
          <w:iCs/>
          <w:sz w:val="20"/>
          <w:szCs w:val="20"/>
        </w:rPr>
        <w:t xml:space="preserve">“Envían información distinta a la solicitada y que por ley deben tener” </w:t>
      </w:r>
    </w:p>
    <w:p w14:paraId="6F4EECC3" w14:textId="77777777" w:rsidR="00DB3EC4" w:rsidRPr="00343F9B" w:rsidRDefault="00DB3EC4">
      <w:pPr>
        <w:pBdr>
          <w:top w:val="nil"/>
          <w:left w:val="nil"/>
          <w:bottom w:val="nil"/>
          <w:right w:val="nil"/>
          <w:between w:val="nil"/>
        </w:pBdr>
        <w:spacing w:after="0" w:line="360" w:lineRule="auto"/>
        <w:jc w:val="left"/>
        <w:rPr>
          <w:color w:val="000000"/>
        </w:rPr>
      </w:pPr>
    </w:p>
    <w:p w14:paraId="41DDDD4A" w14:textId="77777777" w:rsidR="00DB3EC4" w:rsidRPr="00343F9B" w:rsidRDefault="00CE7591">
      <w:pPr>
        <w:pStyle w:val="Ttulo2"/>
        <w:spacing w:before="0" w:after="0"/>
      </w:pPr>
      <w:bookmarkStart w:id="13" w:name="_heading=h.vpy3zngeym5z" w:colFirst="0" w:colLast="0"/>
      <w:bookmarkStart w:id="14" w:name="_Toc223619861"/>
      <w:bookmarkEnd w:id="13"/>
      <w:r w:rsidRPr="00343F9B">
        <w:t>V. Trámite del Recurso de Revisión ante este Instituto</w:t>
      </w:r>
      <w:bookmarkEnd w:id="14"/>
    </w:p>
    <w:p w14:paraId="777F41A9" w14:textId="77777777" w:rsidR="00DB3EC4" w:rsidRPr="00343F9B" w:rsidRDefault="00DB3EC4">
      <w:pPr>
        <w:spacing w:after="0" w:line="360" w:lineRule="auto"/>
        <w:rPr>
          <w:b/>
          <w:bCs/>
        </w:rPr>
      </w:pPr>
    </w:p>
    <w:p w14:paraId="6806F22B" w14:textId="77777777" w:rsidR="00DB3EC4" w:rsidRPr="00343F9B" w:rsidRDefault="00CE7591">
      <w:pPr>
        <w:spacing w:after="0" w:line="360" w:lineRule="auto"/>
        <w:rPr>
          <w:color w:val="000000"/>
        </w:rPr>
      </w:pPr>
      <w:r w:rsidRPr="00343F9B">
        <w:rPr>
          <w:b/>
          <w:bCs/>
        </w:rPr>
        <w:lastRenderedPageBreak/>
        <w:t>a) Turno del Medio de Impugnación.</w:t>
      </w:r>
      <w:r w:rsidRPr="00343F9B">
        <w:t xml:space="preserve"> </w:t>
      </w:r>
      <w:r w:rsidRPr="00343F9B">
        <w:rPr>
          <w:color w:val="000000"/>
        </w:rPr>
        <w:t>El veintiuno de enero de dos mil veintiséis, el SAIMEX, asignó el número de expediente</w:t>
      </w:r>
      <w:r w:rsidRPr="00343F9B">
        <w:rPr>
          <w:b/>
          <w:bCs/>
          <w:color w:val="000000"/>
        </w:rPr>
        <w:t xml:space="preserve"> 00876/INFOEM/IP/RR/2026, </w:t>
      </w:r>
      <w:r w:rsidRPr="00343F9B">
        <w:rPr>
          <w:color w:val="000000"/>
        </w:rPr>
        <w:t>al medio de impugnación que nos ocupan, con base en el sistema aprobado por el Pleno de este Órgano Garante y se turnó al Comisionado Ponente Luis Gustavo Parra Noriega, para los efectos del artículo 185, fracción I de la Ley de Transparencia y Acceso a la Información Pública del Estado de México y Municipios.</w:t>
      </w:r>
    </w:p>
    <w:p w14:paraId="6D854C89" w14:textId="77777777" w:rsidR="00DB3EC4" w:rsidRPr="00343F9B" w:rsidRDefault="00DB3EC4">
      <w:pPr>
        <w:spacing w:after="0" w:line="360" w:lineRule="auto"/>
      </w:pPr>
    </w:p>
    <w:p w14:paraId="2DD619B5" w14:textId="77777777" w:rsidR="00DB3EC4" w:rsidRPr="00343F9B" w:rsidRDefault="00CE7591">
      <w:pPr>
        <w:spacing w:after="0" w:line="360" w:lineRule="auto"/>
        <w:rPr>
          <w:color w:val="000000"/>
        </w:rPr>
      </w:pPr>
      <w:r w:rsidRPr="00343F9B">
        <w:rPr>
          <w:b/>
          <w:bCs/>
        </w:rPr>
        <w:t>b) Admisión del Recurso de Revisión.</w:t>
      </w:r>
      <w:r w:rsidRPr="00343F9B">
        <w:t xml:space="preserve"> </w:t>
      </w:r>
      <w:r w:rsidRPr="00343F9B">
        <w:rPr>
          <w:color w:val="000000"/>
        </w:rPr>
        <w:t xml:space="preserve">El </w:t>
      </w:r>
      <w:r w:rsidRPr="00343F9B">
        <w:t>veintiséis de enero de dos mil veintiséis</w:t>
      </w:r>
      <w:r w:rsidRPr="00343F9B">
        <w:rPr>
          <w:color w:val="000000"/>
        </w:rPr>
        <w:t xml:space="preserve">, se notificó vía SAIMEX, el acuerdo mediante el cual se determinó la admisión del Recurso de Revisión interpuesto por la persona Recurrente en contra del Sujeto Obligado, en términos del artículo 185, fracciones I y II de la Ley de Transparencia y Acceso a la Información Pública del Estado de México y Municipios, en el que se les otorgó un plazo de siete días hábiles posteriores a la misma, para que </w:t>
      </w:r>
      <w:r w:rsidRPr="00343F9B">
        <w:t>manifestara</w:t>
      </w:r>
      <w:r w:rsidRPr="00343F9B">
        <w:rPr>
          <w:color w:val="000000"/>
        </w:rPr>
        <w:t xml:space="preserve"> lo que a su derecho conviniera y </w:t>
      </w:r>
      <w:r w:rsidRPr="00343F9B">
        <w:t>formularán</w:t>
      </w:r>
      <w:r w:rsidRPr="00343F9B">
        <w:rPr>
          <w:color w:val="000000"/>
        </w:rPr>
        <w:t xml:space="preserve"> alegatos.</w:t>
      </w:r>
    </w:p>
    <w:p w14:paraId="09A50ADA" w14:textId="77777777" w:rsidR="00DB3EC4" w:rsidRPr="00343F9B" w:rsidRDefault="00DB3EC4">
      <w:pPr>
        <w:spacing w:after="0" w:line="360" w:lineRule="auto"/>
        <w:rPr>
          <w:color w:val="000000"/>
        </w:rPr>
      </w:pPr>
    </w:p>
    <w:p w14:paraId="1B9DF55C" w14:textId="77777777" w:rsidR="00DB3EC4" w:rsidRPr="00343F9B" w:rsidRDefault="00CE7591">
      <w:pPr>
        <w:spacing w:after="0" w:line="360" w:lineRule="auto"/>
        <w:rPr>
          <w:color w:val="000000"/>
        </w:rPr>
      </w:pPr>
      <w:r w:rsidRPr="00343F9B">
        <w:rPr>
          <w:b/>
          <w:bCs/>
        </w:rPr>
        <w:t xml:space="preserve">c) </w:t>
      </w:r>
      <w:r w:rsidRPr="00343F9B">
        <w:rPr>
          <w:b/>
          <w:bCs/>
          <w:color w:val="000000"/>
        </w:rPr>
        <w:t xml:space="preserve">Informe Justificado. </w:t>
      </w:r>
      <w:r w:rsidRPr="00343F9B">
        <w:rPr>
          <w:color w:val="000000"/>
        </w:rPr>
        <w:t>En fecha treinta de enero de dos mil veintiséis, se recibió en este Instituto, a través del Sistema de Acceso a la Información Mexiquense (SAIMEX), el Informe Justificado, por parte del Sujeto Obligado, en los siguientes términos:</w:t>
      </w:r>
    </w:p>
    <w:p w14:paraId="15DA8BB0" w14:textId="77777777" w:rsidR="00DB3EC4" w:rsidRPr="00343F9B" w:rsidRDefault="00DB3EC4">
      <w:pPr>
        <w:spacing w:after="0" w:line="360" w:lineRule="auto"/>
        <w:rPr>
          <w:color w:val="000000"/>
        </w:rPr>
      </w:pPr>
    </w:p>
    <w:p w14:paraId="7C2D9A6D" w14:textId="77777777" w:rsidR="00DB3EC4" w:rsidRPr="00343F9B" w:rsidRDefault="00CE7591">
      <w:pPr>
        <w:numPr>
          <w:ilvl w:val="0"/>
          <w:numId w:val="3"/>
        </w:numPr>
        <w:pBdr>
          <w:top w:val="nil"/>
          <w:left w:val="nil"/>
          <w:bottom w:val="nil"/>
          <w:right w:val="nil"/>
          <w:between w:val="nil"/>
        </w:pBdr>
        <w:spacing w:after="0" w:line="360" w:lineRule="auto"/>
        <w:rPr>
          <w:b/>
          <w:bCs/>
          <w:i/>
          <w:iCs/>
          <w:color w:val="000000"/>
        </w:rPr>
      </w:pPr>
      <w:proofErr w:type="spellStart"/>
      <w:r w:rsidRPr="00343F9B">
        <w:rPr>
          <w:b/>
          <w:bCs/>
          <w:i/>
          <w:iCs/>
          <w:color w:val="000000"/>
        </w:rPr>
        <w:t>Inf</w:t>
      </w:r>
      <w:proofErr w:type="spellEnd"/>
      <w:r w:rsidRPr="00343F9B">
        <w:rPr>
          <w:b/>
          <w:bCs/>
          <w:i/>
          <w:iCs/>
          <w:color w:val="000000"/>
        </w:rPr>
        <w:t xml:space="preserve">. Justificado Sec. </w:t>
      </w:r>
      <w:proofErr w:type="spellStart"/>
      <w:r w:rsidRPr="00343F9B">
        <w:rPr>
          <w:b/>
          <w:bCs/>
          <w:i/>
          <w:iCs/>
          <w:color w:val="000000"/>
        </w:rPr>
        <w:t>Aytto</w:t>
      </w:r>
      <w:proofErr w:type="spellEnd"/>
      <w:r w:rsidRPr="00343F9B">
        <w:rPr>
          <w:b/>
          <w:bCs/>
          <w:i/>
          <w:iCs/>
          <w:color w:val="000000"/>
        </w:rPr>
        <w:t xml:space="preserve"> RR_00876_2025.pdf; </w:t>
      </w:r>
      <w:r w:rsidRPr="00343F9B">
        <w:rPr>
          <w:color w:val="000000"/>
        </w:rPr>
        <w:t>del que se observa un oficio suscrito por la Secretaria del Ayuntamiento, en el que informó lo siguiente:</w:t>
      </w:r>
    </w:p>
    <w:p w14:paraId="7C8A5057" w14:textId="77777777" w:rsidR="00DB3EC4" w:rsidRPr="00343F9B" w:rsidRDefault="00DB3EC4">
      <w:pPr>
        <w:pBdr>
          <w:top w:val="nil"/>
          <w:left w:val="nil"/>
          <w:bottom w:val="nil"/>
          <w:right w:val="nil"/>
          <w:between w:val="nil"/>
        </w:pBdr>
        <w:spacing w:after="0" w:line="360" w:lineRule="auto"/>
        <w:ind w:left="720"/>
        <w:rPr>
          <w:b/>
          <w:bCs/>
          <w:i/>
          <w:iCs/>
          <w:color w:val="000000"/>
        </w:rPr>
      </w:pPr>
    </w:p>
    <w:p w14:paraId="61390679" w14:textId="77777777" w:rsidR="00DB3EC4" w:rsidRPr="00343F9B" w:rsidRDefault="00CE7591">
      <w:pPr>
        <w:pBdr>
          <w:top w:val="nil"/>
          <w:left w:val="nil"/>
          <w:bottom w:val="nil"/>
          <w:right w:val="nil"/>
          <w:between w:val="nil"/>
        </w:pBdr>
        <w:spacing w:after="0" w:line="360" w:lineRule="auto"/>
        <w:ind w:left="567" w:right="709"/>
        <w:rPr>
          <w:i/>
          <w:iCs/>
          <w:sz w:val="20"/>
          <w:szCs w:val="20"/>
        </w:rPr>
      </w:pPr>
      <w:r w:rsidRPr="00343F9B">
        <w:rPr>
          <w:b/>
          <w:bCs/>
          <w:i/>
          <w:iCs/>
          <w:color w:val="000000"/>
          <w:sz w:val="20"/>
          <w:szCs w:val="20"/>
        </w:rPr>
        <w:t>“…</w:t>
      </w:r>
      <w:r w:rsidRPr="00343F9B">
        <w:rPr>
          <w:i/>
          <w:iCs/>
          <w:sz w:val="20"/>
          <w:szCs w:val="20"/>
        </w:rPr>
        <w:t xml:space="preserve">en los archivos de esta Secretaría de Ayuntamiento no se encontró el Reglamento solicitado, sin embargo fue localizado el MANUAL DE OPERACIÓN DEL COMITÉ DE ARRENDAMIENTOS, ADQUISICIONES DE INMUEBLES Y ENAJENACIONES DEL AYUNTAMIENTO DE MELCHOR OCAMPO, ESTADO DE MÉXICO; el cual tiene como objetivo fijar los lineamientos de operación del Comité de Arrendamientos, Adquisiciones de Inmuebles y Enajenaciones, del H. Ayuntamiento de Melchor Ocampo, Estado de México, así como de sus integrantes, a fin de cumplir con las disposiciones que, en materia de adquisiciones, </w:t>
      </w:r>
      <w:r w:rsidRPr="00343F9B">
        <w:rPr>
          <w:i/>
          <w:iCs/>
          <w:sz w:val="20"/>
          <w:szCs w:val="20"/>
        </w:rPr>
        <w:lastRenderedPageBreak/>
        <w:t xml:space="preserve">enajenación y arrendamiento de bienes inmuebles, que establezca la Ley de Contratación Pública del Estado de México y su Reglamento, aprobado en el punto número cinco de la centésima novena sesión ordinaria pública de cabildo resolutiva, de fecha veintiuno de septiembre del año dos mil veinticuatro, el cual se encuentra publicado en la Gaceta Municipal XX de Septiembre del 2024 y en la página oficial del Gobierno Municipal de Melchor Ocampo, Estado de México, en el enlace </w:t>
      </w:r>
      <w:r w:rsidRPr="00343F9B">
        <w:rPr>
          <w:i/>
          <w:iCs/>
          <w:noProof/>
          <w:sz w:val="20"/>
          <w:szCs w:val="20"/>
        </w:rPr>
        <w:drawing>
          <wp:inline distT="0" distB="0" distL="0" distR="0" wp14:anchorId="45FD9381" wp14:editId="2C108AEA">
            <wp:extent cx="3416777" cy="273089"/>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3063" b="10417"/>
                    <a:stretch>
                      <a:fillRect/>
                    </a:stretch>
                  </pic:blipFill>
                  <pic:spPr>
                    <a:xfrm>
                      <a:off x="0" y="0"/>
                      <a:ext cx="3416777" cy="273089"/>
                    </a:xfrm>
                    <a:prstGeom prst="rect">
                      <a:avLst/>
                    </a:prstGeom>
                    <a:ln/>
                  </pic:spPr>
                </pic:pic>
              </a:graphicData>
            </a:graphic>
          </wp:inline>
        </w:drawing>
      </w:r>
      <w:r w:rsidRPr="00343F9B">
        <w:rPr>
          <w:i/>
          <w:iCs/>
          <w:sz w:val="20"/>
          <w:szCs w:val="20"/>
        </w:rPr>
        <w:t>”</w:t>
      </w:r>
    </w:p>
    <w:p w14:paraId="5A10590C" w14:textId="77777777" w:rsidR="004B79A8" w:rsidRPr="00343F9B" w:rsidRDefault="004B79A8">
      <w:pPr>
        <w:pBdr>
          <w:top w:val="nil"/>
          <w:left w:val="nil"/>
          <w:bottom w:val="nil"/>
          <w:right w:val="nil"/>
          <w:between w:val="nil"/>
        </w:pBdr>
        <w:spacing w:after="0" w:line="360" w:lineRule="auto"/>
        <w:ind w:left="567" w:right="709"/>
        <w:rPr>
          <w:b/>
          <w:bCs/>
          <w:i/>
          <w:iCs/>
          <w:color w:val="000000"/>
          <w:sz w:val="20"/>
          <w:szCs w:val="20"/>
        </w:rPr>
      </w:pPr>
    </w:p>
    <w:p w14:paraId="63BA4D4F" w14:textId="77777777" w:rsidR="00DB3EC4" w:rsidRPr="00343F9B" w:rsidRDefault="00CE7591">
      <w:pPr>
        <w:numPr>
          <w:ilvl w:val="0"/>
          <w:numId w:val="3"/>
        </w:numPr>
        <w:pBdr>
          <w:top w:val="nil"/>
          <w:left w:val="nil"/>
          <w:bottom w:val="nil"/>
          <w:right w:val="nil"/>
          <w:between w:val="nil"/>
        </w:pBdr>
        <w:spacing w:after="0" w:line="360" w:lineRule="auto"/>
        <w:rPr>
          <w:b/>
          <w:bCs/>
          <w:i/>
          <w:iCs/>
          <w:color w:val="000000"/>
        </w:rPr>
      </w:pPr>
      <w:r w:rsidRPr="00343F9B">
        <w:rPr>
          <w:b/>
          <w:bCs/>
          <w:i/>
          <w:iCs/>
          <w:color w:val="000000"/>
        </w:rPr>
        <w:t xml:space="preserve">GACETA DE GOBIERNO XX AÑO 3.pdf; </w:t>
      </w:r>
      <w:r w:rsidRPr="00343F9B">
        <w:rPr>
          <w:color w:val="000000"/>
        </w:rPr>
        <w:t xml:space="preserve">en el que se muestra el Manual de Operación del Comité de Arrendamientos, Adquisiciones de Inmuebles y Enajenaciones del Ayuntamiento de Melchor Ocampo, Estado de México, publicado en septiembre de 2024. </w:t>
      </w:r>
    </w:p>
    <w:p w14:paraId="7D34CB7A" w14:textId="77777777" w:rsidR="00DB3EC4" w:rsidRPr="00343F9B" w:rsidRDefault="00DB3EC4">
      <w:pPr>
        <w:pBdr>
          <w:top w:val="nil"/>
          <w:left w:val="nil"/>
          <w:bottom w:val="nil"/>
          <w:right w:val="nil"/>
          <w:between w:val="nil"/>
        </w:pBdr>
        <w:spacing w:after="0" w:line="360" w:lineRule="auto"/>
        <w:ind w:left="720"/>
        <w:rPr>
          <w:b/>
          <w:bCs/>
          <w:i/>
          <w:iCs/>
          <w:color w:val="000000"/>
        </w:rPr>
      </w:pPr>
    </w:p>
    <w:p w14:paraId="6D6F0A38" w14:textId="77777777" w:rsidR="00DB3EC4" w:rsidRPr="00343F9B" w:rsidRDefault="00CE7591">
      <w:pPr>
        <w:numPr>
          <w:ilvl w:val="0"/>
          <w:numId w:val="3"/>
        </w:numPr>
        <w:pBdr>
          <w:top w:val="nil"/>
          <w:left w:val="nil"/>
          <w:bottom w:val="nil"/>
          <w:right w:val="nil"/>
          <w:between w:val="nil"/>
        </w:pBdr>
        <w:spacing w:after="0" w:line="360" w:lineRule="auto"/>
        <w:rPr>
          <w:b/>
          <w:bCs/>
          <w:i/>
          <w:iCs/>
          <w:color w:val="000000"/>
        </w:rPr>
      </w:pPr>
      <w:proofErr w:type="spellStart"/>
      <w:r w:rsidRPr="00343F9B">
        <w:rPr>
          <w:b/>
          <w:bCs/>
          <w:i/>
          <w:iCs/>
          <w:color w:val="000000"/>
        </w:rPr>
        <w:t>Inf</w:t>
      </w:r>
      <w:proofErr w:type="spellEnd"/>
      <w:r w:rsidRPr="00343F9B">
        <w:rPr>
          <w:b/>
          <w:bCs/>
          <w:i/>
          <w:iCs/>
          <w:color w:val="000000"/>
        </w:rPr>
        <w:t xml:space="preserve">. Justificado Obras </w:t>
      </w:r>
      <w:proofErr w:type="spellStart"/>
      <w:r w:rsidRPr="00343F9B">
        <w:rPr>
          <w:b/>
          <w:bCs/>
          <w:i/>
          <w:iCs/>
          <w:color w:val="000000"/>
        </w:rPr>
        <w:t>Púb</w:t>
      </w:r>
      <w:proofErr w:type="spellEnd"/>
      <w:r w:rsidRPr="00343F9B">
        <w:rPr>
          <w:b/>
          <w:bCs/>
          <w:i/>
          <w:iCs/>
          <w:color w:val="000000"/>
        </w:rPr>
        <w:t xml:space="preserve">. RR_00876_2025.pdf; </w:t>
      </w:r>
      <w:r w:rsidRPr="00343F9B">
        <w:rPr>
          <w:color w:val="000000"/>
        </w:rPr>
        <w:t>del que se advierte un oficio suscrito por la Directora de Obras, en el que ratificó la respuesta inicial e informó lo siguiente:</w:t>
      </w:r>
    </w:p>
    <w:p w14:paraId="57E7ECC5" w14:textId="77777777" w:rsidR="00DB3EC4" w:rsidRPr="00343F9B" w:rsidRDefault="00DB3EC4">
      <w:pPr>
        <w:pBdr>
          <w:top w:val="nil"/>
          <w:left w:val="nil"/>
          <w:bottom w:val="nil"/>
          <w:right w:val="nil"/>
          <w:between w:val="nil"/>
        </w:pBdr>
        <w:spacing w:after="0" w:line="360" w:lineRule="auto"/>
        <w:rPr>
          <w:b/>
          <w:bCs/>
          <w:i/>
          <w:iCs/>
          <w:color w:val="000000"/>
        </w:rPr>
      </w:pPr>
    </w:p>
    <w:p w14:paraId="77732717" w14:textId="77777777" w:rsidR="00DB3EC4" w:rsidRPr="00343F9B" w:rsidRDefault="00CE7591">
      <w:pPr>
        <w:pBdr>
          <w:top w:val="nil"/>
          <w:left w:val="nil"/>
          <w:bottom w:val="nil"/>
          <w:right w:val="nil"/>
          <w:between w:val="nil"/>
        </w:pBdr>
        <w:spacing w:after="0" w:line="360" w:lineRule="auto"/>
        <w:ind w:left="567" w:right="709"/>
        <w:rPr>
          <w:i/>
          <w:iCs/>
          <w:sz w:val="20"/>
          <w:szCs w:val="20"/>
        </w:rPr>
      </w:pPr>
      <w:r w:rsidRPr="00343F9B">
        <w:rPr>
          <w:i/>
          <w:iCs/>
          <w:sz w:val="20"/>
          <w:szCs w:val="20"/>
        </w:rPr>
        <w:t>“PRIMERA.- El particular solicitó el Reglamento del Comité de Obras Públicas, bajo el argumento de que dicho documento debe existir conforme a la ley. En atención a la solicitud, este Sujeto Obligado realizó una búsqueda exhaustiva en los archivos físicos y electrónicos a su cargo, determinando que se cuenta con el Manual de Procedimientos del Comité de Obras Públicas, el cual fue debidamente entregado al solicitante como respuesta a su requerimiento.</w:t>
      </w:r>
    </w:p>
    <w:p w14:paraId="17AFA248" w14:textId="77777777" w:rsidR="00DB3EC4" w:rsidRPr="00343F9B" w:rsidRDefault="00CE7591">
      <w:pPr>
        <w:pBdr>
          <w:top w:val="nil"/>
          <w:left w:val="nil"/>
          <w:bottom w:val="nil"/>
          <w:right w:val="nil"/>
          <w:between w:val="nil"/>
        </w:pBdr>
        <w:spacing w:after="0" w:line="360" w:lineRule="auto"/>
        <w:ind w:left="567" w:right="709"/>
        <w:rPr>
          <w:b/>
          <w:bCs/>
          <w:i/>
          <w:iCs/>
          <w:color w:val="000000"/>
          <w:sz w:val="20"/>
          <w:szCs w:val="20"/>
        </w:rPr>
      </w:pPr>
      <w:r w:rsidRPr="00343F9B">
        <w:rPr>
          <w:b/>
          <w:bCs/>
          <w:i/>
          <w:iCs/>
          <w:sz w:val="20"/>
          <w:szCs w:val="20"/>
        </w:rPr>
        <w:t>Si bien el documento entregado no se denomina "Reglamento", lo cierto es que el Manual de Procedimientos del Comité de Obras Públicas constituye el instrumento normativo vigente</w:t>
      </w:r>
      <w:r w:rsidRPr="00343F9B">
        <w:rPr>
          <w:i/>
          <w:iCs/>
          <w:sz w:val="20"/>
          <w:szCs w:val="20"/>
        </w:rPr>
        <w:t xml:space="preserve"> que regula su integración, funcionamiento, atribuciones procedimientos de actuación, cumpliendo así con la finalidad normativa exigida por la legislación aplicable, como lo enmarca el artículo 12.19 fracción III del Libro Décimo segundo del Código Administrativo del Estado de México, así como, el artículo 23 fracción III del Reglamento del Libro décimo Segundo del Código Administrativo del Estado de México.</w:t>
      </w:r>
    </w:p>
    <w:p w14:paraId="47F16079" w14:textId="77777777" w:rsidR="00DB3EC4" w:rsidRPr="00343F9B" w:rsidRDefault="00CE7591">
      <w:pPr>
        <w:pBdr>
          <w:top w:val="nil"/>
          <w:left w:val="nil"/>
          <w:bottom w:val="nil"/>
          <w:right w:val="nil"/>
          <w:between w:val="nil"/>
        </w:pBdr>
        <w:spacing w:after="0" w:line="360" w:lineRule="auto"/>
        <w:ind w:left="567" w:right="709"/>
        <w:rPr>
          <w:i/>
          <w:iCs/>
          <w:sz w:val="20"/>
          <w:szCs w:val="20"/>
        </w:rPr>
      </w:pPr>
      <w:r w:rsidRPr="00343F9B">
        <w:rPr>
          <w:i/>
          <w:iCs/>
          <w:sz w:val="20"/>
          <w:szCs w:val="20"/>
        </w:rPr>
        <w:t xml:space="preserve">La Ley Orgánica Municipal del Estado de México, en particular su artículo 96 Bis, no establece la obligación expresa de que los Comités de Obras Públicas se regulen exclusivamente mediante un </w:t>
      </w:r>
      <w:r w:rsidRPr="00343F9B">
        <w:rPr>
          <w:i/>
          <w:iCs/>
          <w:sz w:val="20"/>
          <w:szCs w:val="20"/>
        </w:rPr>
        <w:lastRenderedPageBreak/>
        <w:t>reglamento formal, sino que faculta a las dependencias municipales a normar su actuación a través de disposiciones administrativas internas, entre las que se encuentran los manuales de procedimientos.</w:t>
      </w:r>
    </w:p>
    <w:p w14:paraId="705BA1E6" w14:textId="77777777" w:rsidR="004B79A8" w:rsidRPr="00343F9B" w:rsidRDefault="004B79A8">
      <w:pPr>
        <w:pBdr>
          <w:top w:val="nil"/>
          <w:left w:val="nil"/>
          <w:bottom w:val="nil"/>
          <w:right w:val="nil"/>
          <w:between w:val="nil"/>
        </w:pBdr>
        <w:spacing w:after="0" w:line="360" w:lineRule="auto"/>
        <w:ind w:left="567" w:right="709"/>
        <w:rPr>
          <w:i/>
          <w:iCs/>
          <w:sz w:val="20"/>
          <w:szCs w:val="20"/>
        </w:rPr>
      </w:pPr>
    </w:p>
    <w:p w14:paraId="120EE444" w14:textId="77777777" w:rsidR="00DB3EC4" w:rsidRPr="00343F9B" w:rsidRDefault="00CE7591">
      <w:pPr>
        <w:pBdr>
          <w:top w:val="nil"/>
          <w:left w:val="nil"/>
          <w:bottom w:val="nil"/>
          <w:right w:val="nil"/>
          <w:between w:val="nil"/>
        </w:pBdr>
        <w:spacing w:after="0" w:line="360" w:lineRule="auto"/>
        <w:ind w:left="567" w:right="709"/>
        <w:rPr>
          <w:b/>
          <w:bCs/>
          <w:i/>
          <w:iCs/>
          <w:color w:val="000000"/>
          <w:sz w:val="20"/>
          <w:szCs w:val="20"/>
        </w:rPr>
      </w:pPr>
      <w:r w:rsidRPr="00343F9B">
        <w:rPr>
          <w:i/>
          <w:iCs/>
          <w:sz w:val="20"/>
          <w:szCs w:val="20"/>
        </w:rPr>
        <w:t xml:space="preserve">En consecuencia, la exigencia legal </w:t>
      </w:r>
      <w:r w:rsidRPr="00343F9B">
        <w:rPr>
          <w:b/>
          <w:bCs/>
          <w:i/>
          <w:iCs/>
          <w:sz w:val="20"/>
          <w:szCs w:val="20"/>
        </w:rPr>
        <w:t>no recae en la denominación del documento, sino en la existencia de normatividad que regule el actuar del Comité</w:t>
      </w:r>
      <w:r w:rsidRPr="00343F9B">
        <w:rPr>
          <w:i/>
          <w:iCs/>
          <w:sz w:val="20"/>
          <w:szCs w:val="20"/>
        </w:rPr>
        <w:t>, circunstancia que se encuentra plenamente satisfecha mediante el Manual de Procedimientos proporcionado.” (Énfasis añadido)</w:t>
      </w:r>
    </w:p>
    <w:p w14:paraId="6057C42A" w14:textId="77777777" w:rsidR="00DB3EC4" w:rsidRPr="00343F9B" w:rsidRDefault="00DB3EC4">
      <w:pPr>
        <w:pBdr>
          <w:top w:val="nil"/>
          <w:left w:val="nil"/>
          <w:bottom w:val="nil"/>
          <w:right w:val="nil"/>
          <w:between w:val="nil"/>
        </w:pBdr>
        <w:spacing w:after="0" w:line="360" w:lineRule="auto"/>
        <w:rPr>
          <w:b/>
          <w:bCs/>
          <w:color w:val="000000"/>
        </w:rPr>
      </w:pPr>
    </w:p>
    <w:p w14:paraId="220D79B1" w14:textId="77777777" w:rsidR="00DB3EC4" w:rsidRPr="00343F9B" w:rsidRDefault="00CE7591">
      <w:pPr>
        <w:spacing w:after="0" w:line="360" w:lineRule="auto"/>
        <w:rPr>
          <w:color w:val="000000"/>
        </w:rPr>
      </w:pPr>
      <w:r w:rsidRPr="00343F9B">
        <w:rPr>
          <w:b/>
          <w:bCs/>
          <w:color w:val="000000"/>
        </w:rPr>
        <w:t xml:space="preserve">d) Vista de Informe Justificado. </w:t>
      </w:r>
      <w:r w:rsidRPr="00343F9B">
        <w:rPr>
          <w:color w:val="000000"/>
        </w:rPr>
        <w:t>El veinticuatro de febrero de dos mil veintiséis, se notificó a través del SAIMEX, el acuerdo mediante el cual se puso a la vista de la parte Recurrente el Informe Justificado, proveído por el cual se le otorgó a este último, un término de tres días hábiles contados a partir del día siguiente a la notificación, para que emitiera las manifestaciones que conforme a sus intereses convenga.</w:t>
      </w:r>
    </w:p>
    <w:p w14:paraId="7A024D7E" w14:textId="77777777" w:rsidR="00DB3EC4" w:rsidRPr="00343F9B" w:rsidRDefault="00DB3EC4">
      <w:pPr>
        <w:widowControl w:val="0"/>
        <w:spacing w:after="0" w:line="360" w:lineRule="auto"/>
        <w:rPr>
          <w:b/>
          <w:bCs/>
        </w:rPr>
      </w:pPr>
    </w:p>
    <w:p w14:paraId="4563E4F1" w14:textId="77777777" w:rsidR="00DB3EC4" w:rsidRPr="00343F9B" w:rsidRDefault="00CE7591">
      <w:pPr>
        <w:spacing w:after="0" w:line="360" w:lineRule="auto"/>
      </w:pPr>
      <w:r w:rsidRPr="00343F9B">
        <w:rPr>
          <w:b/>
          <w:bCs/>
        </w:rPr>
        <w:t xml:space="preserve">e) Manifestaciones de la parte Recurrente. </w:t>
      </w:r>
      <w:r w:rsidRPr="00343F9B">
        <w:t>De las constancias que integran el expediente se advierte que la parte Recurrente no añadió manifestaciones.</w:t>
      </w:r>
    </w:p>
    <w:p w14:paraId="2452C94B" w14:textId="77777777" w:rsidR="00DB3EC4" w:rsidRPr="00343F9B" w:rsidRDefault="00DB3EC4">
      <w:pPr>
        <w:pBdr>
          <w:top w:val="nil"/>
          <w:left w:val="nil"/>
          <w:bottom w:val="nil"/>
          <w:right w:val="nil"/>
          <w:between w:val="nil"/>
        </w:pBdr>
        <w:tabs>
          <w:tab w:val="left" w:pos="426"/>
        </w:tabs>
        <w:spacing w:after="0" w:line="360" w:lineRule="auto"/>
        <w:rPr>
          <w:b/>
          <w:bCs/>
          <w:color w:val="000000"/>
        </w:rPr>
      </w:pPr>
    </w:p>
    <w:p w14:paraId="170110A0" w14:textId="77777777" w:rsidR="00DB3EC4" w:rsidRPr="00343F9B" w:rsidRDefault="00CE7591">
      <w:pPr>
        <w:spacing w:after="0" w:line="360" w:lineRule="auto"/>
      </w:pPr>
      <w:r w:rsidRPr="00343F9B">
        <w:rPr>
          <w:b/>
          <w:bCs/>
        </w:rPr>
        <w:t>f) Cierre de instrucción.</w:t>
      </w:r>
      <w:r w:rsidRPr="00343F9B">
        <w:t xml:space="preserve"> El tres de marzo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en la misma fecha, mediante el SAIMEX.</w:t>
      </w:r>
    </w:p>
    <w:p w14:paraId="1EE77D74" w14:textId="77777777" w:rsidR="00DB3EC4" w:rsidRPr="00343F9B" w:rsidRDefault="00DB3EC4">
      <w:pPr>
        <w:spacing w:after="0" w:line="360" w:lineRule="auto"/>
      </w:pPr>
    </w:p>
    <w:p w14:paraId="31C48EE1" w14:textId="77777777" w:rsidR="00DB3EC4" w:rsidRPr="00343F9B" w:rsidRDefault="00CE7591">
      <w:pPr>
        <w:spacing w:after="0" w:line="360" w:lineRule="auto"/>
      </w:pPr>
      <w:r w:rsidRPr="00343F9B">
        <w:t xml:space="preserve">En razón de que fue debidamente sustanciado e integrado el expediente electrónico y no existir diligencia pendiente de desahogo, se emite la resolución que conforme a Derecho proceda, de acuerdo a los siguientes: </w:t>
      </w:r>
    </w:p>
    <w:p w14:paraId="5CAA0901" w14:textId="77777777" w:rsidR="00DB3EC4" w:rsidRPr="00343F9B" w:rsidRDefault="00DB3EC4">
      <w:pPr>
        <w:spacing w:after="0" w:line="360" w:lineRule="auto"/>
      </w:pPr>
    </w:p>
    <w:p w14:paraId="02285F35" w14:textId="77777777" w:rsidR="00DB3EC4" w:rsidRPr="00343F9B" w:rsidRDefault="00CE7591">
      <w:pPr>
        <w:pStyle w:val="Ttulo1"/>
        <w:spacing w:before="0" w:after="0"/>
        <w:rPr>
          <w:sz w:val="22"/>
          <w:szCs w:val="22"/>
        </w:rPr>
      </w:pPr>
      <w:bookmarkStart w:id="15" w:name="_heading=h.4werjh3xy2u5" w:colFirst="0" w:colLast="0"/>
      <w:bookmarkStart w:id="16" w:name="_Toc223619862"/>
      <w:bookmarkEnd w:id="15"/>
      <w:r w:rsidRPr="00343F9B">
        <w:rPr>
          <w:sz w:val="22"/>
          <w:szCs w:val="22"/>
        </w:rPr>
        <w:lastRenderedPageBreak/>
        <w:t>C O N S I D E R A N D O S</w:t>
      </w:r>
      <w:bookmarkEnd w:id="16"/>
    </w:p>
    <w:p w14:paraId="61D920AF" w14:textId="77777777" w:rsidR="00DB3EC4" w:rsidRPr="00343F9B" w:rsidRDefault="00DB3EC4">
      <w:pPr>
        <w:spacing w:after="0" w:line="360" w:lineRule="auto"/>
        <w:rPr>
          <w:b/>
          <w:bCs/>
        </w:rPr>
      </w:pPr>
    </w:p>
    <w:p w14:paraId="61C7CEC3" w14:textId="77777777" w:rsidR="00DB3EC4" w:rsidRPr="00343F9B" w:rsidRDefault="00CE7591">
      <w:pPr>
        <w:pStyle w:val="Ttulo2"/>
        <w:spacing w:before="0" w:after="0"/>
      </w:pPr>
      <w:bookmarkStart w:id="17" w:name="_heading=h.c7mc6t70gkx8" w:colFirst="0" w:colLast="0"/>
      <w:bookmarkStart w:id="18" w:name="_Toc223619863"/>
      <w:bookmarkEnd w:id="17"/>
      <w:r w:rsidRPr="00343F9B">
        <w:t>PRIMERO. Competencia</w:t>
      </w:r>
      <w:bookmarkEnd w:id="18"/>
    </w:p>
    <w:p w14:paraId="495402FA" w14:textId="77777777" w:rsidR="00DB3EC4" w:rsidRPr="00343F9B" w:rsidRDefault="00DB3EC4">
      <w:pPr>
        <w:spacing w:after="0" w:line="360" w:lineRule="auto"/>
      </w:pPr>
    </w:p>
    <w:p w14:paraId="37031F7E" w14:textId="77777777" w:rsidR="00DB3EC4" w:rsidRPr="00343F9B" w:rsidRDefault="00CE7591">
      <w:pPr>
        <w:spacing w:after="0" w:line="360" w:lineRule="auto"/>
      </w:pPr>
      <w:r w:rsidRPr="00343F9B">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0DDBE31E" w14:textId="77777777" w:rsidR="00DB3EC4" w:rsidRPr="00343F9B" w:rsidRDefault="00DB3EC4">
      <w:pPr>
        <w:spacing w:after="0" w:line="360" w:lineRule="auto"/>
      </w:pPr>
    </w:p>
    <w:p w14:paraId="47A4AE2B" w14:textId="77777777" w:rsidR="00DB3EC4" w:rsidRPr="00343F9B" w:rsidRDefault="00CE7591">
      <w:pPr>
        <w:pStyle w:val="Ttulo2"/>
        <w:spacing w:before="0" w:after="0"/>
      </w:pPr>
      <w:bookmarkStart w:id="19" w:name="_heading=h.2xh4hl7a1q58" w:colFirst="0" w:colLast="0"/>
      <w:bookmarkStart w:id="20" w:name="_Toc223619864"/>
      <w:bookmarkEnd w:id="19"/>
      <w:r w:rsidRPr="00343F9B">
        <w:t>SEGUNDO. Causales de improcedencia</w:t>
      </w:r>
      <w:bookmarkEnd w:id="20"/>
      <w:r w:rsidRPr="00343F9B">
        <w:t xml:space="preserve"> </w:t>
      </w:r>
    </w:p>
    <w:p w14:paraId="13BA9146" w14:textId="77777777" w:rsidR="00DB3EC4" w:rsidRPr="00343F9B" w:rsidRDefault="00DB3EC4">
      <w:pPr>
        <w:spacing w:after="0" w:line="360" w:lineRule="auto"/>
      </w:pPr>
    </w:p>
    <w:p w14:paraId="7763E240" w14:textId="77777777" w:rsidR="00DB3EC4" w:rsidRPr="00343F9B" w:rsidRDefault="00CE7591">
      <w:pPr>
        <w:spacing w:after="0" w:line="360" w:lineRule="auto"/>
      </w:pPr>
      <w:r w:rsidRPr="00343F9B">
        <w:t xml:space="preserve">De las constancias que forman parte del Recurso de Revisión que se analiza, se advierte que previo al estudio del fondo de la </w:t>
      </w:r>
      <w:proofErr w:type="spellStart"/>
      <w:r w:rsidRPr="00343F9B">
        <w:rPr>
          <w:i/>
          <w:iCs/>
        </w:rPr>
        <w:t>litis</w:t>
      </w:r>
      <w:proofErr w:type="spellEnd"/>
      <w:r w:rsidRPr="00343F9B">
        <w:t>, es necesario estudiar las causales de improcedencia y sobreseimiento que se adviertan, para determinar lo que en Derecho proceda.</w:t>
      </w:r>
    </w:p>
    <w:p w14:paraId="4DEB9774" w14:textId="77777777" w:rsidR="00DB3EC4" w:rsidRPr="00343F9B" w:rsidRDefault="00DB3EC4">
      <w:pPr>
        <w:spacing w:after="0" w:line="360" w:lineRule="auto"/>
      </w:pPr>
    </w:p>
    <w:p w14:paraId="621E0DB0" w14:textId="77777777" w:rsidR="00DB3EC4" w:rsidRPr="00343F9B" w:rsidRDefault="00CE7591">
      <w:pPr>
        <w:spacing w:after="0" w:line="360" w:lineRule="auto"/>
        <w:rPr>
          <w:b/>
          <w:bCs/>
        </w:rPr>
      </w:pPr>
      <w:r w:rsidRPr="00343F9B">
        <w:rPr>
          <w:b/>
          <w:bCs/>
        </w:rPr>
        <w:t>Causales de improcedencia</w:t>
      </w:r>
    </w:p>
    <w:p w14:paraId="35FFFCE5" w14:textId="77777777" w:rsidR="00DB3EC4" w:rsidRPr="00343F9B" w:rsidRDefault="00DB3EC4">
      <w:pPr>
        <w:spacing w:after="0" w:line="360" w:lineRule="auto"/>
      </w:pPr>
    </w:p>
    <w:p w14:paraId="38959C82" w14:textId="77777777" w:rsidR="00DB3EC4" w:rsidRPr="00343F9B" w:rsidRDefault="00CE7591">
      <w:pPr>
        <w:spacing w:after="0" w:line="360" w:lineRule="auto"/>
      </w:pPr>
      <w:r w:rsidRPr="00343F9B">
        <w:t xml:space="preserve">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w:t>
      </w:r>
      <w:r w:rsidRPr="00343F9B">
        <w:lastRenderedPageBreak/>
        <w:t>deberá ser desechado cualquier Recurso de Revisión que actualice alguno de los supuestos establecidos en el artículo 191 de la Ley de Transparencia y Acceso a la Información Pública del Estado de México y Municipios, por ser improcedente.</w:t>
      </w:r>
    </w:p>
    <w:p w14:paraId="5EA1ED5C" w14:textId="77777777" w:rsidR="00DB3EC4" w:rsidRPr="00343F9B" w:rsidRDefault="00DB3EC4">
      <w:pPr>
        <w:spacing w:after="0" w:line="360" w:lineRule="auto"/>
      </w:pPr>
    </w:p>
    <w:p w14:paraId="051BBCDD" w14:textId="77777777" w:rsidR="00DB3EC4" w:rsidRPr="00343F9B" w:rsidRDefault="00CE7591">
      <w:pPr>
        <w:spacing w:after="0" w:line="360" w:lineRule="auto"/>
      </w:pPr>
      <w:r w:rsidRPr="00343F9B">
        <w:t>En el presente caso, </w:t>
      </w:r>
      <w:r w:rsidRPr="00343F9B">
        <w:rPr>
          <w:b/>
          <w:bCs/>
        </w:rPr>
        <w:t>no se actualiza ninguna de las causales de improcedencia</w:t>
      </w:r>
      <w:r w:rsidRPr="00343F9B">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 Además, de que el Medios de Impugnación fue presentado en tiempo.</w:t>
      </w:r>
    </w:p>
    <w:p w14:paraId="142926FB" w14:textId="77777777" w:rsidR="00DB3EC4" w:rsidRPr="00343F9B" w:rsidRDefault="00DB3EC4">
      <w:pPr>
        <w:spacing w:after="0" w:line="360" w:lineRule="auto"/>
      </w:pPr>
    </w:p>
    <w:p w14:paraId="09C9239C" w14:textId="77777777" w:rsidR="00DB3EC4" w:rsidRPr="00343F9B" w:rsidRDefault="00CE7591">
      <w:pPr>
        <w:pStyle w:val="Ttulo2"/>
        <w:spacing w:before="0" w:after="0"/>
        <w:jc w:val="both"/>
      </w:pPr>
      <w:bookmarkStart w:id="21" w:name="_heading=h.939xeeuwrbs1" w:colFirst="0" w:colLast="0"/>
      <w:bookmarkStart w:id="22" w:name="_Toc223619865"/>
      <w:bookmarkEnd w:id="21"/>
      <w:r w:rsidRPr="00343F9B">
        <w:t>TERCERO. Causales de sobreseimiento</w:t>
      </w:r>
      <w:bookmarkEnd w:id="22"/>
    </w:p>
    <w:p w14:paraId="0467C289" w14:textId="77777777" w:rsidR="00DB3EC4" w:rsidRPr="00343F9B" w:rsidRDefault="00DB3EC4">
      <w:pPr>
        <w:spacing w:after="0" w:line="360" w:lineRule="auto"/>
        <w:rPr>
          <w:color w:val="0D0D0D"/>
        </w:rPr>
      </w:pPr>
    </w:p>
    <w:p w14:paraId="1B9EB15A" w14:textId="77777777" w:rsidR="00DB3EC4" w:rsidRPr="00343F9B" w:rsidRDefault="00CE7591">
      <w:pPr>
        <w:spacing w:after="0" w:line="360" w:lineRule="auto"/>
        <w:rPr>
          <w:color w:val="0D0D0D"/>
        </w:rPr>
      </w:pPr>
      <w:r w:rsidRPr="00343F9B">
        <w:rPr>
          <w:color w:val="0D0D0D"/>
        </w:rPr>
        <w:t>Por ser de previo y especial pronunciamiento, este Instituto analiza si se actualiza alguna causal de sobreseimiento.</w:t>
      </w:r>
    </w:p>
    <w:p w14:paraId="32068A49" w14:textId="77777777" w:rsidR="00DB3EC4" w:rsidRPr="00343F9B" w:rsidRDefault="00DB3EC4">
      <w:pPr>
        <w:spacing w:after="0" w:line="360" w:lineRule="auto"/>
        <w:rPr>
          <w:color w:val="0D0D0D"/>
        </w:rPr>
      </w:pPr>
    </w:p>
    <w:p w14:paraId="3FF3DC06" w14:textId="77777777" w:rsidR="00DB3EC4" w:rsidRPr="00343F9B" w:rsidRDefault="00CE7591">
      <w:pPr>
        <w:spacing w:after="0" w:line="360" w:lineRule="auto"/>
        <w:rPr>
          <w:color w:val="0D0D0D"/>
        </w:rPr>
      </w:pPr>
      <w:r w:rsidRPr="00343F9B">
        <w:rPr>
          <w:color w:val="0D0D0D"/>
        </w:rPr>
        <w:t xml:space="preserve">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actualizan los supuestos de sobreseimiento previstos en las fracciones I, II, IV, V del artículo en comento, lo anterior, en virtud de que no hay constancias en el expediente en que se actúa, de que el Recurrente se haya desistido del recurso, haya fallecido, sobreviene alguna causal de improcedencia, o bien, por cualquier motivo quede sin materia el Recurso de Revisión. </w:t>
      </w:r>
    </w:p>
    <w:p w14:paraId="094CB34A" w14:textId="77777777" w:rsidR="00DB3EC4" w:rsidRPr="00343F9B" w:rsidRDefault="00DB3EC4">
      <w:pPr>
        <w:spacing w:after="0" w:line="360" w:lineRule="auto"/>
        <w:rPr>
          <w:color w:val="0D0D0D"/>
        </w:rPr>
      </w:pPr>
    </w:p>
    <w:p w14:paraId="5E86E0F1" w14:textId="77777777" w:rsidR="00DB3EC4" w:rsidRPr="00343F9B" w:rsidRDefault="00CE7591">
      <w:pPr>
        <w:spacing w:after="0" w:line="360" w:lineRule="auto"/>
        <w:rPr>
          <w:color w:val="0D0D0D"/>
        </w:rPr>
      </w:pPr>
      <w:r w:rsidRPr="00343F9B">
        <w:rPr>
          <w:color w:val="0D0D0D"/>
        </w:rPr>
        <w:t>Ahora bien, por lo que hace a la fracción III, del artículo 192, de la Ley de la materia, que tiene lugar cuando el Sujeto Obligado haya modificado o revocado su respuesta y el Recurso de Revisión quede sin materia, este Organismo Garante advierte elementos suficientes para analizar dicho supuesto.</w:t>
      </w:r>
    </w:p>
    <w:p w14:paraId="77706D31" w14:textId="77777777" w:rsidR="00DB3EC4" w:rsidRPr="00343F9B" w:rsidRDefault="00DB3EC4">
      <w:pPr>
        <w:spacing w:after="0" w:line="360" w:lineRule="auto"/>
        <w:rPr>
          <w:color w:val="0D0D0D"/>
        </w:rPr>
      </w:pPr>
    </w:p>
    <w:p w14:paraId="2F19E35E" w14:textId="77777777" w:rsidR="00DB3EC4" w:rsidRPr="00343F9B" w:rsidRDefault="00CE7591">
      <w:pPr>
        <w:spacing w:after="0" w:line="360" w:lineRule="auto"/>
        <w:rPr>
          <w:color w:val="0D0D0D"/>
        </w:rPr>
      </w:pPr>
      <w:r w:rsidRPr="00343F9B">
        <w:rPr>
          <w:color w:val="0D0D0D"/>
        </w:rPr>
        <w:t>En este sentido, en primer término, es pertinente analizar que la parte Recurrente solicitó lo siguiente:</w:t>
      </w:r>
    </w:p>
    <w:p w14:paraId="0F345CA7" w14:textId="77777777" w:rsidR="00DB3EC4" w:rsidRPr="00343F9B" w:rsidRDefault="00DB3EC4">
      <w:pPr>
        <w:spacing w:after="0" w:line="360" w:lineRule="auto"/>
      </w:pPr>
    </w:p>
    <w:p w14:paraId="66D31B6D" w14:textId="77777777" w:rsidR="00DB3EC4" w:rsidRPr="00343F9B" w:rsidRDefault="00CE7591">
      <w:pPr>
        <w:numPr>
          <w:ilvl w:val="0"/>
          <w:numId w:val="4"/>
        </w:numPr>
        <w:pBdr>
          <w:top w:val="nil"/>
          <w:left w:val="nil"/>
          <w:bottom w:val="nil"/>
          <w:right w:val="nil"/>
          <w:between w:val="nil"/>
        </w:pBdr>
        <w:spacing w:after="0" w:line="360" w:lineRule="auto"/>
        <w:rPr>
          <w:color w:val="000000"/>
        </w:rPr>
      </w:pPr>
      <w:r w:rsidRPr="00343F9B">
        <w:rPr>
          <w:color w:val="000000"/>
        </w:rPr>
        <w:t xml:space="preserve">Reglamento del Comité de Obra Pública </w:t>
      </w:r>
    </w:p>
    <w:p w14:paraId="4BD01D9B" w14:textId="77777777" w:rsidR="00DB3EC4" w:rsidRPr="00343F9B" w:rsidRDefault="00CE7591">
      <w:pPr>
        <w:numPr>
          <w:ilvl w:val="0"/>
          <w:numId w:val="4"/>
        </w:numPr>
        <w:pBdr>
          <w:top w:val="nil"/>
          <w:left w:val="nil"/>
          <w:bottom w:val="nil"/>
          <w:right w:val="nil"/>
          <w:between w:val="nil"/>
        </w:pBdr>
        <w:spacing w:after="0" w:line="360" w:lineRule="auto"/>
        <w:rPr>
          <w:color w:val="000000"/>
        </w:rPr>
      </w:pPr>
      <w:r w:rsidRPr="00343F9B">
        <w:rPr>
          <w:color w:val="000000"/>
        </w:rPr>
        <w:t xml:space="preserve">Reglamento del Comité de Adquisiciones y Servicios </w:t>
      </w:r>
    </w:p>
    <w:p w14:paraId="0A0CAA90" w14:textId="77777777" w:rsidR="00DB3EC4" w:rsidRPr="00343F9B" w:rsidRDefault="00CE7591">
      <w:pPr>
        <w:numPr>
          <w:ilvl w:val="0"/>
          <w:numId w:val="4"/>
        </w:numPr>
        <w:pBdr>
          <w:top w:val="nil"/>
          <w:left w:val="nil"/>
          <w:bottom w:val="nil"/>
          <w:right w:val="nil"/>
          <w:between w:val="nil"/>
        </w:pBdr>
        <w:spacing w:after="0" w:line="360" w:lineRule="auto"/>
        <w:rPr>
          <w:color w:val="000000"/>
        </w:rPr>
      </w:pPr>
      <w:r w:rsidRPr="00343F9B">
        <w:rPr>
          <w:color w:val="000000"/>
        </w:rPr>
        <w:t>Reglamento del Comité de Arrendamientos, Adquisiciones de Inmuebles y Enajenaciones</w:t>
      </w:r>
    </w:p>
    <w:p w14:paraId="0170C437" w14:textId="77777777" w:rsidR="004B79A8" w:rsidRPr="00343F9B" w:rsidRDefault="004B79A8" w:rsidP="004B79A8">
      <w:pPr>
        <w:pBdr>
          <w:top w:val="nil"/>
          <w:left w:val="nil"/>
          <w:bottom w:val="nil"/>
          <w:right w:val="nil"/>
          <w:between w:val="nil"/>
        </w:pBdr>
        <w:spacing w:after="0" w:line="360" w:lineRule="auto"/>
        <w:ind w:left="720"/>
        <w:rPr>
          <w:color w:val="000000"/>
        </w:rPr>
      </w:pPr>
    </w:p>
    <w:p w14:paraId="22F81554" w14:textId="77777777" w:rsidR="00DB3EC4" w:rsidRPr="00343F9B" w:rsidRDefault="00CE7591">
      <w:pPr>
        <w:pBdr>
          <w:top w:val="nil"/>
          <w:left w:val="nil"/>
          <w:bottom w:val="nil"/>
          <w:right w:val="nil"/>
          <w:between w:val="nil"/>
        </w:pBdr>
        <w:tabs>
          <w:tab w:val="left" w:pos="4962"/>
        </w:tabs>
        <w:spacing w:after="0" w:line="360" w:lineRule="auto"/>
        <w:rPr>
          <w:color w:val="000000"/>
        </w:rPr>
      </w:pPr>
      <w:r w:rsidRPr="00343F9B">
        <w:rPr>
          <w:color w:val="000000"/>
        </w:rPr>
        <w:t xml:space="preserve">Cabe precisar que, en todos los casos, la parte Solicitante refirió que requiere la información </w:t>
      </w:r>
      <w:r w:rsidRPr="00343F9B">
        <w:rPr>
          <w:i/>
          <w:iCs/>
          <w:color w:val="000000"/>
        </w:rPr>
        <w:t xml:space="preserve">“que ocupan para operar en </w:t>
      </w:r>
      <w:proofErr w:type="spellStart"/>
      <w:r w:rsidRPr="00343F9B">
        <w:rPr>
          <w:i/>
          <w:iCs/>
          <w:color w:val="000000"/>
        </w:rPr>
        <w:t>melchor</w:t>
      </w:r>
      <w:proofErr w:type="spellEnd"/>
      <w:r w:rsidRPr="00343F9B">
        <w:rPr>
          <w:i/>
          <w:iCs/>
          <w:color w:val="000000"/>
        </w:rPr>
        <w:t xml:space="preserve"> </w:t>
      </w:r>
      <w:proofErr w:type="spellStart"/>
      <w:r w:rsidRPr="00343F9B">
        <w:rPr>
          <w:i/>
          <w:iCs/>
          <w:color w:val="000000"/>
        </w:rPr>
        <w:t>ocampo</w:t>
      </w:r>
      <w:proofErr w:type="spellEnd"/>
      <w:r w:rsidRPr="00343F9B">
        <w:rPr>
          <w:i/>
          <w:iCs/>
          <w:color w:val="000000"/>
        </w:rPr>
        <w:t xml:space="preserve">” (Sic.), </w:t>
      </w:r>
      <w:r w:rsidRPr="00343F9B">
        <w:rPr>
          <w:color w:val="000000"/>
        </w:rPr>
        <w:t xml:space="preserve">lo que se traduce en que su pretensión es obtener los documentos vigentes al momento de la solicitud. </w:t>
      </w:r>
    </w:p>
    <w:p w14:paraId="22570824"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7FE011A2" w14:textId="77777777" w:rsidR="00DB3EC4" w:rsidRPr="00343F9B" w:rsidRDefault="00CE7591">
      <w:pPr>
        <w:pBdr>
          <w:top w:val="nil"/>
          <w:left w:val="nil"/>
          <w:bottom w:val="nil"/>
          <w:right w:val="nil"/>
          <w:between w:val="nil"/>
        </w:pBdr>
        <w:tabs>
          <w:tab w:val="left" w:pos="4962"/>
        </w:tabs>
        <w:spacing w:after="0" w:line="360" w:lineRule="auto"/>
        <w:rPr>
          <w:color w:val="000000"/>
        </w:rPr>
      </w:pPr>
      <w:r w:rsidRPr="00343F9B">
        <w:rPr>
          <w:color w:val="000000"/>
        </w:rPr>
        <w:t>Al respecto se debe tener en cuenta lo siguiente:</w:t>
      </w:r>
    </w:p>
    <w:p w14:paraId="52117BC5"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03C62171" w14:textId="77777777" w:rsidR="00DB3EC4" w:rsidRPr="00343F9B" w:rsidRDefault="00CE7591">
      <w:pPr>
        <w:numPr>
          <w:ilvl w:val="0"/>
          <w:numId w:val="5"/>
        </w:numPr>
        <w:pBdr>
          <w:top w:val="nil"/>
          <w:left w:val="nil"/>
          <w:bottom w:val="nil"/>
          <w:right w:val="nil"/>
          <w:between w:val="nil"/>
        </w:pBdr>
        <w:spacing w:after="0" w:line="360" w:lineRule="auto"/>
        <w:rPr>
          <w:b/>
          <w:bCs/>
          <w:color w:val="000000"/>
        </w:rPr>
      </w:pPr>
      <w:r w:rsidRPr="00343F9B">
        <w:rPr>
          <w:b/>
          <w:bCs/>
          <w:color w:val="000000"/>
        </w:rPr>
        <w:t>Comité de Obra Pública</w:t>
      </w:r>
    </w:p>
    <w:p w14:paraId="62FD9C9A" w14:textId="77777777" w:rsidR="00DB3EC4" w:rsidRPr="00343F9B" w:rsidRDefault="00DB3EC4">
      <w:pPr>
        <w:spacing w:after="0" w:line="360" w:lineRule="auto"/>
        <w:rPr>
          <w:b/>
          <w:bCs/>
          <w:color w:val="000000"/>
        </w:rPr>
      </w:pPr>
    </w:p>
    <w:p w14:paraId="366DB4C2" w14:textId="77777777" w:rsidR="00DB3EC4" w:rsidRPr="00343F9B" w:rsidRDefault="00CE7591">
      <w:pPr>
        <w:spacing w:after="0" w:line="360" w:lineRule="auto"/>
        <w:rPr>
          <w:color w:val="000000"/>
        </w:rPr>
      </w:pPr>
      <w:r w:rsidRPr="00343F9B">
        <w:rPr>
          <w:color w:val="000000"/>
        </w:rPr>
        <w:t xml:space="preserve">Al respecto, el Reglamento del Libro Décimo Segundo del Código Administrativo del Estado de </w:t>
      </w:r>
      <w:r w:rsidRPr="00343F9B">
        <w:t>México</w:t>
      </w:r>
      <w:r w:rsidRPr="00343F9B">
        <w:rPr>
          <w:color w:val="000000"/>
        </w:rPr>
        <w:t xml:space="preserve">, prevé en sus artículos 3, fracción VI, 21 y 22  que el Comité Interno de Obra Pública, debe entenderse como la instancia auxiliar de los titulares de las dependencias, entidades y ayuntamientos en los procesos de contratación de obra pública y servicios; además, dicho Comité se integra con el propósito de contribuir a garantizar la transparencia, equidad y eficacia en los proceso de contratación de obra pública y servicios y se establecerán por indicación expresa de los titulares de los ayuntamientos. </w:t>
      </w:r>
    </w:p>
    <w:p w14:paraId="29BC5723" w14:textId="77777777" w:rsidR="00DB3EC4" w:rsidRPr="00343F9B" w:rsidRDefault="00DB3EC4">
      <w:pPr>
        <w:spacing w:after="0" w:line="360" w:lineRule="auto"/>
        <w:rPr>
          <w:color w:val="000000"/>
        </w:rPr>
      </w:pPr>
    </w:p>
    <w:p w14:paraId="39679954" w14:textId="77777777" w:rsidR="00DB3EC4" w:rsidRPr="00343F9B" w:rsidRDefault="00CE7591">
      <w:pPr>
        <w:spacing w:after="0" w:line="360" w:lineRule="auto"/>
        <w:rPr>
          <w:color w:val="000000"/>
        </w:rPr>
      </w:pPr>
      <w:r w:rsidRPr="00343F9B">
        <w:rPr>
          <w:color w:val="000000"/>
        </w:rPr>
        <w:t xml:space="preserve">Cabe precisar que el </w:t>
      </w:r>
      <w:r w:rsidRPr="00343F9B">
        <w:t>artículo</w:t>
      </w:r>
      <w:r w:rsidRPr="00343F9B">
        <w:rPr>
          <w:color w:val="000000"/>
        </w:rPr>
        <w:t xml:space="preserve"> 23 del Reglamento en cita, señala que los Comités Internos de Obra Pública tendrán diversas funciones; tales como revisar los proyectos de programas y presupuestos de obra pública o servicios, así como formular las observaciones y </w:t>
      </w:r>
      <w:r w:rsidRPr="00343F9B">
        <w:rPr>
          <w:color w:val="000000"/>
        </w:rPr>
        <w:lastRenderedPageBreak/>
        <w:t>recomendaciones que correspondan;</w:t>
      </w:r>
      <w:r w:rsidRPr="00343F9B">
        <w:t xml:space="preserve"> </w:t>
      </w:r>
      <w:r w:rsidRPr="00343F9B">
        <w:rPr>
          <w:color w:val="000000"/>
        </w:rPr>
        <w:t xml:space="preserve">dictaminar sobre la procedencia de iniciar procedimientos de invitación restringida o de adjudicación directa; y </w:t>
      </w:r>
      <w:r w:rsidRPr="00343F9B">
        <w:rPr>
          <w:b/>
          <w:bCs/>
          <w:color w:val="000000"/>
        </w:rPr>
        <w:t>elaborar y aprobar</w:t>
      </w:r>
      <w:r w:rsidRPr="00343F9B">
        <w:rPr>
          <w:color w:val="000000"/>
        </w:rPr>
        <w:t xml:space="preserve"> </w:t>
      </w:r>
      <w:r w:rsidRPr="00343F9B">
        <w:rPr>
          <w:b/>
          <w:bCs/>
          <w:color w:val="000000"/>
        </w:rPr>
        <w:t xml:space="preserve">su manual de integración y funcionamiento; </w:t>
      </w:r>
      <w:r w:rsidRPr="00343F9B">
        <w:rPr>
          <w:color w:val="000000"/>
        </w:rPr>
        <w:t xml:space="preserve">cabe destacar que la normatividad prevé un manual y no un reglamento. </w:t>
      </w:r>
    </w:p>
    <w:p w14:paraId="56720D85" w14:textId="77777777" w:rsidR="00DB3EC4" w:rsidRPr="00343F9B" w:rsidRDefault="00DB3EC4">
      <w:pPr>
        <w:spacing w:after="0" w:line="360" w:lineRule="auto"/>
        <w:rPr>
          <w:b/>
          <w:bCs/>
          <w:color w:val="000000"/>
        </w:rPr>
      </w:pPr>
    </w:p>
    <w:p w14:paraId="707D97A2" w14:textId="77777777" w:rsidR="00DB3EC4" w:rsidRPr="00343F9B" w:rsidRDefault="00CE7591">
      <w:pPr>
        <w:spacing w:after="0" w:line="360" w:lineRule="auto"/>
        <w:rPr>
          <w:color w:val="000000"/>
        </w:rPr>
      </w:pPr>
      <w:r w:rsidRPr="00343F9B">
        <w:rPr>
          <w:color w:val="000000"/>
        </w:rPr>
        <w:t>Aunado a lo anterior, el artículo 24 del Reglamento antes mencionado, prevé la integración de los Comités Internos de Obra Pública en el que se señala que cuentan con la siguiente estructura:</w:t>
      </w:r>
    </w:p>
    <w:p w14:paraId="1D2F0668" w14:textId="77777777" w:rsidR="00DB3EC4" w:rsidRPr="00343F9B" w:rsidRDefault="00DB3EC4">
      <w:pPr>
        <w:spacing w:after="0" w:line="360" w:lineRule="auto"/>
        <w:rPr>
          <w:color w:val="000000"/>
        </w:rPr>
      </w:pPr>
    </w:p>
    <w:p w14:paraId="3015947B" w14:textId="77777777" w:rsidR="00DB3EC4" w:rsidRPr="00343F9B" w:rsidRDefault="00CE7591">
      <w:pPr>
        <w:spacing w:after="0" w:line="360" w:lineRule="auto"/>
        <w:ind w:left="567" w:right="709"/>
        <w:rPr>
          <w:i/>
          <w:iCs/>
          <w:color w:val="000000"/>
          <w:sz w:val="20"/>
          <w:szCs w:val="20"/>
        </w:rPr>
      </w:pPr>
      <w:r w:rsidRPr="00343F9B">
        <w:rPr>
          <w:b/>
          <w:bCs/>
          <w:i/>
          <w:iCs/>
          <w:color w:val="000000"/>
          <w:sz w:val="20"/>
          <w:szCs w:val="20"/>
        </w:rPr>
        <w:t>“I. Un presidente:</w:t>
      </w:r>
      <w:r w:rsidRPr="00343F9B">
        <w:rPr>
          <w:i/>
          <w:iCs/>
          <w:color w:val="000000"/>
          <w:sz w:val="20"/>
          <w:szCs w:val="20"/>
        </w:rPr>
        <w:t xml:space="preserve"> El </w:t>
      </w:r>
      <w:r w:rsidRPr="00343F9B">
        <w:rPr>
          <w:i/>
          <w:iCs/>
          <w:sz w:val="20"/>
          <w:szCs w:val="20"/>
        </w:rPr>
        <w:t>titular</w:t>
      </w:r>
      <w:r w:rsidRPr="00343F9B">
        <w:rPr>
          <w:i/>
          <w:iCs/>
          <w:color w:val="000000"/>
          <w:sz w:val="20"/>
          <w:szCs w:val="20"/>
        </w:rPr>
        <w:t xml:space="preserve"> de la dependencia, entidad o el presidente municipal. </w:t>
      </w:r>
    </w:p>
    <w:p w14:paraId="46EDFE36" w14:textId="77777777" w:rsidR="00DB3EC4" w:rsidRPr="00343F9B" w:rsidRDefault="00CE7591">
      <w:pPr>
        <w:spacing w:after="0" w:line="360" w:lineRule="auto"/>
        <w:ind w:left="567" w:right="709"/>
        <w:rPr>
          <w:i/>
          <w:iCs/>
          <w:color w:val="000000"/>
          <w:sz w:val="20"/>
          <w:szCs w:val="20"/>
        </w:rPr>
      </w:pPr>
      <w:r w:rsidRPr="00343F9B">
        <w:rPr>
          <w:b/>
          <w:bCs/>
          <w:i/>
          <w:iCs/>
          <w:color w:val="000000"/>
          <w:sz w:val="20"/>
          <w:szCs w:val="20"/>
        </w:rPr>
        <w:t>II. Un secretario ejecutivo</w:t>
      </w:r>
      <w:r w:rsidRPr="00343F9B">
        <w:rPr>
          <w:i/>
          <w:iCs/>
          <w:color w:val="000000"/>
          <w:sz w:val="20"/>
          <w:szCs w:val="20"/>
        </w:rPr>
        <w:t xml:space="preserve">: El titular del área responsable de la administración de los recursos humanos, materiales y financieros o su equivalente. </w:t>
      </w:r>
    </w:p>
    <w:p w14:paraId="333E3B0E" w14:textId="77777777" w:rsidR="00DB3EC4" w:rsidRPr="00343F9B" w:rsidRDefault="00CE7591">
      <w:pPr>
        <w:spacing w:after="0" w:line="360" w:lineRule="auto"/>
        <w:ind w:left="567" w:right="709"/>
        <w:rPr>
          <w:b/>
          <w:bCs/>
          <w:i/>
          <w:iCs/>
          <w:color w:val="000000"/>
          <w:sz w:val="20"/>
          <w:szCs w:val="20"/>
        </w:rPr>
      </w:pPr>
      <w:r w:rsidRPr="00343F9B">
        <w:rPr>
          <w:b/>
          <w:bCs/>
          <w:i/>
          <w:iCs/>
          <w:color w:val="000000"/>
          <w:sz w:val="20"/>
          <w:szCs w:val="20"/>
        </w:rPr>
        <w:t>III. Un secretario técnico: El designado por el presidente</w:t>
      </w:r>
    </w:p>
    <w:p w14:paraId="756C4EF7" w14:textId="77777777" w:rsidR="00DB3EC4" w:rsidRPr="00343F9B" w:rsidRDefault="00CE7591">
      <w:pPr>
        <w:spacing w:after="0" w:line="360" w:lineRule="auto"/>
        <w:ind w:left="567" w:right="709"/>
        <w:rPr>
          <w:b/>
          <w:bCs/>
          <w:i/>
          <w:iCs/>
          <w:color w:val="000000"/>
          <w:sz w:val="20"/>
          <w:szCs w:val="20"/>
        </w:rPr>
      </w:pPr>
      <w:r w:rsidRPr="00343F9B">
        <w:rPr>
          <w:b/>
          <w:bCs/>
          <w:i/>
          <w:iCs/>
          <w:color w:val="000000"/>
          <w:sz w:val="20"/>
          <w:szCs w:val="20"/>
        </w:rPr>
        <w:t xml:space="preserve">IV. Vocales: </w:t>
      </w:r>
    </w:p>
    <w:p w14:paraId="571E537D" w14:textId="77777777" w:rsidR="00DB3EC4" w:rsidRPr="00343F9B" w:rsidRDefault="00CE7591">
      <w:pPr>
        <w:spacing w:after="0" w:line="360" w:lineRule="auto"/>
        <w:ind w:left="567" w:right="709"/>
        <w:rPr>
          <w:i/>
          <w:iCs/>
          <w:color w:val="000000"/>
          <w:sz w:val="20"/>
          <w:szCs w:val="20"/>
        </w:rPr>
      </w:pPr>
      <w:r w:rsidRPr="00343F9B">
        <w:rPr>
          <w:i/>
          <w:iCs/>
          <w:color w:val="000000"/>
          <w:sz w:val="20"/>
          <w:szCs w:val="20"/>
        </w:rPr>
        <w:t xml:space="preserve">a. El titular del </w:t>
      </w:r>
      <w:r w:rsidRPr="00343F9B">
        <w:rPr>
          <w:b/>
          <w:bCs/>
          <w:i/>
          <w:iCs/>
          <w:color w:val="000000"/>
          <w:sz w:val="20"/>
          <w:szCs w:val="20"/>
        </w:rPr>
        <w:t>área responsable de la programación y presupuesto o su equivalente</w:t>
      </w:r>
      <w:r w:rsidRPr="00343F9B">
        <w:rPr>
          <w:i/>
          <w:iCs/>
          <w:color w:val="000000"/>
          <w:sz w:val="20"/>
          <w:szCs w:val="20"/>
        </w:rPr>
        <w:t xml:space="preserve">. </w:t>
      </w:r>
    </w:p>
    <w:p w14:paraId="4175C2B1" w14:textId="77777777" w:rsidR="00DB3EC4" w:rsidRPr="00343F9B" w:rsidRDefault="00CE7591">
      <w:pPr>
        <w:spacing w:after="0" w:line="360" w:lineRule="auto"/>
        <w:ind w:left="567" w:right="709"/>
        <w:rPr>
          <w:i/>
          <w:iCs/>
          <w:color w:val="000000"/>
          <w:sz w:val="20"/>
          <w:szCs w:val="20"/>
        </w:rPr>
      </w:pPr>
      <w:r w:rsidRPr="00343F9B">
        <w:rPr>
          <w:i/>
          <w:iCs/>
          <w:color w:val="000000"/>
          <w:sz w:val="20"/>
          <w:szCs w:val="20"/>
        </w:rPr>
        <w:t xml:space="preserve">b. Los titulares de </w:t>
      </w:r>
      <w:r w:rsidRPr="00343F9B">
        <w:rPr>
          <w:b/>
          <w:bCs/>
          <w:i/>
          <w:iCs/>
          <w:color w:val="000000"/>
          <w:sz w:val="20"/>
          <w:szCs w:val="20"/>
        </w:rPr>
        <w:t>otras áreas que tengan relación con la obra pública</w:t>
      </w:r>
      <w:r w:rsidRPr="00343F9B">
        <w:rPr>
          <w:i/>
          <w:iCs/>
          <w:color w:val="000000"/>
          <w:sz w:val="20"/>
          <w:szCs w:val="20"/>
        </w:rPr>
        <w:t>.</w:t>
      </w:r>
    </w:p>
    <w:p w14:paraId="5DBAE9CC" w14:textId="77777777" w:rsidR="00DB3EC4" w:rsidRPr="00343F9B" w:rsidRDefault="00CE7591">
      <w:pPr>
        <w:spacing w:after="0" w:line="360" w:lineRule="auto"/>
        <w:ind w:left="567" w:right="709"/>
        <w:rPr>
          <w:i/>
          <w:iCs/>
          <w:color w:val="000000"/>
          <w:sz w:val="20"/>
          <w:szCs w:val="20"/>
        </w:rPr>
      </w:pPr>
      <w:r w:rsidRPr="00343F9B">
        <w:rPr>
          <w:i/>
          <w:iCs/>
          <w:color w:val="000000"/>
          <w:sz w:val="20"/>
          <w:szCs w:val="20"/>
        </w:rPr>
        <w:t>…</w:t>
      </w:r>
    </w:p>
    <w:p w14:paraId="66A82DB8" w14:textId="77777777" w:rsidR="00DB3EC4" w:rsidRPr="00343F9B" w:rsidRDefault="00CE7591">
      <w:pPr>
        <w:spacing w:after="0" w:line="360" w:lineRule="auto"/>
        <w:ind w:left="567" w:right="709"/>
        <w:rPr>
          <w:i/>
          <w:iCs/>
          <w:color w:val="000000"/>
          <w:sz w:val="20"/>
          <w:szCs w:val="20"/>
        </w:rPr>
      </w:pPr>
      <w:r w:rsidRPr="00343F9B">
        <w:rPr>
          <w:b/>
          <w:bCs/>
          <w:i/>
          <w:iCs/>
          <w:color w:val="000000"/>
          <w:sz w:val="20"/>
          <w:szCs w:val="20"/>
        </w:rPr>
        <w:t>V. Un ponente</w:t>
      </w:r>
      <w:r w:rsidRPr="00343F9B">
        <w:rPr>
          <w:i/>
          <w:iCs/>
          <w:color w:val="000000"/>
          <w:sz w:val="20"/>
          <w:szCs w:val="20"/>
        </w:rPr>
        <w:t>, sólo con derecho a voz: El titular del área ejecutora de obra pública.</w:t>
      </w:r>
    </w:p>
    <w:p w14:paraId="5CEEDA49" w14:textId="77777777" w:rsidR="00DB3EC4" w:rsidRPr="00343F9B" w:rsidRDefault="00CE7591">
      <w:pPr>
        <w:spacing w:after="0" w:line="360" w:lineRule="auto"/>
        <w:ind w:left="567" w:right="709"/>
        <w:rPr>
          <w:i/>
          <w:iCs/>
          <w:color w:val="000000"/>
          <w:sz w:val="20"/>
          <w:szCs w:val="20"/>
        </w:rPr>
      </w:pPr>
      <w:r w:rsidRPr="00343F9B">
        <w:rPr>
          <w:b/>
          <w:bCs/>
          <w:i/>
          <w:iCs/>
          <w:color w:val="000000"/>
          <w:sz w:val="20"/>
          <w:szCs w:val="20"/>
        </w:rPr>
        <w:t>VI.</w:t>
      </w:r>
      <w:r w:rsidRPr="00343F9B">
        <w:rPr>
          <w:i/>
          <w:iCs/>
          <w:color w:val="000000"/>
          <w:sz w:val="20"/>
          <w:szCs w:val="20"/>
        </w:rPr>
        <w:t xml:space="preserve"> </w:t>
      </w:r>
      <w:r w:rsidRPr="00343F9B">
        <w:rPr>
          <w:b/>
          <w:bCs/>
          <w:i/>
          <w:iCs/>
          <w:color w:val="000000"/>
          <w:sz w:val="20"/>
          <w:szCs w:val="20"/>
        </w:rPr>
        <w:t>Invitados permanentes</w:t>
      </w:r>
      <w:r w:rsidRPr="00343F9B">
        <w:rPr>
          <w:i/>
          <w:iCs/>
          <w:color w:val="000000"/>
          <w:sz w:val="20"/>
          <w:szCs w:val="20"/>
        </w:rPr>
        <w:t xml:space="preserve">, con derecho a voz: </w:t>
      </w:r>
    </w:p>
    <w:p w14:paraId="523918AE" w14:textId="77777777" w:rsidR="00DB3EC4" w:rsidRPr="00343F9B" w:rsidRDefault="00CE7591">
      <w:pPr>
        <w:spacing w:after="0" w:line="360" w:lineRule="auto"/>
        <w:ind w:left="567" w:right="709"/>
        <w:rPr>
          <w:i/>
          <w:iCs/>
          <w:color w:val="000000"/>
          <w:sz w:val="20"/>
          <w:szCs w:val="20"/>
        </w:rPr>
      </w:pPr>
      <w:r w:rsidRPr="00343F9B">
        <w:rPr>
          <w:i/>
          <w:iCs/>
          <w:color w:val="000000"/>
          <w:sz w:val="20"/>
          <w:szCs w:val="20"/>
        </w:rPr>
        <w:t xml:space="preserve">a. </w:t>
      </w:r>
      <w:r w:rsidRPr="00343F9B">
        <w:rPr>
          <w:b/>
          <w:bCs/>
          <w:i/>
          <w:iCs/>
          <w:color w:val="000000"/>
          <w:sz w:val="20"/>
          <w:szCs w:val="20"/>
        </w:rPr>
        <w:t>El responsable del área jurídica</w:t>
      </w:r>
      <w:r w:rsidRPr="00343F9B">
        <w:rPr>
          <w:i/>
          <w:iCs/>
          <w:color w:val="000000"/>
          <w:sz w:val="20"/>
          <w:szCs w:val="20"/>
        </w:rPr>
        <w:t xml:space="preserve">, a fin de asesorar, orientar y apoyar en lo concerniente al marco jurídico de actuación en materia de obra pública. </w:t>
      </w:r>
    </w:p>
    <w:p w14:paraId="7374B635" w14:textId="77777777" w:rsidR="00DB3EC4" w:rsidRPr="00343F9B" w:rsidRDefault="00CE7591">
      <w:pPr>
        <w:spacing w:after="0" w:line="360" w:lineRule="auto"/>
        <w:ind w:left="567" w:right="709"/>
        <w:rPr>
          <w:i/>
          <w:iCs/>
          <w:color w:val="000000"/>
          <w:sz w:val="20"/>
          <w:szCs w:val="20"/>
        </w:rPr>
      </w:pPr>
      <w:r w:rsidRPr="00343F9B">
        <w:rPr>
          <w:i/>
          <w:iCs/>
          <w:color w:val="000000"/>
          <w:sz w:val="20"/>
          <w:szCs w:val="20"/>
        </w:rPr>
        <w:t xml:space="preserve">b. </w:t>
      </w:r>
      <w:r w:rsidRPr="00343F9B">
        <w:rPr>
          <w:b/>
          <w:bCs/>
          <w:i/>
          <w:iCs/>
          <w:color w:val="000000"/>
          <w:sz w:val="20"/>
          <w:szCs w:val="20"/>
        </w:rPr>
        <w:t>El representante de la Contraloría</w:t>
      </w:r>
      <w:r w:rsidRPr="00343F9B">
        <w:rPr>
          <w:i/>
          <w:iCs/>
          <w:color w:val="000000"/>
          <w:sz w:val="20"/>
          <w:szCs w:val="20"/>
        </w:rPr>
        <w:t>, a fin de asesorar, orientar y apoyar en lo concerniente a la normatividad aplicable en materia de obra pública.</w:t>
      </w:r>
    </w:p>
    <w:p w14:paraId="5F7EF7C7" w14:textId="77777777" w:rsidR="00DB3EC4" w:rsidRPr="00343F9B" w:rsidRDefault="00CE7591">
      <w:pPr>
        <w:spacing w:after="0" w:line="360" w:lineRule="auto"/>
        <w:ind w:left="567" w:right="709"/>
        <w:rPr>
          <w:i/>
          <w:iCs/>
          <w:color w:val="000000"/>
          <w:sz w:val="20"/>
          <w:szCs w:val="20"/>
        </w:rPr>
      </w:pPr>
      <w:r w:rsidRPr="00343F9B">
        <w:rPr>
          <w:b/>
          <w:bCs/>
          <w:i/>
          <w:iCs/>
          <w:color w:val="000000"/>
          <w:sz w:val="20"/>
          <w:szCs w:val="20"/>
        </w:rPr>
        <w:t>VI. Invitados permanentes,</w:t>
      </w:r>
      <w:r w:rsidRPr="00343F9B">
        <w:rPr>
          <w:i/>
          <w:iCs/>
          <w:color w:val="000000"/>
          <w:sz w:val="20"/>
          <w:szCs w:val="20"/>
        </w:rPr>
        <w:t xml:space="preserve"> con derecho a voz: </w:t>
      </w:r>
    </w:p>
    <w:p w14:paraId="24F4761F" w14:textId="77777777" w:rsidR="00DB3EC4" w:rsidRPr="00343F9B" w:rsidRDefault="00CE7591">
      <w:pPr>
        <w:spacing w:after="0" w:line="360" w:lineRule="auto"/>
        <w:ind w:left="567" w:right="709"/>
        <w:rPr>
          <w:i/>
          <w:iCs/>
          <w:color w:val="000000"/>
          <w:sz w:val="20"/>
          <w:szCs w:val="20"/>
        </w:rPr>
      </w:pPr>
      <w:r w:rsidRPr="00343F9B">
        <w:rPr>
          <w:i/>
          <w:iCs/>
          <w:color w:val="000000"/>
          <w:sz w:val="20"/>
          <w:szCs w:val="20"/>
        </w:rPr>
        <w:t xml:space="preserve">a. </w:t>
      </w:r>
      <w:r w:rsidRPr="00343F9B">
        <w:rPr>
          <w:b/>
          <w:bCs/>
          <w:i/>
          <w:iCs/>
          <w:color w:val="000000"/>
          <w:sz w:val="20"/>
          <w:szCs w:val="20"/>
        </w:rPr>
        <w:t>El responsable del área jurídica</w:t>
      </w:r>
      <w:r w:rsidRPr="00343F9B">
        <w:rPr>
          <w:i/>
          <w:iCs/>
          <w:color w:val="000000"/>
          <w:sz w:val="20"/>
          <w:szCs w:val="20"/>
        </w:rPr>
        <w:t xml:space="preserve">, a fin de asesorar, orientar y apoyar en lo concerniente al marco jurídico de actuación en materia de obra pública. </w:t>
      </w:r>
    </w:p>
    <w:p w14:paraId="51643B28" w14:textId="77777777" w:rsidR="00DB3EC4" w:rsidRPr="00343F9B" w:rsidRDefault="00CE7591">
      <w:pPr>
        <w:spacing w:after="0" w:line="360" w:lineRule="auto"/>
        <w:ind w:left="567" w:right="709"/>
        <w:rPr>
          <w:i/>
          <w:iCs/>
          <w:color w:val="000000"/>
          <w:sz w:val="20"/>
          <w:szCs w:val="20"/>
        </w:rPr>
      </w:pPr>
      <w:r w:rsidRPr="00343F9B">
        <w:rPr>
          <w:i/>
          <w:iCs/>
          <w:color w:val="000000"/>
          <w:sz w:val="20"/>
          <w:szCs w:val="20"/>
        </w:rPr>
        <w:t xml:space="preserve">b. </w:t>
      </w:r>
      <w:r w:rsidRPr="00343F9B">
        <w:rPr>
          <w:b/>
          <w:bCs/>
          <w:i/>
          <w:iCs/>
          <w:color w:val="000000"/>
          <w:sz w:val="20"/>
          <w:szCs w:val="20"/>
        </w:rPr>
        <w:t>El representante de la Contraloría</w:t>
      </w:r>
      <w:r w:rsidRPr="00343F9B">
        <w:rPr>
          <w:i/>
          <w:iCs/>
          <w:color w:val="000000"/>
          <w:sz w:val="20"/>
          <w:szCs w:val="20"/>
        </w:rPr>
        <w:t>, a fin de asesorar, orientar y apoyar en lo concerniente a la normatividad aplicable en materia de obra pública.</w:t>
      </w:r>
    </w:p>
    <w:p w14:paraId="0D3E5AB5" w14:textId="77777777" w:rsidR="00DB3EC4" w:rsidRPr="00343F9B" w:rsidRDefault="00CE7591">
      <w:pPr>
        <w:spacing w:after="0" w:line="360" w:lineRule="auto"/>
        <w:ind w:left="567" w:right="709"/>
        <w:rPr>
          <w:i/>
          <w:iCs/>
          <w:color w:val="000000"/>
          <w:sz w:val="20"/>
          <w:szCs w:val="20"/>
        </w:rPr>
      </w:pPr>
      <w:r w:rsidRPr="00343F9B">
        <w:rPr>
          <w:i/>
          <w:iCs/>
          <w:color w:val="000000"/>
          <w:sz w:val="20"/>
          <w:szCs w:val="20"/>
        </w:rPr>
        <w:t>….</w:t>
      </w:r>
    </w:p>
    <w:p w14:paraId="2C2A77D2" w14:textId="77777777" w:rsidR="00DB3EC4" w:rsidRPr="00343F9B" w:rsidRDefault="00CE7591">
      <w:pPr>
        <w:spacing w:after="0" w:line="360" w:lineRule="auto"/>
        <w:ind w:left="567" w:right="709"/>
        <w:rPr>
          <w:i/>
          <w:iCs/>
          <w:color w:val="000000"/>
          <w:sz w:val="20"/>
          <w:szCs w:val="20"/>
        </w:rPr>
      </w:pPr>
      <w:r w:rsidRPr="00343F9B">
        <w:rPr>
          <w:b/>
          <w:bCs/>
          <w:i/>
          <w:iCs/>
          <w:color w:val="000000"/>
          <w:sz w:val="20"/>
          <w:szCs w:val="20"/>
        </w:rPr>
        <w:lastRenderedPageBreak/>
        <w:t>VII. Asesores y especialistas,</w:t>
      </w:r>
      <w:r w:rsidRPr="00343F9B">
        <w:rPr>
          <w:i/>
          <w:iCs/>
          <w:color w:val="000000"/>
          <w:sz w:val="20"/>
          <w:szCs w:val="20"/>
        </w:rPr>
        <w:t xml:space="preserve"> seleccionados por su especialidad técnica, experiencia y solvencia profesional, en razón a las características, magnitud, complejidad de las obras o servicios que se pretendan contratar.</w:t>
      </w:r>
    </w:p>
    <w:p w14:paraId="74437140" w14:textId="77777777" w:rsidR="00DB3EC4" w:rsidRPr="00343F9B" w:rsidRDefault="00CE7591">
      <w:pPr>
        <w:spacing w:after="0" w:line="360" w:lineRule="auto"/>
        <w:ind w:left="567" w:right="709"/>
        <w:rPr>
          <w:i/>
          <w:iCs/>
          <w:color w:val="000000"/>
          <w:sz w:val="20"/>
          <w:szCs w:val="20"/>
        </w:rPr>
      </w:pPr>
      <w:r w:rsidRPr="00343F9B">
        <w:rPr>
          <w:b/>
          <w:bCs/>
          <w:i/>
          <w:iCs/>
          <w:color w:val="000000"/>
          <w:sz w:val="20"/>
          <w:szCs w:val="20"/>
        </w:rPr>
        <w:t>….”</w:t>
      </w:r>
    </w:p>
    <w:p w14:paraId="2D759764" w14:textId="77777777" w:rsidR="004B79A8" w:rsidRPr="00343F9B" w:rsidRDefault="004B79A8">
      <w:pPr>
        <w:spacing w:after="0" w:line="360" w:lineRule="auto"/>
        <w:rPr>
          <w:color w:val="000000"/>
        </w:rPr>
      </w:pPr>
    </w:p>
    <w:p w14:paraId="5A5CACC5" w14:textId="5E2430EB" w:rsidR="00DB3EC4" w:rsidRPr="00343F9B" w:rsidRDefault="00CE7591">
      <w:pPr>
        <w:spacing w:after="0" w:line="360" w:lineRule="auto"/>
        <w:rPr>
          <w:color w:val="000000"/>
        </w:rPr>
      </w:pPr>
      <w:r w:rsidRPr="00343F9B">
        <w:rPr>
          <w:color w:val="000000"/>
        </w:rPr>
        <w:t>Así pues, se aprecia que el Ayuntamiento de Melchor Ocampo, puede tener un Comité Interno de Obra Pública, el cual debe contar con un Manual de Integración y Funcionamiento.</w:t>
      </w:r>
    </w:p>
    <w:p w14:paraId="305CD975" w14:textId="77777777" w:rsidR="00DB3EC4" w:rsidRPr="00343F9B" w:rsidRDefault="00DB3EC4">
      <w:pPr>
        <w:spacing w:after="0" w:line="360" w:lineRule="auto"/>
        <w:rPr>
          <w:color w:val="000000"/>
        </w:rPr>
      </w:pPr>
    </w:p>
    <w:p w14:paraId="750F39D0" w14:textId="77777777" w:rsidR="00DB3EC4" w:rsidRPr="00343F9B" w:rsidRDefault="00CE7591">
      <w:pPr>
        <w:spacing w:after="0" w:line="360" w:lineRule="auto"/>
        <w:rPr>
          <w:color w:val="000000"/>
        </w:rPr>
      </w:pPr>
      <w:r w:rsidRPr="00343F9B">
        <w:rPr>
          <w:color w:val="000000"/>
        </w:rPr>
        <w:t xml:space="preserve">Aunado a lo anterior el Bando Municipal del Sujeto Obligado 2025, que corresponde al vigente al momento de la solicitud, prevé que dentro de su estructura orgánica cuenta con una Dirección de Obras Públicas que tiene a su cargo, entre otras cosas, la de planear, programar, presupuestar, adjudicar, contratar, ejecutar, vigilar, supervisar y recibir las obras públicas, así como al entrega de las mismas una vez terminadas y conducir la política municipal en materia de obras públicas, así como cumplir y hacer cumplir la legislación y normatividad en materia de obra pública, en atención a lo anterior, se advierte que </w:t>
      </w:r>
      <w:r w:rsidRPr="00343F9B">
        <w:rPr>
          <w:b/>
          <w:bCs/>
          <w:color w:val="000000"/>
        </w:rPr>
        <w:t>la Dirección de Obras Públicas puede conocer de la información solicitada.</w:t>
      </w:r>
      <w:r w:rsidRPr="00343F9B">
        <w:rPr>
          <w:color w:val="000000"/>
        </w:rPr>
        <w:t xml:space="preserve"> </w:t>
      </w:r>
    </w:p>
    <w:p w14:paraId="6429D85F" w14:textId="77777777" w:rsidR="00DB3EC4" w:rsidRPr="00343F9B" w:rsidRDefault="00DB3EC4">
      <w:pPr>
        <w:spacing w:after="0" w:line="360" w:lineRule="auto"/>
        <w:rPr>
          <w:b/>
          <w:bCs/>
          <w:color w:val="000000"/>
        </w:rPr>
      </w:pPr>
    </w:p>
    <w:p w14:paraId="345E9F6F" w14:textId="77777777" w:rsidR="00DB3EC4" w:rsidRPr="00343F9B" w:rsidRDefault="00CE7591">
      <w:pPr>
        <w:numPr>
          <w:ilvl w:val="0"/>
          <w:numId w:val="5"/>
        </w:numPr>
        <w:pBdr>
          <w:top w:val="nil"/>
          <w:left w:val="nil"/>
          <w:bottom w:val="nil"/>
          <w:right w:val="nil"/>
          <w:between w:val="nil"/>
        </w:pBdr>
        <w:spacing w:after="0" w:line="360" w:lineRule="auto"/>
        <w:rPr>
          <w:b/>
          <w:bCs/>
          <w:color w:val="000000"/>
        </w:rPr>
      </w:pPr>
      <w:r w:rsidRPr="00343F9B">
        <w:rPr>
          <w:b/>
          <w:bCs/>
          <w:color w:val="000000"/>
        </w:rPr>
        <w:t>Del Comité de Adquisiciones y Servicios y del Comité de Arrendamientos, Adquisiciones de Inmuebles y Enajenaciones</w:t>
      </w:r>
    </w:p>
    <w:p w14:paraId="2D1746E2" w14:textId="77777777" w:rsidR="00DB3EC4" w:rsidRPr="00343F9B" w:rsidRDefault="00DB3EC4">
      <w:pPr>
        <w:pBdr>
          <w:top w:val="nil"/>
          <w:left w:val="nil"/>
          <w:bottom w:val="nil"/>
          <w:right w:val="nil"/>
          <w:between w:val="nil"/>
        </w:pBdr>
        <w:spacing w:after="0" w:line="360" w:lineRule="auto"/>
        <w:ind w:left="720"/>
        <w:rPr>
          <w:b/>
          <w:bCs/>
          <w:color w:val="000000"/>
        </w:rPr>
      </w:pPr>
    </w:p>
    <w:p w14:paraId="7107129B" w14:textId="77777777" w:rsidR="00DB3EC4" w:rsidRPr="00343F9B" w:rsidRDefault="00CE7591">
      <w:pPr>
        <w:pBdr>
          <w:top w:val="nil"/>
          <w:left w:val="nil"/>
          <w:bottom w:val="nil"/>
          <w:right w:val="nil"/>
          <w:between w:val="nil"/>
        </w:pBdr>
        <w:tabs>
          <w:tab w:val="left" w:pos="4962"/>
        </w:tabs>
        <w:spacing w:after="0" w:line="360" w:lineRule="auto"/>
        <w:rPr>
          <w:color w:val="000000"/>
        </w:rPr>
      </w:pPr>
      <w:r w:rsidRPr="00343F9B">
        <w:rPr>
          <w:color w:val="000000"/>
        </w:rPr>
        <w:t xml:space="preserve">Ahora bien, respecto a los Comités señalados, se advierte que el </w:t>
      </w:r>
      <w:r w:rsidRPr="00343F9B">
        <w:t>artículo</w:t>
      </w:r>
      <w:r w:rsidRPr="00343F9B">
        <w:rPr>
          <w:color w:val="000000"/>
        </w:rPr>
        <w:t xml:space="preserve"> 22 de la Ley de Contratación Pública del Estado de </w:t>
      </w:r>
      <w:r w:rsidRPr="00343F9B">
        <w:t>México</w:t>
      </w:r>
      <w:r w:rsidRPr="00343F9B">
        <w:rPr>
          <w:color w:val="000000"/>
        </w:rPr>
        <w:t xml:space="preserve"> y Municipios, establece que los Comités son órganos colegiados con facultades de opinión, que tienen por objeto auxiliar, entre otros, a los ayuntamientos, en la substanciación de los procedimientos de adquisiciones y de servicios, de conformidad con el Reglamento y los manuales de operación y establece la obligación de que en cada Ayuntamiento se constituya un Comité de Adquisiciones y Servicios y que también se </w:t>
      </w:r>
      <w:r w:rsidRPr="00343F9B">
        <w:t>auxiliará</w:t>
      </w:r>
      <w:r w:rsidRPr="00343F9B">
        <w:rPr>
          <w:color w:val="000000"/>
        </w:rPr>
        <w:t xml:space="preserve"> de un Comité de Arrendamientos, Adquisiciones de Inmuebles y Enajenaciones. </w:t>
      </w:r>
    </w:p>
    <w:p w14:paraId="3761C197"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3C4C8C4E" w14:textId="77777777" w:rsidR="00DB3EC4" w:rsidRPr="00343F9B" w:rsidRDefault="00CE7591">
      <w:pPr>
        <w:pBdr>
          <w:top w:val="nil"/>
          <w:left w:val="nil"/>
          <w:bottom w:val="nil"/>
          <w:right w:val="nil"/>
          <w:between w:val="nil"/>
        </w:pBdr>
        <w:tabs>
          <w:tab w:val="left" w:pos="4962"/>
        </w:tabs>
        <w:spacing w:after="0" w:line="360" w:lineRule="auto"/>
        <w:rPr>
          <w:color w:val="000000"/>
        </w:rPr>
      </w:pPr>
      <w:r w:rsidRPr="00343F9B">
        <w:rPr>
          <w:color w:val="000000"/>
        </w:rPr>
        <w:lastRenderedPageBreak/>
        <w:t xml:space="preserve">Por su parte, el </w:t>
      </w:r>
      <w:r w:rsidRPr="00343F9B">
        <w:t>artículo</w:t>
      </w:r>
      <w:r w:rsidRPr="00343F9B">
        <w:rPr>
          <w:color w:val="000000"/>
        </w:rPr>
        <w:t xml:space="preserve"> 23 de la Ley de Contratación en cita, prevé que los </w:t>
      </w:r>
      <w:r w:rsidRPr="00343F9B">
        <w:rPr>
          <w:b/>
          <w:bCs/>
          <w:color w:val="000000"/>
          <w:u w:val="single"/>
        </w:rPr>
        <w:t>Comités de Adquisiciones y Servicios</w:t>
      </w:r>
      <w:r w:rsidRPr="00343F9B">
        <w:rPr>
          <w:color w:val="000000"/>
        </w:rPr>
        <w:t xml:space="preserve"> tienen funciones en materia de dictaminar sobre la procedencia de los casos de excepción al procedimiento de licitación pública; para participar en los procedimientos de licitación, invitación restringida y adjudicación directa, hasta dejarlos en estado de dictar el fallo correspondiente, incluidos los que tengan que desahogarse bajo la modalidad de subasta inversa; emitir los dictámenes de adjudicación y aquellos que establezca el reglamento de dicha Ley.</w:t>
      </w:r>
    </w:p>
    <w:p w14:paraId="5FAF6CFE"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67F53240" w14:textId="77777777" w:rsidR="00DB3EC4" w:rsidRPr="00343F9B" w:rsidRDefault="00CE7591">
      <w:pPr>
        <w:pBdr>
          <w:top w:val="nil"/>
          <w:left w:val="nil"/>
          <w:bottom w:val="nil"/>
          <w:right w:val="nil"/>
          <w:between w:val="nil"/>
        </w:pBdr>
        <w:tabs>
          <w:tab w:val="left" w:pos="4962"/>
        </w:tabs>
        <w:spacing w:after="0" w:line="360" w:lineRule="auto"/>
        <w:rPr>
          <w:b/>
          <w:bCs/>
          <w:color w:val="000000"/>
        </w:rPr>
      </w:pPr>
      <w:r w:rsidRPr="00343F9B">
        <w:rPr>
          <w:color w:val="000000"/>
        </w:rPr>
        <w:t xml:space="preserve">Por su parte, el Reglamento de la Ley de Contratación Pública del Estado de </w:t>
      </w:r>
      <w:r w:rsidRPr="00343F9B">
        <w:t>México</w:t>
      </w:r>
      <w:r w:rsidRPr="00343F9B">
        <w:rPr>
          <w:color w:val="000000"/>
        </w:rPr>
        <w:t xml:space="preserve"> y Municipios prevé en su artículo 45, fracción I que dentro de las funciones con las que cuenta el Comité de Adquisiciones y Servicios se encuentra la de expedir su </w:t>
      </w:r>
      <w:r w:rsidRPr="00343F9B">
        <w:rPr>
          <w:b/>
          <w:bCs/>
          <w:color w:val="000000"/>
        </w:rPr>
        <w:t>manual de operación,</w:t>
      </w:r>
      <w:r w:rsidRPr="00343F9B">
        <w:rPr>
          <w:color w:val="000000"/>
        </w:rPr>
        <w:t xml:space="preserve"> cabe destacar que la normatividad prevé un manual y no un reglamento.</w:t>
      </w:r>
    </w:p>
    <w:p w14:paraId="4495A342" w14:textId="77777777" w:rsidR="00DB3EC4" w:rsidRPr="00343F9B" w:rsidRDefault="00DB3EC4">
      <w:pPr>
        <w:pBdr>
          <w:top w:val="nil"/>
          <w:left w:val="nil"/>
          <w:bottom w:val="nil"/>
          <w:right w:val="nil"/>
          <w:between w:val="nil"/>
        </w:pBdr>
        <w:tabs>
          <w:tab w:val="left" w:pos="4962"/>
        </w:tabs>
        <w:spacing w:after="0" w:line="360" w:lineRule="auto"/>
        <w:rPr>
          <w:b/>
          <w:bCs/>
          <w:color w:val="000000"/>
        </w:rPr>
      </w:pPr>
    </w:p>
    <w:p w14:paraId="3BA4E4EE" w14:textId="77777777" w:rsidR="00DB3EC4" w:rsidRPr="00343F9B" w:rsidRDefault="00CE7591">
      <w:pPr>
        <w:pBdr>
          <w:top w:val="nil"/>
          <w:left w:val="nil"/>
          <w:bottom w:val="nil"/>
          <w:right w:val="nil"/>
          <w:between w:val="nil"/>
        </w:pBdr>
        <w:tabs>
          <w:tab w:val="left" w:pos="4962"/>
        </w:tabs>
        <w:spacing w:after="0" w:line="360" w:lineRule="auto"/>
        <w:rPr>
          <w:color w:val="000000"/>
        </w:rPr>
      </w:pPr>
      <w:r w:rsidRPr="00343F9B">
        <w:rPr>
          <w:color w:val="000000"/>
        </w:rPr>
        <w:t>Aunado a lo anterior, el artículo 44 del mismo Reglamento en cita prevé que el Comité de Adquisiciones y Servicios se integrará en los siguientes términos:</w:t>
      </w:r>
    </w:p>
    <w:p w14:paraId="3FEF6304"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5DB66126" w14:textId="77777777" w:rsidR="00DB3EC4" w:rsidRPr="00343F9B" w:rsidRDefault="00CE7591">
      <w:pPr>
        <w:pBdr>
          <w:top w:val="nil"/>
          <w:left w:val="nil"/>
          <w:bottom w:val="nil"/>
          <w:right w:val="nil"/>
          <w:between w:val="nil"/>
        </w:pBdr>
        <w:tabs>
          <w:tab w:val="left" w:pos="4962"/>
        </w:tabs>
        <w:spacing w:after="0" w:line="360" w:lineRule="auto"/>
        <w:ind w:left="567" w:right="709"/>
        <w:rPr>
          <w:i/>
          <w:iCs/>
          <w:color w:val="000000"/>
          <w:sz w:val="20"/>
          <w:szCs w:val="20"/>
        </w:rPr>
      </w:pPr>
      <w:r w:rsidRPr="00343F9B">
        <w:rPr>
          <w:i/>
          <w:iCs/>
          <w:color w:val="000000"/>
          <w:sz w:val="20"/>
          <w:szCs w:val="20"/>
        </w:rPr>
        <w:t xml:space="preserve">“I. En la Secretaría, por el titular del </w:t>
      </w:r>
      <w:r w:rsidRPr="00343F9B">
        <w:rPr>
          <w:b/>
          <w:bCs/>
          <w:i/>
          <w:iCs/>
          <w:color w:val="000000"/>
          <w:sz w:val="20"/>
          <w:szCs w:val="20"/>
        </w:rPr>
        <w:t>área encargada de operar el sistema de adquisiciones</w:t>
      </w:r>
      <w:r w:rsidRPr="00343F9B">
        <w:rPr>
          <w:i/>
          <w:iCs/>
          <w:color w:val="000000"/>
          <w:sz w:val="20"/>
          <w:szCs w:val="20"/>
        </w:rPr>
        <w:t xml:space="preserve"> de las dependencias del Poder Ejecutivo, y en los organismos auxiliares, tribunales administrativos y municipios, </w:t>
      </w:r>
      <w:r w:rsidRPr="00343F9B">
        <w:rPr>
          <w:b/>
          <w:bCs/>
          <w:i/>
          <w:iCs/>
          <w:color w:val="000000"/>
          <w:sz w:val="20"/>
          <w:szCs w:val="20"/>
        </w:rPr>
        <w:t>por el titular de la unidad administrativa,</w:t>
      </w:r>
      <w:r w:rsidRPr="00343F9B">
        <w:rPr>
          <w:i/>
          <w:iCs/>
          <w:color w:val="000000"/>
          <w:sz w:val="20"/>
          <w:szCs w:val="20"/>
        </w:rPr>
        <w:t xml:space="preserve"> quien fungirá como presidente; </w:t>
      </w:r>
    </w:p>
    <w:p w14:paraId="38B9E0B2" w14:textId="77777777" w:rsidR="00DB3EC4" w:rsidRPr="00343F9B" w:rsidRDefault="00CE7591">
      <w:pPr>
        <w:pBdr>
          <w:top w:val="nil"/>
          <w:left w:val="nil"/>
          <w:bottom w:val="nil"/>
          <w:right w:val="nil"/>
          <w:between w:val="nil"/>
        </w:pBdr>
        <w:tabs>
          <w:tab w:val="left" w:pos="4962"/>
        </w:tabs>
        <w:spacing w:after="0" w:line="360" w:lineRule="auto"/>
        <w:ind w:left="567" w:right="709"/>
        <w:rPr>
          <w:i/>
          <w:iCs/>
          <w:color w:val="000000"/>
          <w:sz w:val="20"/>
          <w:szCs w:val="20"/>
        </w:rPr>
      </w:pPr>
      <w:r w:rsidRPr="00343F9B">
        <w:rPr>
          <w:i/>
          <w:iCs/>
          <w:color w:val="000000"/>
          <w:sz w:val="20"/>
          <w:szCs w:val="20"/>
        </w:rPr>
        <w:t xml:space="preserve">II. Un </w:t>
      </w:r>
      <w:r w:rsidRPr="00343F9B">
        <w:rPr>
          <w:b/>
          <w:bCs/>
          <w:i/>
          <w:iCs/>
          <w:color w:val="000000"/>
          <w:sz w:val="20"/>
          <w:szCs w:val="20"/>
        </w:rPr>
        <w:t>representante del área financiera</w:t>
      </w:r>
      <w:r w:rsidRPr="00343F9B">
        <w:rPr>
          <w:i/>
          <w:iCs/>
          <w:color w:val="000000"/>
          <w:sz w:val="20"/>
          <w:szCs w:val="20"/>
        </w:rPr>
        <w:t xml:space="preserve"> de la Secretaría, entidad, tribunal administrativo o municipio, con función de vocal; </w:t>
      </w:r>
    </w:p>
    <w:p w14:paraId="4DEDEA19" w14:textId="77777777" w:rsidR="00DB3EC4" w:rsidRPr="00343F9B" w:rsidRDefault="00CE7591">
      <w:pPr>
        <w:pBdr>
          <w:top w:val="nil"/>
          <w:left w:val="nil"/>
          <w:bottom w:val="nil"/>
          <w:right w:val="nil"/>
          <w:between w:val="nil"/>
        </w:pBdr>
        <w:tabs>
          <w:tab w:val="left" w:pos="4962"/>
        </w:tabs>
        <w:spacing w:after="0" w:line="360" w:lineRule="auto"/>
        <w:ind w:left="567" w:right="709"/>
        <w:rPr>
          <w:i/>
          <w:iCs/>
          <w:color w:val="000000"/>
          <w:sz w:val="20"/>
          <w:szCs w:val="20"/>
        </w:rPr>
      </w:pPr>
      <w:r w:rsidRPr="00343F9B">
        <w:rPr>
          <w:i/>
          <w:iCs/>
          <w:color w:val="000000"/>
          <w:sz w:val="20"/>
          <w:szCs w:val="20"/>
        </w:rPr>
        <w:t xml:space="preserve">III. Un </w:t>
      </w:r>
      <w:r w:rsidRPr="00343F9B">
        <w:rPr>
          <w:b/>
          <w:bCs/>
          <w:i/>
          <w:iCs/>
          <w:color w:val="000000"/>
          <w:sz w:val="20"/>
          <w:szCs w:val="20"/>
        </w:rPr>
        <w:t>representante de cada dependencia o unidad administrativa interesada</w:t>
      </w:r>
      <w:r w:rsidRPr="00343F9B">
        <w:rPr>
          <w:i/>
          <w:iCs/>
          <w:color w:val="000000"/>
          <w:sz w:val="20"/>
          <w:szCs w:val="20"/>
        </w:rPr>
        <w:t xml:space="preserve"> en la adquisición de los bienes o contratación del servicio, con función de vocal; </w:t>
      </w:r>
    </w:p>
    <w:p w14:paraId="3B3AAE54" w14:textId="77777777" w:rsidR="00DB3EC4" w:rsidRPr="00343F9B" w:rsidRDefault="00CE7591">
      <w:pPr>
        <w:pBdr>
          <w:top w:val="nil"/>
          <w:left w:val="nil"/>
          <w:bottom w:val="nil"/>
          <w:right w:val="nil"/>
          <w:between w:val="nil"/>
        </w:pBdr>
        <w:tabs>
          <w:tab w:val="left" w:pos="4962"/>
        </w:tabs>
        <w:spacing w:after="0" w:line="360" w:lineRule="auto"/>
        <w:ind w:left="567" w:right="709"/>
        <w:rPr>
          <w:i/>
          <w:iCs/>
          <w:color w:val="000000"/>
          <w:sz w:val="20"/>
          <w:szCs w:val="20"/>
        </w:rPr>
      </w:pPr>
      <w:r w:rsidRPr="00343F9B">
        <w:rPr>
          <w:i/>
          <w:iCs/>
          <w:color w:val="000000"/>
          <w:sz w:val="20"/>
          <w:szCs w:val="20"/>
        </w:rPr>
        <w:t xml:space="preserve">IV. </w:t>
      </w:r>
      <w:r w:rsidRPr="00343F9B">
        <w:rPr>
          <w:b/>
          <w:bCs/>
          <w:i/>
          <w:iCs/>
          <w:color w:val="000000"/>
          <w:sz w:val="20"/>
          <w:szCs w:val="20"/>
        </w:rPr>
        <w:t>Un representante de la Consejería Jurídica o del área jurídica</w:t>
      </w:r>
      <w:r w:rsidRPr="00343F9B">
        <w:rPr>
          <w:i/>
          <w:iCs/>
          <w:color w:val="000000"/>
          <w:sz w:val="20"/>
          <w:szCs w:val="20"/>
        </w:rPr>
        <w:t xml:space="preserve"> respectiva o quien lleve a cabo las funciones de esta naturaleza, con función de vocal; </w:t>
      </w:r>
    </w:p>
    <w:p w14:paraId="553E9FE9" w14:textId="77777777" w:rsidR="00DB3EC4" w:rsidRPr="00343F9B" w:rsidRDefault="00CE7591">
      <w:pPr>
        <w:pBdr>
          <w:top w:val="nil"/>
          <w:left w:val="nil"/>
          <w:bottom w:val="nil"/>
          <w:right w:val="nil"/>
          <w:between w:val="nil"/>
        </w:pBdr>
        <w:tabs>
          <w:tab w:val="left" w:pos="4962"/>
        </w:tabs>
        <w:spacing w:after="0" w:line="360" w:lineRule="auto"/>
        <w:ind w:left="567" w:right="709"/>
        <w:rPr>
          <w:i/>
          <w:iCs/>
          <w:color w:val="000000"/>
          <w:sz w:val="20"/>
          <w:szCs w:val="20"/>
        </w:rPr>
      </w:pPr>
      <w:r w:rsidRPr="00343F9B">
        <w:rPr>
          <w:i/>
          <w:iCs/>
          <w:color w:val="000000"/>
          <w:sz w:val="20"/>
          <w:szCs w:val="20"/>
        </w:rPr>
        <w:t xml:space="preserve">V. Un representante del </w:t>
      </w:r>
      <w:r w:rsidRPr="00343F9B">
        <w:rPr>
          <w:b/>
          <w:bCs/>
          <w:i/>
          <w:iCs/>
          <w:color w:val="000000"/>
          <w:sz w:val="20"/>
          <w:szCs w:val="20"/>
        </w:rPr>
        <w:t>Órgano de Control</w:t>
      </w:r>
      <w:r w:rsidRPr="00343F9B">
        <w:rPr>
          <w:i/>
          <w:iCs/>
          <w:color w:val="000000"/>
          <w:sz w:val="20"/>
          <w:szCs w:val="20"/>
        </w:rPr>
        <w:t xml:space="preserve">, con función de vocal; y </w:t>
      </w:r>
    </w:p>
    <w:p w14:paraId="5E898DDA" w14:textId="77777777" w:rsidR="00DB3EC4" w:rsidRPr="00343F9B" w:rsidRDefault="00CE7591">
      <w:pPr>
        <w:pBdr>
          <w:top w:val="nil"/>
          <w:left w:val="nil"/>
          <w:bottom w:val="nil"/>
          <w:right w:val="nil"/>
          <w:between w:val="nil"/>
        </w:pBdr>
        <w:tabs>
          <w:tab w:val="left" w:pos="4962"/>
        </w:tabs>
        <w:spacing w:after="0" w:line="360" w:lineRule="auto"/>
        <w:ind w:left="567" w:right="709"/>
        <w:rPr>
          <w:color w:val="000000"/>
          <w:sz w:val="20"/>
          <w:szCs w:val="20"/>
        </w:rPr>
      </w:pPr>
      <w:r w:rsidRPr="00343F9B">
        <w:rPr>
          <w:i/>
          <w:iCs/>
          <w:color w:val="000000"/>
          <w:sz w:val="20"/>
          <w:szCs w:val="20"/>
        </w:rPr>
        <w:t xml:space="preserve">VI. Un </w:t>
      </w:r>
      <w:r w:rsidRPr="00343F9B">
        <w:rPr>
          <w:b/>
          <w:bCs/>
          <w:i/>
          <w:iCs/>
          <w:color w:val="000000"/>
          <w:sz w:val="20"/>
          <w:szCs w:val="20"/>
        </w:rPr>
        <w:t>secretario ejecutivo</w:t>
      </w:r>
      <w:r w:rsidRPr="00343F9B">
        <w:rPr>
          <w:i/>
          <w:iCs/>
          <w:color w:val="000000"/>
          <w:sz w:val="20"/>
          <w:szCs w:val="20"/>
        </w:rPr>
        <w:t>, que será designado por el presidente</w:t>
      </w:r>
      <w:r w:rsidRPr="00343F9B">
        <w:rPr>
          <w:color w:val="000000"/>
          <w:sz w:val="20"/>
          <w:szCs w:val="20"/>
        </w:rPr>
        <w:t xml:space="preserve">” </w:t>
      </w:r>
      <w:r w:rsidRPr="00343F9B">
        <w:rPr>
          <w:i/>
          <w:iCs/>
          <w:color w:val="000000"/>
          <w:sz w:val="20"/>
          <w:szCs w:val="20"/>
        </w:rPr>
        <w:t>(Énfasis añadido)</w:t>
      </w:r>
    </w:p>
    <w:p w14:paraId="5E13C6B9"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37BBA1F1" w14:textId="77777777" w:rsidR="00DB3EC4" w:rsidRPr="00343F9B" w:rsidRDefault="00CE7591">
      <w:pPr>
        <w:pBdr>
          <w:top w:val="nil"/>
          <w:left w:val="nil"/>
          <w:bottom w:val="nil"/>
          <w:right w:val="nil"/>
          <w:between w:val="nil"/>
        </w:pBdr>
        <w:tabs>
          <w:tab w:val="left" w:pos="4962"/>
        </w:tabs>
        <w:spacing w:after="0" w:line="360" w:lineRule="auto"/>
        <w:rPr>
          <w:color w:val="000000"/>
        </w:rPr>
      </w:pPr>
      <w:r w:rsidRPr="00343F9B">
        <w:rPr>
          <w:color w:val="000000"/>
        </w:rPr>
        <w:lastRenderedPageBreak/>
        <w:t xml:space="preserve">Sumado a lo antes expuesto el artículo 46, fracción II del Reglamento de la Ley de Contratación en mención señala que el Secretario Ejecutivo, tiene entre otras funciones la de asegurarse que el archivo de documentos se integre y se mantenga actualizado. </w:t>
      </w:r>
    </w:p>
    <w:p w14:paraId="34406242"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2506514C" w14:textId="77777777" w:rsidR="00DB3EC4" w:rsidRPr="00343F9B" w:rsidRDefault="00CE7591">
      <w:pPr>
        <w:pBdr>
          <w:top w:val="nil"/>
          <w:left w:val="nil"/>
          <w:bottom w:val="nil"/>
          <w:right w:val="nil"/>
          <w:between w:val="nil"/>
        </w:pBdr>
        <w:tabs>
          <w:tab w:val="left" w:pos="4962"/>
        </w:tabs>
        <w:spacing w:after="0" w:line="360" w:lineRule="auto"/>
        <w:rPr>
          <w:color w:val="000000"/>
        </w:rPr>
      </w:pPr>
      <w:r w:rsidRPr="00343F9B">
        <w:rPr>
          <w:color w:val="000000"/>
        </w:rPr>
        <w:t>Por su parte, el Bando Municipal 2025 del Sujeto Obligado prevé que dentro de la estructura orgánica del Sujeto Obligado se cuenta con la Dirección de Administración proporcionará los recursos materiales y servicios y llevará a cabo los procedimientos de adquisiciones de bienes y servicios y a su vez, cuenta con una</w:t>
      </w:r>
      <w:r w:rsidRPr="00343F9B">
        <w:rPr>
          <w:b/>
          <w:bCs/>
          <w:color w:val="000000"/>
        </w:rPr>
        <w:t xml:space="preserve"> Coordinación de Adquisiciones y Servicios, por tanto, puede conocer de la información solicitada. </w:t>
      </w:r>
    </w:p>
    <w:p w14:paraId="7E69A9D8"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36A5D07C" w14:textId="77777777" w:rsidR="00DB3EC4" w:rsidRPr="00343F9B" w:rsidRDefault="00CE7591">
      <w:pPr>
        <w:pBdr>
          <w:top w:val="nil"/>
          <w:left w:val="nil"/>
          <w:bottom w:val="nil"/>
          <w:right w:val="nil"/>
          <w:between w:val="nil"/>
        </w:pBdr>
        <w:tabs>
          <w:tab w:val="left" w:pos="4962"/>
        </w:tabs>
        <w:spacing w:after="0" w:line="360" w:lineRule="auto"/>
        <w:rPr>
          <w:color w:val="000000"/>
        </w:rPr>
      </w:pPr>
      <w:r w:rsidRPr="00343F9B">
        <w:rPr>
          <w:color w:val="000000"/>
        </w:rPr>
        <w:t xml:space="preserve">Ahora bien, respecto al </w:t>
      </w:r>
      <w:r w:rsidRPr="00343F9B">
        <w:rPr>
          <w:b/>
          <w:bCs/>
          <w:color w:val="000000"/>
          <w:u w:val="single"/>
        </w:rPr>
        <w:t>Comité de Arrendamientos, Adquisiciones de Inmuebles y Enajenaciones</w:t>
      </w:r>
      <w:r w:rsidRPr="00343F9B">
        <w:rPr>
          <w:color w:val="000000"/>
        </w:rPr>
        <w:t xml:space="preserve">; cabe precisar que la Ley de Contratación Pública del Estado de </w:t>
      </w:r>
      <w:r w:rsidRPr="00343F9B">
        <w:t>México</w:t>
      </w:r>
      <w:r w:rsidRPr="00343F9B">
        <w:rPr>
          <w:color w:val="000000"/>
        </w:rPr>
        <w:t xml:space="preserve"> y Municipio, prevé en su </w:t>
      </w:r>
      <w:r w:rsidRPr="00343F9B">
        <w:t>artículo</w:t>
      </w:r>
      <w:r w:rsidRPr="00343F9B">
        <w:rPr>
          <w:color w:val="000000"/>
        </w:rPr>
        <w:t xml:space="preserve"> 24 que dicho Comité tiene funciones para dictaminar sobre la procedencia de los casos de excepción al procedimiento de licitación pública, tratándose de adquisición de inmuebles y arrendamientos; participar en los procedimientos de licitación, invitación restringida y adjudicación directa, hasta dejarlos en estado de dictar el fallo correspondiente, tratándose de adquisición de inmuebles y arrendamientos; emitir los dictámenes de adjudicación, tratándose de adquisiciones de inmuebles y arrendamientos; participar en los procedimientos de subasta pública, hasta dejarlos en estado de dictar el fallo de adjudicación; y la demás que establezca la el Reglamento de la Ley en mención. </w:t>
      </w:r>
    </w:p>
    <w:p w14:paraId="123BF90B"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21CDE63A" w14:textId="77777777" w:rsidR="00DB3EC4" w:rsidRPr="00343F9B" w:rsidRDefault="00CE7591">
      <w:pPr>
        <w:pBdr>
          <w:top w:val="nil"/>
          <w:left w:val="nil"/>
          <w:bottom w:val="nil"/>
          <w:right w:val="nil"/>
          <w:between w:val="nil"/>
        </w:pBdr>
        <w:tabs>
          <w:tab w:val="left" w:pos="4962"/>
        </w:tabs>
        <w:spacing w:after="0" w:line="360" w:lineRule="auto"/>
        <w:rPr>
          <w:color w:val="000000"/>
        </w:rPr>
      </w:pPr>
      <w:r w:rsidRPr="00343F9B">
        <w:rPr>
          <w:color w:val="000000"/>
        </w:rPr>
        <w:t xml:space="preserve">Por su parte, el Reglamento de la Ley de Contratación Pública del Estado de </w:t>
      </w:r>
      <w:r w:rsidRPr="00343F9B">
        <w:t>México</w:t>
      </w:r>
      <w:r w:rsidRPr="00343F9B">
        <w:rPr>
          <w:color w:val="000000"/>
        </w:rPr>
        <w:t xml:space="preserve"> y Municipios, prevé en su artículo 54, fracción I, que el Comité de Arrendamientos, Adquisiciones de Inmuebles y Enajenaciones, entre otras funciones, </w:t>
      </w:r>
      <w:r w:rsidRPr="00343F9B">
        <w:rPr>
          <w:b/>
          <w:bCs/>
          <w:color w:val="000000"/>
        </w:rPr>
        <w:t>la de expedir su manual de operación</w:t>
      </w:r>
      <w:r w:rsidRPr="00343F9B">
        <w:rPr>
          <w:color w:val="000000"/>
        </w:rPr>
        <w:t xml:space="preserve">; destaca que la normatividad prevé manual y no reglamento. </w:t>
      </w:r>
    </w:p>
    <w:p w14:paraId="730600A1"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48531E38" w14:textId="77777777" w:rsidR="00DB3EC4" w:rsidRPr="00343F9B" w:rsidRDefault="00CE7591">
      <w:pPr>
        <w:pBdr>
          <w:top w:val="nil"/>
          <w:left w:val="nil"/>
          <w:bottom w:val="nil"/>
          <w:right w:val="nil"/>
          <w:between w:val="nil"/>
        </w:pBdr>
        <w:tabs>
          <w:tab w:val="left" w:pos="4962"/>
        </w:tabs>
        <w:spacing w:after="0" w:line="360" w:lineRule="auto"/>
        <w:rPr>
          <w:color w:val="000000"/>
        </w:rPr>
      </w:pPr>
      <w:r w:rsidRPr="00343F9B">
        <w:rPr>
          <w:color w:val="000000"/>
        </w:rPr>
        <w:t>Asimismo, dicho Reglamento señala en su artículo 52 que el Comité de Arrendamientos, Adquisiciones de Inmuebles y Enajenaciones, se integra de la siguiente forma:</w:t>
      </w:r>
    </w:p>
    <w:p w14:paraId="37BB1C3E"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20373E75" w14:textId="77777777" w:rsidR="00DB3EC4" w:rsidRPr="00343F9B" w:rsidRDefault="00CE7591">
      <w:pPr>
        <w:pBdr>
          <w:top w:val="nil"/>
          <w:left w:val="nil"/>
          <w:bottom w:val="nil"/>
          <w:right w:val="nil"/>
          <w:between w:val="nil"/>
        </w:pBdr>
        <w:tabs>
          <w:tab w:val="left" w:pos="4962"/>
        </w:tabs>
        <w:spacing w:after="0" w:line="360" w:lineRule="auto"/>
        <w:ind w:left="567" w:right="709"/>
        <w:rPr>
          <w:i/>
          <w:iCs/>
          <w:color w:val="000000"/>
          <w:sz w:val="20"/>
          <w:szCs w:val="20"/>
        </w:rPr>
      </w:pPr>
      <w:r w:rsidRPr="00343F9B">
        <w:rPr>
          <w:i/>
          <w:iCs/>
          <w:color w:val="000000"/>
          <w:sz w:val="20"/>
          <w:szCs w:val="20"/>
        </w:rPr>
        <w:t xml:space="preserve">“I. El titular del área encargada del </w:t>
      </w:r>
      <w:r w:rsidRPr="00343F9B">
        <w:rPr>
          <w:b/>
          <w:bCs/>
          <w:i/>
          <w:iCs/>
          <w:color w:val="000000"/>
          <w:sz w:val="20"/>
          <w:szCs w:val="20"/>
        </w:rPr>
        <w:t xml:space="preserve">control patrimonial </w:t>
      </w:r>
      <w:r w:rsidRPr="00343F9B">
        <w:rPr>
          <w:i/>
          <w:iCs/>
          <w:color w:val="000000"/>
          <w:sz w:val="20"/>
          <w:szCs w:val="20"/>
        </w:rPr>
        <w:t xml:space="preserve">de la Secretaría, en el caso de las organismos auxiliares, tribunales administrativos o municipios, </w:t>
      </w:r>
      <w:r w:rsidRPr="00343F9B">
        <w:rPr>
          <w:b/>
          <w:bCs/>
          <w:i/>
          <w:iCs/>
          <w:color w:val="000000"/>
          <w:sz w:val="20"/>
          <w:szCs w:val="20"/>
        </w:rPr>
        <w:t>el encargado del control patrimonial,</w:t>
      </w:r>
      <w:r w:rsidRPr="00343F9B">
        <w:rPr>
          <w:i/>
          <w:iCs/>
          <w:color w:val="000000"/>
          <w:sz w:val="20"/>
          <w:szCs w:val="20"/>
        </w:rPr>
        <w:t xml:space="preserve"> quien fungirá como presidente;</w:t>
      </w:r>
    </w:p>
    <w:p w14:paraId="0263D05F" w14:textId="77777777" w:rsidR="00DB3EC4" w:rsidRPr="00343F9B" w:rsidRDefault="00CE7591">
      <w:pPr>
        <w:pBdr>
          <w:top w:val="nil"/>
          <w:left w:val="nil"/>
          <w:bottom w:val="nil"/>
          <w:right w:val="nil"/>
          <w:between w:val="nil"/>
        </w:pBdr>
        <w:tabs>
          <w:tab w:val="left" w:pos="4962"/>
        </w:tabs>
        <w:spacing w:after="0" w:line="360" w:lineRule="auto"/>
        <w:ind w:left="567" w:right="709"/>
        <w:rPr>
          <w:i/>
          <w:iCs/>
          <w:color w:val="000000"/>
          <w:sz w:val="20"/>
          <w:szCs w:val="20"/>
        </w:rPr>
      </w:pPr>
      <w:r w:rsidRPr="00343F9B">
        <w:rPr>
          <w:i/>
          <w:iCs/>
          <w:color w:val="000000"/>
          <w:sz w:val="20"/>
          <w:szCs w:val="20"/>
        </w:rPr>
        <w:t xml:space="preserve"> II. Un representante de la </w:t>
      </w:r>
      <w:r w:rsidRPr="00343F9B">
        <w:rPr>
          <w:b/>
          <w:bCs/>
          <w:i/>
          <w:iCs/>
          <w:color w:val="000000"/>
          <w:sz w:val="20"/>
          <w:szCs w:val="20"/>
        </w:rPr>
        <w:t>Consejería Jurídica</w:t>
      </w:r>
      <w:r w:rsidRPr="00343F9B">
        <w:rPr>
          <w:i/>
          <w:iCs/>
          <w:color w:val="000000"/>
          <w:sz w:val="20"/>
          <w:szCs w:val="20"/>
        </w:rPr>
        <w:t xml:space="preserve"> </w:t>
      </w:r>
      <w:r w:rsidRPr="00343F9B">
        <w:rPr>
          <w:b/>
          <w:bCs/>
          <w:i/>
          <w:iCs/>
          <w:color w:val="000000"/>
          <w:sz w:val="20"/>
          <w:szCs w:val="20"/>
        </w:rPr>
        <w:t>o del área jurídica respectiva</w:t>
      </w:r>
      <w:r w:rsidRPr="00343F9B">
        <w:rPr>
          <w:i/>
          <w:iCs/>
          <w:color w:val="000000"/>
          <w:sz w:val="20"/>
          <w:szCs w:val="20"/>
        </w:rPr>
        <w:t xml:space="preserve">, de la entidad, tribunal administrativo o municipio o quién lleve a cabo las funciones de esta naturaleza, con funciones de vocal; </w:t>
      </w:r>
    </w:p>
    <w:p w14:paraId="4A3D7306" w14:textId="77777777" w:rsidR="00DB3EC4" w:rsidRPr="00343F9B" w:rsidRDefault="00CE7591">
      <w:pPr>
        <w:pBdr>
          <w:top w:val="nil"/>
          <w:left w:val="nil"/>
          <w:bottom w:val="nil"/>
          <w:right w:val="nil"/>
          <w:between w:val="nil"/>
        </w:pBdr>
        <w:tabs>
          <w:tab w:val="left" w:pos="4962"/>
        </w:tabs>
        <w:spacing w:after="0" w:line="360" w:lineRule="auto"/>
        <w:ind w:left="567" w:right="709"/>
        <w:rPr>
          <w:i/>
          <w:iCs/>
          <w:color w:val="000000"/>
          <w:sz w:val="20"/>
          <w:szCs w:val="20"/>
        </w:rPr>
      </w:pPr>
      <w:r w:rsidRPr="00343F9B">
        <w:rPr>
          <w:i/>
          <w:iCs/>
          <w:color w:val="000000"/>
          <w:sz w:val="20"/>
          <w:szCs w:val="20"/>
        </w:rPr>
        <w:t xml:space="preserve">III. Un representante del </w:t>
      </w:r>
      <w:r w:rsidRPr="00343F9B">
        <w:rPr>
          <w:b/>
          <w:bCs/>
          <w:i/>
          <w:iCs/>
          <w:color w:val="000000"/>
          <w:sz w:val="20"/>
          <w:szCs w:val="20"/>
        </w:rPr>
        <w:t>área financiera</w:t>
      </w:r>
      <w:r w:rsidRPr="00343F9B">
        <w:rPr>
          <w:i/>
          <w:iCs/>
          <w:color w:val="000000"/>
          <w:sz w:val="20"/>
          <w:szCs w:val="20"/>
        </w:rPr>
        <w:t xml:space="preserve"> de la Secretaría, entidad, tribunal administrativo o municipio con funciones de vocal; </w:t>
      </w:r>
    </w:p>
    <w:p w14:paraId="327294F5" w14:textId="77777777" w:rsidR="00DB3EC4" w:rsidRPr="00343F9B" w:rsidRDefault="00CE7591">
      <w:pPr>
        <w:pBdr>
          <w:top w:val="nil"/>
          <w:left w:val="nil"/>
          <w:bottom w:val="nil"/>
          <w:right w:val="nil"/>
          <w:between w:val="nil"/>
        </w:pBdr>
        <w:tabs>
          <w:tab w:val="left" w:pos="4962"/>
        </w:tabs>
        <w:spacing w:after="0" w:line="360" w:lineRule="auto"/>
        <w:ind w:left="567" w:right="709"/>
        <w:rPr>
          <w:i/>
          <w:iCs/>
          <w:color w:val="000000"/>
          <w:sz w:val="20"/>
          <w:szCs w:val="20"/>
        </w:rPr>
      </w:pPr>
      <w:r w:rsidRPr="00343F9B">
        <w:rPr>
          <w:i/>
          <w:iCs/>
          <w:color w:val="000000"/>
          <w:sz w:val="20"/>
          <w:szCs w:val="20"/>
        </w:rPr>
        <w:t xml:space="preserve">IV. Un representante de la </w:t>
      </w:r>
      <w:r w:rsidRPr="00343F9B">
        <w:rPr>
          <w:b/>
          <w:bCs/>
          <w:i/>
          <w:iCs/>
          <w:color w:val="000000"/>
          <w:sz w:val="20"/>
          <w:szCs w:val="20"/>
        </w:rPr>
        <w:t>Coordinación Administrativa</w:t>
      </w:r>
      <w:r w:rsidRPr="00343F9B">
        <w:rPr>
          <w:i/>
          <w:iCs/>
          <w:color w:val="000000"/>
          <w:sz w:val="20"/>
          <w:szCs w:val="20"/>
        </w:rPr>
        <w:t xml:space="preserve"> o su equivalente de la dependencia, entidad o tribunal administrativo o del área de administración del municipio, interesada en el arrendamiento, adquisición, o enajenación, con funciones de vocal; </w:t>
      </w:r>
    </w:p>
    <w:p w14:paraId="70C95B6F" w14:textId="77777777" w:rsidR="00DB3EC4" w:rsidRPr="00343F9B" w:rsidRDefault="00CE7591">
      <w:pPr>
        <w:pBdr>
          <w:top w:val="nil"/>
          <w:left w:val="nil"/>
          <w:bottom w:val="nil"/>
          <w:right w:val="nil"/>
          <w:between w:val="nil"/>
        </w:pBdr>
        <w:tabs>
          <w:tab w:val="left" w:pos="4962"/>
        </w:tabs>
        <w:spacing w:after="0" w:line="360" w:lineRule="auto"/>
        <w:ind w:left="567" w:right="709"/>
        <w:rPr>
          <w:i/>
          <w:iCs/>
          <w:color w:val="000000"/>
          <w:sz w:val="20"/>
          <w:szCs w:val="20"/>
        </w:rPr>
      </w:pPr>
      <w:r w:rsidRPr="00343F9B">
        <w:rPr>
          <w:i/>
          <w:iCs/>
          <w:color w:val="000000"/>
          <w:sz w:val="20"/>
          <w:szCs w:val="20"/>
        </w:rPr>
        <w:t xml:space="preserve">V. Un representante del </w:t>
      </w:r>
      <w:r w:rsidRPr="00343F9B">
        <w:rPr>
          <w:b/>
          <w:bCs/>
          <w:i/>
          <w:iCs/>
          <w:color w:val="000000"/>
          <w:sz w:val="20"/>
          <w:szCs w:val="20"/>
        </w:rPr>
        <w:t xml:space="preserve">Órgano de Control </w:t>
      </w:r>
      <w:r w:rsidRPr="00343F9B">
        <w:rPr>
          <w:i/>
          <w:iCs/>
          <w:color w:val="000000"/>
          <w:sz w:val="20"/>
          <w:szCs w:val="20"/>
        </w:rPr>
        <w:t xml:space="preserve">de la Secretaría, entidad, tribunal administrativo o municipio, con funciones de vocal; y </w:t>
      </w:r>
    </w:p>
    <w:p w14:paraId="77C5A8C2" w14:textId="77777777" w:rsidR="00DB3EC4" w:rsidRPr="00343F9B" w:rsidRDefault="00CE7591">
      <w:pPr>
        <w:pBdr>
          <w:top w:val="nil"/>
          <w:left w:val="nil"/>
          <w:bottom w:val="nil"/>
          <w:right w:val="nil"/>
          <w:between w:val="nil"/>
        </w:pBdr>
        <w:tabs>
          <w:tab w:val="left" w:pos="4962"/>
        </w:tabs>
        <w:spacing w:after="0" w:line="360" w:lineRule="auto"/>
        <w:ind w:left="567" w:right="709"/>
        <w:rPr>
          <w:i/>
          <w:iCs/>
          <w:color w:val="000000"/>
          <w:sz w:val="20"/>
          <w:szCs w:val="20"/>
        </w:rPr>
      </w:pPr>
      <w:r w:rsidRPr="00343F9B">
        <w:rPr>
          <w:i/>
          <w:iCs/>
          <w:color w:val="000000"/>
          <w:sz w:val="20"/>
          <w:szCs w:val="20"/>
        </w:rPr>
        <w:t xml:space="preserve">VI. </w:t>
      </w:r>
      <w:r w:rsidRPr="00343F9B">
        <w:rPr>
          <w:b/>
          <w:bCs/>
          <w:i/>
          <w:iCs/>
          <w:color w:val="000000"/>
          <w:sz w:val="20"/>
          <w:szCs w:val="20"/>
        </w:rPr>
        <w:t>Un Secretario Ejecutivo</w:t>
      </w:r>
      <w:r w:rsidRPr="00343F9B">
        <w:rPr>
          <w:i/>
          <w:iCs/>
          <w:color w:val="000000"/>
          <w:sz w:val="20"/>
          <w:szCs w:val="20"/>
        </w:rPr>
        <w:t>, quien será designado por el presidente” (Énfasis añadido)</w:t>
      </w:r>
    </w:p>
    <w:p w14:paraId="74E808D8"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04A835BE" w14:textId="77777777" w:rsidR="00DB3EC4" w:rsidRPr="00343F9B" w:rsidRDefault="00CE7591">
      <w:pPr>
        <w:pBdr>
          <w:top w:val="nil"/>
          <w:left w:val="nil"/>
          <w:bottom w:val="nil"/>
          <w:right w:val="nil"/>
          <w:between w:val="nil"/>
        </w:pBdr>
        <w:tabs>
          <w:tab w:val="left" w:pos="4962"/>
        </w:tabs>
        <w:spacing w:after="0" w:line="360" w:lineRule="auto"/>
        <w:rPr>
          <w:color w:val="000000"/>
        </w:rPr>
      </w:pPr>
      <w:r w:rsidRPr="00343F9B">
        <w:rPr>
          <w:color w:val="000000"/>
        </w:rPr>
        <w:t xml:space="preserve">Así pues, se advierte que el Sujeto Obligado, puede contar con un Comité de Arrendamientos, Adquisiciones de Inmuebles y Enajenaciones. En este sentido, el artículo 91 fracciones XI y XI de la Ley Orgánica Municipal del Estado de </w:t>
      </w:r>
      <w:r w:rsidRPr="00343F9B">
        <w:t>México</w:t>
      </w:r>
      <w:r w:rsidRPr="00343F9B">
        <w:rPr>
          <w:color w:val="000000"/>
        </w:rPr>
        <w:t>, prevén que la Secretaría del Ayuntamiento, tiene entre otras atribuciones las de compilar leyes, decretos, reglamentos, entre otros de los diversos sectores de la administración pública municipal; así como realizar la actualización del inventario general de bienes muebles e inmuebles.</w:t>
      </w:r>
    </w:p>
    <w:p w14:paraId="44226375"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764E6A80" w14:textId="77777777" w:rsidR="00DB3EC4" w:rsidRPr="00343F9B" w:rsidRDefault="00CE7591">
      <w:pPr>
        <w:pBdr>
          <w:top w:val="nil"/>
          <w:left w:val="nil"/>
          <w:bottom w:val="nil"/>
          <w:right w:val="nil"/>
          <w:between w:val="nil"/>
        </w:pBdr>
        <w:tabs>
          <w:tab w:val="left" w:pos="4962"/>
        </w:tabs>
        <w:spacing w:after="0" w:line="360" w:lineRule="auto"/>
        <w:rPr>
          <w:b/>
          <w:bCs/>
          <w:color w:val="000000"/>
        </w:rPr>
      </w:pPr>
      <w:r w:rsidRPr="00343F9B">
        <w:rPr>
          <w:color w:val="000000"/>
        </w:rPr>
        <w:t xml:space="preserve">Por su parte, el Bando Municipal 2025 del Sujeto Obligado señala en su artículo 66 que la Secretaria del Ayuntamiento tiene una Jefatura de Patrimonio, por tanto, puede conocer de la información solicitada, dado que es el área encargada del patrimonio y por ello, forma parte del Comité en análisis y cuenta con una </w:t>
      </w:r>
      <w:r w:rsidRPr="00343F9B">
        <w:rPr>
          <w:b/>
          <w:bCs/>
          <w:color w:val="000000"/>
        </w:rPr>
        <w:t xml:space="preserve">Jefatura de Patrimonio que puede tener la información requerida.  </w:t>
      </w:r>
    </w:p>
    <w:p w14:paraId="39589907"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16F36402" w14:textId="77777777" w:rsidR="00DB3EC4" w:rsidRPr="00343F9B" w:rsidRDefault="00CE7591">
      <w:pPr>
        <w:spacing w:after="0" w:line="360" w:lineRule="auto"/>
      </w:pPr>
      <w:r w:rsidRPr="00343F9B">
        <w:rPr>
          <w:color w:val="000000"/>
        </w:rPr>
        <w:lastRenderedPageBreak/>
        <w:t xml:space="preserve">Así, se procede analizar la información proporcionada por el Sujeto Obligado, para lo cual, cabe señalar que este dio respuesta a través de la Dirección de Obras Públicas y Medio ambiente, así como del Coordinador de Adquisiciones y Servicios; por lo que, </w:t>
      </w:r>
      <w:r w:rsidRPr="00343F9B">
        <w:t xml:space="preserve">es oportuno hacer referencia al </w:t>
      </w:r>
      <w:r w:rsidRPr="00343F9B">
        <w:rPr>
          <w:b/>
          <w:bCs/>
        </w:rPr>
        <w:t>procedimiento de búsqueda que deben de seguir los Sujetos Obligados para localizar la información</w:t>
      </w:r>
      <w:r w:rsidRPr="00343F9B">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con el objeto de que dichas áreas realicen una búsqueda exhaustiva y razonable de la información requerido.</w:t>
      </w:r>
    </w:p>
    <w:p w14:paraId="125058A0" w14:textId="77777777" w:rsidR="00DB3EC4" w:rsidRPr="00343F9B" w:rsidRDefault="00DB3EC4">
      <w:pPr>
        <w:spacing w:after="0" w:line="360" w:lineRule="auto"/>
      </w:pPr>
    </w:p>
    <w:p w14:paraId="2F64B8EF" w14:textId="77777777" w:rsidR="00DB3EC4" w:rsidRPr="00343F9B" w:rsidRDefault="00CE7591">
      <w:pPr>
        <w:spacing w:after="0" w:line="360" w:lineRule="auto"/>
        <w:ind w:right="-93"/>
        <w:rPr>
          <w:color w:val="000000"/>
        </w:rPr>
      </w:pPr>
      <w:r w:rsidRPr="00343F9B">
        <w:t xml:space="preserve">Así y de lo plasmado en párrafos anteriores, </w:t>
      </w:r>
      <w:r w:rsidRPr="00343F9B">
        <w:rPr>
          <w:color w:val="000000"/>
        </w:rPr>
        <w:t xml:space="preserve">se advierte que el Sujeto Obligado, en un primer momento cumplió parcialmente con el procedimiento de búsqueda referido, pues no se pronunció en respuesta la Secretaría del Ayuntamiento quién puede conocer del Comité de Arrendamientos, Adquisiciones de Inmuebles y Enajenaciones; sin embargo, es preciso señalar que mediante informe justificado cambió dicha situación y se pronunció la Secretaría del Ayuntamiento y con ello, cumplió totalmente con el procedimiento de búsqueda. </w:t>
      </w:r>
    </w:p>
    <w:p w14:paraId="46177540" w14:textId="77777777" w:rsidR="00DB3EC4" w:rsidRPr="00343F9B" w:rsidRDefault="00DB3EC4">
      <w:pPr>
        <w:spacing w:after="0" w:line="360" w:lineRule="auto"/>
        <w:ind w:right="-93"/>
      </w:pPr>
    </w:p>
    <w:p w14:paraId="0CF9FC95" w14:textId="77777777" w:rsidR="00DB3EC4" w:rsidRPr="00343F9B" w:rsidRDefault="00CE7591">
      <w:pPr>
        <w:pBdr>
          <w:top w:val="nil"/>
          <w:left w:val="nil"/>
          <w:bottom w:val="nil"/>
          <w:right w:val="nil"/>
          <w:between w:val="nil"/>
        </w:pBdr>
        <w:tabs>
          <w:tab w:val="left" w:pos="4962"/>
        </w:tabs>
        <w:spacing w:after="0" w:line="360" w:lineRule="auto"/>
        <w:rPr>
          <w:color w:val="000000"/>
        </w:rPr>
      </w:pPr>
      <w:r w:rsidRPr="00343F9B">
        <w:rPr>
          <w:color w:val="000000"/>
        </w:rPr>
        <w:t xml:space="preserve">En este contexto, es preciso señalar que, </w:t>
      </w:r>
      <w:r w:rsidRPr="00343F9B">
        <w:rPr>
          <w:b/>
          <w:bCs/>
          <w:color w:val="000000"/>
        </w:rPr>
        <w:t>en respuesta</w:t>
      </w:r>
      <w:r w:rsidRPr="00343F9B">
        <w:rPr>
          <w:color w:val="000000"/>
        </w:rPr>
        <w:t>, el Sujeto Obligado remitió los siguientes documentos:</w:t>
      </w:r>
    </w:p>
    <w:p w14:paraId="6D5B9BEB"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6E79849F" w14:textId="77777777" w:rsidR="00DB3EC4" w:rsidRPr="00343F9B" w:rsidRDefault="00CE7591">
      <w:pPr>
        <w:numPr>
          <w:ilvl w:val="0"/>
          <w:numId w:val="1"/>
        </w:numPr>
        <w:pBdr>
          <w:top w:val="nil"/>
          <w:left w:val="nil"/>
          <w:bottom w:val="nil"/>
          <w:right w:val="nil"/>
          <w:between w:val="nil"/>
        </w:pBdr>
        <w:spacing w:after="0" w:line="360" w:lineRule="auto"/>
        <w:rPr>
          <w:color w:val="000000"/>
        </w:rPr>
      </w:pPr>
      <w:r w:rsidRPr="00343F9B">
        <w:rPr>
          <w:b/>
          <w:bCs/>
          <w:color w:val="000000"/>
        </w:rPr>
        <w:t>Respecto al Reglamento del Comité de Obra Pública;</w:t>
      </w:r>
      <w:r w:rsidRPr="00343F9B">
        <w:rPr>
          <w:color w:val="000000"/>
        </w:rPr>
        <w:t xml:space="preserve"> la Directora de Obras Públicas y Medio Ambiente remitió el </w:t>
      </w:r>
      <w:r w:rsidRPr="00343F9B">
        <w:rPr>
          <w:b/>
          <w:bCs/>
          <w:color w:val="000000"/>
        </w:rPr>
        <w:t>Manual de Integración y Funcionamiento del</w:t>
      </w:r>
      <w:r w:rsidRPr="00343F9B">
        <w:rPr>
          <w:color w:val="000000"/>
        </w:rPr>
        <w:t xml:space="preserve"> </w:t>
      </w:r>
      <w:r w:rsidRPr="00343F9B">
        <w:rPr>
          <w:b/>
          <w:bCs/>
          <w:color w:val="000000"/>
        </w:rPr>
        <w:t xml:space="preserve">Comité Interno de Obra Pública </w:t>
      </w:r>
      <w:r w:rsidRPr="00343F9B">
        <w:rPr>
          <w:color w:val="000000"/>
        </w:rPr>
        <w:t>del Municipio de Melchor Ocampo, del Estado de México, aprobado por el Pleno del Comité en fecha 30 de enero de 2025.</w:t>
      </w:r>
    </w:p>
    <w:p w14:paraId="46E1CA83" w14:textId="77777777" w:rsidR="00DB3EC4" w:rsidRPr="00343F9B" w:rsidRDefault="00DB3EC4">
      <w:pPr>
        <w:pBdr>
          <w:top w:val="nil"/>
          <w:left w:val="nil"/>
          <w:bottom w:val="nil"/>
          <w:right w:val="nil"/>
          <w:between w:val="nil"/>
        </w:pBdr>
        <w:spacing w:after="0" w:line="360" w:lineRule="auto"/>
        <w:ind w:left="720"/>
        <w:rPr>
          <w:color w:val="000000"/>
        </w:rPr>
      </w:pPr>
    </w:p>
    <w:p w14:paraId="5F22DC14" w14:textId="77777777" w:rsidR="00DB3EC4" w:rsidRPr="00343F9B" w:rsidRDefault="00CE7591">
      <w:pPr>
        <w:numPr>
          <w:ilvl w:val="0"/>
          <w:numId w:val="1"/>
        </w:numPr>
        <w:pBdr>
          <w:top w:val="nil"/>
          <w:left w:val="nil"/>
          <w:bottom w:val="nil"/>
          <w:right w:val="nil"/>
          <w:between w:val="nil"/>
        </w:pBdr>
        <w:spacing w:after="0" w:line="360" w:lineRule="auto"/>
        <w:rPr>
          <w:color w:val="000000"/>
        </w:rPr>
      </w:pPr>
      <w:r w:rsidRPr="00343F9B">
        <w:rPr>
          <w:b/>
          <w:bCs/>
          <w:color w:val="000000"/>
        </w:rPr>
        <w:t>Respecto al Reglamento del Comité de Adquisiciones y Servicios;</w:t>
      </w:r>
      <w:r w:rsidRPr="00343F9B">
        <w:rPr>
          <w:color w:val="000000"/>
        </w:rPr>
        <w:t xml:space="preserve"> El Coordinador de Adquisiciones y Servicios, remitió el </w:t>
      </w:r>
      <w:r w:rsidRPr="00343F9B">
        <w:rPr>
          <w:b/>
          <w:bCs/>
          <w:color w:val="000000"/>
        </w:rPr>
        <w:t xml:space="preserve">Manual de Operaciones del Comité de </w:t>
      </w:r>
      <w:r w:rsidRPr="00343F9B">
        <w:rPr>
          <w:b/>
          <w:bCs/>
          <w:color w:val="000000"/>
        </w:rPr>
        <w:lastRenderedPageBreak/>
        <w:t>Adquisiciones y Servicios del Municipio de Melchor Ocampo</w:t>
      </w:r>
      <w:r w:rsidRPr="00343F9B">
        <w:rPr>
          <w:color w:val="000000"/>
        </w:rPr>
        <w:t>, Estado de México, publicado en septiembre de 2024.</w:t>
      </w:r>
    </w:p>
    <w:p w14:paraId="5761D8F6" w14:textId="77777777" w:rsidR="00DB3EC4" w:rsidRPr="00343F9B" w:rsidRDefault="00DB3EC4">
      <w:pPr>
        <w:pBdr>
          <w:top w:val="nil"/>
          <w:left w:val="nil"/>
          <w:bottom w:val="nil"/>
          <w:right w:val="nil"/>
          <w:between w:val="nil"/>
        </w:pBdr>
        <w:spacing w:after="0" w:line="360" w:lineRule="auto"/>
        <w:ind w:left="720"/>
        <w:rPr>
          <w:color w:val="000000"/>
        </w:rPr>
      </w:pPr>
    </w:p>
    <w:p w14:paraId="5FCD2C35" w14:textId="77777777" w:rsidR="00DB3EC4" w:rsidRPr="00343F9B" w:rsidRDefault="00CE7591">
      <w:pPr>
        <w:numPr>
          <w:ilvl w:val="0"/>
          <w:numId w:val="1"/>
        </w:numPr>
        <w:pBdr>
          <w:top w:val="nil"/>
          <w:left w:val="nil"/>
          <w:bottom w:val="nil"/>
          <w:right w:val="nil"/>
          <w:between w:val="nil"/>
        </w:pBdr>
        <w:spacing w:after="0" w:line="360" w:lineRule="auto"/>
        <w:rPr>
          <w:b/>
          <w:bCs/>
          <w:color w:val="000000"/>
        </w:rPr>
      </w:pPr>
      <w:r w:rsidRPr="00343F9B">
        <w:rPr>
          <w:b/>
          <w:bCs/>
          <w:color w:val="000000"/>
        </w:rPr>
        <w:t xml:space="preserve">Respecto al Reglamento del Comité de Arrendamientos, Adquisiciones de Inmuebles y Enajenaciones; </w:t>
      </w:r>
      <w:r w:rsidRPr="00343F9B">
        <w:rPr>
          <w:color w:val="000000"/>
        </w:rPr>
        <w:t>el Sujeto Obligado no se pronunció.</w:t>
      </w:r>
    </w:p>
    <w:p w14:paraId="5D25DB19"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105332DD" w14:textId="77777777" w:rsidR="00DB3EC4" w:rsidRPr="00343F9B" w:rsidRDefault="00CE7591">
      <w:pPr>
        <w:pBdr>
          <w:top w:val="nil"/>
          <w:left w:val="nil"/>
          <w:bottom w:val="nil"/>
          <w:right w:val="nil"/>
          <w:between w:val="nil"/>
        </w:pBdr>
        <w:tabs>
          <w:tab w:val="left" w:pos="4962"/>
        </w:tabs>
        <w:spacing w:after="0" w:line="360" w:lineRule="auto"/>
        <w:rPr>
          <w:color w:val="000000"/>
        </w:rPr>
      </w:pPr>
      <w:r w:rsidRPr="00343F9B">
        <w:rPr>
          <w:color w:val="000000"/>
        </w:rPr>
        <w:t xml:space="preserve">Así pues, se aprecia que de la respuesta el Sujeto Obligado, a través de las áreas competentes remitió los documentos que regulan a su Comité Interno de Obra Pública y el Comité de Adquisiciones y Servicios, los cuales corresponden; conforme a lo señalado por las áreas tanto en respuesta como en informe justificado; a la normatividad aplicable y vigente al momento de la solicitud, por lo que, remitió la información solicitada y se </w:t>
      </w:r>
      <w:r w:rsidRPr="00343F9B">
        <w:rPr>
          <w:b/>
          <w:bCs/>
          <w:color w:val="000000"/>
        </w:rPr>
        <w:t>tienen por colmados los puntos relacionados con el Reglamento del Comité de Obra y del Comité de Adquisiciones y Servicios (puntos 1 y 2)</w:t>
      </w:r>
      <w:r w:rsidRPr="00343F9B">
        <w:rPr>
          <w:color w:val="000000"/>
        </w:rPr>
        <w:t>, dado que se entregaron los manuales correspondientes a aquellos dispuestos en las Leyes aplicables conforme a lo analizado anteriormente.</w:t>
      </w:r>
    </w:p>
    <w:p w14:paraId="62D30786"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54D48535" w14:textId="77777777" w:rsidR="00DB3EC4" w:rsidRPr="00343F9B" w:rsidRDefault="00CE7591">
      <w:pPr>
        <w:pBdr>
          <w:top w:val="nil"/>
          <w:left w:val="nil"/>
          <w:bottom w:val="nil"/>
          <w:right w:val="nil"/>
          <w:between w:val="nil"/>
        </w:pBdr>
        <w:tabs>
          <w:tab w:val="left" w:pos="4962"/>
        </w:tabs>
        <w:spacing w:after="0" w:line="360" w:lineRule="auto"/>
        <w:rPr>
          <w:i/>
          <w:iCs/>
          <w:color w:val="000000"/>
        </w:rPr>
      </w:pPr>
      <w:r w:rsidRPr="00343F9B">
        <w:rPr>
          <w:color w:val="000000"/>
        </w:rPr>
        <w:t xml:space="preserve">Destaca que en respuesta no se remitió pronunciamiento alguno respecto al Reglamento del Comité de Arrendamientos, Adquisiciones de Inmuebles y Enajenaciones (punto 3); por lo que el Sujeto Obligado no fue exhaustivo en su respuesta, dado que no abordó todos los elementos que conforman la solicitud de información; sin embargo, dicha situación cambió, pues mediante </w:t>
      </w:r>
      <w:r w:rsidRPr="00343F9B">
        <w:rPr>
          <w:b/>
          <w:bCs/>
          <w:color w:val="000000"/>
        </w:rPr>
        <w:t>informe justificado, se amplió la respuesta y</w:t>
      </w:r>
      <w:r w:rsidRPr="00343F9B">
        <w:rPr>
          <w:color w:val="000000"/>
        </w:rPr>
        <w:t xml:space="preserve"> </w:t>
      </w:r>
      <w:r w:rsidRPr="00343F9B">
        <w:rPr>
          <w:b/>
          <w:bCs/>
          <w:color w:val="000000"/>
        </w:rPr>
        <w:t>la Secretaría del Ayuntamiento remitió el Manual de Operación del Comité de Arrendamientos, Adquisiciones de Inmuebles y Enajenaciones del Ayuntamiento de Melchor Ocampo</w:t>
      </w:r>
      <w:r w:rsidRPr="00343F9B">
        <w:rPr>
          <w:color w:val="000000"/>
        </w:rPr>
        <w:t xml:space="preserve">, Estado de México, publicado en septiembre de 2024 y señaló que es la normatividad que tiene como objetivo fijar los lineamientos de operación del Comité de Arrendamientos, Adquisiciones de inmuebles y Enajenaciones, así como de sus integrantes, a fin de cumplir con la Ley de Contratación Pública del Estado de </w:t>
      </w:r>
      <w:r w:rsidRPr="00343F9B">
        <w:t>México</w:t>
      </w:r>
      <w:r w:rsidRPr="00343F9B">
        <w:rPr>
          <w:color w:val="000000"/>
        </w:rPr>
        <w:t xml:space="preserve"> y su Reglamento; proporcionó una liga de </w:t>
      </w:r>
      <w:r w:rsidRPr="00343F9B">
        <w:rPr>
          <w:i/>
          <w:iCs/>
        </w:rPr>
        <w:t>Internet</w:t>
      </w:r>
      <w:r w:rsidRPr="00343F9B">
        <w:rPr>
          <w:i/>
          <w:iCs/>
          <w:color w:val="000000"/>
        </w:rPr>
        <w:t xml:space="preserve"> </w:t>
      </w:r>
      <w:r w:rsidRPr="00343F9B">
        <w:rPr>
          <w:color w:val="000000"/>
        </w:rPr>
        <w:t xml:space="preserve">en formato cerrado para su consulta y también remitió el documento en </w:t>
      </w:r>
      <w:proofErr w:type="spellStart"/>
      <w:r w:rsidRPr="00343F9B">
        <w:rPr>
          <w:i/>
          <w:iCs/>
          <w:color w:val="000000"/>
        </w:rPr>
        <w:t>pdf</w:t>
      </w:r>
      <w:proofErr w:type="spellEnd"/>
      <w:r w:rsidRPr="00343F9B">
        <w:rPr>
          <w:i/>
          <w:iCs/>
          <w:color w:val="000000"/>
        </w:rPr>
        <w:t xml:space="preserve">. </w:t>
      </w:r>
    </w:p>
    <w:p w14:paraId="780720CF"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4482AE3E" w14:textId="77777777" w:rsidR="00DB3EC4" w:rsidRPr="00343F9B" w:rsidRDefault="00CE7591">
      <w:pPr>
        <w:pBdr>
          <w:top w:val="nil"/>
          <w:left w:val="nil"/>
          <w:bottom w:val="nil"/>
          <w:right w:val="nil"/>
          <w:between w:val="nil"/>
        </w:pBdr>
        <w:tabs>
          <w:tab w:val="left" w:pos="4962"/>
        </w:tabs>
        <w:spacing w:after="0" w:line="360" w:lineRule="auto"/>
        <w:rPr>
          <w:color w:val="000000"/>
        </w:rPr>
      </w:pPr>
      <w:r w:rsidRPr="00343F9B">
        <w:rPr>
          <w:color w:val="000000"/>
        </w:rPr>
        <w:lastRenderedPageBreak/>
        <w:t xml:space="preserve">Así pues, se aprecia que, mediante informe justificado el Sujeto Obligado remitió la información faltante que corresponde a la normatividad vigente y aplicable para el </w:t>
      </w:r>
      <w:r w:rsidRPr="00343F9B">
        <w:rPr>
          <w:b/>
          <w:bCs/>
          <w:color w:val="000000"/>
        </w:rPr>
        <w:t xml:space="preserve">Comité de Arrendamientos, Adquisiciones de Inmuebles y Enajenaciones del Ayuntamiento de Melchor Ocampo, por lo que colmó el punto 3, con lo que modificó la respuesta inicial y remitió el documento faltante, con lo que, se entregó la documentación solicitada y colmó todos los elementos de la solicitud. </w:t>
      </w:r>
    </w:p>
    <w:p w14:paraId="646362E7" w14:textId="77777777" w:rsidR="00DB3EC4" w:rsidRPr="00343F9B" w:rsidRDefault="00DB3EC4">
      <w:pPr>
        <w:pBdr>
          <w:top w:val="nil"/>
          <w:left w:val="nil"/>
          <w:bottom w:val="nil"/>
          <w:right w:val="nil"/>
          <w:between w:val="nil"/>
        </w:pBdr>
        <w:tabs>
          <w:tab w:val="left" w:pos="4962"/>
        </w:tabs>
        <w:spacing w:after="0" w:line="360" w:lineRule="auto"/>
        <w:rPr>
          <w:i/>
          <w:iCs/>
          <w:color w:val="000000"/>
        </w:rPr>
      </w:pPr>
    </w:p>
    <w:p w14:paraId="53D624B7" w14:textId="77777777" w:rsidR="00DB3EC4" w:rsidRPr="00343F9B" w:rsidRDefault="00CE7591">
      <w:pPr>
        <w:pBdr>
          <w:top w:val="nil"/>
          <w:left w:val="nil"/>
          <w:bottom w:val="nil"/>
          <w:right w:val="nil"/>
          <w:between w:val="nil"/>
        </w:pBdr>
        <w:tabs>
          <w:tab w:val="left" w:pos="4962"/>
        </w:tabs>
        <w:spacing w:after="0" w:line="360" w:lineRule="auto"/>
        <w:rPr>
          <w:color w:val="000000"/>
        </w:rPr>
      </w:pPr>
      <w:r w:rsidRPr="00343F9B">
        <w:rPr>
          <w:color w:val="000000"/>
        </w:rPr>
        <w:t>No se omite mencionar que mediante el Recurso de Revisión la parte Recurrente se inconformó por no remitir la información requerida y que deben tener conforme a la Ley; sin embargo, este Organismo Garante advierte del estudio y análisis a las Leyes y normas aplicables a cada uno de los Comités indicados en la solicitud, que no se obliga a contar con un Reglamento, pero sí con un Manual que regule su actuar.</w:t>
      </w:r>
    </w:p>
    <w:p w14:paraId="594B506E"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39595E88" w14:textId="77777777" w:rsidR="00DB3EC4" w:rsidRPr="00343F9B" w:rsidRDefault="00CE7591">
      <w:pPr>
        <w:pBdr>
          <w:top w:val="nil"/>
          <w:left w:val="nil"/>
          <w:bottom w:val="nil"/>
          <w:right w:val="nil"/>
          <w:between w:val="nil"/>
        </w:pBdr>
        <w:tabs>
          <w:tab w:val="left" w:pos="4962"/>
        </w:tabs>
        <w:spacing w:after="0" w:line="360" w:lineRule="auto"/>
        <w:rPr>
          <w:color w:val="000000"/>
        </w:rPr>
      </w:pPr>
      <w:r w:rsidRPr="00343F9B">
        <w:rPr>
          <w:color w:val="000000"/>
        </w:rPr>
        <w:t xml:space="preserve">Aunado a lo anterior, cabe señalar que las áreas competentes señalaron que remitieron la normatividad aplicable y vigente al momento de la solicitud, las cuales contemplan a todos y cada uno de los Comités identificados en la solicitud; por lo que se trata de la documentación que da cuenta de lo solicitado. </w:t>
      </w:r>
    </w:p>
    <w:p w14:paraId="348C67B1" w14:textId="77777777" w:rsidR="00DB3EC4" w:rsidRPr="00343F9B" w:rsidRDefault="00DB3EC4">
      <w:pPr>
        <w:pBdr>
          <w:top w:val="nil"/>
          <w:left w:val="nil"/>
          <w:bottom w:val="nil"/>
          <w:right w:val="nil"/>
          <w:between w:val="nil"/>
        </w:pBdr>
        <w:tabs>
          <w:tab w:val="left" w:pos="4962"/>
        </w:tabs>
        <w:spacing w:after="0" w:line="360" w:lineRule="auto"/>
        <w:rPr>
          <w:color w:val="000000"/>
        </w:rPr>
      </w:pPr>
    </w:p>
    <w:p w14:paraId="0972B471" w14:textId="77777777" w:rsidR="00DB3EC4" w:rsidRPr="00343F9B" w:rsidRDefault="00CE7591">
      <w:pPr>
        <w:tabs>
          <w:tab w:val="left" w:pos="4962"/>
        </w:tabs>
        <w:spacing w:after="0" w:line="360" w:lineRule="auto"/>
        <w:rPr>
          <w:b/>
          <w:bCs/>
          <w:color w:val="000000"/>
        </w:rPr>
      </w:pPr>
      <w:r w:rsidRPr="00343F9B">
        <w:rPr>
          <w:color w:val="000000"/>
        </w:rPr>
        <w:t xml:space="preserve">En consecuencia, de lo anterior, se aprecia, que si bien, en un primer momento, la respuesta no dio cuenta de todo lo solicitado, y en un acto posterior, el Sujeto Obligado mediante informe justificado, amplió su respuesta inicial y remitió la información faltante, así el Sujeto Obligado al modificar la respuesta y entregar lo faltante en informe justificado, </w:t>
      </w:r>
      <w:r w:rsidRPr="00343F9B">
        <w:rPr>
          <w:b/>
          <w:bCs/>
          <w:color w:val="000000"/>
        </w:rPr>
        <w:t xml:space="preserve">dejó sin materia el Medio de Impugnación, por tanto, es procedente SOBRESEER el Recurso de Revisión. </w:t>
      </w:r>
    </w:p>
    <w:p w14:paraId="1080FCF0" w14:textId="77777777" w:rsidR="00DB3EC4" w:rsidRPr="00343F9B" w:rsidRDefault="00DB3EC4">
      <w:pPr>
        <w:tabs>
          <w:tab w:val="left" w:pos="4962"/>
        </w:tabs>
        <w:spacing w:after="0" w:line="360" w:lineRule="auto"/>
        <w:rPr>
          <w:color w:val="000000"/>
        </w:rPr>
      </w:pPr>
    </w:p>
    <w:p w14:paraId="3F744B45" w14:textId="77777777" w:rsidR="00DB3EC4" w:rsidRPr="00343F9B" w:rsidRDefault="00CE7591">
      <w:pPr>
        <w:pStyle w:val="Ttulo2"/>
        <w:spacing w:before="0" w:after="0"/>
      </w:pPr>
      <w:bookmarkStart w:id="23" w:name="_heading=h.z1f6jx83tjo0" w:colFirst="0" w:colLast="0"/>
      <w:bookmarkStart w:id="24" w:name="_Toc223619866"/>
      <w:bookmarkEnd w:id="23"/>
      <w:r w:rsidRPr="00343F9B">
        <w:t>CUARTO. Decisión</w:t>
      </w:r>
      <w:bookmarkEnd w:id="24"/>
    </w:p>
    <w:p w14:paraId="6B7865DD" w14:textId="77777777" w:rsidR="00DB3EC4" w:rsidRPr="00343F9B" w:rsidRDefault="00DB3EC4">
      <w:pPr>
        <w:spacing w:after="0" w:line="360" w:lineRule="auto"/>
      </w:pPr>
    </w:p>
    <w:p w14:paraId="04E8BA49" w14:textId="77777777" w:rsidR="00DB3EC4" w:rsidRPr="00343F9B" w:rsidRDefault="00CE7591">
      <w:pPr>
        <w:spacing w:after="0" w:line="360" w:lineRule="auto"/>
      </w:pPr>
      <w:r w:rsidRPr="00343F9B">
        <w:t xml:space="preserve">Con fundamento en lo dispuesto en el artículo 186, fracción I, de la Ley de Transparencia y Acceso a la Información Pública del Estado de México y Municipios, se considera procedente </w:t>
      </w:r>
      <w:r w:rsidRPr="00343F9B">
        <w:rPr>
          <w:b/>
          <w:bCs/>
        </w:rPr>
        <w:lastRenderedPageBreak/>
        <w:t xml:space="preserve">SOBRESEER </w:t>
      </w:r>
      <w:r w:rsidRPr="00343F9B">
        <w:t xml:space="preserve">el Recurso de Revisión </w:t>
      </w:r>
      <w:r w:rsidRPr="00343F9B">
        <w:rPr>
          <w:b/>
          <w:bCs/>
        </w:rPr>
        <w:t>00876/INFOEM/IP/RR/2026</w:t>
      </w:r>
      <w:r w:rsidRPr="00343F9B">
        <w:t>, en virtud de que se actualiza la hipótesis normativa prevista en la fracción III, del artículo 192, del citado ordenamiento legal.</w:t>
      </w:r>
    </w:p>
    <w:p w14:paraId="6F3F44AE" w14:textId="77777777" w:rsidR="00DB3EC4" w:rsidRPr="00343F9B" w:rsidRDefault="00DB3EC4">
      <w:pPr>
        <w:spacing w:after="0" w:line="360" w:lineRule="auto"/>
      </w:pPr>
    </w:p>
    <w:p w14:paraId="693AAFF5" w14:textId="0DDC30E6" w:rsidR="00DB3EC4" w:rsidRPr="00343F9B" w:rsidRDefault="00CE7591">
      <w:pPr>
        <w:spacing w:after="0" w:line="360" w:lineRule="auto"/>
        <w:rPr>
          <w:b/>
          <w:bCs/>
          <w:u w:val="single"/>
        </w:rPr>
      </w:pPr>
      <w:r w:rsidRPr="00343F9B">
        <w:rPr>
          <w:b/>
          <w:bCs/>
          <w:u w:val="single"/>
        </w:rPr>
        <w:t>Términos de la Resolución para conocimiento d</w:t>
      </w:r>
      <w:r w:rsidR="00945033">
        <w:rPr>
          <w:b/>
          <w:bCs/>
          <w:u w:val="single"/>
        </w:rPr>
        <w:t>e la parte Recurrente</w:t>
      </w:r>
    </w:p>
    <w:p w14:paraId="0B7D47AA" w14:textId="77777777" w:rsidR="00DB3EC4" w:rsidRPr="00343F9B" w:rsidRDefault="00DB3EC4">
      <w:pPr>
        <w:spacing w:after="0" w:line="360" w:lineRule="auto"/>
        <w:rPr>
          <w:u w:val="single"/>
        </w:rPr>
      </w:pPr>
    </w:p>
    <w:p w14:paraId="6032E952" w14:textId="77777777" w:rsidR="00DB3EC4" w:rsidRPr="00343F9B" w:rsidRDefault="00CE7591">
      <w:pPr>
        <w:spacing w:after="0" w:line="360" w:lineRule="auto"/>
        <w:rPr>
          <w:u w:val="single"/>
        </w:rPr>
      </w:pPr>
      <w:r w:rsidRPr="00343F9B">
        <w:rPr>
          <w:u w:val="single"/>
        </w:rPr>
        <w:t xml:space="preserve">Se le hace del conocimiento a la parte Recurrente, que, en el presente caso, en respuesta le entregaron la normatividad aplicable para los Comités de Obra Pública y de Adquisiciones y Servicios y se omitió el pronunciamiento respecto a la normatividad del Comité de Arrendamientos, Adquisiciones de Inmuebles y Enajenaciones del Ayuntamiento de Melchor Ocampo; sin embargo, durante la sustanciación del Medio de Impugnación, el Sujeto Obligado modificó su respuesta inicial y remitió la información faltante, lo cual dejó sin materia el presente Recurso de Revisión. </w:t>
      </w:r>
    </w:p>
    <w:p w14:paraId="1C2DE135" w14:textId="77777777" w:rsidR="00DB3EC4" w:rsidRPr="00343F9B" w:rsidRDefault="00DB3EC4">
      <w:pPr>
        <w:spacing w:after="0" w:line="360" w:lineRule="auto"/>
        <w:rPr>
          <w:u w:val="single"/>
        </w:rPr>
      </w:pPr>
    </w:p>
    <w:p w14:paraId="27256FBE" w14:textId="77777777" w:rsidR="00DB3EC4" w:rsidRPr="00343F9B" w:rsidRDefault="00CE7591">
      <w:pPr>
        <w:spacing w:after="0" w:line="360" w:lineRule="auto"/>
        <w:rPr>
          <w:u w:val="single"/>
        </w:rPr>
      </w:pPr>
      <w:r w:rsidRPr="00343F9B">
        <w:rPr>
          <w:u w:val="single"/>
        </w:rPr>
        <w:t xml:space="preserve"> Finalmente, la labor de este Instituto, es apoyar a la población a acceder a la información pública y garantizar la protección de sus datos personales.</w:t>
      </w:r>
    </w:p>
    <w:p w14:paraId="623C9C6B" w14:textId="77777777" w:rsidR="00DB3EC4" w:rsidRPr="00343F9B" w:rsidRDefault="00DB3EC4">
      <w:pPr>
        <w:spacing w:after="0" w:line="360" w:lineRule="auto"/>
        <w:rPr>
          <w:color w:val="000000"/>
        </w:rPr>
      </w:pPr>
    </w:p>
    <w:p w14:paraId="4A49B140" w14:textId="77777777" w:rsidR="00DB3EC4" w:rsidRPr="00343F9B" w:rsidRDefault="00CE7591">
      <w:pPr>
        <w:spacing w:after="0" w:line="360" w:lineRule="auto"/>
      </w:pPr>
      <w:r w:rsidRPr="00343F9B">
        <w:t>Por lo expuesto y fundado, este Pleno:</w:t>
      </w:r>
    </w:p>
    <w:p w14:paraId="0821D22C" w14:textId="77777777" w:rsidR="00DB3EC4" w:rsidRPr="00343F9B" w:rsidRDefault="00DB3EC4">
      <w:pPr>
        <w:spacing w:after="0" w:line="360" w:lineRule="auto"/>
      </w:pPr>
    </w:p>
    <w:p w14:paraId="1488A75F" w14:textId="77777777" w:rsidR="00DB3EC4" w:rsidRPr="00343F9B" w:rsidRDefault="00CE7591">
      <w:pPr>
        <w:pStyle w:val="Ttulo1"/>
        <w:spacing w:before="0" w:after="0"/>
        <w:rPr>
          <w:sz w:val="22"/>
          <w:szCs w:val="22"/>
        </w:rPr>
      </w:pPr>
      <w:bookmarkStart w:id="25" w:name="_heading=h.u56ijrds1lw7" w:colFirst="0" w:colLast="0"/>
      <w:bookmarkStart w:id="26" w:name="_Toc223619867"/>
      <w:bookmarkEnd w:id="25"/>
      <w:r w:rsidRPr="00343F9B">
        <w:rPr>
          <w:sz w:val="22"/>
          <w:szCs w:val="22"/>
        </w:rPr>
        <w:t>R E S U E L V E</w:t>
      </w:r>
      <w:bookmarkEnd w:id="26"/>
    </w:p>
    <w:p w14:paraId="5989A2A1" w14:textId="77777777" w:rsidR="00DB3EC4" w:rsidRPr="00343F9B" w:rsidRDefault="00DB3EC4">
      <w:pPr>
        <w:spacing w:after="0" w:line="360" w:lineRule="auto"/>
        <w:rPr>
          <w:b/>
          <w:bCs/>
        </w:rPr>
      </w:pPr>
    </w:p>
    <w:p w14:paraId="1030E065" w14:textId="77777777" w:rsidR="00DB3EC4" w:rsidRPr="00343F9B" w:rsidRDefault="00CE7591">
      <w:pPr>
        <w:spacing w:after="0" w:line="360" w:lineRule="auto"/>
      </w:pPr>
      <w:r w:rsidRPr="00343F9B">
        <w:rPr>
          <w:b/>
          <w:bCs/>
        </w:rPr>
        <w:t>PRIMERO</w:t>
      </w:r>
      <w:r w:rsidRPr="00343F9B">
        <w:t xml:space="preserve">. Se </w:t>
      </w:r>
      <w:r w:rsidRPr="00343F9B">
        <w:rPr>
          <w:b/>
          <w:bCs/>
        </w:rPr>
        <w:t xml:space="preserve">SOBRESEE </w:t>
      </w:r>
      <w:r w:rsidRPr="00343F9B">
        <w:t xml:space="preserve">el Recurso de Revisión 00876/INFOEM/IP/RR/2026, en términos del artículo 192, fracción III, de la Ley de Transparencia y Acceso a la Información Pública del Estado de México y Municipios, porque el Sujeto Obligado, al modificar la respuesta inicial, mediante Informe Justificado, el Medio de Impugnación quedó sin materia, de conformidad con los Considerandos TERCERO y CUARTO de la presente Resolución.    </w:t>
      </w:r>
    </w:p>
    <w:p w14:paraId="3E1D375E" w14:textId="77777777" w:rsidR="00DB3EC4" w:rsidRPr="00343F9B" w:rsidRDefault="00DB3EC4">
      <w:pPr>
        <w:spacing w:after="0" w:line="360" w:lineRule="auto"/>
      </w:pPr>
    </w:p>
    <w:p w14:paraId="01E1DF3A" w14:textId="77777777" w:rsidR="00DB3EC4" w:rsidRPr="00343F9B" w:rsidRDefault="00CE7591">
      <w:pPr>
        <w:spacing w:after="0" w:line="360" w:lineRule="auto"/>
      </w:pPr>
      <w:r w:rsidRPr="00343F9B">
        <w:rPr>
          <w:b/>
          <w:bCs/>
        </w:rPr>
        <w:t>SEGUNDO</w:t>
      </w:r>
      <w:r w:rsidRPr="00343F9B">
        <w:t xml:space="preserve">. </w:t>
      </w:r>
      <w:r w:rsidRPr="00343F9B">
        <w:rPr>
          <w:b/>
          <w:bCs/>
        </w:rPr>
        <w:t>NOTIFÍQUESE POR SAIMEX</w:t>
      </w:r>
      <w:r w:rsidRPr="00343F9B">
        <w:t xml:space="preserve"> la presente resolución al Titular de la Unidad de Transparencia del Sujeto Obligado.</w:t>
      </w:r>
    </w:p>
    <w:p w14:paraId="513D71E3" w14:textId="77777777" w:rsidR="00DB3EC4" w:rsidRPr="00343F9B" w:rsidRDefault="00DB3EC4">
      <w:pPr>
        <w:spacing w:after="0" w:line="360" w:lineRule="auto"/>
      </w:pPr>
    </w:p>
    <w:p w14:paraId="3D46E5B0" w14:textId="77777777" w:rsidR="00DB3EC4" w:rsidRPr="00343F9B" w:rsidRDefault="00CE7591">
      <w:pPr>
        <w:spacing w:after="0" w:line="360" w:lineRule="auto"/>
      </w:pPr>
      <w:r w:rsidRPr="00343F9B">
        <w:rPr>
          <w:b/>
          <w:bCs/>
        </w:rPr>
        <w:t>TERCERO</w:t>
      </w:r>
      <w:r w:rsidRPr="00343F9B">
        <w:t xml:space="preserve">. </w:t>
      </w:r>
      <w:r w:rsidRPr="00343F9B">
        <w:rPr>
          <w:b/>
          <w:bCs/>
        </w:rPr>
        <w:t>NOTIFÍQUESE POR SAIMEX</w:t>
      </w:r>
      <w:r w:rsidRPr="00343F9B">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63E661B5" w14:textId="77777777" w:rsidR="00DB3EC4" w:rsidRPr="00343F9B" w:rsidRDefault="00DB3EC4">
      <w:pPr>
        <w:spacing w:after="0" w:line="360" w:lineRule="auto"/>
        <w:rPr>
          <w:b/>
          <w:bCs/>
        </w:rPr>
      </w:pPr>
    </w:p>
    <w:p w14:paraId="183F559E" w14:textId="77777777" w:rsidR="00DB3EC4" w:rsidRDefault="00CE7591">
      <w:pPr>
        <w:spacing w:after="0" w:line="360" w:lineRule="auto"/>
      </w:pPr>
      <w:r w:rsidRPr="00343F9B">
        <w:t xml:space="preserve">ASÍ LO RESUELVE, POR </w:t>
      </w:r>
      <w:r w:rsidRPr="00343F9B">
        <w:rPr>
          <w:b/>
          <w:bCs/>
        </w:rPr>
        <w:t>UNANIMIDAD</w:t>
      </w:r>
      <w:r w:rsidRPr="00343F9B">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p>
    <w:p w14:paraId="50C44159" w14:textId="77777777" w:rsidR="00DB3EC4" w:rsidRDefault="00DB3EC4">
      <w:pPr>
        <w:spacing w:after="0" w:line="360" w:lineRule="auto"/>
      </w:pPr>
    </w:p>
    <w:p w14:paraId="140BE0F5" w14:textId="77777777" w:rsidR="00DB3EC4" w:rsidRDefault="00DB3EC4">
      <w:pPr>
        <w:spacing w:after="0" w:line="360" w:lineRule="auto"/>
      </w:pPr>
    </w:p>
    <w:p w14:paraId="26C1C084" w14:textId="77777777" w:rsidR="00DB3EC4" w:rsidRDefault="00DB3EC4">
      <w:pPr>
        <w:pBdr>
          <w:top w:val="nil"/>
          <w:left w:val="nil"/>
          <w:bottom w:val="nil"/>
          <w:right w:val="nil"/>
          <w:between w:val="nil"/>
        </w:pBdr>
        <w:tabs>
          <w:tab w:val="left" w:pos="4962"/>
        </w:tabs>
        <w:spacing w:after="0" w:line="360" w:lineRule="auto"/>
        <w:rPr>
          <w:color w:val="000000"/>
        </w:rPr>
      </w:pPr>
    </w:p>
    <w:p w14:paraId="7203538E" w14:textId="77777777" w:rsidR="00DB3EC4" w:rsidRDefault="00DB3EC4">
      <w:pPr>
        <w:pBdr>
          <w:top w:val="nil"/>
          <w:left w:val="nil"/>
          <w:bottom w:val="nil"/>
          <w:right w:val="nil"/>
          <w:between w:val="nil"/>
        </w:pBdr>
        <w:tabs>
          <w:tab w:val="left" w:pos="4962"/>
        </w:tabs>
        <w:spacing w:after="0" w:line="360" w:lineRule="auto"/>
        <w:rPr>
          <w:color w:val="000000"/>
        </w:rPr>
      </w:pPr>
    </w:p>
    <w:p w14:paraId="04A952FE" w14:textId="77777777" w:rsidR="00DB3EC4" w:rsidRDefault="00DB3EC4">
      <w:pPr>
        <w:pBdr>
          <w:top w:val="nil"/>
          <w:left w:val="nil"/>
          <w:bottom w:val="nil"/>
          <w:right w:val="nil"/>
          <w:between w:val="nil"/>
        </w:pBdr>
        <w:tabs>
          <w:tab w:val="left" w:pos="4962"/>
        </w:tabs>
        <w:spacing w:after="0" w:line="360" w:lineRule="auto"/>
        <w:rPr>
          <w:color w:val="000000"/>
        </w:rPr>
      </w:pPr>
    </w:p>
    <w:p w14:paraId="6EE19D08" w14:textId="77777777" w:rsidR="00DB3EC4" w:rsidRDefault="00DB3EC4">
      <w:pPr>
        <w:pBdr>
          <w:top w:val="nil"/>
          <w:left w:val="nil"/>
          <w:bottom w:val="nil"/>
          <w:right w:val="nil"/>
          <w:between w:val="nil"/>
        </w:pBdr>
        <w:tabs>
          <w:tab w:val="left" w:pos="4962"/>
        </w:tabs>
        <w:spacing w:after="0" w:line="360" w:lineRule="auto"/>
        <w:rPr>
          <w:color w:val="000000"/>
        </w:rPr>
      </w:pPr>
    </w:p>
    <w:p w14:paraId="6052360A" w14:textId="77777777" w:rsidR="00DB3EC4" w:rsidRDefault="00DB3EC4">
      <w:pPr>
        <w:pBdr>
          <w:top w:val="nil"/>
          <w:left w:val="nil"/>
          <w:bottom w:val="nil"/>
          <w:right w:val="nil"/>
          <w:between w:val="nil"/>
        </w:pBdr>
        <w:tabs>
          <w:tab w:val="left" w:pos="4962"/>
        </w:tabs>
        <w:spacing w:after="0" w:line="360" w:lineRule="auto"/>
        <w:rPr>
          <w:color w:val="000000"/>
        </w:rPr>
      </w:pPr>
    </w:p>
    <w:p w14:paraId="4CEFFA52" w14:textId="77777777" w:rsidR="00DB3EC4" w:rsidRDefault="00DB3EC4">
      <w:pPr>
        <w:pBdr>
          <w:top w:val="nil"/>
          <w:left w:val="nil"/>
          <w:bottom w:val="nil"/>
          <w:right w:val="nil"/>
          <w:between w:val="nil"/>
        </w:pBdr>
        <w:tabs>
          <w:tab w:val="left" w:pos="4962"/>
        </w:tabs>
        <w:spacing w:after="0" w:line="360" w:lineRule="auto"/>
        <w:rPr>
          <w:color w:val="000000"/>
        </w:rPr>
      </w:pPr>
    </w:p>
    <w:p w14:paraId="2D62E9B7" w14:textId="77777777" w:rsidR="00DB3EC4" w:rsidRDefault="00DB3EC4">
      <w:pPr>
        <w:pBdr>
          <w:top w:val="nil"/>
          <w:left w:val="nil"/>
          <w:bottom w:val="nil"/>
          <w:right w:val="nil"/>
          <w:between w:val="nil"/>
        </w:pBdr>
        <w:tabs>
          <w:tab w:val="left" w:pos="4962"/>
        </w:tabs>
        <w:spacing w:after="0" w:line="360" w:lineRule="auto"/>
        <w:rPr>
          <w:color w:val="000000"/>
        </w:rPr>
      </w:pPr>
    </w:p>
    <w:p w14:paraId="46ACE7B9" w14:textId="77777777" w:rsidR="00DB3EC4" w:rsidRDefault="00DB3EC4">
      <w:pPr>
        <w:pBdr>
          <w:top w:val="nil"/>
          <w:left w:val="nil"/>
          <w:bottom w:val="nil"/>
          <w:right w:val="nil"/>
          <w:between w:val="nil"/>
        </w:pBdr>
        <w:tabs>
          <w:tab w:val="left" w:pos="4962"/>
        </w:tabs>
        <w:spacing w:after="0" w:line="360" w:lineRule="auto"/>
        <w:rPr>
          <w:color w:val="000000"/>
        </w:rPr>
      </w:pPr>
    </w:p>
    <w:p w14:paraId="724280AA" w14:textId="77777777" w:rsidR="00DB3EC4" w:rsidRDefault="00DB3EC4">
      <w:pPr>
        <w:pBdr>
          <w:top w:val="nil"/>
          <w:left w:val="nil"/>
          <w:bottom w:val="nil"/>
          <w:right w:val="nil"/>
          <w:between w:val="nil"/>
        </w:pBdr>
        <w:tabs>
          <w:tab w:val="left" w:pos="4962"/>
        </w:tabs>
        <w:spacing w:after="0" w:line="360" w:lineRule="auto"/>
        <w:rPr>
          <w:color w:val="000000"/>
        </w:rPr>
      </w:pPr>
    </w:p>
    <w:p w14:paraId="7C4EFF80" w14:textId="77777777" w:rsidR="00DB3EC4" w:rsidRDefault="00DB3EC4">
      <w:pPr>
        <w:pBdr>
          <w:top w:val="nil"/>
          <w:left w:val="nil"/>
          <w:bottom w:val="nil"/>
          <w:right w:val="nil"/>
          <w:between w:val="nil"/>
        </w:pBdr>
        <w:tabs>
          <w:tab w:val="left" w:pos="4962"/>
        </w:tabs>
        <w:spacing w:after="0" w:line="360" w:lineRule="auto"/>
        <w:rPr>
          <w:color w:val="000000"/>
        </w:rPr>
      </w:pPr>
    </w:p>
    <w:p w14:paraId="7DACDA8A" w14:textId="77777777" w:rsidR="00DB3EC4" w:rsidRDefault="00DB3EC4">
      <w:pPr>
        <w:pBdr>
          <w:top w:val="nil"/>
          <w:left w:val="nil"/>
          <w:bottom w:val="nil"/>
          <w:right w:val="nil"/>
          <w:between w:val="nil"/>
        </w:pBdr>
        <w:tabs>
          <w:tab w:val="left" w:pos="4962"/>
        </w:tabs>
        <w:spacing w:after="0" w:line="360" w:lineRule="auto"/>
        <w:rPr>
          <w:color w:val="000000"/>
        </w:rPr>
      </w:pPr>
    </w:p>
    <w:p w14:paraId="6B48E8E0" w14:textId="77777777" w:rsidR="00DB3EC4" w:rsidRDefault="00DB3EC4">
      <w:pPr>
        <w:pBdr>
          <w:top w:val="nil"/>
          <w:left w:val="nil"/>
          <w:bottom w:val="nil"/>
          <w:right w:val="nil"/>
          <w:between w:val="nil"/>
        </w:pBdr>
        <w:tabs>
          <w:tab w:val="left" w:pos="4962"/>
        </w:tabs>
        <w:spacing w:after="0" w:line="360" w:lineRule="auto"/>
        <w:rPr>
          <w:color w:val="000000"/>
        </w:rPr>
      </w:pPr>
    </w:p>
    <w:p w14:paraId="671AC63E" w14:textId="77777777" w:rsidR="00DB3EC4" w:rsidRDefault="00DB3EC4">
      <w:pPr>
        <w:pBdr>
          <w:top w:val="nil"/>
          <w:left w:val="nil"/>
          <w:bottom w:val="nil"/>
          <w:right w:val="nil"/>
          <w:between w:val="nil"/>
        </w:pBdr>
        <w:tabs>
          <w:tab w:val="left" w:pos="4962"/>
        </w:tabs>
        <w:spacing w:after="0" w:line="360" w:lineRule="auto"/>
        <w:rPr>
          <w:color w:val="000000"/>
        </w:rPr>
      </w:pPr>
    </w:p>
    <w:p w14:paraId="093435E2" w14:textId="77777777" w:rsidR="00DB3EC4" w:rsidRDefault="00DB3EC4">
      <w:pPr>
        <w:pBdr>
          <w:top w:val="nil"/>
          <w:left w:val="nil"/>
          <w:bottom w:val="nil"/>
          <w:right w:val="nil"/>
          <w:between w:val="nil"/>
        </w:pBdr>
        <w:tabs>
          <w:tab w:val="left" w:pos="4962"/>
        </w:tabs>
        <w:spacing w:after="0" w:line="360" w:lineRule="auto"/>
        <w:rPr>
          <w:color w:val="000000"/>
        </w:rPr>
      </w:pPr>
    </w:p>
    <w:p w14:paraId="3303CE28" w14:textId="77777777" w:rsidR="00DB3EC4" w:rsidRDefault="00DB3EC4">
      <w:pPr>
        <w:pBdr>
          <w:top w:val="nil"/>
          <w:left w:val="nil"/>
          <w:bottom w:val="nil"/>
          <w:right w:val="nil"/>
          <w:between w:val="nil"/>
        </w:pBdr>
        <w:tabs>
          <w:tab w:val="left" w:pos="4962"/>
        </w:tabs>
        <w:spacing w:after="0" w:line="360" w:lineRule="auto"/>
        <w:rPr>
          <w:color w:val="000000"/>
        </w:rPr>
      </w:pPr>
    </w:p>
    <w:p w14:paraId="3408B112" w14:textId="77777777" w:rsidR="00DB3EC4" w:rsidRDefault="00DB3EC4">
      <w:pPr>
        <w:pBdr>
          <w:top w:val="nil"/>
          <w:left w:val="nil"/>
          <w:bottom w:val="nil"/>
          <w:right w:val="nil"/>
          <w:between w:val="nil"/>
        </w:pBdr>
        <w:tabs>
          <w:tab w:val="left" w:pos="4962"/>
        </w:tabs>
        <w:spacing w:after="0" w:line="360" w:lineRule="auto"/>
        <w:rPr>
          <w:color w:val="000000"/>
        </w:rPr>
      </w:pPr>
    </w:p>
    <w:p w14:paraId="4C7DBF87" w14:textId="77777777" w:rsidR="00DB3EC4" w:rsidRDefault="00DB3EC4">
      <w:pPr>
        <w:pBdr>
          <w:top w:val="nil"/>
          <w:left w:val="nil"/>
          <w:bottom w:val="nil"/>
          <w:right w:val="nil"/>
          <w:between w:val="nil"/>
        </w:pBdr>
        <w:tabs>
          <w:tab w:val="left" w:pos="4962"/>
        </w:tabs>
        <w:spacing w:after="0" w:line="360" w:lineRule="auto"/>
        <w:rPr>
          <w:color w:val="000000"/>
        </w:rPr>
      </w:pPr>
    </w:p>
    <w:p w14:paraId="0F297C88" w14:textId="77777777" w:rsidR="00DB3EC4" w:rsidRDefault="00DB3EC4">
      <w:pPr>
        <w:pBdr>
          <w:top w:val="nil"/>
          <w:left w:val="nil"/>
          <w:bottom w:val="nil"/>
          <w:right w:val="nil"/>
          <w:between w:val="nil"/>
        </w:pBdr>
        <w:tabs>
          <w:tab w:val="left" w:pos="4962"/>
        </w:tabs>
        <w:spacing w:after="0" w:line="360" w:lineRule="auto"/>
        <w:rPr>
          <w:color w:val="000000"/>
        </w:rPr>
      </w:pPr>
    </w:p>
    <w:p w14:paraId="459B22C1" w14:textId="77777777" w:rsidR="00DB3EC4" w:rsidRDefault="00DB3EC4">
      <w:pPr>
        <w:pBdr>
          <w:top w:val="nil"/>
          <w:left w:val="nil"/>
          <w:bottom w:val="nil"/>
          <w:right w:val="nil"/>
          <w:between w:val="nil"/>
        </w:pBdr>
        <w:tabs>
          <w:tab w:val="left" w:pos="4962"/>
        </w:tabs>
        <w:spacing w:after="0" w:line="360" w:lineRule="auto"/>
        <w:rPr>
          <w:color w:val="000000"/>
        </w:rPr>
      </w:pPr>
    </w:p>
    <w:p w14:paraId="6B912C8A" w14:textId="77777777" w:rsidR="00DB3EC4" w:rsidRDefault="00DB3EC4">
      <w:pPr>
        <w:pBdr>
          <w:top w:val="nil"/>
          <w:left w:val="nil"/>
          <w:bottom w:val="nil"/>
          <w:right w:val="nil"/>
          <w:between w:val="nil"/>
        </w:pBdr>
        <w:tabs>
          <w:tab w:val="left" w:pos="4962"/>
        </w:tabs>
        <w:spacing w:after="0" w:line="360" w:lineRule="auto"/>
        <w:rPr>
          <w:color w:val="000000"/>
        </w:rPr>
      </w:pPr>
    </w:p>
    <w:p w14:paraId="3B668F96" w14:textId="77777777" w:rsidR="00DB3EC4" w:rsidRDefault="00DB3EC4">
      <w:pPr>
        <w:pBdr>
          <w:top w:val="nil"/>
          <w:left w:val="nil"/>
          <w:bottom w:val="nil"/>
          <w:right w:val="nil"/>
          <w:between w:val="nil"/>
        </w:pBdr>
        <w:tabs>
          <w:tab w:val="left" w:pos="4962"/>
        </w:tabs>
        <w:spacing w:after="0" w:line="360" w:lineRule="auto"/>
        <w:rPr>
          <w:color w:val="000000"/>
        </w:rPr>
      </w:pPr>
    </w:p>
    <w:p w14:paraId="689F4515" w14:textId="77777777" w:rsidR="00DB3EC4" w:rsidRDefault="00DB3EC4">
      <w:pPr>
        <w:pBdr>
          <w:top w:val="nil"/>
          <w:left w:val="nil"/>
          <w:bottom w:val="nil"/>
          <w:right w:val="nil"/>
          <w:between w:val="nil"/>
        </w:pBdr>
        <w:tabs>
          <w:tab w:val="left" w:pos="4962"/>
        </w:tabs>
        <w:spacing w:after="0" w:line="360" w:lineRule="auto"/>
        <w:rPr>
          <w:color w:val="000000"/>
        </w:rPr>
      </w:pPr>
    </w:p>
    <w:p w14:paraId="412A1D6E" w14:textId="77777777" w:rsidR="00DB3EC4" w:rsidRDefault="00DB3EC4">
      <w:pPr>
        <w:pBdr>
          <w:top w:val="nil"/>
          <w:left w:val="nil"/>
          <w:bottom w:val="nil"/>
          <w:right w:val="nil"/>
          <w:between w:val="nil"/>
        </w:pBdr>
        <w:tabs>
          <w:tab w:val="left" w:pos="4962"/>
        </w:tabs>
        <w:spacing w:after="0" w:line="360" w:lineRule="auto"/>
        <w:rPr>
          <w:color w:val="000000"/>
        </w:rPr>
      </w:pPr>
    </w:p>
    <w:p w14:paraId="07B7E6E5" w14:textId="77777777" w:rsidR="00DB3EC4" w:rsidRDefault="00DB3EC4">
      <w:pPr>
        <w:pBdr>
          <w:top w:val="nil"/>
          <w:left w:val="nil"/>
          <w:bottom w:val="nil"/>
          <w:right w:val="nil"/>
          <w:between w:val="nil"/>
        </w:pBdr>
        <w:tabs>
          <w:tab w:val="left" w:pos="4962"/>
        </w:tabs>
        <w:spacing w:after="0" w:line="360" w:lineRule="auto"/>
        <w:rPr>
          <w:color w:val="000000"/>
        </w:rPr>
      </w:pPr>
    </w:p>
    <w:p w14:paraId="3521A22E" w14:textId="77777777" w:rsidR="00DB3EC4" w:rsidRDefault="00DB3EC4">
      <w:pPr>
        <w:pBdr>
          <w:top w:val="nil"/>
          <w:left w:val="nil"/>
          <w:bottom w:val="nil"/>
          <w:right w:val="nil"/>
          <w:between w:val="nil"/>
        </w:pBdr>
        <w:tabs>
          <w:tab w:val="left" w:pos="4962"/>
        </w:tabs>
        <w:spacing w:after="0" w:line="360" w:lineRule="auto"/>
        <w:rPr>
          <w:color w:val="000000"/>
        </w:rPr>
      </w:pPr>
    </w:p>
    <w:p w14:paraId="66578105" w14:textId="77777777" w:rsidR="00DB3EC4" w:rsidRDefault="00DB3EC4">
      <w:pPr>
        <w:pBdr>
          <w:top w:val="nil"/>
          <w:left w:val="nil"/>
          <w:bottom w:val="nil"/>
          <w:right w:val="nil"/>
          <w:between w:val="nil"/>
        </w:pBdr>
        <w:tabs>
          <w:tab w:val="left" w:pos="4962"/>
        </w:tabs>
        <w:spacing w:after="0" w:line="360" w:lineRule="auto"/>
        <w:rPr>
          <w:color w:val="000000"/>
        </w:rPr>
      </w:pPr>
    </w:p>
    <w:sectPr w:rsidR="00DB3EC4">
      <w:headerReference w:type="even" r:id="rId10"/>
      <w:headerReference w:type="default" r:id="rId11"/>
      <w:footerReference w:type="even" r:id="rId12"/>
      <w:footerReference w:type="default" r:id="rId13"/>
      <w:headerReference w:type="first" r:id="rId14"/>
      <w:footerReference w:type="first" r:id="rId15"/>
      <w:pgSz w:w="12240" w:h="15840"/>
      <w:pgMar w:top="1418" w:right="1325" w:bottom="1134" w:left="1701" w:header="0"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B049E" w14:textId="77777777" w:rsidR="00C775A5" w:rsidRDefault="00C775A5">
      <w:pPr>
        <w:spacing w:after="0" w:line="240" w:lineRule="auto"/>
      </w:pPr>
      <w:r>
        <w:separator/>
      </w:r>
    </w:p>
  </w:endnote>
  <w:endnote w:type="continuationSeparator" w:id="0">
    <w:p w14:paraId="7107CED8" w14:textId="77777777" w:rsidR="00C775A5" w:rsidRDefault="00C7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embedRegular r:id="rId1" w:fontKey="{80CB8BED-DAF8-49C6-B677-C81C4AA3C94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CB46EF56-1010-4D92-BDF9-96175164BFE6}"/>
    <w:embedBold r:id="rId3" w:fontKey="{566D2213-68E2-41E7-99A9-39A7E2B43660}"/>
    <w:embedItalic r:id="rId4" w:fontKey="{39B39B59-9129-4D34-BA6C-A5E43FD7D185}"/>
    <w:embedBoldItalic r:id="rId5" w:fontKey="{2E4582F6-4323-4CFE-B399-79AA8C18924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E554A626-A6F3-4FC0-ACAA-ACD5A4AC1A05}"/>
  </w:font>
  <w:font w:name="Georgia">
    <w:panose1 w:val="02040502050405020303"/>
    <w:charset w:val="00"/>
    <w:family w:val="roman"/>
    <w:pitch w:val="variable"/>
    <w:sig w:usb0="00000287" w:usb1="00000000" w:usb2="00000000" w:usb3="00000000" w:csb0="0000009F" w:csb1="00000000"/>
    <w:embedItalic r:id="rId7" w:fontKey="{29AE181C-9C1F-44D1-ACB1-4EC58C3CAE50}"/>
  </w:font>
  <w:font w:name="Calibri">
    <w:panose1 w:val="020F0502020204030204"/>
    <w:charset w:val="00"/>
    <w:family w:val="swiss"/>
    <w:pitch w:val="variable"/>
    <w:sig w:usb0="E4002EFF" w:usb1="C200247B" w:usb2="00000009" w:usb3="00000000" w:csb0="000001FF" w:csb1="00000000"/>
    <w:embedRegular r:id="rId8" w:fontKey="{ED484C64-9F72-4E6D-B093-46FF57506D33}"/>
  </w:font>
  <w:font w:name="Garamond">
    <w:panose1 w:val="02020404030301010803"/>
    <w:charset w:val="00"/>
    <w:family w:val="roman"/>
    <w:pitch w:val="variable"/>
    <w:sig w:usb0="00000287" w:usb1="00000000" w:usb2="00000000" w:usb3="00000000" w:csb0="0000009F" w:csb1="00000000"/>
    <w:embedRegular r:id="rId9" w:fontKey="{D0849341-ECFC-42E4-BB13-B0F4371EC2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7280B" w14:textId="77777777" w:rsidR="00DB3EC4" w:rsidRDefault="00CE759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sidR="00F76120">
      <w:rPr>
        <w:b/>
        <w:bCs/>
        <w:color w:val="000000"/>
        <w:sz w:val="24"/>
        <w:szCs w:val="24"/>
      </w:rPr>
      <w:fldChar w:fldCharType="separate"/>
    </w:r>
    <w:r w:rsidR="00F76120">
      <w:rPr>
        <w:b/>
        <w:bCs/>
        <w:noProof/>
        <w:color w:val="000000"/>
        <w:sz w:val="24"/>
        <w:szCs w:val="24"/>
      </w:rPr>
      <w:t>21</w:t>
    </w:r>
    <w:r>
      <w:rPr>
        <w:b/>
        <w:bCs/>
        <w:color w:val="000000"/>
        <w:sz w:val="24"/>
        <w:szCs w:val="24"/>
      </w:rPr>
      <w:fldChar w:fldCharType="end"/>
    </w:r>
  </w:p>
  <w:p w14:paraId="0B87E9B8" w14:textId="77777777" w:rsidR="00DB3EC4" w:rsidRDefault="00DB3EC4">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369DA" w14:textId="7400A446" w:rsidR="00DB3EC4" w:rsidRDefault="00CE759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F76120">
      <w:rPr>
        <w:b/>
        <w:bCs/>
        <w:noProof/>
        <w:color w:val="000000"/>
        <w:sz w:val="24"/>
        <w:szCs w:val="24"/>
      </w:rPr>
      <w:t>20</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F76120">
      <w:rPr>
        <w:b/>
        <w:bCs/>
        <w:noProof/>
        <w:color w:val="000000"/>
        <w:sz w:val="24"/>
        <w:szCs w:val="24"/>
      </w:rPr>
      <w:t>21</w:t>
    </w:r>
    <w:r>
      <w:rPr>
        <w:b/>
        <w:bCs/>
        <w:color w:val="000000"/>
        <w:sz w:val="24"/>
        <w:szCs w:val="24"/>
      </w:rPr>
      <w:fldChar w:fldCharType="end"/>
    </w:r>
  </w:p>
  <w:p w14:paraId="2580A158" w14:textId="77777777" w:rsidR="00DB3EC4" w:rsidRDefault="00DB3EC4">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F1A5A" w14:textId="77777777" w:rsidR="00DB3EC4" w:rsidRDefault="00CE759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F76120">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F76120">
      <w:rPr>
        <w:b/>
        <w:bCs/>
        <w:noProof/>
        <w:color w:val="000000"/>
        <w:sz w:val="24"/>
        <w:szCs w:val="24"/>
      </w:rPr>
      <w:t>21</w:t>
    </w:r>
    <w:r>
      <w:rPr>
        <w:b/>
        <w:bCs/>
        <w:color w:val="000000"/>
        <w:sz w:val="24"/>
        <w:szCs w:val="24"/>
      </w:rPr>
      <w:fldChar w:fldCharType="end"/>
    </w:r>
  </w:p>
  <w:p w14:paraId="2C12EC80" w14:textId="77777777" w:rsidR="00DB3EC4" w:rsidRDefault="00DB3EC4">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40132" w14:textId="77777777" w:rsidR="00C775A5" w:rsidRDefault="00C775A5">
      <w:pPr>
        <w:spacing w:after="0" w:line="240" w:lineRule="auto"/>
      </w:pPr>
      <w:r>
        <w:separator/>
      </w:r>
    </w:p>
  </w:footnote>
  <w:footnote w:type="continuationSeparator" w:id="0">
    <w:p w14:paraId="151899E3" w14:textId="77777777" w:rsidR="00C775A5" w:rsidRDefault="00C775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87CC8" w14:textId="77777777" w:rsidR="00DB3EC4" w:rsidRDefault="00DB3EC4">
    <w:pPr>
      <w:widowControl w:val="0"/>
      <w:pBdr>
        <w:top w:val="nil"/>
        <w:left w:val="nil"/>
        <w:bottom w:val="nil"/>
        <w:right w:val="nil"/>
        <w:between w:val="nil"/>
      </w:pBdr>
      <w:spacing w:after="0" w:line="276" w:lineRule="auto"/>
      <w:jc w:val="left"/>
      <w:rPr>
        <w:color w:val="000000"/>
      </w:rPr>
    </w:pPr>
  </w:p>
  <w:tbl>
    <w:tblPr>
      <w:tblStyle w:val="a5"/>
      <w:tblW w:w="5991"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404"/>
      <w:gridCol w:w="3587"/>
    </w:tblGrid>
    <w:tr w:rsidR="00DB3EC4" w14:paraId="241ED1EA" w14:textId="77777777">
      <w:trPr>
        <w:trHeight w:val="141"/>
      </w:trPr>
      <w:tc>
        <w:tcPr>
          <w:tcW w:w="2404" w:type="dxa"/>
        </w:tcPr>
        <w:p w14:paraId="2227D4AF" w14:textId="77777777" w:rsidR="00DB3EC4" w:rsidRDefault="00CE7591">
          <w:pPr>
            <w:tabs>
              <w:tab w:val="right" w:pos="8838"/>
            </w:tabs>
            <w:ind w:right="-105"/>
            <w:rPr>
              <w:b/>
              <w:bCs/>
            </w:rPr>
          </w:pPr>
          <w:r>
            <w:rPr>
              <w:b/>
              <w:bCs/>
            </w:rPr>
            <w:t>Recurso de Revisión:</w:t>
          </w:r>
        </w:p>
      </w:tc>
      <w:tc>
        <w:tcPr>
          <w:tcW w:w="3587" w:type="dxa"/>
        </w:tcPr>
        <w:p w14:paraId="6D16F0BF" w14:textId="77777777" w:rsidR="00DB3EC4" w:rsidRDefault="00CE7591">
          <w:pPr>
            <w:tabs>
              <w:tab w:val="right" w:pos="8838"/>
            </w:tabs>
            <w:ind w:left="-28" w:right="683"/>
          </w:pPr>
          <w:r>
            <w:t>04196/INFOEM/IP/RR/2020</w:t>
          </w:r>
        </w:p>
      </w:tc>
    </w:tr>
    <w:tr w:rsidR="00DB3EC4" w14:paraId="30A7F7D6" w14:textId="77777777">
      <w:trPr>
        <w:trHeight w:val="276"/>
      </w:trPr>
      <w:tc>
        <w:tcPr>
          <w:tcW w:w="2404" w:type="dxa"/>
        </w:tcPr>
        <w:p w14:paraId="4D67C185" w14:textId="77777777" w:rsidR="00DB3EC4" w:rsidRDefault="00CE7591">
          <w:pPr>
            <w:tabs>
              <w:tab w:val="right" w:pos="8838"/>
            </w:tabs>
            <w:ind w:right="-105"/>
            <w:rPr>
              <w:b/>
              <w:bCs/>
            </w:rPr>
          </w:pPr>
          <w:r>
            <w:rPr>
              <w:b/>
              <w:bCs/>
            </w:rPr>
            <w:t>Sujeto Obligado:</w:t>
          </w:r>
        </w:p>
      </w:tc>
      <w:tc>
        <w:tcPr>
          <w:tcW w:w="3587" w:type="dxa"/>
        </w:tcPr>
        <w:p w14:paraId="2077D80C" w14:textId="77777777" w:rsidR="00DB3EC4" w:rsidRDefault="00CE7591">
          <w:pPr>
            <w:tabs>
              <w:tab w:val="right" w:pos="8838"/>
            </w:tabs>
            <w:ind w:right="116"/>
          </w:pPr>
          <w:r>
            <w:t>Ayuntamiento de Chapultepec</w:t>
          </w:r>
        </w:p>
      </w:tc>
    </w:tr>
    <w:tr w:rsidR="00DB3EC4" w14:paraId="507642C7" w14:textId="77777777">
      <w:trPr>
        <w:trHeight w:val="276"/>
      </w:trPr>
      <w:tc>
        <w:tcPr>
          <w:tcW w:w="2404" w:type="dxa"/>
        </w:tcPr>
        <w:p w14:paraId="36DB9E6A" w14:textId="77777777" w:rsidR="00DB3EC4" w:rsidRDefault="00CE7591">
          <w:pPr>
            <w:tabs>
              <w:tab w:val="right" w:pos="8838"/>
            </w:tabs>
            <w:ind w:right="-105"/>
            <w:rPr>
              <w:b/>
              <w:bCs/>
            </w:rPr>
          </w:pPr>
          <w:r>
            <w:rPr>
              <w:b/>
              <w:bCs/>
            </w:rPr>
            <w:t>Comisionado Ponente:</w:t>
          </w:r>
        </w:p>
      </w:tc>
      <w:tc>
        <w:tcPr>
          <w:tcW w:w="3587" w:type="dxa"/>
        </w:tcPr>
        <w:p w14:paraId="225921E6" w14:textId="77777777" w:rsidR="00DB3EC4" w:rsidRDefault="00CE7591">
          <w:pPr>
            <w:tabs>
              <w:tab w:val="right" w:pos="8838"/>
            </w:tabs>
            <w:ind w:right="-32"/>
          </w:pPr>
          <w:r>
            <w:t>Luis Gustavo Parra Noriega</w:t>
          </w:r>
        </w:p>
      </w:tc>
    </w:tr>
  </w:tbl>
  <w:p w14:paraId="63ECBE68" w14:textId="77777777" w:rsidR="00DB3EC4" w:rsidRDefault="00C775A5">
    <w:pPr>
      <w:pBdr>
        <w:top w:val="nil"/>
        <w:left w:val="nil"/>
        <w:bottom w:val="nil"/>
        <w:right w:val="nil"/>
        <w:between w:val="nil"/>
      </w:pBdr>
      <w:tabs>
        <w:tab w:val="center" w:pos="4419"/>
        <w:tab w:val="right" w:pos="8838"/>
      </w:tabs>
      <w:spacing w:after="0" w:line="240" w:lineRule="auto"/>
      <w:rPr>
        <w:color w:val="000000"/>
      </w:rPr>
    </w:pPr>
    <w:r>
      <w:rPr>
        <w:color w:val="000000"/>
      </w:rPr>
      <w:pict w14:anchorId="43378F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61C25" w14:textId="77777777" w:rsidR="00DB3EC4" w:rsidRDefault="00DB3EC4">
    <w:pPr>
      <w:rPr>
        <w:sz w:val="16"/>
        <w:szCs w:val="16"/>
      </w:rPr>
    </w:pPr>
  </w:p>
  <w:tbl>
    <w:tblPr>
      <w:tblStyle w:val="a6"/>
      <w:tblW w:w="7088" w:type="dxa"/>
      <w:tblInd w:w="2410" w:type="dxa"/>
      <w:tblBorders>
        <w:top w:val="nil"/>
        <w:left w:val="nil"/>
        <w:bottom w:val="nil"/>
        <w:right w:val="nil"/>
        <w:insideH w:val="nil"/>
        <w:insideV w:val="nil"/>
      </w:tblBorders>
      <w:tblLayout w:type="fixed"/>
      <w:tblLook w:val="0400" w:firstRow="0" w:lastRow="0" w:firstColumn="0" w:lastColumn="0" w:noHBand="0" w:noVBand="1"/>
    </w:tblPr>
    <w:tblGrid>
      <w:gridCol w:w="2497"/>
      <w:gridCol w:w="4591"/>
    </w:tblGrid>
    <w:tr w:rsidR="00DB3EC4" w14:paraId="16752749" w14:textId="77777777">
      <w:trPr>
        <w:trHeight w:val="135"/>
      </w:trPr>
      <w:tc>
        <w:tcPr>
          <w:tcW w:w="2497" w:type="dxa"/>
        </w:tcPr>
        <w:p w14:paraId="5E328BF6" w14:textId="77777777" w:rsidR="00DB3EC4" w:rsidRDefault="00DB3EC4">
          <w:pPr>
            <w:tabs>
              <w:tab w:val="right" w:pos="8838"/>
            </w:tabs>
            <w:ind w:left="-395" w:right="-105" w:firstLine="395"/>
            <w:rPr>
              <w:b/>
              <w:bCs/>
            </w:rPr>
          </w:pPr>
        </w:p>
        <w:p w14:paraId="54303202" w14:textId="77777777" w:rsidR="00DB3EC4" w:rsidRDefault="00CE7591">
          <w:pPr>
            <w:tabs>
              <w:tab w:val="right" w:pos="8838"/>
            </w:tabs>
            <w:ind w:left="-395" w:right="-105" w:firstLine="395"/>
            <w:rPr>
              <w:b/>
              <w:bCs/>
            </w:rPr>
          </w:pPr>
          <w:r>
            <w:rPr>
              <w:b/>
              <w:bCs/>
            </w:rPr>
            <w:t>Recurso de Revisión:</w:t>
          </w:r>
        </w:p>
      </w:tc>
      <w:tc>
        <w:tcPr>
          <w:tcW w:w="4591" w:type="dxa"/>
        </w:tcPr>
        <w:p w14:paraId="57FB682B" w14:textId="77777777" w:rsidR="00DB3EC4" w:rsidRDefault="00DB3EC4">
          <w:pPr>
            <w:tabs>
              <w:tab w:val="right" w:pos="8838"/>
            </w:tabs>
            <w:ind w:right="176"/>
          </w:pPr>
        </w:p>
        <w:p w14:paraId="62D8139C" w14:textId="77777777" w:rsidR="00DB3EC4" w:rsidRDefault="00CE7591">
          <w:pPr>
            <w:tabs>
              <w:tab w:val="right" w:pos="8838"/>
            </w:tabs>
            <w:ind w:right="176"/>
          </w:pPr>
          <w:r>
            <w:t>00876/INFOEM/IP/RR/2026</w:t>
          </w:r>
        </w:p>
      </w:tc>
    </w:tr>
    <w:tr w:rsidR="00DB3EC4" w14:paraId="09925AC7" w14:textId="77777777">
      <w:trPr>
        <w:trHeight w:val="264"/>
      </w:trPr>
      <w:tc>
        <w:tcPr>
          <w:tcW w:w="2497" w:type="dxa"/>
        </w:tcPr>
        <w:p w14:paraId="2770C64E" w14:textId="77777777" w:rsidR="00DB3EC4" w:rsidRDefault="00CE7591">
          <w:pPr>
            <w:tabs>
              <w:tab w:val="right" w:pos="8838"/>
            </w:tabs>
            <w:ind w:right="-105"/>
            <w:rPr>
              <w:b/>
              <w:bCs/>
            </w:rPr>
          </w:pPr>
          <w:r>
            <w:rPr>
              <w:b/>
              <w:bCs/>
            </w:rPr>
            <w:t>Sujeto Obligado:</w:t>
          </w:r>
        </w:p>
      </w:tc>
      <w:tc>
        <w:tcPr>
          <w:tcW w:w="4591" w:type="dxa"/>
        </w:tcPr>
        <w:p w14:paraId="2C746D50" w14:textId="77777777" w:rsidR="00DB3EC4" w:rsidRDefault="00CE7591">
          <w:pPr>
            <w:tabs>
              <w:tab w:val="left" w:pos="3158"/>
              <w:tab w:val="left" w:pos="4292"/>
              <w:tab w:val="right" w:pos="8838"/>
            </w:tabs>
            <w:ind w:right="176"/>
          </w:pPr>
          <w:r>
            <w:t>Ayuntamiento de Melchor Ocampo</w:t>
          </w:r>
        </w:p>
      </w:tc>
    </w:tr>
    <w:tr w:rsidR="00DB3EC4" w14:paraId="271A5D3C" w14:textId="77777777">
      <w:trPr>
        <w:trHeight w:val="264"/>
      </w:trPr>
      <w:tc>
        <w:tcPr>
          <w:tcW w:w="2497" w:type="dxa"/>
        </w:tcPr>
        <w:p w14:paraId="4EB1270F" w14:textId="77777777" w:rsidR="00DB3EC4" w:rsidRDefault="00CE7591">
          <w:pPr>
            <w:tabs>
              <w:tab w:val="right" w:pos="8838"/>
            </w:tabs>
            <w:ind w:right="-105"/>
            <w:rPr>
              <w:b/>
              <w:bCs/>
            </w:rPr>
          </w:pPr>
          <w:r>
            <w:rPr>
              <w:b/>
              <w:bCs/>
            </w:rPr>
            <w:t>Comisionado Ponente:</w:t>
          </w:r>
        </w:p>
      </w:tc>
      <w:tc>
        <w:tcPr>
          <w:tcW w:w="4591" w:type="dxa"/>
        </w:tcPr>
        <w:p w14:paraId="7D344F13" w14:textId="77777777" w:rsidR="00DB3EC4" w:rsidRDefault="00CE7591">
          <w:pPr>
            <w:tabs>
              <w:tab w:val="right" w:pos="8838"/>
            </w:tabs>
            <w:ind w:right="176"/>
          </w:pPr>
          <w:r>
            <w:t>Luis Gustavo Parra Noriega</w:t>
          </w:r>
        </w:p>
        <w:p w14:paraId="5ACA89EE" w14:textId="77777777" w:rsidR="00DB3EC4" w:rsidRDefault="00DB3EC4">
          <w:pPr>
            <w:tabs>
              <w:tab w:val="right" w:pos="8838"/>
            </w:tabs>
            <w:ind w:right="176"/>
          </w:pPr>
        </w:p>
      </w:tc>
    </w:tr>
  </w:tbl>
  <w:p w14:paraId="39777E3F" w14:textId="77777777" w:rsidR="00DB3EC4" w:rsidRDefault="00C775A5">
    <w:pPr>
      <w:pBdr>
        <w:top w:val="nil"/>
        <w:left w:val="nil"/>
        <w:bottom w:val="nil"/>
        <w:right w:val="nil"/>
        <w:between w:val="nil"/>
      </w:pBdr>
      <w:tabs>
        <w:tab w:val="center" w:pos="4419"/>
        <w:tab w:val="right" w:pos="8838"/>
      </w:tabs>
      <w:spacing w:after="0" w:line="240" w:lineRule="auto"/>
      <w:rPr>
        <w:color w:val="000000"/>
      </w:rPr>
    </w:pPr>
    <w:r>
      <w:rPr>
        <w:color w:val="000000"/>
      </w:rPr>
      <w:pict w14:anchorId="3A2614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MARCA DE AGUA - HOJA RESOLUCIÓN" style="position:absolute;left:0;text-align:left;margin-left:0;margin-top:0;width:663.5pt;height:12in;z-index:-251659776;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1B79F" w14:textId="77777777" w:rsidR="00DB3EC4" w:rsidRDefault="00C775A5">
    <w:pPr>
      <w:widowControl w:val="0"/>
      <w:pBdr>
        <w:top w:val="nil"/>
        <w:left w:val="nil"/>
        <w:bottom w:val="nil"/>
        <w:right w:val="nil"/>
        <w:between w:val="nil"/>
      </w:pBdr>
      <w:spacing w:after="0" w:line="276" w:lineRule="auto"/>
      <w:jc w:val="left"/>
      <w:rPr>
        <w:color w:val="000000"/>
      </w:rPr>
    </w:pPr>
    <w:r>
      <w:rPr>
        <w:color w:val="000000"/>
      </w:rPr>
      <w:pict w14:anchorId="3CE1FA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MARCA DE AGUA - HOJA RESOLUCIÓN" style="position:absolute;margin-left:-97.1pt;margin-top:-123.85pt;width:663.5pt;height:12in;z-index:-251658752;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tbl>
    <w:tblPr>
      <w:tblStyle w:val="a7"/>
      <w:tblW w:w="9214" w:type="dxa"/>
      <w:tblInd w:w="0" w:type="dxa"/>
      <w:tblLayout w:type="fixed"/>
      <w:tblLook w:val="0400" w:firstRow="0" w:lastRow="0" w:firstColumn="0" w:lastColumn="0" w:noHBand="0" w:noVBand="1"/>
    </w:tblPr>
    <w:tblGrid>
      <w:gridCol w:w="2127"/>
      <w:gridCol w:w="7087"/>
    </w:tblGrid>
    <w:tr w:rsidR="00DB3EC4" w14:paraId="78FE3D93" w14:textId="77777777">
      <w:trPr>
        <w:trHeight w:val="1546"/>
      </w:trPr>
      <w:tc>
        <w:tcPr>
          <w:tcW w:w="2127" w:type="dxa"/>
        </w:tcPr>
        <w:p w14:paraId="295E3E42" w14:textId="77777777" w:rsidR="00DB3EC4" w:rsidRDefault="00DB3EC4">
          <w:pPr>
            <w:tabs>
              <w:tab w:val="right" w:pos="4273"/>
            </w:tabs>
            <w:rPr>
              <w:rFonts w:ascii="Garamond" w:eastAsia="Garamond" w:hAnsi="Garamond" w:cs="Garamond"/>
              <w:sz w:val="16"/>
              <w:szCs w:val="16"/>
            </w:rPr>
          </w:pPr>
        </w:p>
      </w:tc>
      <w:tc>
        <w:tcPr>
          <w:tcW w:w="7087" w:type="dxa"/>
        </w:tcPr>
        <w:p w14:paraId="1F87283F" w14:textId="77777777" w:rsidR="00DB3EC4" w:rsidRDefault="00DB3EC4">
          <w:pPr>
            <w:rPr>
              <w:sz w:val="10"/>
              <w:szCs w:val="10"/>
            </w:rPr>
          </w:pPr>
        </w:p>
        <w:tbl>
          <w:tblPr>
            <w:tblStyle w:val="a8"/>
            <w:tblW w:w="6384" w:type="dxa"/>
            <w:tblInd w:w="595" w:type="dxa"/>
            <w:tblLayout w:type="fixed"/>
            <w:tblLook w:val="0400" w:firstRow="0" w:lastRow="0" w:firstColumn="0" w:lastColumn="0" w:noHBand="0" w:noVBand="1"/>
          </w:tblPr>
          <w:tblGrid>
            <w:gridCol w:w="2376"/>
            <w:gridCol w:w="4008"/>
          </w:tblGrid>
          <w:tr w:rsidR="00DB3EC4" w14:paraId="3D762B89" w14:textId="77777777">
            <w:trPr>
              <w:trHeight w:val="427"/>
            </w:trPr>
            <w:tc>
              <w:tcPr>
                <w:tcW w:w="2376" w:type="dxa"/>
                <w:vAlign w:val="bottom"/>
              </w:tcPr>
              <w:p w14:paraId="1F1FAA31" w14:textId="77777777" w:rsidR="00DB3EC4" w:rsidRDefault="00CE7591">
                <w:pPr>
                  <w:tabs>
                    <w:tab w:val="right" w:pos="8838"/>
                  </w:tabs>
                  <w:ind w:right="-105"/>
                  <w:rPr>
                    <w:b/>
                    <w:bCs/>
                  </w:rPr>
                </w:pPr>
                <w:r>
                  <w:rPr>
                    <w:b/>
                    <w:bCs/>
                  </w:rPr>
                  <w:t>Recurso de Revisión:</w:t>
                </w:r>
              </w:p>
            </w:tc>
            <w:tc>
              <w:tcPr>
                <w:tcW w:w="4008" w:type="dxa"/>
              </w:tcPr>
              <w:p w14:paraId="1CD0E136" w14:textId="77777777" w:rsidR="00DB3EC4" w:rsidRDefault="00DB3EC4">
                <w:pPr>
                  <w:tabs>
                    <w:tab w:val="right" w:pos="8838"/>
                  </w:tabs>
                  <w:ind w:left="-28" w:right="-107"/>
                  <w:rPr>
                    <w:b/>
                    <w:bCs/>
                  </w:rPr>
                </w:pPr>
              </w:p>
              <w:p w14:paraId="145C8C11" w14:textId="77777777" w:rsidR="00DB3EC4" w:rsidRDefault="00CE7591">
                <w:pPr>
                  <w:tabs>
                    <w:tab w:val="right" w:pos="8838"/>
                  </w:tabs>
                  <w:ind w:left="-28" w:right="-107"/>
                </w:pPr>
                <w:r>
                  <w:t>00876/INFOEM/IP/RR/2026</w:t>
                </w:r>
              </w:p>
            </w:tc>
          </w:tr>
          <w:tr w:rsidR="00DB3EC4" w14:paraId="28EDA8ED" w14:textId="77777777">
            <w:trPr>
              <w:trHeight w:val="141"/>
            </w:trPr>
            <w:tc>
              <w:tcPr>
                <w:tcW w:w="2376" w:type="dxa"/>
              </w:tcPr>
              <w:p w14:paraId="79710BEB" w14:textId="77777777" w:rsidR="00DB3EC4" w:rsidRDefault="00CE7591">
                <w:pPr>
                  <w:tabs>
                    <w:tab w:val="right" w:pos="8838"/>
                  </w:tabs>
                  <w:ind w:right="-105"/>
                  <w:rPr>
                    <w:b/>
                    <w:bCs/>
                  </w:rPr>
                </w:pPr>
                <w:r>
                  <w:rPr>
                    <w:b/>
                    <w:bCs/>
                  </w:rPr>
                  <w:t>Recurrente:</w:t>
                </w:r>
              </w:p>
            </w:tc>
            <w:tc>
              <w:tcPr>
                <w:tcW w:w="4008" w:type="dxa"/>
              </w:tcPr>
              <w:p w14:paraId="00E33ED2" w14:textId="77777777" w:rsidR="00DB3EC4" w:rsidRDefault="00CE7591">
                <w:pPr>
                  <w:tabs>
                    <w:tab w:val="right" w:pos="8838"/>
                  </w:tabs>
                  <w:ind w:right="-107"/>
                </w:pPr>
                <w:r>
                  <w:t xml:space="preserve"> </w:t>
                </w:r>
              </w:p>
            </w:tc>
          </w:tr>
          <w:tr w:rsidR="00DB3EC4" w14:paraId="06CB18B1" w14:textId="77777777">
            <w:trPr>
              <w:trHeight w:val="276"/>
            </w:trPr>
            <w:tc>
              <w:tcPr>
                <w:tcW w:w="2376" w:type="dxa"/>
              </w:tcPr>
              <w:p w14:paraId="40764D23" w14:textId="77777777" w:rsidR="00DB3EC4" w:rsidRDefault="00CE7591">
                <w:pPr>
                  <w:tabs>
                    <w:tab w:val="right" w:pos="8838"/>
                  </w:tabs>
                  <w:ind w:right="-105"/>
                  <w:rPr>
                    <w:b/>
                    <w:bCs/>
                  </w:rPr>
                </w:pPr>
                <w:r>
                  <w:rPr>
                    <w:b/>
                    <w:bCs/>
                  </w:rPr>
                  <w:t>Sujeto Obligado:</w:t>
                </w:r>
              </w:p>
            </w:tc>
            <w:tc>
              <w:tcPr>
                <w:tcW w:w="4008" w:type="dxa"/>
              </w:tcPr>
              <w:p w14:paraId="157A102C" w14:textId="77777777" w:rsidR="00DB3EC4" w:rsidRDefault="00CE7591">
                <w:pPr>
                  <w:tabs>
                    <w:tab w:val="right" w:pos="8838"/>
                  </w:tabs>
                  <w:ind w:right="33"/>
                </w:pPr>
                <w:r>
                  <w:t>Ayuntamiento de Melchor Ocampo</w:t>
                </w:r>
              </w:p>
            </w:tc>
          </w:tr>
          <w:tr w:rsidR="00DB3EC4" w14:paraId="55D35D67" w14:textId="77777777">
            <w:trPr>
              <w:trHeight w:val="276"/>
            </w:trPr>
            <w:tc>
              <w:tcPr>
                <w:tcW w:w="2376" w:type="dxa"/>
              </w:tcPr>
              <w:p w14:paraId="387EF453" w14:textId="77777777" w:rsidR="00DB3EC4" w:rsidRDefault="00CE7591">
                <w:pPr>
                  <w:tabs>
                    <w:tab w:val="right" w:pos="8838"/>
                  </w:tabs>
                  <w:ind w:right="-105"/>
                  <w:rPr>
                    <w:b/>
                    <w:bCs/>
                  </w:rPr>
                </w:pPr>
                <w:r>
                  <w:rPr>
                    <w:b/>
                    <w:bCs/>
                  </w:rPr>
                  <w:t>Comisionado Ponente:</w:t>
                </w:r>
              </w:p>
            </w:tc>
            <w:tc>
              <w:tcPr>
                <w:tcW w:w="4008" w:type="dxa"/>
              </w:tcPr>
              <w:p w14:paraId="796FEC91" w14:textId="77777777" w:rsidR="00DB3EC4" w:rsidRDefault="00CE7591">
                <w:pPr>
                  <w:tabs>
                    <w:tab w:val="right" w:pos="8838"/>
                  </w:tabs>
                  <w:ind w:right="-107"/>
                </w:pPr>
                <w:r>
                  <w:t>Luis Gustavo Parra Noriega</w:t>
                </w:r>
              </w:p>
            </w:tc>
          </w:tr>
        </w:tbl>
        <w:p w14:paraId="28B31375" w14:textId="77777777" w:rsidR="00DB3EC4" w:rsidRDefault="00DB3EC4">
          <w:pPr>
            <w:tabs>
              <w:tab w:val="right" w:pos="8838"/>
            </w:tabs>
            <w:ind w:left="-28"/>
            <w:rPr>
              <w:rFonts w:ascii="Arial" w:eastAsia="Arial" w:hAnsi="Arial" w:cs="Arial"/>
              <w:b/>
              <w:bCs/>
            </w:rPr>
          </w:pPr>
        </w:p>
      </w:tc>
    </w:tr>
  </w:tbl>
  <w:p w14:paraId="4C8D3AF2" w14:textId="77777777" w:rsidR="00DB3EC4" w:rsidRDefault="00DB3EC4">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C5F2F"/>
    <w:multiLevelType w:val="multilevel"/>
    <w:tmpl w:val="D49CF5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0A66B6"/>
    <w:multiLevelType w:val="multilevel"/>
    <w:tmpl w:val="37DEC4C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024E7B"/>
    <w:multiLevelType w:val="multilevel"/>
    <w:tmpl w:val="FE709CC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DBB4B75"/>
    <w:multiLevelType w:val="multilevel"/>
    <w:tmpl w:val="10A85D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50557C1"/>
    <w:multiLevelType w:val="multilevel"/>
    <w:tmpl w:val="A88A4A70"/>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EC4"/>
    <w:rsid w:val="00343F9B"/>
    <w:rsid w:val="004B79A8"/>
    <w:rsid w:val="00620E90"/>
    <w:rsid w:val="008C6C4B"/>
    <w:rsid w:val="00945033"/>
    <w:rsid w:val="00C775A5"/>
    <w:rsid w:val="00CE7591"/>
    <w:rsid w:val="00DB3EC4"/>
    <w:rsid w:val="00E62A2A"/>
    <w:rsid w:val="00F761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06025E7"/>
  <w15:docId w15:val="{7981A79D-22ED-924F-9BD3-DB44E51EE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line="360" w:lineRule="auto"/>
      <w:jc w:val="center"/>
      <w:outlineLvl w:val="0"/>
    </w:pPr>
    <w:rPr>
      <w:b/>
      <w:bCs/>
      <w:sz w:val="24"/>
      <w:szCs w:val="24"/>
    </w:rPr>
  </w:style>
  <w:style w:type="paragraph" w:styleId="Ttulo2">
    <w:name w:val="heading 2"/>
    <w:basedOn w:val="Normal"/>
    <w:next w:val="Normal"/>
    <w:uiPriority w:val="9"/>
    <w:unhideWhenUsed/>
    <w:qFormat/>
    <w:pPr>
      <w:keepNext/>
      <w:keepLines/>
      <w:spacing w:before="360" w:after="80" w:line="360" w:lineRule="auto"/>
      <w:jc w:val="left"/>
      <w:outlineLvl w:val="1"/>
    </w:pPr>
    <w:rPr>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10">
    <w:name w:val="TableNormal1"/>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14">
    <w:name w:val="Table Normal14"/>
    <w:tblPr>
      <w:tblCellMar>
        <w:top w:w="0" w:type="dxa"/>
        <w:left w:w="0" w:type="dxa"/>
        <w:bottom w:w="0" w:type="dxa"/>
        <w:right w:w="0" w:type="dxa"/>
      </w:tblCellMar>
    </w:tblPr>
  </w:style>
  <w:style w:type="table" w:customStyle="1" w:styleId="TableNormal13">
    <w:name w:val="Table Normal13"/>
    <w:tblPr>
      <w:tblCellMar>
        <w:top w:w="0" w:type="dxa"/>
        <w:left w:w="0" w:type="dxa"/>
        <w:bottom w:w="0" w:type="dxa"/>
        <w:right w:w="0" w:type="dxa"/>
      </w:tblCellMar>
    </w:tblPr>
  </w:style>
  <w:style w:type="table" w:customStyle="1" w:styleId="TableNormal12">
    <w:name w:val="Table Normal12"/>
    <w:tblPr>
      <w:tblCellMar>
        <w:top w:w="0" w:type="dxa"/>
        <w:left w:w="0" w:type="dxa"/>
        <w:bottom w:w="0" w:type="dxa"/>
        <w:right w:w="0" w:type="dxa"/>
      </w:tblCellMar>
    </w:tblPr>
  </w:style>
  <w:style w:type="table" w:customStyle="1" w:styleId="TableNormal11">
    <w:name w:val="Table Normal11"/>
    <w:tblPr>
      <w:tblCellMar>
        <w:top w:w="0" w:type="dxa"/>
        <w:left w:w="0" w:type="dxa"/>
        <w:bottom w:w="0" w:type="dxa"/>
        <w:right w:w="0" w:type="dxa"/>
      </w:tblCellMar>
    </w:tblPr>
  </w:style>
  <w:style w:type="table" w:customStyle="1" w:styleId="TableNormal100">
    <w:name w:val="Table Normal10"/>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5">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853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53D1"/>
    <w:rPr>
      <w:rFonts w:ascii="Palatino Linotype" w:hAnsi="Palatino Linotype"/>
      <w:color w:val="000000" w:themeColor="text1"/>
    </w:rPr>
  </w:style>
  <w:style w:type="paragraph" w:styleId="Piedepgina">
    <w:name w:val="footer"/>
    <w:basedOn w:val="Normal"/>
    <w:link w:val="PiedepginaCar"/>
    <w:uiPriority w:val="99"/>
    <w:unhideWhenUsed/>
    <w:rsid w:val="00C853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53D1"/>
    <w:rPr>
      <w:rFonts w:ascii="Palatino Linotype" w:hAnsi="Palatino Linotype"/>
      <w:color w:val="000000" w:themeColor="text1"/>
    </w:rPr>
  </w:style>
  <w:style w:type="table" w:styleId="Tablaconcuadrcula">
    <w:name w:val="Table Grid"/>
    <w:basedOn w:val="Tablanormal"/>
    <w:uiPriority w:val="39"/>
    <w:qFormat/>
    <w:rsid w:val="00C853D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aliases w:val="Hipervínculo1,Hipervínculo11,Hipervínculo12,Hipervínculo13,Hipervínculo14,Hipervínculo15"/>
    <w:basedOn w:val="Fuentedeprrafopredeter"/>
    <w:uiPriority w:val="99"/>
    <w:unhideWhenUsed/>
    <w:qFormat/>
    <w:rsid w:val="00C853D1"/>
    <w:rPr>
      <w:color w:val="0563C1" w:themeColor="hyperlink"/>
      <w:u w:val="singl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D5686A"/>
    <w:rPr>
      <w:rFonts w:ascii="Palatino Linotype" w:eastAsia="Times New Roman" w:hAnsi="Palatino Linotype"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5686A"/>
    <w:pPr>
      <w:spacing w:after="0" w:line="240" w:lineRule="auto"/>
      <w:ind w:left="720"/>
      <w:contextualSpacing/>
    </w:pPr>
    <w:rPr>
      <w:rFonts w:eastAsia="Times New Roman" w:cs="Times New Roman"/>
      <w:szCs w:val="24"/>
      <w:lang w:eastAsia="es-ES"/>
    </w:rPr>
  </w:style>
  <w:style w:type="character" w:customStyle="1" w:styleId="Mencinsinresolver1">
    <w:name w:val="Mención sin resolver1"/>
    <w:basedOn w:val="Fuentedeprrafopredeter"/>
    <w:uiPriority w:val="99"/>
    <w:semiHidden/>
    <w:unhideWhenUsed/>
    <w:rsid w:val="0079077D"/>
    <w:rPr>
      <w:color w:val="605E5C"/>
      <w:shd w:val="clear" w:color="auto" w:fill="E1DFDD"/>
    </w:rPr>
  </w:style>
  <w:style w:type="character" w:styleId="Hipervnculovisitado">
    <w:name w:val="FollowedHyperlink"/>
    <w:basedOn w:val="Fuentedeprrafopredeter"/>
    <w:uiPriority w:val="99"/>
    <w:semiHidden/>
    <w:unhideWhenUsed/>
    <w:rsid w:val="00B85DBE"/>
    <w:rPr>
      <w:color w:val="954F72" w:themeColor="followedHyperlink"/>
      <w:u w:val="single"/>
    </w:rPr>
  </w:style>
  <w:style w:type="character" w:customStyle="1" w:styleId="dp6">
    <w:name w:val="dp6"/>
    <w:basedOn w:val="Fuentedeprrafopredeter"/>
    <w:rsid w:val="00491C3E"/>
  </w:style>
  <w:style w:type="paragraph" w:styleId="Textosinformato">
    <w:name w:val="Plain Text"/>
    <w:basedOn w:val="Normal"/>
    <w:link w:val="TextosinformatoCar"/>
    <w:rsid w:val="00273E3B"/>
    <w:pPr>
      <w:spacing w:after="0" w:line="240" w:lineRule="auto"/>
      <w:jc w:val="left"/>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273E3B"/>
    <w:rPr>
      <w:rFonts w:ascii="Courier New" w:eastAsia="Times New Roman" w:hAnsi="Courier New" w:cs="Times New Roman"/>
      <w:sz w:val="20"/>
      <w:szCs w:val="20"/>
      <w:lang w:val="x-none" w:eastAsia="es-ES"/>
    </w:rPr>
  </w:style>
  <w:style w:type="paragraph" w:customStyle="1" w:styleId="Texto">
    <w:name w:val="Texto"/>
    <w:basedOn w:val="Normal"/>
    <w:link w:val="TextoCar"/>
    <w:rsid w:val="00273E3B"/>
    <w:pPr>
      <w:spacing w:after="101" w:line="216" w:lineRule="exact"/>
      <w:ind w:firstLine="288"/>
    </w:pPr>
    <w:rPr>
      <w:rFonts w:ascii="Arial" w:eastAsia="Times New Roman" w:hAnsi="Arial" w:cs="Times New Roman"/>
      <w:sz w:val="18"/>
      <w:szCs w:val="18"/>
      <w:lang w:val="es-ES" w:eastAsia="es-ES"/>
    </w:rPr>
  </w:style>
  <w:style w:type="character" w:customStyle="1" w:styleId="TextoCar">
    <w:name w:val="Texto Car"/>
    <w:link w:val="Texto"/>
    <w:locked/>
    <w:rsid w:val="00273E3B"/>
    <w:rPr>
      <w:rFonts w:ascii="Arial" w:eastAsia="Times New Roman" w:hAnsi="Arial" w:cs="Times New Roman"/>
      <w:sz w:val="18"/>
      <w:szCs w:val="18"/>
      <w:lang w:val="es-ES" w:eastAsia="es-ES"/>
    </w:rPr>
  </w:style>
  <w:style w:type="character" w:customStyle="1" w:styleId="markedcontent">
    <w:name w:val="markedcontent"/>
    <w:basedOn w:val="Fuentedeprrafopredeter"/>
    <w:rsid w:val="003C470A"/>
  </w:style>
  <w:style w:type="paragraph" w:styleId="NormalWeb">
    <w:name w:val="Normal (Web)"/>
    <w:basedOn w:val="Normal"/>
    <w:uiPriority w:val="99"/>
    <w:unhideWhenUsed/>
    <w:rsid w:val="00682222"/>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82222"/>
  </w:style>
  <w:style w:type="character" w:customStyle="1" w:styleId="normaltextrun">
    <w:name w:val="normaltextrun"/>
    <w:basedOn w:val="Fuentedeprrafopredeter"/>
    <w:rsid w:val="00B80DA1"/>
  </w:style>
  <w:style w:type="paragraph" w:customStyle="1" w:styleId="paragraph">
    <w:name w:val="paragraph"/>
    <w:basedOn w:val="Normal"/>
    <w:rsid w:val="00B80DA1"/>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eop">
    <w:name w:val="eop"/>
    <w:basedOn w:val="Fuentedeprrafopredeter"/>
    <w:rsid w:val="00B80DA1"/>
  </w:style>
  <w:style w:type="character" w:customStyle="1" w:styleId="Mencinsinresolver2">
    <w:name w:val="Mención sin resolver2"/>
    <w:basedOn w:val="Fuentedeprrafopredeter"/>
    <w:uiPriority w:val="99"/>
    <w:semiHidden/>
    <w:unhideWhenUsed/>
    <w:rsid w:val="00AC67FF"/>
    <w:rPr>
      <w:color w:val="605E5C"/>
      <w:shd w:val="clear" w:color="auto" w:fill="E1DFDD"/>
    </w:rPr>
  </w:style>
  <w:style w:type="table" w:customStyle="1" w:styleId="88">
    <w:name w:val="88"/>
    <w:basedOn w:val="TableNormal15"/>
    <w:pPr>
      <w:spacing w:after="0" w:line="240" w:lineRule="auto"/>
    </w:pPr>
    <w:tblPr>
      <w:tblStyleRowBandSize w:val="1"/>
      <w:tblStyleColBandSize w:val="1"/>
      <w:tblCellMar>
        <w:left w:w="108" w:type="dxa"/>
        <w:right w:w="108" w:type="dxa"/>
      </w:tblCellMar>
    </w:tblPr>
  </w:style>
  <w:style w:type="table" w:customStyle="1" w:styleId="87">
    <w:name w:val="87"/>
    <w:basedOn w:val="TableNormal15"/>
    <w:pPr>
      <w:spacing w:after="0" w:line="240" w:lineRule="auto"/>
    </w:pPr>
    <w:tblPr>
      <w:tblStyleRowBandSize w:val="1"/>
      <w:tblStyleColBandSize w:val="1"/>
      <w:tblCellMar>
        <w:left w:w="108" w:type="dxa"/>
        <w:right w:w="108" w:type="dxa"/>
      </w:tblCellMar>
    </w:tblPr>
  </w:style>
  <w:style w:type="table" w:customStyle="1" w:styleId="86">
    <w:name w:val="86"/>
    <w:basedOn w:val="TableNormal15"/>
    <w:tblPr>
      <w:tblStyleRowBandSize w:val="1"/>
      <w:tblStyleColBandSize w:val="1"/>
      <w:tblCellMar>
        <w:left w:w="115" w:type="dxa"/>
        <w:right w:w="115" w:type="dxa"/>
      </w:tblCellMar>
    </w:tblPr>
  </w:style>
  <w:style w:type="table" w:customStyle="1" w:styleId="85">
    <w:name w:val="85"/>
    <w:basedOn w:val="TableNormal15"/>
    <w:pPr>
      <w:spacing w:after="0" w:line="240" w:lineRule="auto"/>
    </w:pPr>
    <w:tblPr>
      <w:tblStyleRowBandSize w:val="1"/>
      <w:tblStyleColBandSize w:val="1"/>
      <w:tblCellMar>
        <w:left w:w="108" w:type="dxa"/>
        <w:right w:w="108" w:type="dxa"/>
      </w:tblCellMar>
    </w:tblPr>
  </w:style>
  <w:style w:type="paragraph" w:styleId="TtulodeTDC">
    <w:name w:val="TOC Heading"/>
    <w:next w:val="Normal"/>
    <w:uiPriority w:val="39"/>
    <w:unhideWhenUsed/>
    <w:qFormat/>
    <w:rsid w:val="00A50615"/>
    <w:pPr>
      <w:spacing w:before="240" w:after="0"/>
      <w:jc w:val="left"/>
    </w:pPr>
    <w:rPr>
      <w:rFonts w:asciiTheme="majorHAnsi" w:eastAsiaTheme="majorEastAsia" w:hAnsiTheme="majorHAnsi" w:cstheme="majorBidi"/>
      <w:color w:val="2F5496" w:themeColor="accent1" w:themeShade="BF"/>
      <w:sz w:val="32"/>
      <w:szCs w:val="32"/>
    </w:rPr>
  </w:style>
  <w:style w:type="paragraph" w:styleId="TDC1">
    <w:name w:val="toc 1"/>
    <w:basedOn w:val="Normal"/>
    <w:next w:val="Normal"/>
    <w:autoRedefine/>
    <w:uiPriority w:val="39"/>
    <w:unhideWhenUsed/>
    <w:rsid w:val="00A50615"/>
    <w:pPr>
      <w:spacing w:after="100"/>
    </w:pPr>
  </w:style>
  <w:style w:type="paragraph" w:styleId="TDC2">
    <w:name w:val="toc 2"/>
    <w:basedOn w:val="Normal"/>
    <w:next w:val="Normal"/>
    <w:autoRedefine/>
    <w:uiPriority w:val="39"/>
    <w:unhideWhenUsed/>
    <w:rsid w:val="00A50615"/>
    <w:pPr>
      <w:spacing w:after="100"/>
      <w:ind w:left="220"/>
    </w:pPr>
  </w:style>
  <w:style w:type="character" w:customStyle="1" w:styleId="Mencinsinresolver3">
    <w:name w:val="Mención sin resolver3"/>
    <w:basedOn w:val="Fuentedeprrafopredeter"/>
    <w:uiPriority w:val="99"/>
    <w:semiHidden/>
    <w:unhideWhenUsed/>
    <w:rsid w:val="00BE1DC0"/>
    <w:rPr>
      <w:color w:val="605E5C"/>
      <w:shd w:val="clear" w:color="auto" w:fill="E1DFDD"/>
    </w:rPr>
  </w:style>
  <w:style w:type="table" w:customStyle="1" w:styleId="84">
    <w:name w:val="84"/>
    <w:basedOn w:val="TableNormal15"/>
    <w:pPr>
      <w:spacing w:after="0" w:line="240" w:lineRule="auto"/>
    </w:pPr>
    <w:tblPr>
      <w:tblStyleRowBandSize w:val="1"/>
      <w:tblStyleColBandSize w:val="1"/>
      <w:tblCellMar>
        <w:left w:w="108" w:type="dxa"/>
        <w:right w:w="108" w:type="dxa"/>
      </w:tblCellMar>
    </w:tblPr>
  </w:style>
  <w:style w:type="table" w:customStyle="1" w:styleId="83">
    <w:name w:val="83"/>
    <w:basedOn w:val="TableNormal15"/>
    <w:pPr>
      <w:spacing w:after="0" w:line="240" w:lineRule="auto"/>
    </w:pPr>
    <w:tblPr>
      <w:tblStyleRowBandSize w:val="1"/>
      <w:tblStyleColBandSize w:val="1"/>
      <w:tblCellMar>
        <w:left w:w="108" w:type="dxa"/>
        <w:right w:w="108" w:type="dxa"/>
      </w:tblCellMar>
    </w:tblPr>
  </w:style>
  <w:style w:type="table" w:customStyle="1" w:styleId="82">
    <w:name w:val="82"/>
    <w:basedOn w:val="TableNormal15"/>
    <w:pPr>
      <w:spacing w:after="0" w:line="240" w:lineRule="auto"/>
    </w:pPr>
    <w:tblPr>
      <w:tblStyleRowBandSize w:val="1"/>
      <w:tblStyleColBandSize w:val="1"/>
      <w:tblCellMar>
        <w:left w:w="108" w:type="dxa"/>
        <w:right w:w="108" w:type="dxa"/>
      </w:tblCellMar>
    </w:tblPr>
  </w:style>
  <w:style w:type="table" w:customStyle="1" w:styleId="81">
    <w:name w:val="81"/>
    <w:basedOn w:val="TableNormal15"/>
    <w:pPr>
      <w:spacing w:after="0" w:line="240" w:lineRule="auto"/>
    </w:pPr>
    <w:tblPr>
      <w:tblStyleRowBandSize w:val="1"/>
      <w:tblStyleColBandSize w:val="1"/>
      <w:tblCellMar>
        <w:left w:w="108" w:type="dxa"/>
        <w:right w:w="108" w:type="dxa"/>
      </w:tblCellMar>
    </w:tblPr>
  </w:style>
  <w:style w:type="table" w:customStyle="1" w:styleId="80">
    <w:name w:val="80"/>
    <w:basedOn w:val="TableNormal20"/>
    <w:pPr>
      <w:spacing w:after="0" w:line="240" w:lineRule="auto"/>
    </w:pPr>
    <w:tblPr>
      <w:tblStyleRowBandSize w:val="1"/>
      <w:tblStyleColBandSize w:val="1"/>
      <w:tblCellMar>
        <w:left w:w="108" w:type="dxa"/>
        <w:right w:w="108" w:type="dxa"/>
      </w:tblCellMar>
    </w:tblPr>
  </w:style>
  <w:style w:type="table" w:customStyle="1" w:styleId="79">
    <w:name w:val="79"/>
    <w:basedOn w:val="TableNormal20"/>
    <w:pPr>
      <w:spacing w:after="0" w:line="240" w:lineRule="auto"/>
    </w:pPr>
    <w:tblPr>
      <w:tblStyleRowBandSize w:val="1"/>
      <w:tblStyleColBandSize w:val="1"/>
      <w:tblCellMar>
        <w:left w:w="108" w:type="dxa"/>
        <w:right w:w="108" w:type="dxa"/>
      </w:tblCellMar>
    </w:tblPr>
  </w:style>
  <w:style w:type="table" w:customStyle="1" w:styleId="78">
    <w:name w:val="78"/>
    <w:basedOn w:val="TableNormal20"/>
    <w:pPr>
      <w:spacing w:after="0" w:line="240" w:lineRule="auto"/>
    </w:pPr>
    <w:tblPr>
      <w:tblStyleRowBandSize w:val="1"/>
      <w:tblStyleColBandSize w:val="1"/>
      <w:tblCellMar>
        <w:left w:w="108" w:type="dxa"/>
        <w:right w:w="108" w:type="dxa"/>
      </w:tblCellMar>
    </w:tblPr>
  </w:style>
  <w:style w:type="table" w:customStyle="1" w:styleId="77">
    <w:name w:val="77"/>
    <w:basedOn w:val="TableNormal20"/>
    <w:pPr>
      <w:spacing w:after="0" w:line="240" w:lineRule="auto"/>
    </w:pPr>
    <w:tblPr>
      <w:tblStyleRowBandSize w:val="1"/>
      <w:tblStyleColBandSize w:val="1"/>
      <w:tblCellMar>
        <w:left w:w="108" w:type="dxa"/>
        <w:right w:w="108" w:type="dxa"/>
      </w:tblCellMar>
    </w:tblPr>
  </w:style>
  <w:style w:type="table" w:customStyle="1" w:styleId="76">
    <w:name w:val="76"/>
    <w:basedOn w:val="TableNormal3"/>
    <w:pPr>
      <w:spacing w:after="0" w:line="240" w:lineRule="auto"/>
    </w:pPr>
    <w:tblPr>
      <w:tblStyleRowBandSize w:val="1"/>
      <w:tblStyleColBandSize w:val="1"/>
      <w:tblCellMar>
        <w:left w:w="108" w:type="dxa"/>
        <w:right w:w="108" w:type="dxa"/>
      </w:tblCellMar>
    </w:tblPr>
  </w:style>
  <w:style w:type="table" w:customStyle="1" w:styleId="75">
    <w:name w:val="75"/>
    <w:basedOn w:val="TableNormal3"/>
    <w:pPr>
      <w:spacing w:after="0" w:line="240" w:lineRule="auto"/>
    </w:pPr>
    <w:tblPr>
      <w:tblStyleRowBandSize w:val="1"/>
      <w:tblStyleColBandSize w:val="1"/>
      <w:tblCellMar>
        <w:left w:w="108" w:type="dxa"/>
        <w:right w:w="108" w:type="dxa"/>
      </w:tblCellMar>
    </w:tblPr>
  </w:style>
  <w:style w:type="table" w:customStyle="1" w:styleId="74">
    <w:name w:val="74"/>
    <w:basedOn w:val="TableNormal3"/>
    <w:pPr>
      <w:spacing w:after="0" w:line="240" w:lineRule="auto"/>
    </w:pPr>
    <w:tblPr>
      <w:tblStyleRowBandSize w:val="1"/>
      <w:tblStyleColBandSize w:val="1"/>
      <w:tblCellMar>
        <w:left w:w="108" w:type="dxa"/>
        <w:right w:w="108" w:type="dxa"/>
      </w:tblCellMar>
    </w:tblPr>
  </w:style>
  <w:style w:type="table" w:customStyle="1" w:styleId="73">
    <w:name w:val="73"/>
    <w:basedOn w:val="TableNormal3"/>
    <w:pPr>
      <w:spacing w:after="0" w:line="240" w:lineRule="auto"/>
    </w:pPr>
    <w:tblPr>
      <w:tblStyleRowBandSize w:val="1"/>
      <w:tblStyleColBandSize w:val="1"/>
      <w:tblCellMar>
        <w:left w:w="108" w:type="dxa"/>
        <w:right w:w="108" w:type="dxa"/>
      </w:tblCellMar>
    </w:tblPr>
  </w:style>
  <w:style w:type="table" w:customStyle="1" w:styleId="72">
    <w:name w:val="72"/>
    <w:basedOn w:val="TableNormal4"/>
    <w:pPr>
      <w:spacing w:after="0" w:line="240" w:lineRule="auto"/>
    </w:pPr>
    <w:tblPr>
      <w:tblStyleRowBandSize w:val="1"/>
      <w:tblStyleColBandSize w:val="1"/>
      <w:tblCellMar>
        <w:left w:w="108" w:type="dxa"/>
        <w:right w:w="108" w:type="dxa"/>
      </w:tblCellMar>
    </w:tblPr>
  </w:style>
  <w:style w:type="table" w:customStyle="1" w:styleId="71">
    <w:name w:val="71"/>
    <w:basedOn w:val="TableNormal4"/>
    <w:pPr>
      <w:spacing w:after="0" w:line="240" w:lineRule="auto"/>
    </w:pPr>
    <w:tblPr>
      <w:tblStyleRowBandSize w:val="1"/>
      <w:tblStyleColBandSize w:val="1"/>
      <w:tblCellMar>
        <w:left w:w="108" w:type="dxa"/>
        <w:right w:w="108" w:type="dxa"/>
      </w:tblCellMar>
    </w:tblPr>
  </w:style>
  <w:style w:type="table" w:customStyle="1" w:styleId="70">
    <w:name w:val="70"/>
    <w:basedOn w:val="TableNormal4"/>
    <w:pPr>
      <w:spacing w:after="0" w:line="240" w:lineRule="auto"/>
    </w:pPr>
    <w:tblPr>
      <w:tblStyleRowBandSize w:val="1"/>
      <w:tblStyleColBandSize w:val="1"/>
      <w:tblCellMar>
        <w:left w:w="108" w:type="dxa"/>
        <w:right w:w="108" w:type="dxa"/>
      </w:tblCellMar>
    </w:tblPr>
  </w:style>
  <w:style w:type="table" w:customStyle="1" w:styleId="69">
    <w:name w:val="69"/>
    <w:basedOn w:val="TableNormal4"/>
    <w:pPr>
      <w:spacing w:after="0" w:line="240" w:lineRule="auto"/>
    </w:pPr>
    <w:tblPr>
      <w:tblStyleRowBandSize w:val="1"/>
      <w:tblStyleColBandSize w:val="1"/>
      <w:tblCellMar>
        <w:left w:w="108" w:type="dxa"/>
        <w:right w:w="108" w:type="dxa"/>
      </w:tblCellMar>
    </w:tblPr>
  </w:style>
  <w:style w:type="table" w:customStyle="1" w:styleId="68">
    <w:name w:val="68"/>
    <w:basedOn w:val="TableNormal5"/>
    <w:pPr>
      <w:spacing w:after="0" w:line="240" w:lineRule="auto"/>
    </w:pPr>
    <w:tblPr>
      <w:tblStyleRowBandSize w:val="1"/>
      <w:tblStyleColBandSize w:val="1"/>
      <w:tblCellMar>
        <w:left w:w="108" w:type="dxa"/>
        <w:right w:w="108" w:type="dxa"/>
      </w:tblCellMar>
    </w:tblPr>
  </w:style>
  <w:style w:type="table" w:customStyle="1" w:styleId="67">
    <w:name w:val="67"/>
    <w:basedOn w:val="TableNormal5"/>
    <w:pPr>
      <w:spacing w:after="0" w:line="240" w:lineRule="auto"/>
    </w:pPr>
    <w:tblPr>
      <w:tblStyleRowBandSize w:val="1"/>
      <w:tblStyleColBandSize w:val="1"/>
      <w:tblCellMar>
        <w:left w:w="108" w:type="dxa"/>
        <w:right w:w="108" w:type="dxa"/>
      </w:tblCellMar>
    </w:tblPr>
  </w:style>
  <w:style w:type="table" w:customStyle="1" w:styleId="66">
    <w:name w:val="66"/>
    <w:basedOn w:val="TableNormal5"/>
    <w:pPr>
      <w:spacing w:after="0" w:line="240" w:lineRule="auto"/>
    </w:pPr>
    <w:tblPr>
      <w:tblStyleRowBandSize w:val="1"/>
      <w:tblStyleColBandSize w:val="1"/>
      <w:tblCellMar>
        <w:left w:w="108" w:type="dxa"/>
        <w:right w:w="108" w:type="dxa"/>
      </w:tblCellMar>
    </w:tblPr>
  </w:style>
  <w:style w:type="table" w:customStyle="1" w:styleId="65">
    <w:name w:val="65"/>
    <w:basedOn w:val="TableNormal5"/>
    <w:pPr>
      <w:spacing w:after="0" w:line="240" w:lineRule="auto"/>
    </w:pPr>
    <w:tblPr>
      <w:tblStyleRowBandSize w:val="1"/>
      <w:tblStyleColBandSize w:val="1"/>
      <w:tblCellMar>
        <w:left w:w="108" w:type="dxa"/>
        <w:right w:w="108" w:type="dxa"/>
      </w:tblCellMar>
    </w:tblPr>
  </w:style>
  <w:style w:type="table" w:customStyle="1" w:styleId="64">
    <w:name w:val="64"/>
    <w:basedOn w:val="TableNormal6"/>
    <w:pPr>
      <w:spacing w:after="0" w:line="240" w:lineRule="auto"/>
    </w:pPr>
    <w:tblPr>
      <w:tblStyleRowBandSize w:val="1"/>
      <w:tblStyleColBandSize w:val="1"/>
      <w:tblCellMar>
        <w:left w:w="108" w:type="dxa"/>
        <w:right w:w="108" w:type="dxa"/>
      </w:tblCellMar>
    </w:tblPr>
  </w:style>
  <w:style w:type="table" w:customStyle="1" w:styleId="63">
    <w:name w:val="63"/>
    <w:basedOn w:val="TableNormal6"/>
    <w:pPr>
      <w:spacing w:after="0" w:line="240" w:lineRule="auto"/>
    </w:pPr>
    <w:tblPr>
      <w:tblStyleRowBandSize w:val="1"/>
      <w:tblStyleColBandSize w:val="1"/>
      <w:tblCellMar>
        <w:left w:w="108" w:type="dxa"/>
        <w:right w:w="108" w:type="dxa"/>
      </w:tblCellMar>
    </w:tblPr>
  </w:style>
  <w:style w:type="table" w:customStyle="1" w:styleId="62">
    <w:name w:val="62"/>
    <w:basedOn w:val="TableNormal6"/>
    <w:pPr>
      <w:spacing w:after="0" w:line="240" w:lineRule="auto"/>
    </w:pPr>
    <w:tblPr>
      <w:tblStyleRowBandSize w:val="1"/>
      <w:tblStyleColBandSize w:val="1"/>
      <w:tblCellMar>
        <w:left w:w="108" w:type="dxa"/>
        <w:right w:w="108" w:type="dxa"/>
      </w:tblCellMar>
    </w:tblPr>
  </w:style>
  <w:style w:type="table" w:customStyle="1" w:styleId="61">
    <w:name w:val="61"/>
    <w:basedOn w:val="TableNormal6"/>
    <w:pPr>
      <w:spacing w:after="0" w:line="240" w:lineRule="auto"/>
    </w:pPr>
    <w:tblPr>
      <w:tblStyleRowBandSize w:val="1"/>
      <w:tblStyleColBandSize w:val="1"/>
      <w:tblCellMar>
        <w:left w:w="108" w:type="dxa"/>
        <w:right w:w="108" w:type="dxa"/>
      </w:tblCellMar>
    </w:tblPr>
  </w:style>
  <w:style w:type="table" w:customStyle="1" w:styleId="60">
    <w:name w:val="60"/>
    <w:basedOn w:val="TableNormal7"/>
    <w:pPr>
      <w:spacing w:after="0" w:line="240" w:lineRule="auto"/>
    </w:pPr>
    <w:tblPr>
      <w:tblStyleRowBandSize w:val="1"/>
      <w:tblStyleColBandSize w:val="1"/>
      <w:tblCellMar>
        <w:left w:w="108" w:type="dxa"/>
        <w:right w:w="108" w:type="dxa"/>
      </w:tblCellMar>
    </w:tblPr>
  </w:style>
  <w:style w:type="table" w:customStyle="1" w:styleId="59">
    <w:name w:val="59"/>
    <w:basedOn w:val="TableNormal7"/>
    <w:pPr>
      <w:spacing w:after="0" w:line="240" w:lineRule="auto"/>
    </w:pPr>
    <w:tblPr>
      <w:tblStyleRowBandSize w:val="1"/>
      <w:tblStyleColBandSize w:val="1"/>
      <w:tblCellMar>
        <w:left w:w="108" w:type="dxa"/>
        <w:right w:w="108" w:type="dxa"/>
      </w:tblCellMar>
    </w:tblPr>
  </w:style>
  <w:style w:type="table" w:customStyle="1" w:styleId="58">
    <w:name w:val="58"/>
    <w:basedOn w:val="TableNormal7"/>
    <w:pPr>
      <w:spacing w:after="0" w:line="240" w:lineRule="auto"/>
    </w:pPr>
    <w:tblPr>
      <w:tblStyleRowBandSize w:val="1"/>
      <w:tblStyleColBandSize w:val="1"/>
      <w:tblCellMar>
        <w:left w:w="108" w:type="dxa"/>
        <w:right w:w="108" w:type="dxa"/>
      </w:tblCellMar>
    </w:tblPr>
  </w:style>
  <w:style w:type="table" w:customStyle="1" w:styleId="57">
    <w:name w:val="57"/>
    <w:basedOn w:val="TableNormal7"/>
    <w:pPr>
      <w:spacing w:after="0" w:line="240" w:lineRule="auto"/>
    </w:pPr>
    <w:tblPr>
      <w:tblStyleRowBandSize w:val="1"/>
      <w:tblStyleColBandSize w:val="1"/>
      <w:tblCellMar>
        <w:left w:w="108" w:type="dxa"/>
        <w:right w:w="108" w:type="dxa"/>
      </w:tblCellMar>
    </w:tblPr>
  </w:style>
  <w:style w:type="table" w:customStyle="1" w:styleId="56">
    <w:name w:val="56"/>
    <w:basedOn w:val="TableNormal8"/>
    <w:pPr>
      <w:spacing w:after="0" w:line="240" w:lineRule="auto"/>
    </w:pPr>
    <w:tblPr>
      <w:tblStyleRowBandSize w:val="1"/>
      <w:tblStyleColBandSize w:val="1"/>
      <w:tblCellMar>
        <w:left w:w="108" w:type="dxa"/>
        <w:right w:w="108" w:type="dxa"/>
      </w:tblCellMar>
    </w:tblPr>
  </w:style>
  <w:style w:type="table" w:customStyle="1" w:styleId="55">
    <w:name w:val="55"/>
    <w:basedOn w:val="TableNormal8"/>
    <w:pPr>
      <w:spacing w:after="0" w:line="240" w:lineRule="auto"/>
    </w:pPr>
    <w:tblPr>
      <w:tblStyleRowBandSize w:val="1"/>
      <w:tblStyleColBandSize w:val="1"/>
      <w:tblCellMar>
        <w:left w:w="108" w:type="dxa"/>
        <w:right w:w="108" w:type="dxa"/>
      </w:tblCellMar>
    </w:tblPr>
  </w:style>
  <w:style w:type="table" w:customStyle="1" w:styleId="54">
    <w:name w:val="54"/>
    <w:basedOn w:val="TableNormal8"/>
    <w:pPr>
      <w:spacing w:after="0" w:line="240" w:lineRule="auto"/>
    </w:pPr>
    <w:tblPr>
      <w:tblStyleRowBandSize w:val="1"/>
      <w:tblStyleColBandSize w:val="1"/>
      <w:tblCellMar>
        <w:left w:w="108" w:type="dxa"/>
        <w:right w:w="108" w:type="dxa"/>
      </w:tblCellMar>
    </w:tblPr>
  </w:style>
  <w:style w:type="table" w:customStyle="1" w:styleId="53">
    <w:name w:val="53"/>
    <w:basedOn w:val="TableNormal8"/>
    <w:pPr>
      <w:spacing w:after="0" w:line="240" w:lineRule="auto"/>
    </w:pPr>
    <w:tblPr>
      <w:tblStyleRowBandSize w:val="1"/>
      <w:tblStyleColBandSize w:val="1"/>
      <w:tblCellMar>
        <w:left w:w="108" w:type="dxa"/>
        <w:right w:w="108" w:type="dxa"/>
      </w:tblCellMar>
    </w:tblPr>
  </w:style>
  <w:style w:type="table" w:customStyle="1" w:styleId="52">
    <w:name w:val="52"/>
    <w:basedOn w:val="TableNormal9"/>
    <w:pPr>
      <w:spacing w:after="0" w:line="240" w:lineRule="auto"/>
    </w:pPr>
    <w:tblPr>
      <w:tblStyleRowBandSize w:val="1"/>
      <w:tblStyleColBandSize w:val="1"/>
      <w:tblCellMar>
        <w:left w:w="108" w:type="dxa"/>
        <w:right w:w="108" w:type="dxa"/>
      </w:tblCellMar>
    </w:tblPr>
  </w:style>
  <w:style w:type="table" w:customStyle="1" w:styleId="51">
    <w:name w:val="51"/>
    <w:basedOn w:val="TableNormal9"/>
    <w:pPr>
      <w:spacing w:after="0" w:line="240" w:lineRule="auto"/>
    </w:pPr>
    <w:tblPr>
      <w:tblStyleRowBandSize w:val="1"/>
      <w:tblStyleColBandSize w:val="1"/>
      <w:tblCellMar>
        <w:left w:w="108" w:type="dxa"/>
        <w:right w:w="108" w:type="dxa"/>
      </w:tblCellMar>
    </w:tblPr>
  </w:style>
  <w:style w:type="table" w:customStyle="1" w:styleId="50">
    <w:name w:val="50"/>
    <w:basedOn w:val="TableNormal9"/>
    <w:pPr>
      <w:spacing w:after="0" w:line="240" w:lineRule="auto"/>
    </w:pPr>
    <w:tblPr>
      <w:tblStyleRowBandSize w:val="1"/>
      <w:tblStyleColBandSize w:val="1"/>
      <w:tblCellMar>
        <w:left w:w="108" w:type="dxa"/>
        <w:right w:w="108" w:type="dxa"/>
      </w:tblCellMar>
    </w:tblPr>
  </w:style>
  <w:style w:type="table" w:customStyle="1" w:styleId="49">
    <w:name w:val="49"/>
    <w:basedOn w:val="TableNormal9"/>
    <w:pPr>
      <w:spacing w:after="0" w:line="240" w:lineRule="auto"/>
    </w:pPr>
    <w:tblPr>
      <w:tblStyleRowBandSize w:val="1"/>
      <w:tblStyleColBandSize w:val="1"/>
      <w:tblCellMar>
        <w:left w:w="108" w:type="dxa"/>
        <w:right w:w="108" w:type="dxa"/>
      </w:tblCellMar>
    </w:tblPr>
  </w:style>
  <w:style w:type="table" w:customStyle="1" w:styleId="48">
    <w:name w:val="48"/>
    <w:basedOn w:val="TableNormal100"/>
    <w:pPr>
      <w:spacing w:after="0" w:line="240" w:lineRule="auto"/>
    </w:pPr>
    <w:tblPr>
      <w:tblStyleRowBandSize w:val="1"/>
      <w:tblStyleColBandSize w:val="1"/>
      <w:tblCellMar>
        <w:left w:w="108" w:type="dxa"/>
        <w:right w:w="108" w:type="dxa"/>
      </w:tblCellMar>
    </w:tblPr>
  </w:style>
  <w:style w:type="table" w:customStyle="1" w:styleId="47">
    <w:name w:val="47"/>
    <w:basedOn w:val="TableNormal100"/>
    <w:pPr>
      <w:spacing w:after="0" w:line="240" w:lineRule="auto"/>
    </w:pPr>
    <w:tblPr>
      <w:tblStyleRowBandSize w:val="1"/>
      <w:tblStyleColBandSize w:val="1"/>
      <w:tblCellMar>
        <w:left w:w="108" w:type="dxa"/>
        <w:right w:w="108" w:type="dxa"/>
      </w:tblCellMar>
    </w:tblPr>
  </w:style>
  <w:style w:type="table" w:customStyle="1" w:styleId="46">
    <w:name w:val="46"/>
    <w:basedOn w:val="TableNormal100"/>
    <w:pPr>
      <w:spacing w:after="0" w:line="240" w:lineRule="auto"/>
    </w:pPr>
    <w:tblPr>
      <w:tblStyleRowBandSize w:val="1"/>
      <w:tblStyleColBandSize w:val="1"/>
      <w:tblCellMar>
        <w:left w:w="108" w:type="dxa"/>
        <w:right w:w="108" w:type="dxa"/>
      </w:tblCellMar>
    </w:tblPr>
  </w:style>
  <w:style w:type="table" w:customStyle="1" w:styleId="45">
    <w:name w:val="45"/>
    <w:basedOn w:val="TableNormal100"/>
    <w:pPr>
      <w:spacing w:after="0" w:line="240" w:lineRule="auto"/>
    </w:pPr>
    <w:tblPr>
      <w:tblStyleRowBandSize w:val="1"/>
      <w:tblStyleColBandSize w:val="1"/>
      <w:tblCellMar>
        <w:left w:w="108" w:type="dxa"/>
        <w:right w:w="108" w:type="dxa"/>
      </w:tblCellMar>
    </w:tblPr>
  </w:style>
  <w:style w:type="table" w:customStyle="1" w:styleId="44">
    <w:name w:val="44"/>
    <w:basedOn w:val="TableNormal100"/>
    <w:pPr>
      <w:spacing w:after="0" w:line="240" w:lineRule="auto"/>
    </w:pPr>
    <w:tblPr>
      <w:tblStyleRowBandSize w:val="1"/>
      <w:tblStyleColBandSize w:val="1"/>
      <w:tblCellMar>
        <w:left w:w="108" w:type="dxa"/>
        <w:right w:w="108" w:type="dxa"/>
      </w:tblCellMar>
    </w:tblPr>
  </w:style>
  <w:style w:type="table" w:customStyle="1" w:styleId="43">
    <w:name w:val="43"/>
    <w:basedOn w:val="TableNormal100"/>
    <w:pPr>
      <w:spacing w:after="0" w:line="240" w:lineRule="auto"/>
    </w:pPr>
    <w:tblPr>
      <w:tblStyleRowBandSize w:val="1"/>
      <w:tblStyleColBandSize w:val="1"/>
      <w:tblCellMar>
        <w:left w:w="108" w:type="dxa"/>
        <w:right w:w="108" w:type="dxa"/>
      </w:tblCellMar>
    </w:tblPr>
  </w:style>
  <w:style w:type="table" w:customStyle="1" w:styleId="42">
    <w:name w:val="42"/>
    <w:basedOn w:val="TableNormal100"/>
    <w:pPr>
      <w:spacing w:after="0" w:line="240" w:lineRule="auto"/>
    </w:pPr>
    <w:tblPr>
      <w:tblStyleRowBandSize w:val="1"/>
      <w:tblStyleColBandSize w:val="1"/>
      <w:tblCellMar>
        <w:left w:w="108" w:type="dxa"/>
        <w:right w:w="108" w:type="dxa"/>
      </w:tblCellMar>
    </w:tblPr>
  </w:style>
  <w:style w:type="table" w:customStyle="1" w:styleId="41">
    <w:name w:val="41"/>
    <w:basedOn w:val="TableNormal100"/>
    <w:pPr>
      <w:spacing w:after="0" w:line="240" w:lineRule="auto"/>
    </w:pPr>
    <w:tblPr>
      <w:tblStyleRowBandSize w:val="1"/>
      <w:tblStyleColBandSize w:val="1"/>
      <w:tblCellMar>
        <w:left w:w="108" w:type="dxa"/>
        <w:right w:w="108" w:type="dxa"/>
      </w:tblCellMar>
    </w:tblPr>
  </w:style>
  <w:style w:type="table" w:customStyle="1" w:styleId="40">
    <w:name w:val="40"/>
    <w:basedOn w:val="TableNormal100"/>
    <w:pPr>
      <w:spacing w:after="0" w:line="240" w:lineRule="auto"/>
    </w:pPr>
    <w:tblPr>
      <w:tblStyleRowBandSize w:val="1"/>
      <w:tblStyleColBandSize w:val="1"/>
      <w:tblCellMar>
        <w:left w:w="108" w:type="dxa"/>
        <w:right w:w="108" w:type="dxa"/>
      </w:tblCellMar>
    </w:tblPr>
  </w:style>
  <w:style w:type="table" w:customStyle="1" w:styleId="39">
    <w:name w:val="39"/>
    <w:basedOn w:val="TableNormal100"/>
    <w:pPr>
      <w:spacing w:after="0" w:line="240" w:lineRule="auto"/>
    </w:pPr>
    <w:tblPr>
      <w:tblStyleRowBandSize w:val="1"/>
      <w:tblStyleColBandSize w:val="1"/>
      <w:tblCellMar>
        <w:left w:w="108" w:type="dxa"/>
        <w:right w:w="108" w:type="dxa"/>
      </w:tblCellMar>
    </w:tblPr>
  </w:style>
  <w:style w:type="table" w:customStyle="1" w:styleId="38">
    <w:name w:val="38"/>
    <w:basedOn w:val="TableNormal100"/>
    <w:pPr>
      <w:spacing w:after="0" w:line="240" w:lineRule="auto"/>
    </w:pPr>
    <w:tblPr>
      <w:tblStyleRowBandSize w:val="1"/>
      <w:tblStyleColBandSize w:val="1"/>
      <w:tblCellMar>
        <w:left w:w="108" w:type="dxa"/>
        <w:right w:w="108" w:type="dxa"/>
      </w:tblCellMar>
    </w:tblPr>
  </w:style>
  <w:style w:type="table" w:customStyle="1" w:styleId="37">
    <w:name w:val="37"/>
    <w:basedOn w:val="TableNormal100"/>
    <w:pPr>
      <w:spacing w:after="0" w:line="240" w:lineRule="auto"/>
    </w:pPr>
    <w:tblPr>
      <w:tblStyleRowBandSize w:val="1"/>
      <w:tblStyleColBandSize w:val="1"/>
      <w:tblCellMar>
        <w:left w:w="108" w:type="dxa"/>
        <w:right w:w="108" w:type="dxa"/>
      </w:tblCellMar>
    </w:tblPr>
  </w:style>
  <w:style w:type="table" w:customStyle="1" w:styleId="36">
    <w:name w:val="36"/>
    <w:basedOn w:val="TableNormal100"/>
    <w:pPr>
      <w:spacing w:after="0" w:line="240" w:lineRule="auto"/>
    </w:pPr>
    <w:tblPr>
      <w:tblStyleRowBandSize w:val="1"/>
      <w:tblStyleColBandSize w:val="1"/>
      <w:tblCellMar>
        <w:left w:w="108" w:type="dxa"/>
        <w:right w:w="108" w:type="dxa"/>
      </w:tblCellMar>
    </w:tblPr>
  </w:style>
  <w:style w:type="table" w:customStyle="1" w:styleId="35">
    <w:name w:val="35"/>
    <w:basedOn w:val="TableNormal100"/>
    <w:pPr>
      <w:spacing w:after="0" w:line="240" w:lineRule="auto"/>
    </w:pPr>
    <w:tblPr>
      <w:tblStyleRowBandSize w:val="1"/>
      <w:tblStyleColBandSize w:val="1"/>
      <w:tblCellMar>
        <w:left w:w="108" w:type="dxa"/>
        <w:right w:w="108" w:type="dxa"/>
      </w:tblCellMar>
    </w:tblPr>
  </w:style>
  <w:style w:type="table" w:customStyle="1" w:styleId="34">
    <w:name w:val="34"/>
    <w:basedOn w:val="TableNormal100"/>
    <w:pPr>
      <w:spacing w:after="0" w:line="240" w:lineRule="auto"/>
    </w:pPr>
    <w:tblPr>
      <w:tblStyleRowBandSize w:val="1"/>
      <w:tblStyleColBandSize w:val="1"/>
      <w:tblCellMar>
        <w:left w:w="108" w:type="dxa"/>
        <w:right w:w="108" w:type="dxa"/>
      </w:tblCellMar>
    </w:tblPr>
  </w:style>
  <w:style w:type="table" w:customStyle="1" w:styleId="33">
    <w:name w:val="33"/>
    <w:basedOn w:val="TableNormal100"/>
    <w:pPr>
      <w:spacing w:after="0" w:line="240" w:lineRule="auto"/>
    </w:pPr>
    <w:tblPr>
      <w:tblStyleRowBandSize w:val="1"/>
      <w:tblStyleColBandSize w:val="1"/>
      <w:tblCellMar>
        <w:left w:w="108" w:type="dxa"/>
        <w:right w:w="108" w:type="dxa"/>
      </w:tblCellMar>
    </w:tblPr>
  </w:style>
  <w:style w:type="table" w:customStyle="1" w:styleId="32">
    <w:name w:val="32"/>
    <w:basedOn w:val="TableNormal100"/>
    <w:pPr>
      <w:spacing w:after="0" w:line="240" w:lineRule="auto"/>
    </w:pPr>
    <w:tblPr>
      <w:tblStyleRowBandSize w:val="1"/>
      <w:tblStyleColBandSize w:val="1"/>
      <w:tblCellMar>
        <w:left w:w="108" w:type="dxa"/>
        <w:right w:w="108" w:type="dxa"/>
      </w:tblCellMar>
    </w:tblPr>
  </w:style>
  <w:style w:type="table" w:customStyle="1" w:styleId="31">
    <w:name w:val="31"/>
    <w:basedOn w:val="TableNormal100"/>
    <w:pPr>
      <w:spacing w:after="0" w:line="240" w:lineRule="auto"/>
    </w:pPr>
    <w:tblPr>
      <w:tblStyleRowBandSize w:val="1"/>
      <w:tblStyleColBandSize w:val="1"/>
      <w:tblCellMar>
        <w:left w:w="108" w:type="dxa"/>
        <w:right w:w="108" w:type="dxa"/>
      </w:tblCellMar>
    </w:tblPr>
  </w:style>
  <w:style w:type="table" w:customStyle="1" w:styleId="30">
    <w:name w:val="30"/>
    <w:basedOn w:val="TableNormal100"/>
    <w:pPr>
      <w:spacing w:after="0" w:line="240" w:lineRule="auto"/>
    </w:pPr>
    <w:tblPr>
      <w:tblStyleRowBandSize w:val="1"/>
      <w:tblStyleColBandSize w:val="1"/>
      <w:tblCellMar>
        <w:left w:w="108" w:type="dxa"/>
        <w:right w:w="108" w:type="dxa"/>
      </w:tblCellMar>
    </w:tblPr>
  </w:style>
  <w:style w:type="table" w:customStyle="1" w:styleId="29">
    <w:name w:val="29"/>
    <w:basedOn w:val="TableNormal100"/>
    <w:pPr>
      <w:spacing w:after="0" w:line="240" w:lineRule="auto"/>
    </w:pPr>
    <w:tblPr>
      <w:tblStyleRowBandSize w:val="1"/>
      <w:tblStyleColBandSize w:val="1"/>
      <w:tblCellMar>
        <w:left w:w="108" w:type="dxa"/>
        <w:right w:w="108" w:type="dxa"/>
      </w:tblCellMar>
    </w:tblPr>
  </w:style>
  <w:style w:type="table" w:customStyle="1" w:styleId="28">
    <w:name w:val="28"/>
    <w:basedOn w:val="TableNormal100"/>
    <w:pPr>
      <w:spacing w:after="0" w:line="240" w:lineRule="auto"/>
    </w:pPr>
    <w:tblPr>
      <w:tblStyleRowBandSize w:val="1"/>
      <w:tblStyleColBandSize w:val="1"/>
      <w:tblCellMar>
        <w:left w:w="108" w:type="dxa"/>
        <w:right w:w="108" w:type="dxa"/>
      </w:tblCellMar>
    </w:tblPr>
  </w:style>
  <w:style w:type="table" w:customStyle="1" w:styleId="27">
    <w:name w:val="27"/>
    <w:basedOn w:val="TableNormal100"/>
    <w:pPr>
      <w:spacing w:after="0" w:line="240" w:lineRule="auto"/>
    </w:pPr>
    <w:tblPr>
      <w:tblStyleRowBandSize w:val="1"/>
      <w:tblStyleColBandSize w:val="1"/>
      <w:tblCellMar>
        <w:left w:w="108" w:type="dxa"/>
        <w:right w:w="108" w:type="dxa"/>
      </w:tblCellMar>
    </w:tblPr>
  </w:style>
  <w:style w:type="table" w:customStyle="1" w:styleId="26">
    <w:name w:val="26"/>
    <w:basedOn w:val="TableNormal11"/>
    <w:pPr>
      <w:spacing w:after="0" w:line="240" w:lineRule="auto"/>
    </w:pPr>
    <w:tblPr>
      <w:tblStyleRowBandSize w:val="1"/>
      <w:tblStyleColBandSize w:val="1"/>
      <w:tblCellMar>
        <w:left w:w="108" w:type="dxa"/>
        <w:right w:w="108" w:type="dxa"/>
      </w:tblCellMar>
    </w:tblPr>
  </w:style>
  <w:style w:type="table" w:customStyle="1" w:styleId="25">
    <w:name w:val="25"/>
    <w:basedOn w:val="TableNormal11"/>
    <w:pPr>
      <w:spacing w:after="0" w:line="240" w:lineRule="auto"/>
    </w:pPr>
    <w:tblPr>
      <w:tblStyleRowBandSize w:val="1"/>
      <w:tblStyleColBandSize w:val="1"/>
      <w:tblCellMar>
        <w:left w:w="108" w:type="dxa"/>
        <w:right w:w="108" w:type="dxa"/>
      </w:tblCellMar>
    </w:tblPr>
  </w:style>
  <w:style w:type="table" w:customStyle="1" w:styleId="24">
    <w:name w:val="24"/>
    <w:basedOn w:val="TableNormal11"/>
    <w:pPr>
      <w:spacing w:after="0" w:line="240" w:lineRule="auto"/>
    </w:pPr>
    <w:tblPr>
      <w:tblStyleRowBandSize w:val="1"/>
      <w:tblStyleColBandSize w:val="1"/>
      <w:tblCellMar>
        <w:left w:w="108" w:type="dxa"/>
        <w:right w:w="108" w:type="dxa"/>
      </w:tblCellMar>
    </w:tblPr>
  </w:style>
  <w:style w:type="table" w:customStyle="1" w:styleId="23">
    <w:name w:val="23"/>
    <w:basedOn w:val="TableNormal11"/>
    <w:pPr>
      <w:spacing w:after="0" w:line="240" w:lineRule="auto"/>
    </w:pPr>
    <w:tblPr>
      <w:tblStyleRowBandSize w:val="1"/>
      <w:tblStyleColBandSize w:val="1"/>
      <w:tblCellMar>
        <w:left w:w="108" w:type="dxa"/>
        <w:right w:w="108" w:type="dxa"/>
      </w:tblCellMar>
    </w:tblPr>
  </w:style>
  <w:style w:type="table" w:customStyle="1" w:styleId="22">
    <w:name w:val="22"/>
    <w:basedOn w:val="TableNormal11"/>
    <w:pPr>
      <w:spacing w:after="0" w:line="240" w:lineRule="auto"/>
    </w:pPr>
    <w:tblPr>
      <w:tblStyleRowBandSize w:val="1"/>
      <w:tblStyleColBandSize w:val="1"/>
      <w:tblCellMar>
        <w:left w:w="108" w:type="dxa"/>
        <w:right w:w="108" w:type="dxa"/>
      </w:tblCellMar>
    </w:tblPr>
  </w:style>
  <w:style w:type="character" w:customStyle="1" w:styleId="Mencinsinresolver4">
    <w:name w:val="Mención sin resolver4"/>
    <w:basedOn w:val="Fuentedeprrafopredeter"/>
    <w:uiPriority w:val="99"/>
    <w:semiHidden/>
    <w:unhideWhenUsed/>
    <w:rsid w:val="001C2C58"/>
    <w:rPr>
      <w:color w:val="605E5C"/>
      <w:shd w:val="clear" w:color="auto" w:fill="E1DFDD"/>
    </w:rPr>
  </w:style>
  <w:style w:type="table" w:customStyle="1" w:styleId="21">
    <w:name w:val="21"/>
    <w:basedOn w:val="TableNormal12"/>
    <w:pPr>
      <w:spacing w:after="0" w:line="240" w:lineRule="auto"/>
    </w:pPr>
    <w:tblPr>
      <w:tblStyleRowBandSize w:val="1"/>
      <w:tblStyleColBandSize w:val="1"/>
      <w:tblCellMar>
        <w:left w:w="108" w:type="dxa"/>
        <w:right w:w="108" w:type="dxa"/>
      </w:tblCellMar>
    </w:tblPr>
  </w:style>
  <w:style w:type="table" w:customStyle="1" w:styleId="20">
    <w:name w:val="20"/>
    <w:basedOn w:val="TableNormal12"/>
    <w:pPr>
      <w:spacing w:after="0" w:line="240" w:lineRule="auto"/>
    </w:pPr>
    <w:tblPr>
      <w:tblStyleRowBandSize w:val="1"/>
      <w:tblStyleColBandSize w:val="1"/>
      <w:tblCellMar>
        <w:left w:w="108" w:type="dxa"/>
        <w:right w:w="108" w:type="dxa"/>
      </w:tblCellMar>
    </w:tblPr>
  </w:style>
  <w:style w:type="table" w:customStyle="1" w:styleId="19">
    <w:name w:val="19"/>
    <w:basedOn w:val="TableNormal12"/>
    <w:pPr>
      <w:spacing w:after="0" w:line="240" w:lineRule="auto"/>
    </w:pPr>
    <w:tblPr>
      <w:tblStyleRowBandSize w:val="1"/>
      <w:tblStyleColBandSize w:val="1"/>
      <w:tblCellMar>
        <w:left w:w="108" w:type="dxa"/>
        <w:right w:w="108" w:type="dxa"/>
      </w:tblCellMar>
    </w:tblPr>
  </w:style>
  <w:style w:type="table" w:customStyle="1" w:styleId="18">
    <w:name w:val="18"/>
    <w:basedOn w:val="TableNormal12"/>
    <w:pPr>
      <w:spacing w:after="0" w:line="240" w:lineRule="auto"/>
    </w:pPr>
    <w:tblPr>
      <w:tblStyleRowBandSize w:val="1"/>
      <w:tblStyleColBandSize w:val="1"/>
      <w:tblCellMar>
        <w:left w:w="108" w:type="dxa"/>
        <w:right w:w="108" w:type="dxa"/>
      </w:tblCellMar>
    </w:tblPr>
  </w:style>
  <w:style w:type="character" w:customStyle="1" w:styleId="Mencinsinresolver5">
    <w:name w:val="Mención sin resolver5"/>
    <w:basedOn w:val="Fuentedeprrafopredeter"/>
    <w:uiPriority w:val="99"/>
    <w:semiHidden/>
    <w:unhideWhenUsed/>
    <w:rsid w:val="0058145F"/>
    <w:rPr>
      <w:color w:val="605E5C"/>
      <w:shd w:val="clear" w:color="auto" w:fill="E1DFDD"/>
    </w:rPr>
  </w:style>
  <w:style w:type="table" w:customStyle="1" w:styleId="17">
    <w:name w:val="17"/>
    <w:basedOn w:val="TableNormal13"/>
    <w:pPr>
      <w:spacing w:after="0" w:line="240" w:lineRule="auto"/>
    </w:pPr>
    <w:tblPr>
      <w:tblStyleRowBandSize w:val="1"/>
      <w:tblStyleColBandSize w:val="1"/>
      <w:tblCellMar>
        <w:left w:w="108" w:type="dxa"/>
        <w:right w:w="108" w:type="dxa"/>
      </w:tblCellMar>
    </w:tblPr>
  </w:style>
  <w:style w:type="table" w:customStyle="1" w:styleId="16">
    <w:name w:val="16"/>
    <w:basedOn w:val="TableNormal13"/>
    <w:pPr>
      <w:spacing w:after="0" w:line="240" w:lineRule="auto"/>
    </w:pPr>
    <w:tblPr>
      <w:tblStyleRowBandSize w:val="1"/>
      <w:tblStyleColBandSize w:val="1"/>
      <w:tblCellMar>
        <w:left w:w="108" w:type="dxa"/>
        <w:right w:w="108" w:type="dxa"/>
      </w:tblCellMar>
    </w:tblPr>
  </w:style>
  <w:style w:type="table" w:customStyle="1" w:styleId="15">
    <w:name w:val="15"/>
    <w:basedOn w:val="TableNormal13"/>
    <w:pPr>
      <w:spacing w:after="0" w:line="240" w:lineRule="auto"/>
    </w:pPr>
    <w:tblPr>
      <w:tblStyleRowBandSize w:val="1"/>
      <w:tblStyleColBandSize w:val="1"/>
      <w:tblCellMar>
        <w:left w:w="108" w:type="dxa"/>
        <w:right w:w="108" w:type="dxa"/>
      </w:tblCellMar>
    </w:tblPr>
  </w:style>
  <w:style w:type="table" w:customStyle="1" w:styleId="14">
    <w:name w:val="14"/>
    <w:basedOn w:val="TableNormal13"/>
    <w:pPr>
      <w:spacing w:after="0" w:line="240" w:lineRule="auto"/>
    </w:pPr>
    <w:tblPr>
      <w:tblStyleRowBandSize w:val="1"/>
      <w:tblStyleColBandSize w:val="1"/>
      <w:tblCellMar>
        <w:left w:w="108" w:type="dxa"/>
        <w:right w:w="108" w:type="dxa"/>
      </w:tblCellMar>
    </w:tblPr>
  </w:style>
  <w:style w:type="table" w:customStyle="1" w:styleId="13">
    <w:name w:val="13"/>
    <w:basedOn w:val="TableNormal13"/>
    <w:pPr>
      <w:spacing w:after="0" w:line="240" w:lineRule="auto"/>
    </w:pPr>
    <w:tblPr>
      <w:tblStyleRowBandSize w:val="1"/>
      <w:tblStyleColBandSize w:val="1"/>
      <w:tblCellMar>
        <w:left w:w="108" w:type="dxa"/>
        <w:right w:w="108" w:type="dxa"/>
      </w:tblCellMar>
    </w:tblPr>
  </w:style>
  <w:style w:type="character" w:customStyle="1" w:styleId="Mencinsinresolver6">
    <w:name w:val="Mención sin resolver6"/>
    <w:basedOn w:val="Fuentedeprrafopredeter"/>
    <w:uiPriority w:val="99"/>
    <w:semiHidden/>
    <w:unhideWhenUsed/>
    <w:rsid w:val="00745900"/>
    <w:rPr>
      <w:color w:val="605E5C"/>
      <w:shd w:val="clear" w:color="auto" w:fill="E1DFDD"/>
    </w:rPr>
  </w:style>
  <w:style w:type="table" w:customStyle="1" w:styleId="12">
    <w:name w:val="12"/>
    <w:basedOn w:val="TableNormal14"/>
    <w:pPr>
      <w:spacing w:after="0" w:line="240" w:lineRule="auto"/>
    </w:pPr>
    <w:tblPr>
      <w:tblStyleRowBandSize w:val="1"/>
      <w:tblStyleColBandSize w:val="1"/>
      <w:tblCellMar>
        <w:left w:w="108" w:type="dxa"/>
        <w:right w:w="108" w:type="dxa"/>
      </w:tblCellMar>
    </w:tblPr>
  </w:style>
  <w:style w:type="table" w:customStyle="1" w:styleId="11">
    <w:name w:val="11"/>
    <w:basedOn w:val="TableNormal14"/>
    <w:pPr>
      <w:spacing w:after="0" w:line="240" w:lineRule="auto"/>
    </w:pPr>
    <w:tblPr>
      <w:tblStyleRowBandSize w:val="1"/>
      <w:tblStyleColBandSize w:val="1"/>
      <w:tblCellMar>
        <w:left w:w="108" w:type="dxa"/>
        <w:right w:w="108" w:type="dxa"/>
      </w:tblCellMar>
    </w:tblPr>
  </w:style>
  <w:style w:type="table" w:customStyle="1" w:styleId="10">
    <w:name w:val="10"/>
    <w:basedOn w:val="TableNormal14"/>
    <w:pPr>
      <w:spacing w:after="0" w:line="240" w:lineRule="auto"/>
    </w:pPr>
    <w:tblPr>
      <w:tblStyleRowBandSize w:val="1"/>
      <w:tblStyleColBandSize w:val="1"/>
      <w:tblCellMar>
        <w:left w:w="108" w:type="dxa"/>
        <w:right w:w="108" w:type="dxa"/>
      </w:tblCellMar>
    </w:tblPr>
  </w:style>
  <w:style w:type="table" w:customStyle="1" w:styleId="9">
    <w:name w:val="9"/>
    <w:basedOn w:val="TableNormal14"/>
    <w:pPr>
      <w:spacing w:after="0" w:line="240" w:lineRule="auto"/>
    </w:pPr>
    <w:tblPr>
      <w:tblStyleRowBandSize w:val="1"/>
      <w:tblStyleColBandSize w:val="1"/>
      <w:tblCellMar>
        <w:left w:w="108" w:type="dxa"/>
        <w:right w:w="108" w:type="dxa"/>
      </w:tblCellMar>
    </w:tblPr>
  </w:style>
  <w:style w:type="character" w:customStyle="1" w:styleId="Mencinsinresolver7">
    <w:name w:val="Mención sin resolver7"/>
    <w:basedOn w:val="Fuentedeprrafopredeter"/>
    <w:uiPriority w:val="99"/>
    <w:semiHidden/>
    <w:unhideWhenUsed/>
    <w:rsid w:val="000B755C"/>
    <w:rPr>
      <w:color w:val="605E5C"/>
      <w:shd w:val="clear" w:color="auto" w:fill="E1DFDD"/>
    </w:rPr>
  </w:style>
  <w:style w:type="table" w:customStyle="1" w:styleId="8">
    <w:name w:val="8"/>
    <w:basedOn w:val="TableNormal2"/>
    <w:pPr>
      <w:spacing w:after="0" w:line="240" w:lineRule="auto"/>
    </w:pPr>
    <w:tblPr>
      <w:tblStyleRowBandSize w:val="1"/>
      <w:tblStyleColBandSize w:val="1"/>
      <w:tblCellMar>
        <w:left w:w="108" w:type="dxa"/>
        <w:right w:w="108" w:type="dxa"/>
      </w:tblCellMar>
    </w:tblPr>
  </w:style>
  <w:style w:type="table" w:customStyle="1" w:styleId="7">
    <w:name w:val="7"/>
    <w:basedOn w:val="TableNormal2"/>
    <w:pPr>
      <w:spacing w:after="0" w:line="240" w:lineRule="auto"/>
    </w:pPr>
    <w:tblPr>
      <w:tblStyleRowBandSize w:val="1"/>
      <w:tblStyleColBandSize w:val="1"/>
      <w:tblCellMar>
        <w:left w:w="108" w:type="dxa"/>
        <w:right w:w="108" w:type="dxa"/>
      </w:tblCellMar>
    </w:tblPr>
  </w:style>
  <w:style w:type="table" w:customStyle="1" w:styleId="6">
    <w:name w:val="6"/>
    <w:basedOn w:val="TableNormal2"/>
    <w:pPr>
      <w:spacing w:after="0" w:line="240" w:lineRule="auto"/>
    </w:pPr>
    <w:tblPr>
      <w:tblStyleRowBandSize w:val="1"/>
      <w:tblStyleColBandSize w:val="1"/>
      <w:tblCellMar>
        <w:left w:w="108" w:type="dxa"/>
        <w:right w:w="108" w:type="dxa"/>
      </w:tblCellMar>
    </w:tblPr>
  </w:style>
  <w:style w:type="table" w:customStyle="1" w:styleId="5">
    <w:name w:val="5"/>
    <w:basedOn w:val="TableNormal2"/>
    <w:pPr>
      <w:spacing w:after="0" w:line="240" w:lineRule="auto"/>
    </w:pPr>
    <w:tblPr>
      <w:tblStyleRowBandSize w:val="1"/>
      <w:tblStyleColBandSize w:val="1"/>
      <w:tblCellMar>
        <w:left w:w="108" w:type="dxa"/>
        <w:right w:w="108" w:type="dxa"/>
      </w:tblCellMar>
    </w:tblPr>
  </w:style>
  <w:style w:type="character" w:customStyle="1" w:styleId="Mencinsinresolver8">
    <w:name w:val="Mención sin resolver8"/>
    <w:basedOn w:val="Fuentedeprrafopredeter"/>
    <w:uiPriority w:val="99"/>
    <w:semiHidden/>
    <w:unhideWhenUsed/>
    <w:rsid w:val="006D19DF"/>
    <w:rPr>
      <w:color w:val="605E5C"/>
      <w:shd w:val="clear" w:color="auto" w:fill="E1DFDD"/>
    </w:rPr>
  </w:style>
  <w:style w:type="character" w:customStyle="1" w:styleId="Mencinsinresolver9">
    <w:name w:val="Mención sin resolver9"/>
    <w:basedOn w:val="Fuentedeprrafopredeter"/>
    <w:uiPriority w:val="99"/>
    <w:semiHidden/>
    <w:unhideWhenUsed/>
    <w:rsid w:val="00E75A56"/>
    <w:rPr>
      <w:color w:val="605E5C"/>
      <w:shd w:val="clear" w:color="auto" w:fill="E1DFDD"/>
    </w:rPr>
  </w:style>
  <w:style w:type="table" w:customStyle="1" w:styleId="4">
    <w:name w:val="4"/>
    <w:basedOn w:val="TableNormal10"/>
    <w:pPr>
      <w:spacing w:after="0" w:line="240" w:lineRule="auto"/>
    </w:pPr>
    <w:tblPr>
      <w:tblStyleRowBandSize w:val="1"/>
      <w:tblStyleColBandSize w:val="1"/>
      <w:tblCellMar>
        <w:left w:w="108" w:type="dxa"/>
        <w:right w:w="108" w:type="dxa"/>
      </w:tblCellMar>
    </w:tblPr>
  </w:style>
  <w:style w:type="table" w:customStyle="1" w:styleId="3">
    <w:name w:val="3"/>
    <w:basedOn w:val="TableNormal10"/>
    <w:pPr>
      <w:spacing w:after="0" w:line="240" w:lineRule="auto"/>
    </w:pPr>
    <w:tblPr>
      <w:tblStyleRowBandSize w:val="1"/>
      <w:tblStyleColBandSize w:val="1"/>
      <w:tblCellMar>
        <w:left w:w="108" w:type="dxa"/>
        <w:right w:w="108" w:type="dxa"/>
      </w:tblCellMar>
    </w:tblPr>
  </w:style>
  <w:style w:type="table" w:customStyle="1" w:styleId="2">
    <w:name w:val="2"/>
    <w:basedOn w:val="TableNormal10"/>
    <w:pPr>
      <w:spacing w:after="0" w:line="240" w:lineRule="auto"/>
    </w:pPr>
    <w:tblPr>
      <w:tblStyleRowBandSize w:val="1"/>
      <w:tblStyleColBandSize w:val="1"/>
      <w:tblCellMar>
        <w:left w:w="108" w:type="dxa"/>
        <w:right w:w="108" w:type="dxa"/>
      </w:tblCellMar>
    </w:tblPr>
  </w:style>
  <w:style w:type="table" w:customStyle="1" w:styleId="1">
    <w:name w:val="1"/>
    <w:basedOn w:val="TableNormal10"/>
    <w:pPr>
      <w:spacing w:after="0" w:line="240" w:lineRule="auto"/>
    </w:pPr>
    <w:tblPr>
      <w:tblStyleRowBandSize w:val="1"/>
      <w:tblStyleColBandSize w:val="1"/>
      <w:tblCellMar>
        <w:left w:w="108" w:type="dxa"/>
        <w:right w:w="108" w:type="dxa"/>
      </w:tblCellMar>
    </w:tblPr>
  </w:style>
  <w:style w:type="table" w:customStyle="1" w:styleId="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1"/>
    <w:pPr>
      <w:spacing w:after="0" w:line="240" w:lineRule="auto"/>
    </w:pPr>
    <w:tblPr>
      <w:tblStyleRowBandSize w:val="1"/>
      <w:tblStyleColBandSize w:val="1"/>
      <w:tblCellMar>
        <w:top w:w="0" w:type="dxa"/>
        <w:left w:w="108" w:type="dxa"/>
        <w:bottom w:w="0"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BuozozwjD5BurFyThW2fL9GnLg==">CgMxLjAyDmgudHpiZGZ2ZmR2MGZiMghoLmdqZGd4czIOaC42d2VyNW93YnVtaG0yCWguMzVua3VuMjIOaC40cjMwajNvaXBwMXoyDmguandwbXV1MWh4NHZyMgloLjJldDkycDAyDmgudnB5M3puZ2V5bTV6Mg5oLjR3ZXJqaDN4eTJ1NTIOaC5jN21jNnQ3MGdreDgyDmguMnhoNGhsN2ExcTU4Mg5oLjkzOXhlZXV3cmJzMTIOaC56MWY2ang4M3RqbzAyDmgudTU2aWpyZHMxbHc3OAByITFvZWVkdWRFWUhDYldsNUJGOE9tU3lzYjF2YWE2bEpEb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7D97F21-D735-4F88-AD16-D90A37049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5234</Words>
  <Characters>28788</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Zoe Izquierdo</dc:creator>
  <cp:lastModifiedBy>USUARIO</cp:lastModifiedBy>
  <cp:revision>3</cp:revision>
  <cp:lastPrinted>2026-03-06T20:46:00Z</cp:lastPrinted>
  <dcterms:created xsi:type="dcterms:W3CDTF">2026-03-06T20:46:00Z</dcterms:created>
  <dcterms:modified xsi:type="dcterms:W3CDTF">2026-03-06T20:46:00Z</dcterms:modified>
</cp:coreProperties>
</file>