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8FE" w:rsidRPr="009561FF" w:rsidRDefault="004F3044">
      <w:pPr>
        <w:tabs>
          <w:tab w:val="left" w:pos="3465"/>
        </w:tabs>
        <w:spacing w:before="240" w:after="360" w:line="360" w:lineRule="auto"/>
        <w:jc w:val="both"/>
        <w:rPr>
          <w:rFonts w:ascii="Palatino Linotype" w:eastAsia="Palatino Linotype" w:hAnsi="Palatino Linotype" w:cs="Palatino Linotype"/>
          <w:b/>
        </w:rPr>
      </w:pPr>
      <w:r w:rsidRPr="009561F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9561FF">
        <w:rPr>
          <w:rFonts w:ascii="Palatino Linotype" w:eastAsia="Palatino Linotype" w:hAnsi="Palatino Linotype" w:cs="Palatino Linotype"/>
        </w:rPr>
        <w:t xml:space="preserve">n Metepec, Estado de México; </w:t>
      </w:r>
      <w:r w:rsidR="009561FF" w:rsidRPr="009561FF">
        <w:rPr>
          <w:rFonts w:ascii="Palatino Linotype" w:eastAsia="Palatino Linotype" w:hAnsi="Palatino Linotype" w:cs="Palatino Linotype"/>
          <w:b/>
        </w:rPr>
        <w:t>de fecha</w:t>
      </w:r>
      <w:r w:rsidRPr="009561FF">
        <w:rPr>
          <w:rFonts w:ascii="Palatino Linotype" w:eastAsia="Palatino Linotype" w:hAnsi="Palatino Linotype" w:cs="Palatino Linotype"/>
          <w:b/>
        </w:rPr>
        <w:t xml:space="preserve"> diecinueve </w:t>
      </w:r>
      <w:r w:rsidR="009561FF" w:rsidRPr="009561FF">
        <w:rPr>
          <w:rFonts w:ascii="Palatino Linotype" w:eastAsia="Palatino Linotype" w:hAnsi="Palatino Linotype" w:cs="Palatino Linotype"/>
          <w:b/>
        </w:rPr>
        <w:t xml:space="preserve">(19) </w:t>
      </w:r>
      <w:r w:rsidRPr="009561FF">
        <w:rPr>
          <w:rFonts w:ascii="Palatino Linotype" w:eastAsia="Palatino Linotype" w:hAnsi="Palatino Linotype" w:cs="Palatino Linotype"/>
          <w:b/>
        </w:rPr>
        <w:t xml:space="preserve">de marzo de dos mil veintiséis. </w:t>
      </w:r>
    </w:p>
    <w:p w:rsidR="00BF18FE" w:rsidRPr="009561FF" w:rsidRDefault="004F3044">
      <w:pPr>
        <w:tabs>
          <w:tab w:val="left" w:pos="3465"/>
        </w:tabs>
        <w:spacing w:before="240" w:after="360" w:line="360" w:lineRule="auto"/>
        <w:jc w:val="both"/>
        <w:rPr>
          <w:rFonts w:ascii="Palatino Linotype" w:eastAsia="Palatino Linotype" w:hAnsi="Palatino Linotype" w:cs="Palatino Linotype"/>
          <w:b/>
          <w:bCs/>
        </w:rPr>
      </w:pPr>
      <w:r w:rsidRPr="009561FF">
        <w:rPr>
          <w:rFonts w:ascii="Palatino Linotype" w:eastAsia="Palatino Linotype" w:hAnsi="Palatino Linotype" w:cs="Palatino Linotype"/>
          <w:b/>
          <w:bCs/>
        </w:rPr>
        <w:t xml:space="preserve">VISTO </w:t>
      </w:r>
      <w:r w:rsidRPr="009561FF">
        <w:rPr>
          <w:rFonts w:ascii="Palatino Linotype" w:eastAsia="Palatino Linotype" w:hAnsi="Palatino Linotype" w:cs="Palatino Linotype"/>
        </w:rPr>
        <w:t xml:space="preserve">el expediente electrónico formado con motivo del recurso de revisión </w:t>
      </w:r>
      <w:r w:rsidRPr="009561FF">
        <w:rPr>
          <w:rFonts w:ascii="Palatino Linotype" w:eastAsia="Palatino Linotype" w:hAnsi="Palatino Linotype" w:cs="Palatino Linotype"/>
          <w:b/>
          <w:bCs/>
        </w:rPr>
        <w:t>08508/INFOEM/IP/RR/2025</w:t>
      </w:r>
      <w:r w:rsidRPr="009561FF">
        <w:rPr>
          <w:rFonts w:ascii="Palatino Linotype" w:eastAsia="Palatino Linotype" w:hAnsi="Palatino Linotype" w:cs="Palatino Linotype"/>
        </w:rPr>
        <w:t xml:space="preserve">, promovido por </w:t>
      </w:r>
      <w:r w:rsidRPr="009561FF">
        <w:rPr>
          <w:rFonts w:ascii="Palatino Linotype" w:eastAsia="Palatino Linotype" w:hAnsi="Palatino Linotype" w:cs="Palatino Linotype"/>
          <w:b/>
          <w:bCs/>
        </w:rPr>
        <w:t> </w:t>
      </w:r>
      <w:r w:rsidR="006C20A3">
        <w:rPr>
          <w:rFonts w:ascii="Palatino Linotype" w:eastAsia="Palatino Linotype" w:hAnsi="Palatino Linotype" w:cs="Palatino Linotype"/>
          <w:b/>
          <w:bCs/>
        </w:rPr>
        <w:t>XXXX</w:t>
      </w:r>
      <w:r w:rsidRPr="009561FF">
        <w:rPr>
          <w:rFonts w:ascii="Palatino Linotype" w:eastAsia="Palatino Linotype" w:hAnsi="Palatino Linotype" w:cs="Palatino Linotype"/>
        </w:rPr>
        <w:t xml:space="preserve">, </w:t>
      </w:r>
      <w:r w:rsidR="009561FF">
        <w:rPr>
          <w:rFonts w:ascii="Palatino Linotype" w:eastAsia="Palatino Linotype" w:hAnsi="Palatino Linotype" w:cs="Palatino Linotype"/>
        </w:rPr>
        <w:t>a quien</w:t>
      </w:r>
      <w:r w:rsidRPr="009561FF">
        <w:rPr>
          <w:rFonts w:ascii="Palatino Linotype" w:eastAsia="Palatino Linotype" w:hAnsi="Palatino Linotype" w:cs="Palatino Linotype"/>
          <w:b/>
          <w:bCs/>
        </w:rPr>
        <w:t xml:space="preserve"> </w:t>
      </w:r>
      <w:r w:rsidRPr="009561FF">
        <w:rPr>
          <w:rFonts w:ascii="Palatino Linotype" w:eastAsia="Palatino Linotype" w:hAnsi="Palatino Linotype" w:cs="Palatino Linotype"/>
        </w:rPr>
        <w:t xml:space="preserve">en lo sucesivo será identificado en su calidad de </w:t>
      </w:r>
      <w:r w:rsidRPr="009561FF">
        <w:rPr>
          <w:rFonts w:ascii="Palatino Linotype" w:eastAsia="Palatino Linotype" w:hAnsi="Palatino Linotype" w:cs="Palatino Linotype"/>
          <w:b/>
          <w:bCs/>
        </w:rPr>
        <w:t>RECURRENTE</w:t>
      </w:r>
      <w:r w:rsidRPr="009561FF">
        <w:rPr>
          <w:rFonts w:ascii="Palatino Linotype" w:eastAsia="Palatino Linotype" w:hAnsi="Palatino Linotype" w:cs="Palatino Linotype"/>
        </w:rPr>
        <w:t>,</w:t>
      </w:r>
      <w:r w:rsidRPr="009561FF">
        <w:rPr>
          <w:rFonts w:ascii="Palatino Linotype" w:eastAsia="Palatino Linotype" w:hAnsi="Palatino Linotype" w:cs="Palatino Linotype"/>
          <w:b/>
          <w:bCs/>
        </w:rPr>
        <w:t xml:space="preserve"> </w:t>
      </w:r>
      <w:r w:rsidRPr="009561FF">
        <w:rPr>
          <w:rFonts w:ascii="Palatino Linotype" w:eastAsia="Palatino Linotype" w:hAnsi="Palatino Linotype" w:cs="Palatino Linotype"/>
        </w:rPr>
        <w:t>en contra de la</w:t>
      </w:r>
      <w:bookmarkStart w:id="0" w:name="_GoBack"/>
      <w:bookmarkEnd w:id="0"/>
      <w:r w:rsidRPr="009561FF">
        <w:rPr>
          <w:rFonts w:ascii="Palatino Linotype" w:eastAsia="Palatino Linotype" w:hAnsi="Palatino Linotype" w:cs="Palatino Linotype"/>
        </w:rPr>
        <w:t xml:space="preserve">s respuestas del </w:t>
      </w:r>
      <w:r w:rsidRPr="009561FF">
        <w:rPr>
          <w:rFonts w:ascii="Palatino Linotype" w:eastAsia="Palatino Linotype" w:hAnsi="Palatino Linotype" w:cs="Palatino Linotype"/>
          <w:b/>
          <w:bCs/>
        </w:rPr>
        <w:t xml:space="preserve">Ayuntamiento de Zinacantepec, </w:t>
      </w:r>
      <w:r w:rsidRPr="009561FF">
        <w:rPr>
          <w:rFonts w:ascii="Palatino Linotype" w:eastAsia="Palatino Linotype" w:hAnsi="Palatino Linotype" w:cs="Palatino Linotype"/>
        </w:rPr>
        <w:t>en adelante el</w:t>
      </w:r>
      <w:r w:rsidRPr="009561FF">
        <w:rPr>
          <w:rFonts w:ascii="Palatino Linotype" w:eastAsia="Palatino Linotype" w:hAnsi="Palatino Linotype" w:cs="Palatino Linotype"/>
          <w:b/>
          <w:bCs/>
        </w:rPr>
        <w:t xml:space="preserve"> SUJETO OBLIGADO, </w:t>
      </w:r>
      <w:r w:rsidRPr="009561FF">
        <w:rPr>
          <w:rFonts w:ascii="Palatino Linotype" w:eastAsia="Palatino Linotype" w:hAnsi="Palatino Linotype" w:cs="Palatino Linotype"/>
        </w:rPr>
        <w:t xml:space="preserve">se procede a dictar la presente resolución, con base en los siguientes: </w:t>
      </w:r>
    </w:p>
    <w:p w:rsidR="00BF18FE" w:rsidRPr="009561FF" w:rsidRDefault="004F3044">
      <w:pPr>
        <w:pStyle w:val="Ttulo1"/>
        <w:spacing w:line="360" w:lineRule="auto"/>
        <w:jc w:val="center"/>
        <w:rPr>
          <w:rFonts w:ascii="Palatino Linotype" w:eastAsia="Palatino Linotype" w:hAnsi="Palatino Linotype" w:cs="Palatino Linotype"/>
          <w:b/>
          <w:bCs/>
          <w:color w:val="000000"/>
          <w:sz w:val="24"/>
          <w:szCs w:val="24"/>
        </w:rPr>
      </w:pPr>
      <w:bookmarkStart w:id="1" w:name="_heading=h.gjdgxs" w:colFirst="0" w:colLast="0"/>
      <w:bookmarkEnd w:id="1"/>
      <w:r w:rsidRPr="009561FF">
        <w:rPr>
          <w:rFonts w:ascii="Palatino Linotype" w:eastAsia="Palatino Linotype" w:hAnsi="Palatino Linotype" w:cs="Palatino Linotype"/>
          <w:b/>
          <w:bCs/>
          <w:color w:val="000000"/>
          <w:sz w:val="24"/>
          <w:szCs w:val="24"/>
        </w:rPr>
        <w:t>A N T E C E D E N T E S</w:t>
      </w:r>
    </w:p>
    <w:p w:rsidR="00BF18FE" w:rsidRPr="009561FF" w:rsidRDefault="004F3044">
      <w:pPr>
        <w:numPr>
          <w:ilvl w:val="0"/>
          <w:numId w:val="1"/>
        </w:numPr>
        <w:pBdr>
          <w:top w:val="nil"/>
          <w:left w:val="nil"/>
          <w:bottom w:val="nil"/>
          <w:right w:val="nil"/>
          <w:between w:val="nil"/>
        </w:pBdr>
        <w:tabs>
          <w:tab w:val="left" w:pos="567"/>
        </w:tabs>
        <w:spacing w:before="240"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El </w:t>
      </w:r>
      <w:r w:rsidRPr="009561FF">
        <w:rPr>
          <w:rFonts w:ascii="Palatino Linotype" w:eastAsia="Palatino Linotype" w:hAnsi="Palatino Linotype" w:cs="Palatino Linotype"/>
          <w:b/>
          <w:bCs/>
        </w:rPr>
        <w:t>trece de julio de dos mil veinticinco</w:t>
      </w:r>
      <w:r w:rsidRPr="009561FF">
        <w:rPr>
          <w:rFonts w:ascii="Palatino Linotype" w:eastAsia="Palatino Linotype" w:hAnsi="Palatino Linotype" w:cs="Palatino Linotype"/>
        </w:rPr>
        <w:t>, el particular presentó</w:t>
      </w:r>
      <w:r w:rsidRPr="009561FF">
        <w:rPr>
          <w:rFonts w:ascii="Palatino Linotype" w:eastAsia="Palatino Linotype" w:hAnsi="Palatino Linotype" w:cs="Palatino Linotype"/>
          <w:b/>
          <w:bCs/>
        </w:rPr>
        <w:t xml:space="preserve"> </w:t>
      </w:r>
      <w:r w:rsidRPr="009561FF">
        <w:rPr>
          <w:rFonts w:ascii="Palatino Linotype" w:eastAsia="Palatino Linotype" w:hAnsi="Palatino Linotype" w:cs="Palatino Linotype"/>
        </w:rPr>
        <w:t xml:space="preserve">a través del Sistema de Acceso a la Información Mexiquense </w:t>
      </w:r>
      <w:r w:rsidRPr="009561FF">
        <w:rPr>
          <w:rFonts w:ascii="Palatino Linotype" w:eastAsia="Palatino Linotype" w:hAnsi="Palatino Linotype" w:cs="Palatino Linotype"/>
          <w:b/>
          <w:bCs/>
        </w:rPr>
        <w:t xml:space="preserve">(SAIMEX), </w:t>
      </w:r>
      <w:r w:rsidRPr="009561FF">
        <w:rPr>
          <w:rFonts w:ascii="Palatino Linotype" w:eastAsia="Palatino Linotype" w:hAnsi="Palatino Linotype" w:cs="Palatino Linotype"/>
        </w:rPr>
        <w:t xml:space="preserve">la solicitud de información pública registrada con el número </w:t>
      </w:r>
      <w:r w:rsidRPr="009561FF">
        <w:rPr>
          <w:rFonts w:ascii="Palatino Linotype" w:eastAsia="Palatino Linotype" w:hAnsi="Palatino Linotype" w:cs="Palatino Linotype"/>
          <w:b/>
          <w:bCs/>
        </w:rPr>
        <w:t xml:space="preserve">00461/ZINACANT/IP/2025, </w:t>
      </w:r>
      <w:r w:rsidRPr="009561FF">
        <w:rPr>
          <w:rFonts w:ascii="Palatino Linotype" w:eastAsia="Palatino Linotype" w:hAnsi="Palatino Linotype" w:cs="Palatino Linotype"/>
        </w:rPr>
        <w:t>en la que se requirió:</w:t>
      </w:r>
    </w:p>
    <w:p w:rsidR="00BF18FE" w:rsidRPr="009561FF" w:rsidRDefault="004F3044">
      <w:pPr>
        <w:tabs>
          <w:tab w:val="left" w:pos="1134"/>
          <w:tab w:val="left" w:pos="7935"/>
        </w:tabs>
        <w:spacing w:before="240" w:after="240" w:line="360" w:lineRule="auto"/>
        <w:ind w:left="1140" w:right="1134"/>
        <w:jc w:val="both"/>
        <w:rPr>
          <w:rFonts w:ascii="Palatino Linotype" w:eastAsia="Palatino Linotype" w:hAnsi="Palatino Linotype" w:cs="Palatino Linotype"/>
        </w:rPr>
      </w:pPr>
      <w:r w:rsidRPr="009561FF">
        <w:rPr>
          <w:rFonts w:ascii="Palatino Linotype" w:eastAsia="Palatino Linotype" w:hAnsi="Palatino Linotype" w:cs="Palatino Linotype"/>
        </w:rPr>
        <w:t>“</w:t>
      </w:r>
      <w:r w:rsidRPr="009561FF">
        <w:rPr>
          <w:rFonts w:ascii="Palatino Linotype" w:eastAsia="Palatino Linotype" w:hAnsi="Palatino Linotype" w:cs="Palatino Linotype"/>
          <w:i/>
          <w:iCs/>
        </w:rPr>
        <w:t>Solicitud sobre el área Coordinadora de Archivos y los cumplimientos de Ley</w:t>
      </w:r>
      <w:r w:rsidRPr="009561FF">
        <w:rPr>
          <w:rFonts w:ascii="Palatino Linotype" w:eastAsia="Palatino Linotype" w:hAnsi="Palatino Linotype" w:cs="Palatino Linotype"/>
        </w:rPr>
        <w:t>” (Sic)</w:t>
      </w:r>
    </w:p>
    <w:p w:rsidR="009561FF" w:rsidRDefault="009561FF">
      <w:pPr>
        <w:tabs>
          <w:tab w:val="left" w:pos="426"/>
          <w:tab w:val="left" w:pos="7938"/>
        </w:tabs>
        <w:spacing w:before="240" w:after="240" w:line="360" w:lineRule="auto"/>
        <w:ind w:right="850"/>
        <w:jc w:val="both"/>
        <w:rPr>
          <w:rFonts w:ascii="Palatino Linotype" w:eastAsia="Palatino Linotype" w:hAnsi="Palatino Linotype" w:cs="Palatino Linotype"/>
        </w:rPr>
      </w:pPr>
    </w:p>
    <w:p w:rsidR="00BF18FE" w:rsidRPr="009561FF" w:rsidRDefault="004F3044">
      <w:pPr>
        <w:tabs>
          <w:tab w:val="left" w:pos="426"/>
          <w:tab w:val="left" w:pos="7938"/>
        </w:tabs>
        <w:spacing w:before="240" w:after="240" w:line="360" w:lineRule="auto"/>
        <w:ind w:right="85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A la solicitud se adjuntó el archivo electrónico </w:t>
      </w:r>
      <w:r w:rsidRPr="009561FF">
        <w:rPr>
          <w:rFonts w:ascii="Palatino Linotype" w:eastAsia="Palatino Linotype" w:hAnsi="Palatino Linotype" w:cs="Palatino Linotype"/>
          <w:b/>
          <w:bCs/>
        </w:rPr>
        <w:t>Documento sin título.pdf</w:t>
      </w:r>
      <w:r w:rsidRPr="009561FF">
        <w:rPr>
          <w:rFonts w:ascii="Palatino Linotype" w:eastAsia="Palatino Linotype" w:hAnsi="Palatino Linotype" w:cs="Palatino Linotype"/>
        </w:rPr>
        <w:t xml:space="preserve">, en el que se advierte el requerimiento de la siguiente información: </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“Sistema Institucional de Archivos (SIA)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¿La institución cuenta con un Sistema Institucional de Archivos formalmente instaurado?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 En caso afirmativo, ¿desde qué año se instauró?</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¿Existe un documento normativo que formalice la creación del SIA?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¿cuál es el documento?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¿Se han definido funciones específicas para los distintos tipos de archivo (Trámite,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Concentración e Histórico)?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describa brevemente: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Archivos que integran el SIA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Archivo de Trámite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¿Cada unidad administrativa cuenta con su propio Archivo de Trámite?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¿Los responsables del Archivo de Trámite han sido nombrados formalmente?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¿en qué documento consta su nombramiento?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Archivo de Concentración</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¿La institución cuenta con un Archivo de Concentración?</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¿desde qué año funciona?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¿Existe nombramiento formal del Responsable del Archivo de Concentración?</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adjuntar el nombramiento.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Mencionar el Grado académico y área de estudio o formación profesional.</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¿Qué tipo de documentación se encuentra en el Archivo de Concentración?</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Archivo Histórico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¿La institución cuenta con un Archivo Histórico?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¿desde qué año se instauró?</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¿Existe nombramiento formal del Responsable del Archivo Histórico?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adjuntar el nombramiento.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Mencionar el Grado académico y área de estudio o formación profesional.</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Área Coordinadora de Archivos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¿Existe un área formalmente designada como Coordinadora de Archivos?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¿desde qué año funciona?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¿Existe nombramiento formal del Responsable del Área Coordinadora de Archivos?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En caso afirmativo, adjuntar nombramiento.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Mencionar el Grado académico y área de estudio o formación profesional.</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¿Con cuántas personas cuenta actualmente el Área Coordinadora de Archivos?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¿El Área Coordinadora de Archivos está reconocida dentro de la estructura orgánica institucional?</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Instrumentos de Control Archivístico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¿La institución cuenta con los siguientes instrumentos?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Cuadro General de Clasificación Archivística (CGCA):</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Año: _______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Catálogo de Disposición Documental (CDD):</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Año: _______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Guías de Archivo: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Año: _______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Inventarios Documentales: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Última actualización: _______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Adjuntar los instrumentos de consulta con los que cuente.</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Transferencias Documentales</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¿Se han realizado transferencias primarias (de Trámite a Concentración)?</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Frecuencia: __________ - [ ] No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¿Se han realizado transferencias secundarias (de Concentración a Histórico)?</w:t>
      </w:r>
    </w:p>
    <w:p w:rsidR="00BF18FE" w:rsidRPr="009561FF" w:rsidRDefault="004F3044">
      <w:pPr>
        <w:widowControl w:val="0"/>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 ] Sí – Frecuencia: __________ - [ ] No” (Sic).</w:t>
      </w:r>
    </w:p>
    <w:p w:rsidR="00BF18FE" w:rsidRPr="009561FF" w:rsidRDefault="00BF18FE">
      <w:pPr>
        <w:widowControl w:val="0"/>
        <w:ind w:left="1134" w:right="1134"/>
        <w:jc w:val="both"/>
        <w:rPr>
          <w:rFonts w:ascii="Palatino Linotype" w:eastAsia="Palatino Linotype" w:hAnsi="Palatino Linotype" w:cs="Palatino Linotype"/>
          <w:i/>
          <w:iCs/>
        </w:rPr>
      </w:pPr>
    </w:p>
    <w:p w:rsidR="00BF18FE" w:rsidRPr="009561FF" w:rsidRDefault="00BF18FE">
      <w:pPr>
        <w:rPr>
          <w:rFonts w:ascii="Palatino Linotype" w:eastAsia="Palatino Linotype" w:hAnsi="Palatino Linotype" w:cs="Palatino Linotype"/>
        </w:rPr>
      </w:pPr>
    </w:p>
    <w:p w:rsidR="00BF18FE" w:rsidRPr="009561FF" w:rsidRDefault="004F3044" w:rsidP="009561FF">
      <w:pPr>
        <w:numPr>
          <w:ilvl w:val="0"/>
          <w:numId w:val="2"/>
        </w:numPr>
        <w:pBdr>
          <w:top w:val="nil"/>
          <w:left w:val="nil"/>
          <w:bottom w:val="nil"/>
          <w:right w:val="nil"/>
          <w:between w:val="nil"/>
        </w:pBdr>
        <w:spacing w:before="280"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Modalidad de entrega de la información</w:t>
      </w:r>
      <w:r w:rsidRPr="009561FF">
        <w:rPr>
          <w:rFonts w:ascii="Palatino Linotype" w:eastAsia="Palatino Linotype" w:hAnsi="Palatino Linotype" w:cs="Palatino Linotype"/>
          <w:b/>
          <w:bCs/>
          <w:color w:val="000000"/>
        </w:rPr>
        <w:t>:</w:t>
      </w:r>
      <w:r w:rsidRPr="009561FF">
        <w:rPr>
          <w:rFonts w:ascii="Palatino Linotype" w:eastAsia="Palatino Linotype" w:hAnsi="Palatino Linotype" w:cs="Palatino Linotype"/>
          <w:color w:val="000000"/>
        </w:rPr>
        <w:t xml:space="preserve"> </w:t>
      </w:r>
      <w:r w:rsidRPr="009561FF">
        <w:rPr>
          <w:rFonts w:ascii="Palatino Linotype" w:eastAsia="Palatino Linotype" w:hAnsi="Palatino Linotype" w:cs="Palatino Linotype"/>
          <w:b/>
          <w:bCs/>
          <w:color w:val="000000"/>
        </w:rPr>
        <w:t>A través del SAIMEX.</w:t>
      </w:r>
    </w:p>
    <w:p w:rsidR="00BF18FE" w:rsidRPr="009561FF" w:rsidRDefault="00BF18F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p>
    <w:p w:rsidR="00BF18FE" w:rsidRPr="009561FF" w:rsidRDefault="004F3044">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lastRenderedPageBreak/>
        <w:t xml:space="preserve">El </w:t>
      </w:r>
      <w:r w:rsidRPr="009561FF">
        <w:rPr>
          <w:rFonts w:ascii="Palatino Linotype" w:eastAsia="Palatino Linotype" w:hAnsi="Palatino Linotype" w:cs="Palatino Linotype"/>
          <w:b/>
          <w:bCs/>
        </w:rPr>
        <w:t>cuatro de julio de dos mil veinticinco</w:t>
      </w:r>
      <w:r w:rsidRPr="009561FF">
        <w:rPr>
          <w:rFonts w:ascii="Palatino Linotype" w:eastAsia="Palatino Linotype" w:hAnsi="Palatino Linotype" w:cs="Palatino Linotype"/>
        </w:rPr>
        <w:t xml:space="preserve">, el </w:t>
      </w:r>
      <w:r w:rsidRPr="009561FF">
        <w:rPr>
          <w:rFonts w:ascii="Palatino Linotype" w:eastAsia="Palatino Linotype" w:hAnsi="Palatino Linotype" w:cs="Palatino Linotype"/>
          <w:b/>
          <w:bCs/>
        </w:rPr>
        <w:t>SUJETO OBLIGADO</w:t>
      </w:r>
      <w:r w:rsidRPr="009561FF">
        <w:rPr>
          <w:rFonts w:ascii="Palatino Linotype" w:eastAsia="Palatino Linotype" w:hAnsi="Palatino Linotype" w:cs="Palatino Linotype"/>
        </w:rPr>
        <w:t xml:space="preserve"> dio respuesta a las solicitud de información en los siguientes términos:</w:t>
      </w:r>
    </w:p>
    <w:p w:rsidR="00BF18FE" w:rsidRPr="009561FF" w:rsidRDefault="00BF18FE">
      <w:pPr>
        <w:spacing w:line="360" w:lineRule="auto"/>
        <w:jc w:val="both"/>
        <w:rPr>
          <w:rFonts w:ascii="Palatino Linotype" w:eastAsia="Palatino Linotype" w:hAnsi="Palatino Linotype" w:cs="Palatino Linotype"/>
        </w:rPr>
      </w:pPr>
    </w:p>
    <w:tbl>
      <w:tblPr>
        <w:tblStyle w:val="a"/>
        <w:tblW w:w="7800" w:type="dxa"/>
        <w:jc w:val="center"/>
        <w:tblInd w:w="0" w:type="dxa"/>
        <w:tblLayout w:type="fixed"/>
        <w:tblLook w:val="0400" w:firstRow="0" w:lastRow="0" w:firstColumn="0" w:lastColumn="0" w:noHBand="0" w:noVBand="1"/>
      </w:tblPr>
      <w:tblGrid>
        <w:gridCol w:w="7800"/>
      </w:tblGrid>
      <w:tr w:rsidR="00BF18FE" w:rsidRPr="009561FF">
        <w:trPr>
          <w:trHeight w:val="326"/>
          <w:jc w:val="center"/>
        </w:trPr>
        <w:tc>
          <w:tcPr>
            <w:tcW w:w="7800" w:type="dxa"/>
          </w:tcPr>
          <w:p w:rsidR="00BF18FE" w:rsidRPr="009561FF" w:rsidRDefault="004F3044">
            <w:pPr>
              <w:ind w:right="854"/>
              <w:jc w:val="right"/>
              <w:rPr>
                <w:rFonts w:ascii="Palatino Linotype" w:eastAsia="Palatino Linotype" w:hAnsi="Palatino Linotype" w:cs="Palatino Linotype"/>
                <w:i/>
                <w:iCs/>
              </w:rPr>
            </w:pPr>
            <w:r w:rsidRPr="009561FF">
              <w:rPr>
                <w:rFonts w:ascii="Palatino Linotype" w:eastAsia="Palatino Linotype" w:hAnsi="Palatino Linotype" w:cs="Palatino Linotype"/>
                <w:i/>
                <w:iCs/>
              </w:rPr>
              <w:t>Zinacantepec, México a 04 de Julio de 2025</w:t>
            </w:r>
          </w:p>
        </w:tc>
      </w:tr>
      <w:tr w:rsidR="00BF18FE" w:rsidRPr="009561FF">
        <w:trPr>
          <w:trHeight w:val="326"/>
          <w:jc w:val="center"/>
        </w:trPr>
        <w:tc>
          <w:tcPr>
            <w:tcW w:w="7800" w:type="dxa"/>
          </w:tcPr>
          <w:p w:rsidR="00BF18FE" w:rsidRPr="009561FF" w:rsidRDefault="004F3044">
            <w:pPr>
              <w:ind w:right="854"/>
              <w:jc w:val="right"/>
              <w:rPr>
                <w:rFonts w:ascii="Palatino Linotype" w:eastAsia="Palatino Linotype" w:hAnsi="Palatino Linotype" w:cs="Palatino Linotype"/>
                <w:i/>
                <w:iCs/>
              </w:rPr>
            </w:pPr>
            <w:r w:rsidRPr="009561FF">
              <w:rPr>
                <w:rFonts w:ascii="Palatino Linotype" w:eastAsia="Palatino Linotype" w:hAnsi="Palatino Linotype" w:cs="Palatino Linotype"/>
                <w:i/>
                <w:iCs/>
              </w:rPr>
              <w:t>Nombre del solicitante: C. Solicitante</w:t>
            </w:r>
          </w:p>
        </w:tc>
      </w:tr>
      <w:tr w:rsidR="00BF18FE" w:rsidRPr="009561FF">
        <w:trPr>
          <w:trHeight w:val="326"/>
          <w:jc w:val="center"/>
        </w:trPr>
        <w:tc>
          <w:tcPr>
            <w:tcW w:w="7800" w:type="dxa"/>
          </w:tcPr>
          <w:p w:rsidR="00BF18FE" w:rsidRPr="009561FF" w:rsidRDefault="004F3044">
            <w:pPr>
              <w:ind w:left="1134" w:right="854"/>
              <w:jc w:val="right"/>
              <w:rPr>
                <w:rFonts w:ascii="Palatino Linotype" w:eastAsia="Palatino Linotype" w:hAnsi="Palatino Linotype" w:cs="Palatino Linotype"/>
                <w:i/>
                <w:iCs/>
              </w:rPr>
            </w:pPr>
            <w:r w:rsidRPr="009561FF">
              <w:rPr>
                <w:rFonts w:ascii="Palatino Linotype" w:eastAsia="Palatino Linotype" w:hAnsi="Palatino Linotype" w:cs="Palatino Linotype"/>
                <w:i/>
                <w:iCs/>
              </w:rPr>
              <w:t>Folio de la solicitud: 00461/ZINACANT/IP/2025</w:t>
            </w:r>
          </w:p>
        </w:tc>
      </w:tr>
      <w:tr w:rsidR="00BF18FE" w:rsidRPr="009561FF">
        <w:trPr>
          <w:trHeight w:val="489"/>
          <w:jc w:val="center"/>
        </w:trPr>
        <w:tc>
          <w:tcPr>
            <w:tcW w:w="7800" w:type="dxa"/>
          </w:tcPr>
          <w:p w:rsidR="00BF18FE" w:rsidRPr="009561FF" w:rsidRDefault="004F3044">
            <w:pPr>
              <w:ind w:left="1134" w:right="85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BF18FE" w:rsidRPr="009561FF">
        <w:trPr>
          <w:trHeight w:val="163"/>
          <w:jc w:val="center"/>
        </w:trPr>
        <w:tc>
          <w:tcPr>
            <w:tcW w:w="7800" w:type="dxa"/>
          </w:tcPr>
          <w:p w:rsidR="00BF18FE" w:rsidRPr="009561FF" w:rsidRDefault="004F3044">
            <w:pPr>
              <w:ind w:left="1134" w:right="85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En apego a lo establecido su solicitud fue analizada y turnada al área poseedora de la información, por lo que con fundamento en el artículo 12 de la Ley de Transparencia y Acceso a la Información Pública del Estado de México y Municipios, donde se establece que, “Los sujetos obligados sólo proporcionarán la información pública que se le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Se remite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tc>
      </w:tr>
      <w:tr w:rsidR="00BF18FE" w:rsidRPr="009561FF">
        <w:trPr>
          <w:trHeight w:val="407"/>
          <w:jc w:val="center"/>
        </w:trPr>
        <w:tc>
          <w:tcPr>
            <w:tcW w:w="7800" w:type="dxa"/>
          </w:tcPr>
          <w:p w:rsidR="00BF18FE" w:rsidRPr="009561FF" w:rsidRDefault="004F3044">
            <w:pPr>
              <w:ind w:left="1134" w:right="85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ATENTAMENTE</w:t>
            </w:r>
          </w:p>
        </w:tc>
      </w:tr>
      <w:tr w:rsidR="00BF18FE" w:rsidRPr="009561FF">
        <w:trPr>
          <w:trHeight w:val="163"/>
          <w:jc w:val="center"/>
        </w:trPr>
        <w:tc>
          <w:tcPr>
            <w:tcW w:w="7800" w:type="dxa"/>
          </w:tcPr>
          <w:p w:rsidR="00BF18FE" w:rsidRPr="009561FF" w:rsidRDefault="004F3044">
            <w:pPr>
              <w:ind w:left="1134" w:right="85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BRENDA SELENE HERNANDEZ LOPEZ</w:t>
            </w:r>
          </w:p>
        </w:tc>
      </w:tr>
      <w:tr w:rsidR="00BF18FE" w:rsidRPr="009561FF">
        <w:trPr>
          <w:trHeight w:val="407"/>
          <w:jc w:val="center"/>
        </w:trPr>
        <w:tc>
          <w:tcPr>
            <w:tcW w:w="7800" w:type="dxa"/>
          </w:tcPr>
          <w:p w:rsidR="00BF18FE" w:rsidRPr="009561FF" w:rsidRDefault="00BF18FE" w:rsidP="009561FF">
            <w:pPr>
              <w:jc w:val="both"/>
              <w:rPr>
                <w:rFonts w:ascii="Palatino Linotype" w:eastAsia="Palatino Linotype" w:hAnsi="Palatino Linotype" w:cs="Palatino Linotype"/>
                <w:i/>
                <w:iCs/>
              </w:rPr>
            </w:pPr>
          </w:p>
        </w:tc>
      </w:tr>
    </w:tbl>
    <w:p w:rsidR="00BF18FE" w:rsidRPr="009561FF" w:rsidRDefault="004F3044">
      <w:pPr>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rPr>
        <w:t>Así mismo adjuntó dos archivos donde medularmente señala:</w:t>
      </w:r>
    </w:p>
    <w:p w:rsidR="00BF18FE" w:rsidRPr="009561FF" w:rsidRDefault="004F3044">
      <w:pPr>
        <w:spacing w:line="360"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rPr>
        <w:t xml:space="preserve">924.pdf : </w:t>
      </w:r>
      <w:r w:rsidRPr="009561FF">
        <w:rPr>
          <w:rFonts w:ascii="Palatino Linotype" w:eastAsia="Palatino Linotype" w:hAnsi="Palatino Linotype" w:cs="Palatino Linotype"/>
          <w:i/>
          <w:iCs/>
        </w:rPr>
        <w:t>Donde el Secretario del Ayuntamiento señala que el Sistema Institucional de Archivos fue formalmente instalado el día 9 de mayo de dos mil veinticinco y que el programa Anual de Desarrollo Archivístico fue debidamente aprobado en la Décima Séptima Sesión Ordinaria de Cabildo del 15 de mayo de dos mil veinticinco.</w:t>
      </w:r>
    </w:p>
    <w:p w:rsidR="00BF18FE" w:rsidRPr="009561FF" w:rsidRDefault="00BF18FE">
      <w:pPr>
        <w:spacing w:line="360" w:lineRule="auto"/>
        <w:ind w:left="1134"/>
        <w:jc w:val="both"/>
        <w:rPr>
          <w:rFonts w:ascii="Palatino Linotype" w:eastAsia="Palatino Linotype" w:hAnsi="Palatino Linotype" w:cs="Palatino Linotype"/>
          <w:i/>
          <w:iCs/>
        </w:rPr>
      </w:pPr>
    </w:p>
    <w:p w:rsidR="00BF18FE" w:rsidRPr="009561FF" w:rsidRDefault="004F3044">
      <w:pPr>
        <w:spacing w:line="360"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rPr>
        <w:t>RESPUESTA SOLICITUD 461.pdf</w:t>
      </w:r>
      <w:r w:rsidRPr="009561FF">
        <w:rPr>
          <w:rFonts w:ascii="Palatino Linotype" w:eastAsia="Palatino Linotype" w:hAnsi="Palatino Linotype" w:cs="Palatino Linotype"/>
          <w:b/>
          <w:bCs/>
          <w:color w:val="000000"/>
          <w:u w:val="single"/>
        </w:rPr>
        <w:t xml:space="preserve">: </w:t>
      </w:r>
      <w:r w:rsidRPr="009561FF">
        <w:rPr>
          <w:rFonts w:ascii="Palatino Linotype" w:eastAsia="Palatino Linotype" w:hAnsi="Palatino Linotype" w:cs="Palatino Linotype"/>
        </w:rPr>
        <w:t>Donde</w:t>
      </w:r>
      <w:r w:rsidRPr="009561FF">
        <w:rPr>
          <w:rFonts w:ascii="Palatino Linotype" w:eastAsia="Palatino Linotype" w:hAnsi="Palatino Linotype" w:cs="Palatino Linotype"/>
          <w:i/>
          <w:iCs/>
        </w:rPr>
        <w:t xml:space="preserve"> la Titular de la Unidad de Transparencia remite la respuesta proporcionada por el área competente.</w:t>
      </w:r>
    </w:p>
    <w:p w:rsidR="00BF18FE" w:rsidRPr="009561FF" w:rsidRDefault="00BF18FE">
      <w:pPr>
        <w:spacing w:line="360" w:lineRule="auto"/>
        <w:ind w:left="1134"/>
        <w:jc w:val="both"/>
        <w:rPr>
          <w:rFonts w:ascii="Palatino Linotype" w:eastAsia="Palatino Linotype" w:hAnsi="Palatino Linotype" w:cs="Palatino Linotype"/>
          <w:i/>
          <w:iCs/>
        </w:rPr>
      </w:pPr>
    </w:p>
    <w:p w:rsidR="00BF18FE" w:rsidRPr="009561FF" w:rsidRDefault="004F3044">
      <w:pPr>
        <w:numPr>
          <w:ilvl w:val="0"/>
          <w:numId w:val="1"/>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El </w:t>
      </w:r>
      <w:r w:rsidRPr="009561FF">
        <w:rPr>
          <w:rFonts w:ascii="Palatino Linotype" w:eastAsia="Palatino Linotype" w:hAnsi="Palatino Linotype" w:cs="Palatino Linotype"/>
          <w:b/>
          <w:bCs/>
        </w:rPr>
        <w:t>catorce de julio de dos mil veinticinco</w:t>
      </w:r>
      <w:r w:rsidRPr="009561FF">
        <w:rPr>
          <w:rFonts w:ascii="Palatino Linotype" w:eastAsia="Palatino Linotype" w:hAnsi="Palatino Linotype" w:cs="Palatino Linotype"/>
        </w:rPr>
        <w:t>, el particular interpuso recurso de revisión, en el que señaló:</w:t>
      </w:r>
    </w:p>
    <w:p w:rsidR="00BF18FE" w:rsidRPr="009561FF" w:rsidRDefault="00BF18FE">
      <w:pPr>
        <w:pBdr>
          <w:top w:val="nil"/>
          <w:left w:val="nil"/>
          <w:bottom w:val="nil"/>
          <w:right w:val="nil"/>
          <w:between w:val="nil"/>
        </w:pBdr>
        <w:tabs>
          <w:tab w:val="left" w:pos="0"/>
          <w:tab w:val="left" w:pos="567"/>
        </w:tabs>
        <w:spacing w:line="360" w:lineRule="auto"/>
        <w:jc w:val="both"/>
        <w:rPr>
          <w:rFonts w:ascii="Palatino Linotype" w:eastAsia="Palatino Linotype" w:hAnsi="Palatino Linotype" w:cs="Palatino Linotype"/>
        </w:rPr>
      </w:pPr>
    </w:p>
    <w:p w:rsidR="00BF18FE" w:rsidRPr="009561FF" w:rsidRDefault="004F3044" w:rsidP="009561FF">
      <w:pPr>
        <w:pStyle w:val="Prrafodelista"/>
        <w:numPr>
          <w:ilvl w:val="0"/>
          <w:numId w:val="7"/>
        </w:numPr>
        <w:tabs>
          <w:tab w:val="left" w:pos="0"/>
          <w:tab w:val="left" w:pos="7938"/>
        </w:tabs>
        <w:spacing w:line="276" w:lineRule="auto"/>
        <w:ind w:right="1134"/>
        <w:jc w:val="both"/>
        <w:rPr>
          <w:rFonts w:ascii="Palatino Linotype" w:eastAsia="Palatino Linotype" w:hAnsi="Palatino Linotype" w:cs="Palatino Linotype"/>
          <w:sz w:val="24"/>
        </w:rPr>
      </w:pPr>
      <w:r w:rsidRPr="009561FF">
        <w:rPr>
          <w:rFonts w:ascii="Palatino Linotype" w:eastAsia="Palatino Linotype" w:hAnsi="Palatino Linotype" w:cs="Palatino Linotype"/>
          <w:b/>
          <w:bCs/>
          <w:sz w:val="24"/>
        </w:rPr>
        <w:t>ACTO IMPUGNADO:</w:t>
      </w:r>
      <w:r w:rsidRPr="009561FF">
        <w:rPr>
          <w:rFonts w:ascii="Palatino Linotype" w:eastAsia="Palatino Linotype" w:hAnsi="Palatino Linotype" w:cs="Palatino Linotype"/>
          <w:sz w:val="24"/>
        </w:rPr>
        <w:t xml:space="preserve"> “</w:t>
      </w:r>
      <w:r w:rsidRPr="009561FF">
        <w:rPr>
          <w:rFonts w:ascii="Palatino Linotype" w:eastAsia="Palatino Linotype" w:hAnsi="Palatino Linotype" w:cs="Palatino Linotype"/>
          <w:i/>
          <w:iCs/>
          <w:sz w:val="24"/>
        </w:rPr>
        <w:t>El sujeto obligado respondió mediante oficio de fecha 4 de julio de 2025, sin proporcionar información clara, puntual ni vinculada directamente con el cumplimiento de las obligaciones legales del área Coordinadora de Archivos. Se limitó a citar el artículo 12 de la Ley, refiriendo que no están obligados a procesar ni generar información, sin demostrar que la información no existe, sin declarar la inexistencia conforme al procedimiento legal, ni proporcionar datos mínimos disponibles.” (</w:t>
      </w:r>
      <w:r w:rsidRPr="009561FF">
        <w:rPr>
          <w:rFonts w:ascii="Palatino Linotype" w:eastAsia="Palatino Linotype" w:hAnsi="Palatino Linotype" w:cs="Palatino Linotype"/>
          <w:sz w:val="24"/>
        </w:rPr>
        <w:t>Sic)</w:t>
      </w:r>
    </w:p>
    <w:p w:rsidR="00BF18FE" w:rsidRPr="009561FF" w:rsidRDefault="00BF18FE" w:rsidP="009561FF">
      <w:pPr>
        <w:tabs>
          <w:tab w:val="left" w:pos="0"/>
          <w:tab w:val="left" w:pos="7938"/>
        </w:tabs>
        <w:spacing w:line="276" w:lineRule="auto"/>
        <w:ind w:left="142" w:right="1134" w:hanging="10"/>
        <w:jc w:val="both"/>
        <w:rPr>
          <w:rFonts w:ascii="Palatino Linotype" w:eastAsia="Palatino Linotype" w:hAnsi="Palatino Linotype" w:cs="Palatino Linotype"/>
        </w:rPr>
      </w:pPr>
    </w:p>
    <w:p w:rsidR="00BF18FE" w:rsidRPr="009561FF" w:rsidRDefault="004F3044" w:rsidP="009561FF">
      <w:pPr>
        <w:pStyle w:val="Prrafodelista"/>
        <w:numPr>
          <w:ilvl w:val="0"/>
          <w:numId w:val="7"/>
        </w:numPr>
        <w:tabs>
          <w:tab w:val="left" w:pos="0"/>
          <w:tab w:val="left" w:pos="7938"/>
        </w:tabs>
        <w:spacing w:line="276" w:lineRule="auto"/>
        <w:ind w:right="1134"/>
        <w:jc w:val="both"/>
        <w:rPr>
          <w:rFonts w:ascii="Palatino Linotype" w:eastAsia="Palatino Linotype" w:hAnsi="Palatino Linotype" w:cs="Palatino Linotype"/>
          <w:sz w:val="24"/>
        </w:rPr>
      </w:pPr>
      <w:r w:rsidRPr="009561FF">
        <w:rPr>
          <w:rFonts w:ascii="Palatino Linotype" w:eastAsia="Palatino Linotype" w:hAnsi="Palatino Linotype" w:cs="Palatino Linotype"/>
          <w:b/>
          <w:bCs/>
          <w:sz w:val="24"/>
        </w:rPr>
        <w:t xml:space="preserve">RAZONES O MOTIVOS DE INCONFORMIDAD: </w:t>
      </w:r>
      <w:r w:rsidRPr="009561FF">
        <w:rPr>
          <w:rFonts w:ascii="Palatino Linotype" w:eastAsia="Palatino Linotype" w:hAnsi="Palatino Linotype" w:cs="Palatino Linotype"/>
          <w:sz w:val="24"/>
        </w:rPr>
        <w:t>“</w:t>
      </w:r>
      <w:r w:rsidRPr="009561FF">
        <w:rPr>
          <w:rFonts w:ascii="Palatino Linotype" w:eastAsia="Palatino Linotype" w:hAnsi="Palatino Linotype" w:cs="Palatino Linotype"/>
          <w:i/>
          <w:iCs/>
          <w:sz w:val="24"/>
        </w:rPr>
        <w:t xml:space="preserve">Con fundamento en los artículos 176 y siguientes de la Ley de Transparencia y Acceso a la Información Pública del Estado de México y Municipios, vengo a interponer recurso de revisión en contra de la respuesta proporcionada a la solicitud con folio </w:t>
      </w:r>
      <w:r w:rsidRPr="009561FF">
        <w:rPr>
          <w:rFonts w:ascii="Palatino Linotype" w:eastAsia="Palatino Linotype" w:hAnsi="Palatino Linotype" w:cs="Palatino Linotype"/>
          <w:i/>
          <w:iCs/>
          <w:sz w:val="24"/>
        </w:rPr>
        <w:lastRenderedPageBreak/>
        <w:t xml:space="preserve">00461/ZINACANT/IP/2025, en virtud de lo siguiente: Antecedente El día 13 de junio del presente año, realicé una solicitud de acceso a la información mediante la Plataforma SAIMEX, requiriendo: “Solicitud sobre el área Coordinadora de Archivos y los cumplimientos de Ley”. Motivo del Recurso El sujeto obligado respondió mediante oficio de fecha 4 de julio de 2025, sin proporcionar información clara, puntual ni vinculada directamente con el cumplimiento de las obligaciones legales del área Coordinadora de Archivos. Se limitó a citar el artículo 12 de la Ley, refiriendo que no están obligados a procesar ni generar información, sin demostrar que la información no existe, sin declarar la inexistencia conforme al procedimiento legal, ni proporcionar datos mínimos disponibles. JUSTIFICACIÓN DEL RECURSO Y ACLARACIÓN DEL ALCANCE DE LA SOLICITUD En atención al requerimiento de aclaración respecto a la solicitud registrada en la Plataforma SAIMEX, me permito precisar que el objetivo de mi solicitud se encuentra relacionado con el cumplimiento de la Ley de Archivos y Administración de Documentos del Estado de México y Municipios por parte de los sujetos obligados, particularmente los ayuntamientos, en relación con las siguientes obligaciones: La existencia y funcionamiento del Sistema Institucional de Archivos, conforme a los artículos 10, 20 y 21 de dicha Ley. La elaboración, aprobación y actualización del Programa Anual de Desarrollo Archivístico (PADA), en términos del Capítulo V de la Planeación en Materia Archivística: artículos 23 al 26. La integración, descripción y conservación de los archivos de trámite, concentración e históricos, conforme a lo establecido en el Capítulo VII de las Áreas Operativas (artículos 29 al 32) y el Capítulo VIII de los Archivos Históricos (artículos 33 al 40). El cumplimiento de las obligaciones en materia de valoración documental, bajas documentales y transferencias primarias y secundarias, como lo señalan los artículos 31 fracciones III y VII. La existencia de instrumentos de control y consulta archivística, particularmente lo establecido en el artículo 13. La finalidad de esta solicitud es conocer el grado de cumplimiento de estas disposiciones en el ayuntamiento, ya que dicha información constituye información pública de oficio, conforme a los artículos 92 y 93 de la Ley de Transparencia y Acceso a la </w:t>
      </w:r>
      <w:r w:rsidRPr="009561FF">
        <w:rPr>
          <w:rFonts w:ascii="Palatino Linotype" w:eastAsia="Palatino Linotype" w:hAnsi="Palatino Linotype" w:cs="Palatino Linotype"/>
          <w:i/>
          <w:iCs/>
          <w:sz w:val="24"/>
        </w:rPr>
        <w:lastRenderedPageBreak/>
        <w:t>Información Pública del Estado de México y Municipios. Agravios La respuesta emitida resulta insatisfactoria y contraria al principio de máxima publicidad, por las siguientes razones: No se entregó información sustancial sobre el área Coordinadora de Archivos. No se precisó si dicha área existe formalmente, su marco normativo, funciones o acciones relacionadas con el cumplimiento de la Ley General de Archivos. No se declaró de manera formal la inexistencia, ni se justificó la falta de información con acta del Comité de Transparencia, como lo establece la ley. El sujeto obligado se limitó a una respuesta genérica que vulnera mi derecho de acceso a la información.”</w:t>
      </w:r>
      <w:r w:rsidRPr="009561FF">
        <w:rPr>
          <w:rFonts w:ascii="Palatino Linotype" w:eastAsia="Palatino Linotype" w:hAnsi="Palatino Linotype" w:cs="Palatino Linotype"/>
          <w:sz w:val="24"/>
        </w:rPr>
        <w:t xml:space="preserve"> (Sic). </w:t>
      </w:r>
    </w:p>
    <w:p w:rsidR="00BF18FE" w:rsidRPr="009561FF" w:rsidRDefault="00BF18FE">
      <w:pPr>
        <w:tabs>
          <w:tab w:val="left" w:pos="0"/>
        </w:tabs>
        <w:spacing w:line="360" w:lineRule="auto"/>
        <w:jc w:val="both"/>
        <w:rPr>
          <w:rFonts w:ascii="Palatino Linotype" w:eastAsia="Palatino Linotype" w:hAnsi="Palatino Linotype" w:cs="Palatino Linotype"/>
        </w:rPr>
      </w:pPr>
    </w:p>
    <w:p w:rsidR="00BF18FE" w:rsidRPr="009561FF" w:rsidRDefault="004F3044">
      <w:pPr>
        <w:numPr>
          <w:ilvl w:val="0"/>
          <w:numId w:val="1"/>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9561FF">
        <w:rPr>
          <w:rFonts w:ascii="Palatino Linotype" w:eastAsia="Palatino Linotype" w:hAnsi="Palatino Linotype" w:cs="Palatino Linotype"/>
          <w:b/>
          <w:bCs/>
        </w:rPr>
        <w:t xml:space="preserve">Ley de Transparencia y Acceso a la Información Pública del Estado de México y Municipios </w:t>
      </w:r>
      <w:r w:rsidRPr="009561FF">
        <w:rPr>
          <w:rFonts w:ascii="Palatino Linotype" w:eastAsia="Palatino Linotype" w:hAnsi="Palatino Linotype" w:cs="Palatino Linotype"/>
        </w:rPr>
        <w:t xml:space="preserve">se turna a la </w:t>
      </w:r>
      <w:r w:rsidRPr="009561FF">
        <w:rPr>
          <w:rFonts w:ascii="Palatino Linotype" w:eastAsia="Palatino Linotype" w:hAnsi="Palatino Linotype" w:cs="Palatino Linotype"/>
          <w:b/>
          <w:bCs/>
        </w:rPr>
        <w:t xml:space="preserve">Comisionada María del Rosario Mejía Ayala, </w:t>
      </w:r>
      <w:r w:rsidRPr="009561FF">
        <w:rPr>
          <w:rFonts w:ascii="Palatino Linotype" w:eastAsia="Palatino Linotype" w:hAnsi="Palatino Linotype" w:cs="Palatino Linotype"/>
        </w:rPr>
        <w:t>para su análisis.</w:t>
      </w:r>
    </w:p>
    <w:p w:rsidR="00BF18FE" w:rsidRPr="009561FF" w:rsidRDefault="00BF18FE">
      <w:pPr>
        <w:rPr>
          <w:rFonts w:ascii="Palatino Linotype" w:eastAsia="Palatino Linotype" w:hAnsi="Palatino Linotype" w:cs="Palatino Linotype"/>
        </w:rPr>
      </w:pPr>
    </w:p>
    <w:p w:rsidR="00BF18FE" w:rsidRPr="009561FF" w:rsidRDefault="004F3044">
      <w:pPr>
        <w:numPr>
          <w:ilvl w:val="0"/>
          <w:numId w:val="1"/>
        </w:numPr>
        <w:tabs>
          <w:tab w:val="left" w:pos="426"/>
        </w:tabs>
        <w:spacing w:line="360" w:lineRule="auto"/>
        <w:ind w:left="0" w:firstLine="0"/>
        <w:jc w:val="both"/>
        <w:rPr>
          <w:rFonts w:ascii="Palatino Linotype" w:eastAsia="Palatino Linotype" w:hAnsi="Palatino Linotype" w:cs="Palatino Linotype"/>
          <w:b/>
          <w:bCs/>
        </w:rPr>
      </w:pPr>
      <w:bookmarkStart w:id="2" w:name="_heading=h.30j0zll" w:colFirst="0" w:colLast="0"/>
      <w:bookmarkEnd w:id="2"/>
      <w:r w:rsidRPr="009561FF">
        <w:rPr>
          <w:rFonts w:ascii="Palatino Linotype" w:eastAsia="Palatino Linotype" w:hAnsi="Palatino Linotype" w:cs="Palatino Linotype"/>
        </w:rPr>
        <w:t xml:space="preserve">La Comisionada </w:t>
      </w:r>
      <w:r w:rsidR="009561FF">
        <w:rPr>
          <w:rFonts w:ascii="Palatino Linotype" w:eastAsia="Palatino Linotype" w:hAnsi="Palatino Linotype" w:cs="Palatino Linotype"/>
        </w:rPr>
        <w:t>p</w:t>
      </w:r>
      <w:r w:rsidRPr="009561FF">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Pr="009561FF">
        <w:rPr>
          <w:rFonts w:ascii="Palatino Linotype" w:eastAsia="Palatino Linotype" w:hAnsi="Palatino Linotype" w:cs="Palatino Linotype"/>
          <w:b/>
          <w:bCs/>
        </w:rPr>
        <w:t>catorce de julio de dos mil veinticinco</w:t>
      </w:r>
      <w:r w:rsidRPr="009561FF">
        <w:rPr>
          <w:rFonts w:ascii="Palatino Linotype" w:eastAsia="Palatino Linotype" w:hAnsi="Palatino Linotype" w:cs="Palatino Linotype"/>
        </w:rPr>
        <w:t xml:space="preserve">, puso a disposición de las partes el expediente electrónico vía </w:t>
      </w:r>
      <w:r w:rsidRPr="009561FF">
        <w:rPr>
          <w:rFonts w:ascii="Palatino Linotype" w:eastAsia="Palatino Linotype" w:hAnsi="Palatino Linotype" w:cs="Palatino Linotype"/>
          <w:b/>
          <w:bCs/>
        </w:rPr>
        <w:t xml:space="preserve">SAIMEX </w:t>
      </w:r>
      <w:r w:rsidRPr="009561FF">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9561FF">
        <w:rPr>
          <w:rFonts w:ascii="Palatino Linotype" w:eastAsia="Palatino Linotype" w:hAnsi="Palatino Linotype" w:cs="Palatino Linotype"/>
          <w:b/>
          <w:bCs/>
        </w:rPr>
        <w:t>SUJETO OBLIGADO</w:t>
      </w:r>
      <w:r w:rsidRPr="009561FF">
        <w:rPr>
          <w:rFonts w:ascii="Palatino Linotype" w:eastAsia="Palatino Linotype" w:hAnsi="Palatino Linotype" w:cs="Palatino Linotype"/>
        </w:rPr>
        <w:t xml:space="preserve"> presentará el informe justificado procedente.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rPr>
      </w:pPr>
    </w:p>
    <w:p w:rsidR="00BF18FE" w:rsidRPr="009561FF" w:rsidRDefault="004F3044">
      <w:pPr>
        <w:numPr>
          <w:ilvl w:val="0"/>
          <w:numId w:val="1"/>
        </w:numPr>
        <w:tabs>
          <w:tab w:val="left" w:pos="426"/>
        </w:tabs>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De las constancias que obran en el expediente electrónico SAIMEX, se advierte que el Sujeto Obligado remitió como informe justificado en fecha seis de agosto de dos mil veinticinco  cuatro archivos que fueron puestos a la vista del recurrente en fecha cinco de marzo de dos mil veintiséis y que medularmente contienen lo siguiente: </w:t>
      </w:r>
    </w:p>
    <w:p w:rsidR="00BF18FE" w:rsidRPr="009561FF" w:rsidRDefault="004F3044">
      <w:pPr>
        <w:tabs>
          <w:tab w:val="left" w:pos="426"/>
        </w:tabs>
        <w:spacing w:line="360"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rPr>
        <w:lastRenderedPageBreak/>
        <w:t xml:space="preserve">ANEXO RR 8508.pdf: </w:t>
      </w:r>
      <w:r w:rsidRPr="009561FF">
        <w:rPr>
          <w:rFonts w:ascii="Palatino Linotype" w:eastAsia="Palatino Linotype" w:hAnsi="Palatino Linotype" w:cs="Palatino Linotype"/>
          <w:i/>
          <w:iCs/>
        </w:rPr>
        <w:t>Donde:</w:t>
      </w:r>
    </w:p>
    <w:p w:rsidR="00BF18FE" w:rsidRPr="009561FF" w:rsidRDefault="004F3044">
      <w:pPr>
        <w:numPr>
          <w:ilvl w:val="0"/>
          <w:numId w:val="2"/>
        </w:numPr>
        <w:pBdr>
          <w:top w:val="nil"/>
          <w:left w:val="nil"/>
          <w:bottom w:val="nil"/>
          <w:right w:val="nil"/>
          <w:between w:val="nil"/>
        </w:pBdr>
        <w:tabs>
          <w:tab w:val="left" w:pos="426"/>
        </w:tabs>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Se responde punto por punto lo requerido dentro del archivo </w:t>
      </w:r>
      <w:r w:rsidRPr="009561FF">
        <w:rPr>
          <w:rFonts w:ascii="Palatino Linotype" w:eastAsia="Palatino Linotype" w:hAnsi="Palatino Linotype" w:cs="Palatino Linotype"/>
          <w:b/>
          <w:bCs/>
          <w:color w:val="000000"/>
        </w:rPr>
        <w:t xml:space="preserve">Documento sin título.pdf </w:t>
      </w:r>
      <w:r w:rsidRPr="009561FF">
        <w:rPr>
          <w:rFonts w:ascii="Palatino Linotype" w:eastAsia="Palatino Linotype" w:hAnsi="Palatino Linotype" w:cs="Palatino Linotype"/>
          <w:i/>
          <w:iCs/>
          <w:color w:val="000000"/>
        </w:rPr>
        <w:t>adjunto a la solicitud del particular;</w:t>
      </w:r>
    </w:p>
    <w:p w:rsidR="00BF18FE" w:rsidRPr="009561FF" w:rsidRDefault="004F3044">
      <w:pPr>
        <w:numPr>
          <w:ilvl w:val="0"/>
          <w:numId w:val="2"/>
        </w:numPr>
        <w:pBdr>
          <w:top w:val="nil"/>
          <w:left w:val="nil"/>
          <w:bottom w:val="nil"/>
          <w:right w:val="nil"/>
          <w:between w:val="nil"/>
        </w:pBdr>
        <w:tabs>
          <w:tab w:val="left" w:pos="426"/>
        </w:tabs>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Adjunta Acta de Instalación y Primera Sesión del Grupo Interdisciplinario del Ayuntamiento, de fecha nueve de mayo de dos mil veinticinco;</w:t>
      </w:r>
    </w:p>
    <w:p w:rsidR="00BF18FE" w:rsidRPr="009561FF" w:rsidRDefault="004F3044">
      <w:pPr>
        <w:numPr>
          <w:ilvl w:val="0"/>
          <w:numId w:val="2"/>
        </w:numPr>
        <w:pBdr>
          <w:top w:val="nil"/>
          <w:left w:val="nil"/>
          <w:bottom w:val="nil"/>
          <w:right w:val="nil"/>
          <w:between w:val="nil"/>
        </w:pBdr>
        <w:tabs>
          <w:tab w:val="left" w:pos="426"/>
        </w:tabs>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Nombramiento del Jefe de Archivo Municipal de fecha veintidós de abril de dos mil veinticinco;</w:t>
      </w:r>
    </w:p>
    <w:p w:rsidR="00BF18FE" w:rsidRPr="009561FF" w:rsidRDefault="004F3044">
      <w:pPr>
        <w:numPr>
          <w:ilvl w:val="0"/>
          <w:numId w:val="2"/>
        </w:numPr>
        <w:pBdr>
          <w:top w:val="nil"/>
          <w:left w:val="nil"/>
          <w:bottom w:val="nil"/>
          <w:right w:val="nil"/>
          <w:between w:val="nil"/>
        </w:pBdr>
        <w:tabs>
          <w:tab w:val="left" w:pos="426"/>
        </w:tabs>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Documento que contiene tabla donde se advierte un listado de diversos documentos, de los años extremos 1861 al 2020 de diferentes áreas, cantidades y años; emitido por el Archivo Municipal;</w:t>
      </w:r>
    </w:p>
    <w:p w:rsidR="00BF18FE" w:rsidRPr="009561FF" w:rsidRDefault="004F3044">
      <w:pPr>
        <w:numPr>
          <w:ilvl w:val="0"/>
          <w:numId w:val="2"/>
        </w:numPr>
        <w:pBdr>
          <w:top w:val="nil"/>
          <w:left w:val="nil"/>
          <w:bottom w:val="nil"/>
          <w:right w:val="nil"/>
          <w:between w:val="nil"/>
        </w:pBdr>
        <w:tabs>
          <w:tab w:val="left" w:pos="426"/>
        </w:tabs>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Oficio de designación como responsable del área Coordinadora de Archivos emitido por el Presidente Municipal en fecha dos de mayo de dos mil veinticinco.</w:t>
      </w:r>
    </w:p>
    <w:p w:rsidR="00BF18FE" w:rsidRPr="009561FF" w:rsidRDefault="00BF18FE">
      <w:pPr>
        <w:tabs>
          <w:tab w:val="left" w:pos="426"/>
        </w:tabs>
        <w:spacing w:line="360" w:lineRule="auto"/>
        <w:ind w:left="1134" w:right="1134"/>
        <w:jc w:val="both"/>
        <w:rPr>
          <w:rFonts w:ascii="Palatino Linotype" w:eastAsia="Palatino Linotype" w:hAnsi="Palatino Linotype" w:cs="Palatino Linotype"/>
          <w:i/>
          <w:iCs/>
        </w:rPr>
      </w:pPr>
    </w:p>
    <w:p w:rsidR="00BF18FE" w:rsidRPr="009561FF" w:rsidRDefault="004F3044">
      <w:pPr>
        <w:tabs>
          <w:tab w:val="left" w:pos="426"/>
        </w:tabs>
        <w:spacing w:line="360"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rPr>
        <w:t xml:space="preserve">RR 8508 2025 SECRETARÍA DEL AYUNTAMIENTO.pdf: </w:t>
      </w:r>
      <w:r w:rsidRPr="009561FF">
        <w:rPr>
          <w:rFonts w:ascii="Palatino Linotype" w:eastAsia="Palatino Linotype" w:hAnsi="Palatino Linotype" w:cs="Palatino Linotype"/>
          <w:i/>
          <w:iCs/>
        </w:rPr>
        <w:t>Donde el Secretario del Ayuntamiento adjunta el cuestionario contenido en el archivo adjunto a la solicitud del particular.</w:t>
      </w:r>
    </w:p>
    <w:p w:rsidR="00BF18FE" w:rsidRPr="009561FF" w:rsidRDefault="00BF18FE">
      <w:pPr>
        <w:tabs>
          <w:tab w:val="left" w:pos="426"/>
        </w:tabs>
        <w:spacing w:line="360" w:lineRule="auto"/>
        <w:ind w:left="1134" w:right="1134"/>
        <w:jc w:val="both"/>
        <w:rPr>
          <w:rFonts w:ascii="Palatino Linotype" w:eastAsia="Palatino Linotype" w:hAnsi="Palatino Linotype" w:cs="Palatino Linotype"/>
          <w:i/>
          <w:iCs/>
        </w:rPr>
      </w:pPr>
    </w:p>
    <w:p w:rsidR="00BF18FE" w:rsidRPr="009561FF" w:rsidRDefault="004F3044">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b/>
          <w:bCs/>
          <w:color w:val="000000"/>
        </w:rPr>
        <w:t xml:space="preserve">IJ 008508 2025.pdf: </w:t>
      </w:r>
      <w:r w:rsidRPr="009561FF">
        <w:rPr>
          <w:rFonts w:ascii="Palatino Linotype" w:eastAsia="Palatino Linotype" w:hAnsi="Palatino Linotype" w:cs="Palatino Linotype"/>
          <w:i/>
          <w:iCs/>
          <w:color w:val="000000"/>
        </w:rPr>
        <w:t>Donde la Titular de la Unidad de Transparencia informa que adjunta la respuesta del Secretario del Ayuntamiento donde modifica su respuesta inicial.</w:t>
      </w:r>
    </w:p>
    <w:p w:rsidR="00BF18FE" w:rsidRPr="009561FF" w:rsidRDefault="004F3044">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b/>
          <w:bCs/>
          <w:color w:val="000000"/>
        </w:rPr>
        <w:t xml:space="preserve">Programaanualdedesarrolloarchivistico.pdf: </w:t>
      </w:r>
      <w:r w:rsidRPr="009561FF">
        <w:rPr>
          <w:rFonts w:ascii="Palatino Linotype" w:eastAsia="Palatino Linotype" w:hAnsi="Palatino Linotype" w:cs="Palatino Linotype"/>
          <w:i/>
          <w:iCs/>
          <w:color w:val="000000"/>
        </w:rPr>
        <w:t>Contiene el Programa Anual de Desarrollo Archivístico 2025</w:t>
      </w:r>
    </w:p>
    <w:p w:rsidR="00BF18FE" w:rsidRPr="009561FF" w:rsidRDefault="00BF18FE">
      <w:pPr>
        <w:tabs>
          <w:tab w:val="left" w:pos="426"/>
        </w:tabs>
        <w:spacing w:line="360" w:lineRule="auto"/>
        <w:jc w:val="both"/>
        <w:rPr>
          <w:rFonts w:ascii="Palatino Linotype" w:eastAsia="Palatino Linotype" w:hAnsi="Palatino Linotype" w:cs="Palatino Linotype"/>
        </w:rPr>
      </w:pPr>
    </w:p>
    <w:p w:rsidR="00BF18FE" w:rsidRPr="009561FF" w:rsidRDefault="004F3044">
      <w:pPr>
        <w:tabs>
          <w:tab w:val="left" w:pos="426"/>
        </w:tabs>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rPr>
        <w:t>Por su parte, el RECURRENTE no realizó manifestaciones, ni ofreció pruebas o alegatos que a su derecho convinieran.</w:t>
      </w:r>
    </w:p>
    <w:p w:rsidR="00BF18FE" w:rsidRPr="009561FF" w:rsidRDefault="00BF18FE">
      <w:pPr>
        <w:spacing w:line="360" w:lineRule="auto"/>
        <w:rPr>
          <w:rFonts w:ascii="Palatino Linotype" w:eastAsia="Palatino Linotype" w:hAnsi="Palatino Linotype" w:cs="Palatino Linotype"/>
        </w:rPr>
      </w:pPr>
    </w:p>
    <w:p w:rsidR="00BF18FE" w:rsidRPr="009561FF" w:rsidRDefault="004F3044">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b/>
          <w:bCs/>
          <w:color w:val="000000"/>
        </w:rPr>
      </w:pPr>
      <w:r w:rsidRPr="009561FF">
        <w:rPr>
          <w:rFonts w:ascii="Palatino Linotype" w:eastAsia="Palatino Linotype" w:hAnsi="Palatino Linotype" w:cs="Palatino Linotype"/>
          <w:color w:val="000000"/>
        </w:rPr>
        <w:t xml:space="preserve">En </w:t>
      </w:r>
      <w:r w:rsidRPr="009561FF">
        <w:rPr>
          <w:rFonts w:ascii="Palatino Linotype" w:eastAsia="Palatino Linotype" w:hAnsi="Palatino Linotype" w:cs="Palatino Linotype"/>
          <w:b/>
          <w:bCs/>
          <w:color w:val="000000"/>
        </w:rPr>
        <w:t>fecha veintisiete de enero de dos mil veintiséis</w:t>
      </w:r>
      <w:r w:rsidRPr="009561FF">
        <w:rPr>
          <w:rFonts w:ascii="Palatino Linotype" w:eastAsia="Palatino Linotype" w:hAnsi="Palatino Linotype" w:cs="Palatino Linotype"/>
          <w:color w:val="000000"/>
        </w:rPr>
        <w:t>, se acordó ampliar el término para resolver el presente asunto.</w:t>
      </w:r>
    </w:p>
    <w:p w:rsidR="00BF18FE" w:rsidRPr="009561FF" w:rsidRDefault="00BF18FE">
      <w:pPr>
        <w:pBdr>
          <w:top w:val="nil"/>
          <w:left w:val="nil"/>
          <w:bottom w:val="nil"/>
          <w:right w:val="nil"/>
          <w:between w:val="nil"/>
        </w:pBdr>
        <w:ind w:left="708" w:right="27"/>
        <w:rPr>
          <w:rFonts w:ascii="Palatino Linotype" w:eastAsia="Palatino Linotype" w:hAnsi="Palatino Linotype" w:cs="Palatino Linotype"/>
          <w:b/>
          <w:bCs/>
          <w:color w:val="000000"/>
        </w:rPr>
      </w:pPr>
    </w:p>
    <w:p w:rsidR="00BF18FE" w:rsidRPr="009561FF" w:rsidRDefault="004F3044">
      <w:pPr>
        <w:numPr>
          <w:ilvl w:val="0"/>
          <w:numId w:val="3"/>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F18FE" w:rsidRPr="009561FF" w:rsidRDefault="00BF18F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rPr>
      </w:pPr>
    </w:p>
    <w:p w:rsidR="00BF18FE" w:rsidRPr="009561FF" w:rsidRDefault="004F3044">
      <w:pPr>
        <w:numPr>
          <w:ilvl w:val="0"/>
          <w:numId w:val="4"/>
        </w:numPr>
        <w:spacing w:line="360" w:lineRule="auto"/>
        <w:ind w:left="0" w:right="-29"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La Comisionada Ponente decretó el cierre de instrucción mediante el acuerdo del </w:t>
      </w:r>
      <w:r w:rsidRPr="009561FF">
        <w:rPr>
          <w:rFonts w:ascii="Palatino Linotype" w:eastAsia="Palatino Linotype" w:hAnsi="Palatino Linotype" w:cs="Palatino Linotype"/>
          <w:b/>
          <w:bCs/>
        </w:rPr>
        <w:t xml:space="preserve">once de marzo de dos mil veintiséis; </w:t>
      </w:r>
      <w:r w:rsidRPr="009561FF">
        <w:rPr>
          <w:rFonts w:ascii="Palatino Linotype" w:eastAsia="Palatino Linotype" w:hAnsi="Palatino Linotype" w:cs="Palatino Linotype"/>
        </w:rPr>
        <w:t>por lo que en virtud de que el expediente electrónico ha sido debidamente substanciado y no existe diligencia pendiente de desahogo, se procede a emitir la presente resolución que conforme a Derecho corresponda y;</w:t>
      </w:r>
    </w:p>
    <w:p w:rsidR="00BF18FE" w:rsidRPr="009561FF" w:rsidRDefault="00BF18FE">
      <w:pPr>
        <w:pBdr>
          <w:top w:val="nil"/>
          <w:left w:val="nil"/>
          <w:bottom w:val="nil"/>
          <w:right w:val="nil"/>
          <w:between w:val="nil"/>
        </w:pBdr>
        <w:tabs>
          <w:tab w:val="left" w:pos="426"/>
        </w:tabs>
        <w:spacing w:line="360" w:lineRule="auto"/>
        <w:ind w:left="3479"/>
        <w:jc w:val="both"/>
        <w:rPr>
          <w:rFonts w:ascii="Palatino Linotype" w:eastAsia="Palatino Linotype" w:hAnsi="Palatino Linotype" w:cs="Palatino Linotype"/>
        </w:rPr>
      </w:pPr>
    </w:p>
    <w:p w:rsidR="00BF18FE" w:rsidRPr="009561FF" w:rsidRDefault="004F3044">
      <w:pPr>
        <w:pStyle w:val="Ttulo1"/>
        <w:spacing w:line="360" w:lineRule="auto"/>
        <w:jc w:val="center"/>
        <w:rPr>
          <w:rFonts w:ascii="Palatino Linotype" w:eastAsia="Palatino Linotype" w:hAnsi="Palatino Linotype" w:cs="Palatino Linotype"/>
          <w:b/>
          <w:bCs/>
          <w:color w:val="000000"/>
          <w:sz w:val="24"/>
          <w:szCs w:val="24"/>
        </w:rPr>
      </w:pPr>
      <w:bookmarkStart w:id="3" w:name="_heading=h.1fob9te" w:colFirst="0" w:colLast="0"/>
      <w:bookmarkEnd w:id="3"/>
      <w:r w:rsidRPr="009561FF">
        <w:rPr>
          <w:rFonts w:ascii="Palatino Linotype" w:eastAsia="Palatino Linotype" w:hAnsi="Palatino Linotype" w:cs="Palatino Linotype"/>
          <w:b/>
          <w:bCs/>
          <w:color w:val="000000"/>
          <w:sz w:val="24"/>
          <w:szCs w:val="24"/>
        </w:rPr>
        <w:t>C O N S I D E R A N D O</w:t>
      </w:r>
    </w:p>
    <w:p w:rsidR="00BF18FE" w:rsidRPr="009561FF" w:rsidRDefault="004F3044">
      <w:pPr>
        <w:pStyle w:val="Ttulo1"/>
        <w:spacing w:line="360" w:lineRule="auto"/>
        <w:rPr>
          <w:rFonts w:ascii="Palatino Linotype" w:eastAsia="Palatino Linotype" w:hAnsi="Palatino Linotype" w:cs="Palatino Linotype"/>
          <w:b/>
          <w:bCs/>
          <w:color w:val="000000"/>
          <w:sz w:val="24"/>
          <w:szCs w:val="24"/>
        </w:rPr>
      </w:pPr>
      <w:bookmarkStart w:id="4" w:name="_heading=h.3znysh7" w:colFirst="0" w:colLast="0"/>
      <w:bookmarkEnd w:id="4"/>
      <w:r w:rsidRPr="009561FF">
        <w:rPr>
          <w:rFonts w:ascii="Palatino Linotype" w:eastAsia="Palatino Linotype" w:hAnsi="Palatino Linotype" w:cs="Palatino Linotype"/>
          <w:b/>
          <w:bCs/>
          <w:color w:val="000000"/>
          <w:sz w:val="24"/>
          <w:szCs w:val="24"/>
        </w:rPr>
        <w:t>PRIMERO. De la competencia.</w:t>
      </w:r>
    </w:p>
    <w:p w:rsidR="00BF18FE" w:rsidRPr="009561FF" w:rsidRDefault="004F3044">
      <w:pPr>
        <w:numPr>
          <w:ilvl w:val="0"/>
          <w:numId w:val="5"/>
        </w:numPr>
        <w:pBdr>
          <w:top w:val="nil"/>
          <w:left w:val="nil"/>
          <w:bottom w:val="nil"/>
          <w:right w:val="nil"/>
          <w:between w:val="nil"/>
        </w:pBdr>
        <w:tabs>
          <w:tab w:val="left" w:pos="0"/>
          <w:tab w:val="left" w:pos="567"/>
        </w:tabs>
        <w:spacing w:line="360" w:lineRule="auto"/>
        <w:ind w:left="0" w:firstLine="0"/>
        <w:jc w:val="both"/>
        <w:rPr>
          <w:rFonts w:ascii="Palatino Linotype" w:eastAsia="Palatino Linotype" w:hAnsi="Palatino Linotype" w:cs="Palatino Linotype"/>
        </w:rPr>
      </w:pPr>
      <w:bookmarkStart w:id="5" w:name="_heading=h.2et92p0" w:colFirst="0" w:colLast="0"/>
      <w:bookmarkEnd w:id="5"/>
      <w:r w:rsidRPr="009561FF">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w:t>
      </w:r>
      <w:r w:rsidRPr="009561FF">
        <w:rPr>
          <w:rFonts w:ascii="Palatino Linotype" w:eastAsia="Palatino Linotype" w:hAnsi="Palatino Linotype" w:cs="Palatino Linotype"/>
        </w:rPr>
        <w:lastRenderedPageBreak/>
        <w:t xml:space="preserve">presente recurso de conformidad con el artículo: 6, apartado A, fracción IV de la </w:t>
      </w:r>
      <w:r w:rsidRPr="009561FF">
        <w:rPr>
          <w:rFonts w:ascii="Palatino Linotype" w:eastAsia="Palatino Linotype" w:hAnsi="Palatino Linotype" w:cs="Palatino Linotype"/>
          <w:b/>
          <w:bCs/>
        </w:rPr>
        <w:t>Constitución Política de los Estados Unidos Mexicanos</w:t>
      </w:r>
      <w:r w:rsidRPr="009561FF">
        <w:rPr>
          <w:rFonts w:ascii="Palatino Linotype" w:eastAsia="Palatino Linotype" w:hAnsi="Palatino Linotype" w:cs="Palatino Linotype"/>
        </w:rPr>
        <w:t xml:space="preserve">; 5, párrafos trigésimo noveno, cuadragésimo y cuadragésimo primero fracciones IV y V, de la </w:t>
      </w:r>
      <w:r w:rsidRPr="009561FF">
        <w:rPr>
          <w:rFonts w:ascii="Palatino Linotype" w:eastAsia="Palatino Linotype" w:hAnsi="Palatino Linotype" w:cs="Palatino Linotype"/>
          <w:b/>
          <w:bCs/>
        </w:rPr>
        <w:t>Constitución Política del Estado Libre y Soberano de México</w:t>
      </w:r>
      <w:r w:rsidRPr="009561FF">
        <w:rPr>
          <w:rFonts w:ascii="Palatino Linotype" w:eastAsia="Palatino Linotype" w:hAnsi="Palatino Linotype" w:cs="Palatino Linotype"/>
        </w:rPr>
        <w:t xml:space="preserve">; artículos 1, 2 fracción II, 13, 29, 36 fracciones I y II, 176, 178, 179, 181 párrafo tercero y 185 de la </w:t>
      </w:r>
      <w:r w:rsidRPr="009561FF">
        <w:rPr>
          <w:rFonts w:ascii="Palatino Linotype" w:eastAsia="Palatino Linotype" w:hAnsi="Palatino Linotype" w:cs="Palatino Linotype"/>
          <w:b/>
          <w:bCs/>
        </w:rPr>
        <w:t>Ley de Transparencia y Acceso a la Información Pública del Estado de México y Municipios</w:t>
      </w:r>
      <w:r w:rsidRPr="009561FF">
        <w:rPr>
          <w:rFonts w:ascii="Palatino Linotype" w:eastAsia="Palatino Linotype" w:hAnsi="Palatino Linotype" w:cs="Palatino Linotype"/>
        </w:rPr>
        <w:t xml:space="preserve">; y 7, 9 fracciones I y XXIII, y 11 del </w:t>
      </w:r>
      <w:r w:rsidRPr="009561FF">
        <w:rPr>
          <w:rFonts w:ascii="Palatino Linotype" w:eastAsia="Palatino Linotype" w:hAnsi="Palatino Linotype" w:cs="Palatino Linotype"/>
          <w:b/>
          <w:bCs/>
        </w:rPr>
        <w:t>Reglamento Interior del Instituto de Transparencia, Acceso a la Información Pública y Protección de Datos Personales del Estado de México y Municipios.</w:t>
      </w:r>
    </w:p>
    <w:p w:rsidR="009561FF" w:rsidRDefault="009561FF">
      <w:pPr>
        <w:pBdr>
          <w:top w:val="nil"/>
          <w:left w:val="nil"/>
          <w:bottom w:val="nil"/>
          <w:right w:val="nil"/>
          <w:between w:val="nil"/>
        </w:pBdr>
        <w:tabs>
          <w:tab w:val="left" w:pos="0"/>
          <w:tab w:val="left" w:pos="567"/>
        </w:tabs>
        <w:spacing w:after="160" w:line="360" w:lineRule="auto"/>
        <w:jc w:val="both"/>
        <w:rPr>
          <w:rFonts w:ascii="Palatino Linotype" w:eastAsia="Palatino Linotype" w:hAnsi="Palatino Linotype" w:cs="Palatino Linotype"/>
          <w:b/>
          <w:bCs/>
        </w:rPr>
      </w:pPr>
    </w:p>
    <w:p w:rsidR="00BF18FE" w:rsidRPr="009561FF" w:rsidRDefault="004F3044">
      <w:pPr>
        <w:pBdr>
          <w:top w:val="nil"/>
          <w:left w:val="nil"/>
          <w:bottom w:val="nil"/>
          <w:right w:val="nil"/>
          <w:between w:val="nil"/>
        </w:pBdr>
        <w:tabs>
          <w:tab w:val="left" w:pos="0"/>
          <w:tab w:val="left" w:pos="567"/>
        </w:tabs>
        <w:spacing w:after="160"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t>SEGUNDO. De la oportunidad y procedencia.</w:t>
      </w: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El medio de impugnación fue presentado a través del </w:t>
      </w:r>
      <w:r w:rsidRPr="009561FF">
        <w:rPr>
          <w:rFonts w:ascii="Palatino Linotype" w:eastAsia="Palatino Linotype" w:hAnsi="Palatino Linotype" w:cs="Palatino Linotype"/>
          <w:b/>
          <w:bCs/>
        </w:rPr>
        <w:t>SAIMEX,</w:t>
      </w:r>
      <w:r w:rsidRPr="009561FF">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9561FF">
        <w:rPr>
          <w:rFonts w:ascii="Palatino Linotype" w:eastAsia="Palatino Linotype" w:hAnsi="Palatino Linotype" w:cs="Palatino Linotype"/>
          <w:b/>
          <w:bCs/>
        </w:rPr>
        <w:t>SUJETO OBLIGADO</w:t>
      </w:r>
      <w:r w:rsidRPr="009561FF">
        <w:rPr>
          <w:rFonts w:ascii="Palatino Linotype" w:eastAsia="Palatino Linotype" w:hAnsi="Palatino Linotype" w:cs="Palatino Linotype"/>
        </w:rPr>
        <w:t xml:space="preserve"> entregó respuesta a la solicitud el día </w:t>
      </w:r>
      <w:r w:rsidRPr="009561FF">
        <w:rPr>
          <w:rFonts w:ascii="Palatino Linotype" w:eastAsia="Palatino Linotype" w:hAnsi="Palatino Linotype" w:cs="Palatino Linotype"/>
          <w:b/>
          <w:bCs/>
        </w:rPr>
        <w:t>cuatro de julio de dos mil veinticinco</w:t>
      </w:r>
      <w:r w:rsidRPr="009561FF">
        <w:rPr>
          <w:rFonts w:ascii="Palatino Linotype" w:eastAsia="Palatino Linotype" w:hAnsi="Palatino Linotype" w:cs="Palatino Linotype"/>
        </w:rPr>
        <w:t xml:space="preserve">, de tal forma que el plazo para interponer el recurso de revisión transcurrió del </w:t>
      </w:r>
      <w:r w:rsidRPr="009561FF">
        <w:rPr>
          <w:rFonts w:ascii="Palatino Linotype" w:eastAsia="Palatino Linotype" w:hAnsi="Palatino Linotype" w:cs="Palatino Linotype"/>
          <w:b/>
          <w:bCs/>
        </w:rPr>
        <w:t>cinco al veinticinco de julio de dos mil veinticinco</w:t>
      </w:r>
      <w:r w:rsidRPr="009561FF">
        <w:rPr>
          <w:rFonts w:ascii="Palatino Linotype" w:eastAsia="Palatino Linotype" w:hAnsi="Palatino Linotype" w:cs="Palatino Linotype"/>
        </w:rPr>
        <w:t xml:space="preserve">; en consecuencia, presentó su inconformidad el </w:t>
      </w:r>
      <w:r w:rsidRPr="009561FF">
        <w:rPr>
          <w:rFonts w:ascii="Palatino Linotype" w:eastAsia="Palatino Linotype" w:hAnsi="Palatino Linotype" w:cs="Palatino Linotype"/>
          <w:b/>
          <w:bCs/>
        </w:rPr>
        <w:t>catorce de julio de dos mil veinticinco</w:t>
      </w:r>
      <w:r w:rsidRPr="009561FF">
        <w:rPr>
          <w:rFonts w:ascii="Palatino Linotype" w:eastAsia="Palatino Linotype" w:hAnsi="Palatino Linotype" w:cs="Palatino Linotype"/>
        </w:rPr>
        <w:t xml:space="preserve">, por lo que se encuentra dentro de los márgenes temporales previstos en el artículo 3, fracción X y 178 de la </w:t>
      </w:r>
      <w:r w:rsidRPr="009561FF">
        <w:rPr>
          <w:rFonts w:ascii="Palatino Linotype" w:eastAsia="Palatino Linotype" w:hAnsi="Palatino Linotype" w:cs="Palatino Linotype"/>
          <w:b/>
          <w:bCs/>
        </w:rPr>
        <w:t xml:space="preserve">Ley de Transparencia y Acceso a la Información Pública del Estado de México y Municipios </w:t>
      </w:r>
      <w:r w:rsidRPr="009561FF">
        <w:rPr>
          <w:rFonts w:ascii="Palatino Linotype" w:eastAsia="Palatino Linotype" w:hAnsi="Palatino Linotype" w:cs="Palatino Linotype"/>
        </w:rPr>
        <w:t>vigente.</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F18FE" w:rsidRPr="009561FF" w:rsidRDefault="004F3044">
      <w:pPr>
        <w:pStyle w:val="Ttulo1"/>
        <w:spacing w:line="360" w:lineRule="auto"/>
        <w:rPr>
          <w:rFonts w:ascii="Palatino Linotype" w:eastAsia="Palatino Linotype" w:hAnsi="Palatino Linotype" w:cs="Palatino Linotype"/>
          <w:b/>
          <w:bCs/>
          <w:color w:val="000000"/>
          <w:sz w:val="24"/>
          <w:szCs w:val="24"/>
        </w:rPr>
      </w:pPr>
      <w:bookmarkStart w:id="6" w:name="_heading=h.tyjcwt" w:colFirst="0" w:colLast="0"/>
      <w:bookmarkEnd w:id="6"/>
      <w:r w:rsidRPr="009561FF">
        <w:rPr>
          <w:rFonts w:ascii="Palatino Linotype" w:eastAsia="Palatino Linotype" w:hAnsi="Palatino Linotype" w:cs="Palatino Linotype"/>
          <w:b/>
          <w:bCs/>
          <w:color w:val="000000"/>
          <w:sz w:val="24"/>
          <w:szCs w:val="24"/>
        </w:rPr>
        <w:lastRenderedPageBreak/>
        <w:t>TERCERO. Del planteamiento de la Litis</w:t>
      </w: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El particular solicitó información en materia de archivo del Sujeto Obligado, en respuesta, entregó diversos documentos y dio contestación a los cuestionamientos; posteriormente, el Recurrente se inconformó por la entrega de información incompleta.  </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En consecuencia, la Litis a resolver en este recurso, se circunscribe a determinar si la respuesta colma con lo solicitado o si se actualiza la causal de procedencia prevista en el artículo 179, fracción V de la Ley de Transparencia y Acceso a la Información Pública del Estado de México y Municipios; que establece la entrega de información incompleta.  </w:t>
      </w:r>
    </w:p>
    <w:p w:rsidR="009561FF" w:rsidRDefault="009561FF">
      <w:pPr>
        <w:pStyle w:val="Ttulo1"/>
        <w:spacing w:line="360" w:lineRule="auto"/>
        <w:rPr>
          <w:rFonts w:ascii="Palatino Linotype" w:eastAsia="Palatino Linotype" w:hAnsi="Palatino Linotype" w:cs="Palatino Linotype"/>
          <w:b/>
          <w:bCs/>
          <w:color w:val="000000"/>
          <w:sz w:val="24"/>
          <w:szCs w:val="24"/>
        </w:rPr>
      </w:pPr>
      <w:bookmarkStart w:id="7" w:name="_heading=h.3dy6vkm" w:colFirst="0" w:colLast="0"/>
      <w:bookmarkEnd w:id="7"/>
    </w:p>
    <w:p w:rsidR="00BF18FE" w:rsidRPr="009561FF" w:rsidRDefault="004F3044">
      <w:pPr>
        <w:pStyle w:val="Ttulo1"/>
        <w:spacing w:line="360" w:lineRule="auto"/>
        <w:rPr>
          <w:rFonts w:ascii="Palatino Linotype" w:eastAsia="Palatino Linotype" w:hAnsi="Palatino Linotype" w:cs="Palatino Linotype"/>
          <w:b/>
          <w:bCs/>
          <w:color w:val="000000"/>
          <w:sz w:val="24"/>
          <w:szCs w:val="24"/>
        </w:rPr>
      </w:pPr>
      <w:r w:rsidRPr="009561FF">
        <w:rPr>
          <w:rFonts w:ascii="Palatino Linotype" w:eastAsia="Palatino Linotype" w:hAnsi="Palatino Linotype" w:cs="Palatino Linotype"/>
          <w:b/>
          <w:bCs/>
          <w:color w:val="000000"/>
          <w:sz w:val="24"/>
          <w:szCs w:val="24"/>
        </w:rPr>
        <w:t xml:space="preserve">CUARTO. Estudio y resolución del recurso de revisión. </w:t>
      </w:r>
    </w:p>
    <w:p w:rsidR="00BF18FE" w:rsidRPr="009561FF" w:rsidRDefault="004F3044">
      <w:pPr>
        <w:numPr>
          <w:ilvl w:val="0"/>
          <w:numId w:val="5"/>
        </w:numPr>
        <w:pBdr>
          <w:top w:val="nil"/>
          <w:left w:val="nil"/>
          <w:bottom w:val="nil"/>
          <w:right w:val="nil"/>
          <w:between w:val="nil"/>
        </w:pBdr>
        <w:tabs>
          <w:tab w:val="left" w:pos="567"/>
        </w:tabs>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9561FF">
        <w:rPr>
          <w:rFonts w:ascii="Palatino Linotype" w:eastAsia="Palatino Linotype" w:hAnsi="Palatino Linotype" w:cs="Palatino Linotype"/>
          <w:b/>
          <w:bCs/>
        </w:rPr>
        <w:t>Ley de Transparencia y Acceso a la Información Pública del Estado de México y Municipios</w:t>
      </w:r>
      <w:r w:rsidRPr="009561FF">
        <w:rPr>
          <w:rFonts w:ascii="Palatino Linotype" w:eastAsia="Palatino Linotype" w:hAnsi="Palatino Linotype" w:cs="Palatino Linotype"/>
        </w:rPr>
        <w:t>.</w:t>
      </w:r>
    </w:p>
    <w:p w:rsidR="00BF18FE" w:rsidRPr="009561FF" w:rsidRDefault="00BF18FE">
      <w:pPr>
        <w:spacing w:line="360" w:lineRule="auto"/>
        <w:jc w:val="both"/>
        <w:rPr>
          <w:rFonts w:ascii="Palatino Linotype" w:eastAsia="Palatino Linotype" w:hAnsi="Palatino Linotype" w:cs="Palatino Linotype"/>
        </w:rPr>
      </w:pPr>
      <w:bookmarkStart w:id="8" w:name="_heading=h.4d34og8" w:colFirst="0" w:colLast="0"/>
      <w:bookmarkEnd w:id="8"/>
    </w:p>
    <w:p w:rsidR="00BF18FE" w:rsidRPr="009561FF" w:rsidRDefault="004F3044">
      <w:pPr>
        <w:numPr>
          <w:ilvl w:val="0"/>
          <w:numId w:val="5"/>
        </w:numPr>
        <w:tabs>
          <w:tab w:val="left" w:pos="0"/>
          <w:tab w:val="left" w:pos="567"/>
        </w:tabs>
        <w:spacing w:after="240"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En este sentido, este Instituto de Transparencia, de conformidad con los principios de eficacia y profesionalismo</w:t>
      </w:r>
      <w:r w:rsidRPr="009561FF">
        <w:rPr>
          <w:rFonts w:ascii="Palatino Linotype" w:eastAsia="Palatino Linotype" w:hAnsi="Palatino Linotype" w:cs="Palatino Linotype"/>
          <w:vertAlign w:val="superscript"/>
        </w:rPr>
        <w:t xml:space="preserve">, </w:t>
      </w:r>
      <w:r w:rsidRPr="009561FF">
        <w:rPr>
          <w:rFonts w:ascii="Palatino Linotype" w:eastAsia="Palatino Linotype" w:hAnsi="Palatino Linotype" w:cs="Palatino Linotype"/>
        </w:rPr>
        <w:t xml:space="preserve">procederá a verificar la información remitida por el </w:t>
      </w:r>
      <w:r w:rsidRPr="009561FF">
        <w:rPr>
          <w:rFonts w:ascii="Palatino Linotype" w:eastAsia="Palatino Linotype" w:hAnsi="Palatino Linotype" w:cs="Palatino Linotype"/>
          <w:b/>
          <w:bCs/>
        </w:rPr>
        <w:t>SUJETO OBLIGADO y</w:t>
      </w:r>
      <w:r w:rsidRPr="009561FF">
        <w:rPr>
          <w:rFonts w:ascii="Palatino Linotype" w:eastAsia="Palatino Linotype" w:hAnsi="Palatino Linotype" w:cs="Palatino Linotype"/>
        </w:rPr>
        <w:t xml:space="preserve"> las manifestaciones realizadas por el </w:t>
      </w:r>
      <w:r w:rsidRPr="009561FF">
        <w:rPr>
          <w:rFonts w:ascii="Palatino Linotype" w:eastAsia="Palatino Linotype" w:hAnsi="Palatino Linotype" w:cs="Palatino Linotype"/>
          <w:b/>
          <w:bCs/>
        </w:rPr>
        <w:t xml:space="preserve">SOLICITANTE </w:t>
      </w:r>
      <w:r w:rsidRPr="009561FF">
        <w:rPr>
          <w:rFonts w:ascii="Palatino Linotype" w:eastAsia="Palatino Linotype" w:hAnsi="Palatino Linotype" w:cs="Palatino Linotype"/>
        </w:rPr>
        <w:t xml:space="preserve">a efecto de determinar si </w:t>
      </w:r>
      <w:r w:rsidRPr="009561FF">
        <w:rPr>
          <w:rFonts w:ascii="Palatino Linotype" w:eastAsia="Palatino Linotype" w:hAnsi="Palatino Linotype" w:cs="Palatino Linotype"/>
        </w:rPr>
        <w:lastRenderedPageBreak/>
        <w:t xml:space="preserve">la información remitida se encuentra apegada a lo que establece la Ley en materia de Transparencia.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Debemos mencionar que el acceso a la información es un derecho humano constitucional y convencionalmente reconocido y para tal efecto el párrafo tercero del artículo primero de la Constitución Política de los Estados Unidos Mexicanos establece que el deber de todas las autoridades, </w:t>
      </w:r>
      <w:r w:rsidRPr="009561FF">
        <w:rPr>
          <w:rFonts w:ascii="Palatino Linotype" w:eastAsia="Palatino Linotype" w:hAnsi="Palatino Linotype" w:cs="Palatino Linotype"/>
          <w:i/>
          <w:iCs/>
          <w:color w:val="000000"/>
        </w:rPr>
        <w:t xml:space="preserve">en el ámbito de sus atribuciones, de promover, respetar, proteger y </w:t>
      </w:r>
      <w:r w:rsidRPr="009561FF">
        <w:rPr>
          <w:rFonts w:ascii="Palatino Linotype" w:eastAsia="Palatino Linotype" w:hAnsi="Palatino Linotype" w:cs="Palatino Linotype"/>
          <w:b/>
          <w:bCs/>
          <w:i/>
          <w:iCs/>
          <w:color w:val="000000"/>
        </w:rPr>
        <w:t>garantizar</w:t>
      </w:r>
      <w:r w:rsidRPr="009561FF">
        <w:rPr>
          <w:rFonts w:ascii="Palatino Linotype" w:eastAsia="Palatino Linotype" w:hAnsi="Palatino Linotype" w:cs="Palatino Linotype"/>
          <w:i/>
          <w:iCs/>
          <w:color w:val="000000"/>
        </w:rPr>
        <w:t xml:space="preserve"> los derechos humanos. </w:t>
      </w:r>
      <w:r w:rsidRPr="009561FF">
        <w:rPr>
          <w:rFonts w:ascii="Palatino Linotype" w:eastAsia="Palatino Linotype" w:hAnsi="Palatino Linotype" w:cs="Palatino Linotype"/>
          <w:b/>
          <w:bCs/>
          <w:i/>
          <w:iCs/>
          <w:color w:val="000000"/>
        </w:rPr>
        <w:t>En cuanto al derecho de acceso a la información, la Ley de Transparencia y Acceso a la Información Pública del Estado de México y Municipios prevé establece que e</w:t>
      </w:r>
      <w:r w:rsidRPr="009561FF">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9561FF">
        <w:rPr>
          <w:rFonts w:ascii="Palatino Linotype" w:eastAsia="Palatino Linotype" w:hAnsi="Palatino Linotype" w:cs="Palatino Linotype"/>
          <w:i/>
          <w:iCs/>
          <w:color w:val="000000"/>
          <w:vertAlign w:val="superscript"/>
        </w:rPr>
        <w:footnoteReference w:id="1"/>
      </w:r>
      <w:r w:rsidRPr="009561FF">
        <w:rPr>
          <w:rFonts w:ascii="Palatino Linotype" w:eastAsia="Palatino Linotype" w:hAnsi="Palatino Linotype" w:cs="Palatino Linotype"/>
          <w:i/>
          <w:iCs/>
          <w:color w:val="000000"/>
        </w:rPr>
        <w:t xml:space="preserve">, </w:t>
      </w:r>
      <w:r w:rsidRPr="009561FF">
        <w:rPr>
          <w:rFonts w:ascii="Palatino Linotype" w:eastAsia="Palatino Linotype" w:hAnsi="Palatino Linotype" w:cs="Palatino Linotype"/>
          <w:color w:val="000000"/>
        </w:rPr>
        <w:t>asimismo establece</w:t>
      </w:r>
      <w:r w:rsidRPr="009561FF">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w:t>
      </w:r>
      <w:r w:rsidRPr="009561FF">
        <w:rPr>
          <w:rFonts w:ascii="Palatino Linotype" w:eastAsia="Palatino Linotype" w:hAnsi="Palatino Linotype" w:cs="Palatino Linotype"/>
          <w:color w:val="000000"/>
        </w:rPr>
        <w:lastRenderedPageBreak/>
        <w:t>soliciten o bien, simplemente para el desarrollo de sus facultades, competencias y atribuciones que a diario desempeñan.</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Es así que, su obligación es </w:t>
      </w:r>
      <w:r w:rsidRPr="009561FF">
        <w:rPr>
          <w:rFonts w:ascii="Palatino Linotype" w:eastAsia="Palatino Linotype" w:hAnsi="Palatino Linotype" w:cs="Palatino Linotype"/>
          <w:i/>
          <w:iCs/>
          <w:color w:val="000000"/>
        </w:rPr>
        <w:t>realizar, con efectividad, los trámites internos necesarios para la atención de las solicitudes de información</w:t>
      </w:r>
      <w:r w:rsidRPr="009561FF">
        <w:rPr>
          <w:rFonts w:ascii="Palatino Linotype" w:eastAsia="Palatino Linotype" w:hAnsi="Palatino Linotype" w:cs="Palatino Linotype"/>
          <w:color w:val="000000"/>
          <w:vertAlign w:val="superscript"/>
        </w:rPr>
        <w:footnoteReference w:id="2"/>
      </w:r>
      <w:r w:rsidRPr="009561FF">
        <w:rPr>
          <w:rFonts w:ascii="Palatino Linotype" w:eastAsia="Palatino Linotype" w:hAnsi="Palatino Linotype" w:cs="Palatino Linotype"/>
          <w:color w:val="000000"/>
        </w:rPr>
        <w:t>, es decir, deben otorgar respuestas concisas, contundentes y sobre todo que den la certeza de los actos que realizan.</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Al respecto, es menester hacer referencia a lo establecido en los artículos 50, 53 fracciones II, IV y V, 58, 59 fracciones I y II, y 162 de la Ley de Transparencia y Acceso a la Información del Estado de México y Municipios, que a la letra estipulan lo siguiente:</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50. </w:t>
      </w:r>
      <w:r w:rsidRPr="009561FF">
        <w:rPr>
          <w:rFonts w:ascii="Palatino Linotype" w:eastAsia="Palatino Linotype" w:hAnsi="Palatino Linotype" w:cs="Palatino Linotype"/>
          <w:i/>
          <w:iCs/>
        </w:rPr>
        <w:t>Los sujetos obligados contarán con un área responsable para la atención de las solicitudes de información, a la que se le denominará Unidad de Transparencia.</w:t>
      </w:r>
    </w:p>
    <w:p w:rsidR="00BF18FE" w:rsidRPr="009561FF" w:rsidRDefault="00BF18FE">
      <w:pPr>
        <w:tabs>
          <w:tab w:val="left" w:pos="7938"/>
        </w:tabs>
        <w:ind w:left="1134" w:right="1134"/>
        <w:jc w:val="both"/>
        <w:rPr>
          <w:rFonts w:ascii="Palatino Linotype" w:eastAsia="Palatino Linotype" w:hAnsi="Palatino Linotype" w:cs="Palatino Linotype"/>
          <w:i/>
          <w:iCs/>
        </w:rPr>
      </w:pP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53. </w:t>
      </w:r>
      <w:r w:rsidRPr="009561FF">
        <w:rPr>
          <w:rFonts w:ascii="Palatino Linotype" w:eastAsia="Palatino Linotype" w:hAnsi="Palatino Linotype" w:cs="Palatino Linotype"/>
          <w:i/>
          <w:iCs/>
        </w:rPr>
        <w:t>Las Unidades de Transparencia tendrán las siguientes funciones:</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II.</w:t>
      </w:r>
      <w:r w:rsidRPr="009561FF">
        <w:rPr>
          <w:rFonts w:ascii="Palatino Linotype" w:eastAsia="Palatino Linotype" w:hAnsi="Palatino Linotype" w:cs="Palatino Linotype"/>
          <w:i/>
          <w:iCs/>
        </w:rPr>
        <w:t xml:space="preserve"> Recibir, tramitar y dar respuesta a las solicitudes de acceso a la información;</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IV.</w:t>
      </w:r>
      <w:r w:rsidRPr="009561FF">
        <w:rPr>
          <w:rFonts w:ascii="Palatino Linotype" w:eastAsia="Palatino Linotype" w:hAnsi="Palatino Linotype" w:cs="Palatino Linotype"/>
          <w:i/>
          <w:iCs/>
        </w:rPr>
        <w:t xml:space="preserve"> Realizar, con efectividad, los trámites internos necesarios para la atención de las solicitudes de acceso a la información;</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V.</w:t>
      </w:r>
      <w:r w:rsidRPr="009561FF">
        <w:rPr>
          <w:rFonts w:ascii="Palatino Linotype" w:eastAsia="Palatino Linotype" w:hAnsi="Palatino Linotype" w:cs="Palatino Linotype"/>
          <w:i/>
          <w:iCs/>
        </w:rPr>
        <w:t xml:space="preserve"> Entregar, en su caso, a los particulares la información solicitada;</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w:t>
      </w:r>
    </w:p>
    <w:p w:rsidR="00BF18FE" w:rsidRPr="009561FF" w:rsidRDefault="00BF18FE">
      <w:pPr>
        <w:tabs>
          <w:tab w:val="left" w:pos="7938"/>
        </w:tabs>
        <w:ind w:left="1134" w:right="1134"/>
        <w:jc w:val="both"/>
        <w:rPr>
          <w:rFonts w:ascii="Palatino Linotype" w:eastAsia="Palatino Linotype" w:hAnsi="Palatino Linotype" w:cs="Palatino Linotype"/>
          <w:i/>
          <w:iCs/>
        </w:rPr>
      </w:pP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58. </w:t>
      </w:r>
      <w:r w:rsidRPr="009561FF">
        <w:rPr>
          <w:rFonts w:ascii="Palatino Linotype" w:eastAsia="Palatino Linotype" w:hAnsi="Palatino Linotype" w:cs="Palatino Linotype"/>
          <w:i/>
          <w:iCs/>
        </w:rPr>
        <w:t>Los servidores públicos habilitados serán designados por el titular del sujeto obligado a propuesta del responsable de la Unidad de Transparencia.</w:t>
      </w:r>
    </w:p>
    <w:p w:rsidR="00BF18FE" w:rsidRPr="009561FF" w:rsidRDefault="00BF18FE">
      <w:pPr>
        <w:tabs>
          <w:tab w:val="left" w:pos="7938"/>
        </w:tabs>
        <w:ind w:left="1134" w:right="1134"/>
        <w:jc w:val="both"/>
        <w:rPr>
          <w:rFonts w:ascii="Palatino Linotype" w:eastAsia="Palatino Linotype" w:hAnsi="Palatino Linotype" w:cs="Palatino Linotype"/>
          <w:i/>
          <w:iCs/>
        </w:rPr>
      </w:pP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59. </w:t>
      </w:r>
      <w:r w:rsidRPr="009561FF">
        <w:rPr>
          <w:rFonts w:ascii="Palatino Linotype" w:eastAsia="Palatino Linotype" w:hAnsi="Palatino Linotype" w:cs="Palatino Linotype"/>
          <w:i/>
          <w:iCs/>
        </w:rPr>
        <w:t>Los servidores públicos habilitados tendrán las funciones siguientes:</w:t>
      </w:r>
    </w:p>
    <w:p w:rsidR="00BF18FE" w:rsidRPr="009561FF" w:rsidRDefault="00BF18FE">
      <w:pPr>
        <w:tabs>
          <w:tab w:val="left" w:pos="7938"/>
        </w:tabs>
        <w:ind w:left="1134" w:right="1134"/>
        <w:jc w:val="both"/>
        <w:rPr>
          <w:rFonts w:ascii="Palatino Linotype" w:eastAsia="Palatino Linotype" w:hAnsi="Palatino Linotype" w:cs="Palatino Linotype"/>
          <w:i/>
          <w:iCs/>
        </w:rPr>
      </w:pP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lastRenderedPageBreak/>
        <w:t>I.</w:t>
      </w:r>
      <w:r w:rsidRPr="009561FF">
        <w:rPr>
          <w:rFonts w:ascii="Palatino Linotype" w:eastAsia="Palatino Linotype" w:hAnsi="Palatino Linotype" w:cs="Palatino Linotype"/>
          <w:i/>
          <w:iCs/>
        </w:rPr>
        <w:t xml:space="preserve"> Localizar la información que le solicite la Unidad de Transparencia;</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II.</w:t>
      </w:r>
      <w:r w:rsidRPr="009561FF">
        <w:rPr>
          <w:rFonts w:ascii="Palatino Linotype" w:eastAsia="Palatino Linotype" w:hAnsi="Palatino Linotype" w:cs="Palatino Linotype"/>
          <w:i/>
          <w:iCs/>
        </w:rPr>
        <w:t xml:space="preserve"> Proporcionar la información que obre en los archivos y que le sea solicitada por la Unidad de Transparencia;</w:t>
      </w: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w:t>
      </w:r>
    </w:p>
    <w:p w:rsidR="00BF18FE" w:rsidRPr="009561FF" w:rsidRDefault="00BF18FE">
      <w:pPr>
        <w:tabs>
          <w:tab w:val="left" w:pos="7938"/>
        </w:tabs>
        <w:ind w:left="1134" w:right="1134"/>
        <w:jc w:val="both"/>
        <w:rPr>
          <w:rFonts w:ascii="Palatino Linotype" w:eastAsia="Palatino Linotype" w:hAnsi="Palatino Linotype" w:cs="Palatino Linotype"/>
          <w:i/>
          <w:iCs/>
        </w:rPr>
      </w:pPr>
    </w:p>
    <w:p w:rsidR="00BF18FE" w:rsidRPr="009561FF" w:rsidRDefault="004F3044">
      <w:pPr>
        <w:tabs>
          <w:tab w:val="left" w:pos="7938"/>
        </w:tabs>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162. </w:t>
      </w:r>
      <w:r w:rsidRPr="009561FF">
        <w:rPr>
          <w:rFonts w:ascii="Palatino Linotype" w:eastAsia="Palatino Linotype" w:hAnsi="Palatino Linotype" w:cs="Palatino Linotype"/>
          <w:i/>
          <w:iCs/>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De los artículos citados se desprende que las Unidades de Transparencia de los sujetos obligados son las encargadas de tramitar internamente 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 Por su parte, los servidores públicos habilitados auxiliarán a las Unidades de Transparencia localizando la información solicitada y proporcionando la misma que obre en sus archivos. Asimismo, es una obligación de las Unidades de Transparencia turnar a todas las áreas que se consideren competentes para que realicen una búsqueda exhaustiva y razonable de la información solicitada a fin de que ésta sea entregada a los solicitantes.</w:t>
      </w:r>
    </w:p>
    <w:p w:rsidR="00BF18FE" w:rsidRPr="009561FF" w:rsidRDefault="00BF18F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Así, se debe entender que el trámite interno que se realice a las solicitudes de acceso a la información, es con el propósito de que se realice una búsqueda exhaustiva y razonable de la información entre sus archivos y, en su caso, se entregue la información de interés para el particular. </w:t>
      </w: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lastRenderedPageBreak/>
        <w:t xml:space="preserve">Ahora bien, es necesario señalar que en la solicitud de información se advierten diversos cuestionamiento en los que, de forma medular, se concretan a una respuesta en sentido afirmativo o negativo, lo que no reviste una solicitud de acceso a la información, por ende, al advertirse que no corresponde a derecho de acceso a la información no se considera procedente entrar al estudio, sin embargo, debemos precisar que el Sujeto Obligado sí dio contestación a cada cuestionamiento.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Asimismo, se puede advertir cuestionamientos que dependen de la respuesta afirmativa o negativa del Sujeto Obligado, mismas que también se tendrán por colmadas siempre y cuando no se trate de una obligación por parte del Sujeto Obligado para generar, poseer o administrar la información.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Primeramente, se precisa que se obvia el análisis de la competencia por parte del </w:t>
      </w:r>
      <w:r w:rsidRPr="009561FF">
        <w:rPr>
          <w:rFonts w:ascii="Palatino Linotype" w:eastAsia="Palatino Linotype" w:hAnsi="Palatino Linotype" w:cs="Palatino Linotype"/>
          <w:b/>
          <w:bCs/>
          <w:color w:val="000000"/>
        </w:rPr>
        <w:t>SUJETO OBLIGADO</w:t>
      </w:r>
      <w:r w:rsidRPr="009561FF">
        <w:rPr>
          <w:rFonts w:ascii="Palatino Linotype" w:eastAsia="Palatino Linotype" w:hAnsi="Palatino Linotype" w:cs="Palatino Linotype"/>
          <w:color w:val="000000"/>
        </w:rPr>
        <w:t xml:space="preserve">, para generar, administrar o poseer la información solicitada, dado que éste ha asumido la misma, en razón de que en su respuesta admitió contar con dicha información, tan es así que señaló que se revisaran los anexos. </w:t>
      </w:r>
    </w:p>
    <w:p w:rsidR="00BF18FE" w:rsidRPr="009561FF" w:rsidRDefault="00BF18F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9" w:name="_heading=h.67xzsraj31yp" w:colFirst="0" w:colLast="0"/>
      <w:bookmarkEnd w:id="9"/>
      <w:r w:rsidRPr="009561FF">
        <w:rPr>
          <w:rFonts w:ascii="Palatino Linotype" w:eastAsia="Palatino Linotype" w:hAnsi="Palatino Linotype" w:cs="Palatino Linotype"/>
          <w:color w:val="000000"/>
        </w:rPr>
        <w:t xml:space="preserve">En efecto, el hecho de que </w:t>
      </w:r>
      <w:r w:rsidRPr="009561FF">
        <w:rPr>
          <w:rFonts w:ascii="Palatino Linotype" w:eastAsia="Palatino Linotype" w:hAnsi="Palatino Linotype" w:cs="Palatino Linotype"/>
          <w:b/>
          <w:bCs/>
          <w:color w:val="000000"/>
        </w:rPr>
        <w:t>EL SUJETO OBLIGADO</w:t>
      </w:r>
      <w:r w:rsidRPr="009561FF">
        <w:rPr>
          <w:rFonts w:ascii="Palatino Linotype" w:eastAsia="Palatino Linotype" w:hAnsi="Palatino Linotype" w:cs="Palatino Linotype"/>
          <w:color w:val="000000"/>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F18FE" w:rsidRPr="009561FF" w:rsidRDefault="00BF18F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F18FE" w:rsidRPr="009561FF" w:rsidRDefault="004F3044">
      <w:pPr>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w:t>
      </w:r>
      <w:r w:rsidRPr="009561FF">
        <w:rPr>
          <w:rFonts w:ascii="Palatino Linotype" w:eastAsia="Palatino Linotype" w:hAnsi="Palatino Linotype" w:cs="Palatino Linotype"/>
          <w:b/>
          <w:bCs/>
          <w:i/>
          <w:iCs/>
        </w:rPr>
        <w:t>Artículo 12.</w:t>
      </w:r>
      <w:r w:rsidRPr="009561FF">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BF18FE" w:rsidRPr="009561FF" w:rsidRDefault="00BF18FE">
      <w:pPr>
        <w:ind w:left="1134" w:right="1134"/>
        <w:jc w:val="both"/>
        <w:rPr>
          <w:rFonts w:ascii="Palatino Linotype" w:eastAsia="Palatino Linotype" w:hAnsi="Palatino Linotype" w:cs="Palatino Linotype"/>
          <w:i/>
          <w:iCs/>
        </w:rPr>
      </w:pPr>
    </w:p>
    <w:p w:rsidR="00BF18FE" w:rsidRPr="009561FF" w:rsidRDefault="004F3044">
      <w:pPr>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F18FE" w:rsidRDefault="00BF18FE">
      <w:pPr>
        <w:pBdr>
          <w:top w:val="nil"/>
          <w:left w:val="nil"/>
          <w:bottom w:val="nil"/>
          <w:right w:val="nil"/>
          <w:between w:val="nil"/>
        </w:pBdr>
        <w:ind w:left="3479" w:right="902"/>
        <w:jc w:val="both"/>
        <w:rPr>
          <w:rFonts w:ascii="Palatino Linotype" w:eastAsia="Palatino Linotype" w:hAnsi="Palatino Linotype" w:cs="Palatino Linotype"/>
          <w:color w:val="000000"/>
        </w:rPr>
      </w:pPr>
    </w:p>
    <w:p w:rsidR="009561FF" w:rsidRPr="009561FF" w:rsidRDefault="009561FF">
      <w:pPr>
        <w:pBdr>
          <w:top w:val="nil"/>
          <w:left w:val="nil"/>
          <w:bottom w:val="nil"/>
          <w:right w:val="nil"/>
          <w:between w:val="nil"/>
        </w:pBdr>
        <w:ind w:left="3479" w:right="902"/>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Así, el estudio de la naturaleza jurídica de la información pública solicitada, tiene por objeto determinar si ésta la genera, posee o administra </w:t>
      </w:r>
      <w:r w:rsidRPr="009561FF">
        <w:rPr>
          <w:rFonts w:ascii="Palatino Linotype" w:eastAsia="Palatino Linotype" w:hAnsi="Palatino Linotype" w:cs="Palatino Linotype"/>
          <w:b/>
          <w:bCs/>
          <w:color w:val="000000"/>
        </w:rPr>
        <w:t>EL SUJETO OBLIGADO</w:t>
      </w:r>
      <w:r w:rsidRPr="009561FF">
        <w:rPr>
          <w:rFonts w:ascii="Palatino Linotype" w:eastAsia="Palatino Linotype" w:hAnsi="Palatino Linotype" w:cs="Palatino Linotype"/>
          <w:color w:val="000000"/>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BF18FE" w:rsidRPr="009561FF" w:rsidRDefault="00BF18FE">
      <w:pPr>
        <w:spacing w:line="360" w:lineRule="auto"/>
        <w:jc w:val="both"/>
        <w:rPr>
          <w:rFonts w:ascii="Palatino Linotype" w:eastAsia="Palatino Linotype" w:hAnsi="Palatino Linotype" w:cs="Palatino Linotype"/>
        </w:rPr>
      </w:pPr>
    </w:p>
    <w:p w:rsidR="00BF18FE"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Resulta, pues, necesario compilar la información requerida y lo entregado por el Sujeto obligado a fin de conocer el cumplimiento o no de lo solicitado por el particular y al interponer el Recurso de Revisión contra las respuestas de aquel.</w:t>
      </w:r>
    </w:p>
    <w:p w:rsidR="009561FF" w:rsidRPr="009561FF" w:rsidRDefault="009561FF" w:rsidP="009561FF">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0"/>
        <w:tblW w:w="9939"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1980"/>
        <w:gridCol w:w="2977"/>
        <w:gridCol w:w="173"/>
        <w:gridCol w:w="2187"/>
        <w:gridCol w:w="173"/>
        <w:gridCol w:w="2449"/>
      </w:tblGrid>
      <w:tr w:rsidR="00BF18FE" w:rsidRPr="009561FF" w:rsidTr="009561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0" w:type="dxa"/>
            <w:gridSpan w:val="3"/>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SOLICITUD</w:t>
            </w:r>
          </w:p>
        </w:tc>
        <w:tc>
          <w:tcPr>
            <w:tcW w:w="2360" w:type="dxa"/>
            <w:gridSpan w:val="2"/>
          </w:tcPr>
          <w:p w:rsidR="00BF18FE" w:rsidRPr="009561FF" w:rsidRDefault="004F3044">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INFORME JUSTIFICADO</w:t>
            </w:r>
          </w:p>
        </w:tc>
        <w:tc>
          <w:tcPr>
            <w:tcW w:w="2449" w:type="dxa"/>
            <w:vAlign w:val="center"/>
          </w:tcPr>
          <w:p w:rsidR="00BF18FE" w:rsidRPr="009561FF" w:rsidRDefault="004F3044">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CUMPLIMIENTO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Del SISTEMA INSTITUCIONAL DE </w:t>
            </w:r>
            <w:r w:rsidRPr="009561FF">
              <w:rPr>
                <w:rFonts w:ascii="Palatino Linotype" w:eastAsia="Palatino Linotype" w:hAnsi="Palatino Linotype" w:cs="Palatino Linotype"/>
                <w:i/>
                <w:iCs/>
              </w:rPr>
              <w:lastRenderedPageBreak/>
              <w:t>ARCHIVO (SIA)</w:t>
            </w: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1.¿La Institución cuenta con un Sistema Institucional de Archivos formalmente instaurado?</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2.En caso afirmativo ¿Desde qué año se instauró?</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2025</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3.¿Existe un documento normativo que formalice la creación del SIA?</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4.En caso afirmativo, ¿Cuál es el documento?</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adjunta Acta 01/2025</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5.¿Se han definido funciones específicas para los distintos tipos de archivo (Trámite, Concentración e Histórico)?</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6.En caso afirmativo, describa brevemente</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da capacitación, para el ciclo vital del documento y asesoría a los encargados del Archivo de Trámite.</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NO </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El argumento no es congruente con lo solicitado.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ARCHIVOS QUE INTEGRAN EL SIA</w:t>
            </w: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7.¿Cada unidad administrativa cuenta con su propio Archivo de Trámite?</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8.¿Los responsables del Archivo de Trámite han sido nombrados formalmente?</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BF18FE">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9.En caso afirmativo ¿en qué documento consta su nombramiento?</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Fueron nombrados en la Instalación y Primera Sesión del GIA (Acta 01/2025)</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SI </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widowControl w:val="0"/>
              <w:tabs>
                <w:tab w:val="right" w:pos="8080"/>
              </w:tabs>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ARCHIVO DE CONCENTRAC</w:t>
            </w:r>
            <w:r w:rsidRPr="009561FF">
              <w:rPr>
                <w:rFonts w:ascii="Palatino Linotype" w:eastAsia="Palatino Linotype" w:hAnsi="Palatino Linotype" w:cs="Palatino Linotype"/>
                <w:i/>
                <w:iCs/>
              </w:rPr>
              <w:lastRenderedPageBreak/>
              <w:t>IÓN</w:t>
            </w:r>
          </w:p>
        </w:tc>
        <w:tc>
          <w:tcPr>
            <w:tcW w:w="2977" w:type="dxa"/>
            <w:vAlign w:val="center"/>
          </w:tcPr>
          <w:p w:rsidR="00BF18FE" w:rsidRPr="009561FF" w:rsidRDefault="004F3044">
            <w:pPr>
              <w:widowControl w:val="0"/>
              <w:tabs>
                <w:tab w:val="right" w:pos="808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 xml:space="preserve">10.¿La institución cuenta con un archivo de </w:t>
            </w:r>
            <w:r w:rsidRPr="009561FF">
              <w:rPr>
                <w:rFonts w:ascii="Palatino Linotype" w:eastAsia="Palatino Linotype" w:hAnsi="Palatino Linotype" w:cs="Palatino Linotype"/>
                <w:i/>
                <w:iCs/>
              </w:rPr>
              <w:lastRenderedPageBreak/>
              <w:t>concentración?</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widowControl w:val="0"/>
              <w:tabs>
                <w:tab w:val="right" w:pos="808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11.En caso afirmativo ¿desde qué año funciona?</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1992</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12.Existe nombramiento formal del Responsable del Archivo de Concentración?</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13.En caso afirmativo adjuntar el nombramiento</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adjunta nombramiento del Jefe de Departamento de Archivo</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14.Mencionar el Grado Académico y área de estudio o formación profesional</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Ingeniero en Sistemas Computacionales</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15.¿Qué tipo de documentación se encuentra en el Archivo de Concentración? </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Resguardan documentos que han sido transferidos desde las áreas productoras, y cuya consulta es esporádica. Estos documentos aún tienen vigencia administrativa y pueden ser conservados permanentemente o eliminados después de un proceso de </w:t>
            </w:r>
            <w:r w:rsidRPr="009561FF">
              <w:rPr>
                <w:rFonts w:ascii="Palatino Linotype" w:eastAsia="Palatino Linotype" w:hAnsi="Palatino Linotype" w:cs="Palatino Linotype"/>
                <w:i/>
                <w:iCs/>
              </w:rPr>
              <w:lastRenderedPageBreak/>
              <w:t>valoración documental.</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ARCHIVO HISTÓRICO</w:t>
            </w: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16.¿La Institución cuenta con un Archivo Histórico?</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17.En caso afirmativo ¿desde qué año se instauró?</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1992</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widowControl w:val="0"/>
              <w:tabs>
                <w:tab w:val="right" w:pos="8080"/>
              </w:tabs>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18.¿Existe nombramiento formal del Responsable del Archivo Histórico?</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19.En caso afirmativo, adjuntar el nombramiento</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adjunta nombramiento del jefe del Departamento de Archivo</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20.Mencionar el grado Académico y área de estudio o formación profesional</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Ingeniero en Sistemas Computacionales</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AREA COORDINADORA DE ARCHIVOS</w:t>
            </w: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21.¿Existe un área formalmente designada como Coordinadora de Archivos?</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22.En caso afirmativo ¿desde qué año funciona?</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2025</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widowControl w:val="0"/>
              <w:tabs>
                <w:tab w:val="right" w:pos="8080"/>
              </w:tabs>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23.¿Existe nombramiento formal del responsable del Área Coordinadora de </w:t>
            </w:r>
            <w:r w:rsidRPr="009561FF">
              <w:rPr>
                <w:rFonts w:ascii="Palatino Linotype" w:eastAsia="Palatino Linotype" w:hAnsi="Palatino Linotype" w:cs="Palatino Linotype"/>
                <w:i/>
                <w:iCs/>
              </w:rPr>
              <w:lastRenderedPageBreak/>
              <w:t>Archivos?</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lastRenderedPageBreak/>
              <w:t>SI</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24.En caso afirmativo, adjuntar nombramiento</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adjunta oficio de designación signado por Presidente Municipal</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25.Mencionar el Grado académico y área de estudio o formación profesional</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Lic. En derecho</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26.¿Con cuantas personas cuenta actualmente el Área Coordinador de Archivos?</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4</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27.¿El área Coordinadora de Archivos está reconocida dentro de la estructura orgánica Institucional?</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restart"/>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INSTRUMENTOS DE CONTROL ARCHIVÍSTICO</w:t>
            </w:r>
          </w:p>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¿La Institución cuenta con los siguientes instrumentos?</w:t>
            </w: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28.Cuadro General de Clasificación Archivística (CGCA)</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(EN PROCESO DE ELABORACIÓN)</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Dado que existe fuente obligacional para poseer la información requerida es dable ordenar la entrega del Acuerdo de Inexistencia correspondiente.</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29.Catálogo de Disposición Documental (CDD)</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(En proceso de elaboración)</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Dado que existe fuente obligacional para poseer la información requerida es dable ordenar la entrega del Acuerdo de </w:t>
            </w:r>
            <w:r w:rsidRPr="009561FF">
              <w:rPr>
                <w:rFonts w:ascii="Palatino Linotype" w:eastAsia="Palatino Linotype" w:hAnsi="Palatino Linotype" w:cs="Palatino Linotype"/>
                <w:i/>
                <w:iCs/>
              </w:rPr>
              <w:lastRenderedPageBreak/>
              <w:t>Inexistencia correspondiente.</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30.Guías de Archivo </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31.Inventarios Documentales</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(En proceso de elaboración)</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Dado que existe fuente obligacional para poseer la información requerida es dable ordenar la entrega del Acuerdo de Inexistencia correspondiente.</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Merge/>
            <w:vAlign w:val="center"/>
          </w:tcPr>
          <w:p w:rsidR="00BF18FE" w:rsidRPr="009561FF" w:rsidRDefault="00BF18FE">
            <w:pPr>
              <w:widowControl w:val="0"/>
              <w:pBdr>
                <w:top w:val="nil"/>
                <w:left w:val="nil"/>
                <w:bottom w:val="nil"/>
                <w:right w:val="nil"/>
                <w:between w:val="nil"/>
              </w:pBdr>
              <w:spacing w:line="276" w:lineRule="auto"/>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32.Adjuntar los instrumentos de consulta con los que cuente</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adjunta anexo</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rsidR="00BF18FE" w:rsidRPr="009561FF" w:rsidRDefault="004F3044">
            <w:pPr>
              <w:jc w:val="center"/>
              <w:rPr>
                <w:rFonts w:ascii="Palatino Linotype" w:eastAsia="Palatino Linotype" w:hAnsi="Palatino Linotype" w:cs="Palatino Linotype"/>
                <w:i/>
                <w:iCs/>
              </w:rPr>
            </w:pPr>
            <w:r w:rsidRPr="009561FF">
              <w:rPr>
                <w:rFonts w:ascii="Palatino Linotype" w:eastAsia="Palatino Linotype" w:hAnsi="Palatino Linotype" w:cs="Palatino Linotype"/>
                <w:i/>
                <w:iCs/>
              </w:rPr>
              <w:t>TRANSFERENCIAS DOCUMENTALES</w:t>
            </w:r>
          </w:p>
        </w:tc>
        <w:tc>
          <w:tcPr>
            <w:tcW w:w="2977" w:type="dxa"/>
            <w:vAlign w:val="center"/>
          </w:tcPr>
          <w:p w:rsidR="00BF18FE" w:rsidRPr="009561FF" w:rsidRDefault="004F3044">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33.Se han realizado transferencias primarias (de Trámite de Concentración?</w:t>
            </w:r>
          </w:p>
        </w:tc>
        <w:tc>
          <w:tcPr>
            <w:tcW w:w="2360"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 Frecuencia: cada 8 años</w:t>
            </w:r>
          </w:p>
        </w:tc>
        <w:tc>
          <w:tcPr>
            <w:tcW w:w="2622" w:type="dxa"/>
            <w:gridSpan w:val="2"/>
            <w:vAlign w:val="center"/>
          </w:tcPr>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r w:rsidR="00BF18FE" w:rsidRPr="009561FF" w:rsidTr="009561FF">
        <w:tc>
          <w:tcPr>
            <w:cnfStyle w:val="001000000000" w:firstRow="0" w:lastRow="0" w:firstColumn="1" w:lastColumn="0" w:oddVBand="0" w:evenVBand="0" w:oddHBand="0" w:evenHBand="0" w:firstRowFirstColumn="0" w:firstRowLastColumn="0" w:lastRowFirstColumn="0" w:lastRowLastColumn="0"/>
            <w:tcW w:w="1980" w:type="dxa"/>
            <w:vAlign w:val="center"/>
          </w:tcPr>
          <w:p w:rsidR="00BF18FE" w:rsidRPr="009561FF" w:rsidRDefault="00BF18FE">
            <w:pPr>
              <w:jc w:val="center"/>
              <w:rPr>
                <w:rFonts w:ascii="Palatino Linotype" w:eastAsia="Palatino Linotype" w:hAnsi="Palatino Linotype" w:cs="Palatino Linotype"/>
                <w:i/>
                <w:iCs/>
              </w:rPr>
            </w:pPr>
          </w:p>
        </w:tc>
        <w:tc>
          <w:tcPr>
            <w:tcW w:w="2977" w:type="dxa"/>
            <w:vAlign w:val="center"/>
          </w:tcPr>
          <w:p w:rsidR="00BF18FE" w:rsidRPr="009561FF" w:rsidRDefault="004F3044">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34.¿Se han realizado transferencias secundarias (de Concentración a Histórico)?</w:t>
            </w:r>
          </w:p>
        </w:tc>
        <w:tc>
          <w:tcPr>
            <w:tcW w:w="2360"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w:t>
            </w:r>
          </w:p>
        </w:tc>
        <w:tc>
          <w:tcPr>
            <w:tcW w:w="2622" w:type="dxa"/>
            <w:gridSpan w:val="2"/>
            <w:vAlign w:val="center"/>
          </w:tcPr>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SI</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No se puede dudar de la veracidad.</w:t>
            </w:r>
          </w:p>
          <w:p w:rsidR="00BF18FE" w:rsidRPr="009561FF" w:rsidRDefault="004F3044">
            <w:pPr>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rPr>
            </w:pPr>
            <w:r w:rsidRPr="009561FF">
              <w:rPr>
                <w:rFonts w:ascii="Palatino Linotype" w:eastAsia="Palatino Linotype" w:hAnsi="Palatino Linotype" w:cs="Palatino Linotype"/>
                <w:i/>
                <w:iCs/>
              </w:rPr>
              <w:t>Se entregó respuesta concreta a un cuestionamiento</w:t>
            </w:r>
          </w:p>
        </w:tc>
      </w:tr>
    </w:tbl>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Por lo que, entre los cuestionamientos que se tendrán por colmados con la respuesta del Sujeto Obligado, por tratarse de cuestionamientos que se limitan a contestar en sentido afirmativo o negativo se consideran las establecidas en los numerales </w:t>
      </w:r>
      <w:r w:rsidRPr="009561FF">
        <w:rPr>
          <w:rFonts w:ascii="Palatino Linotype" w:eastAsia="Palatino Linotype" w:hAnsi="Palatino Linotype" w:cs="Palatino Linotype"/>
          <w:b/>
          <w:bCs/>
          <w:i/>
          <w:iCs/>
        </w:rPr>
        <w:t xml:space="preserve">1, 3, 5, 7, 8, 10, 12, 16, 18, 21, 23, 27, 30, 33 y 34 </w:t>
      </w:r>
      <w:r w:rsidRPr="009561FF">
        <w:rPr>
          <w:rFonts w:ascii="Palatino Linotype" w:eastAsia="Palatino Linotype" w:hAnsi="Palatino Linotype" w:cs="Palatino Linotype"/>
        </w:rPr>
        <w:t>de la solicitud.</w:t>
      </w: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lastRenderedPageBreak/>
        <w:t xml:space="preserve">En cuanto a los requerimientos que se tienen por colmados por depender de la respuesta en sentidos afirmativo o negativo a los cuestionamientos anteriores, se advierten los establecidos en los numerales 2, </w:t>
      </w:r>
      <w:r w:rsidRPr="009561FF">
        <w:rPr>
          <w:rFonts w:ascii="Palatino Linotype" w:eastAsia="Palatino Linotype" w:hAnsi="Palatino Linotype" w:cs="Palatino Linotype"/>
          <w:b/>
          <w:bCs/>
          <w:i/>
          <w:iCs/>
        </w:rPr>
        <w:t>4, 9, 11, 13, 17, 19, 22, 24 y 33.</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Por cuanto hace a éstos, se advierte en cuanto al punto </w:t>
      </w:r>
      <w:r w:rsidRPr="009561FF">
        <w:rPr>
          <w:rFonts w:ascii="Palatino Linotype" w:eastAsia="Palatino Linotype" w:hAnsi="Palatino Linotype" w:cs="Palatino Linotype"/>
          <w:b/>
          <w:bCs/>
        </w:rPr>
        <w:t>cuarto</w:t>
      </w:r>
      <w:r w:rsidRPr="009561FF">
        <w:rPr>
          <w:rFonts w:ascii="Palatino Linotype" w:eastAsia="Palatino Linotype" w:hAnsi="Palatino Linotype" w:cs="Palatino Linotype"/>
        </w:rPr>
        <w:t xml:space="preserve"> que el Sujeto Obligado informó remitir versión íntegra del Acta 01/2025 de instalación y Primera Sesión del Grupo Interdisciplinario del Ayuntamiento; aunque el particular sólo requirió conocer cuál era el documento que formalizaba la creación del SIA, cuyo objetivo </w:t>
      </w:r>
      <w:r w:rsidRPr="009561FF">
        <w:rPr>
          <w:rFonts w:ascii="Palatino Linotype" w:eastAsia="Palatino Linotype" w:hAnsi="Palatino Linotype" w:cs="Palatino Linotype"/>
          <w:i/>
          <w:iCs/>
        </w:rPr>
        <w:t>(entre otros)</w:t>
      </w:r>
      <w:r w:rsidRPr="009561FF">
        <w:rPr>
          <w:rFonts w:ascii="Palatino Linotype" w:eastAsia="Palatino Linotype" w:hAnsi="Palatino Linotype" w:cs="Palatino Linotype"/>
        </w:rPr>
        <w:t>,  se aprecia del extracto que se presenta de la misma:</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spacing w:line="360" w:lineRule="auto"/>
        <w:jc w:val="center"/>
        <w:rPr>
          <w:rFonts w:ascii="Palatino Linotype" w:eastAsia="Palatino Linotype" w:hAnsi="Palatino Linotype" w:cs="Palatino Linotype"/>
        </w:rPr>
      </w:pPr>
      <w:r w:rsidRPr="009561FF">
        <w:rPr>
          <w:rFonts w:ascii="Palatino Linotype" w:eastAsia="Palatino Linotype" w:hAnsi="Palatino Linotype" w:cs="Palatino Linotype"/>
          <w:noProof/>
          <w:lang w:val="es-MX"/>
        </w:rPr>
        <w:drawing>
          <wp:inline distT="0" distB="0" distL="0" distR="0">
            <wp:extent cx="3766970" cy="159110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766970" cy="1591102"/>
                    </a:xfrm>
                    <a:prstGeom prst="rect">
                      <a:avLst/>
                    </a:prstGeom>
                    <a:ln/>
                  </pic:spPr>
                </pic:pic>
              </a:graphicData>
            </a:graphic>
          </wp:inline>
        </w:drawing>
      </w:r>
    </w:p>
    <w:p w:rsidR="00BF18FE" w:rsidRPr="009561FF" w:rsidRDefault="00BF18FE">
      <w:pPr>
        <w:spacing w:line="360" w:lineRule="auto"/>
        <w:jc w:val="center"/>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b/>
          <w:bCs/>
        </w:rPr>
      </w:pPr>
      <w:r w:rsidRPr="009561FF">
        <w:rPr>
          <w:rFonts w:ascii="Palatino Linotype" w:eastAsia="Palatino Linotype" w:hAnsi="Palatino Linotype" w:cs="Palatino Linotype"/>
        </w:rPr>
        <w:t xml:space="preserve">Por cuanto hace al punto </w:t>
      </w:r>
      <w:r w:rsidRPr="009561FF">
        <w:rPr>
          <w:rFonts w:ascii="Palatino Linotype" w:eastAsia="Palatino Linotype" w:hAnsi="Palatino Linotype" w:cs="Palatino Linotype"/>
          <w:b/>
          <w:bCs/>
        </w:rPr>
        <w:t xml:space="preserve">13 y 19, </w:t>
      </w:r>
      <w:r w:rsidRPr="009561FF">
        <w:rPr>
          <w:rFonts w:ascii="Palatino Linotype" w:eastAsia="Palatino Linotype" w:hAnsi="Palatino Linotype" w:cs="Palatino Linotype"/>
        </w:rPr>
        <w:t>se percibe que el Sujeto Obligado entregó versión íntegra del nombramiento referido como se advierte.</w:t>
      </w:r>
    </w:p>
    <w:p w:rsidR="00BF18FE" w:rsidRPr="009561FF" w:rsidRDefault="004F3044">
      <w:pPr>
        <w:pBdr>
          <w:top w:val="nil"/>
          <w:left w:val="nil"/>
          <w:bottom w:val="nil"/>
          <w:right w:val="nil"/>
          <w:between w:val="nil"/>
        </w:pBdr>
        <w:ind w:left="708"/>
        <w:jc w:val="center"/>
        <w:rPr>
          <w:rFonts w:ascii="Palatino Linotype" w:eastAsia="Palatino Linotype" w:hAnsi="Palatino Linotype" w:cs="Palatino Linotype"/>
          <w:b/>
          <w:bCs/>
          <w:color w:val="000000"/>
        </w:rPr>
      </w:pPr>
      <w:r w:rsidRPr="009561FF">
        <w:rPr>
          <w:rFonts w:ascii="Palatino Linotype" w:eastAsia="Palatino Linotype" w:hAnsi="Palatino Linotype" w:cs="Palatino Linotype"/>
          <w:b/>
          <w:bCs/>
          <w:noProof/>
          <w:color w:val="000000"/>
          <w:lang w:val="es-MX"/>
        </w:rPr>
        <w:lastRenderedPageBreak/>
        <w:drawing>
          <wp:inline distT="0" distB="0" distL="0" distR="0">
            <wp:extent cx="2972210" cy="4135011"/>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72210" cy="4135011"/>
                    </a:xfrm>
                    <a:prstGeom prst="rect">
                      <a:avLst/>
                    </a:prstGeom>
                    <a:ln/>
                  </pic:spPr>
                </pic:pic>
              </a:graphicData>
            </a:graphic>
          </wp:inline>
        </w:drawing>
      </w:r>
      <w:r w:rsidRPr="009561FF">
        <w:rPr>
          <w:noProof/>
          <w:lang w:val="es-MX"/>
        </w:rPr>
        <mc:AlternateContent>
          <mc:Choice Requires="wps">
            <w:drawing>
              <wp:anchor distT="0" distB="0" distL="114300" distR="114300" simplePos="0" relativeHeight="251658240" behindDoc="0" locked="0" layoutInCell="1" hidden="0" allowOverlap="1">
                <wp:simplePos x="0" y="0"/>
                <wp:positionH relativeFrom="column">
                  <wp:posOffset>1744313</wp:posOffset>
                </wp:positionH>
                <wp:positionV relativeFrom="paragraph">
                  <wp:posOffset>1637898</wp:posOffset>
                </wp:positionV>
                <wp:extent cx="2778599" cy="560799"/>
                <wp:effectExtent l="0" t="0" r="0" b="0"/>
                <wp:wrapNone/>
                <wp:docPr id="13" name="Rectángulo redondeado 13"/>
                <wp:cNvGraphicFramePr/>
                <a:graphic xmlns:a="http://schemas.openxmlformats.org/drawingml/2006/main">
                  <a:graphicData uri="http://schemas.microsoft.com/office/word/2010/wordprocessingShape">
                    <wps:wsp>
                      <wps:cNvSpPr/>
                      <wps:spPr>
                        <a:xfrm>
                          <a:off x="3970988" y="3513888"/>
                          <a:ext cx="2750024" cy="532224"/>
                        </a:xfrm>
                        <a:prstGeom prst="roundRect">
                          <a:avLst>
                            <a:gd name="adj" fmla="val 16667"/>
                          </a:avLst>
                        </a:prstGeom>
                        <a:noFill/>
                        <a:ln w="28575" cap="flat" cmpd="sng">
                          <a:solidFill>
                            <a:srgbClr val="00B0F0"/>
                          </a:solidFill>
                          <a:prstDash val="solid"/>
                          <a:miter lim="800000"/>
                          <a:headEnd type="none" w="sm" len="sm"/>
                          <a:tailEnd type="none" w="sm" len="sm"/>
                        </a:ln>
                      </wps:spPr>
                      <wps:txbx>
                        <w:txbxContent>
                          <w:p w:rsidR="00BF18FE" w:rsidRDefault="00BF18FE">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13" o:spid="_x0000_s1026" style="position:absolute;left:0;text-align:left;margin-left:137.35pt;margin-top:128.95pt;width:218.8pt;height:44.1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" filled="f" strokecolor="#00b0f0" strokeweight="2.25pt">
                <v:stroke startarrowwidth="narrow" startarrowlength="short" endarrowwidth="narrow" endarrowlength="short" joinstyle="miter"/>
                <v:textbox inset="2.53958mm,2.53958mm,2.53958mm,2.53958mm">
                  <w:txbxContent>
                    <w:p w:rsidR="00BF18FE" w:rsidRDefault="00BF18FE">
                      <w:pPr>
                        <w:textDirection w:val="btLr"/>
                      </w:pPr>
                    </w:p>
                  </w:txbxContent>
                </v:textbox>
              </v:roundrect>
            </w:pict>
          </mc:Fallback>
        </mc:AlternateContent>
      </w:r>
    </w:p>
    <w:p w:rsidR="00BF18FE" w:rsidRPr="009561FF" w:rsidRDefault="00BF18FE">
      <w:pPr>
        <w:spacing w:line="360" w:lineRule="auto"/>
        <w:jc w:val="both"/>
        <w:rPr>
          <w:rFonts w:ascii="Palatino Linotype" w:eastAsia="Palatino Linotype" w:hAnsi="Palatino Linotype" w:cs="Palatino Linotype"/>
          <w:b/>
          <w:bCs/>
        </w:rPr>
      </w:pP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Así también por cuanto hace al punto </w:t>
      </w:r>
      <w:r w:rsidRPr="009561FF">
        <w:rPr>
          <w:rFonts w:ascii="Palatino Linotype" w:eastAsia="Palatino Linotype" w:hAnsi="Palatino Linotype" w:cs="Palatino Linotype"/>
          <w:b/>
          <w:bCs/>
        </w:rPr>
        <w:t>24</w:t>
      </w:r>
      <w:r w:rsidRPr="009561FF">
        <w:rPr>
          <w:rFonts w:ascii="Palatino Linotype" w:eastAsia="Palatino Linotype" w:hAnsi="Palatino Linotype" w:cs="Palatino Linotype"/>
        </w:rPr>
        <w:t xml:space="preserve"> relativo a conocer el documento con que se acredite el nombramiento del titular del área Coordinadora de Archivos, el Sujeto Obligado remitió oficio en versión íntegra para colmar con lo requerido por el particular como se observa:</w:t>
      </w:r>
    </w:p>
    <w:p w:rsidR="00BF18FE" w:rsidRPr="009561FF" w:rsidRDefault="004F3044">
      <w:pPr>
        <w:spacing w:line="360" w:lineRule="auto"/>
        <w:jc w:val="center"/>
        <w:rPr>
          <w:rFonts w:ascii="Palatino Linotype" w:eastAsia="Palatino Linotype" w:hAnsi="Palatino Linotype" w:cs="Palatino Linotype"/>
        </w:rPr>
      </w:pPr>
      <w:r w:rsidRPr="009561FF">
        <w:rPr>
          <w:rFonts w:ascii="Palatino Linotype" w:eastAsia="Palatino Linotype" w:hAnsi="Palatino Linotype" w:cs="Palatino Linotype"/>
          <w:noProof/>
          <w:lang w:val="es-MX"/>
        </w:rPr>
        <w:lastRenderedPageBreak/>
        <w:drawing>
          <wp:inline distT="0" distB="0" distL="0" distR="0">
            <wp:extent cx="3705742" cy="4706007"/>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705742" cy="4706007"/>
                    </a:xfrm>
                    <a:prstGeom prst="rect">
                      <a:avLst/>
                    </a:prstGeom>
                    <a:ln/>
                  </pic:spPr>
                </pic:pic>
              </a:graphicData>
            </a:graphic>
          </wp:inline>
        </w:drawing>
      </w:r>
      <w:r w:rsidRPr="009561FF">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1116515</wp:posOffset>
                </wp:positionH>
                <wp:positionV relativeFrom="paragraph">
                  <wp:posOffset>2204536</wp:posOffset>
                </wp:positionV>
                <wp:extent cx="3522402" cy="267411"/>
                <wp:effectExtent l="0" t="0" r="0" b="0"/>
                <wp:wrapNone/>
                <wp:docPr id="12" name="Rectángulo redondeado 12"/>
                <wp:cNvGraphicFramePr/>
                <a:graphic xmlns:a="http://schemas.openxmlformats.org/drawingml/2006/main">
                  <a:graphicData uri="http://schemas.microsoft.com/office/word/2010/wordprocessingShape">
                    <wps:wsp>
                      <wps:cNvSpPr/>
                      <wps:spPr>
                        <a:xfrm>
                          <a:off x="3599087" y="3660582"/>
                          <a:ext cx="3493827" cy="238836"/>
                        </a:xfrm>
                        <a:prstGeom prst="roundRect">
                          <a:avLst>
                            <a:gd name="adj" fmla="val 16667"/>
                          </a:avLst>
                        </a:prstGeom>
                        <a:noFill/>
                        <a:ln w="28575" cap="flat" cmpd="sng">
                          <a:solidFill>
                            <a:srgbClr val="00B0F0"/>
                          </a:solidFill>
                          <a:prstDash val="solid"/>
                          <a:miter lim="800000"/>
                          <a:headEnd type="none" w="sm" len="sm"/>
                          <a:tailEnd type="none" w="sm" len="sm"/>
                        </a:ln>
                      </wps:spPr>
                      <wps:txbx>
                        <w:txbxContent>
                          <w:p w:rsidR="00BF18FE" w:rsidRDefault="00BF18FE">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12" o:spid="_x0000_s1027" style="position:absolute;left:0;text-align:left;margin-left:87.9pt;margin-top:173.6pt;width:277.3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" filled="f" strokecolor="#00b0f0" strokeweight="2.25pt">
                <v:stroke startarrowwidth="narrow" startarrowlength="short" endarrowwidth="narrow" endarrowlength="short" joinstyle="miter"/>
                <v:textbox inset="2.53958mm,2.53958mm,2.53958mm,2.53958mm">
                  <w:txbxContent>
                    <w:p w:rsidR="00BF18FE" w:rsidRDefault="00BF18FE">
                      <w:pPr>
                        <w:textDirection w:val="btLr"/>
                      </w:pPr>
                    </w:p>
                  </w:txbxContent>
                </v:textbox>
              </v:roundrect>
            </w:pict>
          </mc:Fallback>
        </mc:AlternateContent>
      </w:r>
    </w:p>
    <w:p w:rsidR="00BF18FE" w:rsidRPr="009561FF" w:rsidRDefault="00BF18FE">
      <w:pPr>
        <w:spacing w:line="360" w:lineRule="auto"/>
        <w:jc w:val="center"/>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Concluyendo en cuanto a la entrega de los documentos que colmen lo requerido por el particular, se encuentra el punto </w:t>
      </w:r>
      <w:r w:rsidRPr="009561FF">
        <w:rPr>
          <w:rFonts w:ascii="Palatino Linotype" w:eastAsia="Palatino Linotype" w:hAnsi="Palatino Linotype" w:cs="Palatino Linotype"/>
          <w:b/>
          <w:bCs/>
        </w:rPr>
        <w:t>32</w:t>
      </w:r>
      <w:r w:rsidRPr="009561FF">
        <w:rPr>
          <w:rFonts w:ascii="Palatino Linotype" w:eastAsia="Palatino Linotype" w:hAnsi="Palatino Linotype" w:cs="Palatino Linotype"/>
        </w:rPr>
        <w:t>, donde el Sujeto Obligado adjuntó el instrumento de consulta en versión íntegra con el que contaba a la fecha de la solicitud como se aprecia:</w:t>
      </w:r>
    </w:p>
    <w:p w:rsidR="00BF18FE" w:rsidRPr="009561FF" w:rsidRDefault="004F3044">
      <w:pPr>
        <w:spacing w:line="360" w:lineRule="auto"/>
        <w:jc w:val="center"/>
        <w:rPr>
          <w:rFonts w:ascii="Palatino Linotype" w:eastAsia="Palatino Linotype" w:hAnsi="Palatino Linotype" w:cs="Palatino Linotype"/>
        </w:rPr>
      </w:pPr>
      <w:r w:rsidRPr="009561FF">
        <w:rPr>
          <w:rFonts w:ascii="Palatino Linotype" w:eastAsia="Palatino Linotype" w:hAnsi="Palatino Linotype" w:cs="Palatino Linotype"/>
          <w:noProof/>
          <w:lang w:val="es-MX"/>
        </w:rPr>
        <w:lastRenderedPageBreak/>
        <w:drawing>
          <wp:inline distT="0" distB="0" distL="0" distR="0">
            <wp:extent cx="4048690" cy="3924848"/>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048690" cy="3924848"/>
                    </a:xfrm>
                    <a:prstGeom prst="rect">
                      <a:avLst/>
                    </a:prstGeom>
                    <a:ln/>
                  </pic:spPr>
                </pic:pic>
              </a:graphicData>
            </a:graphic>
          </wp:inline>
        </w:drawing>
      </w:r>
    </w:p>
    <w:p w:rsidR="00BF18FE" w:rsidRPr="009561FF" w:rsidRDefault="004F3044">
      <w:pPr>
        <w:spacing w:line="360" w:lineRule="auto"/>
        <w:jc w:val="center"/>
        <w:rPr>
          <w:rFonts w:ascii="Palatino Linotype" w:eastAsia="Palatino Linotype" w:hAnsi="Palatino Linotype" w:cs="Palatino Linotype"/>
        </w:rPr>
      </w:pPr>
      <w:r w:rsidRPr="009561FF">
        <w:rPr>
          <w:rFonts w:ascii="Palatino Linotype" w:eastAsia="Palatino Linotype" w:hAnsi="Palatino Linotype" w:cs="Palatino Linotype"/>
          <w:noProof/>
          <w:lang w:val="es-MX"/>
        </w:rPr>
        <w:drawing>
          <wp:inline distT="0" distB="0" distL="0" distR="0">
            <wp:extent cx="4029637" cy="1629002"/>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029637" cy="1629002"/>
                    </a:xfrm>
                    <a:prstGeom prst="rect">
                      <a:avLst/>
                    </a:prstGeom>
                    <a:ln/>
                  </pic:spPr>
                </pic:pic>
              </a:graphicData>
            </a:graphic>
          </wp:inline>
        </w:drawing>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spacing w:line="360" w:lineRule="auto"/>
        <w:ind w:left="0" w:right="27"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Así también, como se advierte, se realizaron diversos cuestionamientos en los que se brindó una respuesta concreta por parte del Sujeto Obligado, teniéndose los mismos por colmados considerados en los numerales </w:t>
      </w:r>
      <w:r w:rsidRPr="009561FF">
        <w:rPr>
          <w:rFonts w:ascii="Palatino Linotype" w:eastAsia="Palatino Linotype" w:hAnsi="Palatino Linotype" w:cs="Palatino Linotype"/>
          <w:b/>
          <w:bCs/>
        </w:rPr>
        <w:t>14, 15, 20, 25, 26 y 32</w:t>
      </w:r>
      <w:r w:rsidRPr="009561FF">
        <w:rPr>
          <w:rFonts w:ascii="Palatino Linotype" w:eastAsia="Palatino Linotype" w:hAnsi="Palatino Linotype" w:cs="Palatino Linotype"/>
        </w:rPr>
        <w:t>, de la solicitud; a</w:t>
      </w:r>
      <w:r w:rsidRPr="009561FF">
        <w:rPr>
          <w:rFonts w:ascii="Palatino Linotype" w:eastAsia="Palatino Linotype" w:hAnsi="Palatino Linotype" w:cs="Palatino Linotype"/>
          <w:color w:val="000000"/>
        </w:rPr>
        <w:t xml:space="preserve"> más de lo anterior, es de explorado derecho que este Instituto no se encuentra facultado para dudar de </w:t>
      </w:r>
      <w:r w:rsidRPr="009561FF">
        <w:rPr>
          <w:rFonts w:ascii="Palatino Linotype" w:eastAsia="Palatino Linotype" w:hAnsi="Palatino Linotype" w:cs="Palatino Linotype"/>
          <w:color w:val="000000"/>
        </w:rPr>
        <w:lastRenderedPageBreak/>
        <w:t xml:space="preserve">la veracidad de la </w:t>
      </w:r>
      <w:r w:rsidRPr="009561FF">
        <w:rPr>
          <w:rFonts w:ascii="Palatino Linotype" w:eastAsia="Palatino Linotype" w:hAnsi="Palatino Linotype" w:cs="Palatino Linotype"/>
        </w:rPr>
        <w:t>información</w:t>
      </w:r>
      <w:r w:rsidRPr="009561FF">
        <w:rPr>
          <w:rFonts w:ascii="Palatino Linotype" w:eastAsia="Palatino Linotype" w:hAnsi="Palatino Linotype" w:cs="Palatino Linotype"/>
          <w:color w:val="000000"/>
        </w:rPr>
        <w:t xml:space="preserve"> que le fue entregada al hoy </w:t>
      </w:r>
      <w:r w:rsidRPr="009561FF">
        <w:rPr>
          <w:rFonts w:ascii="Palatino Linotype" w:eastAsia="Palatino Linotype" w:hAnsi="Palatino Linotype" w:cs="Palatino Linotype"/>
          <w:b/>
          <w:bCs/>
          <w:color w:val="000000"/>
        </w:rPr>
        <w:t>RECURRENTE</w:t>
      </w:r>
      <w:r w:rsidRPr="009561FF">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9561FF">
        <w:rPr>
          <w:rFonts w:ascii="Palatino Linotype" w:eastAsia="Palatino Linotype" w:hAnsi="Palatino Linotype" w:cs="Palatino Linotype"/>
        </w:rPr>
        <w:t xml:space="preserve">situación que se aleja de las atribuciones de este Instituto </w:t>
      </w:r>
      <w:r w:rsidRPr="009561FF">
        <w:rPr>
          <w:rFonts w:ascii="Palatino Linotype" w:eastAsia="Palatino Linotype" w:hAnsi="Palatino Linotype" w:cs="Palatino Linotype"/>
          <w:i/>
          <w:iCs/>
          <w:color w:val="000000"/>
        </w:rPr>
        <w:t>máxime</w:t>
      </w:r>
      <w:r w:rsidRPr="009561FF">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BF18FE" w:rsidRPr="009561FF" w:rsidRDefault="00BF18FE">
      <w:pPr>
        <w:pBdr>
          <w:top w:val="nil"/>
          <w:left w:val="nil"/>
          <w:bottom w:val="nil"/>
          <w:right w:val="nil"/>
          <w:between w:val="nil"/>
        </w:pBdr>
        <w:spacing w:line="360" w:lineRule="auto"/>
        <w:ind w:left="708" w:right="27"/>
        <w:rPr>
          <w:rFonts w:ascii="Palatino Linotype" w:eastAsia="Palatino Linotype" w:hAnsi="Palatino Linotype" w:cs="Palatino Linotype"/>
          <w:color w:val="000000"/>
        </w:rPr>
      </w:pPr>
    </w:p>
    <w:p w:rsidR="00BF18FE" w:rsidRPr="009561FF" w:rsidRDefault="004F3044">
      <w:pPr>
        <w:numPr>
          <w:ilvl w:val="0"/>
          <w:numId w:val="5"/>
        </w:numPr>
        <w:spacing w:line="360" w:lineRule="auto"/>
        <w:ind w:left="0" w:right="27"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Sirviendo de apoyo a lo anterior por analogía, el criterio 31-10 emitido por el entonces Instituto </w:t>
      </w:r>
      <w:r w:rsidRPr="009561FF">
        <w:rPr>
          <w:rFonts w:ascii="Palatino Linotype" w:eastAsia="Palatino Linotype" w:hAnsi="Palatino Linotype" w:cs="Palatino Linotype"/>
          <w:color w:val="000000"/>
        </w:rPr>
        <w:t>Nacional</w:t>
      </w:r>
      <w:r w:rsidRPr="009561FF">
        <w:rPr>
          <w:rFonts w:ascii="Palatino Linotype" w:eastAsia="Palatino Linotype" w:hAnsi="Palatino Linotype" w:cs="Palatino Linotype"/>
        </w:rPr>
        <w:t xml:space="preserve"> de Transparencia, Acceso a la Información y Protección de Datos Personales, que a la letra dice:</w:t>
      </w:r>
    </w:p>
    <w:p w:rsidR="00BF18FE" w:rsidRPr="009561FF" w:rsidRDefault="004F3044">
      <w:pPr>
        <w:pBdr>
          <w:top w:val="nil"/>
          <w:left w:val="nil"/>
          <w:bottom w:val="nil"/>
          <w:right w:val="nil"/>
          <w:between w:val="nil"/>
        </w:pBdr>
        <w:spacing w:line="276"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“El Instituto Federal de Acceso a la Información y Protección de Datos </w:t>
      </w:r>
      <w:r w:rsidRPr="009561FF">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9561FF">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F18FE" w:rsidRPr="009561FF" w:rsidRDefault="00BF18FE">
      <w:pPr>
        <w:pBdr>
          <w:top w:val="nil"/>
          <w:left w:val="nil"/>
          <w:bottom w:val="nil"/>
          <w:right w:val="nil"/>
          <w:between w:val="nil"/>
        </w:pBdr>
        <w:spacing w:line="276" w:lineRule="auto"/>
        <w:ind w:left="851" w:right="1134"/>
        <w:jc w:val="both"/>
        <w:rPr>
          <w:rFonts w:ascii="Palatino Linotype" w:eastAsia="Palatino Linotype" w:hAnsi="Palatino Linotype" w:cs="Palatino Linotype"/>
          <w:i/>
          <w:iCs/>
          <w:color w:val="000000"/>
        </w:rPr>
      </w:pPr>
    </w:p>
    <w:p w:rsidR="00BF18FE" w:rsidRPr="009561FF" w:rsidRDefault="004F3044">
      <w:pPr>
        <w:numPr>
          <w:ilvl w:val="0"/>
          <w:numId w:val="5"/>
        </w:numPr>
        <w:spacing w:line="360" w:lineRule="auto"/>
        <w:ind w:left="0" w:right="27" w:firstLine="0"/>
        <w:jc w:val="both"/>
        <w:rPr>
          <w:rFonts w:ascii="Palatino Linotype" w:eastAsia="Palatino Linotype" w:hAnsi="Palatino Linotype" w:cs="Palatino Linotype"/>
          <w:i/>
          <w:iCs/>
        </w:rPr>
      </w:pPr>
      <w:r w:rsidRPr="009561FF">
        <w:rPr>
          <w:rFonts w:ascii="Palatino Linotype" w:eastAsia="Palatino Linotype" w:hAnsi="Palatino Linotype" w:cs="Palatino Linotype"/>
        </w:rPr>
        <w:lastRenderedPageBreak/>
        <w:t xml:space="preserve">Así como lo dispuesto por la </w:t>
      </w:r>
      <w:r w:rsidRPr="009561FF">
        <w:rPr>
          <w:rFonts w:ascii="Palatino Linotype" w:eastAsia="Palatino Linotype" w:hAnsi="Palatino Linotype" w:cs="Palatino Linotype"/>
          <w:b/>
          <w:bCs/>
        </w:rPr>
        <w:t xml:space="preserve">Ley de Transparencia y Acceso a la Información Pública del </w:t>
      </w:r>
      <w:r w:rsidRPr="009561FF">
        <w:rPr>
          <w:rFonts w:ascii="Palatino Linotype" w:eastAsia="Palatino Linotype" w:hAnsi="Palatino Linotype" w:cs="Palatino Linotype"/>
          <w:color w:val="000000"/>
        </w:rPr>
        <w:t>Estado</w:t>
      </w:r>
      <w:r w:rsidRPr="009561FF">
        <w:rPr>
          <w:rFonts w:ascii="Palatino Linotype" w:eastAsia="Palatino Linotype" w:hAnsi="Palatino Linotype" w:cs="Palatino Linotype"/>
          <w:b/>
          <w:bCs/>
        </w:rPr>
        <w:t xml:space="preserve"> de México y Municipios</w:t>
      </w:r>
      <w:r w:rsidRPr="009561FF">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BF18FE" w:rsidRPr="009561FF" w:rsidRDefault="004F3044">
      <w:pPr>
        <w:pBdr>
          <w:top w:val="nil"/>
          <w:left w:val="nil"/>
          <w:bottom w:val="nil"/>
          <w:right w:val="nil"/>
          <w:between w:val="nil"/>
        </w:pBdr>
        <w:tabs>
          <w:tab w:val="left" w:pos="7938"/>
        </w:tabs>
        <w:ind w:left="1134" w:right="1134"/>
        <w:jc w:val="both"/>
        <w:rPr>
          <w:rFonts w:ascii="Palatino Linotype" w:eastAsia="Palatino Linotype" w:hAnsi="Palatino Linotype" w:cs="Palatino Linotype"/>
          <w:b/>
          <w:bCs/>
          <w:i/>
          <w:iCs/>
          <w:color w:val="000000"/>
        </w:rPr>
      </w:pPr>
      <w:r w:rsidRPr="009561FF">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561FF">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BF18FE" w:rsidRPr="009561FF" w:rsidRDefault="00BF18FE">
      <w:pPr>
        <w:pBdr>
          <w:top w:val="nil"/>
          <w:left w:val="nil"/>
          <w:bottom w:val="nil"/>
          <w:right w:val="nil"/>
          <w:between w:val="nil"/>
        </w:pBdr>
        <w:spacing w:line="360" w:lineRule="auto"/>
        <w:ind w:left="567" w:right="1134"/>
        <w:jc w:val="both"/>
        <w:rPr>
          <w:rFonts w:ascii="Palatino Linotype" w:eastAsia="Palatino Linotype" w:hAnsi="Palatino Linotype" w:cs="Palatino Linotype"/>
          <w:b/>
          <w:bCs/>
          <w:i/>
          <w:iCs/>
          <w:color w:val="000000"/>
        </w:rPr>
      </w:pPr>
    </w:p>
    <w:p w:rsidR="00BF18FE" w:rsidRPr="009561FF" w:rsidRDefault="004F3044">
      <w:pPr>
        <w:numPr>
          <w:ilvl w:val="0"/>
          <w:numId w:val="5"/>
        </w:numPr>
        <w:spacing w:line="360" w:lineRule="auto"/>
        <w:ind w:left="0" w:right="27"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rPr>
        <w:t xml:space="preserve">Numerales que compelen al </w:t>
      </w:r>
      <w:r w:rsidRPr="009561FF">
        <w:rPr>
          <w:rFonts w:ascii="Palatino Linotype" w:eastAsia="Palatino Linotype" w:hAnsi="Palatino Linotype" w:cs="Palatino Linotype"/>
          <w:b/>
          <w:bCs/>
        </w:rPr>
        <w:t>SUJETO OBLIGADO</w:t>
      </w:r>
      <w:r w:rsidRPr="009561FF">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Ahora bien, por lo que se refiere al punto 6 de la solicitud, el Sujeto Obligado refirió </w:t>
      </w:r>
      <w:r w:rsidRPr="009561FF">
        <w:rPr>
          <w:rFonts w:ascii="Palatino Linotype" w:eastAsia="Palatino Linotype" w:hAnsi="Palatino Linotype" w:cs="Palatino Linotype"/>
          <w:i/>
          <w:iCs/>
        </w:rPr>
        <w:t>dar capacitación para el ciclo vital del documento y asesorar a los encargados del Archivo de Tramite</w:t>
      </w:r>
      <w:r w:rsidRPr="009561FF">
        <w:rPr>
          <w:rFonts w:ascii="Palatino Linotype" w:eastAsia="Palatino Linotype" w:hAnsi="Palatino Linotype" w:cs="Palatino Linotype"/>
        </w:rPr>
        <w:t xml:space="preserve">; por lo que se observa que sus manifestaciones no guardan relación a lo requerido por el particular, quien para tal punto solicitaba conocer las funciones específicas para los distintos tipos de archivo </w:t>
      </w:r>
      <w:r w:rsidRPr="009561FF">
        <w:rPr>
          <w:rFonts w:ascii="Palatino Linotype" w:eastAsia="Palatino Linotype" w:hAnsi="Palatino Linotype" w:cs="Palatino Linotype"/>
          <w:i/>
          <w:iCs/>
        </w:rPr>
        <w:t>(Trámite, Concentración e Histórico)</w:t>
      </w:r>
      <w:r w:rsidRPr="009561FF">
        <w:rPr>
          <w:rFonts w:ascii="Palatino Linotype" w:eastAsia="Palatino Linotype" w:hAnsi="Palatino Linotype" w:cs="Palatino Linotype"/>
        </w:rPr>
        <w:t xml:space="preserve"> al respecto, es aplicable el Criterio 02/2017 emitido por el Instituto Nacional de Transparencia, Acceso a la Información  y Protección de Datos Personales se establece que: </w:t>
      </w:r>
    </w:p>
    <w:p w:rsidR="00BF18FE" w:rsidRPr="009561FF" w:rsidRDefault="004F3044">
      <w:pPr>
        <w:pBdr>
          <w:top w:val="nil"/>
          <w:left w:val="nil"/>
          <w:bottom w:val="nil"/>
          <w:right w:val="nil"/>
          <w:between w:val="nil"/>
        </w:pBdr>
        <w:spacing w:line="276"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b/>
          <w:bCs/>
          <w:i/>
          <w:iCs/>
          <w:color w:val="000000"/>
          <w:highlight w:val="white"/>
        </w:rPr>
        <w:lastRenderedPageBreak/>
        <w:t xml:space="preserve">Congruencia y exhaustividad. Sus alcances para garantizar el derecho de acceso a la información. </w:t>
      </w:r>
      <w:r w:rsidRPr="009561FF">
        <w:rPr>
          <w:rFonts w:ascii="Palatino Linotype" w:eastAsia="Palatino Linotype" w:hAnsi="Palatino Linotype" w:cs="Palatino Linotype"/>
          <w:i/>
          <w:iCs/>
          <w:color w:val="000000"/>
          <w:highlight w:val="white"/>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BF18FE" w:rsidRPr="009561FF" w:rsidRDefault="00BF18FE">
      <w:pPr>
        <w:pBdr>
          <w:top w:val="nil"/>
          <w:left w:val="nil"/>
          <w:bottom w:val="nil"/>
          <w:right w:val="nil"/>
          <w:between w:val="nil"/>
        </w:pBdr>
        <w:spacing w:line="360" w:lineRule="auto"/>
        <w:ind w:left="1134" w:right="-150"/>
        <w:jc w:val="both"/>
        <w:rPr>
          <w:rFonts w:ascii="Palatino Linotype" w:eastAsia="Palatino Linotype" w:hAnsi="Palatino Linotype" w:cs="Palatino Linotype"/>
          <w:color w:val="000000"/>
        </w:rPr>
      </w:pPr>
    </w:p>
    <w:p w:rsidR="00BF18FE" w:rsidRDefault="004F3044">
      <w:pPr>
        <w:numPr>
          <w:ilvl w:val="0"/>
          <w:numId w:val="5"/>
        </w:numPr>
        <w:pBdr>
          <w:top w:val="nil"/>
          <w:left w:val="nil"/>
          <w:bottom w:val="nil"/>
          <w:right w:val="nil"/>
          <w:between w:val="nil"/>
        </w:pBdr>
        <w:spacing w:line="360" w:lineRule="auto"/>
        <w:ind w:left="0" w:right="-15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w:t>
      </w:r>
      <w:r w:rsidRPr="009561FF">
        <w:rPr>
          <w:rFonts w:ascii="Palatino Linotype" w:eastAsia="Palatino Linotype" w:hAnsi="Palatino Linotype" w:cs="Palatino Linotype"/>
          <w:b/>
          <w:bCs/>
          <w:color w:val="000000"/>
        </w:rPr>
        <w:t>la exhaustividad</w:t>
      </w:r>
      <w:r w:rsidRPr="009561FF">
        <w:rPr>
          <w:rFonts w:ascii="Palatino Linotype" w:eastAsia="Palatino Linotype" w:hAnsi="Palatino Linotype" w:cs="Palatino Linotype"/>
          <w:color w:val="000000"/>
        </w:rPr>
        <w:t xml:space="preserve"> establece que </w:t>
      </w:r>
      <w:r w:rsidRPr="009561FF">
        <w:rPr>
          <w:rFonts w:ascii="Palatino Linotype" w:eastAsia="Palatino Linotype" w:hAnsi="Palatino Linotype" w:cs="Palatino Linotype"/>
          <w:b/>
          <w:bCs/>
          <w:color w:val="000000"/>
        </w:rPr>
        <w:t>el sujeto obligado deberá atender de manera expresa cada uno de los puntos solicitados, situación que en el presente caso no aconteció</w:t>
      </w:r>
      <w:r w:rsidRPr="009561FF">
        <w:rPr>
          <w:rFonts w:ascii="Palatino Linotype" w:eastAsia="Palatino Linotype" w:hAnsi="Palatino Linotype" w:cs="Palatino Linotype"/>
          <w:color w:val="000000"/>
        </w:rPr>
        <w:t xml:space="preserve">. </w:t>
      </w:r>
    </w:p>
    <w:p w:rsidR="009561FF" w:rsidRPr="009561FF" w:rsidRDefault="009561FF" w:rsidP="009561FF">
      <w:pPr>
        <w:pBdr>
          <w:top w:val="nil"/>
          <w:left w:val="nil"/>
          <w:bottom w:val="nil"/>
          <w:right w:val="nil"/>
          <w:between w:val="nil"/>
        </w:pBdr>
        <w:spacing w:line="360" w:lineRule="auto"/>
        <w:ind w:right="-150"/>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Finalmente por cuanto hace a los puntos </w:t>
      </w:r>
      <w:r w:rsidRPr="009561FF">
        <w:rPr>
          <w:rFonts w:ascii="Palatino Linotype" w:eastAsia="Palatino Linotype" w:hAnsi="Palatino Linotype" w:cs="Palatino Linotype"/>
          <w:b/>
          <w:bCs/>
          <w:color w:val="000000"/>
        </w:rPr>
        <w:t>28, 29 y 31</w:t>
      </w:r>
      <w:r w:rsidRPr="009561FF">
        <w:rPr>
          <w:rFonts w:ascii="Palatino Linotype" w:eastAsia="Palatino Linotype" w:hAnsi="Palatino Linotype" w:cs="Palatino Linotype"/>
          <w:color w:val="000000"/>
        </w:rPr>
        <w:t xml:space="preserve"> relativos a Cuadro General de clasificación Archivística,  el Catálogo de Disposición Documental e Inventarios Documentales, donde el Sujeto Obligado refirió no contar con éstos pero que se encontraban en proceso de elaboración; por lo que dado que la Ley de Archivos y Administración de Documentos del Estado de México y Municipios ordena a los Sujetos Obligados contar con </w:t>
      </w:r>
      <w:r w:rsidRPr="009561FF">
        <w:rPr>
          <w:rFonts w:ascii="Palatino Linotype" w:eastAsia="Palatino Linotype" w:hAnsi="Palatino Linotype" w:cs="Palatino Linotype"/>
          <w:color w:val="000000"/>
        </w:rPr>
        <w:lastRenderedPageBreak/>
        <w:t>Instrumentos de Control y Consulta, manteniéndolos actualizados y disponibles  contando al menos con los siguientes</w:t>
      </w:r>
      <w:r w:rsidRPr="009561FF">
        <w:rPr>
          <w:rFonts w:ascii="Palatino Linotype" w:eastAsia="Palatino Linotype" w:hAnsi="Palatino Linotype" w:cs="Palatino Linotype"/>
          <w:color w:val="000000"/>
          <w:vertAlign w:val="superscript"/>
        </w:rPr>
        <w:footnoteReference w:id="3"/>
      </w:r>
      <w:r w:rsidRPr="009561FF">
        <w:rPr>
          <w:rFonts w:ascii="Palatino Linotype" w:eastAsia="Palatino Linotype" w:hAnsi="Palatino Linotype" w:cs="Palatino Linotype"/>
          <w:color w:val="000000"/>
        </w:rPr>
        <w:t xml:space="preserve">: </w:t>
      </w: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I. Cuadro General de Clasificación Archivística; Al instrumento técnico que refleja la estructura de un Archivo con base en las atribuciones y funciones de cada Sujeto Obligado (su estructura atenderá los niveles de Fondo Documental, Sección y Serie, sin que esto excluya la posibilidad de que existan niveles intermedios, los cuales serán identificados mediante una clave alfanumérica</w:t>
      </w:r>
      <w:r w:rsidRPr="009561FF">
        <w:rPr>
          <w:rFonts w:ascii="Palatino Linotype" w:eastAsia="Palatino Linotype" w:hAnsi="Palatino Linotype" w:cs="Palatino Linotype"/>
        </w:rPr>
        <w:t>.)</w:t>
      </w:r>
      <w:r w:rsidRPr="009561FF">
        <w:rPr>
          <w:rFonts w:ascii="Palatino Linotype" w:eastAsia="Palatino Linotype" w:hAnsi="Palatino Linotype" w:cs="Palatino Linotype"/>
          <w:i/>
          <w:iCs/>
        </w:rPr>
        <w:t>;</w:t>
      </w:r>
      <w:r w:rsidRPr="009561FF">
        <w:rPr>
          <w:rFonts w:ascii="Palatino Linotype" w:eastAsia="Palatino Linotype" w:hAnsi="Palatino Linotype" w:cs="Palatino Linotype"/>
          <w:i/>
          <w:iCs/>
          <w:vertAlign w:val="superscript"/>
        </w:rPr>
        <w:footnoteReference w:id="4"/>
      </w: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II. Catálogo de Disposición Documental; Al registro general y sistemático que establece los valores documentales, la Vigencia Documental, los plazos de conservación y la Disposición Documental</w:t>
      </w:r>
      <w:r w:rsidRPr="009561FF">
        <w:rPr>
          <w:rFonts w:ascii="Palatino Linotype" w:eastAsia="Palatino Linotype" w:hAnsi="Palatino Linotype" w:cs="Palatino Linotype"/>
          <w:i/>
          <w:iCs/>
          <w:vertAlign w:val="superscript"/>
        </w:rPr>
        <w:footnoteReference w:id="5"/>
      </w:r>
      <w:r w:rsidRPr="009561FF">
        <w:rPr>
          <w:rFonts w:ascii="Palatino Linotype" w:eastAsia="Palatino Linotype" w:hAnsi="Palatino Linotype" w:cs="Palatino Linotype"/>
          <w:i/>
          <w:iCs/>
        </w:rPr>
        <w:t xml:space="preserve">; </w:t>
      </w: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III. Inventarios Documentales; A los Instrumentos de Consulta Archivística que describen las Series documentales y Expedientes de un Archivo y que permiten su localización (inventario general), para las Transferencias (inventario de Transferencia) o para la Baja Documental (inventario de Baja Documental)</w:t>
      </w:r>
      <w:r w:rsidRPr="009561FF">
        <w:rPr>
          <w:rFonts w:ascii="Palatino Linotype" w:eastAsia="Palatino Linotype" w:hAnsi="Palatino Linotype" w:cs="Palatino Linotype"/>
          <w:i/>
          <w:iCs/>
          <w:vertAlign w:val="superscript"/>
        </w:rPr>
        <w:footnoteReference w:id="6"/>
      </w:r>
      <w:r w:rsidRPr="009561FF">
        <w:rPr>
          <w:rFonts w:ascii="Palatino Linotype" w:eastAsia="Palatino Linotype" w:hAnsi="Palatino Linotype" w:cs="Palatino Linotype"/>
          <w:i/>
          <w:iCs/>
        </w:rPr>
        <w:t>.</w:t>
      </w:r>
    </w:p>
    <w:p w:rsidR="00BF18FE" w:rsidRPr="009561FF" w:rsidRDefault="00BF18FE">
      <w:pPr>
        <w:spacing w:line="360" w:lineRule="auto"/>
        <w:ind w:left="1134" w:right="1134"/>
        <w:jc w:val="both"/>
        <w:rPr>
          <w:rFonts w:ascii="Palatino Linotype" w:eastAsia="Palatino Linotype" w:hAnsi="Palatino Linotype" w:cs="Palatino Linotype"/>
          <w:i/>
          <w:iCs/>
        </w:rPr>
      </w:pPr>
    </w:p>
    <w:p w:rsidR="00BF18FE" w:rsidRPr="009561FF" w:rsidRDefault="004F3044">
      <w:pPr>
        <w:spacing w:line="360" w:lineRule="auto"/>
        <w:jc w:val="both"/>
        <w:rPr>
          <w:rFonts w:ascii="Palatino Linotype" w:eastAsia="Palatino Linotype" w:hAnsi="Palatino Linotype" w:cs="Palatino Linotype"/>
        </w:rPr>
      </w:pPr>
      <w:bookmarkStart w:id="10" w:name="_heading=h.ufmz0pgc65yx" w:colFirst="0" w:colLast="0"/>
      <w:bookmarkEnd w:id="10"/>
      <w:r w:rsidRPr="009561FF">
        <w:rPr>
          <w:rFonts w:ascii="Palatino Linotype" w:eastAsia="Palatino Linotype" w:hAnsi="Palatino Linotype" w:cs="Palatino Linotype"/>
        </w:rPr>
        <w:t>Por lo que se advierte que existe fuente obligacional para poseer la información requerida, ya que si bien es cierto al haber existido cambio de administración, consecuentemente se llevó a cabo la instalación del Comité Interdisciplinario encargado del Archivo, también lo es que la Ley considera que la información debe mantenerse constantemente actualizada, siendo dable ordenar la documentación referida vigente a la fecha de la solicitud.</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numPr>
          <w:ilvl w:val="0"/>
          <w:numId w:val="5"/>
        </w:numPr>
        <w:pBdr>
          <w:top w:val="nil"/>
          <w:left w:val="nil"/>
          <w:bottom w:val="nil"/>
          <w:right w:val="nil"/>
          <w:between w:val="nil"/>
        </w:pBdr>
        <w:tabs>
          <w:tab w:val="left" w:pos="0"/>
        </w:tabs>
        <w:spacing w:line="360" w:lineRule="auto"/>
        <w:ind w:left="0" w:right="27"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Sin embargo si de la búsqueda exhaustiva y minuciosa que el Sujeto Obligado realice se confirme lo dicho en informe justificado en el sentido de no poseer la información por </w:t>
      </w:r>
      <w:r w:rsidRPr="009561FF">
        <w:rPr>
          <w:rFonts w:ascii="Palatino Linotype" w:eastAsia="Palatino Linotype" w:hAnsi="Palatino Linotype" w:cs="Palatino Linotype"/>
          <w:color w:val="000000"/>
        </w:rPr>
        <w:lastRenderedPageBreak/>
        <w:t>encontrarse en proceso de elaboración, resulta procedente la entrega del Acuerdo de Inexistencia, en términos del artículo 19 párrafo tercero, 169 y 170 de la Ley de Transparencia y Acceso a la Información Pública del Estado de México y Municipios.</w:t>
      </w:r>
    </w:p>
    <w:p w:rsidR="00BF18FE" w:rsidRPr="009561FF" w:rsidRDefault="00BF18FE">
      <w:pPr>
        <w:tabs>
          <w:tab w:val="left" w:pos="0"/>
        </w:tabs>
        <w:spacing w:line="360" w:lineRule="auto"/>
        <w:ind w:right="27"/>
        <w:jc w:val="both"/>
        <w:rPr>
          <w:rFonts w:ascii="Palatino Linotype" w:eastAsia="Palatino Linotype" w:hAnsi="Palatino Linotype" w:cs="Palatino Linotype"/>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No debemos perder de vista que, el derecho de acceso a la información es la </w:t>
      </w:r>
      <w:r w:rsidRPr="009561FF">
        <w:rPr>
          <w:rFonts w:ascii="Palatino Linotype" w:eastAsia="Palatino Linotype" w:hAnsi="Palatino Linotype" w:cs="Palatino Linotype"/>
          <w:i/>
          <w:iCs/>
          <w:color w:val="000000"/>
        </w:rPr>
        <w:t>igualdad de oportunidades para recibir, buscar e impartir información</w:t>
      </w:r>
      <w:r w:rsidRPr="009561FF">
        <w:rPr>
          <w:rFonts w:ascii="Palatino Linotype" w:eastAsia="Palatino Linotype" w:hAnsi="Palatino Linotype" w:cs="Palatino Linotype"/>
          <w:i/>
          <w:iCs/>
          <w:color w:val="000000"/>
          <w:vertAlign w:val="superscript"/>
        </w:rPr>
        <w:footnoteReference w:id="7"/>
      </w:r>
      <w:r w:rsidRPr="009561FF">
        <w:rPr>
          <w:rFonts w:ascii="Palatino Linotype" w:eastAsia="Palatino Linotype" w:hAnsi="Palatino Linotype" w:cs="Palatino Linotype"/>
          <w:i/>
          <w:iCs/>
          <w:color w:val="000000"/>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561FF">
        <w:rPr>
          <w:rFonts w:ascii="Palatino Linotype" w:eastAsia="Palatino Linotype" w:hAnsi="Palatino Linotype" w:cs="Palatino Linotype"/>
          <w:color w:val="000000"/>
          <w:vertAlign w:val="superscript"/>
        </w:rPr>
        <w:footnoteReference w:id="8"/>
      </w:r>
      <w:r w:rsidRPr="009561FF">
        <w:rPr>
          <w:rFonts w:ascii="Palatino Linotype" w:eastAsia="Palatino Linotype" w:hAnsi="Palatino Linotype" w:cs="Palatino Linotype"/>
          <w:i/>
          <w:iCs/>
          <w:color w:val="000000"/>
        </w:rPr>
        <w:t xml:space="preserve"> </w:t>
      </w:r>
      <w:r w:rsidRPr="009561FF">
        <w:rPr>
          <w:rFonts w:ascii="Palatino Linotype" w:eastAsia="Palatino Linotype" w:hAnsi="Palatino Linotype" w:cs="Palatino Linotype"/>
          <w:color w:val="000000"/>
        </w:rPr>
        <w:t xml:space="preserve">que se constituye como una herramienta fundamental para </w:t>
      </w:r>
      <w:r w:rsidRPr="009561FF">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9561FF">
        <w:rPr>
          <w:rFonts w:ascii="Palatino Linotype" w:eastAsia="Palatino Linotype" w:hAnsi="Palatino Linotype" w:cs="Palatino Linotype"/>
          <w:i/>
          <w:iCs/>
          <w:color w:val="000000"/>
          <w:vertAlign w:val="superscript"/>
        </w:rPr>
        <w:footnoteReference w:id="9"/>
      </w:r>
      <w:r w:rsidRPr="009561FF">
        <w:rPr>
          <w:rFonts w:ascii="Palatino Linotype" w:eastAsia="Palatino Linotype" w:hAnsi="Palatino Linotype" w:cs="Palatino Linotype"/>
          <w:color w:val="000000"/>
        </w:rPr>
        <w:t>fomentando</w:t>
      </w:r>
      <w:r w:rsidRPr="009561FF">
        <w:rPr>
          <w:rFonts w:ascii="Palatino Linotype" w:eastAsia="Palatino Linotype" w:hAnsi="Palatino Linotype" w:cs="Palatino Linotype"/>
          <w:i/>
          <w:iCs/>
          <w:color w:val="000000"/>
        </w:rPr>
        <w:t xml:space="preserve"> la transparencia de las actividades estatales y</w:t>
      </w:r>
      <w:r w:rsidRPr="009561FF">
        <w:rPr>
          <w:rFonts w:ascii="Palatino Linotype" w:eastAsia="Palatino Linotype" w:hAnsi="Palatino Linotype" w:cs="Palatino Linotype"/>
          <w:color w:val="000000"/>
        </w:rPr>
        <w:t xml:space="preserve"> promoviendo</w:t>
      </w:r>
      <w:r w:rsidRPr="009561FF">
        <w:rPr>
          <w:rFonts w:ascii="Palatino Linotype" w:eastAsia="Palatino Linotype" w:hAnsi="Palatino Linotype" w:cs="Palatino Linotype"/>
          <w:i/>
          <w:iCs/>
          <w:color w:val="000000"/>
        </w:rPr>
        <w:t xml:space="preserve"> la responsabilidad de los funcionarios sobre su gestión pública</w:t>
      </w:r>
      <w:r w:rsidRPr="009561FF">
        <w:rPr>
          <w:rFonts w:ascii="Palatino Linotype" w:eastAsia="Palatino Linotype" w:hAnsi="Palatino Linotype" w:cs="Palatino Linotype"/>
          <w:i/>
          <w:iCs/>
          <w:color w:val="000000"/>
          <w:vertAlign w:val="superscript"/>
        </w:rPr>
        <w:footnoteReference w:id="10"/>
      </w:r>
      <w:r w:rsidRPr="009561FF">
        <w:rPr>
          <w:rFonts w:ascii="Palatino Linotype" w:eastAsia="Palatino Linotype" w:hAnsi="Palatino Linotype" w:cs="Palatino Linotype"/>
          <w:i/>
          <w:iCs/>
          <w:color w:val="000000"/>
        </w:rPr>
        <w:t xml:space="preserve"> </w:t>
      </w:r>
      <w:r w:rsidRPr="009561FF">
        <w:rPr>
          <w:rFonts w:ascii="Palatino Linotype" w:eastAsia="Palatino Linotype" w:hAnsi="Palatino Linotype" w:cs="Palatino Linotype"/>
          <w:color w:val="000000"/>
        </w:rPr>
        <w:t>que permite</w:t>
      </w:r>
      <w:r w:rsidRPr="009561FF">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9561FF">
        <w:rPr>
          <w:rFonts w:ascii="Palatino Linotype" w:eastAsia="Palatino Linotype" w:hAnsi="Palatino Linotype" w:cs="Palatino Linotype"/>
          <w:i/>
          <w:iCs/>
          <w:color w:val="000000"/>
          <w:vertAlign w:val="superscript"/>
        </w:rPr>
        <w:footnoteReference w:id="11"/>
      </w:r>
      <w:r w:rsidRPr="009561FF">
        <w:rPr>
          <w:rFonts w:ascii="Palatino Linotype" w:eastAsia="Palatino Linotype" w:hAnsi="Palatino Linotype" w:cs="Palatino Linotype"/>
          <w:color w:val="000000"/>
        </w:rPr>
        <w:t xml:space="preserve">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 xml:space="preserve">El acceso a la información es un derecho humano constitucional y convencionalmente reconocido y para tal efecto el párrafo tercero del artículo primero de la Constitución Política </w:t>
      </w:r>
      <w:r w:rsidRPr="009561FF">
        <w:rPr>
          <w:rFonts w:ascii="Palatino Linotype" w:eastAsia="Palatino Linotype" w:hAnsi="Palatino Linotype" w:cs="Palatino Linotype"/>
          <w:color w:val="000000"/>
        </w:rPr>
        <w:lastRenderedPageBreak/>
        <w:t xml:space="preserve">de los Estados Unidos Mexicanos establece el deber de todas las autoridades, </w:t>
      </w:r>
      <w:r w:rsidRPr="009561FF">
        <w:rPr>
          <w:rFonts w:ascii="Palatino Linotype" w:eastAsia="Palatino Linotype" w:hAnsi="Palatino Linotype" w:cs="Palatino Linotype"/>
          <w:i/>
          <w:iCs/>
          <w:color w:val="000000"/>
        </w:rPr>
        <w:t xml:space="preserve">en el ámbito de sus atribuciones, de promover, respetar, proteger y </w:t>
      </w:r>
      <w:r w:rsidRPr="009561FF">
        <w:rPr>
          <w:rFonts w:ascii="Palatino Linotype" w:eastAsia="Palatino Linotype" w:hAnsi="Palatino Linotype" w:cs="Palatino Linotype"/>
          <w:b/>
          <w:bCs/>
          <w:i/>
          <w:iCs/>
          <w:color w:val="000000"/>
        </w:rPr>
        <w:t>garantizar</w:t>
      </w:r>
      <w:r w:rsidRPr="009561FF">
        <w:rPr>
          <w:rFonts w:ascii="Palatino Linotype" w:eastAsia="Palatino Linotype" w:hAnsi="Palatino Linotype" w:cs="Palatino Linotype"/>
          <w:i/>
          <w:iCs/>
          <w:color w:val="000000"/>
        </w:rPr>
        <w:t xml:space="preserve"> los derechos humanos. </w:t>
      </w:r>
      <w:r w:rsidRPr="009561FF">
        <w:rPr>
          <w:rFonts w:ascii="Palatino Linotype" w:eastAsia="Palatino Linotype" w:hAnsi="Palatino Linotype" w:cs="Palatino Linotype"/>
          <w:color w:val="000000"/>
        </w:rPr>
        <w:t>En cuanto al derecho de acceso a la información, la Ley de Transparencia y Acceso a la Información Pública del Estado de México y Municipios prevé establece que</w:t>
      </w:r>
      <w:r w:rsidRPr="009561FF">
        <w:rPr>
          <w:rFonts w:ascii="Palatino Linotype" w:eastAsia="Palatino Linotype" w:hAnsi="Palatino Linotype" w:cs="Palatino Linotype"/>
          <w:b/>
          <w:bCs/>
          <w:i/>
          <w:iCs/>
          <w:color w:val="000000"/>
        </w:rPr>
        <w:t xml:space="preserve"> e</w:t>
      </w:r>
      <w:r w:rsidRPr="009561FF">
        <w:rPr>
          <w:rFonts w:ascii="Palatino Linotype" w:eastAsia="Palatino Linotype" w:hAnsi="Palatino Linotype" w:cs="Palatino Linotype"/>
          <w:i/>
          <w:iCs/>
          <w:color w:val="000000"/>
        </w:rPr>
        <w:t>l procedimiento de acceso a la información es la garantía primaria del derecho en cuestión y se rige por los principios de simplicidad, rapidez y gratuidad del procedimiento, auxilio y orientación a los particulares</w:t>
      </w:r>
      <w:r w:rsidRPr="009561FF">
        <w:rPr>
          <w:rFonts w:ascii="Palatino Linotype" w:eastAsia="Palatino Linotype" w:hAnsi="Palatino Linotype" w:cs="Palatino Linotype"/>
          <w:i/>
          <w:iCs/>
          <w:color w:val="000000"/>
          <w:vertAlign w:val="superscript"/>
        </w:rPr>
        <w:footnoteReference w:id="12"/>
      </w:r>
      <w:r w:rsidRPr="009561FF">
        <w:rPr>
          <w:rFonts w:ascii="Palatino Linotype" w:eastAsia="Palatino Linotype" w:hAnsi="Palatino Linotype" w:cs="Palatino Linotype"/>
          <w:i/>
          <w:iCs/>
          <w:color w:val="000000"/>
        </w:rPr>
        <w:t xml:space="preserve">, </w:t>
      </w:r>
      <w:r w:rsidRPr="009561FF">
        <w:rPr>
          <w:rFonts w:ascii="Palatino Linotype" w:eastAsia="Palatino Linotype" w:hAnsi="Palatino Linotype" w:cs="Palatino Linotype"/>
          <w:color w:val="000000"/>
        </w:rPr>
        <w:t>asimismo establece</w:t>
      </w:r>
      <w:r w:rsidRPr="009561FF">
        <w:rPr>
          <w:rFonts w:ascii="Palatino Linotype" w:eastAsia="Palatino Linotype" w:hAnsi="Palatino Linotype" w:cs="Palatino Linotype"/>
          <w:i/>
          <w:iCs/>
          <w:color w:val="000000"/>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BF18FE" w:rsidRPr="009561FF" w:rsidRDefault="00BF18F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color w:val="000000"/>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9561FF">
        <w:rPr>
          <w:rFonts w:ascii="Palatino Linotype" w:eastAsia="Palatino Linotype" w:hAnsi="Palatino Linotype" w:cs="Palatino Linotype"/>
          <w:b/>
          <w:bCs/>
          <w:color w:val="000000"/>
        </w:rPr>
        <w:t>los Sujetos Obligados deberán documentar todo acto que se derive del ejercicio de sus facultades, competencias o funciones,</w:t>
      </w:r>
      <w:r w:rsidRPr="009561FF">
        <w:rPr>
          <w:rFonts w:ascii="Palatino Linotype" w:eastAsia="Palatino Linotype" w:hAnsi="Palatino Linotype" w:cs="Palatino Linotype"/>
          <w:color w:val="000000"/>
        </w:rPr>
        <w:t xml:space="preserve"> considerando desde su origen la eventual publicidad y reutilización de la información que generen, posean o administren.</w:t>
      </w:r>
    </w:p>
    <w:p w:rsidR="00BF18FE" w:rsidRPr="009561FF" w:rsidRDefault="00BF18FE">
      <w:pPr>
        <w:pBdr>
          <w:top w:val="nil"/>
          <w:left w:val="nil"/>
          <w:bottom w:val="nil"/>
          <w:right w:val="nil"/>
          <w:between w:val="nil"/>
        </w:pBdr>
        <w:spacing w:line="360" w:lineRule="auto"/>
        <w:ind w:left="708"/>
        <w:rPr>
          <w:rFonts w:ascii="Palatino Linotype" w:eastAsia="Palatino Linotype" w:hAnsi="Palatino Linotype" w:cs="Palatino Linotype"/>
          <w:i/>
          <w:iCs/>
          <w:color w:val="000000"/>
        </w:rPr>
      </w:pPr>
    </w:p>
    <w:p w:rsidR="00BF18FE" w:rsidRPr="009561FF" w:rsidRDefault="004F3044">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lastRenderedPageBreak/>
        <w:t>Además, debemos tomar en cuenta los artículos 4 y 12, de la Ley de Transparencia y Acceso a la Información Pública del Estado de México y Municipios, los cuales establecen lo siguiente:</w:t>
      </w: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4. </w:t>
      </w:r>
      <w:r w:rsidRPr="009561FF">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rsidR="00BF18FE" w:rsidRPr="009561FF" w:rsidRDefault="00BF18FE">
      <w:pPr>
        <w:spacing w:line="276" w:lineRule="auto"/>
        <w:ind w:left="1134" w:right="1134"/>
        <w:jc w:val="both"/>
        <w:rPr>
          <w:rFonts w:ascii="Palatino Linotype" w:eastAsia="Palatino Linotype" w:hAnsi="Palatino Linotype" w:cs="Palatino Linotype"/>
          <w:i/>
          <w:iCs/>
        </w:rPr>
      </w:pP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F18FE" w:rsidRPr="009561FF" w:rsidRDefault="00BF18FE">
      <w:pPr>
        <w:spacing w:line="276" w:lineRule="auto"/>
        <w:ind w:left="1134" w:right="1134"/>
        <w:jc w:val="both"/>
        <w:rPr>
          <w:rFonts w:ascii="Palatino Linotype" w:eastAsia="Palatino Linotype" w:hAnsi="Palatino Linotype" w:cs="Palatino Linotype"/>
          <w:i/>
          <w:iCs/>
        </w:rPr>
      </w:pP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rsidR="00BF18FE" w:rsidRPr="009561FF" w:rsidRDefault="00BF18FE">
      <w:pPr>
        <w:spacing w:line="360" w:lineRule="auto"/>
        <w:ind w:right="567"/>
        <w:jc w:val="both"/>
        <w:rPr>
          <w:rFonts w:ascii="Palatino Linotype" w:eastAsia="Palatino Linotype" w:hAnsi="Palatino Linotype" w:cs="Palatino Linotype"/>
          <w:i/>
          <w:iCs/>
        </w:rPr>
      </w:pP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t xml:space="preserve">Artículo 12. </w:t>
      </w:r>
      <w:r w:rsidRPr="009561FF">
        <w:rPr>
          <w:rFonts w:ascii="Palatino Linotype" w:eastAsia="Palatino Linotype" w:hAnsi="Palatino Linotype" w:cs="Palatino Linotype"/>
          <w:i/>
          <w:iCs/>
        </w:rPr>
        <w:t xml:space="preserve">Quienes generen, recopilen, administren, manejen, procesen, archiven o conserven información pública serán responsables de la misma en los términos de las disposiciones jurídicas aplicables. </w:t>
      </w:r>
    </w:p>
    <w:p w:rsidR="00BF18FE" w:rsidRPr="009561FF" w:rsidRDefault="00BF18FE">
      <w:pPr>
        <w:spacing w:line="276" w:lineRule="auto"/>
        <w:ind w:left="1134" w:right="1134"/>
        <w:jc w:val="both"/>
        <w:rPr>
          <w:rFonts w:ascii="Palatino Linotype" w:eastAsia="Palatino Linotype" w:hAnsi="Palatino Linotype" w:cs="Palatino Linotype"/>
          <w:i/>
          <w:iCs/>
        </w:rPr>
      </w:pP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Los sujetos obligados sólo proporcionarán la información pública que se les requiera y que obre en sus archivos y en el estado en que ésta se encuentre. </w:t>
      </w:r>
      <w:r w:rsidRPr="009561FF">
        <w:rPr>
          <w:rFonts w:ascii="Palatino Linotype" w:eastAsia="Palatino Linotype" w:hAnsi="Palatino Linotype" w:cs="Palatino Linotype"/>
          <w:b/>
          <w:bCs/>
          <w:i/>
          <w:iCs/>
        </w:rPr>
        <w:t xml:space="preserve">La obligación de proporcionar información no comprende el procesamiento </w:t>
      </w:r>
      <w:r w:rsidRPr="009561FF">
        <w:rPr>
          <w:rFonts w:ascii="Palatino Linotype" w:eastAsia="Palatino Linotype" w:hAnsi="Palatino Linotype" w:cs="Palatino Linotype"/>
          <w:b/>
          <w:bCs/>
          <w:i/>
          <w:iCs/>
        </w:rPr>
        <w:lastRenderedPageBreak/>
        <w:t>de la misma, ni el presentarla conforme al interés del solicitante; no estarán obligados a generarla, resumirla, efectuar cálculos o practicar investigaciones.</w:t>
      </w:r>
    </w:p>
    <w:p w:rsidR="00BF18FE" w:rsidRPr="009561FF" w:rsidRDefault="00BF18FE">
      <w:pPr>
        <w:spacing w:line="360" w:lineRule="auto"/>
        <w:ind w:left="567" w:right="567"/>
        <w:jc w:val="both"/>
        <w:rPr>
          <w:rFonts w:ascii="Palatino Linotype" w:eastAsia="Palatino Linotype" w:hAnsi="Palatino Linotype" w:cs="Palatino Linotype"/>
          <w:i/>
          <w:iCs/>
        </w:rPr>
      </w:pPr>
    </w:p>
    <w:p w:rsidR="00BF18FE" w:rsidRPr="009561FF" w:rsidRDefault="004F3044">
      <w:pPr>
        <w:numPr>
          <w:ilvl w:val="0"/>
          <w:numId w:val="5"/>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561FF">
        <w:rPr>
          <w:rFonts w:ascii="Palatino Linotype" w:eastAsia="Palatino Linotype" w:hAnsi="Palatino Linotype" w:cs="Palatino Linotype"/>
          <w:color w:val="000000"/>
          <w:vertAlign w:val="superscript"/>
        </w:rPr>
        <w:footnoteReference w:id="13"/>
      </w:r>
      <w:r w:rsidRPr="009561FF">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BF18FE" w:rsidRPr="009561FF" w:rsidRDefault="00BF18F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F18FE" w:rsidRPr="009561FF" w:rsidRDefault="004F3044">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b/>
          <w:bCs/>
          <w:i/>
          <w:iCs/>
          <w:color w:val="000000"/>
        </w:rPr>
        <w:t>ACCESO A LA INFORMACIÓN. IMPLICACIÓN DEL PRINCIPIO DE MÁXIMA PUBLICIDAD EN EL DERECHO FUNDAMENTAL RELATIVO.</w:t>
      </w:r>
      <w:r w:rsidRPr="009561FF">
        <w:rPr>
          <w:rFonts w:ascii="Palatino Linotype" w:eastAsia="Palatino Linotype" w:hAnsi="Palatino Linotype" w:cs="Palatino Linotype"/>
          <w:i/>
          <w:iCs/>
          <w:color w:val="000000"/>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9561FF">
        <w:rPr>
          <w:rFonts w:ascii="Palatino Linotype" w:eastAsia="Palatino Linotype" w:hAnsi="Palatino Linotype" w:cs="Palatino Linotype"/>
          <w:i/>
          <w:iCs/>
          <w:color w:val="000000"/>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BF18FE" w:rsidRPr="009561FF" w:rsidRDefault="00BF18FE">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i/>
          <w:iCs/>
          <w:color w:val="000000"/>
        </w:rPr>
      </w:pPr>
    </w:p>
    <w:p w:rsidR="00BF18FE" w:rsidRPr="009561FF" w:rsidRDefault="004F3044">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CUARTO TRIBUNAL COLEGIADO EN MATERIA ADMINISTRATIVA DEL PRIMER CIRCUITO. </w:t>
      </w:r>
    </w:p>
    <w:p w:rsidR="00BF18FE" w:rsidRPr="009561FF" w:rsidRDefault="00BF18FE">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i/>
          <w:iCs/>
          <w:color w:val="000000"/>
        </w:rPr>
      </w:pPr>
    </w:p>
    <w:p w:rsidR="00BF18FE" w:rsidRPr="009561FF" w:rsidRDefault="004F3044">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Amparo en revisión 257/2012. Ruth Corona Muñoz. 6 de diciembre de 2012. Unanimidad de votos. Ponente: Jean Claude Tron Petit. Secretaria: Mayra Susana Martínez López.</w:t>
      </w:r>
    </w:p>
    <w:p w:rsidR="00BF18FE" w:rsidRPr="009561FF" w:rsidRDefault="00BF18FE">
      <w:pPr>
        <w:pBdr>
          <w:top w:val="nil"/>
          <w:left w:val="nil"/>
          <w:bottom w:val="nil"/>
          <w:right w:val="nil"/>
          <w:between w:val="nil"/>
        </w:pBdr>
        <w:spacing w:line="360" w:lineRule="auto"/>
        <w:ind w:left="708"/>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tabs>
          <w:tab w:val="left" w:pos="851"/>
        </w:tabs>
        <w:spacing w:after="240"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BF18FE" w:rsidRPr="009561FF" w:rsidRDefault="004F3044">
      <w:pPr>
        <w:spacing w:line="276" w:lineRule="auto"/>
        <w:ind w:left="1134"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b/>
          <w:bCs/>
          <w:i/>
          <w:iCs/>
        </w:rPr>
        <w:lastRenderedPageBreak/>
        <w:t xml:space="preserve">XI. Documento: </w:t>
      </w:r>
      <w:r w:rsidRPr="009561FF">
        <w:rPr>
          <w:rFonts w:ascii="Palatino Linotype" w:eastAsia="Palatino Linotype" w:hAnsi="Palatino Linotype" w:cs="Palatino Linotype"/>
          <w:i/>
          <w:iCs/>
        </w:rPr>
        <w:t xml:space="preserve">Los expedientes, reportes, estudios, actas, resoluciones, oficios, correspondencia, acuerdos, directivas, directrices, circulares, contratos, convenios, instructivos, notas, memorandos, estadísticas o bien, </w:t>
      </w:r>
      <w:r w:rsidRPr="009561FF">
        <w:rPr>
          <w:rFonts w:ascii="Palatino Linotype" w:eastAsia="Palatino Linotype" w:hAnsi="Palatino Linotype" w:cs="Palatino Linotype"/>
          <w:b/>
          <w:bCs/>
          <w:i/>
          <w:iCs/>
        </w:rPr>
        <w:t>cualquier otro registro</w:t>
      </w:r>
      <w:r w:rsidRPr="009561FF">
        <w:rPr>
          <w:rFonts w:ascii="Palatino Linotype" w:eastAsia="Palatino Linotype" w:hAnsi="Palatino Linotype" w:cs="Palatino Linotype"/>
          <w:i/>
          <w:iC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F18FE" w:rsidRPr="009561FF" w:rsidRDefault="00BF18FE">
      <w:pPr>
        <w:pBdr>
          <w:top w:val="nil"/>
          <w:left w:val="nil"/>
          <w:bottom w:val="nil"/>
          <w:right w:val="nil"/>
          <w:between w:val="nil"/>
        </w:pBdr>
        <w:tabs>
          <w:tab w:val="left" w:pos="851"/>
        </w:tabs>
        <w:spacing w:line="276" w:lineRule="auto"/>
        <w:ind w:left="1134" w:right="1134"/>
        <w:jc w:val="both"/>
        <w:rPr>
          <w:rFonts w:ascii="Palatino Linotype" w:eastAsia="Palatino Linotype" w:hAnsi="Palatino Linotype" w:cs="Palatino Linotype"/>
          <w:color w:val="000000"/>
        </w:rPr>
      </w:pPr>
    </w:p>
    <w:p w:rsidR="00BF18FE" w:rsidRPr="009561FF" w:rsidRDefault="004F3044">
      <w:pPr>
        <w:numPr>
          <w:ilvl w:val="0"/>
          <w:numId w:val="5"/>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BF18FE" w:rsidRPr="009561FF" w:rsidRDefault="00BF18F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Por lo tanto, con lo expuesto en líneas anteriores y con fundamento en el artículo 186, fracción III, de la Ley de Transparencia y Acceso a la Información Pública del Estado de México y Municipios, este Instituto considera procedente </w:t>
      </w:r>
      <w:r w:rsidRPr="009561FF">
        <w:rPr>
          <w:rFonts w:ascii="Palatino Linotype" w:eastAsia="Palatino Linotype" w:hAnsi="Palatino Linotype" w:cs="Palatino Linotype"/>
          <w:b/>
          <w:bCs/>
        </w:rPr>
        <w:t xml:space="preserve">MODIFICAR </w:t>
      </w:r>
      <w:r w:rsidRPr="009561FF">
        <w:rPr>
          <w:rFonts w:ascii="Palatino Linotype" w:eastAsia="Palatino Linotype" w:hAnsi="Palatino Linotype" w:cs="Palatino Linotype"/>
        </w:rPr>
        <w:t xml:space="preserve">la respuesta otorgada por el Sujeto Obligado. </w:t>
      </w:r>
    </w:p>
    <w:p w:rsidR="00BF18FE" w:rsidRPr="009561FF" w:rsidRDefault="00BF18FE">
      <w:pPr>
        <w:pBdr>
          <w:top w:val="nil"/>
          <w:left w:val="nil"/>
          <w:bottom w:val="nil"/>
          <w:right w:val="nil"/>
          <w:between w:val="nil"/>
        </w:pBdr>
        <w:ind w:left="708"/>
        <w:rPr>
          <w:rFonts w:ascii="Palatino Linotype" w:eastAsia="Palatino Linotype" w:hAnsi="Palatino Linotype" w:cs="Palatino Linotype"/>
          <w:color w:val="000000"/>
        </w:rPr>
      </w:pPr>
    </w:p>
    <w:p w:rsidR="00BF18FE" w:rsidRPr="009561FF" w:rsidRDefault="004F3044">
      <w:pPr>
        <w:pStyle w:val="Ttulo1"/>
        <w:rPr>
          <w:rFonts w:ascii="Palatino Linotype" w:eastAsia="Palatino Linotype" w:hAnsi="Palatino Linotype" w:cs="Palatino Linotype"/>
          <w:b/>
          <w:bCs/>
          <w:color w:val="000000"/>
          <w:sz w:val="24"/>
          <w:szCs w:val="24"/>
        </w:rPr>
      </w:pPr>
      <w:bookmarkStart w:id="11" w:name="_heading=h.d7k14b2yy5h8" w:colFirst="0" w:colLast="0"/>
      <w:bookmarkEnd w:id="11"/>
      <w:r w:rsidRPr="009561FF">
        <w:rPr>
          <w:rFonts w:ascii="Palatino Linotype" w:eastAsia="Palatino Linotype" w:hAnsi="Palatino Linotype" w:cs="Palatino Linotype"/>
          <w:b/>
          <w:bCs/>
          <w:color w:val="000000"/>
          <w:sz w:val="24"/>
          <w:szCs w:val="24"/>
        </w:rPr>
        <w:t>QUINTO. De la versión pública.</w:t>
      </w:r>
    </w:p>
    <w:p w:rsidR="00BF18FE" w:rsidRPr="009561FF" w:rsidRDefault="00BF18FE"/>
    <w:p w:rsidR="00BF18FE" w:rsidRPr="009561FF" w:rsidRDefault="004F3044">
      <w:pPr>
        <w:numPr>
          <w:ilvl w:val="0"/>
          <w:numId w:val="5"/>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9561FF">
        <w:rPr>
          <w:rFonts w:ascii="Palatino Linotype" w:eastAsia="Palatino Linotype" w:hAnsi="Palatino Linotype" w:cs="Palatino Linotype"/>
          <w:color w:val="000000"/>
        </w:rPr>
        <w:t>Debe destacarse que, debido a la naturaleza de la información solicitada</w:t>
      </w:r>
      <w:r w:rsidRPr="009561FF">
        <w:rPr>
          <w:rFonts w:ascii="Palatino Linotype" w:eastAsia="Palatino Linotype" w:hAnsi="Palatino Linotype" w:cs="Palatino Linotype"/>
          <w:b/>
          <w:bCs/>
          <w:color w:val="000000"/>
        </w:rPr>
        <w:t xml:space="preserve">, </w:t>
      </w:r>
      <w:r w:rsidRPr="009561FF">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9561FF">
        <w:rPr>
          <w:rFonts w:ascii="Palatino Linotype" w:eastAsia="Palatino Linotype" w:hAnsi="Palatino Linotype" w:cs="Palatino Linotype"/>
          <w:b/>
          <w:bCs/>
          <w:color w:val="000000"/>
        </w:rPr>
        <w:t xml:space="preserve">Sujeto Obligado </w:t>
      </w:r>
      <w:r w:rsidRPr="009561FF">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BF18FE" w:rsidRPr="009561FF" w:rsidRDefault="00BF18FE">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BF18FE" w:rsidRPr="009561FF" w:rsidRDefault="004F3044">
      <w:pPr>
        <w:numPr>
          <w:ilvl w:val="0"/>
          <w:numId w:val="5"/>
        </w:numPr>
        <w:tabs>
          <w:tab w:val="left" w:pos="284"/>
        </w:tabs>
        <w:spacing w:line="360" w:lineRule="auto"/>
        <w:ind w:left="0" w:right="49"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lastRenderedPageBreak/>
        <w:t xml:space="preserve">No pasa desapercibido para este Órgano Garante que los </w:t>
      </w:r>
      <w:r w:rsidRPr="009561FF">
        <w:rPr>
          <w:rFonts w:ascii="Palatino Linotype" w:eastAsia="Palatino Linotype" w:hAnsi="Palatino Linotype" w:cs="Palatino Linotype"/>
          <w:b/>
          <w:bCs/>
        </w:rPr>
        <w:t xml:space="preserve">Sujetos Obligados </w:t>
      </w:r>
      <w:r w:rsidRPr="009561FF">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BF18FE" w:rsidRPr="009561FF" w:rsidRDefault="00BF18FE">
      <w:pPr>
        <w:tabs>
          <w:tab w:val="left" w:pos="284"/>
        </w:tabs>
        <w:spacing w:line="360" w:lineRule="auto"/>
        <w:ind w:right="49"/>
        <w:jc w:val="both"/>
        <w:rPr>
          <w:rFonts w:ascii="Palatino Linotype" w:eastAsia="Palatino Linotype" w:hAnsi="Palatino Linotype" w:cs="Palatino Linotype"/>
        </w:rPr>
      </w:pPr>
    </w:p>
    <w:tbl>
      <w:tblPr>
        <w:tblStyle w:val="a1"/>
        <w:tblW w:w="978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810"/>
      </w:tblGrid>
      <w:tr w:rsidR="00BF18FE" w:rsidRPr="009561FF" w:rsidTr="009561FF">
        <w:tc>
          <w:tcPr>
            <w:tcW w:w="2972" w:type="dxa"/>
          </w:tcPr>
          <w:p w:rsidR="00BF18FE" w:rsidRPr="009561FF" w:rsidRDefault="004F3044" w:rsidP="009561FF">
            <w:pPr>
              <w:spacing w:line="360" w:lineRule="auto"/>
              <w:rPr>
                <w:rFonts w:ascii="Palatino Linotype" w:eastAsia="Palatino Linotype" w:hAnsi="Palatino Linotype" w:cs="Palatino Linotype"/>
                <w:b/>
                <w:bCs/>
              </w:rPr>
            </w:pPr>
            <w:r w:rsidRPr="009561FF">
              <w:rPr>
                <w:rFonts w:ascii="Palatino Linotype" w:eastAsia="Palatino Linotype" w:hAnsi="Palatino Linotype" w:cs="Palatino Linotype"/>
                <w:b/>
                <w:bCs/>
              </w:rPr>
              <w:t>a) Requisitos previos.</w:t>
            </w:r>
          </w:p>
        </w:tc>
        <w:tc>
          <w:tcPr>
            <w:tcW w:w="6810" w:type="dxa"/>
          </w:tcPr>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Además, se debe señalar el procedimiento, de los tres que establecen el artículo 132 de la Ley Estatal.</w:t>
            </w:r>
          </w:p>
          <w:p w:rsidR="00BF18FE" w:rsidRPr="009561FF" w:rsidRDefault="004F3044">
            <w:pPr>
              <w:tabs>
                <w:tab w:val="left" w:pos="284"/>
              </w:tabs>
              <w:spacing w:line="276" w:lineRule="auto"/>
              <w:jc w:val="both"/>
              <w:rPr>
                <w:rFonts w:ascii="Palatino Linotype" w:eastAsia="Palatino Linotype" w:hAnsi="Palatino Linotype" w:cs="Palatino Linotype"/>
                <w:i/>
                <w:iCs/>
              </w:rPr>
            </w:pPr>
            <w:r w:rsidRPr="009561FF">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9561FF">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9561FF">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BF18FE" w:rsidRPr="009561FF" w:rsidTr="009561FF">
        <w:tc>
          <w:tcPr>
            <w:tcW w:w="2972" w:type="dxa"/>
            <w:shd w:val="clear" w:color="auto" w:fill="D9D9D9"/>
          </w:tcPr>
          <w:p w:rsidR="00BF18FE" w:rsidRPr="009561FF" w:rsidRDefault="004F3044">
            <w:pPr>
              <w:tabs>
                <w:tab w:val="left" w:pos="284"/>
              </w:tabs>
              <w:spacing w:line="360" w:lineRule="auto"/>
              <w:rPr>
                <w:rFonts w:ascii="Palatino Linotype" w:eastAsia="Palatino Linotype" w:hAnsi="Palatino Linotype" w:cs="Palatino Linotype"/>
                <w:b/>
                <w:bCs/>
              </w:rPr>
            </w:pPr>
            <w:r w:rsidRPr="009561FF">
              <w:rPr>
                <w:rFonts w:ascii="Palatino Linotype" w:eastAsia="Palatino Linotype" w:hAnsi="Palatino Linotype" w:cs="Palatino Linotype"/>
                <w:b/>
                <w:bCs/>
              </w:rPr>
              <w:t>b) Supuestos de clasificación.</w:t>
            </w:r>
          </w:p>
        </w:tc>
        <w:tc>
          <w:tcPr>
            <w:tcW w:w="6810" w:type="dxa"/>
            <w:shd w:val="clear" w:color="auto" w:fill="D9D9D9"/>
          </w:tcPr>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El artículo 143 de la Ley Estatal señala los supuestos para que la información pueda ser clasificada como confidencial. Mientras que el artículo 130 de la Ley Estatal señala que la aplicación de estos supuestos debe realizarse de manera restrictiva y limitada, por lo que </w:t>
            </w:r>
            <w:r w:rsidRPr="009561FF">
              <w:rPr>
                <w:rFonts w:ascii="Palatino Linotype" w:eastAsia="Palatino Linotype" w:hAnsi="Palatino Linotype" w:cs="Palatino Linotype"/>
                <w:i/>
                <w:iCs/>
                <w:color w:val="000000"/>
              </w:rPr>
              <w:lastRenderedPageBreak/>
              <w:t>debe acreditarse que se cumple con esta condición y no se pueden ampliar las excepciones o supuestos de clasificación aduciendo analogía o mayoría de razón.</w:t>
            </w:r>
          </w:p>
          <w:p w:rsidR="00BF18FE" w:rsidRPr="009561FF" w:rsidRDefault="004F3044">
            <w:pPr>
              <w:tabs>
                <w:tab w:val="left" w:pos="284"/>
              </w:tabs>
              <w:spacing w:line="276" w:lineRule="auto"/>
              <w:jc w:val="both"/>
              <w:rPr>
                <w:rFonts w:ascii="Palatino Linotype" w:eastAsia="Palatino Linotype" w:hAnsi="Palatino Linotype" w:cs="Palatino Linotype"/>
                <w:i/>
                <w:iCs/>
              </w:rPr>
            </w:pPr>
            <w:r w:rsidRPr="009561FF">
              <w:rPr>
                <w:rFonts w:ascii="Palatino Linotype" w:eastAsia="Palatino Linotype" w:hAnsi="Palatino Linotype" w:cs="Palatino Linotype"/>
                <w:i/>
                <w:iCs/>
                <w:color w:val="000000"/>
              </w:rPr>
              <w:t xml:space="preserve">El </w:t>
            </w:r>
            <w:r w:rsidRPr="009561FF">
              <w:rPr>
                <w:rFonts w:ascii="Palatino Linotype" w:eastAsia="Palatino Linotype" w:hAnsi="Palatino Linotype" w:cs="Palatino Linotype"/>
                <w:b/>
                <w:bCs/>
                <w:i/>
                <w:iCs/>
                <w:color w:val="000000"/>
              </w:rPr>
              <w:t>Sujeto Obligado</w:t>
            </w:r>
            <w:r w:rsidRPr="009561FF">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BF18FE" w:rsidRPr="009561FF" w:rsidTr="009561FF">
        <w:tc>
          <w:tcPr>
            <w:tcW w:w="2972" w:type="dxa"/>
          </w:tcPr>
          <w:p w:rsidR="00BF18FE" w:rsidRPr="009561FF" w:rsidRDefault="004F3044">
            <w:pPr>
              <w:tabs>
                <w:tab w:val="left" w:pos="284"/>
              </w:tabs>
              <w:spacing w:line="360" w:lineRule="auto"/>
              <w:rPr>
                <w:rFonts w:ascii="Palatino Linotype" w:eastAsia="Palatino Linotype" w:hAnsi="Palatino Linotype" w:cs="Palatino Linotype"/>
                <w:b/>
                <w:bCs/>
              </w:rPr>
            </w:pPr>
            <w:r w:rsidRPr="009561FF">
              <w:rPr>
                <w:rFonts w:ascii="Palatino Linotype" w:eastAsia="Palatino Linotype" w:hAnsi="Palatino Linotype" w:cs="Palatino Linotype"/>
                <w:b/>
                <w:bCs/>
              </w:rPr>
              <w:lastRenderedPageBreak/>
              <w:t>c) Formalidades para emitir el acuerdo de clasificación.</w:t>
            </w:r>
          </w:p>
        </w:tc>
        <w:tc>
          <w:tcPr>
            <w:tcW w:w="6810" w:type="dxa"/>
          </w:tcPr>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Es necesario que </w:t>
            </w:r>
            <w:r w:rsidRPr="009561FF">
              <w:rPr>
                <w:rFonts w:ascii="Palatino Linotype" w:eastAsia="Palatino Linotype" w:hAnsi="Palatino Linotype" w:cs="Palatino Linotype"/>
                <w:b/>
                <w:bCs/>
                <w:i/>
                <w:iCs/>
                <w:color w:val="000000"/>
                <w:u w:val="single"/>
              </w:rPr>
              <w:t>el acto reúna con los requisitos elementales</w:t>
            </w:r>
            <w:r w:rsidRPr="009561FF">
              <w:rPr>
                <w:rFonts w:ascii="Palatino Linotype" w:eastAsia="Palatino Linotype" w:hAnsi="Palatino Linotype" w:cs="Palatino Linotype"/>
                <w:i/>
                <w:iCs/>
                <w:color w:val="000000"/>
              </w:rPr>
              <w:t>, entre ellos, que la autoridad que va a emitir el acto de autoridad sea la legalmente facultada para ello.</w:t>
            </w:r>
          </w:p>
          <w:p w:rsidR="00BF18FE" w:rsidRPr="009561FF" w:rsidRDefault="004F3044">
            <w:pPr>
              <w:tabs>
                <w:tab w:val="left" w:pos="284"/>
              </w:tabs>
              <w:spacing w:line="276" w:lineRule="auto"/>
              <w:jc w:val="both"/>
              <w:rPr>
                <w:rFonts w:ascii="Palatino Linotype" w:eastAsia="Palatino Linotype" w:hAnsi="Palatino Linotype" w:cs="Palatino Linotype"/>
                <w:i/>
                <w:iCs/>
              </w:rPr>
            </w:pPr>
            <w:r w:rsidRPr="009561FF">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9561FF">
              <w:rPr>
                <w:rFonts w:ascii="Palatino Linotype" w:eastAsia="Palatino Linotype" w:hAnsi="Palatino Linotype" w:cs="Palatino Linotype"/>
                <w:i/>
                <w:iCs/>
              </w:rPr>
              <w:t>El área</w:t>
            </w:r>
            <w:r w:rsidRPr="009561FF">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BF18FE" w:rsidRPr="009561FF" w:rsidTr="009561FF">
        <w:tc>
          <w:tcPr>
            <w:tcW w:w="2972" w:type="dxa"/>
            <w:shd w:val="clear" w:color="auto" w:fill="D9D9D9"/>
          </w:tcPr>
          <w:p w:rsidR="00BF18FE" w:rsidRPr="009561FF" w:rsidRDefault="00BF18FE">
            <w:pPr>
              <w:tabs>
                <w:tab w:val="left" w:pos="284"/>
              </w:tabs>
              <w:spacing w:line="360" w:lineRule="auto"/>
              <w:rPr>
                <w:rFonts w:ascii="Palatino Linotype" w:eastAsia="Palatino Linotype" w:hAnsi="Palatino Linotype" w:cs="Palatino Linotype"/>
                <w:b/>
                <w:bCs/>
              </w:rPr>
            </w:pPr>
          </w:p>
          <w:p w:rsidR="00BF18FE" w:rsidRPr="009561FF" w:rsidRDefault="004F3044">
            <w:pPr>
              <w:tabs>
                <w:tab w:val="left" w:pos="284"/>
              </w:tabs>
              <w:spacing w:line="360" w:lineRule="auto"/>
              <w:jc w:val="both"/>
              <w:rPr>
                <w:rFonts w:ascii="Palatino Linotype" w:eastAsia="Palatino Linotype" w:hAnsi="Palatino Linotype" w:cs="Palatino Linotype"/>
                <w:b/>
                <w:bCs/>
              </w:rPr>
            </w:pPr>
            <w:r w:rsidRPr="009561FF">
              <w:rPr>
                <w:rFonts w:ascii="Palatino Linotype" w:eastAsia="Palatino Linotype" w:hAnsi="Palatino Linotype" w:cs="Palatino Linotype"/>
                <w:b/>
                <w:bCs/>
                <w:color w:val="000000"/>
              </w:rPr>
              <w:t xml:space="preserve">d) Requisitos de fondo del acuerdo de clasificación. </w:t>
            </w:r>
          </w:p>
        </w:tc>
        <w:tc>
          <w:tcPr>
            <w:tcW w:w="6810" w:type="dxa"/>
            <w:shd w:val="clear" w:color="auto" w:fill="D9D9D9"/>
          </w:tcPr>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561FF">
              <w:rPr>
                <w:rFonts w:ascii="Palatino Linotype" w:eastAsia="Palatino Linotype" w:hAnsi="Palatino Linotype" w:cs="Palatino Linotype"/>
                <w:b/>
                <w:bCs/>
                <w:i/>
                <w:iCs/>
                <w:color w:val="000000"/>
              </w:rPr>
              <w:t>Sujetos Obligados</w:t>
            </w:r>
            <w:r w:rsidRPr="009561FF">
              <w:rPr>
                <w:rFonts w:ascii="Palatino Linotype" w:eastAsia="Palatino Linotype" w:hAnsi="Palatino Linotype" w:cs="Palatino Linotype"/>
                <w:i/>
                <w:iCs/>
                <w:color w:val="000000"/>
              </w:rPr>
              <w:t xml:space="preserve">, por lo que deberán fundar y motivar debidamente la clasificación. </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lastRenderedPageBreak/>
              <w:t xml:space="preserve">De lo anterior, se desprende que para una correcta </w:t>
            </w:r>
            <w:r w:rsidRPr="009561FF">
              <w:rPr>
                <w:rFonts w:ascii="Palatino Linotype" w:eastAsia="Palatino Linotype" w:hAnsi="Palatino Linotype" w:cs="Palatino Linotype"/>
                <w:b/>
                <w:bCs/>
                <w:i/>
                <w:iCs/>
                <w:color w:val="000000"/>
              </w:rPr>
              <w:t>clasificación total o parcial</w:t>
            </w:r>
            <w:r w:rsidRPr="009561FF">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Ahora bien, </w:t>
            </w:r>
            <w:r w:rsidRPr="009561FF">
              <w:rPr>
                <w:rFonts w:ascii="Palatino Linotype" w:eastAsia="Palatino Linotype" w:hAnsi="Palatino Linotype" w:cs="Palatino Linotype"/>
                <w:b/>
                <w:bCs/>
                <w:i/>
                <w:iCs/>
                <w:color w:val="000000"/>
                <w:u w:val="single"/>
              </w:rPr>
              <w:t>para cada caso además de fundar y motivar</w:t>
            </w:r>
            <w:r w:rsidRPr="009561FF">
              <w:rPr>
                <w:rFonts w:ascii="Palatino Linotype" w:eastAsia="Palatino Linotype" w:hAnsi="Palatino Linotype" w:cs="Palatino Linotype"/>
                <w:i/>
                <w:iCs/>
                <w:color w:val="000000"/>
              </w:rPr>
              <w:t xml:space="preserve">, se debe identificar con claridad </w:t>
            </w:r>
            <w:r w:rsidRPr="009561FF">
              <w:rPr>
                <w:rFonts w:ascii="Palatino Linotype" w:eastAsia="Palatino Linotype" w:hAnsi="Palatino Linotype" w:cs="Palatino Linotype"/>
                <w:i/>
                <w:iCs/>
              </w:rPr>
              <w:t>qué</w:t>
            </w:r>
            <w:r w:rsidRPr="009561FF">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BF18FE" w:rsidRPr="009561FF" w:rsidTr="009561FF">
        <w:tc>
          <w:tcPr>
            <w:tcW w:w="2972" w:type="dxa"/>
          </w:tcPr>
          <w:p w:rsidR="00BF18FE" w:rsidRPr="009561FF" w:rsidRDefault="004F3044">
            <w:pPr>
              <w:tabs>
                <w:tab w:val="left" w:pos="284"/>
              </w:tabs>
              <w:spacing w:line="360" w:lineRule="auto"/>
              <w:jc w:val="both"/>
              <w:rPr>
                <w:rFonts w:ascii="Palatino Linotype" w:eastAsia="Palatino Linotype" w:hAnsi="Palatino Linotype" w:cs="Palatino Linotype"/>
                <w:b/>
                <w:bCs/>
              </w:rPr>
            </w:pPr>
            <w:r w:rsidRPr="009561FF">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10" w:type="dxa"/>
          </w:tcPr>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BF18FE" w:rsidRPr="009561FF" w:rsidRDefault="004F3044">
            <w:pPr>
              <w:tabs>
                <w:tab w:val="left" w:pos="284"/>
              </w:tabs>
              <w:spacing w:line="276" w:lineRule="auto"/>
              <w:jc w:val="both"/>
              <w:rPr>
                <w:rFonts w:ascii="Palatino Linotype" w:eastAsia="Palatino Linotype" w:hAnsi="Palatino Linotype" w:cs="Palatino Linotype"/>
                <w:i/>
                <w:iCs/>
                <w:color w:val="000000"/>
              </w:rPr>
            </w:pPr>
            <w:r w:rsidRPr="009561FF">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w:t>
            </w:r>
            <w:r w:rsidRPr="009561FF">
              <w:rPr>
                <w:rFonts w:ascii="Palatino Linotype" w:eastAsia="Palatino Linotype" w:hAnsi="Palatino Linotype" w:cs="Palatino Linotype"/>
                <w:i/>
                <w:iCs/>
                <w:color w:val="000000"/>
              </w:rPr>
              <w:lastRenderedPageBreak/>
              <w:t xml:space="preserve">los servidores públicos nos encontramos sujetos a un régimen menor de protección. </w:t>
            </w:r>
          </w:p>
          <w:p w:rsidR="00BF18FE" w:rsidRPr="009561FF" w:rsidRDefault="004F3044">
            <w:pPr>
              <w:tabs>
                <w:tab w:val="left" w:pos="284"/>
              </w:tabs>
              <w:spacing w:line="276" w:lineRule="auto"/>
              <w:rPr>
                <w:rFonts w:ascii="Palatino Linotype" w:eastAsia="Palatino Linotype" w:hAnsi="Palatino Linotype" w:cs="Palatino Linotype"/>
                <w:i/>
                <w:iCs/>
              </w:rPr>
            </w:pPr>
            <w:r w:rsidRPr="009561FF">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F18FE" w:rsidRDefault="00BF18FE">
      <w:pPr>
        <w:spacing w:line="360" w:lineRule="auto"/>
        <w:jc w:val="both"/>
        <w:rPr>
          <w:rFonts w:ascii="Palatino Linotype" w:eastAsia="Palatino Linotype" w:hAnsi="Palatino Linotype" w:cs="Palatino Linotype"/>
        </w:rPr>
      </w:pPr>
    </w:p>
    <w:p w:rsidR="009561FF" w:rsidRPr="009561FF" w:rsidRDefault="009561FF">
      <w:pPr>
        <w:spacing w:line="360" w:lineRule="auto"/>
        <w:jc w:val="both"/>
        <w:rPr>
          <w:rFonts w:ascii="Palatino Linotype" w:eastAsia="Palatino Linotype" w:hAnsi="Palatino Linotype" w:cs="Palatino Linotype"/>
        </w:rPr>
      </w:pPr>
    </w:p>
    <w:p w:rsidR="00BF18FE" w:rsidRPr="009561FF" w:rsidRDefault="004F3044">
      <w:pPr>
        <w:numPr>
          <w:ilvl w:val="0"/>
          <w:numId w:val="5"/>
        </w:numPr>
        <w:spacing w:line="360" w:lineRule="auto"/>
        <w:ind w:left="0" w:firstLine="0"/>
        <w:jc w:val="both"/>
        <w:rPr>
          <w:rFonts w:ascii="Palatino Linotype" w:eastAsia="Palatino Linotype" w:hAnsi="Palatino Linotype" w:cs="Palatino Linotype"/>
        </w:rPr>
      </w:pPr>
      <w:r w:rsidRPr="009561FF">
        <w:rPr>
          <w:rFonts w:ascii="Palatino Linotype" w:eastAsia="Palatino Linotype" w:hAnsi="Palatino Linotype" w:cs="Palatino Linotype"/>
        </w:rPr>
        <w:t xml:space="preserve">Por lo anteriormente expuesto y fundado, este </w:t>
      </w:r>
      <w:r w:rsidRPr="009561FF">
        <w:rPr>
          <w:rFonts w:ascii="Palatino Linotype" w:eastAsia="Palatino Linotype" w:hAnsi="Palatino Linotype" w:cs="Palatino Linotype"/>
          <w:b/>
          <w:bCs/>
        </w:rPr>
        <w:t>ÓRGANO GARANTE</w:t>
      </w:r>
      <w:r w:rsidRPr="009561FF">
        <w:rPr>
          <w:rFonts w:ascii="Palatino Linotype" w:eastAsia="Palatino Linotype" w:hAnsi="Palatino Linotype" w:cs="Palatino Linotype"/>
        </w:rPr>
        <w:t xml:space="preserve"> emite los siguientes:</w:t>
      </w:r>
    </w:p>
    <w:p w:rsidR="00BF18FE" w:rsidRPr="009561FF" w:rsidRDefault="004F3044">
      <w:pPr>
        <w:keepNext/>
        <w:keepLines/>
        <w:spacing w:before="240" w:line="360" w:lineRule="auto"/>
        <w:jc w:val="center"/>
        <w:rPr>
          <w:rFonts w:ascii="Palatino Linotype" w:eastAsia="Palatino Linotype" w:hAnsi="Palatino Linotype" w:cs="Palatino Linotype"/>
          <w:b/>
          <w:bCs/>
        </w:rPr>
      </w:pPr>
      <w:r w:rsidRPr="009561FF">
        <w:rPr>
          <w:rFonts w:ascii="Palatino Linotype" w:eastAsia="Palatino Linotype" w:hAnsi="Palatino Linotype" w:cs="Palatino Linotype"/>
          <w:b/>
          <w:bCs/>
        </w:rPr>
        <w:t>R E S O L U T I V O S</w:t>
      </w:r>
    </w:p>
    <w:p w:rsidR="00BF18FE" w:rsidRPr="009561FF" w:rsidRDefault="00BF18FE">
      <w:pPr>
        <w:keepNext/>
        <w:keepLines/>
        <w:spacing w:before="240" w:line="360" w:lineRule="auto"/>
        <w:jc w:val="center"/>
        <w:rPr>
          <w:rFonts w:ascii="Palatino Linotype" w:eastAsia="Palatino Linotype" w:hAnsi="Palatino Linotype" w:cs="Palatino Linotype"/>
          <w:b/>
          <w:bCs/>
        </w:rPr>
      </w:pPr>
    </w:p>
    <w:p w:rsidR="00BF18FE" w:rsidRPr="009561FF" w:rsidRDefault="004F3044">
      <w:pPr>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t xml:space="preserve">PRIMERO. </w:t>
      </w:r>
      <w:r w:rsidRPr="009561FF">
        <w:rPr>
          <w:rFonts w:ascii="Palatino Linotype" w:eastAsia="Palatino Linotype" w:hAnsi="Palatino Linotype" w:cs="Palatino Linotype"/>
        </w:rPr>
        <w:t>Resultan fundadas las</w:t>
      </w:r>
      <w:r w:rsidRPr="009561FF">
        <w:rPr>
          <w:rFonts w:ascii="Palatino Linotype" w:eastAsia="Palatino Linotype" w:hAnsi="Palatino Linotype" w:cs="Palatino Linotype"/>
          <w:b/>
          <w:bCs/>
        </w:rPr>
        <w:t xml:space="preserve"> </w:t>
      </w:r>
      <w:r w:rsidRPr="009561FF">
        <w:rPr>
          <w:rFonts w:ascii="Palatino Linotype" w:eastAsia="Palatino Linotype" w:hAnsi="Palatino Linotype" w:cs="Palatino Linotype"/>
        </w:rPr>
        <w:t xml:space="preserve">razones o motivos de inconformidad hechos valer en el recurso de revisión </w:t>
      </w:r>
      <w:r w:rsidRPr="009561FF">
        <w:rPr>
          <w:rFonts w:ascii="Palatino Linotype" w:eastAsia="Palatino Linotype" w:hAnsi="Palatino Linotype" w:cs="Palatino Linotype"/>
          <w:b/>
          <w:bCs/>
        </w:rPr>
        <w:t xml:space="preserve">08508/INFOEM/IP/RR/2025 </w:t>
      </w:r>
      <w:r w:rsidRPr="009561FF">
        <w:rPr>
          <w:rFonts w:ascii="Palatino Linotype" w:eastAsia="Palatino Linotype" w:hAnsi="Palatino Linotype" w:cs="Palatino Linotype"/>
        </w:rPr>
        <w:t xml:space="preserve">en términos del </w:t>
      </w:r>
      <w:r w:rsidRPr="009561FF">
        <w:rPr>
          <w:rFonts w:ascii="Palatino Linotype" w:eastAsia="Palatino Linotype" w:hAnsi="Palatino Linotype" w:cs="Palatino Linotype"/>
          <w:b/>
          <w:bCs/>
        </w:rPr>
        <w:t>Considerando</w:t>
      </w:r>
      <w:r w:rsidRPr="009561FF">
        <w:rPr>
          <w:rFonts w:ascii="Palatino Linotype" w:eastAsia="Palatino Linotype" w:hAnsi="Palatino Linotype" w:cs="Palatino Linotype"/>
        </w:rPr>
        <w:t xml:space="preserve"> </w:t>
      </w:r>
      <w:r w:rsidRPr="009561FF">
        <w:rPr>
          <w:rFonts w:ascii="Palatino Linotype" w:eastAsia="Palatino Linotype" w:hAnsi="Palatino Linotype" w:cs="Palatino Linotype"/>
          <w:b/>
          <w:bCs/>
        </w:rPr>
        <w:t xml:space="preserve">CUARTO </w:t>
      </w:r>
      <w:r w:rsidRPr="009561FF">
        <w:rPr>
          <w:rFonts w:ascii="Palatino Linotype" w:eastAsia="Palatino Linotype" w:hAnsi="Palatino Linotype" w:cs="Palatino Linotype"/>
        </w:rPr>
        <w:t>de la presente resolución.</w:t>
      </w:r>
    </w:p>
    <w:p w:rsidR="00BF18FE" w:rsidRPr="009561FF" w:rsidRDefault="00BF18FE">
      <w:pPr>
        <w:spacing w:line="360" w:lineRule="auto"/>
        <w:jc w:val="both"/>
        <w:rPr>
          <w:rFonts w:ascii="Palatino Linotype" w:eastAsia="Palatino Linotype" w:hAnsi="Palatino Linotype" w:cs="Palatino Linotype"/>
        </w:rPr>
      </w:pPr>
    </w:p>
    <w:p w:rsidR="00BF18FE" w:rsidRPr="009561FF" w:rsidRDefault="004F3044">
      <w:pPr>
        <w:spacing w:line="360" w:lineRule="auto"/>
        <w:jc w:val="both"/>
        <w:rPr>
          <w:rFonts w:ascii="Palatino Linotype" w:eastAsia="Palatino Linotype" w:hAnsi="Palatino Linotype" w:cs="Palatino Linotype"/>
        </w:rPr>
      </w:pPr>
      <w:bookmarkStart w:id="12" w:name="_heading=h.26in1rg" w:colFirst="0" w:colLast="0"/>
      <w:bookmarkEnd w:id="12"/>
      <w:r w:rsidRPr="009561FF">
        <w:rPr>
          <w:rFonts w:ascii="Palatino Linotype" w:eastAsia="Palatino Linotype" w:hAnsi="Palatino Linotype" w:cs="Palatino Linotype"/>
          <w:b/>
          <w:bCs/>
        </w:rPr>
        <w:t>SEGUNDO.</w:t>
      </w:r>
      <w:r w:rsidRPr="009561FF">
        <w:rPr>
          <w:rFonts w:ascii="Palatino Linotype" w:eastAsia="Palatino Linotype" w:hAnsi="Palatino Linotype" w:cs="Palatino Linotype"/>
        </w:rPr>
        <w:t xml:space="preserve"> Se</w:t>
      </w:r>
      <w:r w:rsidRPr="009561FF">
        <w:rPr>
          <w:rFonts w:ascii="Palatino Linotype" w:eastAsia="Palatino Linotype" w:hAnsi="Palatino Linotype" w:cs="Palatino Linotype"/>
          <w:b/>
          <w:bCs/>
        </w:rPr>
        <w:t xml:space="preserve"> MODIFICA </w:t>
      </w:r>
      <w:r w:rsidRPr="009561FF">
        <w:rPr>
          <w:rFonts w:ascii="Palatino Linotype" w:eastAsia="Palatino Linotype" w:hAnsi="Palatino Linotype" w:cs="Palatino Linotype"/>
        </w:rPr>
        <w:t xml:space="preserve">la respuesta emitida por el </w:t>
      </w:r>
      <w:r w:rsidRPr="009561FF">
        <w:rPr>
          <w:rFonts w:ascii="Palatino Linotype" w:eastAsia="Palatino Linotype" w:hAnsi="Palatino Linotype" w:cs="Palatino Linotype"/>
          <w:b/>
          <w:bCs/>
        </w:rPr>
        <w:t xml:space="preserve">Ayuntamiento de Zinacantepec </w:t>
      </w:r>
      <w:r w:rsidRPr="009561FF">
        <w:rPr>
          <w:rFonts w:ascii="Palatino Linotype" w:eastAsia="Palatino Linotype" w:hAnsi="Palatino Linotype" w:cs="Palatino Linotype"/>
        </w:rPr>
        <w:t xml:space="preserve">a la solicitud </w:t>
      </w:r>
      <w:r w:rsidRPr="009561FF">
        <w:rPr>
          <w:rFonts w:ascii="Palatino Linotype" w:eastAsia="Palatino Linotype" w:hAnsi="Palatino Linotype" w:cs="Palatino Linotype"/>
          <w:b/>
          <w:bCs/>
        </w:rPr>
        <w:t>00461/ZINACANT/IP/2025,</w:t>
      </w:r>
      <w:r w:rsidRPr="009561FF">
        <w:rPr>
          <w:rFonts w:ascii="Palatino Linotype" w:eastAsia="Palatino Linotype" w:hAnsi="Palatino Linotype" w:cs="Palatino Linotype"/>
        </w:rPr>
        <w:t xml:space="preserve"> y se </w:t>
      </w:r>
      <w:r w:rsidRPr="009561FF">
        <w:rPr>
          <w:rFonts w:ascii="Palatino Linotype" w:eastAsia="Palatino Linotype" w:hAnsi="Palatino Linotype" w:cs="Palatino Linotype"/>
          <w:b/>
          <w:bCs/>
        </w:rPr>
        <w:t>ORDENA</w:t>
      </w:r>
      <w:r w:rsidRPr="009561FF">
        <w:rPr>
          <w:rFonts w:ascii="Palatino Linotype" w:eastAsia="Palatino Linotype" w:hAnsi="Palatino Linotype" w:cs="Palatino Linotype"/>
        </w:rPr>
        <w:t xml:space="preserve"> la entrega, a través del Sistema de Acceso a la Información Mexiquense, de ser procedente en versión pública, el soporte documental donde conste la siguiente información vigentes al trece de julio de dos mil veinticinco:</w:t>
      </w:r>
    </w:p>
    <w:p w:rsidR="00BF18FE" w:rsidRPr="009561FF" w:rsidRDefault="00BF18FE">
      <w:pPr>
        <w:pBdr>
          <w:top w:val="nil"/>
          <w:left w:val="nil"/>
          <w:bottom w:val="nil"/>
          <w:right w:val="nil"/>
          <w:between w:val="nil"/>
        </w:pBdr>
        <w:spacing w:line="360" w:lineRule="auto"/>
        <w:ind w:right="850"/>
        <w:jc w:val="both"/>
        <w:rPr>
          <w:rFonts w:ascii="Palatino Linotype" w:eastAsia="Palatino Linotype" w:hAnsi="Palatino Linotype" w:cs="Palatino Linotype"/>
          <w:b/>
          <w:bCs/>
          <w:i/>
          <w:iCs/>
        </w:rPr>
      </w:pPr>
    </w:p>
    <w:p w:rsidR="00BF18FE" w:rsidRPr="009561FF" w:rsidRDefault="004F3044">
      <w:pPr>
        <w:numPr>
          <w:ilvl w:val="0"/>
          <w:numId w:val="6"/>
        </w:numPr>
        <w:pBdr>
          <w:top w:val="nil"/>
          <w:left w:val="nil"/>
          <w:bottom w:val="nil"/>
          <w:right w:val="nil"/>
          <w:between w:val="nil"/>
        </w:pBdr>
        <w:spacing w:line="360" w:lineRule="auto"/>
        <w:ind w:right="1134"/>
        <w:jc w:val="both"/>
        <w:rPr>
          <w:rFonts w:ascii="Palatino Linotype" w:eastAsia="Palatino Linotype" w:hAnsi="Palatino Linotype" w:cs="Palatino Linotype"/>
          <w:b/>
          <w:bCs/>
          <w:color w:val="000000"/>
        </w:rPr>
      </w:pPr>
      <w:r w:rsidRPr="009561FF">
        <w:rPr>
          <w:rFonts w:ascii="Palatino Linotype" w:eastAsia="Palatino Linotype" w:hAnsi="Palatino Linotype" w:cs="Palatino Linotype"/>
          <w:b/>
          <w:bCs/>
          <w:i/>
          <w:iCs/>
          <w:color w:val="000000"/>
        </w:rPr>
        <w:t>Documentos donde consten las funciones específicas para los distintos tipos de Archivo (Trámite, Concentración e Histórico);</w:t>
      </w:r>
    </w:p>
    <w:p w:rsidR="00BF18FE" w:rsidRPr="009561FF" w:rsidRDefault="004F3044">
      <w:pPr>
        <w:numPr>
          <w:ilvl w:val="0"/>
          <w:numId w:val="6"/>
        </w:numPr>
        <w:pBdr>
          <w:top w:val="nil"/>
          <w:left w:val="nil"/>
          <w:bottom w:val="nil"/>
          <w:right w:val="nil"/>
          <w:between w:val="nil"/>
        </w:pBdr>
        <w:spacing w:line="360" w:lineRule="auto"/>
        <w:ind w:right="850"/>
        <w:jc w:val="both"/>
        <w:rPr>
          <w:rFonts w:ascii="Palatino Linotype" w:eastAsia="Palatino Linotype" w:hAnsi="Palatino Linotype" w:cs="Palatino Linotype"/>
          <w:b/>
          <w:bCs/>
          <w:color w:val="000000"/>
        </w:rPr>
      </w:pPr>
      <w:r w:rsidRPr="009561FF">
        <w:rPr>
          <w:rFonts w:ascii="Palatino Linotype" w:eastAsia="Palatino Linotype" w:hAnsi="Palatino Linotype" w:cs="Palatino Linotype"/>
          <w:b/>
          <w:bCs/>
          <w:i/>
          <w:iCs/>
          <w:color w:val="000000"/>
        </w:rPr>
        <w:lastRenderedPageBreak/>
        <w:t>Cuadro general de Clasificación Archivística;</w:t>
      </w:r>
    </w:p>
    <w:p w:rsidR="00BF18FE" w:rsidRPr="009561FF" w:rsidRDefault="004F3044">
      <w:pPr>
        <w:numPr>
          <w:ilvl w:val="0"/>
          <w:numId w:val="6"/>
        </w:numPr>
        <w:pBdr>
          <w:top w:val="nil"/>
          <w:left w:val="nil"/>
          <w:bottom w:val="nil"/>
          <w:right w:val="nil"/>
          <w:between w:val="nil"/>
        </w:pBdr>
        <w:spacing w:line="360" w:lineRule="auto"/>
        <w:ind w:right="850"/>
        <w:jc w:val="both"/>
        <w:rPr>
          <w:rFonts w:ascii="Palatino Linotype" w:eastAsia="Palatino Linotype" w:hAnsi="Palatino Linotype" w:cs="Palatino Linotype"/>
          <w:b/>
          <w:bCs/>
          <w:color w:val="000000"/>
        </w:rPr>
      </w:pPr>
      <w:r w:rsidRPr="009561FF">
        <w:rPr>
          <w:rFonts w:ascii="Palatino Linotype" w:eastAsia="Palatino Linotype" w:hAnsi="Palatino Linotype" w:cs="Palatino Linotype"/>
          <w:b/>
          <w:bCs/>
          <w:i/>
          <w:iCs/>
          <w:color w:val="000000"/>
        </w:rPr>
        <w:t>Catálogo de Disposición Documental;</w:t>
      </w:r>
    </w:p>
    <w:p w:rsidR="00BF18FE" w:rsidRPr="009561FF" w:rsidRDefault="004F3044">
      <w:pPr>
        <w:numPr>
          <w:ilvl w:val="0"/>
          <w:numId w:val="6"/>
        </w:numPr>
        <w:pBdr>
          <w:top w:val="nil"/>
          <w:left w:val="nil"/>
          <w:bottom w:val="nil"/>
          <w:right w:val="nil"/>
          <w:between w:val="nil"/>
        </w:pBdr>
        <w:spacing w:line="360" w:lineRule="auto"/>
        <w:ind w:right="850"/>
        <w:jc w:val="both"/>
        <w:rPr>
          <w:rFonts w:ascii="Palatino Linotype" w:eastAsia="Palatino Linotype" w:hAnsi="Palatino Linotype" w:cs="Palatino Linotype"/>
          <w:b/>
          <w:bCs/>
          <w:i/>
          <w:iCs/>
          <w:color w:val="000000"/>
        </w:rPr>
      </w:pPr>
      <w:r w:rsidRPr="009561FF">
        <w:rPr>
          <w:rFonts w:ascii="Palatino Linotype" w:eastAsia="Palatino Linotype" w:hAnsi="Palatino Linotype" w:cs="Palatino Linotype"/>
          <w:b/>
          <w:bCs/>
          <w:i/>
          <w:iCs/>
          <w:color w:val="000000"/>
        </w:rPr>
        <w:t>Inventarios Documentales.</w:t>
      </w:r>
    </w:p>
    <w:p w:rsidR="00BF18FE" w:rsidRPr="009561FF" w:rsidRDefault="00BF18FE">
      <w:pPr>
        <w:tabs>
          <w:tab w:val="left" w:pos="993"/>
        </w:tabs>
        <w:spacing w:line="360" w:lineRule="auto"/>
        <w:jc w:val="both"/>
        <w:rPr>
          <w:rFonts w:ascii="Palatino Linotype" w:eastAsia="Palatino Linotype" w:hAnsi="Palatino Linotype" w:cs="Palatino Linotype"/>
          <w:b/>
          <w:bCs/>
        </w:rPr>
      </w:pPr>
    </w:p>
    <w:p w:rsidR="00BF18FE" w:rsidRPr="009561FF" w:rsidRDefault="004F3044">
      <w:pPr>
        <w:spacing w:after="160" w:line="276" w:lineRule="auto"/>
        <w:ind w:left="851"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BF18FE" w:rsidRPr="009561FF" w:rsidRDefault="004F3044">
      <w:pPr>
        <w:tabs>
          <w:tab w:val="left" w:pos="7938"/>
        </w:tabs>
        <w:spacing w:line="276" w:lineRule="auto"/>
        <w:ind w:left="851" w:right="1134"/>
        <w:jc w:val="both"/>
        <w:rPr>
          <w:rFonts w:ascii="Palatino Linotype" w:eastAsia="Palatino Linotype" w:hAnsi="Palatino Linotype" w:cs="Palatino Linotype"/>
          <w:i/>
          <w:iCs/>
        </w:rPr>
      </w:pPr>
      <w:r w:rsidRPr="009561FF">
        <w:rPr>
          <w:rFonts w:ascii="Palatino Linotype" w:eastAsia="Palatino Linotype" w:hAnsi="Palatino Linotype" w:cs="Palatino Linotype"/>
          <w:i/>
          <w:iCs/>
        </w:rPr>
        <w:t>Respecto del punto 2,3 y 4; para el caso de no contar con la información, resulta procedente la entrega del acuerdo de inexistencia, en términos del artículo 19 párrafo tercero, 169 y 170 de la Ley de Transparencia y Acceso a la Información Pública del Estado de México y Municipios.</w:t>
      </w:r>
    </w:p>
    <w:p w:rsidR="00BF18FE" w:rsidRPr="009561FF" w:rsidRDefault="00BF18FE">
      <w:pPr>
        <w:tabs>
          <w:tab w:val="left" w:pos="7938"/>
        </w:tabs>
        <w:spacing w:line="276" w:lineRule="auto"/>
        <w:ind w:left="1134" w:right="1134"/>
        <w:jc w:val="both"/>
        <w:rPr>
          <w:rFonts w:ascii="Palatino Linotype" w:eastAsia="Palatino Linotype" w:hAnsi="Palatino Linotype" w:cs="Palatino Linotype"/>
          <w:i/>
          <w:iCs/>
        </w:rPr>
      </w:pPr>
    </w:p>
    <w:p w:rsidR="00BF18FE" w:rsidRPr="009561FF" w:rsidRDefault="004F3044">
      <w:pPr>
        <w:shd w:val="clear" w:color="auto" w:fill="FFFFFF"/>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t xml:space="preserve">TERCERO. </w:t>
      </w:r>
      <w:r w:rsidRPr="009561FF">
        <w:rPr>
          <w:rFonts w:ascii="Palatino Linotype" w:eastAsia="Palatino Linotype" w:hAnsi="Palatino Linotype" w:cs="Palatino Linotype"/>
        </w:rPr>
        <w:t xml:space="preserve">Notifíquese vía SAIMEX la presente resolución al Titular de la Unidad de Transparencia del Sujeto Obligado, para que conforme al artículo 186 último párrafo, 189 segundo párrafo y 194 de la Ley de Transparencia y Acceso a la Información Pública del Estado de México y Municipios </w:t>
      </w:r>
      <w:r w:rsidRPr="009561FF">
        <w:rPr>
          <w:rFonts w:ascii="Palatino Linotype" w:eastAsia="Palatino Linotype" w:hAnsi="Palatino Linotype" w:cs="Palatino Linotype"/>
          <w:b/>
          <w:bCs/>
        </w:rPr>
        <w:t>dé cumplimiento a lo ordenado dentro del plazo de diez días hábiles,</w:t>
      </w:r>
      <w:r w:rsidRPr="009561FF">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BF18FE" w:rsidRPr="009561FF" w:rsidRDefault="00BF18FE">
      <w:pPr>
        <w:shd w:val="clear" w:color="auto" w:fill="FFFFFF"/>
        <w:spacing w:line="360" w:lineRule="auto"/>
        <w:jc w:val="both"/>
        <w:rPr>
          <w:rFonts w:ascii="Palatino Linotype" w:eastAsia="Palatino Linotype" w:hAnsi="Palatino Linotype" w:cs="Palatino Linotype"/>
          <w:b/>
          <w:bCs/>
        </w:rPr>
      </w:pPr>
    </w:p>
    <w:p w:rsidR="00BF18FE" w:rsidRPr="009561FF" w:rsidRDefault="004F3044">
      <w:pPr>
        <w:shd w:val="clear" w:color="auto" w:fill="FFFFFF"/>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lastRenderedPageBreak/>
        <w:t>CUARTO.</w:t>
      </w:r>
      <w:r w:rsidRPr="009561FF">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9561FF">
        <w:rPr>
          <w:rFonts w:ascii="Palatino Linotype" w:eastAsia="Palatino Linotype" w:hAnsi="Palatino Linotype" w:cs="Palatino Linotype"/>
          <w:b/>
          <w:bCs/>
        </w:rPr>
        <w:t>SUJETO OBLIGADO</w:t>
      </w:r>
      <w:r w:rsidRPr="009561FF">
        <w:rPr>
          <w:rFonts w:ascii="Palatino Linotype" w:eastAsia="Palatino Linotype" w:hAnsi="Palatino Linotype" w:cs="Palatino Linotype"/>
        </w:rPr>
        <w:t xml:space="preserve"> podrá, de manera fundada y motivada, solicitar una ampliación de plazo para el cumplimiento de la presente resolución.</w:t>
      </w:r>
    </w:p>
    <w:p w:rsidR="00BF18FE" w:rsidRPr="009561FF" w:rsidRDefault="00BF18FE">
      <w:pPr>
        <w:spacing w:line="360" w:lineRule="auto"/>
        <w:rPr>
          <w:rFonts w:ascii="Palatino Linotype" w:eastAsia="Palatino Linotype" w:hAnsi="Palatino Linotype" w:cs="Palatino Linotype"/>
        </w:rPr>
      </w:pPr>
    </w:p>
    <w:p w:rsidR="00BF18FE" w:rsidRPr="009561FF" w:rsidRDefault="004F3044">
      <w:pPr>
        <w:shd w:val="clear" w:color="auto" w:fill="FFFFFF"/>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t xml:space="preserve">QUINTO. Notifíquese </w:t>
      </w:r>
      <w:r w:rsidRPr="009561FF">
        <w:rPr>
          <w:rFonts w:ascii="Palatino Linotype" w:eastAsia="Palatino Linotype" w:hAnsi="Palatino Linotype" w:cs="Palatino Linotype"/>
        </w:rPr>
        <w:t xml:space="preserve">al </w:t>
      </w:r>
      <w:r w:rsidRPr="009561FF">
        <w:rPr>
          <w:rFonts w:ascii="Palatino Linotype" w:eastAsia="Palatino Linotype" w:hAnsi="Palatino Linotype" w:cs="Palatino Linotype"/>
          <w:b/>
          <w:bCs/>
        </w:rPr>
        <w:t>RECURRENTE</w:t>
      </w:r>
      <w:r w:rsidRPr="009561FF">
        <w:rPr>
          <w:rFonts w:ascii="Palatino Linotype" w:eastAsia="Palatino Linotype" w:hAnsi="Palatino Linotype" w:cs="Palatino Linotype"/>
        </w:rPr>
        <w:t xml:space="preserve"> la presente resolución vía Sistema de Acceso a la Información Mexiquense (SAIMEX).</w:t>
      </w:r>
    </w:p>
    <w:p w:rsidR="00BF18FE" w:rsidRPr="009561FF" w:rsidRDefault="00BF18FE">
      <w:pPr>
        <w:shd w:val="clear" w:color="auto" w:fill="FFFFFF"/>
        <w:spacing w:line="360" w:lineRule="auto"/>
        <w:jc w:val="both"/>
        <w:rPr>
          <w:rFonts w:ascii="Palatino Linotype" w:eastAsia="Palatino Linotype" w:hAnsi="Palatino Linotype" w:cs="Palatino Linotype"/>
        </w:rPr>
      </w:pPr>
    </w:p>
    <w:p w:rsidR="00BF18FE" w:rsidRPr="009561FF" w:rsidRDefault="004F3044">
      <w:pPr>
        <w:spacing w:line="360" w:lineRule="auto"/>
        <w:jc w:val="both"/>
        <w:rPr>
          <w:rFonts w:ascii="Palatino Linotype" w:eastAsia="Palatino Linotype" w:hAnsi="Palatino Linotype" w:cs="Palatino Linotype"/>
        </w:rPr>
      </w:pPr>
      <w:r w:rsidRPr="009561FF">
        <w:rPr>
          <w:rFonts w:ascii="Palatino Linotype" w:eastAsia="Palatino Linotype" w:hAnsi="Palatino Linotype" w:cs="Palatino Linotype"/>
          <w:b/>
          <w:bCs/>
        </w:rPr>
        <w:t>SEXTO.</w:t>
      </w:r>
      <w:r w:rsidRPr="009561FF">
        <w:rPr>
          <w:rFonts w:ascii="Palatino Linotype" w:eastAsia="Palatino Linotype" w:hAnsi="Palatino Linotype" w:cs="Palatino Linotype"/>
        </w:rPr>
        <w:t xml:space="preserve"> Se hace del conocimiento del </w:t>
      </w:r>
      <w:r w:rsidRPr="009561FF">
        <w:rPr>
          <w:rFonts w:ascii="Palatino Linotype" w:eastAsia="Palatino Linotype" w:hAnsi="Palatino Linotype" w:cs="Palatino Linotype"/>
          <w:b/>
          <w:bCs/>
        </w:rPr>
        <w:t>RECURRENTE</w:t>
      </w:r>
      <w:r w:rsidRPr="009561FF">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BF18FE" w:rsidRPr="009561FF" w:rsidRDefault="00BF18FE">
      <w:pPr>
        <w:spacing w:line="360" w:lineRule="auto"/>
        <w:jc w:val="both"/>
        <w:rPr>
          <w:rFonts w:ascii="Palatino Linotype" w:eastAsia="Palatino Linotype" w:hAnsi="Palatino Linotype" w:cs="Palatino Linotype"/>
        </w:rPr>
      </w:pPr>
    </w:p>
    <w:p w:rsidR="00D32B6C" w:rsidRPr="009561FF" w:rsidRDefault="00D32B6C" w:rsidP="00D32B6C">
      <w:pPr>
        <w:spacing w:before="240" w:after="240" w:line="360" w:lineRule="auto"/>
        <w:ind w:firstLine="1"/>
        <w:jc w:val="both"/>
        <w:rPr>
          <w:rFonts w:ascii="Palatino Linotype" w:hAnsi="Palatino Linotype"/>
        </w:rPr>
      </w:pPr>
      <w:bookmarkStart w:id="13" w:name="_Hlk99014733"/>
      <w:r w:rsidRPr="009561FF">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DIECINUEVE (19) DE MARZO DE DOS MIL VEINTISÉIS, ANTE EL SECRETARIO TÉCNICO DEL PLENO </w:t>
      </w:r>
      <w:r w:rsidRPr="009561FF">
        <w:rPr>
          <w:rFonts w:ascii="Palatino Linotype" w:hAnsi="Palatino Linotype" w:cs="Palatino Linotype"/>
          <w:color w:val="000000" w:themeColor="text1"/>
        </w:rPr>
        <w:t>ALEXIS TAPIA RAMÍREZ.</w:t>
      </w:r>
    </w:p>
    <w:bookmarkEnd w:id="13"/>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p w:rsidR="00BF18FE" w:rsidRPr="009561FF" w:rsidRDefault="00BF18FE">
      <w:pPr>
        <w:rPr>
          <w:rFonts w:ascii="Palatino Linotype" w:eastAsia="Palatino Linotype" w:hAnsi="Palatino Linotype" w:cs="Palatino Linotype"/>
        </w:rPr>
      </w:pPr>
    </w:p>
    <w:sectPr w:rsidR="00BF18FE" w:rsidRPr="009561FF" w:rsidSect="009561FF">
      <w:headerReference w:type="default" r:id="rId13"/>
      <w:footerReference w:type="default" r:id="rId14"/>
      <w:headerReference w:type="first" r:id="rId15"/>
      <w:footerReference w:type="first" r:id="rId16"/>
      <w:pgSz w:w="12240" w:h="15840"/>
      <w:pgMar w:top="1134" w:right="616" w:bottom="141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F2E" w:rsidRDefault="00C44F2E">
      <w:r>
        <w:separator/>
      </w:r>
    </w:p>
  </w:endnote>
  <w:endnote w:type="continuationSeparator" w:id="0">
    <w:p w:rsidR="00C44F2E" w:rsidRDefault="00C4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818CD09C-FDD2-4094-8B85-DE47D5E7612D}"/>
    <w:embedBold r:id="rId2" w:fontKey="{57BB7E92-591D-4C9F-9B54-5A800F032815}"/>
    <w:embedItalic r:id="rId3" w:fontKey="{03F1BF66-5325-4448-A6C1-D7C55D6F07F7}"/>
    <w:embedBoldItalic r:id="rId4" w:fontKey="{36AAF382-9336-44F9-91E0-97164A04350D}"/>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5" w:fontKey="{DE015AE2-895D-4DB9-8D23-9C01F744687E}"/>
  </w:font>
  <w:font w:name="Calibri">
    <w:panose1 w:val="020F0502020204030204"/>
    <w:charset w:val="00"/>
    <w:family w:val="swiss"/>
    <w:pitch w:val="variable"/>
    <w:sig w:usb0="E4002EFF" w:usb1="C200247B" w:usb2="00000009" w:usb3="00000000" w:csb0="000001FF" w:csb1="00000000"/>
    <w:embedRegular r:id="rId6" w:fontKey="{39476D8C-8E75-468E-9B1E-1B577414A86B}"/>
  </w:font>
  <w:font w:name="Calibri Light">
    <w:panose1 w:val="020F0302020204030204"/>
    <w:charset w:val="00"/>
    <w:family w:val="swiss"/>
    <w:pitch w:val="variable"/>
    <w:sig w:usb0="E4002EFF" w:usb1="C200247B" w:usb2="00000009" w:usb3="00000000" w:csb0="000001FF" w:csb1="00000000"/>
    <w:embedRegular r:id="rId7" w:fontKey="{E1EB31AD-0E12-4E29-B9C6-6471DDD31B8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E9B02C0C-A7BC-4F3A-859A-47FC578358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8FE" w:rsidRPr="009561FF" w:rsidRDefault="004F30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rPr>
    </w:pPr>
    <w:r w:rsidRPr="009561FF">
      <w:rPr>
        <w:rFonts w:ascii="Palatino Linotype" w:eastAsia="Palatino Linotype" w:hAnsi="Palatino Linotype" w:cs="Palatino Linotype"/>
        <w:b/>
        <w:bCs/>
        <w:color w:val="000000"/>
        <w:sz w:val="22"/>
      </w:rPr>
      <w:t xml:space="preserve">Página </w:t>
    </w:r>
    <w:r w:rsidRPr="009561FF">
      <w:rPr>
        <w:rFonts w:ascii="Palatino Linotype" w:eastAsia="Palatino Linotype" w:hAnsi="Palatino Linotype" w:cs="Palatino Linotype"/>
        <w:b/>
        <w:bCs/>
        <w:color w:val="000000"/>
        <w:sz w:val="22"/>
      </w:rPr>
      <w:fldChar w:fldCharType="begin"/>
    </w:r>
    <w:r w:rsidRPr="009561FF">
      <w:rPr>
        <w:rFonts w:ascii="Palatino Linotype" w:eastAsia="Palatino Linotype" w:hAnsi="Palatino Linotype" w:cs="Palatino Linotype"/>
        <w:b/>
        <w:bCs/>
        <w:color w:val="000000"/>
        <w:sz w:val="22"/>
      </w:rPr>
      <w:instrText>PAGE</w:instrText>
    </w:r>
    <w:r w:rsidRPr="009561FF">
      <w:rPr>
        <w:rFonts w:ascii="Palatino Linotype" w:eastAsia="Palatino Linotype" w:hAnsi="Palatino Linotype" w:cs="Palatino Linotype"/>
        <w:b/>
        <w:bCs/>
        <w:color w:val="000000"/>
        <w:sz w:val="22"/>
      </w:rPr>
      <w:fldChar w:fldCharType="separate"/>
    </w:r>
    <w:r w:rsidR="006C20A3">
      <w:rPr>
        <w:rFonts w:ascii="Palatino Linotype" w:eastAsia="Palatino Linotype" w:hAnsi="Palatino Linotype" w:cs="Palatino Linotype"/>
        <w:b/>
        <w:bCs/>
        <w:noProof/>
        <w:color w:val="000000"/>
        <w:sz w:val="22"/>
      </w:rPr>
      <w:t>7</w:t>
    </w:r>
    <w:r w:rsidRPr="009561FF">
      <w:rPr>
        <w:rFonts w:ascii="Palatino Linotype" w:eastAsia="Palatino Linotype" w:hAnsi="Palatino Linotype" w:cs="Palatino Linotype"/>
        <w:b/>
        <w:bCs/>
        <w:color w:val="000000"/>
        <w:sz w:val="22"/>
      </w:rPr>
      <w:fldChar w:fldCharType="end"/>
    </w:r>
    <w:r w:rsidRPr="009561FF">
      <w:rPr>
        <w:rFonts w:ascii="Palatino Linotype" w:eastAsia="Palatino Linotype" w:hAnsi="Palatino Linotype" w:cs="Palatino Linotype"/>
        <w:b/>
        <w:color w:val="000000"/>
        <w:sz w:val="22"/>
      </w:rPr>
      <w:t xml:space="preserve"> de </w:t>
    </w:r>
    <w:r w:rsidRPr="009561FF">
      <w:rPr>
        <w:rFonts w:ascii="Palatino Linotype" w:eastAsia="Palatino Linotype" w:hAnsi="Palatino Linotype" w:cs="Palatino Linotype"/>
        <w:b/>
        <w:bCs/>
        <w:color w:val="000000"/>
        <w:sz w:val="22"/>
      </w:rPr>
      <w:fldChar w:fldCharType="begin"/>
    </w:r>
    <w:r w:rsidRPr="009561FF">
      <w:rPr>
        <w:rFonts w:ascii="Palatino Linotype" w:eastAsia="Palatino Linotype" w:hAnsi="Palatino Linotype" w:cs="Palatino Linotype"/>
        <w:b/>
        <w:bCs/>
        <w:color w:val="000000"/>
        <w:sz w:val="22"/>
      </w:rPr>
      <w:instrText>NUMPAGES</w:instrText>
    </w:r>
    <w:r w:rsidRPr="009561FF">
      <w:rPr>
        <w:rFonts w:ascii="Palatino Linotype" w:eastAsia="Palatino Linotype" w:hAnsi="Palatino Linotype" w:cs="Palatino Linotype"/>
        <w:b/>
        <w:bCs/>
        <w:color w:val="000000"/>
        <w:sz w:val="22"/>
      </w:rPr>
      <w:fldChar w:fldCharType="separate"/>
    </w:r>
    <w:r w:rsidR="006C20A3">
      <w:rPr>
        <w:rFonts w:ascii="Palatino Linotype" w:eastAsia="Palatino Linotype" w:hAnsi="Palatino Linotype" w:cs="Palatino Linotype"/>
        <w:b/>
        <w:bCs/>
        <w:noProof/>
        <w:color w:val="000000"/>
        <w:sz w:val="22"/>
      </w:rPr>
      <w:t>42</w:t>
    </w:r>
    <w:r w:rsidRPr="009561FF">
      <w:rPr>
        <w:rFonts w:ascii="Palatino Linotype" w:eastAsia="Palatino Linotype" w:hAnsi="Palatino Linotype" w:cs="Palatino Linotype"/>
        <w:b/>
        <w:bCs/>
        <w:color w:val="000000"/>
        <w:sz w:val="22"/>
      </w:rPr>
      <w:fldChar w:fldCharType="end"/>
    </w:r>
  </w:p>
  <w:p w:rsidR="00BF18FE" w:rsidRDefault="00BF18FE">
    <w:pPr>
      <w:pBdr>
        <w:top w:val="nil"/>
        <w:left w:val="nil"/>
        <w:bottom w:val="nil"/>
        <w:right w:val="nil"/>
        <w:between w:val="nil"/>
      </w:pBdr>
      <w:tabs>
        <w:tab w:val="center" w:pos="4252"/>
        <w:tab w:val="right" w:pos="8504"/>
      </w:tabs>
      <w:rPr>
        <w:color w:val="000000"/>
      </w:rPr>
    </w:pPr>
  </w:p>
  <w:p w:rsidR="00BF18FE" w:rsidRDefault="00BF18FE">
    <w:pPr>
      <w:pBdr>
        <w:top w:val="nil"/>
        <w:left w:val="nil"/>
        <w:bottom w:val="nil"/>
        <w:right w:val="nil"/>
        <w:between w:val="nil"/>
      </w:pBdr>
      <w:tabs>
        <w:tab w:val="center" w:pos="4252"/>
        <w:tab w:val="right" w:pos="8504"/>
      </w:tabs>
      <w:ind w:firstLine="708"/>
      <w:jc w:val="center"/>
      <w:rPr>
        <w:rFonts w:ascii="Calibri" w:eastAsia="Calibri" w:hAnsi="Calibri" w:cs="Calibri"/>
        <w:color w:val="000000"/>
      </w:rPr>
    </w:pPr>
  </w:p>
  <w:p w:rsidR="00BF18FE" w:rsidRDefault="00BF18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18FE" w:rsidRPr="009561FF" w:rsidRDefault="004F3044">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9561FF">
      <w:rPr>
        <w:rFonts w:ascii="Palatino Linotype" w:eastAsia="Arial" w:hAnsi="Palatino Linotype" w:cs="Arial"/>
        <w:bCs/>
        <w:color w:val="000000"/>
        <w:sz w:val="22"/>
        <w:szCs w:val="20"/>
      </w:rPr>
      <w:t xml:space="preserve">Página </w:t>
    </w:r>
    <w:r w:rsidRPr="009561FF">
      <w:rPr>
        <w:rFonts w:ascii="Palatino Linotype" w:eastAsia="Arial" w:hAnsi="Palatino Linotype" w:cs="Arial"/>
        <w:bCs/>
        <w:color w:val="000000"/>
        <w:sz w:val="22"/>
        <w:szCs w:val="20"/>
      </w:rPr>
      <w:fldChar w:fldCharType="begin"/>
    </w:r>
    <w:r w:rsidRPr="009561FF">
      <w:rPr>
        <w:rFonts w:ascii="Palatino Linotype" w:eastAsia="Arial" w:hAnsi="Palatino Linotype" w:cs="Arial"/>
        <w:bCs/>
        <w:color w:val="000000"/>
        <w:sz w:val="22"/>
        <w:szCs w:val="20"/>
      </w:rPr>
      <w:instrText>PAGE</w:instrText>
    </w:r>
    <w:r w:rsidRPr="009561FF">
      <w:rPr>
        <w:rFonts w:ascii="Palatino Linotype" w:eastAsia="Arial" w:hAnsi="Palatino Linotype" w:cs="Arial"/>
        <w:bCs/>
        <w:color w:val="000000"/>
        <w:sz w:val="22"/>
        <w:szCs w:val="20"/>
      </w:rPr>
      <w:fldChar w:fldCharType="separate"/>
    </w:r>
    <w:r w:rsidR="006C20A3">
      <w:rPr>
        <w:rFonts w:ascii="Palatino Linotype" w:eastAsia="Arial" w:hAnsi="Palatino Linotype" w:cs="Arial"/>
        <w:bCs/>
        <w:noProof/>
        <w:color w:val="000000"/>
        <w:sz w:val="22"/>
        <w:szCs w:val="20"/>
      </w:rPr>
      <w:t>1</w:t>
    </w:r>
    <w:r w:rsidRPr="009561FF">
      <w:rPr>
        <w:rFonts w:ascii="Palatino Linotype" w:eastAsia="Arial" w:hAnsi="Palatino Linotype" w:cs="Arial"/>
        <w:bCs/>
        <w:color w:val="000000"/>
        <w:sz w:val="22"/>
        <w:szCs w:val="20"/>
      </w:rPr>
      <w:fldChar w:fldCharType="end"/>
    </w:r>
    <w:r w:rsidRPr="009561FF">
      <w:rPr>
        <w:rFonts w:ascii="Palatino Linotype" w:eastAsia="Arial" w:hAnsi="Palatino Linotype" w:cs="Arial"/>
        <w:color w:val="000000"/>
        <w:sz w:val="22"/>
        <w:szCs w:val="20"/>
      </w:rPr>
      <w:t xml:space="preserve"> de </w:t>
    </w:r>
    <w:r w:rsidRPr="009561FF">
      <w:rPr>
        <w:rFonts w:ascii="Palatino Linotype" w:eastAsia="Arial" w:hAnsi="Palatino Linotype" w:cs="Arial"/>
        <w:bCs/>
        <w:color w:val="000000"/>
        <w:sz w:val="22"/>
        <w:szCs w:val="20"/>
      </w:rPr>
      <w:fldChar w:fldCharType="begin"/>
    </w:r>
    <w:r w:rsidRPr="009561FF">
      <w:rPr>
        <w:rFonts w:ascii="Palatino Linotype" w:eastAsia="Arial" w:hAnsi="Palatino Linotype" w:cs="Arial"/>
        <w:bCs/>
        <w:color w:val="000000"/>
        <w:sz w:val="22"/>
        <w:szCs w:val="20"/>
      </w:rPr>
      <w:instrText>NUMPAGES</w:instrText>
    </w:r>
    <w:r w:rsidRPr="009561FF">
      <w:rPr>
        <w:rFonts w:ascii="Palatino Linotype" w:eastAsia="Arial" w:hAnsi="Palatino Linotype" w:cs="Arial"/>
        <w:bCs/>
        <w:color w:val="000000"/>
        <w:sz w:val="22"/>
        <w:szCs w:val="20"/>
      </w:rPr>
      <w:fldChar w:fldCharType="separate"/>
    </w:r>
    <w:r w:rsidR="006C20A3">
      <w:rPr>
        <w:rFonts w:ascii="Palatino Linotype" w:eastAsia="Arial" w:hAnsi="Palatino Linotype" w:cs="Arial"/>
        <w:bCs/>
        <w:noProof/>
        <w:color w:val="000000"/>
        <w:sz w:val="22"/>
        <w:szCs w:val="20"/>
      </w:rPr>
      <w:t>42</w:t>
    </w:r>
    <w:r w:rsidRPr="009561FF">
      <w:rPr>
        <w:rFonts w:ascii="Palatino Linotype" w:eastAsia="Arial" w:hAnsi="Palatino Linotype" w:cs="Arial"/>
        <w:bCs/>
        <w:color w:val="000000"/>
        <w:sz w:val="22"/>
        <w:szCs w:val="20"/>
      </w:rPr>
      <w:fldChar w:fldCharType="end"/>
    </w:r>
  </w:p>
  <w:p w:rsidR="00BF18FE" w:rsidRDefault="00BF18FE">
    <w:pPr>
      <w:pBdr>
        <w:top w:val="nil"/>
        <w:left w:val="nil"/>
        <w:bottom w:val="nil"/>
        <w:right w:val="nil"/>
        <w:between w:val="nil"/>
      </w:pBdr>
      <w:tabs>
        <w:tab w:val="center" w:pos="4252"/>
        <w:tab w:val="right" w:pos="8504"/>
      </w:tabs>
      <w:rPr>
        <w:rFonts w:ascii="Calibri" w:eastAsia="Calibri" w:hAnsi="Calibri" w:cs="Calibri"/>
        <w:color w:val="000000"/>
      </w:rPr>
    </w:pPr>
  </w:p>
  <w:p w:rsidR="00BF18FE" w:rsidRDefault="00BF18F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F2E" w:rsidRDefault="00C44F2E">
      <w:r>
        <w:separator/>
      </w:r>
    </w:p>
  </w:footnote>
  <w:footnote w:type="continuationSeparator" w:id="0">
    <w:p w:rsidR="00C44F2E" w:rsidRDefault="00C44F2E">
      <w:r>
        <w:continuationSeparator/>
      </w:r>
    </w:p>
  </w:footnote>
  <w:footnote w:id="1">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BF18FE" w:rsidRDefault="004F304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2">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Fracción IV. Artículo 53. Ibídem.</w:t>
      </w:r>
    </w:p>
  </w:footnote>
  <w:footnote w:id="3">
    <w:p w:rsidR="00BF18FE" w:rsidRDefault="004F304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Ley de Archivos y Administración de Documentos del Estado de México y Municipios; artículo 13.</w:t>
      </w:r>
    </w:p>
    <w:p w:rsidR="00BF18FE" w:rsidRDefault="00BF18FE">
      <w:pPr>
        <w:pBdr>
          <w:top w:val="nil"/>
          <w:left w:val="nil"/>
          <w:bottom w:val="nil"/>
          <w:right w:val="nil"/>
          <w:between w:val="nil"/>
        </w:pBdr>
        <w:rPr>
          <w:rFonts w:ascii="Palatino Linotype" w:eastAsia="Palatino Linotype" w:hAnsi="Palatino Linotype" w:cs="Palatino Linotype"/>
          <w:color w:val="000000"/>
          <w:sz w:val="16"/>
          <w:szCs w:val="16"/>
        </w:rPr>
      </w:pPr>
    </w:p>
  </w:footnote>
  <w:footnote w:id="4">
    <w:p w:rsidR="00BF18FE" w:rsidRDefault="004F304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 Archivos y Administración de Documentos del Estado de México y Municipios; artículo 4 fracción XX</w:t>
      </w:r>
    </w:p>
  </w:footnote>
  <w:footnote w:id="5">
    <w:p w:rsidR="00BF18FE" w:rsidRDefault="004F304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 Archivos y Administración de Documentos del Estado de México y Municipios; artículo 4 fracción XIV</w:t>
      </w:r>
    </w:p>
  </w:footnote>
  <w:footnote w:id="6">
    <w:p w:rsidR="00BF18FE" w:rsidRDefault="004F304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Ley de Archivos y Administración de Documentos del Estado de México y Municipios; artículo 4 fracción XXXVII</w:t>
      </w:r>
    </w:p>
  </w:footnote>
  <w:footnote w:id="7">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Convención Americana sobre Derechos Humanos. Artículo 13</w:t>
      </w:r>
      <w:r>
        <w:rPr>
          <w:rFonts w:ascii="Palatino Linotype" w:eastAsia="Palatino Linotype" w:hAnsi="Palatino Linotype" w:cs="Palatino Linotype"/>
          <w:color w:val="000000"/>
          <w:sz w:val="20"/>
          <w:szCs w:val="20"/>
        </w:rPr>
        <w:t>.</w:t>
      </w:r>
    </w:p>
  </w:footnote>
  <w:footnote w:id="8">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9">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10">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Párr. 87.</w:t>
      </w:r>
    </w:p>
  </w:footnote>
  <w:footnote w:id="11">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Calibri" w:eastAsia="Calibri" w:hAnsi="Calibri" w:cs="Calibri"/>
            <w:color w:val="0563C1"/>
            <w:sz w:val="20"/>
            <w:szCs w:val="20"/>
            <w:u w:val="single"/>
          </w:rPr>
          <w:t>http://www.oas.org/es/cidh/expresion/documentos_basicos/declaraciones.asp</w:t>
        </w:r>
      </w:hyperlink>
      <w:r>
        <w:rPr>
          <w:rFonts w:ascii="Calibri" w:eastAsia="Calibri" w:hAnsi="Calibri" w:cs="Calibri"/>
          <w:color w:val="000000"/>
          <w:sz w:val="20"/>
          <w:szCs w:val="20"/>
        </w:rPr>
        <w:t>.</w:t>
      </w:r>
    </w:p>
  </w:footnote>
  <w:footnote w:id="12">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Ley de Transparencia y Acceso a la Información Pública del Estado de México y Municipios.</w:t>
      </w:r>
    </w:p>
    <w:p w:rsidR="00BF18FE" w:rsidRDefault="004F304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Artículo 151. Ibídem.</w:t>
      </w:r>
    </w:p>
  </w:footnote>
  <w:footnote w:id="13">
    <w:p w:rsidR="00BF18FE" w:rsidRDefault="004F3044">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BF18FE" w:rsidRDefault="004F304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BF18FE" w:rsidRDefault="004F3044">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447" w:type="dxa"/>
      <w:tblInd w:w="3402" w:type="dxa"/>
      <w:tblLayout w:type="fixed"/>
      <w:tblLook w:val="0400" w:firstRow="0" w:lastRow="0" w:firstColumn="0" w:lastColumn="0" w:noHBand="0" w:noVBand="1"/>
    </w:tblPr>
    <w:tblGrid>
      <w:gridCol w:w="2701"/>
      <w:gridCol w:w="3746"/>
    </w:tblGrid>
    <w:tr w:rsidR="00BF18FE" w:rsidTr="009561FF">
      <w:tc>
        <w:tcPr>
          <w:tcW w:w="2701" w:type="dxa"/>
          <w:vAlign w:val="center"/>
        </w:tcPr>
        <w:p w:rsidR="00BF18FE" w:rsidRPr="009561FF" w:rsidRDefault="004F3044">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Recurso de Revisión:</w:t>
          </w:r>
        </w:p>
      </w:tc>
      <w:tc>
        <w:tcPr>
          <w:tcW w:w="3746" w:type="dxa"/>
          <w:vAlign w:val="center"/>
        </w:tcPr>
        <w:p w:rsidR="00BF18FE" w:rsidRPr="009561FF" w:rsidRDefault="004F3044">
          <w:pPr>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 xml:space="preserve">08508/INFOEM/IP/RR/2025 </w:t>
          </w:r>
        </w:p>
      </w:tc>
    </w:tr>
    <w:tr w:rsidR="00BF18FE" w:rsidTr="009561FF">
      <w:trPr>
        <w:trHeight w:val="228"/>
      </w:trPr>
      <w:tc>
        <w:tcPr>
          <w:tcW w:w="2701" w:type="dxa"/>
          <w:vAlign w:val="center"/>
        </w:tcPr>
        <w:p w:rsidR="00BF18FE" w:rsidRPr="009561FF" w:rsidRDefault="004F3044">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Sujeto Obligado:</w:t>
          </w:r>
        </w:p>
      </w:tc>
      <w:tc>
        <w:tcPr>
          <w:tcW w:w="3746" w:type="dxa"/>
          <w:vAlign w:val="center"/>
        </w:tcPr>
        <w:p w:rsidR="00BF18FE" w:rsidRPr="009561FF" w:rsidRDefault="004F3044">
          <w:pPr>
            <w:jc w:val="both"/>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Ayuntamiento de Zinacantepec</w:t>
          </w:r>
        </w:p>
      </w:tc>
    </w:tr>
    <w:tr w:rsidR="00BF18FE" w:rsidTr="009561FF">
      <w:tc>
        <w:tcPr>
          <w:tcW w:w="2701" w:type="dxa"/>
          <w:vAlign w:val="center"/>
        </w:tcPr>
        <w:p w:rsidR="00BF18FE" w:rsidRPr="009561FF" w:rsidRDefault="004F3044">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Comisionada ponente:</w:t>
          </w:r>
        </w:p>
      </w:tc>
      <w:tc>
        <w:tcPr>
          <w:tcW w:w="3746" w:type="dxa"/>
          <w:vAlign w:val="center"/>
        </w:tcPr>
        <w:p w:rsidR="00BF18FE" w:rsidRPr="009561FF" w:rsidRDefault="004F3044">
          <w:pPr>
            <w:ind w:right="-533"/>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 xml:space="preserve">María del Rosario Mejía Ayala  </w:t>
          </w:r>
        </w:p>
      </w:tc>
    </w:tr>
  </w:tbl>
  <w:p w:rsidR="00BF18FE" w:rsidRDefault="009561F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page">
            <wp:align>center</wp:align>
          </wp:positionH>
          <wp:positionV relativeFrom="paragraph">
            <wp:posOffset>-1135344</wp:posOffset>
          </wp:positionV>
          <wp:extent cx="7635875" cy="9943465"/>
          <wp:effectExtent l="0" t="0" r="3175" b="635"/>
          <wp:wrapNone/>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r w:rsidR="004F3044">
      <w:rPr>
        <w:rFonts w:ascii="Calibri" w:eastAsia="Calibri" w:hAnsi="Calibri" w:cs="Calibri"/>
        <w:color w:val="000000"/>
      </w:rPr>
      <w:tab/>
    </w:r>
  </w:p>
  <w:p w:rsidR="00BF18FE" w:rsidRDefault="00BF18FE">
    <w:pPr>
      <w:pBdr>
        <w:top w:val="nil"/>
        <w:left w:val="nil"/>
        <w:bottom w:val="nil"/>
        <w:right w:val="nil"/>
        <w:between w:val="nil"/>
      </w:pBdr>
      <w:tabs>
        <w:tab w:val="center" w:pos="4252"/>
        <w:tab w:val="right" w:pos="8504"/>
        <w:tab w:val="left" w:pos="2326"/>
      </w:tabs>
      <w:rPr>
        <w:rFonts w:ascii="Calibri" w:eastAsia="Calibri" w:hAnsi="Calibri" w:cs="Calibri"/>
        <w:color w:val="000000"/>
      </w:rPr>
    </w:pPr>
  </w:p>
  <w:p w:rsidR="00BF18FE" w:rsidRDefault="00BF18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957" w:type="dxa"/>
      <w:tblInd w:w="3256" w:type="dxa"/>
      <w:tblLayout w:type="fixed"/>
      <w:tblLook w:val="0400" w:firstRow="0" w:lastRow="0" w:firstColumn="0" w:lastColumn="0" w:noHBand="0" w:noVBand="1"/>
    </w:tblPr>
    <w:tblGrid>
      <w:gridCol w:w="2981"/>
      <w:gridCol w:w="3976"/>
    </w:tblGrid>
    <w:tr w:rsidR="00BF18FE" w:rsidTr="009561FF">
      <w:trPr>
        <w:trHeight w:val="266"/>
      </w:trPr>
      <w:tc>
        <w:tcPr>
          <w:tcW w:w="2981" w:type="dxa"/>
          <w:vAlign w:val="center"/>
        </w:tcPr>
        <w:p w:rsidR="00BF18FE" w:rsidRPr="009561FF" w:rsidRDefault="004F3044" w:rsidP="009561FF">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Recurso de Revisión:</w:t>
          </w:r>
        </w:p>
      </w:tc>
      <w:tc>
        <w:tcPr>
          <w:tcW w:w="3976" w:type="dxa"/>
          <w:vAlign w:val="center"/>
        </w:tcPr>
        <w:p w:rsidR="00BF18FE" w:rsidRPr="009561FF" w:rsidRDefault="004F3044" w:rsidP="009561FF">
          <w:pPr>
            <w:ind w:right="-735"/>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 xml:space="preserve">08508/INFOEM/IP/RR/2025 </w:t>
          </w:r>
        </w:p>
      </w:tc>
    </w:tr>
    <w:tr w:rsidR="00BF18FE" w:rsidTr="009561FF">
      <w:trPr>
        <w:trHeight w:val="533"/>
      </w:trPr>
      <w:tc>
        <w:tcPr>
          <w:tcW w:w="2981" w:type="dxa"/>
          <w:vAlign w:val="center"/>
        </w:tcPr>
        <w:p w:rsidR="00BF18FE" w:rsidRPr="009561FF" w:rsidRDefault="004F3044" w:rsidP="009561FF">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Recurrente:</w:t>
          </w:r>
        </w:p>
      </w:tc>
      <w:tc>
        <w:tcPr>
          <w:tcW w:w="3976" w:type="dxa"/>
          <w:vAlign w:val="center"/>
        </w:tcPr>
        <w:p w:rsidR="00BF18FE" w:rsidRPr="009561FF" w:rsidRDefault="006C20A3" w:rsidP="009561FF">
          <w:pPr>
            <w:ind w:right="-735"/>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BF18FE" w:rsidTr="009561FF">
      <w:trPr>
        <w:trHeight w:val="266"/>
      </w:trPr>
      <w:tc>
        <w:tcPr>
          <w:tcW w:w="2981" w:type="dxa"/>
          <w:vAlign w:val="center"/>
        </w:tcPr>
        <w:p w:rsidR="00BF18FE" w:rsidRPr="009561FF" w:rsidRDefault="004F3044" w:rsidP="009561FF">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Sujeto Obligado:</w:t>
          </w:r>
        </w:p>
      </w:tc>
      <w:tc>
        <w:tcPr>
          <w:tcW w:w="3976" w:type="dxa"/>
          <w:vAlign w:val="center"/>
        </w:tcPr>
        <w:p w:rsidR="00BF18FE" w:rsidRPr="009561FF" w:rsidRDefault="004F3044" w:rsidP="009561FF">
          <w:pPr>
            <w:ind w:right="-735"/>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Ayuntamiento de Zinacantepec</w:t>
          </w:r>
        </w:p>
      </w:tc>
    </w:tr>
    <w:tr w:rsidR="00BF18FE" w:rsidTr="009561FF">
      <w:trPr>
        <w:trHeight w:val="266"/>
      </w:trPr>
      <w:tc>
        <w:tcPr>
          <w:tcW w:w="2981" w:type="dxa"/>
          <w:vAlign w:val="center"/>
        </w:tcPr>
        <w:p w:rsidR="00BF18FE" w:rsidRPr="009561FF" w:rsidRDefault="004F3044" w:rsidP="009561FF">
          <w:pPr>
            <w:rPr>
              <w:rFonts w:ascii="Palatino Linotype" w:eastAsia="Palatino Linotype" w:hAnsi="Palatino Linotype" w:cs="Palatino Linotype"/>
              <w:b/>
              <w:bCs/>
              <w:szCs w:val="22"/>
            </w:rPr>
          </w:pPr>
          <w:r w:rsidRPr="009561FF">
            <w:rPr>
              <w:rFonts w:ascii="Palatino Linotype" w:eastAsia="Palatino Linotype" w:hAnsi="Palatino Linotype" w:cs="Palatino Linotype"/>
              <w:b/>
              <w:bCs/>
              <w:szCs w:val="22"/>
            </w:rPr>
            <w:t>Comisionada Ponente:</w:t>
          </w:r>
        </w:p>
      </w:tc>
      <w:tc>
        <w:tcPr>
          <w:tcW w:w="3976" w:type="dxa"/>
          <w:vAlign w:val="center"/>
        </w:tcPr>
        <w:p w:rsidR="00BF18FE" w:rsidRPr="009561FF" w:rsidRDefault="004F3044" w:rsidP="009561FF">
          <w:pPr>
            <w:ind w:right="-735"/>
            <w:rPr>
              <w:rFonts w:ascii="Palatino Linotype" w:eastAsia="Palatino Linotype" w:hAnsi="Palatino Linotype" w:cs="Palatino Linotype"/>
              <w:szCs w:val="22"/>
            </w:rPr>
          </w:pPr>
          <w:r w:rsidRPr="009561FF">
            <w:rPr>
              <w:rFonts w:ascii="Palatino Linotype" w:eastAsia="Palatino Linotype" w:hAnsi="Palatino Linotype" w:cs="Palatino Linotype"/>
              <w:szCs w:val="22"/>
            </w:rPr>
            <w:t>María del Rosario Mejía Ayala</w:t>
          </w:r>
        </w:p>
      </w:tc>
    </w:tr>
  </w:tbl>
  <w:p w:rsidR="00BF18FE" w:rsidRPr="009561FF" w:rsidRDefault="009561FF" w:rsidP="009561FF">
    <w:pPr>
      <w:pBdr>
        <w:top w:val="nil"/>
        <w:left w:val="nil"/>
        <w:bottom w:val="nil"/>
        <w:right w:val="nil"/>
        <w:between w:val="nil"/>
      </w:pBdr>
      <w:tabs>
        <w:tab w:val="center" w:pos="4252"/>
        <w:tab w:val="right" w:pos="8504"/>
      </w:tabs>
      <w:rPr>
        <w:rFonts w:ascii="Calibri" w:eastAsia="Calibri" w:hAnsi="Calibri" w:cs="Calibri"/>
        <w:color w:val="000000"/>
      </w:rPr>
    </w:pPr>
    <w:r>
      <w:rPr>
        <w:noProof/>
        <w:lang w:val="es-MX"/>
      </w:rPr>
      <w:drawing>
        <wp:anchor distT="0" distB="0" distL="0" distR="0" simplePos="0" relativeHeight="251659264" behindDoc="1" locked="0" layoutInCell="1" hidden="0" allowOverlap="1">
          <wp:simplePos x="0" y="0"/>
          <wp:positionH relativeFrom="page">
            <wp:align>left</wp:align>
          </wp:positionH>
          <wp:positionV relativeFrom="paragraph">
            <wp:posOffset>-1299163</wp:posOffset>
          </wp:positionV>
          <wp:extent cx="7635875" cy="9943465"/>
          <wp:effectExtent l="0" t="0" r="3175" b="635"/>
          <wp:wrapNone/>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15AE7"/>
    <w:multiLevelType w:val="multilevel"/>
    <w:tmpl w:val="55BEB13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2DC11426"/>
    <w:multiLevelType w:val="multilevel"/>
    <w:tmpl w:val="4C8E77EA"/>
    <w:lvl w:ilvl="0">
      <w:start w:val="1"/>
      <w:numFmt w:val="decimal"/>
      <w:lvlText w:val="%1."/>
      <w:lvlJc w:val="left"/>
      <w:pPr>
        <w:ind w:left="3479"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3A6891"/>
    <w:multiLevelType w:val="multilevel"/>
    <w:tmpl w:val="8D346454"/>
    <w:lvl w:ilvl="0">
      <w:start w:val="7"/>
      <w:numFmt w:val="decimal"/>
      <w:lvlText w:val="%1."/>
      <w:lvlJc w:val="left"/>
      <w:pPr>
        <w:ind w:left="644"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rPr>
        <w:b/>
        <w:bCs/>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1F4375"/>
    <w:multiLevelType w:val="multilevel"/>
    <w:tmpl w:val="3F0AE43C"/>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FE78EF"/>
    <w:multiLevelType w:val="multilevel"/>
    <w:tmpl w:val="7DC0A4C2"/>
    <w:lvl w:ilvl="0">
      <w:start w:val="10"/>
      <w:numFmt w:val="decimal"/>
      <w:lvlText w:val="%1."/>
      <w:lvlJc w:val="left"/>
      <w:pPr>
        <w:ind w:left="360" w:hanging="36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5DE3F0C"/>
    <w:multiLevelType w:val="hybridMultilevel"/>
    <w:tmpl w:val="3738CE5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 w15:restartNumberingAfterBreak="0">
    <w:nsid w:val="762B3259"/>
    <w:multiLevelType w:val="multilevel"/>
    <w:tmpl w:val="85C2F3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2"/>
  </w:num>
  <w:num w:numId="4">
    <w:abstractNumId w:val="3"/>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8FE"/>
    <w:rsid w:val="00264AEA"/>
    <w:rsid w:val="00443F7F"/>
    <w:rsid w:val="004F3044"/>
    <w:rsid w:val="00525FF5"/>
    <w:rsid w:val="006C20A3"/>
    <w:rsid w:val="009561FF"/>
    <w:rsid w:val="00BF18FE"/>
    <w:rsid w:val="00C44F2E"/>
    <w:rsid w:val="00D32B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8A3006-1393-4768-98D7-876662AA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8E4220"/>
    <w:rPr>
      <w:rFonts w:asciiTheme="majorHAnsi" w:eastAsiaTheme="majorEastAsia" w:hAnsiTheme="majorHAnsi" w:cstheme="majorBidi"/>
      <w:color w:val="2E74B5" w:themeColor="accent1" w:themeShade="BF"/>
      <w:sz w:val="32"/>
      <w:szCs w:val="32"/>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E4220"/>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4220"/>
    <w:pPr>
      <w:ind w:left="708"/>
    </w:pPr>
    <w:rPr>
      <w:sz w:val="22"/>
      <w:szCs w:val="22"/>
      <w:lang w:eastAsia="en-US"/>
    </w:rPr>
  </w:style>
  <w:style w:type="character" w:styleId="Hipervnculo">
    <w:name w:val="Hyperlink"/>
    <w:aliases w:val="Hipervínculo1,Hipervínculo11,Hipervínculo12,Hipervínculo13,Hipervínculo14,Hipervínculo15"/>
    <w:basedOn w:val="Fuentedeprrafopredeter"/>
    <w:uiPriority w:val="99"/>
    <w:unhideWhenUsed/>
    <w:qFormat/>
    <w:rsid w:val="008E422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E4220"/>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E4220"/>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8E4220"/>
    <w:rPr>
      <w:vertAlign w:val="superscript"/>
    </w:rPr>
  </w:style>
  <w:style w:type="paragraph" w:styleId="Encabezado">
    <w:name w:val="header"/>
    <w:basedOn w:val="Normal"/>
    <w:link w:val="EncabezadoCar"/>
    <w:uiPriority w:val="99"/>
    <w:unhideWhenUsed/>
    <w:rsid w:val="008E4220"/>
    <w:pPr>
      <w:tabs>
        <w:tab w:val="center" w:pos="4419"/>
        <w:tab w:val="right" w:pos="8838"/>
      </w:tabs>
    </w:pPr>
  </w:style>
  <w:style w:type="character" w:customStyle="1" w:styleId="EncabezadoCar">
    <w:name w:val="Encabezado Car"/>
    <w:basedOn w:val="Fuentedeprrafopredeter"/>
    <w:link w:val="Encabezado"/>
    <w:uiPriority w:val="99"/>
    <w:rsid w:val="008E4220"/>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E4220"/>
    <w:pPr>
      <w:tabs>
        <w:tab w:val="center" w:pos="4419"/>
        <w:tab w:val="right" w:pos="8838"/>
      </w:tabs>
    </w:pPr>
  </w:style>
  <w:style w:type="character" w:customStyle="1" w:styleId="PiedepginaCar">
    <w:name w:val="Pie de página Car"/>
    <w:basedOn w:val="Fuentedeprrafopredeter"/>
    <w:link w:val="Piedepgina"/>
    <w:uiPriority w:val="99"/>
    <w:rsid w:val="008E4220"/>
    <w:rPr>
      <w:rFonts w:ascii="Times New Roman" w:eastAsia="Times New Roman" w:hAnsi="Times New Roman" w:cs="Times New Roman"/>
      <w:sz w:val="24"/>
      <w:szCs w:val="24"/>
      <w:lang w:val="es-ES" w:eastAsia="es-ES"/>
    </w:rPr>
  </w:style>
  <w:style w:type="table" w:styleId="Tablanormal1">
    <w:name w:val="Plain Table 1"/>
    <w:basedOn w:val="Tablanormal"/>
    <w:uiPriority w:val="41"/>
    <w:rsid w:val="00240D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CE0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CE05B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visitado">
    <w:name w:val="FollowedHyperlink"/>
    <w:basedOn w:val="Fuentedeprrafopredeter"/>
    <w:uiPriority w:val="99"/>
    <w:semiHidden/>
    <w:unhideWhenUsed/>
    <w:rsid w:val="00D346C7"/>
    <w:rPr>
      <w:color w:val="954F72" w:themeColor="followedHyperlink"/>
      <w:u w:val="single"/>
    </w:rPr>
  </w:style>
  <w:style w:type="paragraph" w:customStyle="1" w:styleId="Default">
    <w:name w:val="Default"/>
    <w:qFormat/>
    <w:rsid w:val="004E2F75"/>
    <w:pPr>
      <w:autoSpaceDE w:val="0"/>
      <w:autoSpaceDN w:val="0"/>
      <w:adjustRightInd w:val="0"/>
    </w:pPr>
    <w:rPr>
      <w:rFonts w:ascii="Arial" w:hAnsi="Arial" w:cs="Arial"/>
      <w:color w:val="000000"/>
    </w:rPr>
  </w:style>
  <w:style w:type="character" w:customStyle="1" w:styleId="normaltextrun">
    <w:name w:val="normaltextrun"/>
    <w:basedOn w:val="Fuentedeprrafopredeter"/>
    <w:rsid w:val="00E7500B"/>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sing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osAcOWfJIc/cLO89i1BIortMZA==">CgMxLjAyCGguZ2pkZ3hzMgloLjMwajB6bGwyCWguMWZvYjl0ZTIJaC4zem55c2g3MgloLjJldDkycDAyCGgudHlqY3d0MgloLjNkeTZ2a20yCWguNGQzNG9nODIOaC42N3h6c3JhajMxeXAyDmgudWZtejBwZ2M2NXl4Mg5oLmQ3azE0YjJ5eTVoODIJaC4yNmluMXJnMghoLmxueGJ6OTgAciExZUtMZzMzMFVuT256ek95X05Ib3V0aFBfM1VaV2ZocFQ=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42</Pages>
  <Words>9029</Words>
  <Characters>49663</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58575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cp:revision>
  <cp:lastPrinted>2026-03-23T16:16:00Z</cp:lastPrinted>
  <dcterms:created xsi:type="dcterms:W3CDTF">2026-03-09T17:30:00Z</dcterms:created>
  <dcterms:modified xsi:type="dcterms:W3CDTF">2026-04-07T23:22:00Z</dcterms:modified>
</cp:coreProperties>
</file>