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A45" w:rsidRPr="007E1D7F" w:rsidRDefault="00584A45" w:rsidP="00584A45">
      <w:pPr>
        <w:spacing w:line="360" w:lineRule="auto"/>
        <w:jc w:val="both"/>
        <w:rPr>
          <w:rFonts w:ascii="Palatino Linotype" w:hAnsi="Palatino Linotype"/>
        </w:rPr>
      </w:pPr>
      <w:r w:rsidRPr="007E1D7F">
        <w:rPr>
          <w:rFonts w:ascii="Palatino Linotype" w:hAnsi="Palatino Linotype"/>
        </w:rPr>
        <w:t>Resolución del Pleno del Instituto de Transparencia, Acceso a la Información Pública y Protección de Datos Personales del Estado de México y Municipios, con domicilio en Metepec, Estado de México, a diez de junio de dos mil veintiséis.</w:t>
      </w:r>
    </w:p>
    <w:p w:rsidR="00584A45" w:rsidRPr="007E1D7F" w:rsidRDefault="00584A45" w:rsidP="00584A45">
      <w:pPr>
        <w:spacing w:line="360" w:lineRule="auto"/>
        <w:jc w:val="both"/>
        <w:rPr>
          <w:rFonts w:ascii="Palatino Linotype" w:hAnsi="Palatino Linotype"/>
        </w:rPr>
      </w:pPr>
    </w:p>
    <w:p w:rsidR="00584A45" w:rsidRPr="007E1D7F" w:rsidRDefault="00584A45" w:rsidP="00584A45">
      <w:pPr>
        <w:tabs>
          <w:tab w:val="left" w:pos="1701"/>
        </w:tabs>
        <w:spacing w:before="240" w:line="360" w:lineRule="auto"/>
        <w:jc w:val="both"/>
        <w:rPr>
          <w:rFonts w:ascii="Palatino Linotype" w:hAnsi="Palatino Linotype" w:cs="Arial"/>
          <w:sz w:val="28"/>
        </w:rPr>
      </w:pPr>
      <w:r w:rsidRPr="007E1D7F">
        <w:rPr>
          <w:rFonts w:ascii="Palatino Linotype" w:hAnsi="Palatino Linotype" w:cs="Arial"/>
          <w:b/>
        </w:rPr>
        <w:t>VISTO</w:t>
      </w:r>
      <w:r w:rsidRPr="007E1D7F">
        <w:rPr>
          <w:rFonts w:ascii="Palatino Linotype" w:hAnsi="Palatino Linotype" w:cs="Arial"/>
        </w:rPr>
        <w:t xml:space="preserve"> el expediente electrónico formado con motivo del recurso de revisión número</w:t>
      </w:r>
      <w:r w:rsidRPr="007E1D7F">
        <w:rPr>
          <w:rFonts w:ascii="Palatino Linotype" w:hAnsi="Palatino Linotype" w:cs="Arial"/>
          <w:b/>
        </w:rPr>
        <w:t xml:space="preserve"> </w:t>
      </w:r>
      <w:r w:rsidRPr="007E1D7F">
        <w:rPr>
          <w:rFonts w:ascii="Palatino Linotype" w:hAnsi="Palatino Linotype" w:cs="Arial"/>
          <w:b/>
          <w:bCs/>
          <w:lang w:eastAsia="es-MX"/>
        </w:rPr>
        <w:t xml:space="preserve">014085/INFOEM/IP/RR/2025, </w:t>
      </w:r>
      <w:r w:rsidRPr="007E1D7F">
        <w:rPr>
          <w:rFonts w:ascii="Palatino Linotype" w:hAnsi="Palatino Linotype"/>
        </w:rPr>
        <w:t>interpuesto por “</w:t>
      </w:r>
      <w:r w:rsidR="004005E7">
        <w:rPr>
          <w:rFonts w:ascii="Palatino Linotype" w:hAnsi="Palatino Linotype"/>
        </w:rPr>
        <w:t>XXXXXXXXXXXXXXXXXXXXXXX</w:t>
      </w:r>
      <w:bookmarkStart w:id="0" w:name="_GoBack"/>
      <w:bookmarkEnd w:id="0"/>
      <w:r w:rsidRPr="007E1D7F">
        <w:rPr>
          <w:rFonts w:ascii="Palatino Linotype" w:hAnsi="Palatino Linotype"/>
        </w:rPr>
        <w:t xml:space="preserve">”, en lo sucesivo la parte </w:t>
      </w:r>
      <w:r w:rsidRPr="007E1D7F">
        <w:rPr>
          <w:rFonts w:ascii="Palatino Linotype" w:hAnsi="Palatino Linotype"/>
          <w:b/>
        </w:rPr>
        <w:t>Recurrente</w:t>
      </w:r>
      <w:r w:rsidRPr="007E1D7F">
        <w:rPr>
          <w:rFonts w:ascii="Palatino Linotype" w:hAnsi="Palatino Linotype"/>
        </w:rPr>
        <w:t xml:space="preserve">, en contra de la respuesta del </w:t>
      </w:r>
      <w:r w:rsidRPr="007E1D7F">
        <w:rPr>
          <w:rFonts w:ascii="Palatino Linotype" w:hAnsi="Palatino Linotype"/>
          <w:b/>
        </w:rPr>
        <w:t>Ayuntamiento de Texcoco</w:t>
      </w:r>
      <w:r w:rsidRPr="007E1D7F">
        <w:rPr>
          <w:rFonts w:ascii="Palatino Linotype" w:hAnsi="Palatino Linotype"/>
        </w:rPr>
        <w:t xml:space="preserve">, en lo subsecuente el </w:t>
      </w:r>
      <w:r w:rsidRPr="007E1D7F">
        <w:rPr>
          <w:rFonts w:ascii="Palatino Linotype" w:hAnsi="Palatino Linotype"/>
          <w:b/>
        </w:rPr>
        <w:t>Sujeto Obligado</w:t>
      </w:r>
      <w:r w:rsidRPr="007E1D7F">
        <w:rPr>
          <w:rFonts w:ascii="Palatino Linotype" w:hAnsi="Palatino Linotype"/>
        </w:rPr>
        <w:t>, se procede a dictar la presente resolución.</w:t>
      </w:r>
    </w:p>
    <w:p w:rsidR="00584A45" w:rsidRPr="007E1D7F" w:rsidRDefault="00584A45" w:rsidP="00584A45">
      <w:pPr>
        <w:pStyle w:val="infoemcitas"/>
        <w:jc w:val="center"/>
        <w:rPr>
          <w:b/>
          <w:bCs/>
          <w:i w:val="0"/>
          <w:iCs/>
          <w:sz w:val="28"/>
          <w:szCs w:val="28"/>
        </w:rPr>
      </w:pPr>
    </w:p>
    <w:p w:rsidR="00584A45" w:rsidRPr="007E1D7F" w:rsidRDefault="00584A45" w:rsidP="00584A45">
      <w:pPr>
        <w:pStyle w:val="infoemcitas"/>
        <w:jc w:val="center"/>
        <w:rPr>
          <w:b/>
          <w:bCs/>
          <w:i w:val="0"/>
          <w:iCs/>
          <w:sz w:val="28"/>
          <w:szCs w:val="28"/>
        </w:rPr>
      </w:pPr>
      <w:r w:rsidRPr="007E1D7F">
        <w:rPr>
          <w:b/>
          <w:bCs/>
          <w:i w:val="0"/>
          <w:iCs/>
          <w:sz w:val="28"/>
          <w:szCs w:val="28"/>
        </w:rPr>
        <w:t>A N T E C E D E N T E S   D E L   A S U N T O</w:t>
      </w:r>
    </w:p>
    <w:p w:rsidR="00584A45" w:rsidRPr="007E1D7F" w:rsidRDefault="00584A45" w:rsidP="00584A45">
      <w:pPr>
        <w:spacing w:before="240" w:after="240" w:line="360" w:lineRule="auto"/>
        <w:jc w:val="both"/>
        <w:rPr>
          <w:rFonts w:ascii="Palatino Linotype" w:hAnsi="Palatino Linotype"/>
        </w:rPr>
      </w:pPr>
      <w:r w:rsidRPr="007E1D7F">
        <w:rPr>
          <w:rFonts w:ascii="Palatino Linotype" w:hAnsi="Palatino Linotype" w:cs="Arial"/>
          <w:b/>
          <w:sz w:val="28"/>
        </w:rPr>
        <w:t>PRIMERO.</w:t>
      </w:r>
      <w:r w:rsidRPr="007E1D7F">
        <w:rPr>
          <w:rFonts w:ascii="Palatino Linotype" w:hAnsi="Palatino Linotype" w:cs="Arial"/>
        </w:rPr>
        <w:t xml:space="preserve"> </w:t>
      </w:r>
      <w:r w:rsidRPr="007E1D7F">
        <w:rPr>
          <w:rFonts w:ascii="Palatino Linotype" w:hAnsi="Palatino Linotype"/>
          <w:b/>
          <w:sz w:val="28"/>
          <w:szCs w:val="28"/>
        </w:rPr>
        <w:t>De la Solicitud de Información.</w:t>
      </w:r>
    </w:p>
    <w:p w:rsidR="00584A45" w:rsidRPr="007E1D7F" w:rsidRDefault="00584A45" w:rsidP="00584A45">
      <w:pPr>
        <w:spacing w:before="240" w:line="360" w:lineRule="auto"/>
        <w:jc w:val="both"/>
        <w:rPr>
          <w:rFonts w:ascii="Palatino Linotype" w:hAnsi="Palatino Linotype" w:cs="Arial"/>
        </w:rPr>
      </w:pPr>
      <w:r w:rsidRPr="007E1D7F">
        <w:rPr>
          <w:rFonts w:ascii="Palatino Linotype" w:hAnsi="Palatino Linotype" w:cs="Arial"/>
        </w:rPr>
        <w:t xml:space="preserve">Con fecha </w:t>
      </w:r>
      <w:r w:rsidRPr="007E1D7F">
        <w:rPr>
          <w:rFonts w:ascii="Palatino Linotype" w:hAnsi="Palatino Linotype" w:cs="Arial"/>
          <w:b/>
        </w:rPr>
        <w:t>catorce de noviembre de dos mil veinticinco</w:t>
      </w:r>
      <w:r w:rsidRPr="007E1D7F">
        <w:rPr>
          <w:rFonts w:ascii="Palatino Linotype" w:hAnsi="Palatino Linotype" w:cs="Arial"/>
        </w:rPr>
        <w:t>, la parte</w:t>
      </w:r>
      <w:r w:rsidRPr="007E1D7F">
        <w:rPr>
          <w:rFonts w:ascii="Palatino Linotype" w:hAnsi="Palatino Linotype" w:cs="Arial"/>
          <w:b/>
        </w:rPr>
        <w:t xml:space="preserve"> Recurrente </w:t>
      </w:r>
      <w:r w:rsidRPr="007E1D7F">
        <w:rPr>
          <w:rFonts w:ascii="Palatino Linotype" w:hAnsi="Palatino Linotype" w:cs="Arial"/>
        </w:rPr>
        <w:t>presentó a través de la Plataforma Nacional de Transparencia (</w:t>
      </w:r>
      <w:r w:rsidRPr="007E1D7F">
        <w:rPr>
          <w:rFonts w:ascii="Palatino Linotype" w:hAnsi="Palatino Linotype" w:cs="Arial"/>
          <w:b/>
        </w:rPr>
        <w:t>PNT</w:t>
      </w:r>
      <w:r w:rsidRPr="007E1D7F">
        <w:rPr>
          <w:rFonts w:ascii="Palatino Linotype" w:hAnsi="Palatino Linotype" w:cs="Arial"/>
        </w:rPr>
        <w:t>), misma que está vinculada el Sistema de Acceso a la Información Mexiquense (</w:t>
      </w:r>
      <w:r w:rsidRPr="007E1D7F">
        <w:rPr>
          <w:rFonts w:ascii="Palatino Linotype" w:hAnsi="Palatino Linotype" w:cs="Arial"/>
          <w:b/>
        </w:rPr>
        <w:t>SAIMEX)</w:t>
      </w:r>
      <w:r w:rsidRPr="007E1D7F">
        <w:rPr>
          <w:rFonts w:ascii="Palatino Linotype" w:hAnsi="Palatino Linotype" w:cs="Arial"/>
        </w:rPr>
        <w:t xml:space="preserve"> ante </w:t>
      </w:r>
      <w:r w:rsidRPr="007E1D7F">
        <w:rPr>
          <w:rFonts w:ascii="Palatino Linotype" w:hAnsi="Palatino Linotype" w:cs="Arial"/>
          <w:b/>
        </w:rPr>
        <w:t>El Sujeto Obligado</w:t>
      </w:r>
      <w:r w:rsidRPr="007E1D7F">
        <w:rPr>
          <w:rFonts w:ascii="Palatino Linotype" w:hAnsi="Palatino Linotype" w:cs="Arial"/>
        </w:rPr>
        <w:t xml:space="preserve">, solicitud de acceso a la información pública, registrada bajo el número de expediente </w:t>
      </w:r>
      <w:r w:rsidRPr="007E1D7F">
        <w:rPr>
          <w:rFonts w:ascii="Palatino Linotype" w:hAnsi="Palatino Linotype" w:cs="Arial"/>
          <w:b/>
        </w:rPr>
        <w:t xml:space="preserve">00263/TEXCOCO/IP/202, </w:t>
      </w:r>
      <w:r w:rsidRPr="007E1D7F">
        <w:rPr>
          <w:rFonts w:ascii="Palatino Linotype" w:hAnsi="Palatino Linotype" w:cs="Arial"/>
        </w:rPr>
        <w:t>mediante la cual solicitó información en el tenor siguiente:</w:t>
      </w:r>
    </w:p>
    <w:p w:rsidR="00584A45" w:rsidRPr="007E1D7F" w:rsidRDefault="00584A45" w:rsidP="00584A45">
      <w:pPr>
        <w:pStyle w:val="INFOEM"/>
        <w:rPr>
          <w:lang w:val="es-ES_tradnl" w:eastAsia="es-ES"/>
        </w:rPr>
      </w:pPr>
      <w:r w:rsidRPr="007E1D7F">
        <w:rPr>
          <w:lang w:val="es-ES_tradnl" w:eastAsia="es-ES"/>
        </w:rPr>
        <w:t>“</w:t>
      </w:r>
      <w:r w:rsidRPr="007E1D7F">
        <w:rPr>
          <w:lang w:val="es-ES" w:eastAsia="es-ES"/>
        </w:rPr>
        <w:t xml:space="preserve">solicito conocer el monto aprobado para el año 2025 en la comunidad de Santa Maria Tulantongo ? solicito saber el costo de las obras y estatus de las mismas realizadas o a realizar en Santa Maria Tulantongo? solicito saber que estrategias o politicas publicas a tomado el Ayuntamiento (Presidente y el cuerpo edilicio) para el </w:t>
      </w:r>
      <w:r w:rsidRPr="007E1D7F">
        <w:rPr>
          <w:lang w:val="es-ES" w:eastAsia="es-ES"/>
        </w:rPr>
        <w:lastRenderedPageBreak/>
        <w:t>desempleo,desarrollo economico,falta de infrestructura urbana,falta de alumbrado publico y zonas de recreacion.” (</w:t>
      </w:r>
      <w:r w:rsidRPr="007E1D7F">
        <w:rPr>
          <w:lang w:val="es-ES_tradnl" w:eastAsia="es-ES"/>
        </w:rPr>
        <w:t>Sic)</w:t>
      </w:r>
    </w:p>
    <w:p w:rsidR="00584A45" w:rsidRPr="007E1D7F" w:rsidRDefault="00584A45" w:rsidP="00584A45">
      <w:pPr>
        <w:spacing w:before="240" w:line="360" w:lineRule="auto"/>
        <w:jc w:val="both"/>
        <w:rPr>
          <w:rFonts w:ascii="Palatino Linotype" w:hAnsi="Palatino Linotype"/>
          <w:lang w:val="es-ES_tradnl"/>
        </w:rPr>
      </w:pPr>
      <w:r w:rsidRPr="007E1D7F">
        <w:rPr>
          <w:rFonts w:ascii="Palatino Linotype" w:hAnsi="Palatino Linotype"/>
          <w:b/>
          <w:lang w:val="es-ES_tradnl"/>
        </w:rPr>
        <w:t>Modalidad de entrega:</w:t>
      </w:r>
      <w:r w:rsidRPr="007E1D7F">
        <w:rPr>
          <w:rFonts w:ascii="Palatino Linotype" w:hAnsi="Palatino Linotype"/>
          <w:lang w:val="es-ES_tradnl"/>
        </w:rPr>
        <w:t xml:space="preserve"> A través del SAIMEX.</w:t>
      </w:r>
    </w:p>
    <w:p w:rsidR="00584A45" w:rsidRPr="007E1D7F" w:rsidRDefault="00584A45" w:rsidP="00584A45">
      <w:pPr>
        <w:spacing w:before="240" w:line="360" w:lineRule="auto"/>
        <w:jc w:val="both"/>
        <w:rPr>
          <w:rFonts w:ascii="Palatino Linotype" w:hAnsi="Palatino Linotype" w:cs="Arial"/>
        </w:rPr>
      </w:pPr>
    </w:p>
    <w:p w:rsidR="00584A45" w:rsidRPr="007E1D7F" w:rsidRDefault="00584A45" w:rsidP="00584A45">
      <w:pPr>
        <w:spacing w:before="240" w:line="360" w:lineRule="auto"/>
        <w:jc w:val="both"/>
        <w:rPr>
          <w:rFonts w:ascii="Palatino Linotype" w:hAnsi="Palatino Linotype"/>
        </w:rPr>
      </w:pPr>
      <w:r w:rsidRPr="007E1D7F">
        <w:rPr>
          <w:rFonts w:ascii="Palatino Linotype" w:hAnsi="Palatino Linotype" w:cs="Arial"/>
          <w:b/>
          <w:sz w:val="28"/>
        </w:rPr>
        <w:t xml:space="preserve">SEGUNDO. De la </w:t>
      </w:r>
      <w:r w:rsidRPr="007E1D7F">
        <w:rPr>
          <w:rFonts w:ascii="Palatino Linotype" w:hAnsi="Palatino Linotype" w:cs="Arial"/>
          <w:b/>
          <w:sz w:val="28"/>
          <w:szCs w:val="20"/>
        </w:rPr>
        <w:t>Incompetencia.</w:t>
      </w:r>
    </w:p>
    <w:p w:rsidR="00584A45" w:rsidRPr="007E1D7F" w:rsidRDefault="00584A45" w:rsidP="00584A45">
      <w:pPr>
        <w:pStyle w:val="Sinespaciado"/>
        <w:spacing w:line="360" w:lineRule="auto"/>
        <w:jc w:val="both"/>
        <w:rPr>
          <w:rFonts w:ascii="Palatino Linotype" w:hAnsi="Palatino Linotype" w:cs="Arial"/>
          <w:b/>
          <w:sz w:val="24"/>
        </w:rPr>
      </w:pPr>
      <w:r w:rsidRPr="007E1D7F">
        <w:rPr>
          <w:rFonts w:ascii="Palatino Linotype" w:hAnsi="Palatino Linotype"/>
          <w:sz w:val="24"/>
        </w:rPr>
        <w:t xml:space="preserve">De las constancias que obran en el expediente electrónico, se advierte que el </w:t>
      </w:r>
      <w:r w:rsidRPr="007E1D7F">
        <w:rPr>
          <w:rFonts w:ascii="Palatino Linotype" w:hAnsi="Palatino Linotype" w:cs="Arial"/>
          <w:sz w:val="24"/>
        </w:rPr>
        <w:t xml:space="preserve">día </w:t>
      </w:r>
      <w:r w:rsidRPr="007E1D7F">
        <w:rPr>
          <w:rFonts w:ascii="Palatino Linotype" w:hAnsi="Palatino Linotype" w:cs="Arial"/>
          <w:b/>
          <w:sz w:val="24"/>
        </w:rPr>
        <w:t>cuatro de diciembre de dos mil veinticinco</w:t>
      </w:r>
      <w:r w:rsidRPr="007E1D7F">
        <w:rPr>
          <w:rFonts w:ascii="Palatino Linotype" w:hAnsi="Palatino Linotype" w:cs="Arial"/>
          <w:sz w:val="24"/>
        </w:rPr>
        <w:t xml:space="preserve">, el </w:t>
      </w:r>
      <w:r w:rsidRPr="007E1D7F">
        <w:rPr>
          <w:rFonts w:ascii="Palatino Linotype" w:hAnsi="Palatino Linotype" w:cs="Arial"/>
          <w:b/>
          <w:sz w:val="24"/>
        </w:rPr>
        <w:t>Sujeto Obligado</w:t>
      </w:r>
      <w:r w:rsidRPr="007E1D7F">
        <w:rPr>
          <w:rFonts w:ascii="Palatino Linotype" w:hAnsi="Palatino Linotype" w:cs="Arial"/>
          <w:sz w:val="24"/>
        </w:rPr>
        <w:t xml:space="preserve"> dio respuesta a la solicitud de información en los siguientes términos: </w:t>
      </w:r>
    </w:p>
    <w:p w:rsidR="00584A45" w:rsidRPr="007E1D7F" w:rsidRDefault="00584A45" w:rsidP="00584A45">
      <w:pPr>
        <w:spacing w:line="360" w:lineRule="auto"/>
        <w:jc w:val="both"/>
        <w:rPr>
          <w:rFonts w:ascii="Palatino Linotype" w:hAnsi="Palatino Linotype" w:cs="Arial"/>
        </w:rPr>
      </w:pPr>
    </w:p>
    <w:p w:rsidR="00584A45" w:rsidRPr="007E1D7F" w:rsidRDefault="00584A45" w:rsidP="00584A45">
      <w:pPr>
        <w:ind w:left="567" w:right="567"/>
        <w:jc w:val="both"/>
        <w:rPr>
          <w:rFonts w:ascii="Palatino Linotype" w:hAnsi="Palatino Linotype" w:cs="Arial"/>
          <w:i/>
        </w:rPr>
      </w:pPr>
      <w:r w:rsidRPr="007E1D7F">
        <w:rPr>
          <w:rFonts w:ascii="Palatino Linotype" w:hAnsi="Palatino Linotype" w:cs="Arial"/>
          <w:i/>
        </w:rPr>
        <w:t>“SOLICITUD: 00263/TEXCOCO/IP/2025 Texcoco, Estado de México a 08 de DICIEMBRE del 2025 C. SOLICITANTE P R E S E N T E En respuesta a su solicitud recibida, nos permitimos hacer de su conocimiento que con fundamento en el artículo 53, fracciones: II, V y VI de la Ley de Transparencia y Acceso a la Información Pública del Estado de México y Municipios, le contestamos que: SE ADJUNTA EN ARCHIVO PDF, LA RESPUESTA A SU SOLICITUD DE INFORMACION. A T E N T A M E N T E LIC. RENE JONATHAN SANDOVAL TINOCO TITULAR DE LA UNIDAD DE TRANSPARENCIA “(Sic).</w:t>
      </w:r>
    </w:p>
    <w:p w:rsidR="00584A45" w:rsidRPr="007E1D7F" w:rsidRDefault="00584A45" w:rsidP="00584A45">
      <w:pPr>
        <w:spacing w:line="360" w:lineRule="auto"/>
        <w:ind w:right="567"/>
        <w:jc w:val="both"/>
        <w:rPr>
          <w:rFonts w:ascii="Palatino Linotype" w:hAnsi="Palatino Linotype" w:cs="Arial"/>
        </w:rPr>
      </w:pPr>
    </w:p>
    <w:p w:rsidR="00584A45" w:rsidRPr="007E1D7F" w:rsidRDefault="00584A45" w:rsidP="00584A45">
      <w:pPr>
        <w:spacing w:line="360" w:lineRule="auto"/>
        <w:jc w:val="both"/>
        <w:rPr>
          <w:rFonts w:ascii="Palatino Linotype" w:hAnsi="Palatino Linotype" w:cs="Arial"/>
        </w:rPr>
      </w:pPr>
      <w:r w:rsidRPr="007E1D7F">
        <w:rPr>
          <w:rFonts w:ascii="Palatino Linotype" w:hAnsi="Palatino Linotype" w:cs="Arial"/>
        </w:rPr>
        <w:t xml:space="preserve">Adicionalmente, el </w:t>
      </w:r>
      <w:r w:rsidRPr="007E1D7F">
        <w:rPr>
          <w:rFonts w:ascii="Palatino Linotype" w:hAnsi="Palatino Linotype" w:cs="Arial"/>
          <w:b/>
        </w:rPr>
        <w:t>Sujeto Obligado</w:t>
      </w:r>
      <w:r w:rsidRPr="007E1D7F">
        <w:rPr>
          <w:rFonts w:ascii="Palatino Linotype" w:hAnsi="Palatino Linotype" w:cs="Arial"/>
        </w:rPr>
        <w:t xml:space="preserve"> adjuntó del archivo electrónico denominado “</w:t>
      </w:r>
      <w:r w:rsidRPr="007E1D7F">
        <w:rPr>
          <w:rFonts w:ascii="Palatino Linotype" w:hAnsi="Palatino Linotype" w:cs="Arial"/>
          <w:b/>
          <w:i/>
        </w:rPr>
        <w:t xml:space="preserve">RESPUESTA A SOLICITUD 000263 CENTRO DE BIENESTAR ANIMAL INCOMPETENCIA.pdf”, </w:t>
      </w:r>
      <w:r w:rsidRPr="007E1D7F">
        <w:rPr>
          <w:rFonts w:ascii="Palatino Linotype" w:hAnsi="Palatino Linotype" w:cs="Arial"/>
        </w:rPr>
        <w:t xml:space="preserve">mismo que no se reproduce por ser del conocimiento de las partes, sin embargo, será materia de estudio en el considerando respectivo. </w:t>
      </w:r>
    </w:p>
    <w:p w:rsidR="00584A45" w:rsidRPr="007E1D7F" w:rsidRDefault="00584A45" w:rsidP="00584A45">
      <w:pPr>
        <w:spacing w:line="360" w:lineRule="auto"/>
        <w:jc w:val="both"/>
        <w:rPr>
          <w:rFonts w:ascii="Palatino Linotype" w:hAnsi="Palatino Linotype" w:cs="Arial"/>
        </w:rPr>
      </w:pPr>
    </w:p>
    <w:p w:rsidR="00584A45" w:rsidRPr="007E1D7F" w:rsidRDefault="00584A45" w:rsidP="00584A45">
      <w:pPr>
        <w:spacing w:before="240" w:line="360" w:lineRule="auto"/>
        <w:jc w:val="both"/>
        <w:rPr>
          <w:rFonts w:ascii="Palatino Linotype" w:hAnsi="Palatino Linotype" w:cs="Arial"/>
          <w:b/>
          <w:sz w:val="28"/>
        </w:rPr>
      </w:pPr>
      <w:r w:rsidRPr="007E1D7F">
        <w:rPr>
          <w:rFonts w:ascii="Palatino Linotype" w:hAnsi="Palatino Linotype" w:cs="Arial"/>
          <w:b/>
          <w:sz w:val="28"/>
        </w:rPr>
        <w:t xml:space="preserve">TERCERO. </w:t>
      </w:r>
      <w:r w:rsidRPr="007E1D7F">
        <w:rPr>
          <w:rFonts w:ascii="Palatino Linotype" w:hAnsi="Palatino Linotype"/>
          <w:b/>
          <w:sz w:val="28"/>
        </w:rPr>
        <w:t>Del recurso de revisión.</w:t>
      </w:r>
    </w:p>
    <w:p w:rsidR="00584A45" w:rsidRPr="007E1D7F" w:rsidRDefault="00584A45" w:rsidP="00584A45">
      <w:pPr>
        <w:spacing w:before="240" w:line="360" w:lineRule="auto"/>
        <w:jc w:val="both"/>
        <w:rPr>
          <w:rFonts w:ascii="Palatino Linotype" w:hAnsi="Palatino Linotype" w:cs="Arial"/>
        </w:rPr>
      </w:pPr>
      <w:r w:rsidRPr="007E1D7F">
        <w:rPr>
          <w:rFonts w:ascii="Palatino Linotype" w:hAnsi="Palatino Linotype" w:cs="Arial"/>
        </w:rPr>
        <w:lastRenderedPageBreak/>
        <w:t xml:space="preserve">Inconforme con la respuesta notificada por </w:t>
      </w:r>
      <w:r w:rsidRPr="007E1D7F">
        <w:rPr>
          <w:rFonts w:ascii="Palatino Linotype" w:hAnsi="Palatino Linotype" w:cs="Arial"/>
          <w:b/>
        </w:rPr>
        <w:t xml:space="preserve">El Sujeto Obligado, </w:t>
      </w:r>
      <w:r w:rsidRPr="007E1D7F">
        <w:rPr>
          <w:rFonts w:ascii="Palatino Linotype" w:hAnsi="Palatino Linotype" w:cs="Arial"/>
        </w:rPr>
        <w:t>el</w:t>
      </w:r>
      <w:r w:rsidRPr="007E1D7F">
        <w:rPr>
          <w:rFonts w:ascii="Palatino Linotype" w:hAnsi="Palatino Linotype" w:cs="Arial"/>
          <w:b/>
        </w:rPr>
        <w:t xml:space="preserve"> Recurrente </w:t>
      </w:r>
      <w:r w:rsidRPr="007E1D7F">
        <w:rPr>
          <w:rFonts w:ascii="Palatino Linotype" w:hAnsi="Palatino Linotype" w:cs="Arial"/>
        </w:rPr>
        <w:t xml:space="preserve">interpuso recurso de revisión, en fecha </w:t>
      </w:r>
      <w:r w:rsidR="005F45E7" w:rsidRPr="007E1D7F">
        <w:rPr>
          <w:rFonts w:ascii="Palatino Linotype" w:hAnsi="Palatino Linotype" w:cs="Arial"/>
          <w:b/>
        </w:rPr>
        <w:t>d</w:t>
      </w:r>
      <w:r w:rsidR="00262438" w:rsidRPr="007E1D7F">
        <w:rPr>
          <w:rFonts w:ascii="Palatino Linotype" w:hAnsi="Palatino Linotype" w:cs="Arial"/>
          <w:b/>
        </w:rPr>
        <w:t>iez</w:t>
      </w:r>
      <w:r w:rsidR="005F45E7" w:rsidRPr="007E1D7F">
        <w:rPr>
          <w:rFonts w:ascii="Palatino Linotype" w:hAnsi="Palatino Linotype" w:cs="Arial"/>
          <w:b/>
        </w:rPr>
        <w:t xml:space="preserve"> de diciembre</w:t>
      </w:r>
      <w:r w:rsidRPr="007E1D7F">
        <w:rPr>
          <w:rFonts w:ascii="Palatino Linotype" w:hAnsi="Palatino Linotype" w:cs="Arial"/>
          <w:b/>
        </w:rPr>
        <w:t xml:space="preserve"> de dos mil veinticinco</w:t>
      </w:r>
      <w:r w:rsidRPr="007E1D7F">
        <w:rPr>
          <w:rFonts w:ascii="Palatino Linotype" w:hAnsi="Palatino Linotype" w:cs="Arial"/>
        </w:rPr>
        <w:t xml:space="preserve">, el cual fue registrado en el sistema electrónico con el expediente número </w:t>
      </w:r>
      <w:r w:rsidRPr="007E1D7F">
        <w:rPr>
          <w:rFonts w:ascii="Palatino Linotype" w:hAnsi="Palatino Linotype" w:cs="Arial"/>
          <w:b/>
        </w:rPr>
        <w:t xml:space="preserve">014085/INFOEM/IP/RR/2025; </w:t>
      </w:r>
      <w:r w:rsidRPr="007E1D7F">
        <w:rPr>
          <w:rFonts w:ascii="Palatino Linotype" w:hAnsi="Palatino Linotype" w:cs="Arial"/>
        </w:rPr>
        <w:t>en los cuales arguye las siguientes manifestaciones:</w:t>
      </w:r>
    </w:p>
    <w:p w:rsidR="00584A45" w:rsidRPr="007E1D7F" w:rsidRDefault="00584A45" w:rsidP="00584A45">
      <w:pPr>
        <w:pStyle w:val="Prrafodelista"/>
        <w:numPr>
          <w:ilvl w:val="0"/>
          <w:numId w:val="2"/>
        </w:numPr>
        <w:spacing w:before="240" w:line="360" w:lineRule="auto"/>
        <w:ind w:left="142" w:firstLine="0"/>
        <w:jc w:val="both"/>
        <w:rPr>
          <w:rFonts w:ascii="Palatino Linotype" w:hAnsi="Palatino Linotype" w:cs="Arial"/>
          <w:b/>
          <w:i/>
        </w:rPr>
      </w:pPr>
      <w:r w:rsidRPr="007E1D7F">
        <w:rPr>
          <w:rFonts w:ascii="Palatino Linotype" w:hAnsi="Palatino Linotype" w:cs="Arial"/>
          <w:b/>
          <w:i/>
        </w:rPr>
        <w:t xml:space="preserve">Acto impugnado </w:t>
      </w:r>
    </w:p>
    <w:p w:rsidR="00584A45" w:rsidRPr="007E1D7F" w:rsidRDefault="00584A45" w:rsidP="00584A45">
      <w:pPr>
        <w:pStyle w:val="INFOEM"/>
        <w:ind w:left="720"/>
      </w:pPr>
      <w:r w:rsidRPr="007E1D7F">
        <w:t>“</w:t>
      </w:r>
      <w:r w:rsidR="00BC6EA8" w:rsidRPr="007E1D7F">
        <w:t>solicito conocer el monto aprobado para el año 2025 en la comunidad de Santa Maria Tulantongo ? solicito saber el costo de las obras y estatus de las mismas realizadas o a realizar en Santa Maria Tulantongo? solicito saber que estrategias o politicas publicas a tomado el Ayuntamiento (Presidente y el cuerpo edilicio) para el desempleo,desarrollo economico,falta de infrestructura urbana,falta de alumbrado publico y zonas de recreacion.</w:t>
      </w:r>
      <w:r w:rsidRPr="007E1D7F">
        <w:t>” (sic)</w:t>
      </w:r>
    </w:p>
    <w:p w:rsidR="00584A45" w:rsidRPr="007E1D7F" w:rsidRDefault="00584A45" w:rsidP="00584A45">
      <w:pPr>
        <w:pStyle w:val="Prrafodelista"/>
        <w:numPr>
          <w:ilvl w:val="0"/>
          <w:numId w:val="2"/>
        </w:numPr>
        <w:spacing w:before="240" w:line="360" w:lineRule="auto"/>
        <w:ind w:left="142" w:firstLine="0"/>
        <w:jc w:val="both"/>
        <w:rPr>
          <w:rFonts w:ascii="Palatino Linotype" w:hAnsi="Palatino Linotype" w:cs="Arial"/>
          <w:b/>
          <w:i/>
        </w:rPr>
      </w:pPr>
      <w:r w:rsidRPr="007E1D7F">
        <w:rPr>
          <w:rFonts w:ascii="Palatino Linotype" w:hAnsi="Palatino Linotype" w:cs="Arial"/>
          <w:b/>
          <w:i/>
        </w:rPr>
        <w:t>Razones o motivos de inconformidad</w:t>
      </w:r>
    </w:p>
    <w:p w:rsidR="00584A45" w:rsidRPr="007E1D7F" w:rsidRDefault="00584A45" w:rsidP="00584A45">
      <w:pPr>
        <w:pStyle w:val="INFOEM"/>
        <w:ind w:left="709"/>
      </w:pPr>
      <w:r w:rsidRPr="007E1D7F">
        <w:t>“</w:t>
      </w:r>
      <w:r w:rsidR="00BC6EA8" w:rsidRPr="007E1D7F">
        <w:rPr>
          <w:lang w:val="es-ES"/>
        </w:rPr>
        <w:t xml:space="preserve">NO ESTAN DANDO LA INFORMACION SOLICITADA,SOLO ME ESTAN SUGIRIENDO QUE ME DIRIJA AL DIF A REALIZAR DICHA SOLICITUD CUANDO SEGUN LO ESTABLECIDO EN LA LEY ORGANICA Y BANDO MUNICIPAL DE TEXCOCO VIGENTE DEBERIAN TENER ESA INFORMACION EL H. AYUNTAMIENTO DE TEXCOCO.EN VIRTUD DE LO ANTERIOR ESTAN DESVIRTUANDO COMPLETAMENTE MI RESPUESTA Y EL SUJETO OBLIGADO ESTA SIENDO OMISO COMO EL RESPONSABLE DE LA UNIDAD DE TRANSPARENCIA AL BRINDARME DICHA RESPUESTA. A EFECTO DE LO ANTERIORMENTE DICHO SOLICITO LA CONTESTACION COMPLETA DE MI SOLICITUD DE INFORMACION PUESTO QUE CUENTAN CON LA MISMA. ES DECIR COMO EL SISTEMA MUNICIPAL DIF VA CONCER EL MONTO APROBADO PARA EL AÑO 2025 </w:t>
      </w:r>
      <w:r w:rsidR="00BC6EA8" w:rsidRPr="007E1D7F">
        <w:rPr>
          <w:lang w:val="es-ES"/>
        </w:rPr>
        <w:lastRenderedPageBreak/>
        <w:t>EN SANTA MARIA TULANTONGO. O EL COSTO DE LAS OBRAS. SON PREGUNTAS DIRECTAS A LAS AREAS CORRESPONDIENTES Y COMPETENTES DEL H. AYUNTAMIENTO Y EVADEN LA RESPONSABILIDAD DE CONTESTAR LA INFORMACION SOLICITAD CON COSAS SIN SENTIDO. MANIFIESTO Y EXIJO LO QUE A DERECHO CORRESPONDA.</w:t>
      </w:r>
      <w:r w:rsidRPr="007E1D7F">
        <w:t>” (Sic)</w:t>
      </w:r>
    </w:p>
    <w:p w:rsidR="00584A45" w:rsidRPr="007E1D7F" w:rsidRDefault="00584A45" w:rsidP="00584A45">
      <w:pPr>
        <w:spacing w:before="240" w:line="360" w:lineRule="auto"/>
        <w:jc w:val="both"/>
        <w:rPr>
          <w:rFonts w:ascii="Palatino Linotype" w:hAnsi="Palatino Linotype" w:cs="Arial"/>
        </w:rPr>
      </w:pPr>
    </w:p>
    <w:p w:rsidR="00584A45" w:rsidRPr="007E1D7F" w:rsidRDefault="00584A45" w:rsidP="00584A45">
      <w:pPr>
        <w:spacing w:before="240" w:line="360" w:lineRule="auto"/>
        <w:jc w:val="both"/>
        <w:rPr>
          <w:rFonts w:ascii="Palatino Linotype" w:hAnsi="Palatino Linotype" w:cs="Arial"/>
          <w:b/>
        </w:rPr>
      </w:pPr>
      <w:r w:rsidRPr="007E1D7F">
        <w:rPr>
          <w:rFonts w:ascii="Palatino Linotype" w:hAnsi="Palatino Linotype" w:cs="Arial"/>
          <w:b/>
          <w:sz w:val="28"/>
        </w:rPr>
        <w:t>CUARTO</w:t>
      </w:r>
      <w:r w:rsidRPr="007E1D7F">
        <w:rPr>
          <w:rFonts w:ascii="Palatino Linotype" w:hAnsi="Palatino Linotype" w:cs="Arial"/>
          <w:b/>
        </w:rPr>
        <w:t xml:space="preserve">. </w:t>
      </w:r>
      <w:r w:rsidRPr="007E1D7F">
        <w:rPr>
          <w:rFonts w:ascii="Palatino Linotype" w:hAnsi="Palatino Linotype" w:cs="Arial"/>
          <w:b/>
          <w:sz w:val="28"/>
          <w:szCs w:val="28"/>
        </w:rPr>
        <w:t>Del turno y admisión del recurso de revisión.</w:t>
      </w:r>
    </w:p>
    <w:p w:rsidR="00584A45" w:rsidRPr="007E1D7F" w:rsidRDefault="00584A45" w:rsidP="00584A45">
      <w:pPr>
        <w:spacing w:before="240" w:line="360" w:lineRule="auto"/>
        <w:jc w:val="both"/>
        <w:rPr>
          <w:rFonts w:ascii="Palatino Linotype" w:hAnsi="Palatino Linotype" w:cs="Arial"/>
          <w:sz w:val="28"/>
        </w:rPr>
      </w:pPr>
      <w:r w:rsidRPr="007E1D7F">
        <w:rPr>
          <w:rFonts w:ascii="Palatino Linotype" w:hAnsi="Palatino Linotype"/>
        </w:rPr>
        <w:t xml:space="preserve">El medio de impugnación fue turnado al Comisionado Presidente </w:t>
      </w:r>
      <w:r w:rsidRPr="007E1D7F">
        <w:rPr>
          <w:rFonts w:ascii="Palatino Linotype" w:hAnsi="Palatino Linotype"/>
          <w:b/>
        </w:rPr>
        <w:t>José Martínez Vilchis,</w:t>
      </w:r>
      <w:r w:rsidRPr="007E1D7F">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7E1D7F">
        <w:rPr>
          <w:rFonts w:ascii="Palatino Linotype" w:hAnsi="Palatino Linotype"/>
          <w:b/>
        </w:rPr>
        <w:t>admisión</w:t>
      </w:r>
      <w:r w:rsidRPr="007E1D7F">
        <w:rPr>
          <w:rFonts w:ascii="Palatino Linotype" w:hAnsi="Palatino Linotype"/>
        </w:rPr>
        <w:t xml:space="preserve"> en fecha </w:t>
      </w:r>
      <w:r w:rsidR="00BC6EA8" w:rsidRPr="007E1D7F">
        <w:rPr>
          <w:rFonts w:ascii="Palatino Linotype" w:hAnsi="Palatino Linotype"/>
          <w:b/>
        </w:rPr>
        <w:t>quince</w:t>
      </w:r>
      <w:r w:rsidRPr="007E1D7F">
        <w:rPr>
          <w:rFonts w:ascii="Palatino Linotype" w:hAnsi="Palatino Linotype"/>
          <w:b/>
        </w:rPr>
        <w:t xml:space="preserve"> de diciembre de dos mil veinticinco</w:t>
      </w:r>
      <w:r w:rsidRPr="007E1D7F">
        <w:rPr>
          <w:rFonts w:ascii="Palatino Linotype" w:hAnsi="Palatino Linotype"/>
        </w:rPr>
        <w:t>, determinándose en ellos, un plazo de siete días para que las partes manifestaran lo que a su derecho corresponda en términos del numeral ya citado.</w:t>
      </w:r>
    </w:p>
    <w:p w:rsidR="00584A45" w:rsidRPr="007E1D7F" w:rsidRDefault="00584A45" w:rsidP="00584A45">
      <w:pPr>
        <w:spacing w:before="240" w:line="360" w:lineRule="auto"/>
        <w:jc w:val="both"/>
        <w:rPr>
          <w:rFonts w:ascii="Palatino Linotype" w:hAnsi="Palatino Linotype" w:cs="Arial"/>
          <w:sz w:val="28"/>
        </w:rPr>
      </w:pPr>
    </w:p>
    <w:p w:rsidR="00584A45" w:rsidRPr="007E1D7F" w:rsidRDefault="00584A45" w:rsidP="00584A45">
      <w:pPr>
        <w:pStyle w:val="Prrafodelista"/>
        <w:spacing w:line="360" w:lineRule="auto"/>
        <w:ind w:left="0"/>
        <w:jc w:val="both"/>
        <w:rPr>
          <w:rFonts w:ascii="Palatino Linotype" w:hAnsi="Palatino Linotype" w:cs="Arial"/>
          <w:b/>
          <w:sz w:val="28"/>
          <w:szCs w:val="28"/>
        </w:rPr>
      </w:pPr>
      <w:r w:rsidRPr="007E1D7F">
        <w:rPr>
          <w:rFonts w:ascii="Palatino Linotype" w:hAnsi="Palatino Linotype" w:cs="Arial"/>
          <w:b/>
          <w:sz w:val="28"/>
        </w:rPr>
        <w:t>QUINTO</w:t>
      </w:r>
      <w:r w:rsidRPr="007E1D7F">
        <w:rPr>
          <w:rFonts w:ascii="Palatino Linotype" w:hAnsi="Palatino Linotype" w:cs="Arial"/>
          <w:b/>
          <w:sz w:val="28"/>
          <w:szCs w:val="28"/>
        </w:rPr>
        <w:t>. De la etapa de instrucción.</w:t>
      </w:r>
    </w:p>
    <w:p w:rsidR="00DD3CD8" w:rsidRPr="007E1D7F" w:rsidRDefault="00DD3CD8" w:rsidP="00DD3CD8">
      <w:pPr>
        <w:spacing w:line="360" w:lineRule="auto"/>
        <w:jc w:val="both"/>
        <w:rPr>
          <w:rFonts w:ascii="Palatino Linotype" w:hAnsi="Palatino Linotype"/>
        </w:rPr>
      </w:pPr>
      <w:r w:rsidRPr="007E1D7F">
        <w:rPr>
          <w:rFonts w:ascii="Palatino Linotype" w:hAnsi="Palatino Linotype" w:cs="Arial"/>
        </w:rPr>
        <w:t xml:space="preserve">De las constancias que obran en el expediente electrónico del SAIMEX, se advierte que el </w:t>
      </w:r>
      <w:r w:rsidRPr="007E1D7F">
        <w:rPr>
          <w:rFonts w:ascii="Palatino Linotype" w:hAnsi="Palatino Linotype" w:cs="Arial"/>
          <w:b/>
        </w:rPr>
        <w:t>Sujeto Obligado</w:t>
      </w:r>
      <w:r w:rsidRPr="007E1D7F">
        <w:rPr>
          <w:rFonts w:ascii="Palatino Linotype" w:hAnsi="Palatino Linotype" w:cs="Arial"/>
        </w:rPr>
        <w:t xml:space="preserve"> rindió su informe justificado en fecha dieciséis de enero de dos mil veinticinco, por medio de los archivos electrónico “</w:t>
      </w:r>
      <w:r w:rsidRPr="007E1D7F">
        <w:rPr>
          <w:rFonts w:ascii="Palatino Linotype" w:hAnsi="Palatino Linotype" w:cs="Arial"/>
          <w:b/>
          <w:i/>
        </w:rPr>
        <w:t xml:space="preserve">RESPUESTA A SOLICITUD 00263 OBRAS.pdf”, </w:t>
      </w:r>
      <w:r w:rsidRPr="007E1D7F">
        <w:rPr>
          <w:rFonts w:ascii="Palatino Linotype" w:hAnsi="Palatino Linotype" w:cs="Arial"/>
        </w:rPr>
        <w:t>mismo que fue puesto a la vista del Recurrente.</w:t>
      </w:r>
      <w:r w:rsidR="00B51D2D" w:rsidRPr="007E1D7F">
        <w:rPr>
          <w:rFonts w:ascii="Palatino Linotype" w:hAnsi="Palatino Linotype" w:cs="Arial"/>
        </w:rPr>
        <w:t xml:space="preserve"> Por su parte, el Recurrente rindió sus manifestaciones y alegatos por medio del archivo “</w:t>
      </w:r>
      <w:r w:rsidR="00B51D2D" w:rsidRPr="007E1D7F">
        <w:rPr>
          <w:rFonts w:ascii="Palatino Linotype" w:hAnsi="Palatino Linotype" w:cs="Arial"/>
          <w:b/>
          <w:i/>
        </w:rPr>
        <w:t xml:space="preserve">RESPUESTA </w:t>
      </w:r>
      <w:r w:rsidR="00B51D2D" w:rsidRPr="007E1D7F">
        <w:rPr>
          <w:rFonts w:ascii="Palatino Linotype" w:hAnsi="Palatino Linotype" w:cs="Arial"/>
          <w:b/>
          <w:i/>
        </w:rPr>
        <w:lastRenderedPageBreak/>
        <w:t>A SOLICITUD 000263 CENTRO DE BIENESTAR ANIMAL INCOMPETENCIA (2).pdf</w:t>
      </w:r>
      <w:r w:rsidR="00B51D2D" w:rsidRPr="007E1D7F">
        <w:rPr>
          <w:rFonts w:ascii="Palatino Linotype" w:hAnsi="Palatino Linotype" w:cs="Arial"/>
          <w:i/>
        </w:rPr>
        <w:t xml:space="preserve">”, </w:t>
      </w:r>
      <w:r w:rsidR="00B51D2D" w:rsidRPr="007E1D7F">
        <w:rPr>
          <w:rFonts w:ascii="Palatino Linotype" w:hAnsi="Palatino Linotype" w:cs="Arial"/>
        </w:rPr>
        <w:t xml:space="preserve">mismo que corresponde a la respuesta remitida por el Sujeto Obligado. </w:t>
      </w:r>
    </w:p>
    <w:p w:rsidR="00DD3CD8" w:rsidRPr="007E1D7F" w:rsidRDefault="00DD3CD8" w:rsidP="00DD3CD8">
      <w:pPr>
        <w:spacing w:line="360" w:lineRule="auto"/>
        <w:jc w:val="both"/>
        <w:rPr>
          <w:rFonts w:ascii="Palatino Linotype" w:hAnsi="Palatino Linotype"/>
        </w:rPr>
      </w:pPr>
    </w:p>
    <w:p w:rsidR="00DD3CD8" w:rsidRPr="007E1D7F" w:rsidRDefault="00DD3CD8" w:rsidP="00DD3CD8">
      <w:pPr>
        <w:spacing w:line="360" w:lineRule="auto"/>
        <w:jc w:val="both"/>
        <w:rPr>
          <w:rFonts w:ascii="Palatino Linotype" w:hAnsi="Palatino Linotype" w:cs="Arial"/>
        </w:rPr>
      </w:pPr>
      <w:r w:rsidRPr="007E1D7F">
        <w:rPr>
          <w:rFonts w:ascii="Palatino Linotype" w:hAnsi="Palatino Linotype" w:cs="Arial"/>
        </w:rPr>
        <w:t xml:space="preserve">Así mismo, se aprecia que no se llevaron a cabo audiencias durante la sustanciación del recurso de revisión, ni se ofrecieron pruebas por parte del </w:t>
      </w:r>
      <w:r w:rsidRPr="007E1D7F">
        <w:rPr>
          <w:rFonts w:ascii="Palatino Linotype" w:hAnsi="Palatino Linotype" w:cs="Arial"/>
          <w:b/>
        </w:rPr>
        <w:t>Recurrente</w:t>
      </w:r>
      <w:r w:rsidRPr="007E1D7F">
        <w:rPr>
          <w:rFonts w:ascii="Palatino Linotype" w:hAnsi="Palatino Linotype" w:cs="Arial"/>
        </w:rPr>
        <w:t>; todo lo anterior en términos de los artículos 185 fracciones II y IV, y 195 de la Ley de Transparencia y Acceso a la Información Pública del Estado de México y Municipios.</w:t>
      </w:r>
    </w:p>
    <w:p w:rsidR="00584A45" w:rsidRPr="007E1D7F" w:rsidRDefault="00584A45" w:rsidP="00584A45">
      <w:pPr>
        <w:spacing w:line="360" w:lineRule="auto"/>
        <w:jc w:val="both"/>
        <w:rPr>
          <w:rFonts w:ascii="Palatino Linotype" w:hAnsi="Palatino Linotype" w:cs="Arial"/>
          <w:b/>
          <w:sz w:val="28"/>
          <w:szCs w:val="28"/>
        </w:rPr>
      </w:pPr>
    </w:p>
    <w:p w:rsidR="00584A45" w:rsidRPr="007E1D7F" w:rsidRDefault="00584A45" w:rsidP="00584A45">
      <w:pPr>
        <w:spacing w:line="360" w:lineRule="auto"/>
        <w:jc w:val="both"/>
        <w:rPr>
          <w:rFonts w:ascii="Palatino Linotype" w:eastAsia="Calibri" w:hAnsi="Palatino Linotype" w:cs="Arial"/>
          <w:b/>
          <w:sz w:val="28"/>
          <w:lang w:val="es-ES_tradnl"/>
        </w:rPr>
      </w:pPr>
      <w:r w:rsidRPr="007E1D7F">
        <w:rPr>
          <w:rFonts w:ascii="Palatino Linotype" w:eastAsia="Calibri" w:hAnsi="Palatino Linotype" w:cs="Arial"/>
          <w:b/>
          <w:sz w:val="28"/>
          <w:szCs w:val="28"/>
          <w:lang w:val="es-MX" w:eastAsia="en-US"/>
        </w:rPr>
        <w:t xml:space="preserve">SEXTO. </w:t>
      </w:r>
      <w:r w:rsidRPr="007E1D7F">
        <w:rPr>
          <w:rFonts w:ascii="Palatino Linotype" w:eastAsia="Calibri" w:hAnsi="Palatino Linotype" w:cs="Arial"/>
          <w:b/>
          <w:sz w:val="28"/>
          <w:lang w:val="es-ES_tradnl"/>
        </w:rPr>
        <w:t>De la ampliación del término para resolver.</w:t>
      </w:r>
    </w:p>
    <w:p w:rsidR="00584A45" w:rsidRPr="007E1D7F" w:rsidRDefault="00584A45" w:rsidP="00584A45">
      <w:pPr>
        <w:spacing w:line="360" w:lineRule="auto"/>
        <w:jc w:val="both"/>
        <w:rPr>
          <w:rFonts w:ascii="Palatino Linotype" w:hAnsi="Palatino Linotype" w:cs="Arial"/>
        </w:rPr>
      </w:pPr>
      <w:r w:rsidRPr="007E1D7F">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B51D2D" w:rsidRPr="007E1D7F">
        <w:rPr>
          <w:rFonts w:ascii="Palatino Linotype" w:hAnsi="Palatino Linotype" w:cs="Arial"/>
          <w:b/>
        </w:rPr>
        <w:t>veintinueve</w:t>
      </w:r>
      <w:r w:rsidRPr="007E1D7F">
        <w:rPr>
          <w:rFonts w:ascii="Palatino Linotype" w:hAnsi="Palatino Linotype" w:cs="Arial"/>
          <w:b/>
        </w:rPr>
        <w:t xml:space="preserve"> de mayo de dos mil veintiséis</w:t>
      </w:r>
      <w:r w:rsidRPr="007E1D7F">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584A45" w:rsidRPr="007E1D7F" w:rsidRDefault="00584A45" w:rsidP="00584A45">
      <w:pPr>
        <w:spacing w:line="360" w:lineRule="auto"/>
        <w:jc w:val="both"/>
        <w:rPr>
          <w:rFonts w:ascii="Palatino Linotype" w:eastAsia="Calibri" w:hAnsi="Palatino Linotype" w:cs="Arial"/>
          <w:b/>
          <w:sz w:val="28"/>
          <w:szCs w:val="28"/>
        </w:rPr>
      </w:pPr>
    </w:p>
    <w:p w:rsidR="00584A45" w:rsidRPr="007E1D7F" w:rsidRDefault="00584A45" w:rsidP="00584A45">
      <w:pPr>
        <w:spacing w:line="360" w:lineRule="auto"/>
        <w:jc w:val="both"/>
        <w:rPr>
          <w:rFonts w:ascii="Palatino Linotype" w:hAnsi="Palatino Linotype" w:cs="Arial"/>
          <w:b/>
          <w:sz w:val="28"/>
          <w:szCs w:val="28"/>
        </w:rPr>
      </w:pPr>
      <w:r w:rsidRPr="007E1D7F">
        <w:rPr>
          <w:rFonts w:ascii="Palatino Linotype" w:hAnsi="Palatino Linotype" w:cs="Arial"/>
          <w:b/>
          <w:sz w:val="28"/>
          <w:szCs w:val="28"/>
        </w:rPr>
        <w:t>SÉPTIMO.  Del Cierre de Instrucción.</w:t>
      </w:r>
    </w:p>
    <w:p w:rsidR="00584A45" w:rsidRPr="007E1D7F" w:rsidRDefault="00584A45" w:rsidP="00584A45">
      <w:pPr>
        <w:spacing w:line="360" w:lineRule="auto"/>
        <w:jc w:val="both"/>
        <w:rPr>
          <w:rFonts w:ascii="Palatino Linotype" w:hAnsi="Palatino Linotype" w:cs="Arial"/>
          <w:b/>
        </w:rPr>
      </w:pPr>
      <w:r w:rsidRPr="007E1D7F">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B51D2D" w:rsidRPr="007E1D7F">
        <w:rPr>
          <w:rFonts w:ascii="Palatino Linotype" w:hAnsi="Palatino Linotype" w:cs="Arial"/>
          <w:b/>
        </w:rPr>
        <w:t>cuatro de junio</w:t>
      </w:r>
      <w:r w:rsidRPr="007E1D7F">
        <w:rPr>
          <w:rFonts w:ascii="Palatino Linotype" w:hAnsi="Palatino Linotype" w:cs="Arial"/>
          <w:b/>
        </w:rPr>
        <w:t xml:space="preserve"> de dos mil veintiséis</w:t>
      </w:r>
      <w:r w:rsidRPr="007E1D7F">
        <w:rPr>
          <w:rFonts w:ascii="Palatino Linotype" w:hAnsi="Palatino Linotype" w:cs="Arial"/>
        </w:rPr>
        <w:t xml:space="preserve">, en términos del artículo 185 fracción VI de la Ley de Transparencia y Acceso a la </w:t>
      </w:r>
      <w:r w:rsidRPr="007E1D7F">
        <w:rPr>
          <w:rFonts w:ascii="Palatino Linotype" w:hAnsi="Palatino Linotype" w:cs="Arial"/>
        </w:rPr>
        <w:lastRenderedPageBreak/>
        <w:t>Información Pública del Estado de México y Municipios, ordenándose turnar el expediente a la resolución que en derecho proceda.</w:t>
      </w:r>
    </w:p>
    <w:p w:rsidR="00584A45" w:rsidRPr="007E1D7F" w:rsidRDefault="00584A45" w:rsidP="00584A45">
      <w:pPr>
        <w:spacing w:line="360" w:lineRule="auto"/>
        <w:jc w:val="both"/>
        <w:rPr>
          <w:rFonts w:ascii="Palatino Linotype" w:hAnsi="Palatino Linotype" w:cs="Arial"/>
          <w:b/>
          <w:sz w:val="28"/>
          <w:szCs w:val="28"/>
        </w:rPr>
      </w:pPr>
    </w:p>
    <w:p w:rsidR="00584A45" w:rsidRPr="007E1D7F" w:rsidRDefault="00584A45" w:rsidP="00584A45">
      <w:pPr>
        <w:spacing w:line="360" w:lineRule="auto"/>
        <w:jc w:val="center"/>
        <w:rPr>
          <w:rFonts w:ascii="Palatino Linotype" w:hAnsi="Palatino Linotype"/>
          <w:b/>
          <w:bCs/>
          <w:spacing w:val="60"/>
          <w:sz w:val="28"/>
          <w:lang w:val="es-ES_tradnl"/>
        </w:rPr>
      </w:pPr>
      <w:r w:rsidRPr="007E1D7F">
        <w:rPr>
          <w:rFonts w:ascii="Palatino Linotype" w:hAnsi="Palatino Linotype"/>
          <w:b/>
          <w:bCs/>
          <w:spacing w:val="60"/>
          <w:sz w:val="28"/>
          <w:lang w:val="es-ES_tradnl"/>
        </w:rPr>
        <w:t>CONSIDERANDO</w:t>
      </w:r>
    </w:p>
    <w:p w:rsidR="00584A45" w:rsidRPr="007E1D7F" w:rsidRDefault="00584A45" w:rsidP="00584A45">
      <w:pPr>
        <w:spacing w:before="240" w:line="360" w:lineRule="auto"/>
        <w:jc w:val="both"/>
        <w:rPr>
          <w:rFonts w:ascii="Palatino Linotype" w:hAnsi="Palatino Linotype" w:cs="Arial"/>
          <w:sz w:val="28"/>
          <w:szCs w:val="28"/>
        </w:rPr>
      </w:pPr>
      <w:r w:rsidRPr="007E1D7F">
        <w:rPr>
          <w:rFonts w:ascii="Palatino Linotype" w:hAnsi="Palatino Linotype" w:cs="Arial"/>
          <w:b/>
          <w:sz w:val="28"/>
        </w:rPr>
        <w:t>PRIMERO.</w:t>
      </w:r>
      <w:r w:rsidRPr="007E1D7F">
        <w:rPr>
          <w:rFonts w:ascii="Palatino Linotype" w:hAnsi="Palatino Linotype" w:cs="Arial"/>
          <w:b/>
        </w:rPr>
        <w:t xml:space="preserve"> </w:t>
      </w:r>
      <w:r w:rsidRPr="007E1D7F">
        <w:rPr>
          <w:rFonts w:ascii="Palatino Linotype" w:hAnsi="Palatino Linotype" w:cs="Arial"/>
          <w:b/>
          <w:sz w:val="28"/>
          <w:szCs w:val="28"/>
        </w:rPr>
        <w:t>De la competencia</w:t>
      </w:r>
      <w:r w:rsidRPr="007E1D7F">
        <w:rPr>
          <w:rFonts w:ascii="Palatino Linotype" w:hAnsi="Palatino Linotype" w:cs="Arial"/>
          <w:sz w:val="28"/>
          <w:szCs w:val="28"/>
        </w:rPr>
        <w:t>.</w:t>
      </w:r>
    </w:p>
    <w:p w:rsidR="00584A45" w:rsidRPr="007E1D7F" w:rsidRDefault="00584A45" w:rsidP="00584A45">
      <w:pPr>
        <w:tabs>
          <w:tab w:val="left" w:pos="3402"/>
        </w:tabs>
        <w:spacing w:line="360" w:lineRule="auto"/>
        <w:jc w:val="both"/>
        <w:rPr>
          <w:rFonts w:ascii="Palatino Linotype" w:hAnsi="Palatino Linotype"/>
        </w:rPr>
      </w:pPr>
      <w:r w:rsidRPr="007E1D7F">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584A45" w:rsidRPr="007E1D7F" w:rsidRDefault="00584A45" w:rsidP="00584A45">
      <w:pPr>
        <w:spacing w:before="240" w:line="360" w:lineRule="auto"/>
        <w:jc w:val="both"/>
        <w:rPr>
          <w:rFonts w:ascii="Palatino Linotype" w:eastAsia="Calibri" w:hAnsi="Palatino Linotype"/>
          <w:b/>
          <w:color w:val="000000" w:themeColor="text1"/>
        </w:rPr>
      </w:pPr>
    </w:p>
    <w:p w:rsidR="00584A45" w:rsidRPr="007E1D7F" w:rsidRDefault="00584A45" w:rsidP="00584A45">
      <w:pPr>
        <w:pStyle w:val="Prrafodelista"/>
        <w:autoSpaceDE w:val="0"/>
        <w:autoSpaceDN w:val="0"/>
        <w:adjustRightInd w:val="0"/>
        <w:spacing w:before="240" w:after="160" w:line="360" w:lineRule="auto"/>
        <w:ind w:left="0"/>
        <w:jc w:val="both"/>
        <w:rPr>
          <w:rFonts w:ascii="Palatino Linotype" w:hAnsi="Palatino Linotype" w:cs="Arial"/>
          <w:b/>
        </w:rPr>
      </w:pPr>
      <w:r w:rsidRPr="007E1D7F">
        <w:rPr>
          <w:rFonts w:ascii="Palatino Linotype" w:hAnsi="Palatino Linotype" w:cs="Arial"/>
          <w:b/>
          <w:sz w:val="28"/>
        </w:rPr>
        <w:t>SEGUNDO</w:t>
      </w:r>
      <w:r w:rsidRPr="007E1D7F">
        <w:rPr>
          <w:rFonts w:ascii="Palatino Linotype" w:hAnsi="Palatino Linotype" w:cs="Arial"/>
          <w:b/>
        </w:rPr>
        <w:t xml:space="preserve">. </w:t>
      </w:r>
      <w:r w:rsidRPr="007E1D7F">
        <w:rPr>
          <w:rFonts w:ascii="Palatino Linotype" w:hAnsi="Palatino Linotype" w:cs="Arial"/>
          <w:b/>
          <w:sz w:val="28"/>
          <w:szCs w:val="28"/>
        </w:rPr>
        <w:t>Sobre los alcances del recurso de revisión.</w:t>
      </w:r>
      <w:r w:rsidRPr="007E1D7F">
        <w:rPr>
          <w:rFonts w:ascii="Palatino Linotype" w:hAnsi="Palatino Linotype" w:cs="Arial"/>
          <w:b/>
        </w:rPr>
        <w:t xml:space="preserve"> </w:t>
      </w:r>
    </w:p>
    <w:p w:rsidR="00584A45" w:rsidRPr="007E1D7F" w:rsidRDefault="00584A45" w:rsidP="00584A45">
      <w:pPr>
        <w:pStyle w:val="Prrafodelista"/>
        <w:autoSpaceDE w:val="0"/>
        <w:autoSpaceDN w:val="0"/>
        <w:adjustRightInd w:val="0"/>
        <w:spacing w:before="240" w:after="160" w:line="360" w:lineRule="auto"/>
        <w:ind w:left="0"/>
        <w:jc w:val="both"/>
        <w:rPr>
          <w:rFonts w:ascii="Palatino Linotype" w:hAnsi="Palatino Linotype" w:cs="Arial"/>
        </w:rPr>
      </w:pPr>
      <w:r w:rsidRPr="007E1D7F">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w:t>
      </w:r>
      <w:r w:rsidRPr="007E1D7F">
        <w:rPr>
          <w:rFonts w:ascii="Palatino Linotype" w:hAnsi="Palatino Linotype" w:cs="Arial"/>
        </w:rPr>
        <w:lastRenderedPageBreak/>
        <w:t>obren en el expediente electrónico, con la finalidad de reparar cualquier posible afectación al derecho de acceso a la información pública y garantizando el principio rector de máxima publicidad.</w:t>
      </w:r>
    </w:p>
    <w:p w:rsidR="00584A45" w:rsidRPr="007E1D7F" w:rsidRDefault="00584A45" w:rsidP="00584A45">
      <w:pPr>
        <w:autoSpaceDE w:val="0"/>
        <w:autoSpaceDN w:val="0"/>
        <w:adjustRightInd w:val="0"/>
        <w:spacing w:before="240" w:line="360" w:lineRule="auto"/>
        <w:jc w:val="both"/>
        <w:rPr>
          <w:rFonts w:ascii="Palatino Linotype" w:hAnsi="Palatino Linotype" w:cs="Arial"/>
        </w:rPr>
      </w:pPr>
      <w:r w:rsidRPr="007E1D7F">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584A45" w:rsidRPr="007E1D7F" w:rsidRDefault="00584A45" w:rsidP="00584A45">
      <w:pPr>
        <w:autoSpaceDE w:val="0"/>
        <w:autoSpaceDN w:val="0"/>
        <w:adjustRightInd w:val="0"/>
        <w:spacing w:before="240" w:line="360" w:lineRule="auto"/>
        <w:ind w:left="1134"/>
        <w:jc w:val="both"/>
        <w:rPr>
          <w:rFonts w:ascii="Palatino Linotype" w:hAnsi="Palatino Linotype" w:cs="Arial"/>
          <w:i/>
        </w:rPr>
      </w:pPr>
      <w:r w:rsidRPr="007E1D7F">
        <w:rPr>
          <w:rFonts w:ascii="Palatino Linotype" w:hAnsi="Palatino Linotype" w:cs="Arial"/>
          <w:i/>
        </w:rPr>
        <w:t xml:space="preserve">“Artículo 180. El recurso de revisión contendrá: </w:t>
      </w:r>
    </w:p>
    <w:p w:rsidR="00584A45" w:rsidRPr="007E1D7F" w:rsidRDefault="00584A45" w:rsidP="00584A45">
      <w:pPr>
        <w:autoSpaceDE w:val="0"/>
        <w:autoSpaceDN w:val="0"/>
        <w:adjustRightInd w:val="0"/>
        <w:ind w:left="1134"/>
        <w:jc w:val="both"/>
        <w:rPr>
          <w:rFonts w:ascii="Palatino Linotype" w:hAnsi="Palatino Linotype" w:cs="Arial"/>
          <w:i/>
          <w:lang w:val="es-ES_tradnl"/>
        </w:rPr>
      </w:pPr>
      <w:r w:rsidRPr="007E1D7F">
        <w:rPr>
          <w:rFonts w:ascii="Palatino Linotype" w:hAnsi="Palatino Linotype" w:cs="Arial"/>
          <w:i/>
          <w:lang w:val="es-ES_tradnl"/>
        </w:rPr>
        <w:t xml:space="preserve">I. El sujeto obligado ante la cual se presentó la solicitud; </w:t>
      </w:r>
    </w:p>
    <w:p w:rsidR="00584A45" w:rsidRPr="007E1D7F" w:rsidRDefault="00584A45" w:rsidP="00584A45">
      <w:pPr>
        <w:autoSpaceDE w:val="0"/>
        <w:autoSpaceDN w:val="0"/>
        <w:adjustRightInd w:val="0"/>
        <w:ind w:left="1134" w:right="567"/>
        <w:jc w:val="both"/>
        <w:rPr>
          <w:rFonts w:ascii="Palatino Linotype" w:hAnsi="Palatino Linotype" w:cs="Arial"/>
          <w:i/>
          <w:lang w:val="es-ES_tradnl"/>
        </w:rPr>
      </w:pPr>
      <w:r w:rsidRPr="007E1D7F">
        <w:rPr>
          <w:rFonts w:ascii="Palatino Linotype" w:hAnsi="Palatino Linotype" w:cs="Arial"/>
          <w:b/>
          <w:i/>
          <w:lang w:val="es-ES_tradnl"/>
        </w:rPr>
        <w:t>II. El nombre del solicitante que recurre</w:t>
      </w:r>
      <w:r w:rsidRPr="007E1D7F">
        <w:rPr>
          <w:rFonts w:ascii="Palatino Linotype" w:hAnsi="Palatino Linotype" w:cs="Arial"/>
          <w:i/>
          <w:lang w:val="es-ES_tradnl"/>
        </w:rPr>
        <w:t xml:space="preserve"> o de su representante y, en su caso, del tercero interesado, así como la dirección o medio que señale para recibir notificaciones;</w:t>
      </w:r>
    </w:p>
    <w:p w:rsidR="00584A45" w:rsidRPr="007E1D7F" w:rsidRDefault="00584A45" w:rsidP="00584A45">
      <w:pPr>
        <w:autoSpaceDE w:val="0"/>
        <w:autoSpaceDN w:val="0"/>
        <w:adjustRightInd w:val="0"/>
        <w:ind w:left="1134"/>
        <w:jc w:val="both"/>
        <w:rPr>
          <w:rFonts w:ascii="Palatino Linotype" w:hAnsi="Palatino Linotype" w:cs="Arial"/>
          <w:i/>
          <w:lang w:val="es-ES_tradnl"/>
        </w:rPr>
      </w:pPr>
      <w:r w:rsidRPr="007E1D7F">
        <w:rPr>
          <w:rFonts w:ascii="Palatino Linotype" w:hAnsi="Palatino Linotype" w:cs="Arial"/>
          <w:i/>
          <w:lang w:val="es-ES_tradnl"/>
        </w:rPr>
        <w:t>III. El número de folio de respuesta de la solicitud de acceso;</w:t>
      </w:r>
    </w:p>
    <w:p w:rsidR="00584A45" w:rsidRPr="007E1D7F" w:rsidRDefault="00584A45" w:rsidP="00584A45">
      <w:pPr>
        <w:autoSpaceDE w:val="0"/>
        <w:autoSpaceDN w:val="0"/>
        <w:adjustRightInd w:val="0"/>
        <w:ind w:left="1134" w:right="567"/>
        <w:jc w:val="both"/>
        <w:rPr>
          <w:rFonts w:ascii="Palatino Linotype" w:hAnsi="Palatino Linotype" w:cs="Arial"/>
          <w:i/>
          <w:lang w:val="es-ES_tradnl"/>
        </w:rPr>
      </w:pPr>
      <w:r w:rsidRPr="007E1D7F">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584A45" w:rsidRPr="007E1D7F" w:rsidRDefault="00584A45" w:rsidP="00584A45">
      <w:pPr>
        <w:autoSpaceDE w:val="0"/>
        <w:autoSpaceDN w:val="0"/>
        <w:adjustRightInd w:val="0"/>
        <w:ind w:left="1134" w:right="567"/>
        <w:jc w:val="both"/>
        <w:rPr>
          <w:rFonts w:ascii="Palatino Linotype" w:hAnsi="Palatino Linotype" w:cs="Arial"/>
          <w:i/>
          <w:lang w:val="es-ES_tradnl"/>
        </w:rPr>
      </w:pPr>
      <w:r w:rsidRPr="007E1D7F">
        <w:rPr>
          <w:rFonts w:ascii="Palatino Linotype" w:hAnsi="Palatino Linotype" w:cs="Arial"/>
          <w:i/>
          <w:lang w:val="es-ES_tradnl"/>
        </w:rPr>
        <w:t>V. El acto que se recurre;</w:t>
      </w:r>
    </w:p>
    <w:p w:rsidR="00584A45" w:rsidRPr="007E1D7F" w:rsidRDefault="00584A45" w:rsidP="00584A45">
      <w:pPr>
        <w:autoSpaceDE w:val="0"/>
        <w:autoSpaceDN w:val="0"/>
        <w:adjustRightInd w:val="0"/>
        <w:ind w:left="1134"/>
        <w:jc w:val="both"/>
        <w:rPr>
          <w:rFonts w:ascii="Palatino Linotype" w:hAnsi="Palatino Linotype" w:cs="Arial"/>
          <w:i/>
          <w:lang w:val="es-ES_tradnl"/>
        </w:rPr>
      </w:pPr>
      <w:r w:rsidRPr="007E1D7F">
        <w:rPr>
          <w:rFonts w:ascii="Palatino Linotype" w:hAnsi="Palatino Linotype" w:cs="Arial"/>
          <w:i/>
          <w:lang w:val="es-ES_tradnl"/>
        </w:rPr>
        <w:t>VI. Las razones o motivos de inconformidad;</w:t>
      </w:r>
    </w:p>
    <w:p w:rsidR="00584A45" w:rsidRPr="007E1D7F" w:rsidRDefault="00584A45" w:rsidP="00584A45">
      <w:pPr>
        <w:autoSpaceDE w:val="0"/>
        <w:autoSpaceDN w:val="0"/>
        <w:adjustRightInd w:val="0"/>
        <w:ind w:left="1134" w:right="567"/>
        <w:jc w:val="both"/>
        <w:rPr>
          <w:rFonts w:ascii="Palatino Linotype" w:hAnsi="Palatino Linotype" w:cs="Arial"/>
          <w:i/>
          <w:lang w:val="es-ES_tradnl"/>
        </w:rPr>
      </w:pPr>
      <w:r w:rsidRPr="007E1D7F">
        <w:rPr>
          <w:rFonts w:ascii="Palatino Linotype" w:hAnsi="Palatino Linotype" w:cs="Arial"/>
          <w:i/>
          <w:lang w:val="es-ES_tradnl"/>
        </w:rPr>
        <w:t xml:space="preserve">VII. La copia de la respuesta que se impugna y, en su caso, de la notificación correspondiente, en el caso de respuesta de la solicitud; y </w:t>
      </w:r>
    </w:p>
    <w:p w:rsidR="00584A45" w:rsidRPr="007E1D7F" w:rsidRDefault="00584A45" w:rsidP="00584A45">
      <w:pPr>
        <w:autoSpaceDE w:val="0"/>
        <w:autoSpaceDN w:val="0"/>
        <w:adjustRightInd w:val="0"/>
        <w:ind w:left="1134" w:right="567"/>
        <w:jc w:val="both"/>
        <w:rPr>
          <w:rFonts w:ascii="Palatino Linotype" w:hAnsi="Palatino Linotype" w:cs="Arial"/>
          <w:i/>
          <w:lang w:val="es-ES_tradnl"/>
        </w:rPr>
      </w:pPr>
      <w:r w:rsidRPr="007E1D7F">
        <w:rPr>
          <w:rFonts w:ascii="Palatino Linotype" w:hAnsi="Palatino Linotype" w:cs="Arial"/>
          <w:i/>
          <w:lang w:val="es-ES_tradnl"/>
        </w:rPr>
        <w:t xml:space="preserve">VIII. Firma del recurrente, en su caso, cuando se presente por escrito, requisito sin el cual se dará trámite al recurso. </w:t>
      </w:r>
    </w:p>
    <w:p w:rsidR="00584A45" w:rsidRPr="007E1D7F" w:rsidRDefault="00584A45" w:rsidP="00584A45">
      <w:pPr>
        <w:autoSpaceDE w:val="0"/>
        <w:autoSpaceDN w:val="0"/>
        <w:adjustRightInd w:val="0"/>
        <w:spacing w:before="240" w:line="276" w:lineRule="auto"/>
        <w:ind w:left="1134" w:right="567"/>
        <w:jc w:val="both"/>
        <w:rPr>
          <w:rFonts w:ascii="Palatino Linotype" w:hAnsi="Palatino Linotype" w:cs="Arial"/>
          <w:i/>
          <w:lang w:val="es-ES_tradnl"/>
        </w:rPr>
      </w:pPr>
      <w:r w:rsidRPr="007E1D7F">
        <w:rPr>
          <w:rFonts w:ascii="Palatino Linotype" w:hAnsi="Palatino Linotype" w:cs="Arial"/>
          <w:i/>
          <w:lang w:val="es-ES_tradnl"/>
        </w:rPr>
        <w:t xml:space="preserve">Adicionalmente, se podrán anexar las pruebas y demás elementos que considere procedentes someter a juicio del Instituto. </w:t>
      </w:r>
    </w:p>
    <w:p w:rsidR="00584A45" w:rsidRPr="007E1D7F" w:rsidRDefault="00584A45" w:rsidP="00584A45">
      <w:pPr>
        <w:autoSpaceDE w:val="0"/>
        <w:autoSpaceDN w:val="0"/>
        <w:adjustRightInd w:val="0"/>
        <w:spacing w:before="240" w:line="276" w:lineRule="auto"/>
        <w:ind w:left="1134" w:right="567"/>
        <w:jc w:val="both"/>
        <w:rPr>
          <w:rFonts w:ascii="Palatino Linotype" w:hAnsi="Palatino Linotype" w:cs="Arial"/>
          <w:i/>
          <w:lang w:val="es-ES_tradnl"/>
        </w:rPr>
      </w:pPr>
      <w:r w:rsidRPr="007E1D7F">
        <w:rPr>
          <w:rFonts w:ascii="Palatino Linotype" w:hAnsi="Palatino Linotype" w:cs="Arial"/>
          <w:i/>
          <w:lang w:val="es-ES_tradnl"/>
        </w:rPr>
        <w:t xml:space="preserve">En ningún caso será necesario que el particular ratifique el recurso de revisión interpuesto. </w:t>
      </w:r>
    </w:p>
    <w:p w:rsidR="00584A45" w:rsidRPr="007E1D7F" w:rsidRDefault="00584A45" w:rsidP="00584A45">
      <w:pPr>
        <w:autoSpaceDE w:val="0"/>
        <w:autoSpaceDN w:val="0"/>
        <w:adjustRightInd w:val="0"/>
        <w:spacing w:before="240" w:line="360" w:lineRule="auto"/>
        <w:ind w:left="1134" w:right="567"/>
        <w:jc w:val="both"/>
        <w:rPr>
          <w:rFonts w:ascii="Palatino Linotype" w:hAnsi="Palatino Linotype" w:cs="Arial"/>
        </w:rPr>
      </w:pPr>
      <w:r w:rsidRPr="007E1D7F">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584A45" w:rsidRPr="007E1D7F" w:rsidRDefault="00584A45" w:rsidP="00584A45">
      <w:pPr>
        <w:autoSpaceDE w:val="0"/>
        <w:autoSpaceDN w:val="0"/>
        <w:adjustRightInd w:val="0"/>
        <w:spacing w:before="240" w:line="360" w:lineRule="auto"/>
        <w:jc w:val="both"/>
        <w:rPr>
          <w:rFonts w:ascii="Palatino Linotype" w:hAnsi="Palatino Linotype"/>
        </w:rPr>
      </w:pPr>
    </w:p>
    <w:p w:rsidR="00584A45" w:rsidRPr="007E1D7F" w:rsidRDefault="00584A45" w:rsidP="00584A45">
      <w:pPr>
        <w:autoSpaceDE w:val="0"/>
        <w:autoSpaceDN w:val="0"/>
        <w:adjustRightInd w:val="0"/>
        <w:spacing w:before="240" w:line="360" w:lineRule="auto"/>
        <w:jc w:val="both"/>
        <w:rPr>
          <w:rFonts w:ascii="Palatino Linotype" w:hAnsi="Palatino Linotype"/>
        </w:rPr>
      </w:pPr>
      <w:r w:rsidRPr="007E1D7F">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584A45" w:rsidRPr="007E1D7F" w:rsidTr="00B51D2D">
        <w:trPr>
          <w:trHeight w:val="1360"/>
        </w:trPr>
        <w:tc>
          <w:tcPr>
            <w:tcW w:w="7982" w:type="dxa"/>
          </w:tcPr>
          <w:p w:rsidR="00584A45" w:rsidRPr="007E1D7F" w:rsidRDefault="00584A45" w:rsidP="00B51D2D">
            <w:pPr>
              <w:autoSpaceDE w:val="0"/>
              <w:autoSpaceDN w:val="0"/>
              <w:adjustRightInd w:val="0"/>
              <w:spacing w:before="240" w:line="360" w:lineRule="auto"/>
              <w:jc w:val="both"/>
              <w:rPr>
                <w:rFonts w:ascii="Palatino Linotype" w:hAnsi="Palatino Linotype"/>
                <w:i/>
              </w:rPr>
            </w:pPr>
            <w:r w:rsidRPr="007E1D7F">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584A45" w:rsidRPr="007E1D7F" w:rsidRDefault="00584A45" w:rsidP="00584A45">
      <w:pPr>
        <w:autoSpaceDE w:val="0"/>
        <w:autoSpaceDN w:val="0"/>
        <w:adjustRightInd w:val="0"/>
        <w:spacing w:before="240" w:line="360" w:lineRule="auto"/>
        <w:jc w:val="both"/>
        <w:rPr>
          <w:rFonts w:ascii="Palatino Linotype" w:hAnsi="Palatino Linotype"/>
        </w:rPr>
      </w:pPr>
      <w:r w:rsidRPr="007E1D7F">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584A45" w:rsidRPr="007E1D7F" w:rsidTr="00B51D2D">
        <w:trPr>
          <w:jc w:val="center"/>
        </w:trPr>
        <w:tc>
          <w:tcPr>
            <w:tcW w:w="8075" w:type="dxa"/>
          </w:tcPr>
          <w:p w:rsidR="00584A45" w:rsidRPr="007E1D7F" w:rsidRDefault="00584A45" w:rsidP="00B51D2D">
            <w:pPr>
              <w:autoSpaceDE w:val="0"/>
              <w:autoSpaceDN w:val="0"/>
              <w:adjustRightInd w:val="0"/>
              <w:spacing w:before="240" w:line="360" w:lineRule="auto"/>
              <w:jc w:val="center"/>
              <w:rPr>
                <w:rFonts w:ascii="Palatino Linotype" w:hAnsi="Palatino Linotype"/>
                <w:b/>
                <w:i/>
              </w:rPr>
            </w:pPr>
            <w:r w:rsidRPr="007E1D7F">
              <w:rPr>
                <w:rFonts w:ascii="Palatino Linotype" w:hAnsi="Palatino Linotype"/>
                <w:b/>
                <w:i/>
              </w:rPr>
              <w:t xml:space="preserve">Constitución Política de los Estados Unidos Mexicanos </w:t>
            </w:r>
          </w:p>
          <w:p w:rsidR="00584A45" w:rsidRPr="007E1D7F" w:rsidRDefault="00584A45" w:rsidP="00B51D2D">
            <w:pPr>
              <w:autoSpaceDE w:val="0"/>
              <w:autoSpaceDN w:val="0"/>
              <w:adjustRightInd w:val="0"/>
              <w:spacing w:before="240" w:line="360" w:lineRule="auto"/>
              <w:jc w:val="both"/>
              <w:rPr>
                <w:rFonts w:ascii="Palatino Linotype" w:hAnsi="Palatino Linotype"/>
                <w:i/>
              </w:rPr>
            </w:pPr>
            <w:r w:rsidRPr="007E1D7F">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584A45" w:rsidRPr="007E1D7F" w:rsidRDefault="00584A45" w:rsidP="00B51D2D">
            <w:pPr>
              <w:autoSpaceDE w:val="0"/>
              <w:autoSpaceDN w:val="0"/>
              <w:adjustRightInd w:val="0"/>
              <w:spacing w:before="240" w:line="360" w:lineRule="auto"/>
              <w:jc w:val="both"/>
              <w:rPr>
                <w:rFonts w:ascii="Palatino Linotype" w:hAnsi="Palatino Linotype"/>
                <w:i/>
              </w:rPr>
            </w:pPr>
            <w:r w:rsidRPr="007E1D7F">
              <w:rPr>
                <w:rFonts w:ascii="Palatino Linotype" w:hAnsi="Palatino Linotype"/>
                <w:i/>
              </w:rPr>
              <w:t xml:space="preserve">(…) </w:t>
            </w:r>
          </w:p>
          <w:p w:rsidR="00584A45" w:rsidRPr="007E1D7F" w:rsidRDefault="00584A45" w:rsidP="00B51D2D">
            <w:pPr>
              <w:autoSpaceDE w:val="0"/>
              <w:autoSpaceDN w:val="0"/>
              <w:adjustRightInd w:val="0"/>
              <w:spacing w:before="240" w:line="360" w:lineRule="auto"/>
              <w:jc w:val="both"/>
              <w:rPr>
                <w:rFonts w:ascii="Palatino Linotype" w:hAnsi="Palatino Linotype"/>
                <w:i/>
              </w:rPr>
            </w:pPr>
            <w:r w:rsidRPr="007E1D7F">
              <w:rPr>
                <w:rFonts w:ascii="Palatino Linotype" w:hAnsi="Palatino Linotype"/>
                <w:i/>
              </w:rPr>
              <w:lastRenderedPageBreak/>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584A45" w:rsidRPr="007E1D7F" w:rsidRDefault="00584A45" w:rsidP="00B51D2D">
            <w:pPr>
              <w:autoSpaceDE w:val="0"/>
              <w:autoSpaceDN w:val="0"/>
              <w:adjustRightInd w:val="0"/>
              <w:spacing w:before="240" w:line="360" w:lineRule="auto"/>
              <w:jc w:val="both"/>
              <w:rPr>
                <w:rFonts w:ascii="Palatino Linotype" w:hAnsi="Palatino Linotype"/>
                <w:i/>
              </w:rPr>
            </w:pPr>
            <w:r w:rsidRPr="007E1D7F">
              <w:rPr>
                <w:rFonts w:ascii="Palatino Linotype" w:hAnsi="Palatino Linotype"/>
                <w:i/>
              </w:rPr>
              <w:t xml:space="preserve"> (…) </w:t>
            </w:r>
          </w:p>
          <w:p w:rsidR="00584A45" w:rsidRPr="007E1D7F" w:rsidRDefault="00584A45" w:rsidP="00B51D2D">
            <w:pPr>
              <w:autoSpaceDE w:val="0"/>
              <w:autoSpaceDN w:val="0"/>
              <w:adjustRightInd w:val="0"/>
              <w:spacing w:before="240" w:line="360" w:lineRule="auto"/>
              <w:jc w:val="both"/>
              <w:rPr>
                <w:rFonts w:ascii="Palatino Linotype" w:hAnsi="Palatino Linotype"/>
                <w:i/>
              </w:rPr>
            </w:pPr>
            <w:r w:rsidRPr="007E1D7F">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584A45" w:rsidRPr="007E1D7F" w:rsidRDefault="00584A45" w:rsidP="00B51D2D">
            <w:pPr>
              <w:autoSpaceDE w:val="0"/>
              <w:autoSpaceDN w:val="0"/>
              <w:adjustRightInd w:val="0"/>
              <w:spacing w:before="240" w:line="360" w:lineRule="auto"/>
              <w:jc w:val="both"/>
              <w:rPr>
                <w:rFonts w:ascii="Palatino Linotype" w:hAnsi="Palatino Linotype" w:cs="Arial"/>
                <w:i/>
              </w:rPr>
            </w:pPr>
            <w:r w:rsidRPr="007E1D7F">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584A45" w:rsidRPr="007E1D7F" w:rsidRDefault="00584A45" w:rsidP="00B51D2D">
            <w:pPr>
              <w:autoSpaceDE w:val="0"/>
              <w:autoSpaceDN w:val="0"/>
              <w:adjustRightInd w:val="0"/>
              <w:spacing w:before="240" w:line="360" w:lineRule="auto"/>
              <w:jc w:val="both"/>
              <w:rPr>
                <w:rFonts w:ascii="Palatino Linotype" w:hAnsi="Palatino Linotype" w:cs="Arial"/>
                <w:b/>
                <w:i/>
              </w:rPr>
            </w:pPr>
            <w:r w:rsidRPr="007E1D7F">
              <w:rPr>
                <w:rFonts w:ascii="Palatino Linotype" w:hAnsi="Palatino Linotype" w:cs="Arial"/>
                <w:b/>
                <w:i/>
              </w:rPr>
              <w:t>Constitución Política del Estado Libre y Soberano de México</w:t>
            </w:r>
          </w:p>
          <w:p w:rsidR="00584A45" w:rsidRPr="007E1D7F" w:rsidRDefault="00584A45" w:rsidP="00B51D2D">
            <w:pPr>
              <w:autoSpaceDE w:val="0"/>
              <w:autoSpaceDN w:val="0"/>
              <w:adjustRightInd w:val="0"/>
              <w:spacing w:before="240" w:line="360" w:lineRule="auto"/>
              <w:jc w:val="both"/>
              <w:rPr>
                <w:rFonts w:ascii="Palatino Linotype" w:eastAsia="Calibri" w:hAnsi="Palatino Linotype" w:cs="Arial"/>
                <w:i/>
                <w:lang w:val="es-ES_tradnl" w:eastAsia="es-MX"/>
              </w:rPr>
            </w:pPr>
            <w:r w:rsidRPr="007E1D7F">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584A45" w:rsidRPr="007E1D7F" w:rsidRDefault="00584A45" w:rsidP="00B51D2D">
            <w:pPr>
              <w:autoSpaceDE w:val="0"/>
              <w:autoSpaceDN w:val="0"/>
              <w:adjustRightInd w:val="0"/>
              <w:spacing w:before="240" w:line="360" w:lineRule="auto"/>
              <w:jc w:val="both"/>
              <w:rPr>
                <w:rFonts w:ascii="Palatino Linotype" w:eastAsia="Calibri" w:hAnsi="Palatino Linotype" w:cs="Arial"/>
                <w:i/>
                <w:lang w:val="es-ES_tradnl" w:eastAsia="es-MX"/>
              </w:rPr>
            </w:pPr>
            <w:r w:rsidRPr="007E1D7F">
              <w:rPr>
                <w:rFonts w:ascii="Palatino Linotype" w:eastAsia="Calibri" w:hAnsi="Palatino Linotype" w:cs="Arial"/>
                <w:i/>
                <w:lang w:val="es-ES_tradnl" w:eastAsia="es-MX"/>
              </w:rPr>
              <w:t>(…)</w:t>
            </w:r>
          </w:p>
          <w:p w:rsidR="00584A45" w:rsidRPr="007E1D7F" w:rsidRDefault="00584A45" w:rsidP="00B51D2D">
            <w:pPr>
              <w:autoSpaceDE w:val="0"/>
              <w:autoSpaceDN w:val="0"/>
              <w:adjustRightInd w:val="0"/>
              <w:spacing w:before="240" w:line="360" w:lineRule="auto"/>
              <w:jc w:val="both"/>
              <w:rPr>
                <w:rFonts w:ascii="Palatino Linotype" w:eastAsia="Calibri" w:hAnsi="Palatino Linotype" w:cs="Arial"/>
                <w:i/>
                <w:lang w:val="es-ES_tradnl" w:eastAsia="es-MX"/>
              </w:rPr>
            </w:pPr>
            <w:r w:rsidRPr="007E1D7F">
              <w:rPr>
                <w:rFonts w:ascii="Palatino Linotype" w:eastAsia="Calibri" w:hAnsi="Palatino Linotype" w:cs="Arial"/>
                <w:i/>
                <w:lang w:val="es-ES_tradnl" w:eastAsia="es-MX"/>
              </w:rPr>
              <w:lastRenderedPageBreak/>
              <w:t>Toda persona en el Estado de México, tiene derecho al libre acceso a la información plural y oportuna, así como a buscar recibir y difundir información e ideas de toda índole por cualquier medio de expresión.</w:t>
            </w:r>
          </w:p>
          <w:p w:rsidR="00584A45" w:rsidRPr="007E1D7F" w:rsidRDefault="00584A45" w:rsidP="00B51D2D">
            <w:pPr>
              <w:autoSpaceDE w:val="0"/>
              <w:autoSpaceDN w:val="0"/>
              <w:adjustRightInd w:val="0"/>
              <w:spacing w:before="240" w:line="360" w:lineRule="auto"/>
              <w:jc w:val="both"/>
              <w:rPr>
                <w:rFonts w:ascii="Palatino Linotype" w:eastAsia="Calibri" w:hAnsi="Palatino Linotype" w:cs="Arial"/>
                <w:i/>
                <w:lang w:val="es-ES_tradnl" w:eastAsia="es-MX"/>
              </w:rPr>
            </w:pPr>
            <w:r w:rsidRPr="007E1D7F">
              <w:rPr>
                <w:rFonts w:ascii="Palatino Linotype" w:eastAsia="Calibri" w:hAnsi="Palatino Linotype" w:cs="Arial"/>
                <w:i/>
                <w:lang w:val="es-ES_tradnl" w:eastAsia="es-MX"/>
              </w:rPr>
              <w:t>(…)</w:t>
            </w:r>
          </w:p>
          <w:p w:rsidR="00584A45" w:rsidRPr="007E1D7F" w:rsidRDefault="00584A45" w:rsidP="00B51D2D">
            <w:pPr>
              <w:autoSpaceDE w:val="0"/>
              <w:autoSpaceDN w:val="0"/>
              <w:adjustRightInd w:val="0"/>
              <w:spacing w:before="240" w:line="360" w:lineRule="auto"/>
              <w:jc w:val="both"/>
              <w:rPr>
                <w:rFonts w:ascii="Palatino Linotype" w:eastAsia="Calibri" w:hAnsi="Palatino Linotype" w:cs="Arial"/>
                <w:i/>
                <w:lang w:val="es-ES_tradnl" w:eastAsia="es-MX"/>
              </w:rPr>
            </w:pPr>
            <w:r w:rsidRPr="007E1D7F">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584A45" w:rsidRPr="007E1D7F" w:rsidRDefault="00584A45" w:rsidP="00B51D2D">
            <w:pPr>
              <w:autoSpaceDE w:val="0"/>
              <w:autoSpaceDN w:val="0"/>
              <w:adjustRightInd w:val="0"/>
              <w:spacing w:before="240" w:line="360" w:lineRule="auto"/>
              <w:jc w:val="both"/>
              <w:rPr>
                <w:rFonts w:ascii="Palatino Linotype" w:eastAsia="Calibri" w:hAnsi="Palatino Linotype" w:cs="Arial"/>
                <w:i/>
                <w:lang w:val="es-ES_tradnl" w:eastAsia="es-MX"/>
              </w:rPr>
            </w:pPr>
            <w:r w:rsidRPr="007E1D7F">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584A45" w:rsidRPr="007E1D7F" w:rsidRDefault="00584A45" w:rsidP="00B51D2D">
            <w:pPr>
              <w:autoSpaceDE w:val="0"/>
              <w:autoSpaceDN w:val="0"/>
              <w:adjustRightInd w:val="0"/>
              <w:spacing w:before="240" w:line="360" w:lineRule="auto"/>
              <w:jc w:val="both"/>
              <w:rPr>
                <w:rFonts w:ascii="Palatino Linotype" w:eastAsia="Calibri" w:hAnsi="Palatino Linotype" w:cs="Arial"/>
                <w:i/>
                <w:lang w:val="es-ES_tradnl" w:eastAsia="es-MX"/>
              </w:rPr>
            </w:pPr>
            <w:r w:rsidRPr="007E1D7F">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584A45" w:rsidRPr="007E1D7F" w:rsidRDefault="00584A45" w:rsidP="00B51D2D">
            <w:pPr>
              <w:autoSpaceDE w:val="0"/>
              <w:autoSpaceDN w:val="0"/>
              <w:adjustRightInd w:val="0"/>
              <w:spacing w:before="240" w:line="360" w:lineRule="auto"/>
              <w:jc w:val="both"/>
              <w:rPr>
                <w:rFonts w:ascii="Palatino Linotype" w:eastAsia="Calibri" w:hAnsi="Palatino Linotype" w:cs="Arial"/>
                <w:i/>
                <w:lang w:val="es-ES_tradnl" w:eastAsia="es-MX"/>
              </w:rPr>
            </w:pPr>
            <w:r w:rsidRPr="007E1D7F">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584A45" w:rsidRPr="007E1D7F" w:rsidRDefault="00584A45" w:rsidP="00B51D2D">
            <w:pPr>
              <w:autoSpaceDE w:val="0"/>
              <w:autoSpaceDN w:val="0"/>
              <w:adjustRightInd w:val="0"/>
              <w:spacing w:before="240" w:line="360" w:lineRule="auto"/>
              <w:jc w:val="both"/>
              <w:rPr>
                <w:rFonts w:ascii="Palatino Linotype" w:hAnsi="Palatino Linotype" w:cs="Arial"/>
                <w:i/>
              </w:rPr>
            </w:pPr>
            <w:r w:rsidRPr="007E1D7F">
              <w:rPr>
                <w:rFonts w:ascii="Palatino Linotype" w:hAnsi="Palatino Linotype" w:cs="Arial"/>
                <w:i/>
              </w:rPr>
              <w:t>(…)</w:t>
            </w:r>
          </w:p>
          <w:p w:rsidR="00584A45" w:rsidRPr="007E1D7F" w:rsidRDefault="00584A45" w:rsidP="00B51D2D">
            <w:pPr>
              <w:autoSpaceDE w:val="0"/>
              <w:autoSpaceDN w:val="0"/>
              <w:adjustRightInd w:val="0"/>
              <w:spacing w:before="240" w:line="360" w:lineRule="auto"/>
              <w:jc w:val="both"/>
              <w:rPr>
                <w:rFonts w:ascii="Palatino Linotype" w:hAnsi="Palatino Linotype" w:cs="Arial"/>
                <w:i/>
              </w:rPr>
            </w:pPr>
            <w:r w:rsidRPr="007E1D7F">
              <w:rPr>
                <w:rFonts w:ascii="Palatino Linotype" w:hAnsi="Palatino Linotype" w:cs="Arial"/>
                <w:i/>
              </w:rPr>
              <w:lastRenderedPageBreak/>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584A45" w:rsidRPr="007E1D7F" w:rsidRDefault="00584A45" w:rsidP="00584A45">
      <w:pPr>
        <w:autoSpaceDE w:val="0"/>
        <w:autoSpaceDN w:val="0"/>
        <w:adjustRightInd w:val="0"/>
        <w:spacing w:before="240" w:line="360" w:lineRule="auto"/>
        <w:jc w:val="both"/>
        <w:rPr>
          <w:rFonts w:ascii="Palatino Linotype" w:hAnsi="Palatino Linotype"/>
        </w:rPr>
      </w:pPr>
      <w:r w:rsidRPr="007E1D7F">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E1D7F">
        <w:rPr>
          <w:rFonts w:ascii="Palatino Linotype" w:hAnsi="Palatino Linotype"/>
          <w:b/>
          <w:u w:val="single"/>
        </w:rPr>
        <w:t>incluso, la solicitud de acceso a la información pueda ser anónima o no contener un nombre que identifique al solicitante o que permita tener certeza sobre su identidad</w:t>
      </w:r>
      <w:r w:rsidRPr="007E1D7F">
        <w:rPr>
          <w:rFonts w:ascii="Palatino Linotype" w:hAnsi="Palatino Linotype"/>
        </w:rPr>
        <w:t xml:space="preserve">. </w:t>
      </w:r>
    </w:p>
    <w:p w:rsidR="00584A45" w:rsidRPr="007E1D7F" w:rsidRDefault="00584A45" w:rsidP="00584A45">
      <w:pPr>
        <w:autoSpaceDE w:val="0"/>
        <w:autoSpaceDN w:val="0"/>
        <w:adjustRightInd w:val="0"/>
        <w:spacing w:before="240" w:line="360" w:lineRule="auto"/>
        <w:jc w:val="both"/>
        <w:rPr>
          <w:rFonts w:ascii="Palatino Linotype" w:hAnsi="Palatino Linotype"/>
        </w:rPr>
      </w:pPr>
      <w:r w:rsidRPr="007E1D7F">
        <w:rPr>
          <w:rFonts w:ascii="Palatino Linotype" w:hAnsi="Palatino Linotype"/>
        </w:rPr>
        <w:t>En conclusión, se cubrieron los requisitos de procedencia y procedibilidad y conforme a las constancias que obran en el expediente.</w:t>
      </w:r>
    </w:p>
    <w:p w:rsidR="00584A45" w:rsidRPr="007E1D7F" w:rsidRDefault="00584A45" w:rsidP="00584A45">
      <w:pPr>
        <w:pStyle w:val="Prrafodelista"/>
        <w:autoSpaceDE w:val="0"/>
        <w:autoSpaceDN w:val="0"/>
        <w:adjustRightInd w:val="0"/>
        <w:spacing w:before="240" w:after="160" w:line="360" w:lineRule="auto"/>
        <w:ind w:left="0"/>
        <w:jc w:val="both"/>
        <w:rPr>
          <w:rFonts w:ascii="Palatino Linotype" w:hAnsi="Palatino Linotype" w:cs="Arial"/>
        </w:rPr>
      </w:pPr>
    </w:p>
    <w:p w:rsidR="00584A45" w:rsidRPr="007E1D7F" w:rsidRDefault="00584A45" w:rsidP="00584A45">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7E1D7F">
        <w:rPr>
          <w:rFonts w:ascii="Palatino Linotype" w:hAnsi="Palatino Linotype" w:cs="Arial"/>
          <w:b/>
          <w:sz w:val="28"/>
        </w:rPr>
        <w:t>TERCERO</w:t>
      </w:r>
      <w:r w:rsidRPr="007E1D7F">
        <w:rPr>
          <w:rFonts w:ascii="Palatino Linotype" w:hAnsi="Palatino Linotype" w:cs="Arial"/>
          <w:b/>
        </w:rPr>
        <w:t xml:space="preserve">. </w:t>
      </w:r>
      <w:r w:rsidRPr="007E1D7F">
        <w:rPr>
          <w:rFonts w:ascii="Palatino Linotype" w:hAnsi="Palatino Linotype" w:cs="Arial"/>
          <w:b/>
          <w:sz w:val="28"/>
          <w:szCs w:val="28"/>
        </w:rPr>
        <w:t>De las causas de improcedencia.</w:t>
      </w:r>
    </w:p>
    <w:p w:rsidR="00584A45" w:rsidRPr="007E1D7F" w:rsidRDefault="00584A45" w:rsidP="00584A45">
      <w:pPr>
        <w:pStyle w:val="Prrafodelista"/>
        <w:autoSpaceDE w:val="0"/>
        <w:autoSpaceDN w:val="0"/>
        <w:adjustRightInd w:val="0"/>
        <w:spacing w:before="240" w:after="160" w:line="360" w:lineRule="auto"/>
        <w:ind w:left="0"/>
        <w:jc w:val="both"/>
        <w:rPr>
          <w:rFonts w:ascii="Palatino Linotype" w:hAnsi="Palatino Linotype" w:cs="Arial"/>
        </w:rPr>
      </w:pPr>
      <w:r w:rsidRPr="007E1D7F">
        <w:rPr>
          <w:rFonts w:ascii="Palatino Linotype" w:hAnsi="Palatino Linotype" w:cs="Arial"/>
        </w:rPr>
        <w:t xml:space="preserve">En el procedimiento de acceso a la información y de los medios de impugnación de la materia, se advierten diversos supuestos de procedibilidad, los cuales deben estudiarse con la finalidad de dar cumplimiento a los principios de legalidad y objetividad </w:t>
      </w:r>
      <w:r w:rsidRPr="007E1D7F">
        <w:rPr>
          <w:rFonts w:ascii="Palatino Linotype" w:hAnsi="Palatino Linotype" w:cs="Arial"/>
        </w:rPr>
        <w:lastRenderedPageBreak/>
        <w:t>inmersos en el artículo 9 de Ley de Transparencia y Acceso a la Información Pública del Estado de México y Municipios, en correlación con la seguridad jurídica que debe generar lo actuado ante este Organismo garante.</w:t>
      </w:r>
    </w:p>
    <w:p w:rsidR="00584A45" w:rsidRPr="007E1D7F" w:rsidRDefault="00584A45" w:rsidP="00584A45">
      <w:pPr>
        <w:pStyle w:val="Prrafodelista"/>
        <w:autoSpaceDE w:val="0"/>
        <w:autoSpaceDN w:val="0"/>
        <w:adjustRightInd w:val="0"/>
        <w:spacing w:line="360" w:lineRule="auto"/>
        <w:ind w:left="0"/>
        <w:jc w:val="both"/>
        <w:rPr>
          <w:rFonts w:ascii="Palatino Linotype" w:hAnsi="Palatino Linotype" w:cs="Arial"/>
        </w:rPr>
      </w:pPr>
      <w:r w:rsidRPr="007E1D7F">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7E1D7F">
        <w:rPr>
          <w:rStyle w:val="Refdenotaalpie"/>
          <w:rFonts w:ascii="Palatino Linotype" w:hAnsi="Palatino Linotype" w:cs="Arial"/>
        </w:rPr>
        <w:footnoteReference w:id="1"/>
      </w:r>
      <w:r w:rsidRPr="007E1D7F">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584A45" w:rsidRPr="007E1D7F" w:rsidRDefault="00584A45" w:rsidP="00584A45">
      <w:pPr>
        <w:tabs>
          <w:tab w:val="left" w:pos="709"/>
        </w:tabs>
        <w:spacing w:before="240" w:line="360" w:lineRule="auto"/>
        <w:ind w:right="51"/>
        <w:jc w:val="both"/>
        <w:rPr>
          <w:rFonts w:ascii="Palatino Linotype" w:hAnsi="Palatino Linotype"/>
          <w:b/>
          <w:sz w:val="28"/>
          <w:szCs w:val="28"/>
        </w:rPr>
      </w:pPr>
    </w:p>
    <w:p w:rsidR="00584A45" w:rsidRPr="007E1D7F" w:rsidRDefault="00584A45" w:rsidP="00584A45">
      <w:pPr>
        <w:tabs>
          <w:tab w:val="left" w:pos="709"/>
        </w:tabs>
        <w:spacing w:before="240" w:line="360" w:lineRule="auto"/>
        <w:ind w:right="51"/>
        <w:jc w:val="both"/>
        <w:rPr>
          <w:rFonts w:ascii="Palatino Linotype" w:hAnsi="Palatino Linotype"/>
          <w:b/>
          <w:sz w:val="28"/>
          <w:szCs w:val="28"/>
        </w:rPr>
      </w:pPr>
      <w:r w:rsidRPr="007E1D7F">
        <w:rPr>
          <w:rFonts w:ascii="Palatino Linotype" w:hAnsi="Palatino Linotype"/>
          <w:b/>
          <w:sz w:val="28"/>
          <w:szCs w:val="28"/>
        </w:rPr>
        <w:lastRenderedPageBreak/>
        <w:t xml:space="preserve">CUARTO. Estudio y resolución del asunto </w:t>
      </w:r>
      <w:r w:rsidRPr="007E1D7F">
        <w:rPr>
          <w:rFonts w:ascii="Palatino Linotype" w:hAnsi="Palatino Linotype"/>
          <w:b/>
          <w:sz w:val="28"/>
          <w:szCs w:val="28"/>
        </w:rPr>
        <w:tab/>
      </w:r>
    </w:p>
    <w:p w:rsidR="00584A45" w:rsidRPr="007E1D7F" w:rsidRDefault="00584A45" w:rsidP="00584A45">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7E1D7F">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584A45" w:rsidRPr="007E1D7F" w:rsidRDefault="00584A45" w:rsidP="00584A45">
      <w:pPr>
        <w:autoSpaceDE w:val="0"/>
        <w:autoSpaceDN w:val="0"/>
        <w:adjustRightInd w:val="0"/>
        <w:ind w:right="567"/>
        <w:rPr>
          <w:rFonts w:ascii="Palatino Linotype" w:eastAsia="Calibri" w:hAnsi="Palatino Linotype" w:cs="Arial"/>
        </w:rPr>
      </w:pPr>
    </w:p>
    <w:p w:rsidR="00584A45" w:rsidRPr="007E1D7F" w:rsidRDefault="00584A45" w:rsidP="00584A45">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7E1D7F">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584A45" w:rsidRPr="007E1D7F" w:rsidRDefault="00584A45" w:rsidP="00584A45">
      <w:pPr>
        <w:pStyle w:val="Citas"/>
        <w:spacing w:before="0" w:after="0" w:line="240" w:lineRule="auto"/>
      </w:pPr>
      <w:r w:rsidRPr="007E1D7F">
        <w:rPr>
          <w:b/>
        </w:rPr>
        <w:t>Artículo 179.</w:t>
      </w:r>
      <w:r w:rsidRPr="007E1D7F">
        <w:t xml:space="preserve"> El recurso de revisión es un medio de protección que la Ley otorga a los particulares, para hacer valer su derecho de acceso a la información pública, y procederá en contra de las siguientes causas: </w:t>
      </w:r>
    </w:p>
    <w:p w:rsidR="00584A45" w:rsidRPr="007E1D7F" w:rsidRDefault="00584A45" w:rsidP="00584A45">
      <w:pPr>
        <w:pStyle w:val="Citas"/>
        <w:numPr>
          <w:ilvl w:val="0"/>
          <w:numId w:val="3"/>
        </w:numPr>
        <w:spacing w:before="0" w:after="0" w:line="240" w:lineRule="auto"/>
      </w:pPr>
      <w:r w:rsidRPr="007E1D7F">
        <w:t xml:space="preserve">La negativa a la información solicitada; </w:t>
      </w:r>
    </w:p>
    <w:p w:rsidR="00584A45" w:rsidRPr="007E1D7F" w:rsidRDefault="00584A45" w:rsidP="00584A45">
      <w:pPr>
        <w:pStyle w:val="Citas"/>
        <w:numPr>
          <w:ilvl w:val="0"/>
          <w:numId w:val="3"/>
        </w:numPr>
        <w:spacing w:before="0" w:after="0" w:line="240" w:lineRule="auto"/>
      </w:pPr>
      <w:r w:rsidRPr="007E1D7F">
        <w:t xml:space="preserve">La clasificación de la información; </w:t>
      </w:r>
    </w:p>
    <w:p w:rsidR="00584A45" w:rsidRPr="007E1D7F" w:rsidRDefault="00584A45" w:rsidP="00584A45">
      <w:pPr>
        <w:pStyle w:val="Citas"/>
        <w:numPr>
          <w:ilvl w:val="0"/>
          <w:numId w:val="3"/>
        </w:numPr>
        <w:spacing w:before="0" w:after="0" w:line="240" w:lineRule="auto"/>
      </w:pPr>
      <w:r w:rsidRPr="007E1D7F">
        <w:t xml:space="preserve">La declaración de inexistencia de la información; </w:t>
      </w:r>
    </w:p>
    <w:p w:rsidR="00584A45" w:rsidRPr="007E1D7F" w:rsidRDefault="00584A45" w:rsidP="00584A45">
      <w:pPr>
        <w:pStyle w:val="Citas"/>
        <w:numPr>
          <w:ilvl w:val="0"/>
          <w:numId w:val="3"/>
        </w:numPr>
        <w:spacing w:before="0" w:after="0" w:line="240" w:lineRule="auto"/>
        <w:rPr>
          <w:b/>
        </w:rPr>
      </w:pPr>
      <w:r w:rsidRPr="007E1D7F">
        <w:rPr>
          <w:b/>
        </w:rPr>
        <w:t xml:space="preserve">La declaración de incompetencia por el sujeto obligado; </w:t>
      </w:r>
    </w:p>
    <w:p w:rsidR="00584A45" w:rsidRPr="007E1D7F" w:rsidRDefault="00584A45" w:rsidP="00584A45">
      <w:pPr>
        <w:pStyle w:val="Citas"/>
        <w:numPr>
          <w:ilvl w:val="0"/>
          <w:numId w:val="3"/>
        </w:numPr>
        <w:spacing w:before="0" w:after="0" w:line="240" w:lineRule="auto"/>
      </w:pPr>
      <w:r w:rsidRPr="007E1D7F">
        <w:t xml:space="preserve">La entrega de información incompleta; </w:t>
      </w:r>
    </w:p>
    <w:p w:rsidR="00584A45" w:rsidRPr="007E1D7F" w:rsidRDefault="00584A45" w:rsidP="00584A45">
      <w:pPr>
        <w:pStyle w:val="Citas"/>
        <w:numPr>
          <w:ilvl w:val="0"/>
          <w:numId w:val="3"/>
        </w:numPr>
        <w:spacing w:before="0" w:after="0" w:line="240" w:lineRule="auto"/>
      </w:pPr>
      <w:r w:rsidRPr="007E1D7F">
        <w:t xml:space="preserve">La entrega de información que no corresponda con lo solicitado; </w:t>
      </w:r>
    </w:p>
    <w:p w:rsidR="00584A45" w:rsidRPr="007E1D7F" w:rsidRDefault="00584A45" w:rsidP="00584A45">
      <w:pPr>
        <w:pStyle w:val="Citas"/>
        <w:numPr>
          <w:ilvl w:val="0"/>
          <w:numId w:val="3"/>
        </w:numPr>
        <w:spacing w:before="0" w:after="0" w:line="240" w:lineRule="auto"/>
      </w:pPr>
      <w:r w:rsidRPr="007E1D7F">
        <w:t xml:space="preserve">La falta de respuesta a una solicitud de acceso a la información; </w:t>
      </w:r>
    </w:p>
    <w:p w:rsidR="00584A45" w:rsidRPr="007E1D7F" w:rsidRDefault="00584A45" w:rsidP="00584A45">
      <w:pPr>
        <w:pStyle w:val="Citas"/>
        <w:numPr>
          <w:ilvl w:val="0"/>
          <w:numId w:val="3"/>
        </w:numPr>
        <w:spacing w:before="0" w:after="0" w:line="240" w:lineRule="auto"/>
      </w:pPr>
      <w:r w:rsidRPr="007E1D7F">
        <w:t xml:space="preserve">La notificación, entrega o puesta a disposición de información en una modalidad o formato distinto al solicitado; </w:t>
      </w:r>
    </w:p>
    <w:p w:rsidR="00584A45" w:rsidRPr="007E1D7F" w:rsidRDefault="00584A45" w:rsidP="00584A45">
      <w:pPr>
        <w:pStyle w:val="Citas"/>
        <w:numPr>
          <w:ilvl w:val="0"/>
          <w:numId w:val="3"/>
        </w:numPr>
        <w:spacing w:before="0" w:after="0" w:line="240" w:lineRule="auto"/>
      </w:pPr>
      <w:r w:rsidRPr="007E1D7F">
        <w:t xml:space="preserve">La entrega o puesta a disposición de información en un formato incomprensible y/o no accesible para el solicitante; </w:t>
      </w:r>
    </w:p>
    <w:p w:rsidR="00584A45" w:rsidRPr="007E1D7F" w:rsidRDefault="00584A45" w:rsidP="00584A45">
      <w:pPr>
        <w:pStyle w:val="Citas"/>
        <w:numPr>
          <w:ilvl w:val="0"/>
          <w:numId w:val="3"/>
        </w:numPr>
        <w:spacing w:before="0" w:after="0" w:line="240" w:lineRule="auto"/>
      </w:pPr>
      <w:r w:rsidRPr="007E1D7F">
        <w:t xml:space="preserve">Los costos o tiempos de entrega de la información; </w:t>
      </w:r>
    </w:p>
    <w:p w:rsidR="00584A45" w:rsidRPr="007E1D7F" w:rsidRDefault="00584A45" w:rsidP="00584A45">
      <w:pPr>
        <w:pStyle w:val="Citas"/>
        <w:numPr>
          <w:ilvl w:val="0"/>
          <w:numId w:val="3"/>
        </w:numPr>
        <w:spacing w:before="0" w:after="0" w:line="240" w:lineRule="auto"/>
      </w:pPr>
      <w:r w:rsidRPr="007E1D7F">
        <w:t xml:space="preserve">La falta de trámite a una solicitud; </w:t>
      </w:r>
    </w:p>
    <w:p w:rsidR="00584A45" w:rsidRPr="007E1D7F" w:rsidRDefault="00584A45" w:rsidP="00584A45">
      <w:pPr>
        <w:pStyle w:val="Citas"/>
        <w:numPr>
          <w:ilvl w:val="0"/>
          <w:numId w:val="3"/>
        </w:numPr>
        <w:spacing w:before="0" w:after="0" w:line="240" w:lineRule="auto"/>
      </w:pPr>
      <w:r w:rsidRPr="007E1D7F">
        <w:t xml:space="preserve">La negativa a permitir la consulta directa de la información; </w:t>
      </w:r>
    </w:p>
    <w:p w:rsidR="00584A45" w:rsidRPr="007E1D7F" w:rsidRDefault="00584A45" w:rsidP="00584A45">
      <w:pPr>
        <w:pStyle w:val="Citas"/>
        <w:numPr>
          <w:ilvl w:val="0"/>
          <w:numId w:val="3"/>
        </w:numPr>
        <w:spacing w:before="0" w:after="0" w:line="240" w:lineRule="auto"/>
      </w:pPr>
      <w:r w:rsidRPr="007E1D7F">
        <w:t xml:space="preserve">La falta, deficiencia o insuficiencia de la fundamentación y/o motivación en la respuesta; y </w:t>
      </w:r>
    </w:p>
    <w:p w:rsidR="00584A45" w:rsidRPr="007E1D7F" w:rsidRDefault="00584A45" w:rsidP="00584A45">
      <w:pPr>
        <w:pStyle w:val="Citas"/>
        <w:numPr>
          <w:ilvl w:val="0"/>
          <w:numId w:val="3"/>
        </w:numPr>
        <w:spacing w:before="0" w:after="0" w:line="240" w:lineRule="auto"/>
      </w:pPr>
      <w:r w:rsidRPr="007E1D7F">
        <w:t xml:space="preserve">La orientación a un trámite específico. </w:t>
      </w:r>
    </w:p>
    <w:p w:rsidR="00584A45" w:rsidRPr="007E1D7F" w:rsidRDefault="00584A45" w:rsidP="00584A45">
      <w:pPr>
        <w:pStyle w:val="Citas"/>
        <w:spacing w:before="0" w:after="0" w:line="240" w:lineRule="auto"/>
      </w:pPr>
      <w:r w:rsidRPr="007E1D7F">
        <w:lastRenderedPageBreak/>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584A45" w:rsidRPr="007E1D7F" w:rsidRDefault="00584A45" w:rsidP="00584A45">
      <w:pPr>
        <w:autoSpaceDE w:val="0"/>
        <w:autoSpaceDN w:val="0"/>
        <w:adjustRightInd w:val="0"/>
        <w:ind w:right="567"/>
        <w:rPr>
          <w:rFonts w:ascii="Palatino Linotype" w:eastAsia="Calibri" w:hAnsi="Palatino Linotype" w:cs="Arial"/>
        </w:rPr>
      </w:pPr>
    </w:p>
    <w:p w:rsidR="00584A45" w:rsidRPr="007E1D7F" w:rsidRDefault="00584A45" w:rsidP="00584A45">
      <w:pPr>
        <w:autoSpaceDE w:val="0"/>
        <w:autoSpaceDN w:val="0"/>
        <w:adjustRightInd w:val="0"/>
        <w:ind w:right="567"/>
        <w:rPr>
          <w:rFonts w:ascii="Palatino Linotype" w:eastAsia="Calibri" w:hAnsi="Palatino Linotype" w:cs="Arial"/>
        </w:rPr>
      </w:pPr>
    </w:p>
    <w:p w:rsidR="00584A45" w:rsidRPr="007E1D7F" w:rsidRDefault="00584A45" w:rsidP="00584A45">
      <w:pPr>
        <w:spacing w:line="360" w:lineRule="auto"/>
        <w:jc w:val="both"/>
        <w:rPr>
          <w:rFonts w:ascii="Palatino Linotype" w:hAnsi="Palatino Linotype" w:cs="Tahoma"/>
          <w:bCs/>
        </w:rPr>
      </w:pPr>
      <w:r w:rsidRPr="007E1D7F">
        <w:rPr>
          <w:rFonts w:ascii="Palatino Linotype" w:hAnsi="Palatino Linotype" w:cs="Tahoma"/>
          <w:bCs/>
        </w:rPr>
        <w:t xml:space="preserve">Bajo estas líneas argumentativas, al retomar y delimitar los requerimientos del ahora </w:t>
      </w:r>
      <w:r w:rsidRPr="007E1D7F">
        <w:rPr>
          <w:rFonts w:ascii="Palatino Linotype" w:hAnsi="Palatino Linotype" w:cs="Tahoma"/>
          <w:b/>
          <w:bCs/>
        </w:rPr>
        <w:t>Recurrente</w:t>
      </w:r>
      <w:r w:rsidRPr="007E1D7F">
        <w:rPr>
          <w:rFonts w:ascii="Palatino Linotype" w:hAnsi="Palatino Linotype" w:cs="Tahoma"/>
          <w:bCs/>
        </w:rPr>
        <w:t>, de manera objetiva se precisa que requiere la siguiente información:</w:t>
      </w:r>
    </w:p>
    <w:p w:rsidR="004F65C7" w:rsidRPr="007E1D7F" w:rsidRDefault="004F65C7" w:rsidP="004F65C7">
      <w:pPr>
        <w:pStyle w:val="Prrafodelista"/>
        <w:numPr>
          <w:ilvl w:val="0"/>
          <w:numId w:val="5"/>
        </w:numPr>
        <w:spacing w:line="360" w:lineRule="auto"/>
        <w:jc w:val="both"/>
        <w:rPr>
          <w:rFonts w:ascii="Palatino Linotype" w:hAnsi="Palatino Linotype" w:cs="Tahoma"/>
          <w:bCs/>
        </w:rPr>
      </w:pPr>
      <w:r w:rsidRPr="007E1D7F">
        <w:rPr>
          <w:rFonts w:ascii="Palatino Linotype" w:hAnsi="Palatino Linotype" w:cs="Tahoma"/>
          <w:bCs/>
        </w:rPr>
        <w:t>Monto aprobado para el año 2025 en la comunidad de Santa María Tulantongo</w:t>
      </w:r>
      <w:r w:rsidR="00816271" w:rsidRPr="007E1D7F">
        <w:rPr>
          <w:rFonts w:ascii="Palatino Linotype" w:hAnsi="Palatino Linotype" w:cs="Tahoma"/>
          <w:bCs/>
        </w:rPr>
        <w:t>.</w:t>
      </w:r>
      <w:r w:rsidRPr="007E1D7F">
        <w:rPr>
          <w:rFonts w:ascii="Palatino Linotype" w:hAnsi="Palatino Linotype" w:cs="Tahoma"/>
          <w:bCs/>
        </w:rPr>
        <w:t xml:space="preserve"> </w:t>
      </w:r>
    </w:p>
    <w:p w:rsidR="004F65C7" w:rsidRPr="007E1D7F" w:rsidRDefault="004F65C7" w:rsidP="004F65C7">
      <w:pPr>
        <w:pStyle w:val="Prrafodelista"/>
        <w:numPr>
          <w:ilvl w:val="0"/>
          <w:numId w:val="5"/>
        </w:numPr>
        <w:spacing w:line="360" w:lineRule="auto"/>
        <w:jc w:val="both"/>
        <w:rPr>
          <w:rFonts w:ascii="Palatino Linotype" w:hAnsi="Palatino Linotype" w:cs="Tahoma"/>
          <w:bCs/>
        </w:rPr>
      </w:pPr>
      <w:r w:rsidRPr="007E1D7F">
        <w:rPr>
          <w:rFonts w:ascii="Palatino Linotype" w:hAnsi="Palatino Linotype" w:cs="Tahoma"/>
          <w:bCs/>
        </w:rPr>
        <w:t>Costo de las obras y estatus de las mismas realizadas o a realizar en Santa María Tulantongo</w:t>
      </w:r>
      <w:r w:rsidR="00816271" w:rsidRPr="007E1D7F">
        <w:rPr>
          <w:rFonts w:ascii="Palatino Linotype" w:hAnsi="Palatino Linotype" w:cs="Tahoma"/>
          <w:bCs/>
        </w:rPr>
        <w:t>.</w:t>
      </w:r>
    </w:p>
    <w:p w:rsidR="00584A45" w:rsidRPr="007E1D7F" w:rsidRDefault="004F65C7" w:rsidP="004F65C7">
      <w:pPr>
        <w:pStyle w:val="Prrafodelista"/>
        <w:numPr>
          <w:ilvl w:val="0"/>
          <w:numId w:val="5"/>
        </w:numPr>
        <w:spacing w:line="360" w:lineRule="auto"/>
        <w:jc w:val="both"/>
        <w:rPr>
          <w:rFonts w:ascii="Palatino Linotype" w:hAnsi="Palatino Linotype" w:cs="Tahoma"/>
          <w:bCs/>
        </w:rPr>
      </w:pPr>
      <w:r w:rsidRPr="007E1D7F">
        <w:rPr>
          <w:rFonts w:ascii="Palatino Linotype" w:hAnsi="Palatino Linotype" w:cs="Tahoma"/>
          <w:bCs/>
        </w:rPr>
        <w:t>Estrategias políticas públicas ha tomado el Ayuntamiento (Presidente y el cuerpo edilicio) para el desempleo, desarrollo económico, falta de infraestructura urbana, falta de alumbrado público y zonas de recreación</w:t>
      </w:r>
      <w:r w:rsidR="00584A45" w:rsidRPr="007E1D7F">
        <w:rPr>
          <w:rFonts w:ascii="Palatino Linotype" w:hAnsi="Palatino Linotype" w:cs="Tahoma"/>
          <w:bCs/>
        </w:rPr>
        <w:t>.</w:t>
      </w:r>
    </w:p>
    <w:p w:rsidR="00584A45" w:rsidRPr="007E1D7F" w:rsidRDefault="00584A45" w:rsidP="00584A45">
      <w:pPr>
        <w:spacing w:before="240" w:line="360" w:lineRule="auto"/>
        <w:jc w:val="both"/>
        <w:rPr>
          <w:rFonts w:ascii="Palatino Linotype" w:hAnsi="Palatino Linotype" w:cs="Arial"/>
          <w:b/>
        </w:rPr>
      </w:pPr>
      <w:r w:rsidRPr="007E1D7F">
        <w:rPr>
          <w:rFonts w:ascii="Palatino Linotype" w:hAnsi="Palatino Linotype" w:cs="Arial"/>
        </w:rPr>
        <w:t xml:space="preserve">De conformidad con las constancias que obran en el expediente electrónico, se observa que el </w:t>
      </w:r>
      <w:r w:rsidRPr="007E1D7F">
        <w:rPr>
          <w:rFonts w:ascii="Palatino Linotype" w:hAnsi="Palatino Linotype" w:cs="Arial"/>
          <w:b/>
        </w:rPr>
        <w:t>Sujeto Obligado</w:t>
      </w:r>
      <w:r w:rsidRPr="007E1D7F">
        <w:rPr>
          <w:rFonts w:ascii="Palatino Linotype" w:hAnsi="Palatino Linotype" w:cs="Arial"/>
        </w:rPr>
        <w:t xml:space="preserve"> dio respuesta por medio del sistema SAIMEX, a la solicitud de información</w:t>
      </w:r>
      <w:r w:rsidRPr="007E1D7F">
        <w:rPr>
          <w:rFonts w:ascii="Palatino Linotype" w:eastAsia="Palatino Linotype" w:hAnsi="Palatino Linotype" w:cs="Palatino Linotype"/>
          <w:b/>
          <w:color w:val="000000"/>
        </w:rPr>
        <w:t xml:space="preserve"> </w:t>
      </w:r>
      <w:r w:rsidRPr="007E1D7F">
        <w:rPr>
          <w:rFonts w:ascii="Palatino Linotype" w:hAnsi="Palatino Linotype" w:cs="Arial"/>
          <w:b/>
        </w:rPr>
        <w:t xml:space="preserve">00263/TEXCOCO/IP/202; </w:t>
      </w:r>
      <w:r w:rsidRPr="007E1D7F">
        <w:rPr>
          <w:rFonts w:ascii="Palatino Linotype" w:hAnsi="Palatino Linotype" w:cs="Arial"/>
        </w:rPr>
        <w:t>a través de los archivos electrónicos</w:t>
      </w:r>
      <w:r w:rsidRPr="007E1D7F">
        <w:rPr>
          <w:rFonts w:ascii="Palatino Linotype" w:hAnsi="Palatino Linotype" w:cs="Arial"/>
          <w:b/>
        </w:rPr>
        <w:t>:</w:t>
      </w:r>
    </w:p>
    <w:p w:rsidR="00584A45" w:rsidRPr="007E1D7F" w:rsidRDefault="004F65C7" w:rsidP="004F65C7">
      <w:pPr>
        <w:pStyle w:val="Sinespaciado"/>
        <w:numPr>
          <w:ilvl w:val="0"/>
          <w:numId w:val="1"/>
        </w:numPr>
        <w:spacing w:before="240" w:line="360" w:lineRule="auto"/>
        <w:jc w:val="both"/>
        <w:rPr>
          <w:rFonts w:ascii="Palatino Linotype" w:hAnsi="Palatino Linotype" w:cs="Arial"/>
          <w:bCs/>
        </w:rPr>
      </w:pPr>
      <w:r w:rsidRPr="007E1D7F">
        <w:rPr>
          <w:rFonts w:ascii="Palatino Linotype" w:hAnsi="Palatino Linotype" w:cs="Arial"/>
          <w:b/>
          <w:i/>
          <w:sz w:val="24"/>
        </w:rPr>
        <w:t>RESPUESTA A SOLICITUD 000263 CENTRO DE BIENESTAR ANIMAL INCOMPETENCIA.pdf</w:t>
      </w:r>
      <w:r w:rsidR="00584A45" w:rsidRPr="007E1D7F">
        <w:rPr>
          <w:rFonts w:ascii="Palatino Linotype" w:hAnsi="Palatino Linotype" w:cs="Arial"/>
          <w:b/>
          <w:i/>
          <w:sz w:val="24"/>
        </w:rPr>
        <w:t xml:space="preserve">: </w:t>
      </w:r>
      <w:r w:rsidRPr="007E1D7F">
        <w:rPr>
          <w:rFonts w:ascii="Palatino Linotype" w:hAnsi="Palatino Linotype" w:cs="Arial"/>
          <w:sz w:val="24"/>
        </w:rPr>
        <w:t xml:space="preserve">documento firmado por el Titular de la Unidad de Transparencia, en el que </w:t>
      </w:r>
      <w:r w:rsidR="000D6D01" w:rsidRPr="007E1D7F">
        <w:rPr>
          <w:rFonts w:ascii="Palatino Linotype" w:hAnsi="Palatino Linotype" w:cs="Arial"/>
          <w:sz w:val="24"/>
        </w:rPr>
        <w:t xml:space="preserve">manifiesta su Incompetencia como Sujeto Obligado, siendo el DIF de Texcoco el Sujeto Obligado competente. </w:t>
      </w:r>
    </w:p>
    <w:p w:rsidR="004F65C7" w:rsidRPr="007E1D7F" w:rsidRDefault="004F65C7" w:rsidP="00584A45">
      <w:pPr>
        <w:spacing w:line="360" w:lineRule="auto"/>
        <w:jc w:val="both"/>
        <w:rPr>
          <w:rFonts w:ascii="Palatino Linotype" w:hAnsi="Palatino Linotype" w:cs="Arial"/>
          <w:bCs/>
        </w:rPr>
      </w:pPr>
    </w:p>
    <w:p w:rsidR="00584A45" w:rsidRPr="007E1D7F" w:rsidRDefault="00584A45" w:rsidP="00584A45">
      <w:pPr>
        <w:spacing w:line="360" w:lineRule="auto"/>
        <w:jc w:val="both"/>
        <w:rPr>
          <w:rFonts w:ascii="Palatino Linotype" w:hAnsi="Palatino Linotype"/>
          <w:b/>
          <w:i/>
          <w:u w:val="single"/>
        </w:rPr>
      </w:pPr>
      <w:r w:rsidRPr="007E1D7F">
        <w:rPr>
          <w:rFonts w:ascii="Palatino Linotype" w:hAnsi="Palatino Linotype" w:cs="Arial"/>
          <w:bCs/>
        </w:rPr>
        <w:t xml:space="preserve">Es así como, derivado de la respuesta emitida por </w:t>
      </w:r>
      <w:r w:rsidRPr="007E1D7F">
        <w:rPr>
          <w:rFonts w:ascii="Palatino Linotype" w:hAnsi="Palatino Linotype" w:cs="Arial"/>
          <w:b/>
          <w:bCs/>
        </w:rPr>
        <w:t>El Sujeto Obligado</w:t>
      </w:r>
      <w:r w:rsidRPr="007E1D7F">
        <w:rPr>
          <w:rFonts w:ascii="Palatino Linotype" w:hAnsi="Palatino Linotype" w:cs="Arial"/>
          <w:bCs/>
        </w:rPr>
        <w:t xml:space="preserve">, </w:t>
      </w:r>
      <w:r w:rsidRPr="007E1D7F">
        <w:rPr>
          <w:rFonts w:ascii="Palatino Linotype" w:hAnsi="Palatino Linotype" w:cs="Arial"/>
          <w:b/>
          <w:bCs/>
        </w:rPr>
        <w:t>el Recurrente</w:t>
      </w:r>
      <w:r w:rsidRPr="007E1D7F">
        <w:rPr>
          <w:rFonts w:ascii="Palatino Linotype" w:hAnsi="Palatino Linotype" w:cs="Arial"/>
          <w:bCs/>
        </w:rPr>
        <w:t>, interpuso el presente recurso de revisión, señalando sustancialmente como sus razones o motivos de inconformidad, lo siguiente:</w:t>
      </w:r>
      <w:r w:rsidRPr="007E1D7F" w:rsidDel="00107C3B">
        <w:rPr>
          <w:rFonts w:ascii="Palatino Linotype" w:hAnsi="Palatino Linotype"/>
          <w:b/>
          <w:i/>
        </w:rPr>
        <w:t xml:space="preserve"> </w:t>
      </w:r>
      <w:r w:rsidRPr="007E1D7F">
        <w:rPr>
          <w:rFonts w:ascii="Palatino Linotype" w:hAnsi="Palatino Linotype"/>
          <w:i/>
        </w:rPr>
        <w:t>“</w:t>
      </w:r>
      <w:r w:rsidR="000D6D01" w:rsidRPr="007E1D7F">
        <w:rPr>
          <w:rFonts w:ascii="Palatino Linotype" w:hAnsi="Palatino Linotype"/>
          <w:i/>
        </w:rPr>
        <w:t xml:space="preserve">NO ESTAN DANDO LA INFORMACION SOLICITADA,SOLO ME ESTAN SUGIRIENDO QUE ME DIRIJA AL DIF A REALIZAR </w:t>
      </w:r>
      <w:r w:rsidR="000D6D01" w:rsidRPr="007E1D7F">
        <w:rPr>
          <w:rFonts w:ascii="Palatino Linotype" w:hAnsi="Palatino Linotype"/>
          <w:i/>
        </w:rPr>
        <w:lastRenderedPageBreak/>
        <w:t>DICHA SOLICITUD CUANDO SEGUN LO ESTABLECIDO EN LA LEY ORGANICA Y BANDO MUNICIPAL DE TEXCOCO VIGENTE DEBERIAN TENER ESA INFORMACION EL H. AYUNTAMIENTO DE TEXCOCO.EN VIRTUD DE LO ANTERIOR ESTAN DESVIRTUANDO COMPLETAMENTE MI RESPUESTA Y EL SUJETO OBLIGADO ESTA SIENDO OMISO COMO EL RESPONSABLE DE LA UNIDAD DE TRANSPARENCIA AL BRINDARME DICHA RESPUESTA. A EFECTO DE LO ANTERIORMENTE DICHO SOLICITO LA CONTESTACION COMPLETA DE MI SOLICITUD DE INFORMACION PUESTO QUE CUENTAN CON LA MISMA. ES DECIR COMO EL SISTEMA MUNICIPAL DIF VA CONCER EL MONTO APROBADO PARA EL AÑO 2025 EN SANTA MARIA TULANTONGO. O EL COSTO DE LAS OBRAS. SON PREGUNTAS DIRECTAS A LAS AREAS CORRESPONDIENTES Y COMPETENTES DEL H. AYUNTAMIENTO Y EVADEN LA RESPONSABILIDAD DE CONTESTAR LA INFORMACION SOLICITAD CON COSAS SIN SENTIDO. MANIFIESTO Y EXIJO LO QUE A DERECHO CORRESPONDA.</w:t>
      </w:r>
      <w:r w:rsidRPr="007E1D7F">
        <w:rPr>
          <w:rFonts w:ascii="Palatino Linotype" w:hAnsi="Palatino Linotype"/>
          <w:i/>
        </w:rPr>
        <w:t>” (Sic).</w:t>
      </w:r>
    </w:p>
    <w:p w:rsidR="00584A45" w:rsidRPr="007E1D7F" w:rsidRDefault="00584A45" w:rsidP="00584A45">
      <w:pPr>
        <w:autoSpaceDE w:val="0"/>
        <w:autoSpaceDN w:val="0"/>
        <w:adjustRightInd w:val="0"/>
        <w:spacing w:line="360" w:lineRule="auto"/>
        <w:jc w:val="both"/>
        <w:rPr>
          <w:rFonts w:ascii="Palatino Linotype" w:eastAsia="Calibri" w:hAnsi="Palatino Linotype" w:cs="Calibri"/>
          <w:lang w:val="es-ES_tradnl" w:eastAsia="es-MX"/>
        </w:rPr>
      </w:pPr>
    </w:p>
    <w:p w:rsidR="00DD3CD8" w:rsidRPr="007E1D7F" w:rsidRDefault="00DD3CD8" w:rsidP="00DD3CD8">
      <w:pPr>
        <w:widowControl w:val="0"/>
        <w:tabs>
          <w:tab w:val="left" w:pos="1701"/>
          <w:tab w:val="left" w:pos="1843"/>
        </w:tabs>
        <w:spacing w:line="360" w:lineRule="auto"/>
        <w:jc w:val="both"/>
        <w:rPr>
          <w:rFonts w:ascii="Palatino Linotype" w:eastAsia="Calibri" w:hAnsi="Palatino Linotype" w:cs="Calibri"/>
          <w:lang w:val="es-ES_tradnl" w:eastAsia="es-MX"/>
        </w:rPr>
      </w:pPr>
      <w:r w:rsidRPr="007E1D7F">
        <w:rPr>
          <w:rFonts w:ascii="Palatino Linotype" w:eastAsia="Calibri" w:hAnsi="Palatino Linotype" w:cs="Calibri"/>
          <w:lang w:val="es-ES_tradnl" w:eastAsia="es-MX"/>
        </w:rPr>
        <w:t>De las constancias que obran en el expediente electrónico del SAIMEX, se advierte que</w:t>
      </w:r>
    </w:p>
    <w:p w:rsidR="000D6D01" w:rsidRPr="007E1D7F" w:rsidRDefault="00DD3CD8" w:rsidP="00DD3CD8">
      <w:pPr>
        <w:widowControl w:val="0"/>
        <w:tabs>
          <w:tab w:val="left" w:pos="1701"/>
          <w:tab w:val="left" w:pos="1843"/>
        </w:tabs>
        <w:spacing w:line="360" w:lineRule="auto"/>
        <w:jc w:val="both"/>
        <w:rPr>
          <w:rFonts w:ascii="Palatino Linotype" w:eastAsia="Calibri" w:hAnsi="Palatino Linotype" w:cs="Calibri"/>
          <w:lang w:val="es-ES_tradnl" w:eastAsia="es-MX"/>
        </w:rPr>
      </w:pPr>
      <w:r w:rsidRPr="007E1D7F">
        <w:rPr>
          <w:rFonts w:ascii="Palatino Linotype" w:eastAsia="Calibri" w:hAnsi="Palatino Linotype" w:cs="Calibri"/>
          <w:lang w:val="es-ES_tradnl" w:eastAsia="es-MX"/>
        </w:rPr>
        <w:t xml:space="preserve">el Sujeto Obligado rindió su informe justificado por medio </w:t>
      </w:r>
      <w:r w:rsidR="000D6D01" w:rsidRPr="007E1D7F">
        <w:rPr>
          <w:rFonts w:ascii="Palatino Linotype" w:eastAsia="Calibri" w:hAnsi="Palatino Linotype" w:cs="Calibri"/>
          <w:lang w:val="es-ES_tradnl" w:eastAsia="es-MX"/>
        </w:rPr>
        <w:t>del</w:t>
      </w:r>
      <w:r w:rsidRPr="007E1D7F">
        <w:rPr>
          <w:rFonts w:ascii="Palatino Linotype" w:eastAsia="Calibri" w:hAnsi="Palatino Linotype" w:cs="Calibri"/>
          <w:lang w:val="es-ES_tradnl" w:eastAsia="es-MX"/>
        </w:rPr>
        <w:t xml:space="preserve"> archivo electrónico denominado</w:t>
      </w:r>
      <w:r w:rsidR="000D6D01" w:rsidRPr="007E1D7F">
        <w:rPr>
          <w:rFonts w:ascii="Palatino Linotype" w:eastAsia="Calibri" w:hAnsi="Palatino Linotype" w:cs="Calibri"/>
          <w:lang w:val="es-ES_tradnl" w:eastAsia="es-MX"/>
        </w:rPr>
        <w:t>:</w:t>
      </w:r>
    </w:p>
    <w:p w:rsidR="00DD3CD8" w:rsidRPr="007E1D7F" w:rsidRDefault="000D6D01" w:rsidP="000D6D01">
      <w:pPr>
        <w:pStyle w:val="Prrafodelista"/>
        <w:widowControl w:val="0"/>
        <w:numPr>
          <w:ilvl w:val="0"/>
          <w:numId w:val="16"/>
        </w:numPr>
        <w:tabs>
          <w:tab w:val="left" w:pos="1701"/>
          <w:tab w:val="left" w:pos="1843"/>
        </w:tabs>
        <w:spacing w:line="360" w:lineRule="auto"/>
        <w:jc w:val="both"/>
        <w:rPr>
          <w:rFonts w:ascii="Palatino Linotype" w:hAnsi="Palatino Linotype" w:cs="Arial"/>
        </w:rPr>
      </w:pPr>
      <w:r w:rsidRPr="007E1D7F">
        <w:rPr>
          <w:rFonts w:ascii="Palatino Linotype" w:hAnsi="Palatino Linotype" w:cs="Arial"/>
          <w:b/>
          <w:i/>
        </w:rPr>
        <w:t xml:space="preserve">RESPUESTA A SOLICITUD 00263 OBRAS.pdf: </w:t>
      </w:r>
      <w:r w:rsidRPr="007E1D7F">
        <w:rPr>
          <w:rFonts w:ascii="Palatino Linotype" w:hAnsi="Palatino Linotype" w:cs="Arial"/>
        </w:rPr>
        <w:t>documento firmado por el Titular de la Unidad de Transparencia, en el que refiere que la Dirección General de Obras Públicas informó lo siguiente:</w:t>
      </w:r>
    </w:p>
    <w:p w:rsidR="000D6D01" w:rsidRPr="007E1D7F" w:rsidRDefault="000D6D01" w:rsidP="000D6D01">
      <w:pPr>
        <w:pStyle w:val="Prrafodelista"/>
        <w:widowControl w:val="0"/>
        <w:tabs>
          <w:tab w:val="left" w:pos="1701"/>
          <w:tab w:val="left" w:pos="1843"/>
        </w:tabs>
        <w:spacing w:line="360" w:lineRule="auto"/>
        <w:ind w:left="720"/>
        <w:jc w:val="both"/>
        <w:rPr>
          <w:rFonts w:ascii="Palatino Linotype" w:hAnsi="Palatino Linotype" w:cs="Arial"/>
        </w:rPr>
      </w:pPr>
      <w:r w:rsidRPr="007E1D7F">
        <w:rPr>
          <w:rFonts w:ascii="Palatino Linotype" w:hAnsi="Palatino Linotype" w:cs="Arial"/>
          <w:noProof/>
          <w:lang w:val="es-MX" w:eastAsia="es-MX"/>
        </w:rPr>
        <w:lastRenderedPageBreak/>
        <w:drawing>
          <wp:inline distT="0" distB="0" distL="0" distR="0">
            <wp:extent cx="4572000" cy="1503231"/>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45FDA.tmp"/>
                    <pic:cNvPicPr/>
                  </pic:nvPicPr>
                  <pic:blipFill>
                    <a:blip r:embed="rId7">
                      <a:extLst>
                        <a:ext uri="{28A0092B-C50C-407E-A947-70E740481C1C}">
                          <a14:useLocalDpi xmlns:a14="http://schemas.microsoft.com/office/drawing/2010/main" val="0"/>
                        </a:ext>
                      </a:extLst>
                    </a:blip>
                    <a:stretch>
                      <a:fillRect/>
                    </a:stretch>
                  </pic:blipFill>
                  <pic:spPr>
                    <a:xfrm>
                      <a:off x="0" y="0"/>
                      <a:ext cx="4609919" cy="1515699"/>
                    </a:xfrm>
                    <a:prstGeom prst="rect">
                      <a:avLst/>
                    </a:prstGeom>
                  </pic:spPr>
                </pic:pic>
              </a:graphicData>
            </a:graphic>
          </wp:inline>
        </w:drawing>
      </w:r>
    </w:p>
    <w:p w:rsidR="000D6D01" w:rsidRPr="007E1D7F" w:rsidRDefault="000D6D01" w:rsidP="000D6D01">
      <w:pPr>
        <w:pStyle w:val="Prrafodelista"/>
        <w:widowControl w:val="0"/>
        <w:tabs>
          <w:tab w:val="left" w:pos="1701"/>
          <w:tab w:val="left" w:pos="1843"/>
        </w:tabs>
        <w:spacing w:line="360" w:lineRule="auto"/>
        <w:ind w:left="720"/>
        <w:jc w:val="both"/>
        <w:rPr>
          <w:rFonts w:ascii="Palatino Linotype" w:hAnsi="Palatino Linotype" w:cs="Arial"/>
        </w:rPr>
      </w:pPr>
    </w:p>
    <w:p w:rsidR="00584A45" w:rsidRPr="007E1D7F" w:rsidRDefault="00584A45" w:rsidP="00584A45">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p w:rsidR="00584A45" w:rsidRPr="007E1D7F" w:rsidRDefault="00584A45" w:rsidP="00584A45">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7E1D7F">
        <w:rPr>
          <w:rFonts w:ascii="Palatino Linotype" w:eastAsia="Palatino Linotype" w:hAnsi="Palatino Linotype" w:cs="Palatino Linotype"/>
          <w:color w:val="000000"/>
          <w:szCs w:val="22"/>
          <w:lang w:val="es-ES_tradnl" w:eastAsia="es-MX"/>
        </w:rPr>
        <w:t xml:space="preserve">Ahora bien, quedando establecido lo anterior, este Órgano Garante considera viable establecer si la respuesta e informe justificado del Sujeto Obligado colman la pretensión del Recurrente. </w:t>
      </w:r>
    </w:p>
    <w:p w:rsidR="00584A45" w:rsidRPr="007E1D7F" w:rsidRDefault="00584A45" w:rsidP="00584A45">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891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104"/>
        <w:gridCol w:w="1701"/>
        <w:gridCol w:w="1843"/>
        <w:gridCol w:w="2268"/>
      </w:tblGrid>
      <w:tr w:rsidR="000D6D01" w:rsidRPr="007E1D7F" w:rsidTr="00A91A90">
        <w:trPr>
          <w:trHeight w:val="327"/>
        </w:trPr>
        <w:tc>
          <w:tcPr>
            <w:tcW w:w="3104" w:type="dxa"/>
            <w:shd w:val="clear" w:color="auto" w:fill="E7E6E6" w:themeFill="background2"/>
          </w:tcPr>
          <w:p w:rsidR="000D6D01" w:rsidRPr="007E1D7F" w:rsidRDefault="000D6D01" w:rsidP="00B51D2D">
            <w:pPr>
              <w:spacing w:line="360" w:lineRule="auto"/>
              <w:jc w:val="center"/>
              <w:rPr>
                <w:rFonts w:ascii="Palatino Linotype" w:eastAsiaTheme="minorHAnsi" w:hAnsi="Palatino Linotype" w:cstheme="minorBidi"/>
                <w:b/>
                <w:i/>
                <w:color w:val="000000"/>
                <w:sz w:val="22"/>
                <w:szCs w:val="22"/>
                <w:lang w:val="es-MX" w:eastAsia="en-US"/>
              </w:rPr>
            </w:pPr>
            <w:r w:rsidRPr="007E1D7F">
              <w:rPr>
                <w:rFonts w:ascii="Palatino Linotype" w:eastAsiaTheme="minorHAnsi" w:hAnsi="Palatino Linotype" w:cstheme="minorBidi"/>
                <w:b/>
                <w:i/>
                <w:color w:val="000000"/>
                <w:sz w:val="22"/>
                <w:szCs w:val="22"/>
                <w:lang w:val="es-MX" w:eastAsia="en-US"/>
              </w:rPr>
              <w:t>Requerimientos</w:t>
            </w:r>
          </w:p>
        </w:tc>
        <w:tc>
          <w:tcPr>
            <w:tcW w:w="1701" w:type="dxa"/>
            <w:shd w:val="clear" w:color="auto" w:fill="E7E6E6" w:themeFill="background2"/>
          </w:tcPr>
          <w:p w:rsidR="000D6D01" w:rsidRPr="007E1D7F" w:rsidRDefault="000D6D01" w:rsidP="00B51D2D">
            <w:pPr>
              <w:spacing w:line="360" w:lineRule="auto"/>
              <w:jc w:val="center"/>
              <w:rPr>
                <w:rFonts w:ascii="Palatino Linotype" w:eastAsiaTheme="minorHAnsi" w:hAnsi="Palatino Linotype" w:cstheme="minorBidi"/>
                <w:b/>
                <w:i/>
                <w:color w:val="000000"/>
                <w:sz w:val="22"/>
                <w:szCs w:val="22"/>
                <w:lang w:val="es-MX" w:eastAsia="en-US"/>
              </w:rPr>
            </w:pPr>
            <w:r w:rsidRPr="007E1D7F">
              <w:rPr>
                <w:rFonts w:ascii="Palatino Linotype" w:eastAsiaTheme="minorHAnsi" w:hAnsi="Palatino Linotype" w:cstheme="minorBidi"/>
                <w:b/>
                <w:i/>
                <w:color w:val="000000"/>
                <w:sz w:val="22"/>
                <w:szCs w:val="22"/>
                <w:lang w:val="es-MX" w:eastAsia="en-US"/>
              </w:rPr>
              <w:t xml:space="preserve">Respuesta </w:t>
            </w:r>
          </w:p>
        </w:tc>
        <w:tc>
          <w:tcPr>
            <w:tcW w:w="1843" w:type="dxa"/>
            <w:shd w:val="clear" w:color="auto" w:fill="E7E6E6" w:themeFill="background2"/>
          </w:tcPr>
          <w:p w:rsidR="000D6D01" w:rsidRPr="007E1D7F" w:rsidRDefault="000D6D01" w:rsidP="00B51D2D">
            <w:pPr>
              <w:spacing w:line="360" w:lineRule="auto"/>
              <w:jc w:val="center"/>
              <w:rPr>
                <w:rFonts w:ascii="Palatino Linotype" w:eastAsiaTheme="minorHAnsi" w:hAnsi="Palatino Linotype" w:cstheme="minorBidi"/>
                <w:b/>
                <w:i/>
                <w:color w:val="000000"/>
                <w:sz w:val="22"/>
                <w:szCs w:val="22"/>
                <w:lang w:val="es-MX" w:eastAsia="en-US"/>
              </w:rPr>
            </w:pPr>
            <w:r w:rsidRPr="007E1D7F">
              <w:rPr>
                <w:rFonts w:ascii="Palatino Linotype" w:eastAsiaTheme="minorHAnsi" w:hAnsi="Palatino Linotype" w:cstheme="minorBidi"/>
                <w:b/>
                <w:i/>
                <w:color w:val="000000"/>
                <w:sz w:val="22"/>
                <w:szCs w:val="22"/>
                <w:lang w:val="es-MX" w:eastAsia="en-US"/>
              </w:rPr>
              <w:t>Informe justificado</w:t>
            </w:r>
          </w:p>
        </w:tc>
        <w:tc>
          <w:tcPr>
            <w:tcW w:w="2268" w:type="dxa"/>
            <w:shd w:val="clear" w:color="auto" w:fill="E7E6E6" w:themeFill="background2"/>
          </w:tcPr>
          <w:p w:rsidR="000D6D01" w:rsidRPr="007E1D7F" w:rsidRDefault="000D6D01" w:rsidP="00B51D2D">
            <w:pPr>
              <w:spacing w:line="360" w:lineRule="auto"/>
              <w:jc w:val="center"/>
              <w:rPr>
                <w:rFonts w:ascii="Palatino Linotype" w:eastAsiaTheme="minorHAnsi" w:hAnsi="Palatino Linotype" w:cstheme="minorBidi"/>
                <w:b/>
                <w:i/>
                <w:color w:val="000000"/>
                <w:sz w:val="22"/>
                <w:szCs w:val="22"/>
                <w:lang w:val="es-MX" w:eastAsia="en-US"/>
              </w:rPr>
            </w:pPr>
            <w:r w:rsidRPr="007E1D7F">
              <w:rPr>
                <w:rFonts w:ascii="Palatino Linotype" w:eastAsiaTheme="minorHAnsi" w:hAnsi="Palatino Linotype" w:cstheme="minorBidi"/>
                <w:b/>
                <w:i/>
                <w:color w:val="000000"/>
                <w:sz w:val="22"/>
                <w:szCs w:val="22"/>
                <w:lang w:val="es-MX" w:eastAsia="en-US"/>
              </w:rPr>
              <w:t>Colma</w:t>
            </w:r>
          </w:p>
        </w:tc>
      </w:tr>
      <w:tr w:rsidR="00816271" w:rsidRPr="007E1D7F" w:rsidTr="00A91A90">
        <w:trPr>
          <w:trHeight w:val="237"/>
        </w:trPr>
        <w:tc>
          <w:tcPr>
            <w:tcW w:w="3104" w:type="dxa"/>
          </w:tcPr>
          <w:p w:rsidR="00816271" w:rsidRPr="007E1D7F" w:rsidRDefault="00816271" w:rsidP="00816271">
            <w:pPr>
              <w:jc w:val="both"/>
              <w:rPr>
                <w:rFonts w:ascii="Palatino Linotype" w:eastAsiaTheme="minorHAnsi" w:hAnsi="Palatino Linotype" w:cstheme="minorBidi"/>
                <w:color w:val="000000"/>
                <w:sz w:val="22"/>
                <w:szCs w:val="20"/>
                <w:lang w:val="es-MX" w:eastAsia="en-US"/>
              </w:rPr>
            </w:pPr>
            <w:r w:rsidRPr="007E1D7F">
              <w:rPr>
                <w:rFonts w:ascii="Palatino Linotype" w:eastAsiaTheme="minorHAnsi" w:hAnsi="Palatino Linotype" w:cstheme="minorBidi"/>
                <w:color w:val="000000"/>
                <w:sz w:val="22"/>
                <w:szCs w:val="20"/>
                <w:lang w:val="es-MX" w:eastAsia="en-US"/>
              </w:rPr>
              <w:t>Monto aprobado para el año 2025 en la comunidad de Santa María Tulantongo</w:t>
            </w:r>
          </w:p>
        </w:tc>
        <w:tc>
          <w:tcPr>
            <w:tcW w:w="1701" w:type="dxa"/>
            <w:vMerge w:val="restart"/>
          </w:tcPr>
          <w:p w:rsidR="00816271" w:rsidRPr="007E1D7F" w:rsidRDefault="00816271" w:rsidP="00B51D2D">
            <w:pPr>
              <w:jc w:val="both"/>
              <w:rPr>
                <w:rFonts w:ascii="Palatino Linotype" w:eastAsiaTheme="minorHAnsi" w:hAnsi="Palatino Linotype" w:cstheme="minorBidi"/>
                <w:color w:val="000000"/>
                <w:sz w:val="22"/>
                <w:szCs w:val="22"/>
                <w:lang w:val="es-MX" w:eastAsia="en-US"/>
              </w:rPr>
            </w:pPr>
            <w:r w:rsidRPr="007E1D7F">
              <w:rPr>
                <w:rFonts w:ascii="Palatino Linotype" w:eastAsiaTheme="minorHAnsi" w:hAnsi="Palatino Linotype" w:cstheme="minorBidi"/>
                <w:color w:val="000000"/>
                <w:sz w:val="22"/>
                <w:szCs w:val="22"/>
                <w:lang w:val="es-MX" w:eastAsia="en-US"/>
              </w:rPr>
              <w:t>Incompetencia</w:t>
            </w:r>
          </w:p>
        </w:tc>
        <w:tc>
          <w:tcPr>
            <w:tcW w:w="1843" w:type="dxa"/>
          </w:tcPr>
          <w:p w:rsidR="00816271" w:rsidRPr="007E1D7F" w:rsidRDefault="003703BD" w:rsidP="00B51D2D">
            <w:pPr>
              <w:jc w:val="center"/>
              <w:rPr>
                <w:rFonts w:ascii="Palatino Linotype" w:eastAsiaTheme="minorHAnsi" w:hAnsi="Palatino Linotype" w:cstheme="minorBidi"/>
                <w:i/>
                <w:color w:val="000000"/>
                <w:sz w:val="22"/>
                <w:szCs w:val="22"/>
                <w:lang w:val="es-MX" w:eastAsia="en-US"/>
              </w:rPr>
            </w:pPr>
            <w:r w:rsidRPr="007E1D7F">
              <w:rPr>
                <w:rFonts w:ascii="Palatino Linotype" w:eastAsiaTheme="minorHAnsi" w:hAnsi="Palatino Linotype" w:cstheme="minorBidi"/>
                <w:i/>
                <w:color w:val="000000"/>
                <w:sz w:val="22"/>
                <w:szCs w:val="22"/>
                <w:lang w:val="es-MX" w:eastAsia="en-US"/>
              </w:rPr>
              <w:t>No hubo pronunciamiento</w:t>
            </w:r>
          </w:p>
        </w:tc>
        <w:tc>
          <w:tcPr>
            <w:tcW w:w="2268" w:type="dxa"/>
          </w:tcPr>
          <w:p w:rsidR="00816271" w:rsidRPr="007E1D7F" w:rsidRDefault="003703BD" w:rsidP="00B51D2D">
            <w:pPr>
              <w:jc w:val="center"/>
              <w:rPr>
                <w:rFonts w:ascii="Palatino Linotype" w:eastAsiaTheme="minorHAnsi" w:hAnsi="Palatino Linotype" w:cstheme="minorBidi"/>
                <w:b/>
                <w:i/>
                <w:color w:val="000000"/>
                <w:sz w:val="22"/>
                <w:szCs w:val="22"/>
                <w:lang w:val="es-MX" w:eastAsia="en-US"/>
              </w:rPr>
            </w:pPr>
            <w:r w:rsidRPr="007E1D7F">
              <w:rPr>
                <w:rFonts w:ascii="Palatino Linotype" w:eastAsiaTheme="minorHAnsi" w:hAnsi="Palatino Linotype" w:cstheme="minorBidi"/>
                <w:b/>
                <w:i/>
                <w:color w:val="000000"/>
                <w:sz w:val="22"/>
                <w:szCs w:val="22"/>
                <w:lang w:val="es-MX" w:eastAsia="en-US"/>
              </w:rPr>
              <w:t>No</w:t>
            </w:r>
          </w:p>
        </w:tc>
      </w:tr>
      <w:tr w:rsidR="00816271" w:rsidRPr="007E1D7F" w:rsidTr="00A91A90">
        <w:trPr>
          <w:trHeight w:val="237"/>
        </w:trPr>
        <w:tc>
          <w:tcPr>
            <w:tcW w:w="3104" w:type="dxa"/>
          </w:tcPr>
          <w:p w:rsidR="00816271" w:rsidRPr="007E1D7F" w:rsidRDefault="00816271" w:rsidP="00816271">
            <w:pPr>
              <w:jc w:val="both"/>
              <w:rPr>
                <w:rFonts w:ascii="Palatino Linotype" w:eastAsiaTheme="minorHAnsi" w:hAnsi="Palatino Linotype" w:cstheme="minorBidi"/>
                <w:color w:val="000000"/>
                <w:sz w:val="22"/>
                <w:szCs w:val="20"/>
                <w:lang w:val="es-MX" w:eastAsia="en-US"/>
              </w:rPr>
            </w:pPr>
            <w:r w:rsidRPr="007E1D7F">
              <w:rPr>
                <w:rFonts w:ascii="Palatino Linotype" w:eastAsiaTheme="minorHAnsi" w:hAnsi="Palatino Linotype" w:cstheme="minorBidi"/>
                <w:color w:val="000000"/>
                <w:sz w:val="22"/>
                <w:szCs w:val="20"/>
                <w:lang w:val="es-MX" w:eastAsia="en-US"/>
              </w:rPr>
              <w:t>Costo de las obras y estatus de las mismas realizadas o a realizar en Santa María Tulantongo</w:t>
            </w:r>
          </w:p>
        </w:tc>
        <w:tc>
          <w:tcPr>
            <w:tcW w:w="1701" w:type="dxa"/>
            <w:vMerge/>
          </w:tcPr>
          <w:p w:rsidR="00816271" w:rsidRPr="007E1D7F" w:rsidRDefault="00816271" w:rsidP="00B51D2D">
            <w:pPr>
              <w:jc w:val="both"/>
              <w:rPr>
                <w:rFonts w:ascii="Palatino Linotype" w:eastAsiaTheme="minorHAnsi" w:hAnsi="Palatino Linotype" w:cstheme="minorBidi"/>
                <w:color w:val="000000"/>
                <w:sz w:val="22"/>
                <w:szCs w:val="22"/>
                <w:lang w:val="es-MX" w:eastAsia="en-US"/>
              </w:rPr>
            </w:pPr>
          </w:p>
        </w:tc>
        <w:tc>
          <w:tcPr>
            <w:tcW w:w="1843" w:type="dxa"/>
          </w:tcPr>
          <w:p w:rsidR="00816271" w:rsidRPr="007E1D7F" w:rsidRDefault="003703BD" w:rsidP="003703BD">
            <w:pPr>
              <w:jc w:val="both"/>
              <w:rPr>
                <w:rFonts w:ascii="Palatino Linotype" w:eastAsiaTheme="minorHAnsi" w:hAnsi="Palatino Linotype" w:cstheme="minorBidi"/>
                <w:color w:val="000000"/>
                <w:sz w:val="22"/>
                <w:szCs w:val="22"/>
                <w:lang w:val="es-MX" w:eastAsia="en-US"/>
              </w:rPr>
            </w:pPr>
            <w:r w:rsidRPr="007E1D7F">
              <w:rPr>
                <w:rFonts w:ascii="Palatino Linotype" w:eastAsiaTheme="minorHAnsi" w:hAnsi="Palatino Linotype" w:cstheme="minorBidi"/>
                <w:color w:val="000000"/>
                <w:sz w:val="22"/>
                <w:szCs w:val="22"/>
                <w:lang w:val="es-MX" w:eastAsia="en-US"/>
              </w:rPr>
              <w:t>Descripción de obras, monto de inversión y estatus.</w:t>
            </w:r>
          </w:p>
        </w:tc>
        <w:tc>
          <w:tcPr>
            <w:tcW w:w="2268" w:type="dxa"/>
          </w:tcPr>
          <w:p w:rsidR="003703BD" w:rsidRPr="007E1D7F" w:rsidRDefault="00A91A90" w:rsidP="00A91A90">
            <w:pPr>
              <w:jc w:val="center"/>
              <w:rPr>
                <w:rFonts w:ascii="Palatino Linotype" w:eastAsiaTheme="minorHAnsi" w:hAnsi="Palatino Linotype" w:cstheme="minorBidi"/>
                <w:b/>
                <w:i/>
                <w:color w:val="000000"/>
                <w:sz w:val="22"/>
                <w:szCs w:val="22"/>
                <w:lang w:val="es-MX" w:eastAsia="en-US"/>
              </w:rPr>
            </w:pPr>
            <w:r w:rsidRPr="007E1D7F">
              <w:rPr>
                <w:rFonts w:ascii="Palatino Linotype" w:eastAsiaTheme="minorHAnsi" w:hAnsi="Palatino Linotype" w:cstheme="minorBidi"/>
                <w:b/>
                <w:i/>
                <w:color w:val="000000"/>
                <w:sz w:val="22"/>
                <w:szCs w:val="22"/>
                <w:lang w:val="es-MX" w:eastAsia="en-US"/>
              </w:rPr>
              <w:t>Parcialmente</w:t>
            </w:r>
          </w:p>
          <w:p w:rsidR="00A91A90" w:rsidRPr="007E1D7F" w:rsidRDefault="00A91A90" w:rsidP="00A91A90">
            <w:pPr>
              <w:jc w:val="center"/>
              <w:rPr>
                <w:rFonts w:ascii="Palatino Linotype" w:eastAsiaTheme="minorHAnsi" w:hAnsi="Palatino Linotype" w:cstheme="minorBidi"/>
                <w:i/>
                <w:color w:val="000000"/>
                <w:sz w:val="22"/>
                <w:szCs w:val="22"/>
                <w:lang w:val="es-MX" w:eastAsia="en-US"/>
              </w:rPr>
            </w:pPr>
            <w:r w:rsidRPr="007E1D7F">
              <w:rPr>
                <w:rFonts w:ascii="Palatino Linotype" w:eastAsiaTheme="minorHAnsi" w:hAnsi="Palatino Linotype" w:cstheme="minorBidi"/>
                <w:i/>
                <w:color w:val="000000"/>
                <w:sz w:val="22"/>
                <w:szCs w:val="22"/>
                <w:lang w:val="es-MX" w:eastAsia="en-US"/>
              </w:rPr>
              <w:t>No hay pronunciamiento respecto de las obras realizadas, únicamente se pronunciaron sobre las obras que se van a realizar.</w:t>
            </w:r>
          </w:p>
        </w:tc>
      </w:tr>
      <w:tr w:rsidR="00816271" w:rsidRPr="007E1D7F" w:rsidTr="00A91A90">
        <w:trPr>
          <w:trHeight w:val="237"/>
        </w:trPr>
        <w:tc>
          <w:tcPr>
            <w:tcW w:w="3104" w:type="dxa"/>
          </w:tcPr>
          <w:p w:rsidR="00816271" w:rsidRPr="007E1D7F" w:rsidRDefault="00816271" w:rsidP="00BB5B33">
            <w:pPr>
              <w:jc w:val="both"/>
              <w:rPr>
                <w:rFonts w:ascii="Palatino Linotype" w:eastAsiaTheme="minorHAnsi" w:hAnsi="Palatino Linotype" w:cstheme="minorBidi"/>
                <w:color w:val="000000"/>
                <w:sz w:val="22"/>
                <w:szCs w:val="20"/>
                <w:lang w:val="es-MX" w:eastAsia="en-US"/>
              </w:rPr>
            </w:pPr>
            <w:r w:rsidRPr="007E1D7F">
              <w:rPr>
                <w:rFonts w:ascii="Palatino Linotype" w:eastAsiaTheme="minorHAnsi" w:hAnsi="Palatino Linotype" w:cstheme="minorBidi"/>
                <w:color w:val="000000"/>
                <w:sz w:val="22"/>
                <w:szCs w:val="20"/>
                <w:lang w:val="es-MX" w:eastAsia="en-US"/>
              </w:rPr>
              <w:t>Estrategias</w:t>
            </w:r>
            <w:r w:rsidR="00BB5B33" w:rsidRPr="007E1D7F">
              <w:rPr>
                <w:rFonts w:ascii="Palatino Linotype" w:eastAsiaTheme="minorHAnsi" w:hAnsi="Palatino Linotype" w:cstheme="minorBidi"/>
                <w:color w:val="000000"/>
                <w:sz w:val="22"/>
                <w:szCs w:val="20"/>
                <w:lang w:val="es-MX" w:eastAsia="en-US"/>
              </w:rPr>
              <w:t xml:space="preserve"> o</w:t>
            </w:r>
            <w:r w:rsidRPr="007E1D7F">
              <w:rPr>
                <w:rFonts w:ascii="Palatino Linotype" w:eastAsiaTheme="minorHAnsi" w:hAnsi="Palatino Linotype" w:cstheme="minorBidi"/>
                <w:color w:val="000000"/>
                <w:sz w:val="22"/>
                <w:szCs w:val="20"/>
                <w:lang w:val="es-MX" w:eastAsia="en-US"/>
              </w:rPr>
              <w:t xml:space="preserve"> políticas públicas ha tomado el Ayuntamiento para el desempleo, desarrollo económico, falta de infraestructura urbana, falta </w:t>
            </w:r>
            <w:r w:rsidRPr="007E1D7F">
              <w:rPr>
                <w:rFonts w:ascii="Palatino Linotype" w:eastAsiaTheme="minorHAnsi" w:hAnsi="Palatino Linotype" w:cstheme="minorBidi"/>
                <w:color w:val="000000"/>
                <w:sz w:val="22"/>
                <w:szCs w:val="20"/>
                <w:lang w:val="es-MX" w:eastAsia="en-US"/>
              </w:rPr>
              <w:lastRenderedPageBreak/>
              <w:t>de alumbrado público y zonas de recreación</w:t>
            </w:r>
          </w:p>
        </w:tc>
        <w:tc>
          <w:tcPr>
            <w:tcW w:w="1701" w:type="dxa"/>
            <w:vMerge/>
          </w:tcPr>
          <w:p w:rsidR="00816271" w:rsidRPr="007E1D7F" w:rsidRDefault="00816271" w:rsidP="00B51D2D">
            <w:pPr>
              <w:jc w:val="both"/>
              <w:rPr>
                <w:rFonts w:ascii="Palatino Linotype" w:eastAsiaTheme="minorHAnsi" w:hAnsi="Palatino Linotype" w:cstheme="minorBidi"/>
                <w:color w:val="000000"/>
                <w:sz w:val="22"/>
                <w:szCs w:val="22"/>
                <w:lang w:val="es-MX" w:eastAsia="en-US"/>
              </w:rPr>
            </w:pPr>
          </w:p>
        </w:tc>
        <w:tc>
          <w:tcPr>
            <w:tcW w:w="1843" w:type="dxa"/>
          </w:tcPr>
          <w:p w:rsidR="00816271" w:rsidRPr="007E1D7F" w:rsidRDefault="003703BD" w:rsidP="00B51D2D">
            <w:pPr>
              <w:jc w:val="center"/>
              <w:rPr>
                <w:rFonts w:ascii="Palatino Linotype" w:eastAsiaTheme="minorHAnsi" w:hAnsi="Palatino Linotype" w:cstheme="minorBidi"/>
                <w:i/>
                <w:color w:val="000000"/>
                <w:sz w:val="22"/>
                <w:szCs w:val="22"/>
                <w:lang w:val="es-MX" w:eastAsia="en-US"/>
              </w:rPr>
            </w:pPr>
            <w:r w:rsidRPr="007E1D7F">
              <w:rPr>
                <w:rFonts w:ascii="Palatino Linotype" w:eastAsiaTheme="minorHAnsi" w:hAnsi="Palatino Linotype" w:cstheme="minorBidi"/>
                <w:i/>
                <w:color w:val="000000"/>
                <w:sz w:val="22"/>
                <w:szCs w:val="22"/>
                <w:lang w:val="es-MX" w:eastAsia="en-US"/>
              </w:rPr>
              <w:t xml:space="preserve">No hubo pronunciamiento </w:t>
            </w:r>
          </w:p>
        </w:tc>
        <w:tc>
          <w:tcPr>
            <w:tcW w:w="2268" w:type="dxa"/>
          </w:tcPr>
          <w:p w:rsidR="00816271" w:rsidRPr="007E1D7F" w:rsidRDefault="003703BD" w:rsidP="00B51D2D">
            <w:pPr>
              <w:jc w:val="center"/>
              <w:rPr>
                <w:rFonts w:ascii="Palatino Linotype" w:eastAsiaTheme="minorHAnsi" w:hAnsi="Palatino Linotype" w:cstheme="minorBidi"/>
                <w:b/>
                <w:i/>
                <w:color w:val="000000"/>
                <w:sz w:val="22"/>
                <w:szCs w:val="22"/>
                <w:lang w:val="es-MX" w:eastAsia="en-US"/>
              </w:rPr>
            </w:pPr>
            <w:r w:rsidRPr="007E1D7F">
              <w:rPr>
                <w:rFonts w:ascii="Palatino Linotype" w:eastAsiaTheme="minorHAnsi" w:hAnsi="Palatino Linotype" w:cstheme="minorBidi"/>
                <w:b/>
                <w:i/>
                <w:color w:val="000000"/>
                <w:sz w:val="22"/>
                <w:szCs w:val="22"/>
                <w:lang w:val="es-MX" w:eastAsia="en-US"/>
              </w:rPr>
              <w:t xml:space="preserve">No </w:t>
            </w:r>
          </w:p>
        </w:tc>
      </w:tr>
    </w:tbl>
    <w:p w:rsidR="00584A45" w:rsidRPr="007E1D7F" w:rsidRDefault="00584A45" w:rsidP="00584A45">
      <w:pPr>
        <w:spacing w:line="360" w:lineRule="auto"/>
        <w:jc w:val="both"/>
        <w:rPr>
          <w:rFonts w:ascii="Palatino Linotype" w:eastAsia="Calibri" w:hAnsi="Palatino Linotype" w:cs="Arial"/>
          <w:color w:val="000000"/>
          <w:lang w:val="es-ES_tradnl" w:eastAsia="es-MX"/>
        </w:rPr>
      </w:pPr>
    </w:p>
    <w:p w:rsidR="00FA47C9" w:rsidRPr="007E1D7F" w:rsidRDefault="00FA47C9" w:rsidP="00584A45">
      <w:pPr>
        <w:pStyle w:val="Sinespaciado"/>
        <w:spacing w:line="360" w:lineRule="auto"/>
        <w:jc w:val="both"/>
        <w:rPr>
          <w:rFonts w:ascii="Palatino Linotype" w:hAnsi="Palatino Linotype"/>
          <w:sz w:val="24"/>
        </w:rPr>
      </w:pPr>
      <w:r w:rsidRPr="007E1D7F">
        <w:rPr>
          <w:rFonts w:ascii="Palatino Linotype" w:hAnsi="Palatino Linotype"/>
          <w:sz w:val="24"/>
        </w:rPr>
        <w:t xml:space="preserve">Una vez establecido lo anterior, </w:t>
      </w:r>
      <w:r w:rsidR="004D1AF7" w:rsidRPr="007E1D7F">
        <w:rPr>
          <w:rFonts w:ascii="Palatino Linotype" w:hAnsi="Palatino Linotype"/>
          <w:sz w:val="24"/>
        </w:rPr>
        <w:t xml:space="preserve">resulta necesario delimitar competencias </w:t>
      </w:r>
      <w:r w:rsidRPr="007E1D7F">
        <w:rPr>
          <w:rFonts w:ascii="Palatino Linotype" w:hAnsi="Palatino Linotype"/>
          <w:sz w:val="24"/>
        </w:rPr>
        <w:t>conforme al Bando Municipal</w:t>
      </w:r>
      <w:r w:rsidR="00C761C2" w:rsidRPr="007E1D7F">
        <w:rPr>
          <w:rFonts w:ascii="Palatino Linotype" w:hAnsi="Palatino Linotype"/>
          <w:sz w:val="24"/>
        </w:rPr>
        <w:t xml:space="preserve"> </w:t>
      </w:r>
      <w:r w:rsidR="004D1AF7" w:rsidRPr="007E1D7F">
        <w:rPr>
          <w:rFonts w:ascii="Palatino Linotype" w:hAnsi="Palatino Linotype"/>
          <w:sz w:val="24"/>
        </w:rPr>
        <w:t>y Reglamento</w:t>
      </w:r>
      <w:r w:rsidR="00A91A90" w:rsidRPr="007E1D7F">
        <w:rPr>
          <w:rFonts w:ascii="Palatino Linotype" w:hAnsi="Palatino Linotype"/>
          <w:sz w:val="24"/>
        </w:rPr>
        <w:t>s,</w:t>
      </w:r>
      <w:r w:rsidR="004D1AF7" w:rsidRPr="007E1D7F">
        <w:rPr>
          <w:rFonts w:ascii="Palatino Linotype" w:hAnsi="Palatino Linotype"/>
          <w:sz w:val="24"/>
        </w:rPr>
        <w:t xml:space="preserve"> de la Dirección de Planeación de</w:t>
      </w:r>
      <w:r w:rsidR="00C761C2" w:rsidRPr="007E1D7F">
        <w:rPr>
          <w:rFonts w:ascii="Palatino Linotype" w:hAnsi="Palatino Linotype"/>
          <w:sz w:val="24"/>
        </w:rPr>
        <w:t xml:space="preserve"> la Tesorería Municipal, Dirección de Administración y la Dirección de Planeación, mismas que cuentan con las siguientes atribuciones:</w:t>
      </w:r>
    </w:p>
    <w:p w:rsidR="004D1AF7" w:rsidRPr="007E1D7F" w:rsidRDefault="004D1AF7" w:rsidP="004D1AF7">
      <w:pPr>
        <w:pStyle w:val="Citas"/>
        <w:jc w:val="center"/>
        <w:rPr>
          <w:b/>
          <w:lang w:val="es-ES"/>
        </w:rPr>
      </w:pPr>
      <w:r w:rsidRPr="007E1D7F">
        <w:rPr>
          <w:b/>
          <w:lang w:val="es-ES"/>
        </w:rPr>
        <w:t>BANDO MUNICIPAL</w:t>
      </w:r>
    </w:p>
    <w:p w:rsidR="00C761C2" w:rsidRPr="007E1D7F" w:rsidRDefault="00C761C2" w:rsidP="00C761C2">
      <w:pPr>
        <w:pStyle w:val="Citas"/>
        <w:rPr>
          <w:lang w:val="es-ES"/>
        </w:rPr>
      </w:pPr>
      <w:r w:rsidRPr="007E1D7F">
        <w:rPr>
          <w:b/>
          <w:lang w:val="es-ES"/>
        </w:rPr>
        <w:t>Artículo 34. La Tesorería Municipal</w:t>
      </w:r>
      <w:r w:rsidRPr="007E1D7F">
        <w:rPr>
          <w:lang w:val="es-ES"/>
        </w:rPr>
        <w:t xml:space="preserve"> es la dependencia de la Administración Pública Municipal facultada para gestionar, recaudar y administrar la Hacienda Pública Municipal, a través de la planeación, programación, presupuestación, coordinación, control, seguimiento, evaluación, y vigilancia en la captación de ingresos y la utilización óptima y racional del gasto público. </w:t>
      </w:r>
    </w:p>
    <w:p w:rsidR="00C761C2" w:rsidRPr="007E1D7F" w:rsidRDefault="00C761C2" w:rsidP="00C761C2">
      <w:pPr>
        <w:pStyle w:val="Citas"/>
        <w:rPr>
          <w:lang w:val="es-ES"/>
        </w:rPr>
      </w:pPr>
      <w:r w:rsidRPr="007E1D7F">
        <w:rPr>
          <w:lang w:val="es-ES"/>
        </w:rPr>
        <w:t>Esta dependencia es la autorizada para recaudar los créditos fiscales a que tenga derecho de percibir, derivados de contribuciones, aprovechamientos y los accesorios legales causados por estos, de igual forma de los originados por responsabilidades administrativas y multas que, como sanciones impongan las autoridades administrativas competentes a las personas por infracciones cometidas al presente Bando, reglamentos y demás disposiciones de carácter general emitidas por el Ayuntamiento; así como aquellos ingresos que provengan del Sistema Nacional de Coordinación Fiscal, del Sistema Estatal de Coordinación Hacendaria y demás convenios o acuerdos que al efecto celebre el Ayuntamiento, en términos de los ordenamientos legales administrativos y fiscales aplicables al caso.</w:t>
      </w:r>
    </w:p>
    <w:p w:rsidR="00C761C2" w:rsidRPr="007E1D7F" w:rsidRDefault="00C761C2" w:rsidP="00C761C2">
      <w:pPr>
        <w:pStyle w:val="Citas"/>
        <w:rPr>
          <w:lang w:val="es-ES"/>
        </w:rPr>
      </w:pPr>
      <w:r w:rsidRPr="007E1D7F">
        <w:rPr>
          <w:lang w:val="es-ES"/>
        </w:rPr>
        <w:t xml:space="preserve">Para hacer efectivo el cobro de los Créditos Fiscales, la Tesorería Municipal podrá instaurar el Procedimiento Administrativo de Ejecución, conforme a las normas </w:t>
      </w:r>
      <w:r w:rsidRPr="007E1D7F">
        <w:rPr>
          <w:lang w:val="es-ES"/>
        </w:rPr>
        <w:lastRenderedPageBreak/>
        <w:t xml:space="preserve">vigentes previstas en los Códigos Financiero y de Procedimientos Administrativos del Estado de México. </w:t>
      </w:r>
    </w:p>
    <w:p w:rsidR="00C761C2" w:rsidRPr="007E1D7F" w:rsidRDefault="00C761C2" w:rsidP="00C761C2">
      <w:pPr>
        <w:pStyle w:val="Citas"/>
        <w:rPr>
          <w:lang w:val="es-ES"/>
        </w:rPr>
      </w:pPr>
      <w:r w:rsidRPr="007E1D7F">
        <w:rPr>
          <w:lang w:val="es-ES"/>
        </w:rPr>
        <w:t xml:space="preserve">Artículo 35. La Dirección de Ingresos es el área encargada de gestionar y recaudar los ingresos de cualquier naturaleza legal que perciba el Ayuntamiento. Asimismo las dependencias administrativas deberán enviar la información que sirva de sustento en la determinación, elaboración, integración y actualización del padrón de contribuyentes respecto de los impuestos, derechos y productos. </w:t>
      </w:r>
    </w:p>
    <w:p w:rsidR="00C761C2" w:rsidRPr="007E1D7F" w:rsidRDefault="00C761C2" w:rsidP="00C761C2">
      <w:pPr>
        <w:pStyle w:val="Citas"/>
        <w:rPr>
          <w:lang w:val="es-ES"/>
        </w:rPr>
      </w:pPr>
      <w:r w:rsidRPr="007E1D7F">
        <w:rPr>
          <w:lang w:val="es-ES"/>
        </w:rPr>
        <w:t>Artículo 36. La Dirección de Egresos es el área que tiene a su cargo cubrir las erogaciones y registrar todas las operaciones, así como elaborar los reportes contables para mantener informado al Ayuntamiento, al Órgano Superior de Fiscalización y a todas las instancias Federales y Estatales que así lo requieran.</w:t>
      </w:r>
    </w:p>
    <w:p w:rsidR="00962867" w:rsidRPr="007E1D7F" w:rsidRDefault="00962867" w:rsidP="00C761C2">
      <w:pPr>
        <w:pStyle w:val="Citas"/>
        <w:rPr>
          <w:lang w:val="es-ES"/>
        </w:rPr>
      </w:pPr>
      <w:r w:rsidRPr="007E1D7F">
        <w:rPr>
          <w:b/>
          <w:lang w:val="es-ES"/>
        </w:rPr>
        <w:t>Artículo 83. La Dirección General de Administración</w:t>
      </w:r>
      <w:r w:rsidRPr="007E1D7F">
        <w:rPr>
          <w:lang w:val="es-ES"/>
        </w:rPr>
        <w:t xml:space="preserve"> es la dependencia encargada de brindar el soporte material, técnico, humano, administrativo y organizacional, a las diferentes áreas que conforman la Administración Pública Municipal, en apego a los procedimientos legales en la materia y </w:t>
      </w:r>
      <w:r w:rsidRPr="007E1D7F">
        <w:rPr>
          <w:b/>
          <w:lang w:val="es-ES"/>
        </w:rPr>
        <w:t>en congruencia con las políticas públicas establecidas en el Plan de Desarrollo Municipal.</w:t>
      </w:r>
      <w:r w:rsidRPr="007E1D7F">
        <w:rPr>
          <w:lang w:val="es-ES"/>
        </w:rPr>
        <w:t xml:space="preserve"> </w:t>
      </w:r>
    </w:p>
    <w:p w:rsidR="00C761C2" w:rsidRPr="007E1D7F" w:rsidRDefault="00962867" w:rsidP="00C761C2">
      <w:pPr>
        <w:pStyle w:val="Citas"/>
        <w:rPr>
          <w:lang w:val="es-ES"/>
        </w:rPr>
      </w:pPr>
      <w:r w:rsidRPr="007E1D7F">
        <w:rPr>
          <w:lang w:val="es-ES"/>
        </w:rPr>
        <w:t>De igual forma, bajo la conducción de disciplina presupuestal, difundirá entre las dependencias la adecuada planeación, programación y obtención de bienes muebles y servicios que requiera el Ayuntamiento y las diversas áreas, debiendo vigilar el cumplimiento respecto a los procedimientos conducentes de las adquisiciones, los arrendamientos y las contrataciones de servicios que resulten aplicables. Las demás que le instruya el Ayuntamiento y el presidente municipal constitucional en el ejercicio de sus facultades. De igual forma, las que expresamente le otorguen otros ordenamientos jurídicos o administrativos.</w:t>
      </w:r>
    </w:p>
    <w:p w:rsidR="00962867" w:rsidRPr="007E1D7F" w:rsidRDefault="00962867" w:rsidP="00C761C2">
      <w:pPr>
        <w:pStyle w:val="Citas"/>
        <w:rPr>
          <w:lang w:val="es-ES"/>
        </w:rPr>
      </w:pPr>
      <w:r w:rsidRPr="007E1D7F">
        <w:rPr>
          <w:lang w:val="es-ES"/>
        </w:rPr>
        <w:lastRenderedPageBreak/>
        <w:t xml:space="preserve">Artículo 84. Para el eficiente y eficaz ejercicio de sus atribuciones, la Dirección General de Administración contará con las siguientes áreas administrativas: </w:t>
      </w:r>
    </w:p>
    <w:p w:rsidR="00962867" w:rsidRPr="007E1D7F" w:rsidRDefault="00962867" w:rsidP="00962867">
      <w:pPr>
        <w:pStyle w:val="Citas"/>
        <w:numPr>
          <w:ilvl w:val="0"/>
          <w:numId w:val="17"/>
        </w:numPr>
        <w:rPr>
          <w:lang w:val="es-ES"/>
        </w:rPr>
      </w:pPr>
      <w:r w:rsidRPr="007E1D7F">
        <w:rPr>
          <w:lang w:val="es-ES"/>
        </w:rPr>
        <w:t>Subdirección de Recursos Humanos y Nómina;</w:t>
      </w:r>
    </w:p>
    <w:p w:rsidR="00962867" w:rsidRPr="007E1D7F" w:rsidRDefault="00962867" w:rsidP="00962867">
      <w:pPr>
        <w:pStyle w:val="Citas"/>
        <w:numPr>
          <w:ilvl w:val="0"/>
          <w:numId w:val="17"/>
        </w:numPr>
        <w:rPr>
          <w:lang w:val="es-ES"/>
        </w:rPr>
      </w:pPr>
      <w:r w:rsidRPr="007E1D7F">
        <w:rPr>
          <w:lang w:val="es-ES"/>
        </w:rPr>
        <w:t xml:space="preserve">Subdirección de Licitaciones y Adquisiciones; </w:t>
      </w:r>
    </w:p>
    <w:p w:rsidR="00962867" w:rsidRPr="007E1D7F" w:rsidRDefault="00962867" w:rsidP="00962867">
      <w:pPr>
        <w:pStyle w:val="Citas"/>
        <w:numPr>
          <w:ilvl w:val="0"/>
          <w:numId w:val="17"/>
        </w:numPr>
        <w:rPr>
          <w:lang w:val="es-ES"/>
        </w:rPr>
      </w:pPr>
      <w:r w:rsidRPr="007E1D7F">
        <w:rPr>
          <w:lang w:val="es-ES"/>
        </w:rPr>
        <w:t xml:space="preserve">Subdirección de Servicios Generales; </w:t>
      </w:r>
    </w:p>
    <w:p w:rsidR="00962867" w:rsidRPr="007E1D7F" w:rsidRDefault="00962867" w:rsidP="00962867">
      <w:pPr>
        <w:pStyle w:val="Citas"/>
        <w:numPr>
          <w:ilvl w:val="0"/>
          <w:numId w:val="17"/>
        </w:numPr>
        <w:rPr>
          <w:lang w:val="es-ES"/>
        </w:rPr>
      </w:pPr>
      <w:r w:rsidRPr="007E1D7F">
        <w:rPr>
          <w:lang w:val="es-ES"/>
        </w:rPr>
        <w:t xml:space="preserve">Coordinación de Sistemas y Soporte Técnico; y, </w:t>
      </w:r>
    </w:p>
    <w:p w:rsidR="00962867" w:rsidRPr="007E1D7F" w:rsidRDefault="00962867" w:rsidP="00962867">
      <w:pPr>
        <w:pStyle w:val="Citas"/>
        <w:numPr>
          <w:ilvl w:val="0"/>
          <w:numId w:val="17"/>
        </w:numPr>
        <w:rPr>
          <w:lang w:val="es-ES"/>
        </w:rPr>
      </w:pPr>
      <w:r w:rsidRPr="007E1D7F">
        <w:rPr>
          <w:lang w:val="es-ES"/>
        </w:rPr>
        <w:t>Combustibles y parque vehicular</w:t>
      </w:r>
    </w:p>
    <w:p w:rsidR="00A91A90" w:rsidRPr="007E1D7F" w:rsidRDefault="00A91A90" w:rsidP="00962867">
      <w:pPr>
        <w:pStyle w:val="Citas"/>
        <w:rPr>
          <w:lang w:val="es-ES"/>
        </w:rPr>
      </w:pPr>
      <w:r w:rsidRPr="007E1D7F">
        <w:rPr>
          <w:b/>
          <w:lang w:val="es-ES"/>
        </w:rPr>
        <w:t>Artículo 79. El Ayuntamiento, a través de la Dirección General de Obras Públicas</w:t>
      </w:r>
      <w:r w:rsidRPr="007E1D7F">
        <w:rPr>
          <w:lang w:val="es-ES"/>
        </w:rPr>
        <w:t xml:space="preserve">, realizará la planeación, programación, presupuestación, adjudicación, contratación, ejecución y control de las obras; así como los servicios relacionados con las mismas, las cuales podrán ser ejecutadas por sí misma o por conducto de terceros, apegado a la Ley General de Obras Públicas y Servicios Relacionados con las Mismas, el Libro Décimo Segundo Administrativo, así como el Manual de Organización y de Operación de la Dirección General de Obras Públicas, sus respectivos reglamentos y demás disposiciones administrativas legales aplicables. </w:t>
      </w:r>
    </w:p>
    <w:p w:rsidR="00A91A90" w:rsidRPr="007E1D7F" w:rsidRDefault="00A91A90" w:rsidP="00962867">
      <w:pPr>
        <w:pStyle w:val="Citas"/>
        <w:rPr>
          <w:lang w:val="es-ES"/>
        </w:rPr>
      </w:pPr>
      <w:r w:rsidRPr="007E1D7F">
        <w:rPr>
          <w:lang w:val="es-ES"/>
        </w:rPr>
        <w:t xml:space="preserve">Artículo 80. En la planeación de la obra pública se deberán prever y considerar, según sea el caso: </w:t>
      </w:r>
    </w:p>
    <w:p w:rsidR="00A91A90" w:rsidRPr="007E1D7F" w:rsidRDefault="00A91A90" w:rsidP="00A91A90">
      <w:pPr>
        <w:pStyle w:val="Citas"/>
        <w:numPr>
          <w:ilvl w:val="0"/>
          <w:numId w:val="18"/>
        </w:numPr>
        <w:rPr>
          <w:lang w:val="es-ES"/>
        </w:rPr>
      </w:pPr>
      <w:r w:rsidRPr="007E1D7F">
        <w:rPr>
          <w:lang w:val="es-ES"/>
        </w:rPr>
        <w:t xml:space="preserve">Ajustarse a los Planes de Desarrollo Estatal y Municipal vigentes y atenderá lo dispuesto en el Manual de Organización y de Operación de la Dirección General de Obras Públicas, jerarquizando y priorizando las obras en función de las necesidades a satisfacer y considerando la disponibilidad de recursos financieros; </w:t>
      </w:r>
    </w:p>
    <w:p w:rsidR="00A91A90" w:rsidRPr="007E1D7F" w:rsidRDefault="00A91A90" w:rsidP="00A91A90">
      <w:pPr>
        <w:pStyle w:val="Citas"/>
        <w:numPr>
          <w:ilvl w:val="0"/>
          <w:numId w:val="18"/>
        </w:numPr>
        <w:rPr>
          <w:lang w:val="es-ES"/>
        </w:rPr>
      </w:pPr>
      <w:r w:rsidRPr="007E1D7F">
        <w:rPr>
          <w:lang w:val="es-ES"/>
        </w:rPr>
        <w:lastRenderedPageBreak/>
        <w:t xml:space="preserve">Las acciones por realizar previas, durante y posteriores a su ejecución; </w:t>
      </w:r>
    </w:p>
    <w:p w:rsidR="00A91A90" w:rsidRPr="007E1D7F" w:rsidRDefault="00A91A90" w:rsidP="00A91A90">
      <w:pPr>
        <w:pStyle w:val="Citas"/>
        <w:numPr>
          <w:ilvl w:val="0"/>
          <w:numId w:val="18"/>
        </w:numPr>
        <w:rPr>
          <w:lang w:val="es-ES"/>
        </w:rPr>
      </w:pPr>
      <w:r w:rsidRPr="007E1D7F">
        <w:rPr>
          <w:lang w:val="es-ES"/>
        </w:rPr>
        <w:t xml:space="preserve">Las obras principales, las de infraestructura, las complementarias y accesorias, así como las acciones para poner aquéllas en servicio; </w:t>
      </w:r>
    </w:p>
    <w:p w:rsidR="00A91A90" w:rsidRPr="007E1D7F" w:rsidRDefault="00A91A90" w:rsidP="00A91A90">
      <w:pPr>
        <w:pStyle w:val="Citas"/>
        <w:numPr>
          <w:ilvl w:val="0"/>
          <w:numId w:val="18"/>
        </w:numPr>
        <w:rPr>
          <w:lang w:val="es-ES"/>
        </w:rPr>
      </w:pPr>
      <w:r w:rsidRPr="007E1D7F">
        <w:rPr>
          <w:lang w:val="es-ES"/>
        </w:rPr>
        <w:t xml:space="preserve">La coordinación con otras obras que lleven a cabo el Estado o la Federación; </w:t>
      </w:r>
    </w:p>
    <w:p w:rsidR="00962867" w:rsidRPr="007E1D7F" w:rsidRDefault="00A91A90" w:rsidP="00A91A90">
      <w:pPr>
        <w:pStyle w:val="Citas"/>
        <w:numPr>
          <w:ilvl w:val="0"/>
          <w:numId w:val="18"/>
        </w:numPr>
        <w:rPr>
          <w:lang w:val="es-ES"/>
        </w:rPr>
      </w:pPr>
      <w:r w:rsidRPr="007E1D7F">
        <w:rPr>
          <w:lang w:val="es-ES"/>
        </w:rPr>
        <w:t>Los avances tecnológicos aplicables en función de la naturaleza de las obras y la selección de los materiales, productos, equipos y procedimientos de tecnología nacional que satisfagan los requerimientos técnicos y económicos del proyecto;</w:t>
      </w:r>
    </w:p>
    <w:p w:rsidR="00A91A90" w:rsidRPr="007E1D7F" w:rsidRDefault="00A91A90" w:rsidP="00A91A90">
      <w:pPr>
        <w:pStyle w:val="Citas"/>
        <w:numPr>
          <w:ilvl w:val="0"/>
          <w:numId w:val="18"/>
        </w:numPr>
        <w:rPr>
          <w:lang w:val="es-ES"/>
        </w:rPr>
      </w:pPr>
      <w:r w:rsidRPr="007E1D7F">
        <w:rPr>
          <w:lang w:val="es-ES"/>
        </w:rPr>
        <w:t xml:space="preserve">Los efectos y consecuencias sobre las condiciones ambientales. Cuando estas pudieran deteriorarse, los proyectos deberán incluir lo necesario para que se preserven o restauren las condiciones ambientales y los procesos ecológicos, y </w:t>
      </w:r>
    </w:p>
    <w:p w:rsidR="00A91A90" w:rsidRPr="007E1D7F" w:rsidRDefault="00A91A90" w:rsidP="00A91A90">
      <w:pPr>
        <w:pStyle w:val="Citas"/>
        <w:numPr>
          <w:ilvl w:val="0"/>
          <w:numId w:val="18"/>
        </w:numPr>
        <w:rPr>
          <w:lang w:val="es-ES"/>
        </w:rPr>
      </w:pPr>
      <w:r w:rsidRPr="007E1D7F">
        <w:rPr>
          <w:lang w:val="es-ES"/>
        </w:rPr>
        <w:t>El empleo preferente de los recursos humanos y la utilización de los materiales propios de la región, así como productos, equipos y procedimientos de tecnología nacional.</w:t>
      </w:r>
    </w:p>
    <w:p w:rsidR="00A91A90" w:rsidRPr="007E1D7F" w:rsidRDefault="00A91A90" w:rsidP="00A91A90">
      <w:pPr>
        <w:pStyle w:val="Citas"/>
        <w:rPr>
          <w:lang w:val="es-ES"/>
        </w:rPr>
      </w:pPr>
      <w:r w:rsidRPr="007E1D7F">
        <w:rPr>
          <w:lang w:val="es-ES"/>
        </w:rPr>
        <w:t xml:space="preserve">Artículo 81. El gasto de la obra pública se sujetará a lo previsto en el Presupuesto de Egresos del Municipio y esta se ejecutará con recursos municipales, estatales o federales atendiendo siempre lo estipulado en la ley, sus reglamentos; así como las reglas y lineamientos de operación aplicables, cuando se realicen a través de programas y recursos de distinto origen al propio. </w:t>
      </w:r>
    </w:p>
    <w:p w:rsidR="00D0501F" w:rsidRPr="007E1D7F" w:rsidRDefault="00D0501F" w:rsidP="00962867">
      <w:pPr>
        <w:pStyle w:val="Citas"/>
        <w:rPr>
          <w:lang w:val="es-ES"/>
        </w:rPr>
      </w:pPr>
      <w:r w:rsidRPr="007E1D7F">
        <w:rPr>
          <w:b/>
          <w:lang w:val="es-ES"/>
        </w:rPr>
        <w:t>Artículo 101. Corresponde a la Dirección de Planeación Municipal</w:t>
      </w:r>
      <w:r w:rsidRPr="007E1D7F">
        <w:rPr>
          <w:lang w:val="es-ES"/>
        </w:rPr>
        <w:t xml:space="preserve"> diseñar el Plan de Desarrollo Municipal de Texcoco 2025-2027 considerando los elementos jurídicos establecidos en la Ley de Planeación del Estado de México y Municipios, </w:t>
      </w:r>
      <w:r w:rsidRPr="007E1D7F">
        <w:rPr>
          <w:lang w:val="es-ES"/>
        </w:rPr>
        <w:lastRenderedPageBreak/>
        <w:t xml:space="preserve">congruente con los fines sociales, económicos y políticos que establecen la Constitución Federal y la Constitución Local. De igual manera, con los objetivos y metas del Plan Nacional de Desarrollo y el Plan Estatal de Desarrollo. </w:t>
      </w:r>
    </w:p>
    <w:p w:rsidR="00962867" w:rsidRPr="007E1D7F" w:rsidRDefault="00D0501F" w:rsidP="00962867">
      <w:pPr>
        <w:pStyle w:val="Citas"/>
        <w:rPr>
          <w:lang w:val="es-ES"/>
        </w:rPr>
      </w:pPr>
      <w:r w:rsidRPr="007E1D7F">
        <w:rPr>
          <w:lang w:val="es-ES"/>
        </w:rPr>
        <w:t>De tal manera que dicho Plan de Desarrollo Municipal sea el instrumento técnico y político que oriente las acciones de gobierno, y favorezca la coordinación con actores federales, estatales y municipales, en la búsqueda del desarrollo sustentable del Municipio.</w:t>
      </w:r>
    </w:p>
    <w:p w:rsidR="00962867" w:rsidRPr="007E1D7F" w:rsidRDefault="00962867" w:rsidP="00C761C2">
      <w:pPr>
        <w:pStyle w:val="Citas"/>
        <w:jc w:val="center"/>
        <w:rPr>
          <w:lang w:val="es-ES"/>
        </w:rPr>
      </w:pPr>
    </w:p>
    <w:p w:rsidR="00C761C2" w:rsidRPr="007E1D7F" w:rsidRDefault="00C761C2" w:rsidP="00C761C2">
      <w:pPr>
        <w:pStyle w:val="Citas"/>
        <w:jc w:val="center"/>
        <w:rPr>
          <w:b/>
          <w:lang w:val="es-ES"/>
        </w:rPr>
      </w:pPr>
      <w:r w:rsidRPr="007E1D7F">
        <w:rPr>
          <w:b/>
          <w:lang w:val="es-ES"/>
        </w:rPr>
        <w:t>REGLAMENTO DE LA DIRECCIÓN DE PLANEACIÓN</w:t>
      </w:r>
    </w:p>
    <w:p w:rsidR="004D1AF7" w:rsidRPr="007E1D7F" w:rsidRDefault="004D1AF7" w:rsidP="004D1AF7">
      <w:pPr>
        <w:pStyle w:val="Citas"/>
        <w:rPr>
          <w:lang w:val="es-ES"/>
        </w:rPr>
      </w:pPr>
      <w:r w:rsidRPr="007E1D7F">
        <w:rPr>
          <w:lang w:val="es-ES"/>
        </w:rPr>
        <w:t>ARTÍCULO 9.- La Dirección de Planeación formulará, dará seguimiento y evaluará los planes y programas contemplados en el PDM; auspiciando en todo momento a través de ellos la modernización, innovación y desarrollo del Municipio. Promoviendo el crecimiento socioeconómico sostenido y sustentable, con participación de la ciudadanía y visión integral de largo plazo.</w:t>
      </w:r>
    </w:p>
    <w:p w:rsidR="004D1AF7" w:rsidRPr="007E1D7F" w:rsidRDefault="004D1AF7" w:rsidP="004D1AF7">
      <w:pPr>
        <w:pStyle w:val="Citas"/>
        <w:rPr>
          <w:lang w:val="es-ES"/>
        </w:rPr>
      </w:pPr>
      <w:r w:rsidRPr="007E1D7F">
        <w:rPr>
          <w:lang w:val="es-ES"/>
        </w:rPr>
        <w:t xml:space="preserve">ARTÍCULO 11.- La Dirección de Planeación, tendrá las siguientes funciones: </w:t>
      </w:r>
    </w:p>
    <w:p w:rsidR="004D1AF7" w:rsidRPr="007E1D7F" w:rsidRDefault="004D1AF7" w:rsidP="004D1AF7">
      <w:pPr>
        <w:pStyle w:val="Citas"/>
        <w:rPr>
          <w:lang w:val="es-ES"/>
        </w:rPr>
      </w:pPr>
      <w:r w:rsidRPr="007E1D7F">
        <w:rPr>
          <w:lang w:val="es-ES"/>
        </w:rPr>
        <w:t xml:space="preserve">I. En materia de planeación: </w:t>
      </w:r>
    </w:p>
    <w:p w:rsidR="004D1AF7" w:rsidRPr="007E1D7F" w:rsidRDefault="004D1AF7" w:rsidP="004D1AF7">
      <w:pPr>
        <w:pStyle w:val="Citas"/>
        <w:rPr>
          <w:lang w:val="es-ES"/>
        </w:rPr>
      </w:pPr>
      <w:r w:rsidRPr="007E1D7F">
        <w:rPr>
          <w:lang w:val="es-ES"/>
        </w:rPr>
        <w:t xml:space="preserve">a) Coordinar conjuntamente con el COPLADEMUN la elaboración del Plan de Desarrollo Municipal y los programas que de él se deriven; </w:t>
      </w:r>
    </w:p>
    <w:p w:rsidR="004D1AF7" w:rsidRPr="007E1D7F" w:rsidRDefault="004D1AF7" w:rsidP="004D1AF7">
      <w:pPr>
        <w:pStyle w:val="Citas"/>
        <w:rPr>
          <w:b/>
          <w:lang w:val="es-ES"/>
        </w:rPr>
      </w:pPr>
      <w:r w:rsidRPr="007E1D7F">
        <w:rPr>
          <w:lang w:val="es-ES"/>
        </w:rPr>
        <w:t xml:space="preserve">b) </w:t>
      </w:r>
      <w:r w:rsidRPr="007E1D7F">
        <w:rPr>
          <w:b/>
          <w:lang w:val="es-ES"/>
        </w:rPr>
        <w:t xml:space="preserve">Elaborar el Plan de Desarrollo Municipal, documento en donde se establecen la visión, objetivos, establecimiento de metas, estrategias y acciones de los trabajos de la gestión del Gobierno local, en la búsqueda de resultados satisfactorios y su vinculación con objetivos de la planeación estatal y nacional. </w:t>
      </w:r>
    </w:p>
    <w:p w:rsidR="004D1AF7" w:rsidRPr="007E1D7F" w:rsidRDefault="004D1AF7" w:rsidP="004D1AF7">
      <w:pPr>
        <w:pStyle w:val="Citas"/>
        <w:rPr>
          <w:lang w:val="es-ES"/>
        </w:rPr>
      </w:pPr>
      <w:r w:rsidRPr="007E1D7F">
        <w:rPr>
          <w:lang w:val="es-ES"/>
        </w:rPr>
        <w:lastRenderedPageBreak/>
        <w:t xml:space="preserve">c) Elaborar en coordinación con la Tesorería municipal el proyecto de presupuesto por programas (PbRM), asegurando en todo momento la congruencia con los objetivos y metas establecidos en el Plan de Desarrollo Municipal y sus programas; </w:t>
      </w:r>
    </w:p>
    <w:p w:rsidR="004D1AF7" w:rsidRPr="007E1D7F" w:rsidRDefault="004D1AF7" w:rsidP="004D1AF7">
      <w:pPr>
        <w:pStyle w:val="Citas"/>
        <w:rPr>
          <w:lang w:val="es-ES"/>
        </w:rPr>
      </w:pPr>
      <w:r w:rsidRPr="007E1D7F">
        <w:rPr>
          <w:lang w:val="es-ES"/>
        </w:rPr>
        <w:t xml:space="preserve">d) Elaborar en su caso, las propuestas de reconducción y/o actualización del Plan de Desarrollo Municipal y de los programas anuales que conforman su presupuesto por programas; </w:t>
      </w:r>
    </w:p>
    <w:p w:rsidR="004D1AF7" w:rsidRPr="007E1D7F" w:rsidRDefault="004D1AF7" w:rsidP="004D1AF7">
      <w:pPr>
        <w:pStyle w:val="Citas"/>
        <w:rPr>
          <w:lang w:val="es-ES"/>
        </w:rPr>
      </w:pPr>
      <w:r w:rsidRPr="007E1D7F">
        <w:rPr>
          <w:lang w:val="es-ES"/>
        </w:rPr>
        <w:t xml:space="preserve">e) Verificar de manera permanente la congruencia del Plan y los programas con el Plan de Desarrollo del Estado y el Plan Nacional de Desarrollo; y </w:t>
      </w:r>
    </w:p>
    <w:p w:rsidR="004D1AF7" w:rsidRPr="007E1D7F" w:rsidRDefault="004D1AF7" w:rsidP="004D1AF7">
      <w:pPr>
        <w:pStyle w:val="Citas"/>
        <w:rPr>
          <w:lang w:val="es-ES"/>
        </w:rPr>
      </w:pPr>
      <w:r w:rsidRPr="007E1D7F">
        <w:rPr>
          <w:lang w:val="es-ES"/>
        </w:rPr>
        <w:t>f) Asesorar a los miembros del COPLADEMUN en las tareas de planeación que éstos llevan a cabo.</w:t>
      </w:r>
    </w:p>
    <w:p w:rsidR="004D1AF7" w:rsidRPr="007E1D7F" w:rsidRDefault="004D1AF7" w:rsidP="004D1AF7">
      <w:pPr>
        <w:pStyle w:val="Citas"/>
        <w:rPr>
          <w:lang w:val="es-ES"/>
        </w:rPr>
      </w:pPr>
      <w:r w:rsidRPr="007E1D7F">
        <w:rPr>
          <w:lang w:val="es-ES"/>
        </w:rPr>
        <w:t xml:space="preserve">II. En materia de información: </w:t>
      </w:r>
    </w:p>
    <w:p w:rsidR="004D1AF7" w:rsidRPr="007E1D7F" w:rsidRDefault="004D1AF7" w:rsidP="004D1AF7">
      <w:pPr>
        <w:pStyle w:val="Citas"/>
        <w:rPr>
          <w:lang w:val="es-ES"/>
        </w:rPr>
      </w:pPr>
      <w:r w:rsidRPr="007E1D7F">
        <w:rPr>
          <w:lang w:val="es-ES"/>
        </w:rPr>
        <w:t xml:space="preserve">a) Llevar a cabo las acciones inherentes a la recopilación, integración, análisis, generación y custodia de la información estadística básica, geográfica y aquella generada por las distintas unidades administrativas del Ayuntamiento, que sea del ámbito de su competencia; </w:t>
      </w:r>
    </w:p>
    <w:p w:rsidR="004D1AF7" w:rsidRPr="007E1D7F" w:rsidRDefault="004D1AF7" w:rsidP="004D1AF7">
      <w:pPr>
        <w:pStyle w:val="Citas"/>
        <w:rPr>
          <w:lang w:val="es-ES"/>
        </w:rPr>
      </w:pPr>
      <w:r w:rsidRPr="007E1D7F">
        <w:rPr>
          <w:lang w:val="es-ES"/>
        </w:rPr>
        <w:t xml:space="preserve">b) Proporcionar la información que le sea solicitada por las dependencias y organismos que integran la administración municipal para apoyar sus procesos internos, así como, para la toma de decisiones; </w:t>
      </w:r>
    </w:p>
    <w:p w:rsidR="004D1AF7" w:rsidRPr="007E1D7F" w:rsidRDefault="004D1AF7" w:rsidP="004D1AF7">
      <w:pPr>
        <w:pStyle w:val="Citas"/>
        <w:rPr>
          <w:lang w:val="es-ES"/>
        </w:rPr>
      </w:pPr>
      <w:r w:rsidRPr="007E1D7F">
        <w:rPr>
          <w:lang w:val="es-ES"/>
        </w:rPr>
        <w:t xml:space="preserve">c) Asegurar que los documentos evaluatorios de la gestión pública del municipio sean presentados con oportunidad y contengan la información y congruencia debida para lograr resultados con un alto grado de confiabilidad; y </w:t>
      </w:r>
    </w:p>
    <w:p w:rsidR="004D1AF7" w:rsidRPr="007E1D7F" w:rsidRDefault="004D1AF7" w:rsidP="004D1AF7">
      <w:pPr>
        <w:pStyle w:val="Citas"/>
        <w:rPr>
          <w:lang w:val="es-ES"/>
        </w:rPr>
      </w:pPr>
      <w:r w:rsidRPr="007E1D7F">
        <w:rPr>
          <w:lang w:val="es-ES"/>
        </w:rPr>
        <w:t>d) Reportar al COPLADEM, los resultados de la ejecución de los planes y programas, con la periodicidad que el mismo establezca.</w:t>
      </w:r>
    </w:p>
    <w:p w:rsidR="004D1AF7" w:rsidRPr="007E1D7F" w:rsidRDefault="004D1AF7" w:rsidP="004D1AF7">
      <w:pPr>
        <w:pStyle w:val="Citas"/>
        <w:rPr>
          <w:b/>
          <w:lang w:val="es-ES"/>
        </w:rPr>
      </w:pPr>
      <w:r w:rsidRPr="007E1D7F">
        <w:rPr>
          <w:b/>
          <w:lang w:val="es-ES"/>
        </w:rPr>
        <w:lastRenderedPageBreak/>
        <w:t xml:space="preserve">III. En materia de programación: </w:t>
      </w:r>
    </w:p>
    <w:p w:rsidR="004D1AF7" w:rsidRPr="007E1D7F" w:rsidRDefault="004D1AF7" w:rsidP="004D1AF7">
      <w:pPr>
        <w:pStyle w:val="Citas"/>
        <w:rPr>
          <w:lang w:val="es-ES"/>
        </w:rPr>
      </w:pPr>
      <w:r w:rsidRPr="007E1D7F">
        <w:rPr>
          <w:lang w:val="es-ES"/>
        </w:rPr>
        <w:t xml:space="preserve">a) Promover y verificar que los programas, proyectos y acciones que deban integrarse al proyecto de presupuesto por programas, guarden total vinculación y congruencia con el Plan de Desarrollo Municipal y sus programas; y </w:t>
      </w:r>
    </w:p>
    <w:p w:rsidR="004D1AF7" w:rsidRPr="007E1D7F" w:rsidRDefault="004D1AF7" w:rsidP="004D1AF7">
      <w:pPr>
        <w:pStyle w:val="Citas"/>
        <w:rPr>
          <w:lang w:val="es-ES"/>
        </w:rPr>
      </w:pPr>
      <w:r w:rsidRPr="007E1D7F">
        <w:rPr>
          <w:lang w:val="es-ES"/>
        </w:rPr>
        <w:t xml:space="preserve">b) Definir las estrategias que darán viabilidad al cumplimiento de los objetivos y las metas planteadas en los programas que se derivan del Plan de Desarrollo Municipal en congruencia con el Plan de Desarrollo del Estado de México (PDEM) y Plan Nacional de Desarrollo (PND) así como en los programas regionales en donde participe el municipio. </w:t>
      </w:r>
    </w:p>
    <w:p w:rsidR="004D1AF7" w:rsidRPr="007E1D7F" w:rsidRDefault="004D1AF7" w:rsidP="004D1AF7">
      <w:pPr>
        <w:pStyle w:val="Citas"/>
        <w:rPr>
          <w:b/>
          <w:lang w:val="es-ES"/>
        </w:rPr>
      </w:pPr>
      <w:r w:rsidRPr="007E1D7F">
        <w:rPr>
          <w:b/>
          <w:lang w:val="es-ES"/>
        </w:rPr>
        <w:t xml:space="preserve">IV. En materia de presupuestación; </w:t>
      </w:r>
    </w:p>
    <w:p w:rsidR="004D1AF7" w:rsidRPr="007E1D7F" w:rsidRDefault="004D1AF7" w:rsidP="004D1AF7">
      <w:pPr>
        <w:pStyle w:val="Citas"/>
        <w:rPr>
          <w:b/>
          <w:lang w:val="es-ES"/>
        </w:rPr>
      </w:pPr>
      <w:r w:rsidRPr="007E1D7F">
        <w:rPr>
          <w:b/>
          <w:lang w:val="es-ES"/>
        </w:rPr>
        <w:t xml:space="preserve">a) Integrar en coordinación con la Tesorería municipal y las dependencias que conforman la Administración Pública Municipal, el proyecto de Presupuesto Basado en Resultados (PbRM); y </w:t>
      </w:r>
    </w:p>
    <w:p w:rsidR="004D1AF7" w:rsidRPr="007E1D7F" w:rsidRDefault="004D1AF7" w:rsidP="004D1AF7">
      <w:pPr>
        <w:pStyle w:val="Citas"/>
        <w:rPr>
          <w:b/>
          <w:lang w:val="es-ES"/>
        </w:rPr>
      </w:pPr>
      <w:r w:rsidRPr="007E1D7F">
        <w:rPr>
          <w:b/>
          <w:lang w:val="es-ES"/>
        </w:rPr>
        <w:t xml:space="preserve">b) Verificar en coordinación con la Contraloría Interna Municipal, que la asignación y ejercicio de los recursos se lleve a cabo para alcanzar los objetivos, metas y prioridades establecidas en el Plan de Desarrollo Municipal y los programas autorizados; </w:t>
      </w:r>
    </w:p>
    <w:p w:rsidR="004D1AF7" w:rsidRPr="007E1D7F" w:rsidRDefault="004D1AF7" w:rsidP="004D1AF7">
      <w:pPr>
        <w:pStyle w:val="Citas"/>
        <w:rPr>
          <w:lang w:val="es-ES"/>
        </w:rPr>
      </w:pPr>
      <w:r w:rsidRPr="007E1D7F">
        <w:rPr>
          <w:lang w:val="es-ES"/>
        </w:rPr>
        <w:t>c) Informar a la Contraloría Interna Municipal cuando se detecte alguna acción u omisión que contravenga lo dispuesto en la ley o a este reglamento, en materia de presupuestación.</w:t>
      </w:r>
    </w:p>
    <w:p w:rsidR="00C761C2" w:rsidRPr="007E1D7F" w:rsidRDefault="00C761C2" w:rsidP="00584A45">
      <w:pPr>
        <w:pStyle w:val="Sinespaciado"/>
        <w:spacing w:line="360" w:lineRule="auto"/>
        <w:jc w:val="both"/>
        <w:rPr>
          <w:rFonts w:ascii="Palatino Linotype" w:hAnsi="Palatino Linotype"/>
          <w:sz w:val="24"/>
        </w:rPr>
      </w:pPr>
    </w:p>
    <w:p w:rsidR="006116EE" w:rsidRPr="007E1D7F" w:rsidRDefault="00585DA1" w:rsidP="00584A45">
      <w:pPr>
        <w:pStyle w:val="Sinespaciado"/>
        <w:spacing w:line="360" w:lineRule="auto"/>
        <w:jc w:val="both"/>
        <w:rPr>
          <w:rFonts w:ascii="Palatino Linotype" w:hAnsi="Palatino Linotype"/>
          <w:sz w:val="24"/>
        </w:rPr>
      </w:pPr>
      <w:r w:rsidRPr="007E1D7F">
        <w:rPr>
          <w:rFonts w:ascii="Palatino Linotype" w:hAnsi="Palatino Linotype"/>
          <w:sz w:val="24"/>
        </w:rPr>
        <w:t xml:space="preserve">Conforme a las atribuciones antes referidas, se tiene que la Tesorería Municipal, la Dirección de Planeación y la Dirección General de Administración, de manera </w:t>
      </w:r>
      <w:r w:rsidRPr="007E1D7F">
        <w:rPr>
          <w:rFonts w:ascii="Palatino Linotype" w:hAnsi="Palatino Linotype"/>
          <w:sz w:val="24"/>
        </w:rPr>
        <w:lastRenderedPageBreak/>
        <w:t>enunciativa más no limitativa, son las áreas que generan, poseen o admini</w:t>
      </w:r>
      <w:r w:rsidR="000E5523" w:rsidRPr="007E1D7F">
        <w:rPr>
          <w:rFonts w:ascii="Palatino Linotype" w:hAnsi="Palatino Linotype"/>
          <w:sz w:val="24"/>
        </w:rPr>
        <w:t xml:space="preserve">stran la información requerida, ya que, la Tesorería es el área encargada del presupuesto, de los egresos e ingresos, así como, de los estados financieros. Por su parte, </w:t>
      </w:r>
      <w:r w:rsidR="004B190E" w:rsidRPr="007E1D7F">
        <w:rPr>
          <w:rFonts w:ascii="Palatino Linotype" w:hAnsi="Palatino Linotype"/>
          <w:sz w:val="24"/>
        </w:rPr>
        <w:t xml:space="preserve">le corresponde a la Dirección de Planeación elaborar el Plan de Desarrollo Municipal, </w:t>
      </w:r>
      <w:r w:rsidR="00A50CB1" w:rsidRPr="007E1D7F">
        <w:rPr>
          <w:rFonts w:ascii="Palatino Linotype" w:hAnsi="Palatino Linotype"/>
          <w:sz w:val="24"/>
        </w:rPr>
        <w:t xml:space="preserve">mientras que la Dirección General de Administración es la </w:t>
      </w:r>
      <w:r w:rsidR="00440CE1" w:rsidRPr="007E1D7F">
        <w:rPr>
          <w:rFonts w:ascii="Palatino Linotype" w:hAnsi="Palatino Linotype"/>
          <w:sz w:val="24"/>
        </w:rPr>
        <w:t>encargada de administrar los recursos en congruencia con el Plan de Desarrollo Municipal.</w:t>
      </w:r>
    </w:p>
    <w:p w:rsidR="00585DA1" w:rsidRPr="007E1D7F" w:rsidRDefault="00585DA1" w:rsidP="00584A45">
      <w:pPr>
        <w:pStyle w:val="Sinespaciado"/>
        <w:spacing w:line="360" w:lineRule="auto"/>
        <w:jc w:val="both"/>
        <w:rPr>
          <w:rFonts w:ascii="Palatino Linotype" w:hAnsi="Palatino Linotype"/>
          <w:sz w:val="24"/>
        </w:rPr>
      </w:pPr>
    </w:p>
    <w:p w:rsidR="00584A45" w:rsidRPr="007E1D7F" w:rsidRDefault="00584A45" w:rsidP="00584A45">
      <w:pPr>
        <w:pStyle w:val="Sinespaciado"/>
        <w:spacing w:line="360" w:lineRule="auto"/>
        <w:jc w:val="both"/>
        <w:rPr>
          <w:rFonts w:ascii="Palatino Linotype" w:hAnsi="Palatino Linotype"/>
          <w:sz w:val="24"/>
        </w:rPr>
      </w:pPr>
      <w:r w:rsidRPr="007E1D7F">
        <w:rPr>
          <w:rFonts w:ascii="Palatino Linotype" w:hAnsi="Palatino Linotype"/>
          <w:sz w:val="24"/>
        </w:rPr>
        <w:t xml:space="preserve">El derecho de acceso a la información versa esencialmente en acceder a información registrada en cualquier soporte documental que en ejercicio de las atribuciones conferidas sea generada, poseída o administrada por los </w:t>
      </w:r>
      <w:r w:rsidRPr="007E1D7F">
        <w:rPr>
          <w:rFonts w:ascii="Palatino Linotype" w:hAnsi="Palatino Linotype"/>
          <w:b/>
          <w:bCs/>
          <w:sz w:val="24"/>
        </w:rPr>
        <w:t xml:space="preserve">Sujetos Obligados. </w:t>
      </w:r>
    </w:p>
    <w:p w:rsidR="00584A45" w:rsidRPr="007E1D7F" w:rsidRDefault="00584A45" w:rsidP="00584A45">
      <w:pPr>
        <w:pStyle w:val="Sinespaciado"/>
        <w:spacing w:line="360" w:lineRule="auto"/>
        <w:jc w:val="both"/>
        <w:rPr>
          <w:rFonts w:ascii="Palatino Linotype" w:hAnsi="Palatino Linotype"/>
          <w:sz w:val="24"/>
        </w:rPr>
      </w:pPr>
    </w:p>
    <w:p w:rsidR="00584A45" w:rsidRPr="007E1D7F" w:rsidRDefault="00584A45" w:rsidP="00584A45">
      <w:pPr>
        <w:pStyle w:val="Sinespaciado"/>
        <w:spacing w:line="360" w:lineRule="auto"/>
        <w:jc w:val="both"/>
        <w:rPr>
          <w:rFonts w:ascii="Palatino Linotype" w:hAnsi="Palatino Linotype"/>
          <w:sz w:val="24"/>
        </w:rPr>
      </w:pPr>
      <w:r w:rsidRPr="007E1D7F">
        <w:rPr>
          <w:rFonts w:ascii="Palatino Linotype" w:hAnsi="Palatino Linotype"/>
          <w:sz w:val="24"/>
        </w:rPr>
        <w:t xml:space="preserve">En términos del numeral 162 de la Ley de Transparencia local, las unidades de transparencia deberán de garantizar que las solicitudes de información formuladas por la ciudadanía sean turnadas a todas las áreas administrativas en razón de las facultades, competencias y funciones reservadas, porción normativa inobservada por </w:t>
      </w:r>
      <w:r w:rsidRPr="007E1D7F">
        <w:rPr>
          <w:rFonts w:ascii="Palatino Linotype" w:hAnsi="Palatino Linotype"/>
          <w:b/>
          <w:bCs/>
          <w:sz w:val="24"/>
        </w:rPr>
        <w:t xml:space="preserve">El Sujeto Obligado. </w:t>
      </w:r>
    </w:p>
    <w:p w:rsidR="00584A45" w:rsidRPr="007E1D7F" w:rsidRDefault="00584A45" w:rsidP="00584A45">
      <w:pPr>
        <w:spacing w:line="360" w:lineRule="auto"/>
        <w:jc w:val="both"/>
        <w:rPr>
          <w:rFonts w:ascii="Palatino Linotype" w:hAnsi="Palatino Linotype" w:cs="Arial"/>
        </w:rPr>
      </w:pPr>
    </w:p>
    <w:p w:rsidR="00584A45" w:rsidRPr="007E1D7F" w:rsidRDefault="00584A45" w:rsidP="00584A45">
      <w:pPr>
        <w:spacing w:line="360" w:lineRule="auto"/>
        <w:jc w:val="both"/>
        <w:rPr>
          <w:rFonts w:ascii="Palatino Linotype" w:hAnsi="Palatino Linotype" w:cs="Arial"/>
        </w:rPr>
      </w:pPr>
      <w:r w:rsidRPr="007E1D7F">
        <w:rPr>
          <w:rFonts w:ascii="Palatino Linotype" w:hAnsi="Palatino Linotype" w:cs="Arial"/>
        </w:rPr>
        <w:t xml:space="preserve">Resulta evidente para esta Ponencia que </w:t>
      </w:r>
      <w:r w:rsidRPr="007E1D7F">
        <w:rPr>
          <w:rFonts w:ascii="Palatino Linotype" w:hAnsi="Palatino Linotype" w:cs="Arial"/>
          <w:b/>
          <w:u w:val="single"/>
        </w:rPr>
        <w:t>la Unidad de Transparencia</w:t>
      </w:r>
      <w:r w:rsidRPr="007E1D7F">
        <w:rPr>
          <w:rFonts w:ascii="Palatino Linotype" w:hAnsi="Palatino Linotype" w:cs="Arial"/>
        </w:rPr>
        <w:t xml:space="preserve"> del </w:t>
      </w:r>
      <w:r w:rsidRPr="007E1D7F">
        <w:rPr>
          <w:rFonts w:ascii="Palatino Linotype" w:hAnsi="Palatino Linotype" w:cs="Arial"/>
          <w:b/>
        </w:rPr>
        <w:t>Sujeto Obligado</w:t>
      </w:r>
      <w:r w:rsidRPr="007E1D7F">
        <w:rPr>
          <w:rFonts w:ascii="Palatino Linotype" w:hAnsi="Palatino Linotype" w:cs="Arial"/>
        </w:rPr>
        <w:t xml:space="preserve"> dejo de observar la normativa en la materia, toda vez que </w:t>
      </w:r>
      <w:r w:rsidRPr="007E1D7F">
        <w:rPr>
          <w:rFonts w:ascii="Palatino Linotype" w:hAnsi="Palatino Linotype" w:cs="Arial"/>
          <w:b/>
          <w:u w:val="single"/>
        </w:rPr>
        <w:t>no dio el trámite correspondiente a la solicitud de acceso a la información</w:t>
      </w:r>
      <w:r w:rsidRPr="007E1D7F">
        <w:rPr>
          <w:rFonts w:ascii="Palatino Linotype" w:hAnsi="Palatino Linotype" w:cs="Arial"/>
        </w:rPr>
        <w:t xml:space="preserve">, limitando el derecho de acceso a la información, del hoy </w:t>
      </w:r>
      <w:r w:rsidRPr="007E1D7F">
        <w:rPr>
          <w:rFonts w:ascii="Palatino Linotype" w:hAnsi="Palatino Linotype" w:cs="Arial"/>
          <w:b/>
        </w:rPr>
        <w:t>Recurrente</w:t>
      </w:r>
      <w:r w:rsidRPr="007E1D7F">
        <w:rPr>
          <w:rFonts w:ascii="Palatino Linotype" w:hAnsi="Palatino Linotype" w:cs="Arial"/>
        </w:rPr>
        <w:t>.</w:t>
      </w:r>
    </w:p>
    <w:p w:rsidR="00584A45" w:rsidRPr="007E1D7F" w:rsidRDefault="00584A45" w:rsidP="00584A45">
      <w:pPr>
        <w:spacing w:line="360" w:lineRule="auto"/>
        <w:jc w:val="both"/>
        <w:rPr>
          <w:rFonts w:ascii="Palatino Linotype" w:hAnsi="Palatino Linotype" w:cs="Arial"/>
        </w:rPr>
      </w:pPr>
    </w:p>
    <w:p w:rsidR="00584A45" w:rsidRPr="007E1D7F" w:rsidRDefault="00584A45" w:rsidP="00584A45">
      <w:pPr>
        <w:spacing w:before="240" w:after="160" w:line="360" w:lineRule="auto"/>
        <w:jc w:val="both"/>
        <w:rPr>
          <w:rFonts w:ascii="Palatino Linotype" w:hAnsi="Palatino Linotype"/>
          <w:lang w:val="es-MX" w:eastAsia="en-US"/>
        </w:rPr>
      </w:pPr>
      <w:r w:rsidRPr="007E1D7F">
        <w:rPr>
          <w:rFonts w:ascii="Palatino Linotype" w:hAnsi="Palatino Linotype" w:cs="Arial"/>
          <w:lang w:val="es-MX" w:eastAsia="en-US"/>
        </w:rPr>
        <w:t xml:space="preserve">Ahora bien, cuando los particulares no identifican </w:t>
      </w:r>
      <w:r w:rsidRPr="007E1D7F">
        <w:rPr>
          <w:rFonts w:ascii="Palatino Linotype" w:hAnsi="Palatino Linotype"/>
          <w:lang w:val="es-MX" w:eastAsia="en-US"/>
        </w:rPr>
        <w:t xml:space="preserve">de forma precisa el documento requerido bastará con que se remita cualquiera que refleje la información requerida. Al </w:t>
      </w:r>
      <w:r w:rsidRPr="007E1D7F">
        <w:rPr>
          <w:rFonts w:ascii="Palatino Linotype" w:hAnsi="Palatino Linotype"/>
          <w:lang w:val="es-MX" w:eastAsia="en-US"/>
        </w:rPr>
        <w:lastRenderedPageBreak/>
        <w:t xml:space="preserve">respecto cobra relevancia el criterio orientador emitido por el entonces Órgano Garante Nacional con número </w:t>
      </w:r>
      <w:r w:rsidRPr="007E1D7F">
        <w:rPr>
          <w:rFonts w:ascii="Palatino Linotype" w:hAnsi="Palatino Linotype"/>
          <w:b/>
          <w:bCs/>
          <w:lang w:val="es-MX" w:eastAsia="en-US"/>
        </w:rPr>
        <w:t xml:space="preserve">16/17 </w:t>
      </w:r>
      <w:r w:rsidRPr="007E1D7F">
        <w:rPr>
          <w:rFonts w:ascii="Palatino Linotype" w:hAnsi="Palatino Linotype"/>
          <w:lang w:val="es-MX" w:eastAsia="en-US"/>
        </w:rPr>
        <w:t>cuyo rubro y texto disponen a la literalidad lo siguiente:</w:t>
      </w:r>
    </w:p>
    <w:p w:rsidR="00584A45" w:rsidRPr="007E1D7F" w:rsidRDefault="00584A45" w:rsidP="00584A45">
      <w:pPr>
        <w:ind w:left="851" w:right="851"/>
        <w:jc w:val="center"/>
        <w:rPr>
          <w:rFonts w:ascii="Palatino Linotype" w:eastAsiaTheme="minorHAnsi" w:hAnsi="Palatino Linotype" w:cs="Arial"/>
          <w:b/>
          <w:bCs/>
          <w:i/>
          <w:lang w:val="es-MX" w:eastAsia="en-US"/>
        </w:rPr>
      </w:pPr>
      <w:r w:rsidRPr="007E1D7F">
        <w:rPr>
          <w:rFonts w:ascii="Palatino Linotype" w:eastAsiaTheme="minorHAnsi" w:hAnsi="Palatino Linotype" w:cs="Arial"/>
          <w:b/>
          <w:bCs/>
          <w:i/>
          <w:lang w:val="es-MX" w:eastAsia="en-US"/>
        </w:rPr>
        <w:t>“EXPRESIÓN DOCUMENTAL.</w:t>
      </w:r>
    </w:p>
    <w:p w:rsidR="00584A45" w:rsidRPr="007E1D7F" w:rsidRDefault="00584A45" w:rsidP="00584A45">
      <w:pPr>
        <w:ind w:left="851" w:right="851"/>
        <w:jc w:val="both"/>
        <w:rPr>
          <w:rFonts w:ascii="Palatino Linotype" w:eastAsiaTheme="minorHAnsi" w:hAnsi="Palatino Linotype" w:cs="Arial"/>
          <w:i/>
          <w:sz w:val="22"/>
          <w:lang w:val="es-MX" w:eastAsia="en-US"/>
        </w:rPr>
      </w:pPr>
      <w:r w:rsidRPr="007E1D7F">
        <w:rPr>
          <w:rFonts w:ascii="Palatino Linotype" w:eastAsiaTheme="minorHAnsi" w:hAnsi="Palatino Linotype" w:cs="Arial"/>
          <w:bCs/>
          <w:i/>
          <w:sz w:val="22"/>
          <w:lang w:val="es-MX" w:eastAsia="en-US"/>
        </w:rPr>
        <w:t>Cuando</w:t>
      </w:r>
      <w:r w:rsidRPr="007E1D7F">
        <w:rPr>
          <w:rFonts w:ascii="Palatino Linotype" w:eastAsiaTheme="minorHAnsi" w:hAnsi="Palatino Linotype" w:cs="Arial"/>
          <w:i/>
          <w:sz w:val="22"/>
          <w:szCs w:val="22"/>
          <w:lang w:eastAsia="en-US"/>
        </w:rPr>
        <w:t xml:space="preserve"> los particulares presenten solicitudes de acceso a la información sin identificar de forma precisa la documentación que pudiera contener la información de su interés, </w:t>
      </w:r>
      <w:r w:rsidRPr="007E1D7F">
        <w:rPr>
          <w:rFonts w:ascii="Palatino Linotype" w:eastAsiaTheme="minorHAnsi" w:hAnsi="Palatino Linotype" w:cs="Arial"/>
          <w:i/>
          <w:sz w:val="22"/>
          <w:lang w:val="es-MX" w:eastAsia="en-US"/>
        </w:rPr>
        <w:t>o bien, la solicitud constituya una consulta,</w:t>
      </w:r>
      <w:r w:rsidRPr="007E1D7F">
        <w:rPr>
          <w:rFonts w:ascii="Palatino Linotype" w:eastAsiaTheme="minorHAnsi" w:hAnsi="Palatino Linotype" w:cs="Arial"/>
          <w:i/>
          <w:sz w:val="22"/>
          <w:szCs w:val="22"/>
          <w:lang w:eastAsia="en-US"/>
        </w:rPr>
        <w:t xml:space="preserve"> pero la respuesta pudiera obrar en algún documento en poder de los sujetos obligados, éstos deben dar a dichas solicitudes una interpretación que les otorgue una expresión documental. </w:t>
      </w:r>
    </w:p>
    <w:p w:rsidR="00584A45" w:rsidRPr="007E1D7F" w:rsidRDefault="00584A45" w:rsidP="00584A45">
      <w:pPr>
        <w:ind w:left="851" w:right="851"/>
        <w:jc w:val="both"/>
        <w:rPr>
          <w:rFonts w:ascii="Palatino Linotype" w:eastAsiaTheme="minorHAnsi" w:hAnsi="Palatino Linotype" w:cs="Arial"/>
          <w:b/>
          <w:i/>
          <w:sz w:val="22"/>
          <w:szCs w:val="22"/>
          <w:lang w:val="es-MX" w:eastAsia="en-US"/>
        </w:rPr>
      </w:pPr>
      <w:r w:rsidRPr="007E1D7F">
        <w:rPr>
          <w:rFonts w:ascii="Palatino Linotype" w:eastAsiaTheme="minorHAnsi" w:hAnsi="Palatino Linotype" w:cs="Arial"/>
          <w:b/>
          <w:i/>
          <w:sz w:val="22"/>
          <w:szCs w:val="22"/>
          <w:lang w:val="es-MX" w:eastAsia="en-US"/>
        </w:rPr>
        <w:t>Precedentes:</w:t>
      </w:r>
    </w:p>
    <w:p w:rsidR="00584A45" w:rsidRPr="007E1D7F" w:rsidRDefault="00584A45" w:rsidP="00584A45">
      <w:pPr>
        <w:numPr>
          <w:ilvl w:val="0"/>
          <w:numId w:val="14"/>
        </w:numPr>
        <w:ind w:right="851"/>
        <w:jc w:val="both"/>
        <w:rPr>
          <w:rFonts w:ascii="Palatino Linotype" w:eastAsiaTheme="minorHAnsi" w:hAnsi="Palatino Linotype" w:cs="Arial"/>
          <w:i/>
          <w:color w:val="000000"/>
          <w:sz w:val="22"/>
          <w:szCs w:val="22"/>
          <w:lang w:val="es-MX" w:eastAsia="en-US"/>
        </w:rPr>
      </w:pPr>
      <w:r w:rsidRPr="007E1D7F">
        <w:rPr>
          <w:rFonts w:ascii="Palatino Linotype" w:eastAsiaTheme="minorHAnsi" w:hAnsi="Palatino Linotype" w:cs="Arial"/>
          <w:i/>
          <w:sz w:val="22"/>
          <w:szCs w:val="22"/>
          <w:lang w:val="es-MX" w:eastAsia="en-US"/>
        </w:rPr>
        <w:t xml:space="preserve">Acceso a la información pública. RRA 0774/16. Sesión del 31 de agosto de 2016. Votación por unanimidad. </w:t>
      </w:r>
      <w:r w:rsidRPr="007E1D7F">
        <w:rPr>
          <w:rFonts w:ascii="Palatino Linotype" w:eastAsia="Arial" w:hAnsi="Palatino Linotype" w:cs="Arial"/>
          <w:i/>
          <w:sz w:val="22"/>
          <w:szCs w:val="22"/>
          <w:lang w:val="es-MX" w:eastAsia="en-US"/>
        </w:rPr>
        <w:t>Sin votos disidentes o particulares.</w:t>
      </w:r>
      <w:r w:rsidRPr="007E1D7F">
        <w:rPr>
          <w:rFonts w:ascii="Palatino Linotype" w:eastAsiaTheme="minorHAnsi" w:hAnsi="Palatino Linotype" w:cs="Arial"/>
          <w:i/>
          <w:sz w:val="22"/>
          <w:szCs w:val="22"/>
          <w:lang w:val="es-MX" w:eastAsia="en-US"/>
        </w:rPr>
        <w:t xml:space="preserve"> Secretaría de Salud. Comisionada Ponente María Patricia Kurczyn Villalobos.</w:t>
      </w:r>
    </w:p>
    <w:p w:rsidR="00584A45" w:rsidRPr="007E1D7F" w:rsidRDefault="00584A45" w:rsidP="00584A45">
      <w:pPr>
        <w:numPr>
          <w:ilvl w:val="0"/>
          <w:numId w:val="14"/>
        </w:numPr>
        <w:ind w:right="851"/>
        <w:jc w:val="both"/>
        <w:rPr>
          <w:rFonts w:ascii="Palatino Linotype" w:eastAsiaTheme="minorHAnsi" w:hAnsi="Palatino Linotype" w:cs="Arial"/>
          <w:i/>
          <w:color w:val="000000"/>
          <w:sz w:val="22"/>
          <w:szCs w:val="22"/>
          <w:lang w:val="es-MX" w:eastAsia="en-US"/>
        </w:rPr>
      </w:pPr>
      <w:r w:rsidRPr="007E1D7F">
        <w:rPr>
          <w:rFonts w:ascii="Palatino Linotype" w:eastAsiaTheme="minorHAnsi" w:hAnsi="Palatino Linotype" w:cs="Arial"/>
          <w:i/>
          <w:sz w:val="22"/>
          <w:szCs w:val="22"/>
          <w:lang w:val="es-MX" w:eastAsia="en-US"/>
        </w:rPr>
        <w:t xml:space="preserve">Acceso a la información pública. RRA 0143/17. Sesión del 22 de febrero de 2017. Votación por unanimidad. </w:t>
      </w:r>
      <w:r w:rsidRPr="007E1D7F">
        <w:rPr>
          <w:rFonts w:ascii="Palatino Linotype" w:eastAsia="Arial" w:hAnsi="Palatino Linotype" w:cs="Arial"/>
          <w:i/>
          <w:sz w:val="22"/>
          <w:szCs w:val="22"/>
          <w:lang w:val="es-MX" w:eastAsia="en-US"/>
        </w:rPr>
        <w:t>Sin votos disidentes o particulares.</w:t>
      </w:r>
      <w:r w:rsidRPr="007E1D7F">
        <w:rPr>
          <w:rFonts w:ascii="Palatino Linotype" w:eastAsiaTheme="minorHAnsi" w:hAnsi="Palatino Linotype" w:cs="Arial"/>
          <w:i/>
          <w:sz w:val="22"/>
          <w:szCs w:val="22"/>
          <w:lang w:val="es-MX" w:eastAsia="en-US"/>
        </w:rPr>
        <w:t xml:space="preserve"> Universidad Autónoma Agraria Antonio Narro. Comisionado Ponente Oscar Mauricio Guerra Ford. </w:t>
      </w:r>
    </w:p>
    <w:p w:rsidR="00584A45" w:rsidRPr="007E1D7F" w:rsidRDefault="00584A45" w:rsidP="00584A45">
      <w:pPr>
        <w:numPr>
          <w:ilvl w:val="0"/>
          <w:numId w:val="14"/>
        </w:numPr>
        <w:ind w:right="851"/>
        <w:jc w:val="both"/>
        <w:rPr>
          <w:rFonts w:ascii="Palatino Linotype" w:eastAsiaTheme="minorHAnsi" w:hAnsi="Palatino Linotype" w:cs="Arial"/>
          <w:i/>
          <w:color w:val="000000"/>
          <w:sz w:val="22"/>
          <w:szCs w:val="22"/>
          <w:lang w:val="es-MX" w:eastAsia="en-US"/>
        </w:rPr>
      </w:pPr>
      <w:r w:rsidRPr="007E1D7F">
        <w:rPr>
          <w:rFonts w:ascii="Palatino Linotype" w:eastAsiaTheme="minorHAnsi" w:hAnsi="Palatino Linotype" w:cs="Arial"/>
          <w:i/>
          <w:sz w:val="22"/>
          <w:szCs w:val="22"/>
          <w:lang w:val="es-MX" w:eastAsia="en-US"/>
        </w:rPr>
        <w:t xml:space="preserve">Acceso a la información pública. RRA 0540/17. Sesión del 08 de marzo del 2017. Votación por unanimidad. </w:t>
      </w:r>
      <w:r w:rsidRPr="007E1D7F">
        <w:rPr>
          <w:rFonts w:ascii="Palatino Linotype" w:eastAsia="Arial" w:hAnsi="Palatino Linotype" w:cs="Arial"/>
          <w:i/>
          <w:sz w:val="22"/>
          <w:szCs w:val="22"/>
          <w:lang w:val="es-MX" w:eastAsia="en-US"/>
        </w:rPr>
        <w:t>Sin votos disidentes o particulares.</w:t>
      </w:r>
      <w:r w:rsidRPr="007E1D7F">
        <w:rPr>
          <w:rFonts w:ascii="Palatino Linotype" w:eastAsiaTheme="minorHAnsi" w:hAnsi="Palatino Linotype" w:cs="Arial"/>
          <w:i/>
          <w:sz w:val="22"/>
          <w:szCs w:val="22"/>
          <w:lang w:val="es-MX" w:eastAsia="en-US"/>
        </w:rPr>
        <w:t xml:space="preserve"> Secretaría de Economía. Comisionado Ponente Francisco Javier Acuña Llamas. “ </w:t>
      </w:r>
      <w:r w:rsidRPr="007E1D7F">
        <w:rPr>
          <w:rFonts w:ascii="Palatino Linotype" w:eastAsiaTheme="minorHAnsi" w:hAnsi="Palatino Linotype" w:cs="Arial"/>
          <w:b/>
          <w:bCs/>
          <w:i/>
          <w:sz w:val="22"/>
          <w:szCs w:val="22"/>
          <w:lang w:val="es-MX" w:eastAsia="en-US"/>
        </w:rPr>
        <w:t>(Sic)</w:t>
      </w:r>
    </w:p>
    <w:p w:rsidR="00584A45" w:rsidRPr="007E1D7F" w:rsidRDefault="00584A45" w:rsidP="00584A45">
      <w:pPr>
        <w:spacing w:line="360" w:lineRule="auto"/>
        <w:jc w:val="both"/>
        <w:rPr>
          <w:rFonts w:ascii="Palatino Linotype" w:hAnsi="Palatino Linotype" w:cs="Arial"/>
        </w:rPr>
      </w:pPr>
    </w:p>
    <w:p w:rsidR="00584A45" w:rsidRPr="007E1D7F" w:rsidRDefault="00584A45" w:rsidP="00584A45">
      <w:pPr>
        <w:spacing w:line="360" w:lineRule="auto"/>
        <w:jc w:val="both"/>
        <w:rPr>
          <w:rFonts w:ascii="Palatino Linotype" w:hAnsi="Palatino Linotype"/>
          <w:color w:val="000000"/>
        </w:rPr>
      </w:pPr>
      <w:r w:rsidRPr="007E1D7F">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584A45" w:rsidRPr="007E1D7F" w:rsidRDefault="00584A45" w:rsidP="00584A45">
      <w:pPr>
        <w:spacing w:line="360" w:lineRule="auto"/>
        <w:jc w:val="both"/>
        <w:rPr>
          <w:rFonts w:ascii="Palatino Linotype" w:hAnsi="Palatino Linotype"/>
          <w:color w:val="000000"/>
        </w:rPr>
      </w:pPr>
    </w:p>
    <w:p w:rsidR="00584A45" w:rsidRPr="007E1D7F" w:rsidRDefault="00584A45" w:rsidP="00584A45">
      <w:pPr>
        <w:ind w:left="567" w:right="567"/>
        <w:jc w:val="both"/>
        <w:rPr>
          <w:rFonts w:ascii="Palatino Linotype" w:hAnsi="Palatino Linotype"/>
          <w:b/>
          <w:i/>
        </w:rPr>
      </w:pPr>
      <w:r w:rsidRPr="007E1D7F">
        <w:rPr>
          <w:rFonts w:ascii="Palatino Linotype" w:hAnsi="Palatino Linotype"/>
          <w:b/>
          <w:i/>
        </w:rPr>
        <w:lastRenderedPageBreak/>
        <w:t>Artículo 6</w:t>
      </w:r>
    </w:p>
    <w:p w:rsidR="00584A45" w:rsidRPr="007E1D7F" w:rsidRDefault="00584A45" w:rsidP="00584A45">
      <w:pPr>
        <w:ind w:left="567" w:right="567"/>
        <w:jc w:val="both"/>
        <w:rPr>
          <w:rFonts w:ascii="Palatino Linotype" w:hAnsi="Palatino Linotype"/>
          <w:i/>
        </w:rPr>
      </w:pPr>
      <w:r w:rsidRPr="007E1D7F">
        <w:rPr>
          <w:rFonts w:ascii="Palatino Linotype" w:hAnsi="Palatino Linotype"/>
          <w:i/>
        </w:rPr>
        <w:t>…</w:t>
      </w:r>
    </w:p>
    <w:p w:rsidR="00584A45" w:rsidRPr="007E1D7F" w:rsidRDefault="00584A45" w:rsidP="00584A45">
      <w:pPr>
        <w:ind w:left="567" w:right="567"/>
        <w:jc w:val="both"/>
        <w:rPr>
          <w:rFonts w:ascii="Palatino Linotype" w:hAnsi="Palatino Linotype"/>
          <w:i/>
        </w:rPr>
      </w:pPr>
      <w:r w:rsidRPr="007E1D7F">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584A45" w:rsidRPr="007E1D7F" w:rsidRDefault="00584A45" w:rsidP="00584A45">
      <w:pPr>
        <w:ind w:left="567" w:right="567"/>
        <w:jc w:val="both"/>
        <w:rPr>
          <w:rFonts w:ascii="Palatino Linotype" w:hAnsi="Palatino Linotype"/>
          <w:i/>
        </w:rPr>
      </w:pPr>
    </w:p>
    <w:p w:rsidR="00584A45" w:rsidRPr="007E1D7F" w:rsidRDefault="00584A45" w:rsidP="00584A45">
      <w:pPr>
        <w:numPr>
          <w:ilvl w:val="0"/>
          <w:numId w:val="4"/>
        </w:numPr>
        <w:ind w:left="993" w:right="567"/>
        <w:jc w:val="both"/>
        <w:rPr>
          <w:rFonts w:ascii="Palatino Linotype" w:hAnsi="Palatino Linotype"/>
          <w:i/>
        </w:rPr>
      </w:pPr>
      <w:r w:rsidRPr="007E1D7F">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584A45" w:rsidRPr="007E1D7F" w:rsidRDefault="00584A45" w:rsidP="00584A45">
      <w:pPr>
        <w:spacing w:line="360" w:lineRule="auto"/>
        <w:jc w:val="both"/>
        <w:rPr>
          <w:rFonts w:ascii="Palatino Linotype" w:hAnsi="Palatino Linotype"/>
        </w:rPr>
      </w:pPr>
    </w:p>
    <w:p w:rsidR="00584A45" w:rsidRPr="007E1D7F" w:rsidRDefault="00584A45" w:rsidP="00584A45">
      <w:pPr>
        <w:spacing w:line="360" w:lineRule="auto"/>
        <w:jc w:val="both"/>
        <w:rPr>
          <w:rFonts w:ascii="Palatino Linotype" w:hAnsi="Palatino Linotype" w:cs="Arial"/>
        </w:rPr>
      </w:pPr>
      <w:r w:rsidRPr="007E1D7F">
        <w:rPr>
          <w:rFonts w:ascii="Palatino Linotype" w:hAnsi="Palatino Linotype" w:cs="Arial"/>
        </w:rPr>
        <w:t xml:space="preserve">Por otro lado, en atención a lo dispuesto por los artículos 3, fracción XI, 8 y 12 </w:t>
      </w:r>
      <w:r w:rsidRPr="007E1D7F">
        <w:rPr>
          <w:rFonts w:ascii="Palatino Linotype" w:hAnsi="Palatino Linotype" w:cs="Arial"/>
          <w:bCs/>
        </w:rPr>
        <w:t>de la Ley de Transparencia y Acceso a la Información Pública del Estado de México y Municipios</w:t>
      </w:r>
      <w:r w:rsidRPr="007E1D7F">
        <w:rPr>
          <w:rFonts w:ascii="Palatino Linotype" w:hAnsi="Palatino Linotype" w:cs="Arial"/>
        </w:rPr>
        <w:t>, los cuales son del tenor literal siguiente:</w:t>
      </w:r>
    </w:p>
    <w:p w:rsidR="00584A45" w:rsidRPr="007E1D7F" w:rsidRDefault="00584A45" w:rsidP="00584A45">
      <w:pPr>
        <w:ind w:left="567" w:right="567"/>
        <w:jc w:val="both"/>
        <w:rPr>
          <w:rFonts w:ascii="Palatino Linotype" w:hAnsi="Palatino Linotype"/>
        </w:rPr>
      </w:pPr>
    </w:p>
    <w:p w:rsidR="00584A45" w:rsidRPr="007E1D7F" w:rsidRDefault="00584A45" w:rsidP="00584A45">
      <w:pPr>
        <w:ind w:left="851" w:right="851"/>
        <w:jc w:val="both"/>
        <w:rPr>
          <w:rFonts w:ascii="Palatino Linotype" w:hAnsi="Palatino Linotype"/>
          <w:i/>
        </w:rPr>
      </w:pPr>
      <w:r w:rsidRPr="007E1D7F">
        <w:rPr>
          <w:rFonts w:ascii="Palatino Linotype" w:hAnsi="Palatino Linotype"/>
          <w:b/>
          <w:bCs/>
          <w:i/>
        </w:rPr>
        <w:t xml:space="preserve">Artículo 3.- </w:t>
      </w:r>
      <w:r w:rsidRPr="007E1D7F">
        <w:rPr>
          <w:rFonts w:ascii="Palatino Linotype" w:hAnsi="Palatino Linotype"/>
          <w:i/>
        </w:rPr>
        <w:t>Para los efectos de la presente Ley se entenderá por:</w:t>
      </w:r>
    </w:p>
    <w:p w:rsidR="00584A45" w:rsidRPr="007E1D7F" w:rsidRDefault="00584A45" w:rsidP="00584A45">
      <w:pPr>
        <w:ind w:left="851" w:right="851"/>
        <w:jc w:val="both"/>
        <w:rPr>
          <w:rFonts w:ascii="Palatino Linotype" w:hAnsi="Palatino Linotype"/>
          <w:i/>
        </w:rPr>
      </w:pPr>
      <w:r w:rsidRPr="007E1D7F">
        <w:rPr>
          <w:rFonts w:ascii="Palatino Linotype" w:hAnsi="Palatino Linotype"/>
          <w:i/>
        </w:rPr>
        <w:t>…</w:t>
      </w:r>
    </w:p>
    <w:p w:rsidR="00584A45" w:rsidRPr="007E1D7F" w:rsidRDefault="00584A45" w:rsidP="00584A45">
      <w:pPr>
        <w:ind w:left="851" w:right="851"/>
        <w:jc w:val="both"/>
        <w:rPr>
          <w:rFonts w:ascii="Palatino Linotype" w:hAnsi="Palatino Linotype"/>
          <w:i/>
        </w:rPr>
      </w:pPr>
      <w:r w:rsidRPr="007E1D7F">
        <w:rPr>
          <w:rFonts w:ascii="Palatino Linotype" w:hAnsi="Palatino Linotype"/>
          <w:b/>
          <w:i/>
        </w:rPr>
        <w:t>XI.</w:t>
      </w:r>
      <w:r w:rsidRPr="007E1D7F">
        <w:rPr>
          <w:rFonts w:ascii="Palatino Linotype" w:hAnsi="Palatino Linotype"/>
          <w:i/>
        </w:rPr>
        <w:t xml:space="preserve"> </w:t>
      </w:r>
      <w:r w:rsidRPr="007E1D7F">
        <w:rPr>
          <w:rFonts w:ascii="Palatino Linotype" w:hAnsi="Palatino Linotype"/>
          <w:b/>
          <w:i/>
        </w:rPr>
        <w:t>Documento:</w:t>
      </w:r>
      <w:r w:rsidRPr="007E1D7F">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7E1D7F">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7E1D7F">
        <w:rPr>
          <w:rFonts w:ascii="Palatino Linotype" w:hAnsi="Palatino Linotype"/>
          <w:i/>
        </w:rPr>
        <w:t xml:space="preserve"> Los documentos podrán estar en cualquier medio, sea escrito, impreso, sonoro, visual, electrónico, informático u holográfico;</w:t>
      </w:r>
    </w:p>
    <w:p w:rsidR="00584A45" w:rsidRPr="007E1D7F" w:rsidRDefault="00584A45" w:rsidP="00584A45">
      <w:pPr>
        <w:ind w:left="851" w:right="851"/>
        <w:jc w:val="both"/>
        <w:rPr>
          <w:rFonts w:ascii="Palatino Linotype" w:hAnsi="Palatino Linotype"/>
          <w:i/>
        </w:rPr>
      </w:pPr>
    </w:p>
    <w:p w:rsidR="00584A45" w:rsidRPr="007E1D7F" w:rsidRDefault="00584A45" w:rsidP="00584A45">
      <w:pPr>
        <w:ind w:left="851" w:right="851"/>
        <w:jc w:val="both"/>
        <w:rPr>
          <w:rFonts w:ascii="Palatino Linotype" w:hAnsi="Palatino Linotype"/>
          <w:bCs/>
          <w:i/>
        </w:rPr>
      </w:pPr>
      <w:r w:rsidRPr="007E1D7F">
        <w:rPr>
          <w:rFonts w:ascii="Palatino Linotype" w:hAnsi="Palatino Linotype"/>
          <w:b/>
          <w:bCs/>
          <w:i/>
        </w:rPr>
        <w:t>Artículo 4.</w:t>
      </w:r>
      <w:r w:rsidRPr="007E1D7F">
        <w:rPr>
          <w:rFonts w:ascii="Palatino Linotype" w:hAnsi="Palatino Linotype"/>
          <w:bCs/>
          <w:i/>
        </w:rPr>
        <w:t xml:space="preserve"> El derecho humano de acceso a la información pública es la prerrogativa de las personas para buscar, difundir, investigar, recabar, recibir </w:t>
      </w:r>
      <w:r w:rsidRPr="007E1D7F">
        <w:rPr>
          <w:rFonts w:ascii="Palatino Linotype" w:hAnsi="Palatino Linotype"/>
          <w:bCs/>
          <w:i/>
        </w:rPr>
        <w:lastRenderedPageBreak/>
        <w:t>y solicitar información pública, sin necesidad de acreditar personalidad ni interés jurídico.</w:t>
      </w:r>
    </w:p>
    <w:p w:rsidR="00584A45" w:rsidRPr="007E1D7F" w:rsidRDefault="00584A45" w:rsidP="00584A45">
      <w:pPr>
        <w:ind w:left="851" w:right="851"/>
        <w:jc w:val="both"/>
        <w:rPr>
          <w:rFonts w:ascii="Palatino Linotype" w:hAnsi="Palatino Linotype"/>
          <w:bCs/>
          <w:i/>
        </w:rPr>
      </w:pPr>
    </w:p>
    <w:p w:rsidR="00584A45" w:rsidRPr="007E1D7F" w:rsidRDefault="00584A45" w:rsidP="00584A45">
      <w:pPr>
        <w:ind w:left="851" w:right="851"/>
        <w:jc w:val="both"/>
        <w:rPr>
          <w:rFonts w:ascii="Palatino Linotype" w:hAnsi="Palatino Linotype"/>
          <w:bCs/>
          <w:i/>
        </w:rPr>
      </w:pPr>
      <w:r w:rsidRPr="007E1D7F">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7E1D7F">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584A45" w:rsidRPr="007E1D7F" w:rsidRDefault="00584A45" w:rsidP="00584A45">
      <w:pPr>
        <w:ind w:left="851" w:right="851"/>
        <w:jc w:val="both"/>
        <w:rPr>
          <w:rFonts w:ascii="Palatino Linotype" w:hAnsi="Palatino Linotype"/>
          <w:bCs/>
          <w:i/>
        </w:rPr>
      </w:pPr>
    </w:p>
    <w:p w:rsidR="00584A45" w:rsidRPr="007E1D7F" w:rsidRDefault="00584A45" w:rsidP="00584A45">
      <w:pPr>
        <w:ind w:left="851" w:right="851"/>
        <w:jc w:val="both"/>
        <w:rPr>
          <w:rFonts w:ascii="Palatino Linotype" w:hAnsi="Palatino Linotype"/>
          <w:bCs/>
          <w:i/>
        </w:rPr>
      </w:pPr>
      <w:r w:rsidRPr="007E1D7F">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584A45" w:rsidRPr="007E1D7F" w:rsidRDefault="00584A45" w:rsidP="00584A45">
      <w:pPr>
        <w:ind w:left="851" w:right="851"/>
        <w:jc w:val="both"/>
        <w:rPr>
          <w:rFonts w:ascii="Palatino Linotype" w:hAnsi="Palatino Linotype"/>
          <w:bCs/>
          <w:i/>
        </w:rPr>
      </w:pPr>
    </w:p>
    <w:p w:rsidR="00584A45" w:rsidRPr="007E1D7F" w:rsidRDefault="00584A45" w:rsidP="00584A45">
      <w:pPr>
        <w:ind w:left="851" w:right="851"/>
        <w:jc w:val="both"/>
        <w:rPr>
          <w:rFonts w:ascii="Palatino Linotype" w:hAnsi="Palatino Linotype"/>
          <w:i/>
        </w:rPr>
      </w:pPr>
      <w:r w:rsidRPr="007E1D7F">
        <w:rPr>
          <w:rFonts w:ascii="Palatino Linotype" w:hAnsi="Palatino Linotype"/>
          <w:b/>
          <w:i/>
        </w:rPr>
        <w:t>Artículo 12.</w:t>
      </w:r>
      <w:r w:rsidRPr="007E1D7F">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584A45" w:rsidRPr="007E1D7F" w:rsidRDefault="00584A45" w:rsidP="00584A45">
      <w:pPr>
        <w:ind w:left="851" w:right="851"/>
        <w:jc w:val="both"/>
        <w:rPr>
          <w:rFonts w:ascii="Palatino Linotype" w:hAnsi="Palatino Linotype"/>
          <w:i/>
        </w:rPr>
      </w:pPr>
    </w:p>
    <w:p w:rsidR="00584A45" w:rsidRPr="007E1D7F" w:rsidRDefault="00584A45" w:rsidP="00584A45">
      <w:pPr>
        <w:ind w:left="851" w:right="851"/>
        <w:jc w:val="both"/>
        <w:rPr>
          <w:rFonts w:ascii="Palatino Linotype" w:hAnsi="Palatino Linotype"/>
          <w:i/>
        </w:rPr>
      </w:pPr>
      <w:r w:rsidRPr="007E1D7F">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584A45" w:rsidRPr="007E1D7F" w:rsidRDefault="00584A45" w:rsidP="00584A45">
      <w:pPr>
        <w:jc w:val="both"/>
        <w:rPr>
          <w:rFonts w:ascii="Palatino Linotype" w:hAnsi="Palatino Linotype"/>
        </w:rPr>
      </w:pPr>
    </w:p>
    <w:p w:rsidR="00584A45" w:rsidRPr="007E1D7F" w:rsidRDefault="00584A45" w:rsidP="00584A45">
      <w:pPr>
        <w:spacing w:line="360" w:lineRule="auto"/>
        <w:jc w:val="both"/>
        <w:rPr>
          <w:rFonts w:ascii="Palatino Linotype" w:eastAsia="Calibri" w:hAnsi="Palatino Linotype" w:cs="Arial"/>
          <w:color w:val="000000"/>
          <w:lang w:val="es-ES_tradnl" w:eastAsia="es-MX"/>
        </w:rPr>
      </w:pPr>
    </w:p>
    <w:p w:rsidR="00584A45" w:rsidRPr="007E1D7F" w:rsidRDefault="00584A45" w:rsidP="00584A45">
      <w:pPr>
        <w:spacing w:line="360" w:lineRule="auto"/>
        <w:jc w:val="both"/>
        <w:rPr>
          <w:rFonts w:ascii="Palatino Linotype" w:eastAsia="Calibri" w:hAnsi="Palatino Linotype" w:cs="Arial"/>
          <w:color w:val="000000"/>
          <w:lang w:val="es-ES_tradnl" w:eastAsia="es-MX"/>
        </w:rPr>
      </w:pPr>
      <w:r w:rsidRPr="007E1D7F">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7E1D7F">
        <w:rPr>
          <w:rFonts w:ascii="Palatino Linotype" w:eastAsia="Calibri" w:hAnsi="Palatino Linotype" w:cs="Arial"/>
          <w:b/>
          <w:color w:val="000000"/>
          <w:lang w:val="es-ES_tradnl" w:eastAsia="es-MX"/>
        </w:rPr>
        <w:t xml:space="preserve"> </w:t>
      </w:r>
      <w:r w:rsidRPr="007E1D7F">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7E1D7F">
        <w:rPr>
          <w:rFonts w:ascii="Palatino Linotype" w:eastAsia="Calibri" w:hAnsi="Palatino Linotype" w:cs="Arial"/>
          <w:i/>
          <w:color w:val="000000"/>
          <w:lang w:val="es-ES_tradnl" w:eastAsia="es-MX"/>
        </w:rPr>
        <w:t>ad hoc</w:t>
      </w:r>
      <w:r w:rsidRPr="007E1D7F">
        <w:rPr>
          <w:rFonts w:ascii="Palatino Linotype" w:eastAsia="Calibri" w:hAnsi="Palatino Linotype" w:cs="Arial"/>
          <w:color w:val="000000"/>
          <w:lang w:val="es-ES_tradnl" w:eastAsia="es-MX"/>
        </w:rPr>
        <w:t>, para satisfacer el derecho de acceso a la información pública.</w:t>
      </w:r>
    </w:p>
    <w:p w:rsidR="00584A45" w:rsidRPr="007E1D7F" w:rsidRDefault="00584A45" w:rsidP="00584A45">
      <w:pPr>
        <w:spacing w:line="360" w:lineRule="auto"/>
        <w:jc w:val="both"/>
        <w:rPr>
          <w:rFonts w:ascii="Palatino Linotype" w:eastAsia="Calibri" w:hAnsi="Palatino Linotype" w:cs="Arial"/>
          <w:color w:val="000000"/>
          <w:lang w:val="es-ES_tradnl" w:eastAsia="es-MX"/>
        </w:rPr>
      </w:pPr>
    </w:p>
    <w:p w:rsidR="00584A45" w:rsidRPr="007E1D7F" w:rsidRDefault="00584A45" w:rsidP="00584A45">
      <w:pPr>
        <w:spacing w:line="360" w:lineRule="auto"/>
        <w:jc w:val="both"/>
        <w:rPr>
          <w:rFonts w:ascii="Palatino Linotype" w:hAnsi="Palatino Linotype" w:cs="Arial"/>
          <w:noProof/>
          <w:color w:val="000000"/>
          <w:lang w:eastAsia="es-MX"/>
        </w:rPr>
      </w:pPr>
      <w:r w:rsidRPr="007E1D7F">
        <w:rPr>
          <w:rFonts w:ascii="Palatino Linotype" w:hAnsi="Palatino Linotype" w:cs="Arial"/>
          <w:noProof/>
          <w:color w:val="000000"/>
          <w:lang w:eastAsia="es-MX"/>
        </w:rPr>
        <w:t xml:space="preserve">Con base en lo anteriormente expuesto, se arriba a la conclusión de que la respuesta del </w:t>
      </w:r>
      <w:r w:rsidRPr="007E1D7F">
        <w:rPr>
          <w:rFonts w:ascii="Palatino Linotype" w:hAnsi="Palatino Linotype" w:cs="Arial"/>
          <w:b/>
          <w:noProof/>
          <w:color w:val="000000"/>
          <w:lang w:eastAsia="es-MX"/>
        </w:rPr>
        <w:t xml:space="preserve">Sujeto Obligado </w:t>
      </w:r>
      <w:r w:rsidRPr="007E1D7F">
        <w:rPr>
          <w:rFonts w:ascii="Palatino Linotype" w:hAnsi="Palatino Linotype" w:cs="Arial"/>
          <w:noProof/>
          <w:color w:val="000000"/>
          <w:lang w:eastAsia="es-MX"/>
        </w:rPr>
        <w:t>no</w:t>
      </w:r>
      <w:r w:rsidRPr="007E1D7F">
        <w:rPr>
          <w:rFonts w:ascii="Palatino Linotype" w:hAnsi="Palatino Linotype" w:cs="Arial"/>
          <w:b/>
          <w:noProof/>
          <w:color w:val="000000"/>
          <w:lang w:eastAsia="es-MX"/>
        </w:rPr>
        <w:t xml:space="preserve"> </w:t>
      </w:r>
      <w:r w:rsidRPr="007E1D7F">
        <w:rPr>
          <w:rFonts w:ascii="Palatino Linotype" w:hAnsi="Palatino Linotype" w:cs="Arial"/>
          <w:noProof/>
          <w:color w:val="000000"/>
          <w:lang w:eastAsia="es-MX"/>
        </w:rPr>
        <w:t xml:space="preserve">colmó el derecho de acceso a la información ejercido por el particular. </w:t>
      </w:r>
    </w:p>
    <w:p w:rsidR="00584A45" w:rsidRPr="007E1D7F" w:rsidRDefault="00584A45" w:rsidP="00584A45">
      <w:pPr>
        <w:spacing w:line="360" w:lineRule="auto"/>
        <w:jc w:val="both"/>
        <w:rPr>
          <w:rFonts w:ascii="Palatino Linotype" w:hAnsi="Palatino Linotype" w:cs="Arial"/>
          <w:noProof/>
          <w:color w:val="000000"/>
          <w:lang w:eastAsia="es-MX"/>
        </w:rPr>
      </w:pPr>
    </w:p>
    <w:p w:rsidR="00584A45" w:rsidRPr="007E1D7F" w:rsidRDefault="00584A45" w:rsidP="00584A45">
      <w:pPr>
        <w:spacing w:line="360" w:lineRule="auto"/>
        <w:jc w:val="both"/>
        <w:rPr>
          <w:rFonts w:ascii="Palatino Linotype" w:hAnsi="Palatino Linotype" w:cs="Palatino Linotype"/>
          <w:b/>
          <w:i/>
          <w:color w:val="000000"/>
          <w:sz w:val="28"/>
        </w:rPr>
      </w:pPr>
      <w:r w:rsidRPr="007E1D7F">
        <w:rPr>
          <w:rFonts w:ascii="Palatino Linotype" w:hAnsi="Palatino Linotype" w:cs="Arial"/>
          <w:noProof/>
          <w:color w:val="000000"/>
          <w:lang w:eastAsia="es-MX"/>
        </w:rPr>
        <w:t xml:space="preserve"> </w:t>
      </w:r>
      <w:r w:rsidRPr="007E1D7F">
        <w:rPr>
          <w:rFonts w:ascii="Palatino Linotype" w:hAnsi="Palatino Linotype" w:cs="Palatino Linotype"/>
          <w:b/>
          <w:i/>
          <w:color w:val="000000"/>
          <w:sz w:val="28"/>
        </w:rPr>
        <w:t xml:space="preserve">De la Versión Pública </w:t>
      </w:r>
    </w:p>
    <w:p w:rsidR="00584A45" w:rsidRPr="007E1D7F" w:rsidRDefault="00584A45" w:rsidP="00584A45">
      <w:pPr>
        <w:tabs>
          <w:tab w:val="left" w:pos="7938"/>
        </w:tabs>
        <w:spacing w:before="240" w:after="240" w:line="360" w:lineRule="auto"/>
        <w:jc w:val="both"/>
        <w:rPr>
          <w:rFonts w:ascii="Palatino Linotype" w:eastAsia="Arial Unicode MS" w:hAnsi="Palatino Linotype" w:cs="Arial"/>
          <w:lang w:val="es-ES_tradnl" w:eastAsia="es-MX"/>
        </w:rPr>
      </w:pPr>
      <w:r w:rsidRPr="007E1D7F">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584A45" w:rsidRPr="007E1D7F" w:rsidRDefault="00584A45" w:rsidP="00584A45">
      <w:pPr>
        <w:spacing w:before="240"/>
        <w:ind w:left="851" w:right="851"/>
        <w:jc w:val="both"/>
        <w:rPr>
          <w:rFonts w:ascii="Palatino Linotype" w:eastAsia="Calibri" w:hAnsi="Palatino Linotype" w:cs="Arial"/>
          <w:i/>
          <w:lang w:val="es-ES_tradnl" w:eastAsia="es-MX"/>
        </w:rPr>
      </w:pPr>
      <w:r w:rsidRPr="007E1D7F">
        <w:rPr>
          <w:rFonts w:ascii="Palatino Linotype" w:eastAsia="Calibri" w:hAnsi="Palatino Linotype" w:cs="Arial"/>
          <w:i/>
          <w:lang w:val="es-ES_tradnl" w:eastAsia="es-MX"/>
        </w:rPr>
        <w:t>“Artículo 3. Para los efectos de la presente Ley se entenderá por:</w:t>
      </w:r>
    </w:p>
    <w:p w:rsidR="00584A45" w:rsidRPr="007E1D7F" w:rsidRDefault="00584A45" w:rsidP="00584A45">
      <w:pPr>
        <w:spacing w:before="240"/>
        <w:ind w:left="851" w:right="851"/>
        <w:jc w:val="both"/>
        <w:rPr>
          <w:rFonts w:ascii="Palatino Linotype" w:eastAsia="Calibri" w:hAnsi="Palatino Linotype" w:cs="Arial"/>
          <w:i/>
          <w:lang w:val="es-ES_tradnl" w:eastAsia="es-MX"/>
        </w:rPr>
      </w:pPr>
      <w:r w:rsidRPr="007E1D7F">
        <w:rPr>
          <w:rFonts w:ascii="Palatino Linotype" w:eastAsia="Calibri" w:hAnsi="Palatino Linotype" w:cs="Arial"/>
          <w:i/>
          <w:lang w:val="es-ES_tradnl" w:eastAsia="es-MX"/>
        </w:rPr>
        <w:t>(…)</w:t>
      </w:r>
    </w:p>
    <w:p w:rsidR="00584A45" w:rsidRPr="007E1D7F" w:rsidRDefault="00584A45" w:rsidP="00584A45">
      <w:pPr>
        <w:spacing w:before="240"/>
        <w:ind w:left="851" w:right="851"/>
        <w:jc w:val="both"/>
        <w:rPr>
          <w:rFonts w:ascii="Palatino Linotype" w:eastAsia="Calibri" w:hAnsi="Palatino Linotype" w:cs="Arial"/>
          <w:b/>
          <w:i/>
          <w:lang w:val="es-ES_tradnl" w:eastAsia="es-MX"/>
        </w:rPr>
      </w:pPr>
      <w:r w:rsidRPr="007E1D7F">
        <w:rPr>
          <w:rFonts w:ascii="Palatino Linotype" w:eastAsia="Calibri" w:hAnsi="Palatino Linotype" w:cs="Arial"/>
          <w:b/>
          <w:i/>
          <w:u w:val="single"/>
          <w:lang w:val="es-ES_tradnl" w:eastAsia="es-MX"/>
        </w:rPr>
        <w:t>IX. Datos personales:</w:t>
      </w:r>
      <w:r w:rsidRPr="007E1D7F">
        <w:rPr>
          <w:rFonts w:ascii="Palatino Linotype" w:eastAsia="Calibri" w:hAnsi="Palatino Linotype" w:cs="Arial"/>
          <w:b/>
          <w:i/>
          <w:lang w:val="es-ES_tradnl" w:eastAsia="es-MX"/>
        </w:rPr>
        <w:t xml:space="preserve"> </w:t>
      </w:r>
      <w:r w:rsidRPr="007E1D7F">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584A45" w:rsidRPr="007E1D7F" w:rsidRDefault="00584A45" w:rsidP="00584A45">
      <w:pPr>
        <w:spacing w:before="240"/>
        <w:ind w:left="851" w:right="851"/>
        <w:jc w:val="both"/>
        <w:rPr>
          <w:rFonts w:ascii="Palatino Linotype" w:eastAsia="Calibri" w:hAnsi="Palatino Linotype" w:cs="Arial"/>
          <w:b/>
          <w:i/>
          <w:lang w:val="es-ES_tradnl" w:eastAsia="es-MX"/>
        </w:rPr>
      </w:pPr>
      <w:r w:rsidRPr="007E1D7F">
        <w:rPr>
          <w:rFonts w:ascii="Palatino Linotype" w:eastAsia="Calibri" w:hAnsi="Palatino Linotype" w:cs="Arial"/>
          <w:b/>
          <w:i/>
          <w:lang w:val="es-ES_tradnl" w:eastAsia="es-MX"/>
        </w:rPr>
        <w:t>(…)</w:t>
      </w:r>
    </w:p>
    <w:p w:rsidR="00584A45" w:rsidRPr="007E1D7F" w:rsidRDefault="00584A45" w:rsidP="00584A45">
      <w:pPr>
        <w:spacing w:before="240"/>
        <w:ind w:left="851" w:right="851"/>
        <w:jc w:val="both"/>
        <w:rPr>
          <w:rFonts w:ascii="Palatino Linotype" w:eastAsia="Calibri" w:hAnsi="Palatino Linotype" w:cs="Arial"/>
          <w:b/>
          <w:i/>
          <w:lang w:val="es-ES_tradnl" w:eastAsia="es-MX"/>
        </w:rPr>
      </w:pPr>
      <w:r w:rsidRPr="007E1D7F">
        <w:rPr>
          <w:rFonts w:ascii="Palatino Linotype" w:eastAsia="Calibri" w:hAnsi="Palatino Linotype" w:cs="Arial"/>
          <w:b/>
          <w:i/>
          <w:u w:val="single"/>
          <w:lang w:val="es-ES_tradnl" w:eastAsia="es-MX"/>
        </w:rPr>
        <w:t>XLV. Versión pública:</w:t>
      </w:r>
      <w:r w:rsidRPr="007E1D7F">
        <w:rPr>
          <w:rFonts w:ascii="Palatino Linotype" w:eastAsia="Calibri" w:hAnsi="Palatino Linotype" w:cs="Arial"/>
          <w:b/>
          <w:i/>
          <w:lang w:val="es-ES_tradnl" w:eastAsia="es-MX"/>
        </w:rPr>
        <w:t xml:space="preserve"> </w:t>
      </w:r>
      <w:r w:rsidRPr="007E1D7F">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584A45" w:rsidRPr="007E1D7F" w:rsidRDefault="00584A45" w:rsidP="00584A45">
      <w:pPr>
        <w:spacing w:before="240"/>
        <w:ind w:left="851" w:right="851"/>
        <w:jc w:val="both"/>
        <w:rPr>
          <w:rFonts w:ascii="Palatino Linotype" w:eastAsia="Calibri" w:hAnsi="Palatino Linotype" w:cs="Arial"/>
          <w:b/>
          <w:i/>
          <w:lang w:val="es-ES_tradnl" w:eastAsia="es-MX"/>
        </w:rPr>
      </w:pPr>
      <w:r w:rsidRPr="007E1D7F">
        <w:rPr>
          <w:rFonts w:ascii="Palatino Linotype" w:eastAsia="Calibri" w:hAnsi="Palatino Linotype" w:cs="Arial"/>
          <w:i/>
          <w:lang w:val="es-ES_tradnl" w:eastAsia="es-MX"/>
        </w:rPr>
        <w:lastRenderedPageBreak/>
        <w:t xml:space="preserve">Artículo 122. </w:t>
      </w:r>
      <w:r w:rsidRPr="007E1D7F">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584A45" w:rsidRPr="007E1D7F" w:rsidRDefault="00584A45" w:rsidP="00584A45">
      <w:pPr>
        <w:spacing w:before="240"/>
        <w:ind w:left="851" w:right="851"/>
        <w:jc w:val="both"/>
        <w:rPr>
          <w:rFonts w:ascii="Palatino Linotype" w:eastAsia="Calibri" w:hAnsi="Palatino Linotype" w:cs="Arial"/>
          <w:i/>
          <w:lang w:val="es-ES_tradnl" w:eastAsia="es-MX"/>
        </w:rPr>
      </w:pPr>
      <w:r w:rsidRPr="007E1D7F">
        <w:rPr>
          <w:rFonts w:ascii="Palatino Linotype" w:eastAsia="Calibri" w:hAnsi="Palatino Linotype" w:cs="Arial"/>
          <w:i/>
          <w:lang w:val="es-ES_tradnl" w:eastAsia="es-MX"/>
        </w:rPr>
        <w:t>[…]</w:t>
      </w:r>
    </w:p>
    <w:p w:rsidR="00584A45" w:rsidRPr="007E1D7F" w:rsidRDefault="00584A45" w:rsidP="00584A45">
      <w:pPr>
        <w:spacing w:before="240"/>
        <w:ind w:left="851" w:right="851"/>
        <w:jc w:val="both"/>
        <w:rPr>
          <w:rFonts w:ascii="Palatino Linotype" w:eastAsia="Calibri" w:hAnsi="Palatino Linotype" w:cs="Arial"/>
          <w:i/>
          <w:lang w:val="es-ES_tradnl" w:eastAsia="es-MX"/>
        </w:rPr>
      </w:pPr>
      <w:r w:rsidRPr="007E1D7F">
        <w:rPr>
          <w:rFonts w:ascii="Palatino Linotype" w:eastAsia="Calibri" w:hAnsi="Palatino Linotype" w:cs="Arial"/>
          <w:i/>
          <w:lang w:val="es-ES_tradnl" w:eastAsia="es-MX"/>
        </w:rPr>
        <w:t>Artículo 132. La clasificación de la información se llevará a cabo en el momento en que:</w:t>
      </w:r>
    </w:p>
    <w:p w:rsidR="00584A45" w:rsidRPr="007E1D7F" w:rsidRDefault="00584A45" w:rsidP="00584A45">
      <w:pPr>
        <w:spacing w:before="240"/>
        <w:ind w:left="851" w:right="851"/>
        <w:jc w:val="both"/>
        <w:rPr>
          <w:rFonts w:ascii="Palatino Linotype" w:eastAsia="Calibri" w:hAnsi="Palatino Linotype" w:cs="Arial"/>
          <w:i/>
          <w:lang w:val="es-ES_tradnl" w:eastAsia="es-MX"/>
        </w:rPr>
      </w:pPr>
      <w:r w:rsidRPr="007E1D7F">
        <w:rPr>
          <w:rFonts w:ascii="Palatino Linotype" w:eastAsia="Calibri" w:hAnsi="Palatino Linotype" w:cs="Arial"/>
          <w:i/>
          <w:lang w:val="es-ES_tradnl" w:eastAsia="es-MX"/>
        </w:rPr>
        <w:t>[…]</w:t>
      </w:r>
    </w:p>
    <w:p w:rsidR="00584A45" w:rsidRPr="007E1D7F" w:rsidRDefault="00584A45" w:rsidP="00584A45">
      <w:pPr>
        <w:spacing w:before="240"/>
        <w:ind w:left="851" w:right="851"/>
        <w:jc w:val="both"/>
        <w:rPr>
          <w:rFonts w:ascii="Palatino Linotype" w:eastAsia="Calibri" w:hAnsi="Palatino Linotype" w:cs="Arial"/>
          <w:b/>
          <w:i/>
          <w:u w:val="single"/>
          <w:lang w:val="es-ES_tradnl" w:eastAsia="es-MX"/>
        </w:rPr>
      </w:pPr>
      <w:r w:rsidRPr="007E1D7F">
        <w:rPr>
          <w:rFonts w:ascii="Palatino Linotype" w:eastAsia="Calibri" w:hAnsi="Palatino Linotype" w:cs="Arial"/>
          <w:b/>
          <w:i/>
          <w:u w:val="single"/>
          <w:lang w:val="es-ES_tradnl" w:eastAsia="es-MX"/>
        </w:rPr>
        <w:t>II. Se determine mediante resolución de autoridad competente; o</w:t>
      </w:r>
    </w:p>
    <w:p w:rsidR="00584A45" w:rsidRPr="007E1D7F" w:rsidRDefault="00584A45" w:rsidP="00584A45">
      <w:pPr>
        <w:spacing w:before="240"/>
        <w:ind w:left="851" w:right="851"/>
        <w:jc w:val="both"/>
        <w:rPr>
          <w:rFonts w:ascii="Palatino Linotype" w:eastAsia="Calibri" w:hAnsi="Palatino Linotype" w:cs="Arial"/>
          <w:b/>
          <w:i/>
          <w:lang w:val="es-ES_tradnl" w:eastAsia="es-MX"/>
        </w:rPr>
      </w:pPr>
      <w:r w:rsidRPr="007E1D7F">
        <w:rPr>
          <w:rFonts w:ascii="Palatino Linotype" w:eastAsia="Calibri" w:hAnsi="Palatino Linotype" w:cs="Arial"/>
          <w:b/>
          <w:i/>
          <w:lang w:val="es-ES_tradnl" w:eastAsia="es-MX"/>
        </w:rPr>
        <w:t>(…)</w:t>
      </w:r>
    </w:p>
    <w:p w:rsidR="00584A45" w:rsidRPr="007E1D7F" w:rsidRDefault="00584A45" w:rsidP="00584A45">
      <w:pPr>
        <w:spacing w:before="240"/>
        <w:ind w:left="851" w:right="851"/>
        <w:jc w:val="both"/>
        <w:rPr>
          <w:rFonts w:ascii="Palatino Linotype" w:eastAsia="Calibri" w:hAnsi="Palatino Linotype" w:cs="Arial"/>
          <w:b/>
          <w:i/>
          <w:lang w:val="es-ES_tradnl" w:eastAsia="es-MX"/>
        </w:rPr>
      </w:pPr>
      <w:r w:rsidRPr="007E1D7F">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7E1D7F">
        <w:rPr>
          <w:rFonts w:ascii="Palatino Linotype" w:eastAsia="Calibri" w:hAnsi="Palatino Linotype" w:cs="Arial"/>
          <w:b/>
          <w:i/>
          <w:lang w:val="es-ES_tradnl" w:eastAsia="es-MX"/>
        </w:rPr>
        <w:t xml:space="preserve"> </w:t>
      </w:r>
      <w:r w:rsidRPr="007E1D7F">
        <w:rPr>
          <w:rFonts w:ascii="Palatino Linotype" w:eastAsia="Calibri" w:hAnsi="Palatino Linotype" w:cs="Arial"/>
          <w:b/>
          <w:i/>
          <w:u w:val="single"/>
          <w:lang w:val="es-ES_tradnl" w:eastAsia="es-MX"/>
        </w:rPr>
        <w:t xml:space="preserve">de manera genérica y fundando y motivando su clasificación.” </w:t>
      </w:r>
      <w:r w:rsidRPr="007E1D7F">
        <w:rPr>
          <w:rFonts w:ascii="Palatino Linotype" w:eastAsia="Calibri" w:hAnsi="Palatino Linotype" w:cs="Arial"/>
          <w:b/>
          <w:i/>
          <w:lang w:val="es-ES_tradnl" w:eastAsia="es-MX"/>
        </w:rPr>
        <w:t>[Sic]</w:t>
      </w:r>
    </w:p>
    <w:p w:rsidR="00584A45" w:rsidRPr="007E1D7F" w:rsidRDefault="00584A45" w:rsidP="00584A45">
      <w:pPr>
        <w:spacing w:line="360" w:lineRule="auto"/>
        <w:ind w:right="51"/>
        <w:jc w:val="both"/>
        <w:rPr>
          <w:rFonts w:ascii="Palatino Linotype" w:eastAsia="Arial Unicode MS" w:hAnsi="Palatino Linotype" w:cs="Arial"/>
          <w:lang w:val="es-ES_tradnl" w:eastAsia="es-MX"/>
        </w:rPr>
      </w:pPr>
    </w:p>
    <w:p w:rsidR="00584A45" w:rsidRPr="007E1D7F" w:rsidRDefault="00584A45" w:rsidP="00584A45">
      <w:pPr>
        <w:spacing w:line="360" w:lineRule="auto"/>
        <w:jc w:val="both"/>
        <w:rPr>
          <w:rFonts w:ascii="Palatino Linotype" w:hAnsi="Palatino Linotype" w:cs="Arial"/>
        </w:rPr>
      </w:pPr>
      <w:r w:rsidRPr="007E1D7F">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584A45" w:rsidRPr="007E1D7F" w:rsidRDefault="00584A45" w:rsidP="00584A45">
      <w:pPr>
        <w:spacing w:line="360" w:lineRule="auto"/>
        <w:ind w:right="51"/>
        <w:jc w:val="both"/>
        <w:rPr>
          <w:rFonts w:ascii="Palatino Linotype" w:eastAsia="Calibri" w:hAnsi="Palatino Linotype" w:cs="Arial"/>
          <w:lang w:val="es-ES_tradnl" w:eastAsia="es-MX"/>
        </w:rPr>
      </w:pPr>
    </w:p>
    <w:p w:rsidR="00584A45" w:rsidRPr="007E1D7F" w:rsidRDefault="00584A45" w:rsidP="00584A45">
      <w:pPr>
        <w:spacing w:line="360" w:lineRule="auto"/>
        <w:ind w:right="51"/>
        <w:jc w:val="both"/>
        <w:rPr>
          <w:rFonts w:ascii="Palatino Linotype" w:eastAsia="Arial Unicode MS" w:hAnsi="Palatino Linotype" w:cs="Arial"/>
          <w:lang w:val="es-ES_tradnl" w:eastAsia="es-MX"/>
        </w:rPr>
      </w:pPr>
      <w:r w:rsidRPr="007E1D7F">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7E1D7F">
        <w:rPr>
          <w:rFonts w:ascii="Palatino Linotype" w:eastAsia="Calibri" w:hAnsi="Palatino Linotype" w:cs="Arial"/>
          <w:b/>
          <w:lang w:val="es-ES_tradnl" w:eastAsia="es-MX"/>
        </w:rPr>
        <w:t xml:space="preserve">LINEAMIENTOS GENERALES EN </w:t>
      </w:r>
      <w:r w:rsidRPr="007E1D7F">
        <w:rPr>
          <w:rFonts w:ascii="Palatino Linotype" w:eastAsia="Calibri" w:hAnsi="Palatino Linotype" w:cs="Arial"/>
          <w:b/>
          <w:lang w:val="es-ES_tradnl" w:eastAsia="es-MX"/>
        </w:rPr>
        <w:lastRenderedPageBreak/>
        <w:t>MATERIA DE CLASIFICACIÓN Y DESCLASIFICACIÓN DE LA INFORMACIÓN, ASÍ COMO PARA LA ELABORACIÓN DE VERSIONES PÚBLICAS,</w:t>
      </w:r>
      <w:r w:rsidRPr="007E1D7F">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584A45" w:rsidRPr="007E1D7F" w:rsidRDefault="00584A45" w:rsidP="00584A45">
      <w:pPr>
        <w:spacing w:line="360" w:lineRule="auto"/>
        <w:jc w:val="both"/>
        <w:rPr>
          <w:rFonts w:ascii="Palatino Linotype" w:hAnsi="Palatino Linotype" w:cs="Arial"/>
          <w:noProof/>
          <w:color w:val="000000"/>
          <w:sz w:val="10"/>
          <w:lang w:eastAsia="es-MX"/>
        </w:rPr>
      </w:pPr>
    </w:p>
    <w:p w:rsidR="00584A45" w:rsidRPr="007E1D7F" w:rsidRDefault="00584A45" w:rsidP="00584A45">
      <w:pPr>
        <w:spacing w:line="360" w:lineRule="auto"/>
        <w:ind w:right="51"/>
        <w:jc w:val="both"/>
        <w:rPr>
          <w:rFonts w:ascii="Palatino Linotype" w:eastAsiaTheme="minorHAnsi" w:hAnsi="Palatino Linotype" w:cstheme="minorBidi"/>
          <w:lang w:val="es-MX" w:eastAsia="en-US"/>
        </w:rPr>
      </w:pPr>
      <w:r w:rsidRPr="007E1D7F">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7E1D7F">
        <w:rPr>
          <w:rFonts w:ascii="Palatino Linotype" w:eastAsiaTheme="minorHAnsi" w:hAnsi="Palatino Linotype" w:cstheme="minorBidi"/>
          <w:b/>
          <w:lang w:val="es-MX" w:eastAsia="en-US"/>
        </w:rPr>
        <w:t>el Recurrente</w:t>
      </w:r>
      <w:r w:rsidRPr="007E1D7F">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7E1D7F">
        <w:rPr>
          <w:rFonts w:ascii="Palatino Linotype" w:eastAsiaTheme="minorHAnsi" w:hAnsi="Palatino Linotype" w:cstheme="minorBidi"/>
          <w:b/>
          <w:lang w:val="es-MX" w:eastAsia="en-US"/>
        </w:rPr>
        <w:t xml:space="preserve">REVOCA </w:t>
      </w:r>
      <w:r w:rsidRPr="007E1D7F">
        <w:rPr>
          <w:rFonts w:ascii="Palatino Linotype" w:eastAsiaTheme="minorHAnsi" w:hAnsi="Palatino Linotype" w:cstheme="minorBidi"/>
          <w:lang w:val="es-MX" w:eastAsia="en-US"/>
        </w:rPr>
        <w:t xml:space="preserve">la respuesta emitida a la solicitud de información </w:t>
      </w:r>
      <w:r w:rsidRPr="007E1D7F">
        <w:rPr>
          <w:rFonts w:ascii="Palatino Linotype" w:hAnsi="Palatino Linotype"/>
          <w:b/>
          <w:bCs/>
        </w:rPr>
        <w:t>00263/TEXCOCO/IP/202</w:t>
      </w:r>
      <w:r w:rsidRPr="007E1D7F">
        <w:rPr>
          <w:rFonts w:ascii="Palatino Linotype" w:eastAsiaTheme="minorHAnsi" w:hAnsi="Palatino Linotype"/>
          <w:b/>
          <w:bCs/>
        </w:rPr>
        <w:t>,</w:t>
      </w:r>
      <w:r w:rsidRPr="007E1D7F">
        <w:rPr>
          <w:rFonts w:ascii="Palatino Linotype" w:eastAsiaTheme="minorHAnsi" w:hAnsi="Palatino Linotype" w:cs="Arial"/>
          <w:lang w:val="es-MX" w:eastAsia="en-US"/>
        </w:rPr>
        <w:t xml:space="preserve"> </w:t>
      </w:r>
      <w:r w:rsidRPr="007E1D7F">
        <w:rPr>
          <w:rFonts w:ascii="Palatino Linotype" w:eastAsiaTheme="minorHAnsi" w:hAnsi="Palatino Linotype" w:cstheme="minorBidi"/>
          <w:lang w:val="es-MX" w:eastAsia="en-US"/>
        </w:rPr>
        <w:t>que ha sido materia del presente fallo.</w:t>
      </w:r>
    </w:p>
    <w:p w:rsidR="00584A45" w:rsidRPr="007E1D7F" w:rsidRDefault="00584A45" w:rsidP="00584A45">
      <w:pPr>
        <w:spacing w:line="360" w:lineRule="auto"/>
        <w:jc w:val="both"/>
        <w:rPr>
          <w:rFonts w:ascii="Palatino Linotype" w:eastAsiaTheme="minorHAnsi" w:hAnsi="Palatino Linotype" w:cstheme="minorBidi"/>
          <w:sz w:val="10"/>
          <w:lang w:val="es-MX" w:eastAsia="en-US"/>
        </w:rPr>
      </w:pPr>
    </w:p>
    <w:p w:rsidR="00584A45" w:rsidRPr="007E1D7F" w:rsidRDefault="00584A45" w:rsidP="00584A45">
      <w:pPr>
        <w:spacing w:line="360" w:lineRule="auto"/>
        <w:jc w:val="both"/>
        <w:rPr>
          <w:rFonts w:ascii="Palatino Linotype" w:hAnsi="Palatino Linotype"/>
          <w:lang w:val="es-MX"/>
        </w:rPr>
      </w:pPr>
      <w:r w:rsidRPr="007E1D7F">
        <w:rPr>
          <w:rFonts w:ascii="Palatino Linotype" w:hAnsi="Palatino Linotype"/>
          <w:lang w:val="es-MX"/>
        </w:rPr>
        <w:t>Por lo antes expuesto y fundado es de resolverse y,</w:t>
      </w:r>
    </w:p>
    <w:p w:rsidR="00584A45" w:rsidRPr="007E1D7F" w:rsidRDefault="00584A45" w:rsidP="00584A45">
      <w:pPr>
        <w:spacing w:line="360" w:lineRule="auto"/>
        <w:jc w:val="both"/>
        <w:rPr>
          <w:rFonts w:ascii="Palatino Linotype" w:hAnsi="Palatino Linotype"/>
          <w:sz w:val="16"/>
          <w:lang w:val="es-MX"/>
        </w:rPr>
      </w:pPr>
    </w:p>
    <w:p w:rsidR="00584A45" w:rsidRPr="007E1D7F" w:rsidRDefault="00584A45" w:rsidP="00584A45">
      <w:pPr>
        <w:spacing w:line="360" w:lineRule="auto"/>
        <w:jc w:val="center"/>
        <w:rPr>
          <w:rFonts w:ascii="Palatino Linotype" w:hAnsi="Palatino Linotype"/>
          <w:bCs/>
          <w:spacing w:val="60"/>
          <w:lang w:val="es-ES_tradnl"/>
        </w:rPr>
      </w:pPr>
      <w:r w:rsidRPr="007E1D7F">
        <w:rPr>
          <w:rFonts w:ascii="Palatino Linotype" w:hAnsi="Palatino Linotype"/>
          <w:b/>
          <w:bCs/>
          <w:spacing w:val="60"/>
          <w:sz w:val="28"/>
          <w:lang w:val="es-ES_tradnl"/>
        </w:rPr>
        <w:t>SE    RESUELVE</w:t>
      </w:r>
    </w:p>
    <w:p w:rsidR="00584A45" w:rsidRPr="007E1D7F" w:rsidRDefault="00584A45" w:rsidP="00584A45">
      <w:pPr>
        <w:spacing w:line="360" w:lineRule="auto"/>
        <w:jc w:val="both"/>
        <w:rPr>
          <w:rFonts w:ascii="Palatino Linotype" w:hAnsi="Palatino Linotype" w:cs="Arial"/>
        </w:rPr>
      </w:pPr>
      <w:r w:rsidRPr="007E1D7F">
        <w:rPr>
          <w:rFonts w:ascii="Palatino Linotype" w:hAnsi="Palatino Linotype" w:cs="Arial"/>
          <w:b/>
          <w:sz w:val="28"/>
          <w:szCs w:val="28"/>
        </w:rPr>
        <w:t>PRIMERO</w:t>
      </w:r>
      <w:r w:rsidRPr="007E1D7F">
        <w:rPr>
          <w:rFonts w:ascii="Palatino Linotype" w:hAnsi="Palatino Linotype" w:cs="Arial"/>
          <w:sz w:val="32"/>
          <w:szCs w:val="28"/>
        </w:rPr>
        <w:t>.</w:t>
      </w:r>
      <w:r w:rsidRPr="007E1D7F">
        <w:rPr>
          <w:rFonts w:ascii="Palatino Linotype" w:hAnsi="Palatino Linotype" w:cs="Arial"/>
        </w:rPr>
        <w:t xml:space="preserve"> Se</w:t>
      </w:r>
      <w:r w:rsidRPr="007E1D7F">
        <w:rPr>
          <w:rFonts w:ascii="Palatino Linotype" w:hAnsi="Palatino Linotype" w:cs="Arial"/>
          <w:b/>
        </w:rPr>
        <w:t xml:space="preserve"> REVOCA </w:t>
      </w:r>
      <w:r w:rsidRPr="007E1D7F">
        <w:rPr>
          <w:rFonts w:ascii="Palatino Linotype" w:hAnsi="Palatino Linotype" w:cs="Arial"/>
        </w:rPr>
        <w:t xml:space="preserve">la respuesta del </w:t>
      </w:r>
      <w:r w:rsidRPr="007E1D7F">
        <w:rPr>
          <w:rFonts w:ascii="Palatino Linotype" w:hAnsi="Palatino Linotype" w:cs="Arial"/>
          <w:b/>
        </w:rPr>
        <w:t>Sujeto Obligado</w:t>
      </w:r>
      <w:r w:rsidRPr="007E1D7F">
        <w:rPr>
          <w:rFonts w:ascii="Palatino Linotype" w:hAnsi="Palatino Linotype" w:cs="Arial"/>
        </w:rPr>
        <w:t xml:space="preserve"> a la solicitud de acceso a la información pública</w:t>
      </w:r>
      <w:r w:rsidRPr="007E1D7F">
        <w:rPr>
          <w:rFonts w:ascii="Palatino Linotype" w:hAnsi="Palatino Linotype" w:cs="Arial"/>
          <w:b/>
        </w:rPr>
        <w:t xml:space="preserve"> </w:t>
      </w:r>
      <w:r w:rsidRPr="007E1D7F">
        <w:rPr>
          <w:rFonts w:ascii="Palatino Linotype" w:hAnsi="Palatino Linotype"/>
          <w:b/>
          <w:bCs/>
        </w:rPr>
        <w:t>00263/TEXCOCO/IP/202</w:t>
      </w:r>
      <w:r w:rsidRPr="007E1D7F">
        <w:rPr>
          <w:rFonts w:ascii="Palatino Linotype" w:hAnsi="Palatino Linotype" w:cs="Arial"/>
        </w:rPr>
        <w:t>,</w:t>
      </w:r>
      <w:r w:rsidRPr="007E1D7F">
        <w:rPr>
          <w:rFonts w:ascii="Palatino Linotype" w:hAnsi="Palatino Linotype" w:cs="Tahoma"/>
          <w:b/>
        </w:rPr>
        <w:t xml:space="preserve"> </w:t>
      </w:r>
      <w:r w:rsidRPr="007E1D7F">
        <w:rPr>
          <w:rFonts w:ascii="Palatino Linotype" w:hAnsi="Palatino Linotype" w:cs="Arial"/>
        </w:rPr>
        <w:t>por resultar fundados</w:t>
      </w:r>
      <w:r w:rsidRPr="007E1D7F">
        <w:rPr>
          <w:rFonts w:ascii="Palatino Linotype" w:hAnsi="Palatino Linotype" w:cs="Arial"/>
          <w:b/>
        </w:rPr>
        <w:t xml:space="preserve"> </w:t>
      </w:r>
      <w:r w:rsidRPr="007E1D7F">
        <w:rPr>
          <w:rFonts w:ascii="Palatino Linotype" w:hAnsi="Palatino Linotype" w:cs="Arial"/>
        </w:rPr>
        <w:t xml:space="preserve">los motivos de inconformidad vertidos por la parte </w:t>
      </w:r>
      <w:r w:rsidRPr="007E1D7F">
        <w:rPr>
          <w:rFonts w:ascii="Palatino Linotype" w:hAnsi="Palatino Linotype" w:cs="Arial"/>
          <w:b/>
        </w:rPr>
        <w:t>Recurrente</w:t>
      </w:r>
      <w:r w:rsidRPr="007E1D7F">
        <w:rPr>
          <w:rFonts w:ascii="Palatino Linotype" w:hAnsi="Palatino Linotype" w:cs="Arial"/>
        </w:rPr>
        <w:t>, en términos del considerando</w:t>
      </w:r>
      <w:r w:rsidRPr="007E1D7F">
        <w:rPr>
          <w:rFonts w:ascii="Palatino Linotype" w:hAnsi="Palatino Linotype" w:cs="Arial"/>
          <w:b/>
        </w:rPr>
        <w:t xml:space="preserve"> CUARTO </w:t>
      </w:r>
      <w:r w:rsidRPr="007E1D7F">
        <w:rPr>
          <w:rFonts w:ascii="Palatino Linotype" w:hAnsi="Palatino Linotype" w:cs="Arial"/>
        </w:rPr>
        <w:t>de la presente Resolución.</w:t>
      </w:r>
    </w:p>
    <w:p w:rsidR="00584A45" w:rsidRPr="007E1D7F" w:rsidRDefault="00584A45" w:rsidP="00584A45">
      <w:pPr>
        <w:spacing w:line="360" w:lineRule="auto"/>
        <w:jc w:val="both"/>
        <w:rPr>
          <w:rFonts w:ascii="Palatino Linotype" w:hAnsi="Palatino Linotype" w:cs="Arial"/>
        </w:rPr>
      </w:pPr>
    </w:p>
    <w:p w:rsidR="00584A45" w:rsidRPr="007E1D7F" w:rsidRDefault="00584A45" w:rsidP="00584A45">
      <w:pPr>
        <w:spacing w:line="360" w:lineRule="auto"/>
        <w:jc w:val="both"/>
        <w:rPr>
          <w:rFonts w:ascii="Palatino Linotype" w:hAnsi="Palatino Linotype" w:cs="Arial"/>
        </w:rPr>
      </w:pPr>
      <w:r w:rsidRPr="007E1D7F">
        <w:rPr>
          <w:rFonts w:ascii="Palatino Linotype" w:hAnsi="Palatino Linotype" w:cs="Arial"/>
          <w:b/>
          <w:sz w:val="28"/>
        </w:rPr>
        <w:t>SEGUNDO</w:t>
      </w:r>
      <w:r w:rsidRPr="007E1D7F">
        <w:rPr>
          <w:rFonts w:ascii="Palatino Linotype" w:hAnsi="Palatino Linotype" w:cs="Arial"/>
          <w:b/>
        </w:rPr>
        <w:t>.</w:t>
      </w:r>
      <w:r w:rsidRPr="007E1D7F">
        <w:rPr>
          <w:rFonts w:ascii="Palatino Linotype" w:hAnsi="Palatino Linotype" w:cs="Tahoma"/>
        </w:rPr>
        <w:t xml:space="preserve"> Se </w:t>
      </w:r>
      <w:r w:rsidRPr="007E1D7F">
        <w:rPr>
          <w:rFonts w:ascii="Palatino Linotype" w:hAnsi="Palatino Linotype" w:cs="Tahoma"/>
          <w:b/>
        </w:rPr>
        <w:t>ORDENA</w:t>
      </w:r>
      <w:r w:rsidRPr="007E1D7F">
        <w:rPr>
          <w:rFonts w:ascii="Palatino Linotype" w:hAnsi="Palatino Linotype" w:cs="Tahoma"/>
        </w:rPr>
        <w:t xml:space="preserve"> al </w:t>
      </w:r>
      <w:r w:rsidRPr="007E1D7F">
        <w:rPr>
          <w:rFonts w:ascii="Palatino Linotype" w:hAnsi="Palatino Linotype" w:cs="Tahoma"/>
          <w:b/>
        </w:rPr>
        <w:t>Sujeto Obligado,</w:t>
      </w:r>
      <w:r w:rsidRPr="007E1D7F">
        <w:rPr>
          <w:rFonts w:ascii="Palatino Linotype" w:hAnsi="Palatino Linotype" w:cs="Tahoma"/>
        </w:rPr>
        <w:t xml:space="preserve"> haga entrega a la parte </w:t>
      </w:r>
      <w:r w:rsidRPr="007E1D7F">
        <w:rPr>
          <w:rFonts w:ascii="Palatino Linotype" w:hAnsi="Palatino Linotype" w:cs="Tahoma"/>
          <w:b/>
        </w:rPr>
        <w:t>Recurrente</w:t>
      </w:r>
      <w:r w:rsidRPr="007E1D7F">
        <w:rPr>
          <w:rFonts w:ascii="Palatino Linotype" w:hAnsi="Palatino Linotype" w:cs="Tahoma"/>
        </w:rPr>
        <w:t>, a través del Sistema de Acceso a la Información Mexiquense (</w:t>
      </w:r>
      <w:r w:rsidRPr="007E1D7F">
        <w:rPr>
          <w:rFonts w:ascii="Palatino Linotype" w:hAnsi="Palatino Linotype" w:cs="Tahoma"/>
          <w:b/>
        </w:rPr>
        <w:t>SAIMEX</w:t>
      </w:r>
      <w:r w:rsidRPr="007E1D7F">
        <w:rPr>
          <w:rFonts w:ascii="Palatino Linotype" w:hAnsi="Palatino Linotype" w:cs="Tahoma"/>
        </w:rPr>
        <w:t xml:space="preserve">), en versión pública de ser procedente, </w:t>
      </w:r>
      <w:r w:rsidR="00272607" w:rsidRPr="007E1D7F">
        <w:rPr>
          <w:rFonts w:ascii="Palatino Linotype" w:hAnsi="Palatino Linotype" w:cs="Tahoma"/>
        </w:rPr>
        <w:t>en relación con la comunidad de Santa María Tulantongo, al catorce</w:t>
      </w:r>
      <w:r w:rsidRPr="007E1D7F">
        <w:rPr>
          <w:rFonts w:ascii="Palatino Linotype" w:hAnsi="Palatino Linotype" w:cs="Tahoma"/>
        </w:rPr>
        <w:t xml:space="preserve"> de noviembre de dos m</w:t>
      </w:r>
      <w:r w:rsidR="00272607" w:rsidRPr="007E1D7F">
        <w:rPr>
          <w:rFonts w:ascii="Palatino Linotype" w:hAnsi="Palatino Linotype" w:cs="Tahoma"/>
        </w:rPr>
        <w:t>i</w:t>
      </w:r>
      <w:r w:rsidRPr="007E1D7F">
        <w:rPr>
          <w:rFonts w:ascii="Palatino Linotype" w:hAnsi="Palatino Linotype" w:cs="Tahoma"/>
        </w:rPr>
        <w:t>l veinticinco, los documentos donde conste lo siguiente</w:t>
      </w:r>
      <w:r w:rsidRPr="007E1D7F">
        <w:rPr>
          <w:rFonts w:ascii="Palatino Linotype" w:hAnsi="Palatino Linotype" w:cs="Arial"/>
        </w:rPr>
        <w:t>:</w:t>
      </w:r>
    </w:p>
    <w:p w:rsidR="00584A45" w:rsidRPr="007E1D7F" w:rsidRDefault="001A3517" w:rsidP="00584A45">
      <w:pPr>
        <w:pStyle w:val="Prrafodelista"/>
        <w:numPr>
          <w:ilvl w:val="0"/>
          <w:numId w:val="6"/>
        </w:numPr>
        <w:spacing w:line="360" w:lineRule="auto"/>
        <w:jc w:val="both"/>
        <w:rPr>
          <w:rFonts w:ascii="Palatino Linotype" w:hAnsi="Palatino Linotype" w:cs="Arial"/>
        </w:rPr>
      </w:pPr>
      <w:r w:rsidRPr="007E1D7F">
        <w:rPr>
          <w:rFonts w:ascii="Palatino Linotype" w:hAnsi="Palatino Linotype" w:cs="Arial"/>
        </w:rPr>
        <w:lastRenderedPageBreak/>
        <w:t>Monto aprobado</w:t>
      </w:r>
      <w:r w:rsidR="00244301" w:rsidRPr="007E1D7F">
        <w:rPr>
          <w:rFonts w:ascii="Palatino Linotype" w:hAnsi="Palatino Linotype" w:cs="Arial"/>
        </w:rPr>
        <w:t xml:space="preserve"> para el ejercicio fiscal 2025</w:t>
      </w:r>
      <w:r w:rsidR="00117363" w:rsidRPr="007E1D7F">
        <w:rPr>
          <w:rFonts w:ascii="Palatino Linotype" w:hAnsi="Palatino Linotype" w:cs="Arial"/>
        </w:rPr>
        <w:t>.</w:t>
      </w:r>
    </w:p>
    <w:p w:rsidR="00117363" w:rsidRPr="007E1D7F" w:rsidRDefault="00117363" w:rsidP="00584A45">
      <w:pPr>
        <w:pStyle w:val="Prrafodelista"/>
        <w:numPr>
          <w:ilvl w:val="0"/>
          <w:numId w:val="6"/>
        </w:numPr>
        <w:spacing w:line="360" w:lineRule="auto"/>
        <w:jc w:val="both"/>
        <w:rPr>
          <w:rFonts w:ascii="Palatino Linotype" w:hAnsi="Palatino Linotype" w:cs="Arial"/>
        </w:rPr>
      </w:pPr>
      <w:r w:rsidRPr="007E1D7F">
        <w:rPr>
          <w:rFonts w:ascii="Palatino Linotype" w:hAnsi="Palatino Linotype" w:cs="Arial"/>
        </w:rPr>
        <w:t>Obras realizadas.</w:t>
      </w:r>
    </w:p>
    <w:p w:rsidR="00584A45" w:rsidRPr="007E1D7F" w:rsidRDefault="00244301" w:rsidP="00584A45">
      <w:pPr>
        <w:pStyle w:val="Prrafodelista"/>
        <w:numPr>
          <w:ilvl w:val="0"/>
          <w:numId w:val="6"/>
        </w:numPr>
        <w:spacing w:line="360" w:lineRule="auto"/>
        <w:jc w:val="both"/>
        <w:rPr>
          <w:rFonts w:ascii="Palatino Linotype" w:hAnsi="Palatino Linotype" w:cs="Arial"/>
        </w:rPr>
      </w:pPr>
      <w:r w:rsidRPr="007E1D7F">
        <w:rPr>
          <w:rFonts w:ascii="Palatino Linotype" w:hAnsi="Palatino Linotype" w:cs="Arial"/>
        </w:rPr>
        <w:t xml:space="preserve">Estrategias o políticas públicas aprobadas y/o ejecutadas para el desempleo, desarrollo económico, infraestructura urbana, alumbrado público y zonas recreativas. </w:t>
      </w:r>
    </w:p>
    <w:p w:rsidR="00584A45" w:rsidRPr="007E1D7F" w:rsidRDefault="00584A45" w:rsidP="00584A45">
      <w:pPr>
        <w:pStyle w:val="INFOEM"/>
        <w:spacing w:before="0" w:after="0"/>
        <w:ind w:left="720" w:right="567"/>
        <w:rPr>
          <w:rFonts w:cs="Arial"/>
        </w:rPr>
      </w:pPr>
    </w:p>
    <w:p w:rsidR="00584A45" w:rsidRPr="007E1D7F" w:rsidRDefault="00584A45" w:rsidP="00584A45">
      <w:pPr>
        <w:pStyle w:val="INFOEM"/>
        <w:spacing w:before="0" w:after="0"/>
        <w:ind w:left="720" w:right="567"/>
      </w:pPr>
      <w:r w:rsidRPr="007E1D7F">
        <w:rPr>
          <w:rFonts w:cs="Arial"/>
        </w:rPr>
        <w:t xml:space="preserve"> </w:t>
      </w:r>
      <w:r w:rsidRPr="007E1D7F">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117363" w:rsidRPr="007E1D7F" w:rsidRDefault="00117363" w:rsidP="00584A45">
      <w:pPr>
        <w:pStyle w:val="INFOEM"/>
        <w:spacing w:before="0" w:after="0"/>
        <w:ind w:left="720" w:right="567"/>
      </w:pPr>
      <w:r w:rsidRPr="007E1D7F">
        <w:t xml:space="preserve">En el supuesto de que no cuenten con la información que se ordena en el punto 2 y 3 (respecto de las estrategias o políticas </w:t>
      </w:r>
      <w:r w:rsidR="00A91A90" w:rsidRPr="007E1D7F">
        <w:t>públicas</w:t>
      </w:r>
      <w:r w:rsidRPr="007E1D7F">
        <w:t xml:space="preserve"> para el </w:t>
      </w:r>
      <w:r w:rsidRPr="007E1D7F">
        <w:rPr>
          <w:b/>
        </w:rPr>
        <w:t>desempleo</w:t>
      </w:r>
      <w:r w:rsidR="00A91A90" w:rsidRPr="007E1D7F">
        <w:t>)</w:t>
      </w:r>
      <w:r w:rsidRPr="007E1D7F">
        <w:t xml:space="preserve"> bastara con que las áreas competentes lo manifiesten de manera precisa y clara. </w:t>
      </w:r>
    </w:p>
    <w:p w:rsidR="00117363" w:rsidRPr="007E1D7F" w:rsidRDefault="00117363" w:rsidP="00584A45">
      <w:pPr>
        <w:pStyle w:val="INFOEM"/>
        <w:spacing w:before="0" w:after="0"/>
        <w:ind w:left="720" w:right="567"/>
      </w:pPr>
    </w:p>
    <w:p w:rsidR="00584A45" w:rsidRPr="007E1D7F" w:rsidRDefault="00584A45" w:rsidP="00584A45">
      <w:pPr>
        <w:spacing w:line="360" w:lineRule="auto"/>
        <w:jc w:val="both"/>
        <w:rPr>
          <w:rFonts w:ascii="Palatino Linotype" w:hAnsi="Palatino Linotype" w:cs="Tahoma"/>
          <w:bCs/>
        </w:rPr>
      </w:pPr>
      <w:r w:rsidRPr="007E1D7F">
        <w:rPr>
          <w:rFonts w:ascii="Palatino Linotype" w:hAnsi="Palatino Linotype" w:cs="Arial"/>
          <w:b/>
          <w:sz w:val="28"/>
        </w:rPr>
        <w:t>TERCERO</w:t>
      </w:r>
      <w:r w:rsidRPr="007E1D7F">
        <w:rPr>
          <w:rFonts w:ascii="Palatino Linotype" w:hAnsi="Palatino Linotype" w:cs="Arial"/>
          <w:b/>
        </w:rPr>
        <w:t>.</w:t>
      </w:r>
      <w:r w:rsidRPr="007E1D7F">
        <w:rPr>
          <w:rFonts w:ascii="Palatino Linotype" w:hAnsi="Palatino Linotype" w:cs="Arial"/>
        </w:rPr>
        <w:t xml:space="preserve"> </w:t>
      </w:r>
      <w:r w:rsidRPr="007E1D7F">
        <w:rPr>
          <w:rFonts w:ascii="Palatino Linotype" w:hAnsi="Palatino Linotype" w:cs="Tahoma"/>
          <w:b/>
        </w:rPr>
        <w:t xml:space="preserve">NOTIFÍQUESE </w:t>
      </w:r>
      <w:r w:rsidRPr="007E1D7F">
        <w:rPr>
          <w:rFonts w:ascii="Palatino Linotype" w:hAnsi="Palatino Linotype" w:cs="Arial"/>
        </w:rPr>
        <w:t xml:space="preserve">a través del Sistema de Acceso a la Información Mexiquense </w:t>
      </w:r>
      <w:r w:rsidRPr="007E1D7F">
        <w:rPr>
          <w:rFonts w:ascii="Palatino Linotype" w:hAnsi="Palatino Linotype" w:cs="Arial"/>
          <w:b/>
        </w:rPr>
        <w:t>(SAIMEX)</w:t>
      </w:r>
      <w:r w:rsidRPr="007E1D7F">
        <w:rPr>
          <w:rFonts w:ascii="Palatino Linotype" w:hAnsi="Palatino Linotype" w:cs="Arial"/>
        </w:rPr>
        <w:t xml:space="preserve">, </w:t>
      </w:r>
      <w:r w:rsidRPr="007E1D7F">
        <w:rPr>
          <w:rFonts w:ascii="Palatino Linotype" w:hAnsi="Palatino Linotype" w:cs="Tahoma"/>
        </w:rPr>
        <w:t xml:space="preserve">la presente Resolución al Titular de la Unidad de Transparencia del </w:t>
      </w:r>
      <w:r w:rsidRPr="007E1D7F">
        <w:rPr>
          <w:rFonts w:ascii="Palatino Linotype" w:hAnsi="Palatino Linotype" w:cs="Tahoma"/>
          <w:b/>
        </w:rPr>
        <w:t>Sujeto Obligado</w:t>
      </w:r>
      <w:r w:rsidRPr="007E1D7F">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7E1D7F">
        <w:rPr>
          <w:rFonts w:ascii="Palatino Linotype" w:eastAsia="Palatino Linotype" w:hAnsi="Palatino Linotype" w:cs="Palatino Linotype"/>
          <w:b/>
          <w:color w:val="000000"/>
          <w:lang w:val="es-ES_tradnl" w:eastAsia="es-MX"/>
        </w:rPr>
        <w:t xml:space="preserve">se le apercibe que en caso de negarse a cumplir la presente resolución o hacerlo de manera parcial, se le impondrá una medida de apremio de conformidad con lo previsto en los artículos 198, 200, </w:t>
      </w:r>
      <w:r w:rsidRPr="007E1D7F">
        <w:rPr>
          <w:rFonts w:ascii="Palatino Linotype" w:eastAsia="Palatino Linotype" w:hAnsi="Palatino Linotype" w:cs="Palatino Linotype"/>
          <w:b/>
          <w:color w:val="000000"/>
          <w:lang w:val="es-ES_tradnl" w:eastAsia="es-MX"/>
        </w:rPr>
        <w:lastRenderedPageBreak/>
        <w:t>fracción III; 214, 215 y 216 de la Ley  de Transparencia y Acceso a la Información Pública del Estado de México y Municipios.</w:t>
      </w:r>
    </w:p>
    <w:p w:rsidR="00584A45" w:rsidRPr="007E1D7F" w:rsidRDefault="00584A45" w:rsidP="00584A45">
      <w:pPr>
        <w:spacing w:line="360" w:lineRule="auto"/>
        <w:ind w:right="-595"/>
        <w:jc w:val="both"/>
        <w:rPr>
          <w:rFonts w:ascii="Palatino Linotype" w:hAnsi="Palatino Linotype" w:cs="Tahoma"/>
          <w:bCs/>
          <w:sz w:val="12"/>
        </w:rPr>
      </w:pPr>
    </w:p>
    <w:p w:rsidR="00584A45" w:rsidRPr="007E1D7F" w:rsidRDefault="00584A45" w:rsidP="00584A45">
      <w:pPr>
        <w:autoSpaceDE w:val="0"/>
        <w:autoSpaceDN w:val="0"/>
        <w:adjustRightInd w:val="0"/>
        <w:spacing w:line="360" w:lineRule="auto"/>
        <w:jc w:val="both"/>
        <w:rPr>
          <w:rFonts w:ascii="Palatino Linotype" w:hAnsi="Palatino Linotype" w:cs="Arial"/>
        </w:rPr>
      </w:pPr>
      <w:r w:rsidRPr="007E1D7F">
        <w:rPr>
          <w:rFonts w:ascii="Palatino Linotype" w:hAnsi="Palatino Linotype" w:cs="Arial"/>
          <w:b/>
          <w:sz w:val="28"/>
          <w:szCs w:val="28"/>
        </w:rPr>
        <w:t>CUARTO.</w:t>
      </w:r>
      <w:r w:rsidRPr="007E1D7F">
        <w:rPr>
          <w:rFonts w:ascii="Palatino Linotype" w:hAnsi="Palatino Linotype" w:cs="Arial"/>
          <w:b/>
        </w:rPr>
        <w:t xml:space="preserve"> </w:t>
      </w:r>
      <w:r w:rsidRPr="007E1D7F">
        <w:rPr>
          <w:rFonts w:ascii="Palatino Linotype" w:hAnsi="Palatino Linotype" w:cs="Arial"/>
        </w:rPr>
        <w:t xml:space="preserve">De conformidad con el artículo 198 de la Ley de Transparencia y Acceso a la Información Pública del Estado de México y Municipios, de considerarlo procedente, el </w:t>
      </w:r>
      <w:r w:rsidRPr="007E1D7F">
        <w:rPr>
          <w:rFonts w:ascii="Palatino Linotype" w:hAnsi="Palatino Linotype" w:cs="Arial"/>
          <w:b/>
        </w:rPr>
        <w:t>Sujeto Obligado</w:t>
      </w:r>
      <w:r w:rsidRPr="007E1D7F">
        <w:rPr>
          <w:rFonts w:ascii="Palatino Linotype" w:hAnsi="Palatino Linotype" w:cs="Arial"/>
        </w:rPr>
        <w:t xml:space="preserve"> de manera fundada y motivada, podrá solicitar una ampliación de plazo para el cumplimiento de la presente resolución.</w:t>
      </w:r>
    </w:p>
    <w:p w:rsidR="00584A45" w:rsidRPr="007E1D7F" w:rsidRDefault="00584A45" w:rsidP="00584A45">
      <w:pPr>
        <w:autoSpaceDE w:val="0"/>
        <w:autoSpaceDN w:val="0"/>
        <w:adjustRightInd w:val="0"/>
        <w:spacing w:line="360" w:lineRule="auto"/>
        <w:jc w:val="both"/>
        <w:rPr>
          <w:rFonts w:ascii="Palatino Linotype" w:hAnsi="Palatino Linotype" w:cs="Arial"/>
          <w:sz w:val="14"/>
        </w:rPr>
      </w:pPr>
    </w:p>
    <w:p w:rsidR="00584A45" w:rsidRPr="007E1D7F" w:rsidRDefault="00584A45" w:rsidP="00584A45">
      <w:pPr>
        <w:autoSpaceDE w:val="0"/>
        <w:autoSpaceDN w:val="0"/>
        <w:adjustRightInd w:val="0"/>
        <w:spacing w:line="360" w:lineRule="auto"/>
        <w:jc w:val="both"/>
        <w:rPr>
          <w:rFonts w:ascii="Palatino Linotype" w:hAnsi="Palatino Linotype" w:cs="Arial"/>
        </w:rPr>
      </w:pPr>
      <w:r w:rsidRPr="007E1D7F">
        <w:rPr>
          <w:rFonts w:ascii="Palatino Linotype" w:hAnsi="Palatino Linotype"/>
          <w:b/>
          <w:sz w:val="28"/>
          <w:szCs w:val="28"/>
        </w:rPr>
        <w:t>QUINTO</w:t>
      </w:r>
      <w:r w:rsidRPr="007E1D7F">
        <w:rPr>
          <w:rFonts w:ascii="Palatino Linotype" w:hAnsi="Palatino Linotype"/>
          <w:b/>
        </w:rPr>
        <w:t xml:space="preserve">. </w:t>
      </w:r>
      <w:r w:rsidRPr="007E1D7F">
        <w:rPr>
          <w:rFonts w:ascii="Palatino Linotype" w:hAnsi="Palatino Linotype" w:cs="Arial"/>
          <w:b/>
        </w:rPr>
        <w:t>NOTIFÍQUESE</w:t>
      </w:r>
      <w:r w:rsidRPr="007E1D7F">
        <w:rPr>
          <w:rFonts w:ascii="Palatino Linotype" w:hAnsi="Palatino Linotype" w:cs="Arial"/>
        </w:rPr>
        <w:t xml:space="preserve"> a través del Sistema de Acceso a la Información Mexiquense </w:t>
      </w:r>
      <w:r w:rsidRPr="007E1D7F">
        <w:rPr>
          <w:rFonts w:ascii="Palatino Linotype" w:hAnsi="Palatino Linotype" w:cs="Arial"/>
          <w:b/>
        </w:rPr>
        <w:t>(SAIMEX)</w:t>
      </w:r>
      <w:r w:rsidRPr="007E1D7F">
        <w:rPr>
          <w:rFonts w:ascii="Palatino Linotype" w:hAnsi="Palatino Linotype" w:cs="Arial"/>
        </w:rPr>
        <w:t xml:space="preserve">, al </w:t>
      </w:r>
      <w:r w:rsidRPr="007E1D7F">
        <w:rPr>
          <w:rFonts w:ascii="Palatino Linotype" w:hAnsi="Palatino Linotype" w:cs="Arial"/>
          <w:b/>
        </w:rPr>
        <w:t>Recurrente</w:t>
      </w:r>
      <w:r w:rsidRPr="007E1D7F">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584A45" w:rsidRPr="007E1D7F" w:rsidRDefault="00584A45" w:rsidP="00584A45">
      <w:pPr>
        <w:spacing w:line="360" w:lineRule="auto"/>
        <w:jc w:val="both"/>
        <w:rPr>
          <w:rFonts w:ascii="Palatino Linotype" w:hAnsi="Palatino Linotype" w:cs="Arial"/>
          <w:sz w:val="14"/>
        </w:rPr>
      </w:pPr>
    </w:p>
    <w:p w:rsidR="00584A45" w:rsidRPr="007E1D7F" w:rsidRDefault="007E1D7F" w:rsidP="00584A45">
      <w:pPr>
        <w:spacing w:line="360" w:lineRule="auto"/>
        <w:jc w:val="both"/>
        <w:rPr>
          <w:rFonts w:ascii="Palatino Linotype" w:hAnsi="Palatino Linotype" w:cs="Arial"/>
        </w:rPr>
      </w:pPr>
      <w:r w:rsidRPr="007E1D7F">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584A45" w:rsidRPr="007E1D7F">
        <w:rPr>
          <w:rFonts w:ascii="Palatino Linotype" w:hAnsi="Palatino Linotype" w:cs="Arial"/>
        </w:rPr>
        <w:t>. --------------------------------------------------------------------------------------------------------------------------------------------------------------------------------------------------------------------</w:t>
      </w:r>
    </w:p>
    <w:p w:rsidR="00584A45" w:rsidRDefault="00584A45" w:rsidP="00584A45">
      <w:pPr>
        <w:spacing w:line="360" w:lineRule="auto"/>
        <w:jc w:val="both"/>
        <w:rPr>
          <w:rFonts w:ascii="Palatino Linotype" w:hAnsi="Palatino Linotype" w:cs="Arial"/>
          <w:sz w:val="16"/>
        </w:rPr>
      </w:pPr>
      <w:r w:rsidRPr="007E1D7F">
        <w:rPr>
          <w:rFonts w:ascii="Palatino Linotype" w:hAnsi="Palatino Linotype" w:cs="Arial"/>
          <w:sz w:val="16"/>
        </w:rPr>
        <w:t>JMV/CCR/LMST</w:t>
      </w:r>
    </w:p>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584A45" w:rsidRDefault="00584A45" w:rsidP="00584A45"/>
    <w:p w:rsidR="009B1F19" w:rsidRDefault="009B1F19"/>
    <w:sectPr w:rsidR="009B1F19" w:rsidSect="00B51D2D">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4CD" w:rsidRDefault="00D214CD" w:rsidP="00584A45">
      <w:r>
        <w:separator/>
      </w:r>
    </w:p>
  </w:endnote>
  <w:endnote w:type="continuationSeparator" w:id="0">
    <w:p w:rsidR="00D214CD" w:rsidRDefault="00D214CD" w:rsidP="00584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DA1" w:rsidRPr="00A2780F" w:rsidRDefault="00585DA1" w:rsidP="00B51D2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4005E7">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4005E7">
      <w:rPr>
        <w:rFonts w:ascii="Arial" w:hAnsi="Arial" w:cs="Arial"/>
        <w:b/>
        <w:bCs/>
        <w:noProof/>
        <w:sz w:val="20"/>
        <w:szCs w:val="20"/>
      </w:rPr>
      <w:t>33</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DA1" w:rsidRPr="00070856" w:rsidRDefault="00585DA1" w:rsidP="00B51D2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4005E7">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4005E7">
      <w:rPr>
        <w:rFonts w:ascii="Arial" w:hAnsi="Arial" w:cs="Arial"/>
        <w:b/>
        <w:bCs/>
        <w:noProof/>
        <w:sz w:val="20"/>
        <w:szCs w:val="20"/>
      </w:rPr>
      <w:t>33</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4CD" w:rsidRDefault="00D214CD" w:rsidP="00584A45">
      <w:r>
        <w:separator/>
      </w:r>
    </w:p>
  </w:footnote>
  <w:footnote w:type="continuationSeparator" w:id="0">
    <w:p w:rsidR="00D214CD" w:rsidRDefault="00D214CD" w:rsidP="00584A45">
      <w:r>
        <w:continuationSeparator/>
      </w:r>
    </w:p>
  </w:footnote>
  <w:footnote w:id="1">
    <w:p w:rsidR="00585DA1" w:rsidRPr="005552A8" w:rsidRDefault="00585DA1" w:rsidP="00584A45">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585DA1" w:rsidRPr="005552A8" w:rsidRDefault="00585DA1" w:rsidP="00584A45">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585DA1" w:rsidRPr="008F2CCC" w:rsidTr="00B51D2D">
      <w:tc>
        <w:tcPr>
          <w:tcW w:w="3620" w:type="dxa"/>
          <w:shd w:val="clear" w:color="auto" w:fill="auto"/>
        </w:tcPr>
        <w:p w:rsidR="00585DA1" w:rsidRPr="007E5FC4" w:rsidRDefault="00585DA1" w:rsidP="00B51D2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585DA1" w:rsidRPr="00664658" w:rsidRDefault="00585DA1" w:rsidP="00584A4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014085/INFOEM/IP/RR/2025</w:t>
          </w:r>
        </w:p>
      </w:tc>
    </w:tr>
    <w:tr w:rsidR="00585DA1" w:rsidRPr="008F2CCC" w:rsidTr="00B51D2D">
      <w:tc>
        <w:tcPr>
          <w:tcW w:w="3620" w:type="dxa"/>
          <w:shd w:val="clear" w:color="auto" w:fill="auto"/>
        </w:tcPr>
        <w:p w:rsidR="00585DA1" w:rsidRPr="007E5FC4" w:rsidRDefault="00585DA1" w:rsidP="00B51D2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585DA1" w:rsidRPr="00664658" w:rsidRDefault="00585DA1" w:rsidP="00B51D2D">
          <w:pPr>
            <w:spacing w:line="276" w:lineRule="auto"/>
            <w:jc w:val="right"/>
            <w:rPr>
              <w:rFonts w:ascii="Palatino Linotype" w:hAnsi="Palatino Linotype"/>
              <w:b/>
              <w:sz w:val="22"/>
              <w:szCs w:val="22"/>
              <w:lang w:val="es-ES_tradnl"/>
            </w:rPr>
          </w:pPr>
          <w:r w:rsidRPr="00584A45">
            <w:rPr>
              <w:rFonts w:ascii="Palatino Linotype" w:hAnsi="Palatino Linotype"/>
              <w:b/>
            </w:rPr>
            <w:t>Ayuntamiento de Texcoco</w:t>
          </w:r>
        </w:p>
      </w:tc>
    </w:tr>
    <w:tr w:rsidR="00585DA1" w:rsidRPr="008F2CCC" w:rsidTr="00B51D2D">
      <w:trPr>
        <w:trHeight w:val="228"/>
      </w:trPr>
      <w:tc>
        <w:tcPr>
          <w:tcW w:w="3620" w:type="dxa"/>
          <w:shd w:val="clear" w:color="auto" w:fill="auto"/>
        </w:tcPr>
        <w:p w:rsidR="00585DA1" w:rsidRPr="007E5FC4" w:rsidRDefault="00585DA1" w:rsidP="00B51D2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585DA1" w:rsidRPr="00664658" w:rsidRDefault="00585DA1" w:rsidP="00B51D2D">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585DA1" w:rsidRDefault="00585DA1" w:rsidP="00B51D2D">
    <w:pPr>
      <w:pStyle w:val="Encabezado"/>
      <w:tabs>
        <w:tab w:val="clear" w:pos="4252"/>
        <w:tab w:val="clear" w:pos="8504"/>
        <w:tab w:val="left" w:pos="2326"/>
      </w:tabs>
      <w:rPr>
        <w:rFonts w:ascii="Palatino Linotype" w:hAnsi="Palatino Linotype"/>
        <w:sz w:val="20"/>
      </w:rPr>
    </w:pPr>
  </w:p>
  <w:p w:rsidR="00585DA1" w:rsidRPr="001779E0" w:rsidRDefault="00585DA1" w:rsidP="00B51D2D">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13CEB8A3" wp14:editId="7C8E13E3">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585DA1" w:rsidRPr="008F2CCC" w:rsidTr="00B51D2D">
      <w:tc>
        <w:tcPr>
          <w:tcW w:w="2977" w:type="dxa"/>
          <w:shd w:val="clear" w:color="auto" w:fill="auto"/>
        </w:tcPr>
        <w:p w:rsidR="00585DA1" w:rsidRPr="007E5FC4" w:rsidRDefault="00585DA1" w:rsidP="00B51D2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585DA1" w:rsidRPr="008F2CCC" w:rsidRDefault="00585DA1" w:rsidP="00584A4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014085/INFOEM/IP/RR/2025</w:t>
          </w:r>
        </w:p>
      </w:tc>
    </w:tr>
    <w:tr w:rsidR="00585DA1" w:rsidRPr="008F2CCC" w:rsidTr="00B51D2D">
      <w:tc>
        <w:tcPr>
          <w:tcW w:w="2977" w:type="dxa"/>
          <w:shd w:val="clear" w:color="auto" w:fill="auto"/>
          <w:vAlign w:val="center"/>
        </w:tcPr>
        <w:p w:rsidR="00585DA1" w:rsidRPr="007E5FC4" w:rsidRDefault="00585DA1" w:rsidP="00B51D2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585DA1" w:rsidRPr="008F2CCC" w:rsidRDefault="004005E7" w:rsidP="00B51D2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585DA1" w:rsidRPr="008F2CCC" w:rsidTr="00B51D2D">
      <w:trPr>
        <w:trHeight w:val="228"/>
      </w:trPr>
      <w:tc>
        <w:tcPr>
          <w:tcW w:w="2977" w:type="dxa"/>
          <w:shd w:val="clear" w:color="auto" w:fill="auto"/>
        </w:tcPr>
        <w:p w:rsidR="00585DA1" w:rsidRPr="007E5FC4" w:rsidRDefault="00585DA1" w:rsidP="00B51D2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585DA1" w:rsidRPr="00DC41C8" w:rsidRDefault="00585DA1" w:rsidP="00B51D2D">
          <w:pPr>
            <w:spacing w:line="360" w:lineRule="auto"/>
            <w:jc w:val="right"/>
            <w:rPr>
              <w:rFonts w:ascii="Palatino Linotype" w:hAnsi="Palatino Linotype"/>
              <w:b/>
              <w:sz w:val="22"/>
              <w:szCs w:val="22"/>
            </w:rPr>
          </w:pPr>
          <w:r w:rsidRPr="00584A45">
            <w:rPr>
              <w:rFonts w:ascii="Palatino Linotype" w:hAnsi="Palatino Linotype"/>
              <w:b/>
              <w:sz w:val="22"/>
              <w:szCs w:val="22"/>
            </w:rPr>
            <w:t>Ayuntamiento de Texcoco</w:t>
          </w:r>
        </w:p>
      </w:tc>
    </w:tr>
    <w:tr w:rsidR="00585DA1" w:rsidRPr="008F2CCC" w:rsidTr="00B51D2D">
      <w:tc>
        <w:tcPr>
          <w:tcW w:w="2977" w:type="dxa"/>
          <w:shd w:val="clear" w:color="auto" w:fill="auto"/>
        </w:tcPr>
        <w:p w:rsidR="00585DA1" w:rsidRPr="007E5FC4" w:rsidRDefault="00585DA1" w:rsidP="00B51D2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585DA1" w:rsidRPr="008F2CCC" w:rsidRDefault="00585DA1" w:rsidP="00B51D2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585DA1" w:rsidRPr="009F1AB6" w:rsidRDefault="00585DA1">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719DE106" wp14:editId="50CEA33B">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713E"/>
    <w:multiLevelType w:val="hybridMultilevel"/>
    <w:tmpl w:val="6048439C"/>
    <w:lvl w:ilvl="0" w:tplc="0706D0A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3660E7A"/>
    <w:multiLevelType w:val="hybridMultilevel"/>
    <w:tmpl w:val="22DA70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15119B"/>
    <w:multiLevelType w:val="hybridMultilevel"/>
    <w:tmpl w:val="C4CA2494"/>
    <w:lvl w:ilvl="0" w:tplc="B072B2BE">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3DA4BED"/>
    <w:multiLevelType w:val="hybridMultilevel"/>
    <w:tmpl w:val="BD8A127E"/>
    <w:lvl w:ilvl="0" w:tplc="34F874D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2C2F523E"/>
    <w:multiLevelType w:val="hybridMultilevel"/>
    <w:tmpl w:val="FE6C17A0"/>
    <w:lvl w:ilvl="0" w:tplc="B3E4D56A">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B5C046D"/>
    <w:multiLevelType w:val="hybridMultilevel"/>
    <w:tmpl w:val="C98ED1F8"/>
    <w:lvl w:ilvl="0" w:tplc="AAE211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0" w15:restartNumberingAfterBreak="0">
    <w:nsid w:val="487C107F"/>
    <w:multiLevelType w:val="hybridMultilevel"/>
    <w:tmpl w:val="25801BE8"/>
    <w:lvl w:ilvl="0" w:tplc="B1F6D23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51E91BF7"/>
    <w:multiLevelType w:val="hybridMultilevel"/>
    <w:tmpl w:val="C310CB44"/>
    <w:lvl w:ilvl="0" w:tplc="2C9E1FD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2" w15:restartNumberingAfterBreak="0">
    <w:nsid w:val="57DB33B7"/>
    <w:multiLevelType w:val="hybridMultilevel"/>
    <w:tmpl w:val="EDF688E0"/>
    <w:lvl w:ilvl="0" w:tplc="577CC25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3" w15:restartNumberingAfterBreak="0">
    <w:nsid w:val="58395699"/>
    <w:multiLevelType w:val="hybridMultilevel"/>
    <w:tmpl w:val="9AB6BADE"/>
    <w:lvl w:ilvl="0" w:tplc="D7E874C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4" w15:restartNumberingAfterBreak="0">
    <w:nsid w:val="62687453"/>
    <w:multiLevelType w:val="hybridMultilevel"/>
    <w:tmpl w:val="4546DC04"/>
    <w:lvl w:ilvl="0" w:tplc="B802DC7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5" w15:restartNumberingAfterBreak="0">
    <w:nsid w:val="68E72752"/>
    <w:multiLevelType w:val="hybridMultilevel"/>
    <w:tmpl w:val="3D206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68F29BE"/>
    <w:multiLevelType w:val="hybridMultilevel"/>
    <w:tmpl w:val="2B50E818"/>
    <w:lvl w:ilvl="0" w:tplc="6C64B1A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7"/>
  </w:num>
  <w:num w:numId="2">
    <w:abstractNumId w:val="2"/>
  </w:num>
  <w:num w:numId="3">
    <w:abstractNumId w:val="5"/>
  </w:num>
  <w:num w:numId="4">
    <w:abstractNumId w:val="8"/>
  </w:num>
  <w:num w:numId="5">
    <w:abstractNumId w:val="1"/>
  </w:num>
  <w:num w:numId="6">
    <w:abstractNumId w:val="16"/>
  </w:num>
  <w:num w:numId="7">
    <w:abstractNumId w:val="14"/>
  </w:num>
  <w:num w:numId="8">
    <w:abstractNumId w:val="10"/>
  </w:num>
  <w:num w:numId="9">
    <w:abstractNumId w:val="4"/>
  </w:num>
  <w:num w:numId="10">
    <w:abstractNumId w:val="3"/>
  </w:num>
  <w:num w:numId="11">
    <w:abstractNumId w:val="13"/>
  </w:num>
  <w:num w:numId="12">
    <w:abstractNumId w:val="11"/>
  </w:num>
  <w:num w:numId="13">
    <w:abstractNumId w:val="12"/>
  </w:num>
  <w:num w:numId="14">
    <w:abstractNumId w:val="6"/>
  </w:num>
  <w:num w:numId="15">
    <w:abstractNumId w:val="17"/>
  </w:num>
  <w:num w:numId="16">
    <w:abstractNumId w:val="15"/>
  </w:num>
  <w:num w:numId="17">
    <w:abstractNumId w:val="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A45"/>
    <w:rsid w:val="000D6D01"/>
    <w:rsid w:val="000E5523"/>
    <w:rsid w:val="00117363"/>
    <w:rsid w:val="001310FA"/>
    <w:rsid w:val="001A3517"/>
    <w:rsid w:val="00244301"/>
    <w:rsid w:val="00262438"/>
    <w:rsid w:val="00272607"/>
    <w:rsid w:val="002E0C7D"/>
    <w:rsid w:val="003703BD"/>
    <w:rsid w:val="004005E7"/>
    <w:rsid w:val="00440CE1"/>
    <w:rsid w:val="004B190E"/>
    <w:rsid w:val="004D1AF7"/>
    <w:rsid w:val="004F65C7"/>
    <w:rsid w:val="00584A45"/>
    <w:rsid w:val="00585DA1"/>
    <w:rsid w:val="005F45E7"/>
    <w:rsid w:val="006116EE"/>
    <w:rsid w:val="006146B9"/>
    <w:rsid w:val="007E1D7F"/>
    <w:rsid w:val="00816271"/>
    <w:rsid w:val="00962867"/>
    <w:rsid w:val="009B1F19"/>
    <w:rsid w:val="00A50CB1"/>
    <w:rsid w:val="00A63548"/>
    <w:rsid w:val="00A91A90"/>
    <w:rsid w:val="00B51D2D"/>
    <w:rsid w:val="00B91AA8"/>
    <w:rsid w:val="00BB5B33"/>
    <w:rsid w:val="00BC6EA8"/>
    <w:rsid w:val="00C761C2"/>
    <w:rsid w:val="00D0501F"/>
    <w:rsid w:val="00D214CD"/>
    <w:rsid w:val="00DD3CD8"/>
    <w:rsid w:val="00F849E8"/>
    <w:rsid w:val="00FA47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95F691-7897-45CB-9656-A3C6C9695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A45"/>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4A4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84A45"/>
    <w:rPr>
      <w:rFonts w:eastAsiaTheme="minorEastAsia"/>
      <w:sz w:val="24"/>
      <w:szCs w:val="24"/>
      <w:lang w:val="es-ES_tradnl" w:eastAsia="es-ES"/>
    </w:rPr>
  </w:style>
  <w:style w:type="paragraph" w:styleId="Piedepgina">
    <w:name w:val="footer"/>
    <w:basedOn w:val="Normal"/>
    <w:link w:val="PiedepginaCar"/>
    <w:uiPriority w:val="99"/>
    <w:unhideWhenUsed/>
    <w:rsid w:val="00584A4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84A4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84A4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84A45"/>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584A45"/>
    <w:pPr>
      <w:spacing w:after="0" w:line="240" w:lineRule="auto"/>
    </w:pPr>
  </w:style>
  <w:style w:type="character" w:customStyle="1" w:styleId="SinespaciadoCar">
    <w:name w:val="Sin espaciado Car"/>
    <w:aliases w:val="Francesa Car,INAI Car"/>
    <w:link w:val="Sinespaciado"/>
    <w:uiPriority w:val="1"/>
    <w:locked/>
    <w:rsid w:val="00584A45"/>
  </w:style>
  <w:style w:type="character" w:styleId="Hipervnculo">
    <w:name w:val="Hyperlink"/>
    <w:aliases w:val="Hipervínculo1,Hipervínculo11,Hipervínculo12,Hipervínculo13,Hipervínculo14,Hipervínculo15"/>
    <w:basedOn w:val="Fuentedeprrafopredeter"/>
    <w:uiPriority w:val="99"/>
    <w:unhideWhenUsed/>
    <w:rsid w:val="00584A45"/>
    <w:rPr>
      <w:color w:val="0563C1" w:themeColor="hyperlink"/>
      <w:u w:val="single"/>
    </w:rPr>
  </w:style>
  <w:style w:type="paragraph" w:customStyle="1" w:styleId="INFOEM">
    <w:name w:val="INFOEM"/>
    <w:basedOn w:val="Normal"/>
    <w:qFormat/>
    <w:rsid w:val="00584A45"/>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584A45"/>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84A45"/>
    <w:rPr>
      <w:vertAlign w:val="superscript"/>
    </w:rPr>
  </w:style>
  <w:style w:type="paragraph" w:customStyle="1" w:styleId="infoemcitas">
    <w:name w:val="infoem citas"/>
    <w:basedOn w:val="Normal"/>
    <w:qFormat/>
    <w:rsid w:val="00584A45"/>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584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584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584A45"/>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33</Pages>
  <Words>7426</Words>
  <Characters>40844</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cp:revision>
  <cp:lastPrinted>2026-06-12T18:37:00Z</cp:lastPrinted>
  <dcterms:created xsi:type="dcterms:W3CDTF">2026-05-28T21:18:00Z</dcterms:created>
  <dcterms:modified xsi:type="dcterms:W3CDTF">2026-06-16T15:52:00Z</dcterms:modified>
</cp:coreProperties>
</file>