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085" w:rsidRDefault="00507C28">
      <w:pPr>
        <w:spacing w:line="360" w:lineRule="auto"/>
        <w:ind w:right="-702"/>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7802DA">
        <w:rPr>
          <w:rFonts w:ascii="Palatino Linotype" w:eastAsia="Palatino Linotype" w:hAnsi="Palatino Linotype" w:cs="Palatino Linotype"/>
          <w:b/>
          <w:bCs/>
        </w:rPr>
        <w:t>fecha veintisiete</w:t>
      </w:r>
      <w:r w:rsidR="00D521AD">
        <w:rPr>
          <w:rFonts w:ascii="Palatino Linotype" w:eastAsia="Palatino Linotype" w:hAnsi="Palatino Linotype" w:cs="Palatino Linotype"/>
          <w:b/>
          <w:bCs/>
        </w:rPr>
        <w:t xml:space="preserve"> (27)</w:t>
      </w:r>
      <w:r w:rsidR="007802DA">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spacing w:line="360" w:lineRule="auto"/>
        <w:ind w:right="-702"/>
        <w:jc w:val="both"/>
        <w:rPr>
          <w:rFonts w:ascii="Palatino Linotype" w:eastAsia="Palatino Linotype" w:hAnsi="Palatino Linotype" w:cs="Palatino Linotype"/>
          <w:b/>
          <w:bCs/>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02388/INFOEM/IP/RR/2026, </w:t>
      </w:r>
      <w:r>
        <w:rPr>
          <w:rFonts w:ascii="Palatino Linotype" w:eastAsia="Palatino Linotype" w:hAnsi="Palatino Linotype" w:cs="Palatino Linotype"/>
        </w:rPr>
        <w:t xml:space="preserve">promovido por </w:t>
      </w:r>
      <w:r w:rsidR="001F43A5">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en lo sucesivo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Organismo Público Descentralizado de Agua Potable Alcantarillado y Saneamiento de Chimalhuacán,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keepNext/>
        <w:keepLines/>
        <w:spacing w:line="360" w:lineRule="auto"/>
        <w:ind w:right="-702"/>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4E5085" w:rsidRDefault="004E5085">
      <w:pPr>
        <w:spacing w:line="360" w:lineRule="auto"/>
        <w:ind w:right="-702"/>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enero de dos mil veintiséis</w:t>
      </w:r>
      <w:r>
        <w:rPr>
          <w:rFonts w:ascii="Palatino Linotype" w:eastAsia="Palatino Linotype" w:hAnsi="Palatino Linotype" w:cs="Palatino Linotype"/>
        </w:rPr>
        <w:t>, la</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 </w:t>
      </w:r>
      <w:r>
        <w:rPr>
          <w:rFonts w:ascii="Palatino Linotype" w:eastAsia="Palatino Linotype" w:hAnsi="Palatino Linotype" w:cs="Palatino Linotype"/>
          <w:b/>
          <w:bCs/>
        </w:rPr>
        <w:t>00005/OASCHIMAL/IP/2026</w:t>
      </w:r>
      <w:r>
        <w:rPr>
          <w:rFonts w:ascii="Palatino Linotype" w:eastAsia="Palatino Linotype" w:hAnsi="Palatino Linotype" w:cs="Palatino Linotype"/>
        </w:rPr>
        <w:t>, en la que solicitó:</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formalmente la siguiente información referente al ODAPAS Chimalhuacán:​Movimientos de personal: </w:t>
      </w:r>
      <w:r>
        <w:rPr>
          <w:rFonts w:ascii="Palatino Linotype" w:eastAsia="Palatino Linotype" w:hAnsi="Palatino Linotype" w:cs="Palatino Linotype"/>
          <w:i/>
          <w:iCs/>
          <w:color w:val="000000"/>
          <w:u w:val="single"/>
        </w:rPr>
        <w:t>Reporte detallado de las altas y bajas del personal adscrito, correspondientes al periodo comprendido del 01 al 20 de enero de 2026.​Estructura Orgánica 2026: Organigrama actualizado que desglose direcciones, áreas, departamentos y jefaturas.​Plantilla de Personal: Relación de los servidores públicos adscritos a dichas unidades administrativas, especificando para cada uno:​Nombre completo.​Cargo o nombramiento.​Grado de escolaridad y/o número de cédula profesional.​Remuneración mensual bruta y neta (sueldo)</w:t>
      </w:r>
      <w:r>
        <w:rPr>
          <w:rFonts w:ascii="Palatino Linotype" w:eastAsia="Palatino Linotype" w:hAnsi="Palatino Linotype" w:cs="Palatino Linotype"/>
          <w:i/>
          <w:iCs/>
          <w:color w:val="000000"/>
        </w:rPr>
        <w:t xml:space="preserve">. "Lo anterior, con fundamento en la Ley de Transparencia y Acceso a la Información Pública vigente". Formato de entrega: PDF.” (Sic) </w:t>
      </w:r>
    </w:p>
    <w:p w:rsidR="004E5085" w:rsidRDefault="004E5085">
      <w:pPr>
        <w:pBdr>
          <w:top w:val="nil"/>
          <w:left w:val="nil"/>
          <w:bottom w:val="nil"/>
          <w:right w:val="nil"/>
          <w:between w:val="nil"/>
        </w:pBdr>
        <w:spacing w:line="360" w:lineRule="auto"/>
        <w:ind w:right="-702"/>
        <w:jc w:val="both"/>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lastRenderedPageBreak/>
        <w:t xml:space="preserve">Se hace constar que se señaló como modalidad de entrega de la información a través del </w:t>
      </w:r>
      <w:r>
        <w:rPr>
          <w:rFonts w:ascii="Palatino Linotype" w:eastAsia="Palatino Linotype" w:hAnsi="Palatino Linotype" w:cs="Palatino Linotype"/>
          <w:b/>
          <w:bCs/>
        </w:rPr>
        <w:t>SAIMEX.</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en los siguientes términos:</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ind w:left="567" w:right="-70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respuesta a la solicitud recibida, nos permitimos hacer de su conocimiento que con fundamento en el artículo 53, Fracciones: II, V y VI de la Ley de Transparencia y Acceso a la Información Pública del Estado de México y Municipios, le contestamos que:” (Sic) </w:t>
      </w:r>
    </w:p>
    <w:p w:rsidR="004E5085" w:rsidRDefault="004E5085">
      <w:pPr>
        <w:spacing w:line="360" w:lineRule="auto"/>
        <w:ind w:right="-702"/>
        <w:jc w:val="both"/>
        <w:rPr>
          <w:rFonts w:ascii="Palatino Linotype" w:eastAsia="Palatino Linotype" w:hAnsi="Palatino Linotype" w:cs="Palatino Linotype"/>
          <w:i/>
          <w:iCs/>
          <w:color w:val="000000"/>
        </w:rPr>
      </w:pPr>
    </w:p>
    <w:p w:rsidR="004E5085" w:rsidRDefault="00507C28">
      <w:pPr>
        <w:spacing w:line="360" w:lineRule="auto"/>
        <w:ind w:right="-702"/>
        <w:jc w:val="both"/>
        <w:rPr>
          <w:rFonts w:ascii="Palatino Linotype" w:eastAsia="Palatino Linotype" w:hAnsi="Palatino Linotype" w:cs="Palatino Linotype"/>
        </w:rPr>
      </w:pPr>
      <w:r>
        <w:rPr>
          <w:rFonts w:ascii="Palatino Linotype" w:eastAsia="Palatino Linotype" w:hAnsi="Palatino Linotype" w:cs="Palatino Linotype"/>
        </w:rPr>
        <w:t>Respuesta a la que adjunto los archivos electrónicos siguientes:</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8">
        <w:r w:rsidR="00507C28">
          <w:rPr>
            <w:rFonts w:ascii="Palatino Linotype" w:eastAsia="Palatino Linotype" w:hAnsi="Palatino Linotype" w:cs="Palatino Linotype"/>
            <w:b/>
            <w:bCs/>
          </w:rPr>
          <w:t>ALTAS</w:t>
        </w:r>
      </w:hyperlink>
      <w:hyperlink r:id="rId9">
        <w:r w:rsidR="00507C28">
          <w:rPr>
            <w:rFonts w:ascii="Palatino Linotype" w:eastAsia="Palatino Linotype" w:hAnsi="Palatino Linotype" w:cs="Palatino Linotype"/>
            <w:b/>
            <w:bCs/>
            <w:color w:val="000000"/>
          </w:rPr>
          <w:t xml:space="preserve"> Y BAJAS 01-01-2026 AL 20-01-2026 2.pdf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 xml:space="preserve">Documento constante de una foja, del que se advierte el nombre completo, área de adscripción y categoría de los 12 servidores públicos dados de alta y de los 5 servidores públicos dados de baja </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10">
        <w:r w:rsidR="00507C28">
          <w:rPr>
            <w:rFonts w:ascii="Palatino Linotype" w:eastAsia="Palatino Linotype" w:hAnsi="Palatino Linotype" w:cs="Palatino Linotype"/>
            <w:b/>
            <w:bCs/>
            <w:color w:val="000000"/>
          </w:rPr>
          <w:t>ORGANIGRAMA.pdf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Archivo que contiene el Organigrama del Organismo Descentralizado de Agua Potable, Alcantarillado y Saneamiento de Chimalhuacán de fecha 07 de mayo de 2024.</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11">
        <w:r w:rsidR="00507C28">
          <w:rPr>
            <w:rFonts w:ascii="Palatino Linotype" w:eastAsia="Palatino Linotype" w:hAnsi="Palatino Linotype" w:cs="Palatino Linotype"/>
            <w:b/>
            <w:bCs/>
            <w:color w:val="000000"/>
          </w:rPr>
          <w:t>00057 UTOFICIO ENVIADO 2025.pdf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Oficio UT/ODAPAS/0057/2026 de fecha doce de febrero de dos mil veintiséis, suscrito por el titular de la Unidad de Transparencia, mediante el cual remite las respuestas emitidas por las unidades Administrativas competentes.</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12">
        <w:r w:rsidR="00507C28">
          <w:rPr>
            <w:rFonts w:ascii="Palatino Linotype" w:eastAsia="Palatino Linotype" w:hAnsi="Palatino Linotype" w:cs="Palatino Linotype"/>
            <w:b/>
            <w:bCs/>
            <w:color w:val="000000"/>
          </w:rPr>
          <w:t>PLANTILLA PERSONAL TRANSPARENCIA 2.pdf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 xml:space="preserve">Archivo constante de 12 páginas que contiene el nombre completo, Puesto; Remuneración Mensual Bruta y Neta; así como </w:t>
      </w:r>
      <w:r w:rsidR="00507C28">
        <w:rPr>
          <w:rFonts w:ascii="Palatino Linotype" w:eastAsia="Palatino Linotype" w:hAnsi="Palatino Linotype" w:cs="Palatino Linotype"/>
          <w:color w:val="000000"/>
        </w:rPr>
        <w:lastRenderedPageBreak/>
        <w:t>el Grado de estudios de 436 servidores públicos que laboran en el Organismo Público Descentralizado de Agua Potable y Alcantarillado de Chimalhuacán.</w:t>
      </w:r>
    </w:p>
    <w:p w:rsidR="004E5085" w:rsidRDefault="004E5085">
      <w:pPr>
        <w:pBdr>
          <w:top w:val="nil"/>
          <w:left w:val="nil"/>
          <w:bottom w:val="nil"/>
          <w:right w:val="nil"/>
          <w:between w:val="nil"/>
        </w:pBdr>
        <w:spacing w:line="360" w:lineRule="auto"/>
        <w:ind w:left="720" w:right="-702"/>
        <w:jc w:val="both"/>
        <w:rPr>
          <w:rFonts w:ascii="Palatino Linotype" w:eastAsia="Palatino Linotype" w:hAnsi="Palatino Linotype" w:cs="Palatino Linotype"/>
          <w:b/>
          <w:bCs/>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febrero de dos mil veintiséis</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como:</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1"/>
        </w:numPr>
        <w:spacing w:line="360" w:lineRule="auto"/>
        <w:ind w:right="-702"/>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sujeto obligado entregó información parcial que no cumple con el desglose solicitado y negó la existencia de documentos que son de carácter público y vigente.” (Sic)</w:t>
      </w:r>
    </w:p>
    <w:p w:rsidR="004E5085" w:rsidRDefault="004E5085">
      <w:pPr>
        <w:spacing w:line="360" w:lineRule="auto"/>
        <w:ind w:left="567" w:right="-702"/>
        <w:jc w:val="both"/>
        <w:rPr>
          <w:rFonts w:ascii="Palatino Linotype" w:eastAsia="Palatino Linotype" w:hAnsi="Palatino Linotype" w:cs="Palatino Linotype"/>
        </w:rPr>
      </w:pPr>
    </w:p>
    <w:p w:rsidR="004E5085" w:rsidRDefault="00507C28">
      <w:pPr>
        <w:numPr>
          <w:ilvl w:val="0"/>
          <w:numId w:val="8"/>
        </w:numPr>
        <w:spacing w:line="360" w:lineRule="auto"/>
        <w:ind w:right="-702"/>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Razones o Motivos de inconformidad: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“Falta de especificidad en la Plantilla de Personal: El sujeto obligado entregó una relación general de servidores públicos sin vincularlos a sus unidades administrativas correspondientes (áreas, direcciones o departamentos). Esto impide conocer la adscripción real del personal, lo cual es una obligación de transparencia.​Negativa del Organigrama Actualizado: ODAPAS alega inexistencia o falta de actualización del organigrama; sin embargo, el Bando Municipal 2026 de Chimalhuacán (publicado el 5 de febrero de 2026) ya establece la estructura orgánica vigente. Existe una incongruencia administrativa entre lo publicado oficialmente y lo respondido en transparencia.​Incumplimiento de las Obligaciones de Transparencia: De acuerdo con la Ley de Transparencia del Estado de México, el organigrama y la remuneración por puesto son información de oficio que debe estar disponible y actualizada de forma permanente.​"Solicito que se ordene a ODAPAS Chimalhuacán la entrega del organigrama detallado 2026 y que la plantilla de personal sea entregada con el desglose por área administrativa, especificando la adscripción de cada servidor público, tal como se pidió originalmente.” (Sic)</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4E5085" w:rsidRDefault="00507C28">
      <w:pPr>
        <w:numPr>
          <w:ilvl w:val="0"/>
          <w:numId w:val="2"/>
        </w:numPr>
        <w:spacing w:line="360" w:lineRule="auto"/>
        <w:ind w:left="0" w:right="-702" w:firstLine="0"/>
        <w:jc w:val="both"/>
        <w:rPr>
          <w:color w:val="000000"/>
        </w:rPr>
      </w:pPr>
      <w:r>
        <w:rPr>
          <w:rFonts w:ascii="Palatino Linotype" w:eastAsia="Palatino Linotype" w:hAnsi="Palatino Linotype" w:cs="Palatino Linotype"/>
        </w:rPr>
        <w:lastRenderedPageBreak/>
        <w:t xml:space="preserve">La Comisionada Ponente con fundamento en lo dispuesto por el artículo 185 fracción II de la ley de la materia, a través del </w:t>
      </w:r>
      <w:r>
        <w:rPr>
          <w:rFonts w:ascii="Palatino Linotype" w:eastAsia="Palatino Linotype" w:hAnsi="Palatino Linotype" w:cs="Palatino Linotype"/>
          <w:b/>
          <w:bCs/>
        </w:rPr>
        <w:t>acuerdo de admisión de fecha veintitrés de febrero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4E5085" w:rsidRDefault="004E5085">
      <w:pPr>
        <w:spacing w:line="360" w:lineRule="auto"/>
        <w:ind w:right="-702"/>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tres de marzo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del que se desprende lo siguiente:</w:t>
      </w:r>
    </w:p>
    <w:p w:rsidR="004E5085" w:rsidRDefault="00507C28">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w:t>
      </w:r>
      <w:hyperlink r:id="rId13">
        <w:r>
          <w:rPr>
            <w:rFonts w:ascii="Palatino Linotype" w:eastAsia="Palatino Linotype" w:hAnsi="Palatino Linotype" w:cs="Palatino Linotype"/>
            <w:b/>
            <w:bCs/>
            <w:color w:val="000000"/>
          </w:rPr>
          <w:t>amScanner 03-03-2026 14.10.pdf</w:t>
        </w:r>
      </w:hyperlink>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Oficio UT/ODAPAS/0065/2026 de fecha tres de marzo de dos mil veintiséis, signado por el titular de la </w:t>
      </w:r>
      <w:r>
        <w:rPr>
          <w:rFonts w:ascii="Palatino Linotype" w:eastAsia="Palatino Linotype" w:hAnsi="Palatino Linotype" w:cs="Palatino Linotype"/>
        </w:rPr>
        <w:t>Unidad</w:t>
      </w:r>
      <w:r>
        <w:rPr>
          <w:rFonts w:ascii="Palatino Linotype" w:eastAsia="Palatino Linotype" w:hAnsi="Palatino Linotype" w:cs="Palatino Linotype"/>
          <w:color w:val="000000"/>
        </w:rPr>
        <w:t xml:space="preserve"> de Transparencia, mediante el cual remite el informe justificado emitido por la titular del Departamento de Recursos Humanos. </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14">
        <w:r w:rsidR="00507C28">
          <w:rPr>
            <w:rFonts w:ascii="Palatino Linotype" w:eastAsia="Palatino Linotype" w:hAnsi="Palatino Linotype" w:cs="Palatino Linotype"/>
            <w:b/>
            <w:bCs/>
            <w:color w:val="000000"/>
          </w:rPr>
          <w:t>ORGANIGRAMA 2026.pdf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Organigrama del Organismo Descentralizado de Agua Potable, Alcantarillado y Saneamiento de Chimalhuacán, de fecha 05 de febrero de 2025.</w:t>
      </w:r>
    </w:p>
    <w:p w:rsidR="004E5085" w:rsidRDefault="00507C28">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w:t>
      </w:r>
      <w:hyperlink r:id="rId15">
        <w:r>
          <w:rPr>
            <w:rFonts w:ascii="Palatino Linotype" w:eastAsia="Palatino Linotype" w:hAnsi="Palatino Linotype" w:cs="Palatino Linotype"/>
            <w:b/>
            <w:bCs/>
            <w:color w:val="000000"/>
          </w:rPr>
          <w:t>amScanner 03-03-2026 14.11.pdf</w:t>
        </w:r>
      </w:hyperlink>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Oficio ODAPAS/RH/0260/2026 de fecha tres de marzo de dos mil veintiséis, firmado por la Titular del Departamento de Recursos Humanos del Organismo Descentralizado de Agua Potable, Alcantarillado y Saneamiento, por medio del cual remite la estructura orgánica vigente de esa dependencia; sí como la Plantilla de Personal actualizado, recalcando que todos los servidores públicos mencionados en respuesta han sido debidamente vinculados a sus áreas de adscripción correspondiente.</w:t>
      </w:r>
    </w:p>
    <w:p w:rsidR="004E5085" w:rsidRDefault="000337F2">
      <w:pPr>
        <w:numPr>
          <w:ilvl w:val="0"/>
          <w:numId w:val="7"/>
        </w:numPr>
        <w:pBdr>
          <w:top w:val="nil"/>
          <w:left w:val="nil"/>
          <w:bottom w:val="nil"/>
          <w:right w:val="nil"/>
          <w:between w:val="nil"/>
        </w:pBdr>
        <w:spacing w:line="360" w:lineRule="auto"/>
        <w:ind w:right="-702"/>
        <w:jc w:val="both"/>
        <w:rPr>
          <w:rFonts w:ascii="Palatino Linotype" w:eastAsia="Palatino Linotype" w:hAnsi="Palatino Linotype" w:cs="Palatino Linotype"/>
          <w:b/>
          <w:bCs/>
          <w:color w:val="000000"/>
        </w:rPr>
      </w:pPr>
      <w:hyperlink r:id="rId16">
        <w:r w:rsidR="00507C28">
          <w:rPr>
            <w:rFonts w:ascii="Palatino Linotype" w:eastAsia="Palatino Linotype" w:hAnsi="Palatino Linotype" w:cs="Palatino Linotype"/>
            <w:b/>
            <w:bCs/>
            <w:color w:val="000000"/>
          </w:rPr>
          <w:t>PLANTILLA PERSONAL ODAPAS.pdf</w:t>
        </w:r>
      </w:hyperlink>
      <w:r w:rsidR="00507C28">
        <w:rPr>
          <w:rFonts w:ascii="Palatino Linotype" w:eastAsia="Palatino Linotype" w:hAnsi="Palatino Linotype" w:cs="Palatino Linotype"/>
          <w:b/>
          <w:bCs/>
          <w:color w:val="000000"/>
        </w:rPr>
        <w:t xml:space="preserve">: </w:t>
      </w:r>
      <w:r w:rsidR="00507C28">
        <w:rPr>
          <w:rFonts w:ascii="Palatino Linotype" w:eastAsia="Palatino Linotype" w:hAnsi="Palatino Linotype" w:cs="Palatino Linotype"/>
          <w:color w:val="000000"/>
        </w:rPr>
        <w:t xml:space="preserve">Documento constante de doce páginas del que se advierte la Plantilla de personal del </w:t>
      </w:r>
      <w:r w:rsidR="00507C28">
        <w:rPr>
          <w:rFonts w:ascii="Palatino Linotype" w:eastAsia="Palatino Linotype" w:hAnsi="Palatino Linotype" w:cs="Palatino Linotype"/>
          <w:b/>
          <w:bCs/>
          <w:color w:val="000000"/>
        </w:rPr>
        <w:t xml:space="preserve">SUJETO OBLIGADO, </w:t>
      </w:r>
      <w:r w:rsidR="00507C28">
        <w:rPr>
          <w:rFonts w:ascii="Palatino Linotype" w:eastAsia="Palatino Linotype" w:hAnsi="Palatino Linotype" w:cs="Palatino Linotype"/>
          <w:color w:val="000000"/>
        </w:rPr>
        <w:t xml:space="preserve">del que se advierte el </w:t>
      </w:r>
      <w:r w:rsidR="00507C28">
        <w:rPr>
          <w:rFonts w:ascii="Palatino Linotype" w:eastAsia="Palatino Linotype" w:hAnsi="Palatino Linotype" w:cs="Palatino Linotype"/>
          <w:color w:val="000000"/>
        </w:rPr>
        <w:lastRenderedPageBreak/>
        <w:t xml:space="preserve">nombre completo del servidor público; así como el Departamento de adscripción, Puesto y/o cargo, Remuneración mensual bruta y neta y el </w:t>
      </w:r>
      <w:r w:rsidR="00507C28">
        <w:rPr>
          <w:rFonts w:ascii="Palatino Linotype" w:eastAsia="Palatino Linotype" w:hAnsi="Palatino Linotype" w:cs="Palatino Linotype"/>
        </w:rPr>
        <w:t>último</w:t>
      </w:r>
      <w:r w:rsidR="00507C28">
        <w:rPr>
          <w:rFonts w:ascii="Palatino Linotype" w:eastAsia="Palatino Linotype" w:hAnsi="Palatino Linotype" w:cs="Palatino Linotype"/>
          <w:color w:val="000000"/>
        </w:rPr>
        <w:t xml:space="preserve"> grado de estudios con el que cuenta.</w:t>
      </w:r>
    </w:p>
    <w:p w:rsidR="004E5085" w:rsidRDefault="004E5085">
      <w:pPr>
        <w:spacing w:line="360" w:lineRule="auto"/>
        <w:ind w:left="567" w:right="-702"/>
        <w:jc w:val="both"/>
        <w:rPr>
          <w:rFonts w:ascii="Palatino Linotype" w:eastAsia="Palatino Linotype" w:hAnsi="Palatino Linotype" w:cs="Palatino Linotype"/>
        </w:rPr>
      </w:pPr>
    </w:p>
    <w:p w:rsidR="004E5085" w:rsidRDefault="00507C28">
      <w:pPr>
        <w:numPr>
          <w:ilvl w:val="0"/>
          <w:numId w:val="2"/>
        </w:numPr>
        <w:pBdr>
          <w:top w:val="nil"/>
          <w:left w:val="nil"/>
          <w:bottom w:val="nil"/>
          <w:right w:val="nil"/>
          <w:between w:val="nil"/>
        </w:pBdr>
        <w:spacing w:line="360" w:lineRule="auto"/>
        <w:ind w:left="0" w:right="-702" w:firstLine="0"/>
        <w:jc w:val="both"/>
        <w:rPr>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 </w:t>
      </w:r>
    </w:p>
    <w:p w:rsidR="004E5085" w:rsidRDefault="004E5085">
      <w:pPr>
        <w:pBdr>
          <w:top w:val="nil"/>
          <w:left w:val="nil"/>
          <w:bottom w:val="nil"/>
          <w:right w:val="nil"/>
          <w:between w:val="nil"/>
        </w:pBdr>
        <w:spacing w:line="360" w:lineRule="auto"/>
        <w:ind w:right="-702"/>
        <w:jc w:val="both"/>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veintiuno de abril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veintidós de mayo de dos mil veintiséis</w:t>
      </w:r>
      <w:r>
        <w:rPr>
          <w:rFonts w:ascii="Palatino Linotype" w:eastAsia="Palatino Linotype" w:hAnsi="Palatino Linotype" w:cs="Palatino Linotype"/>
        </w:rPr>
        <w:t xml:space="preserve">. </w:t>
      </w:r>
      <w:bookmarkStart w:id="0" w:name="_GoBack"/>
      <w:bookmarkEnd w:id="0"/>
    </w:p>
    <w:p w:rsidR="004E5085" w:rsidRDefault="004E5085">
      <w:pPr>
        <w:spacing w:line="360" w:lineRule="auto"/>
        <w:ind w:right="-702"/>
        <w:rPr>
          <w:rFonts w:ascii="Palatino Linotype" w:eastAsia="Palatino Linotype" w:hAnsi="Palatino Linotype" w:cs="Palatino Linotype"/>
          <w:b/>
          <w:bCs/>
        </w:rPr>
      </w:pPr>
    </w:p>
    <w:p w:rsidR="004E5085" w:rsidRDefault="00507C28">
      <w:pPr>
        <w:keepNext/>
        <w:keepLines/>
        <w:spacing w:line="360" w:lineRule="auto"/>
        <w:ind w:right="-702"/>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4E5085" w:rsidRDefault="004E5085">
      <w:pPr>
        <w:keepNext/>
        <w:keepLines/>
        <w:spacing w:line="360" w:lineRule="auto"/>
        <w:ind w:right="-702"/>
        <w:rPr>
          <w:rFonts w:ascii="Palatino Linotype" w:eastAsia="Palatino Linotype" w:hAnsi="Palatino Linotype" w:cs="Palatino Linotype"/>
        </w:rPr>
      </w:pPr>
    </w:p>
    <w:p w:rsidR="004E5085" w:rsidRDefault="00507C28">
      <w:pPr>
        <w:keepNext/>
        <w:keepLines/>
        <w:spacing w:line="360" w:lineRule="auto"/>
        <w:ind w:right="-702"/>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bookmarkStart w:id="1" w:name="_heading=h.3znysh7" w:colFirst="0" w:colLast="0"/>
      <w:bookmarkEnd w:id="1"/>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 xml:space="preserve">Reglamento Interior del Instituto de </w:t>
      </w:r>
      <w:r>
        <w:rPr>
          <w:rFonts w:ascii="Palatino Linotype" w:eastAsia="Palatino Linotype" w:hAnsi="Palatino Linotype" w:cs="Palatino Linotype"/>
          <w:b/>
          <w:bCs/>
          <w:color w:val="000000"/>
          <w:highlight w:val="white"/>
        </w:rPr>
        <w:lastRenderedPageBreak/>
        <w:t>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r>
        <w:rPr>
          <w:rFonts w:ascii="Palatino Linotype" w:eastAsia="Palatino Linotype" w:hAnsi="Palatino Linotype" w:cs="Palatino Linotype"/>
          <w:b/>
          <w:bCs/>
        </w:rPr>
        <w:t>.</w:t>
      </w:r>
    </w:p>
    <w:p w:rsidR="004E5085" w:rsidRDefault="004E5085">
      <w:pPr>
        <w:spacing w:line="360" w:lineRule="auto"/>
        <w:ind w:right="-702"/>
        <w:jc w:val="both"/>
        <w:rPr>
          <w:rFonts w:ascii="Palatino Linotype" w:eastAsia="Palatino Linotype" w:hAnsi="Palatino Linotype" w:cs="Palatino Linotype"/>
          <w:b/>
          <w:bCs/>
        </w:rPr>
      </w:pPr>
    </w:p>
    <w:p w:rsidR="004E5085" w:rsidRPr="00D521AD" w:rsidRDefault="00507C28">
      <w:pPr>
        <w:numPr>
          <w:ilvl w:val="0"/>
          <w:numId w:val="2"/>
        </w:numPr>
        <w:spacing w:line="360" w:lineRule="auto"/>
        <w:ind w:left="0" w:right="-702" w:firstLine="0"/>
        <w:jc w:val="both"/>
        <w:rPr>
          <w:rFonts w:ascii="Palatino Linotype" w:eastAsia="Palatino Linotype" w:hAnsi="Palatino Linotype" w:cs="Palatino Linotype"/>
          <w:b/>
          <w:bCs/>
        </w:rPr>
      </w:pPr>
      <w:bookmarkStart w:id="2" w:name="_heading=h.3dy6vkm" w:colFirst="0" w:colLast="0"/>
      <w:bookmarkEnd w:id="2"/>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trece de febrero al seis de marzo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veintiuno de febrero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D521AD" w:rsidRDefault="00D521AD" w:rsidP="00D521AD">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solicitudes anónimas, con nombre incompleto o seudónimo serán procedentes para su trámite por parte del sujeto obligado ante quien se presente. No podrá requerirse información adicional con motivo del nombre proporcionado por el solicitante."</w:t>
      </w:r>
    </w:p>
    <w:p w:rsidR="004E5085" w:rsidRDefault="004E5085">
      <w:pPr>
        <w:pBdr>
          <w:top w:val="nil"/>
          <w:left w:val="nil"/>
          <w:bottom w:val="nil"/>
          <w:right w:val="nil"/>
          <w:between w:val="nil"/>
        </w:pBdr>
        <w:spacing w:line="360" w:lineRule="auto"/>
        <w:ind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spacing w:line="360" w:lineRule="auto"/>
        <w:ind w:left="0" w:right="-702" w:firstLine="0"/>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4E5085" w:rsidRDefault="004E5085">
      <w:pPr>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4E5085" w:rsidRDefault="004E5085">
      <w:pPr>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4E5085" w:rsidRDefault="004E5085">
      <w:pPr>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 (Sic)</w:t>
      </w:r>
    </w:p>
    <w:p w:rsidR="004E5085" w:rsidRDefault="004E5085">
      <w:pPr>
        <w:pBdr>
          <w:top w:val="nil"/>
          <w:left w:val="nil"/>
          <w:bottom w:val="nil"/>
          <w:right w:val="nil"/>
          <w:between w:val="nil"/>
        </w:pBdr>
        <w:spacing w:line="360" w:lineRule="auto"/>
        <w:ind w:right="-702"/>
        <w:jc w:val="both"/>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spacing w:line="360" w:lineRule="auto"/>
        <w:ind w:left="0" w:right="-702" w:firstLine="0"/>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Para garantizar el ejercicio del derecho de transparencia, acceso a la información pública y protección de datos personales, los poderes públicos y los organismos autónomos, transparentarán </w:t>
      </w:r>
      <w:r>
        <w:rPr>
          <w:rFonts w:ascii="Palatino Linotype" w:eastAsia="Palatino Linotype" w:hAnsi="Palatino Linotype" w:cs="Palatino Linotype"/>
          <w:i/>
          <w:iCs/>
          <w:color w:val="000000"/>
        </w:rPr>
        <w:lastRenderedPageBreak/>
        <w:t>sus acciones, en términos de las disposiciones aplicables, la información será oportuna, clara, veraz y de fácil acceso. Este derecho se regirá por los principios y bases siguientes:</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4E5085" w:rsidRDefault="004E5085">
      <w:pPr>
        <w:tabs>
          <w:tab w:val="left" w:pos="7655"/>
        </w:tabs>
        <w:spacing w:line="360" w:lineRule="auto"/>
        <w:ind w:left="567" w:right="-702"/>
        <w:jc w:val="both"/>
        <w:rPr>
          <w:rFonts w:ascii="Palatino Linotype" w:eastAsia="Palatino Linotype" w:hAnsi="Palatino Linotype" w:cs="Palatino Linotype"/>
          <w:i/>
          <w:iCs/>
        </w:rPr>
      </w:pPr>
    </w:p>
    <w:p w:rsidR="004E5085" w:rsidRDefault="00507C28">
      <w:pPr>
        <w:numPr>
          <w:ilvl w:val="0"/>
          <w:numId w:val="2"/>
        </w:numPr>
        <w:pBdr>
          <w:top w:val="nil"/>
          <w:left w:val="nil"/>
          <w:bottom w:val="nil"/>
          <w:right w:val="nil"/>
          <w:between w:val="nil"/>
        </w:pBdr>
        <w:spacing w:line="360" w:lineRule="auto"/>
        <w:ind w:left="0" w:right="-702" w:firstLine="0"/>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xml:space="preserve">, de acreditar su legitimación en la causa o su interés en el asunto, lo que permite la posibilidad de </w:t>
      </w:r>
      <w:r>
        <w:rPr>
          <w:rFonts w:ascii="Palatino Linotype" w:eastAsia="Palatino Linotype" w:hAnsi="Palatino Linotype" w:cs="Palatino Linotype"/>
        </w:rPr>
        <w:lastRenderedPageBreak/>
        <w:t>que, incluso, la solicitud de acceso a la información pueda ser anónima o no contener un nombre que identifique al solicitante o que permita tener certeza sobre su identidad.</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spacing w:line="360" w:lineRule="auto"/>
        <w:ind w:right="-702"/>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000000"/>
        </w:rPr>
        <w:t>De las causales del sobreseimiento.</w:t>
      </w: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recurso de revisión tiene como finalidad reparar cualquier posible afectación al derecho de acceso a la información pública en términos del Título Octavo de la Ley de Transparencia, Acceso a la Información Pública del Estado de México y Municipios, y </w:t>
      </w:r>
      <w:r>
        <w:rPr>
          <w:rFonts w:ascii="Palatino Linotype" w:eastAsia="Palatino Linotype" w:hAnsi="Palatino Linotype" w:cs="Palatino Linotype"/>
          <w:color w:val="000000"/>
        </w:rPr>
        <w:lastRenderedPageBreak/>
        <w:t xml:space="preserve">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con respecto a la respuesta emitida por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acuerdo al precepto legal contenido en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4E5085" w:rsidRDefault="004E5085">
      <w:pPr>
        <w:spacing w:line="360" w:lineRule="auto"/>
        <w:ind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Para los efectos de esta resolución, es oportuno precisar los alcances jurídicos de la fracción III de la disposición legal transcrita. Así, procede el sobreseimiento del recurso de revisión cuando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4E5085" w:rsidRDefault="00507C28">
      <w:pPr>
        <w:numPr>
          <w:ilvl w:val="0"/>
          <w:numId w:val="3"/>
        </w:numPr>
        <w:spacing w:line="360" w:lineRule="auto"/>
        <w:ind w:left="567" w:right="-702" w:firstLine="0"/>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4E5085" w:rsidRDefault="00507C28">
      <w:pPr>
        <w:numPr>
          <w:ilvl w:val="0"/>
          <w:numId w:val="3"/>
        </w:numPr>
        <w:spacing w:line="360" w:lineRule="auto"/>
        <w:ind w:left="567" w:right="-702" w:firstLine="0"/>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Las consecuencias jurídicas de esta modificación o revocación es que el recurso de revisión interpuesto quede sin efectos o sin materia. Un acto impugnado queda sin efectos, </w:t>
      </w:r>
      <w:r>
        <w:rPr>
          <w:rFonts w:ascii="Palatino Linotype" w:eastAsia="Palatino Linotype" w:hAnsi="Palatino Linotype" w:cs="Palatino Linotype"/>
          <w:color w:val="000000"/>
        </w:rPr>
        <w:lastRenderedPageBreak/>
        <w:t>cuando aun existiendo jurídicamente, no genera consecuencia legal alguna; queda sin materia, cuando ha sido satisfecha la pretensión del Particular, ya sea porque se hizo la entrega de la información solicitada o porque se completó la misma.</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el presente caso,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solicitó </w:t>
      </w:r>
      <w:r>
        <w:rPr>
          <w:rFonts w:ascii="Palatino Linotype" w:eastAsia="Palatino Linotype" w:hAnsi="Palatino Linotype" w:cs="Palatino Linotype"/>
          <w:b/>
          <w:bCs/>
        </w:rPr>
        <w:t xml:space="preserve">del personal adscrito al Organismo Público Descentralizado de Agua Potable, Alcantarillado y Saneamiento de Chimalhuacán, </w:t>
      </w:r>
      <w:r>
        <w:rPr>
          <w:rFonts w:ascii="Palatino Linotype" w:eastAsia="Palatino Linotype" w:hAnsi="Palatino Linotype" w:cs="Palatino Linotype"/>
        </w:rPr>
        <w:t>lo siguiente</w:t>
      </w:r>
      <w:r>
        <w:rPr>
          <w:rFonts w:ascii="Palatino Linotype" w:eastAsia="Palatino Linotype" w:hAnsi="Palatino Linotype" w:cs="Palatino Linotype"/>
          <w:b/>
          <w:bCs/>
        </w:rPr>
        <w:t>:</w:t>
      </w:r>
    </w:p>
    <w:p w:rsidR="004E5085" w:rsidRDefault="00507C28">
      <w:pPr>
        <w:numPr>
          <w:ilvl w:val="0"/>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Reporte detallado de </w:t>
      </w:r>
      <w:r>
        <w:rPr>
          <w:rFonts w:ascii="Palatino Linotype" w:eastAsia="Palatino Linotype" w:hAnsi="Palatino Linotype" w:cs="Palatino Linotype"/>
          <w:b/>
          <w:bCs/>
        </w:rPr>
        <w:t>altas</w:t>
      </w:r>
      <w:r>
        <w:rPr>
          <w:rFonts w:ascii="Palatino Linotype" w:eastAsia="Palatino Linotype" w:hAnsi="Palatino Linotype" w:cs="Palatino Linotype"/>
          <w:b/>
          <w:bCs/>
          <w:color w:val="000000"/>
        </w:rPr>
        <w:t xml:space="preserve"> y bajas del 01 al 20 de enero de 2026</w:t>
      </w:r>
    </w:p>
    <w:p w:rsidR="004E5085" w:rsidRDefault="00507C28">
      <w:pPr>
        <w:numPr>
          <w:ilvl w:val="0"/>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Estructura Orgánica 2026</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Direcciones </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Áreas </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Departamentos y Jefaturas</w:t>
      </w:r>
    </w:p>
    <w:p w:rsidR="004E5085" w:rsidRDefault="00507C28">
      <w:pPr>
        <w:numPr>
          <w:ilvl w:val="0"/>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Plantilla de Personal</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Cargo</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Grado de estudios </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Número de Cédula Profesional </w:t>
      </w:r>
    </w:p>
    <w:p w:rsidR="004E5085" w:rsidRDefault="00507C28">
      <w:pPr>
        <w:numPr>
          <w:ilvl w:val="1"/>
          <w:numId w:val="7"/>
        </w:numPr>
        <w:pBdr>
          <w:top w:val="nil"/>
          <w:left w:val="nil"/>
          <w:bottom w:val="nil"/>
          <w:right w:val="nil"/>
          <w:between w:val="nil"/>
        </w:pBdr>
        <w:spacing w:line="360" w:lineRule="auto"/>
        <w:ind w:right="-702"/>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Remuneración mensual neta y bruta</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b/>
          <w:bCs/>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remitió un documento del que se advierte el nombre completo, área de adscripción y categoría de los 12 servidores públicos dados de alta y de los 5 servidores públicos dados de baja en el periodo solicitado, el Organigrama del Organismo Descentralizado de Agua Potable, Alcantarillado y Saneamiento de Chimalhuacán </w:t>
      </w:r>
      <w:r>
        <w:rPr>
          <w:rFonts w:ascii="Palatino Linotype" w:eastAsia="Palatino Linotype" w:hAnsi="Palatino Linotype" w:cs="Palatino Linotype"/>
        </w:rPr>
        <w:lastRenderedPageBreak/>
        <w:t>de fecha 07 de mayo de 2024; así como, la plantilla de personal que contiene el Nombre Completo, Puesto; Remuneración Mensual Bruta y Neta; y el Grado de estudios de 436 servidores públicos que laboran en el Organismo Público Descentralizado de Agua Potable y Alcantarillado de Chimalhuacán.</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Al respecto,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interpuso el recurso de revisión en contra de la respuesta, por medio del cual, manifestó </w:t>
      </w:r>
      <w:r>
        <w:rPr>
          <w:rFonts w:ascii="Palatino Linotype" w:eastAsia="Palatino Linotype" w:hAnsi="Palatino Linotype" w:cs="Palatino Linotype"/>
          <w:i/>
          <w:iCs/>
        </w:rPr>
        <w:t>“Falta de especificidad en la Plantilla de Personal: El sujeto obligado entregó una relación general de servidores públicos sin vincularlos a sus unidades administrativas correspondientes (áreas, direcciones o departamentos). Esto impide conocer la adscripción real del personal, lo cual es una obligación de transparencia. Negativa del Organigrama Actualizado: ODAPAS alega inexistencia o falta de actualización del organigrama; sin embargo, el Bando Municipal 2026 de Chimalhuacán (publicado el 5 de febrero de 2026) ya establece la estructura orgánica vigente. Existe una incongruencia administrativa entre lo publicado oficialmente y lo respondido en transparencia. Incumplimiento de las Obligaciones de Transparencia: De acuerdo con la Ley de Transparencia del Estado de México, el organigrama y la remuneración por puesto son información de oficio que debe estar disponible y actualizada de forma permanente. "</w:t>
      </w:r>
      <w:r>
        <w:rPr>
          <w:rFonts w:ascii="Palatino Linotype" w:eastAsia="Palatino Linotype" w:hAnsi="Palatino Linotype" w:cs="Palatino Linotype"/>
          <w:b/>
          <w:bCs/>
          <w:i/>
          <w:iCs/>
        </w:rPr>
        <w:t>Solicito que se ordene a ODAPAS Chimalhuacán la entrega del organigrama detallado 2026 y que la plantilla de personal sea entregada con el desglose por área administrativa, especificando la adscripción de cada servidor público, tal como se pidió originalmente</w:t>
      </w:r>
      <w:r>
        <w:rPr>
          <w:rFonts w:ascii="Palatino Linotype" w:eastAsia="Palatino Linotype" w:hAnsi="Palatino Linotype" w:cs="Palatino Linotype"/>
          <w:i/>
          <w:iCs/>
        </w:rPr>
        <w:t>.” (Sic.)</w:t>
      </w:r>
      <w:r>
        <w:rPr>
          <w:rFonts w:ascii="Palatino Linotype" w:eastAsia="Palatino Linotype" w:hAnsi="Palatino Linotype" w:cs="Palatino Linotype"/>
          <w:b/>
          <w:bCs/>
          <w:i/>
          <w:iCs/>
        </w:rPr>
        <w:t>.</w:t>
      </w:r>
    </w:p>
    <w:p w:rsidR="004E5085" w:rsidRDefault="004E5085">
      <w:pPr>
        <w:spacing w:line="360" w:lineRule="auto"/>
        <w:ind w:left="644" w:right="-702"/>
        <w:jc w:val="both"/>
        <w:rPr>
          <w:rFonts w:ascii="Palatino Linotype" w:eastAsia="Palatino Linotype" w:hAnsi="Palatino Linotype" w:cs="Palatino Linotype"/>
          <w:b/>
          <w:bCs/>
          <w:i/>
          <w:iCs/>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En consecuencia, por medio de un acto jurídico posterior como lo es el informe justificado,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 la Titular del Departamento de Recursos Humanos, mediante el cual remite la estructura orgánica vigente; así como la Plantilla de personal actualizado en el que se especifica el área de adscripción de cada servidor público. </w:t>
      </w: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highlight w:val="white"/>
        </w:rPr>
        <w:lastRenderedPageBreak/>
        <w:t xml:space="preserve">En este sentido, resulta necesario señalar que, el </w:t>
      </w:r>
      <w:r>
        <w:rPr>
          <w:rFonts w:ascii="Palatino Linotype" w:eastAsia="Palatino Linotype" w:hAnsi="Palatino Linotype" w:cs="Palatino Linotype"/>
          <w:b/>
          <w:bCs/>
          <w:color w:val="000000"/>
          <w:highlight w:val="white"/>
        </w:rPr>
        <w:t xml:space="preserve">RECURRENTE </w:t>
      </w:r>
      <w:r>
        <w:rPr>
          <w:rFonts w:ascii="Palatino Linotype" w:eastAsia="Palatino Linotype" w:hAnsi="Palatino Linotype" w:cs="Palatino Linotype"/>
          <w:color w:val="000000"/>
          <w:highlight w:val="white"/>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satisface este punto de la solicitud presentada.</w:t>
      </w:r>
    </w:p>
    <w:p w:rsidR="004E5085" w:rsidRDefault="004E5085">
      <w:pPr>
        <w:pBdr>
          <w:top w:val="nil"/>
          <w:left w:val="nil"/>
          <w:bottom w:val="nil"/>
          <w:right w:val="nil"/>
          <w:between w:val="nil"/>
        </w:pBdr>
        <w:ind w:left="720"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highlight w:val="white"/>
        </w:rPr>
        <w:t xml:space="preserve">Lo anterior es así, debido a que cuando un Recurrente impugna la respuesta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 </w:t>
      </w:r>
    </w:p>
    <w:p w:rsidR="004E5085" w:rsidRDefault="00507C28">
      <w:pPr>
        <w:pBdr>
          <w:top w:val="nil"/>
          <w:left w:val="nil"/>
          <w:bottom w:val="nil"/>
          <w:right w:val="nil"/>
          <w:between w:val="nil"/>
        </w:pBdr>
        <w:ind w:left="567" w:right="-70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i/>
          <w:iCs/>
          <w:color w:val="000000"/>
          <w:highlight w:val="white"/>
        </w:rPr>
        <w:t xml:space="preserve">“REVISIÓN EN AMPARO. LOS RESOLUTIVOS NO COMBATIDOS DEBEN DECLARARSE FIRMES. </w:t>
      </w:r>
      <w:r>
        <w:rPr>
          <w:rFonts w:ascii="Palatino Linotype" w:eastAsia="Palatino Linotype" w:hAnsi="Palatino Linotype" w:cs="Palatino Linotype"/>
          <w:i/>
          <w:iCs/>
          <w:color w:val="000000"/>
          <w:highlight w:val="white"/>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color w:val="000000"/>
          <w:highlight w:val="white"/>
        </w:rPr>
        <w:t> </w:t>
      </w:r>
    </w:p>
    <w:p w:rsidR="004E5085" w:rsidRDefault="004E5085">
      <w:pPr>
        <w:pBdr>
          <w:top w:val="nil"/>
          <w:left w:val="nil"/>
          <w:bottom w:val="nil"/>
          <w:right w:val="nil"/>
          <w:between w:val="nil"/>
        </w:pBdr>
        <w:ind w:left="720"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rPr>
        <w:t xml:space="preserve"> </w:t>
      </w:r>
      <w:r>
        <w:rPr>
          <w:rFonts w:ascii="Palatino Linotype" w:eastAsia="Palatino Linotype" w:hAnsi="Palatino Linotype" w:cs="Palatino Linotype"/>
          <w:color w:val="000000"/>
          <w:highlight w:val="white"/>
        </w:rPr>
        <w:t xml:space="preserve">Consecuentemente, se reitera que la parte de la solicitud que no fue impugnada debe declararse consentida por el </w:t>
      </w:r>
      <w:r>
        <w:rPr>
          <w:rFonts w:ascii="Palatino Linotype" w:eastAsia="Palatino Linotype" w:hAnsi="Palatino Linotype" w:cs="Palatino Linotype"/>
          <w:b/>
          <w:bCs/>
          <w:color w:val="000000"/>
          <w:highlight w:val="white"/>
        </w:rPr>
        <w:t>RECURRENTE</w:t>
      </w:r>
      <w:r>
        <w:rPr>
          <w:rFonts w:ascii="Palatino Linotype" w:eastAsia="Palatino Linotype" w:hAnsi="Palatino Linotype" w:cs="Palatino Linotype"/>
          <w:color w:val="000000"/>
          <w:highlight w:val="white"/>
        </w:rPr>
        <w:t>, debido a que no se realizaron manifestaciones de inconformidad, por lo que no pueden producirse efectos jurídicos tendentes a revocar, confirmar o modificar el acto reclamado ya que se infiere un consentimiento del Recurrente</w:t>
      </w:r>
      <w:r>
        <w:rPr>
          <w:rFonts w:ascii="Palatino Linotype" w:eastAsia="Palatino Linotype" w:hAnsi="Palatino Linotype" w:cs="Palatino Linotype"/>
          <w:b/>
          <w:bCs/>
          <w:color w:val="000000"/>
          <w:highlight w:val="white"/>
        </w:rPr>
        <w:t xml:space="preserve"> </w:t>
      </w:r>
      <w:r>
        <w:rPr>
          <w:rFonts w:ascii="Palatino Linotype" w:eastAsia="Palatino Linotype" w:hAnsi="Palatino Linotype" w:cs="Palatino Linotype"/>
          <w:color w:val="000000"/>
          <w:highlight w:val="white"/>
        </w:rPr>
        <w:t>ante la falta de impugnación eficaz.</w:t>
      </w:r>
    </w:p>
    <w:p w:rsidR="004E5085" w:rsidRDefault="004E5085">
      <w:pPr>
        <w:pBdr>
          <w:top w:val="nil"/>
          <w:left w:val="nil"/>
          <w:bottom w:val="nil"/>
          <w:right w:val="nil"/>
          <w:between w:val="nil"/>
        </w:pBdr>
        <w:tabs>
          <w:tab w:val="left" w:pos="426"/>
          <w:tab w:val="left" w:pos="567"/>
        </w:tabs>
        <w:spacing w:line="360" w:lineRule="auto"/>
        <w:ind w:right="-702"/>
        <w:jc w:val="both"/>
        <w:rPr>
          <w:rFonts w:ascii="Palatino Linotype" w:eastAsia="Palatino Linotype" w:hAnsi="Palatino Linotype" w:cs="Palatino Linotype"/>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highlight w:val="white"/>
        </w:rPr>
        <w:lastRenderedPageBreak/>
        <w:t>Sirve de sustento a lo anterior por analogía la tesis jurisprudencial número VI.3o.C. J/60, publicada en el Semanario Judicial de la Federación y su Gaceta bajo el número de registro 176,608 que a la letra dice:</w:t>
      </w:r>
    </w:p>
    <w:p w:rsidR="004E5085" w:rsidRDefault="00507C28">
      <w:pPr>
        <w:pBdr>
          <w:top w:val="nil"/>
          <w:left w:val="nil"/>
          <w:bottom w:val="nil"/>
          <w:right w:val="nil"/>
          <w:between w:val="nil"/>
        </w:pBdr>
        <w:ind w:left="567" w:right="-702"/>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smallCaps/>
          <w:color w:val="000000"/>
          <w:highlight w:val="white"/>
        </w:rPr>
        <w:t xml:space="preserve">ACTOS CONSENTIDOS. SON LOS QUE NO SE IMPUGNAN MEDIANTE EL RECURSO IDÓNEO. </w:t>
      </w:r>
      <w:r>
        <w:rPr>
          <w:rFonts w:ascii="Palatino Linotype" w:eastAsia="Palatino Linotype" w:hAnsi="Palatino Linotype" w:cs="Palatino Linotype"/>
          <w:i/>
          <w:iCs/>
          <w:color w:val="000000"/>
          <w:highlight w:val="white"/>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Pr>
          <w:rFonts w:ascii="Palatino Linotype" w:eastAsia="Palatino Linotype" w:hAnsi="Palatino Linotype" w:cs="Palatino Linotype"/>
          <w:color w:val="000000"/>
          <w:highlight w:val="white"/>
        </w:rPr>
        <w:t> </w:t>
      </w:r>
    </w:p>
    <w:p w:rsidR="004E5085" w:rsidRDefault="004E5085">
      <w:pPr>
        <w:pBdr>
          <w:top w:val="nil"/>
          <w:left w:val="nil"/>
          <w:bottom w:val="nil"/>
          <w:right w:val="nil"/>
          <w:between w:val="nil"/>
        </w:pBdr>
        <w:tabs>
          <w:tab w:val="left" w:pos="426"/>
          <w:tab w:val="left" w:pos="567"/>
        </w:tabs>
        <w:spacing w:line="360" w:lineRule="auto"/>
        <w:ind w:right="-702"/>
        <w:jc w:val="both"/>
        <w:rPr>
          <w:rFonts w:ascii="Palatino Linotype" w:eastAsia="Palatino Linotype" w:hAnsi="Palatino Linotype" w:cs="Palatino Linotype"/>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highlight w:val="white"/>
        </w:rPr>
        <w:t>Para mayor abundamiento, también resulta aplicable el criterio 01/20 emitido por el Instituto Nacional de Transparencia, Acceso a la Información Pública y Protección de Datos Personales, que a la letra estipula lo siguiente: </w:t>
      </w:r>
    </w:p>
    <w:p w:rsidR="004E5085" w:rsidRDefault="00507C28">
      <w:pPr>
        <w:pBdr>
          <w:top w:val="nil"/>
          <w:left w:val="nil"/>
          <w:bottom w:val="nil"/>
          <w:right w:val="nil"/>
          <w:between w:val="nil"/>
        </w:pBdr>
        <w:tabs>
          <w:tab w:val="left" w:pos="142"/>
          <w:tab w:val="left" w:pos="426"/>
          <w:tab w:val="left" w:pos="567"/>
          <w:tab w:val="left" w:pos="8364"/>
          <w:tab w:val="left" w:pos="8647"/>
        </w:tabs>
        <w:ind w:left="567" w:right="-702"/>
        <w:jc w:val="both"/>
        <w:rPr>
          <w:rFonts w:ascii="Palatino Linotype" w:eastAsia="Palatino Linotype" w:hAnsi="Palatino Linotype" w:cs="Palatino Linotype"/>
        </w:rPr>
      </w:pPr>
      <w:r>
        <w:rPr>
          <w:rFonts w:ascii="Palatino Linotype" w:eastAsia="Palatino Linotype" w:hAnsi="Palatino Linotype" w:cs="Palatino Linotype"/>
          <w:b/>
          <w:bCs/>
          <w:i/>
          <w:iCs/>
          <w:color w:val="000000"/>
          <w:highlight w:val="white"/>
        </w:rPr>
        <w:t>Actos consentidos tácitamente. Improcedencia de su análisis.</w:t>
      </w:r>
      <w:r>
        <w:rPr>
          <w:rFonts w:ascii="Palatino Linotype" w:eastAsia="Palatino Linotype" w:hAnsi="Palatino Linotype" w:cs="Palatino Linotype"/>
          <w:i/>
          <w:iCs/>
          <w:color w:val="000000"/>
          <w:highlight w:val="white"/>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Pr>
          <w:rFonts w:ascii="Palatino Linotype" w:eastAsia="Palatino Linotype" w:hAnsi="Palatino Linotype" w:cs="Palatino Linotype"/>
          <w:color w:val="000000"/>
          <w:highlight w:val="white"/>
        </w:rPr>
        <w:t> </w:t>
      </w:r>
    </w:p>
    <w:p w:rsidR="004E5085" w:rsidRDefault="004E5085">
      <w:pPr>
        <w:pBdr>
          <w:top w:val="nil"/>
          <w:left w:val="nil"/>
          <w:bottom w:val="nil"/>
          <w:right w:val="nil"/>
          <w:between w:val="nil"/>
        </w:pBdr>
        <w:tabs>
          <w:tab w:val="left" w:pos="426"/>
          <w:tab w:val="left" w:pos="567"/>
        </w:tabs>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lastRenderedPageBreak/>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1"/>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w:t>
      </w:r>
    </w:p>
    <w:p w:rsidR="004E5085" w:rsidRDefault="004E5085">
      <w:pPr>
        <w:spacing w:line="360" w:lineRule="auto"/>
        <w:ind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rPr>
          <w:color w:val="000000"/>
        </w:rPr>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4E5085" w:rsidRDefault="00507C28">
      <w:pPr>
        <w:numPr>
          <w:ilvl w:val="1"/>
          <w:numId w:val="5"/>
        </w:numPr>
        <w:pBdr>
          <w:top w:val="nil"/>
          <w:left w:val="nil"/>
          <w:bottom w:val="nil"/>
          <w:right w:val="nil"/>
          <w:between w:val="nil"/>
        </w:pBdr>
        <w:spacing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Recibir, tramitar y dar respuesta a las solicitudes de acceso a la información;</w:t>
      </w:r>
    </w:p>
    <w:p w:rsidR="004E5085" w:rsidRDefault="00507C28">
      <w:pPr>
        <w:numPr>
          <w:ilvl w:val="1"/>
          <w:numId w:val="5"/>
        </w:numPr>
        <w:pBdr>
          <w:top w:val="nil"/>
          <w:left w:val="nil"/>
          <w:bottom w:val="nil"/>
          <w:right w:val="nil"/>
          <w:between w:val="nil"/>
        </w:pBdr>
        <w:spacing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4E5085" w:rsidRDefault="00507C28">
      <w:pPr>
        <w:numPr>
          <w:ilvl w:val="1"/>
          <w:numId w:val="5"/>
        </w:numPr>
        <w:pBdr>
          <w:top w:val="nil"/>
          <w:left w:val="nil"/>
          <w:bottom w:val="nil"/>
          <w:right w:val="nil"/>
          <w:between w:val="nil"/>
        </w:pBdr>
        <w:spacing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rsidR="004E5085" w:rsidRDefault="00507C28">
      <w:pPr>
        <w:numPr>
          <w:ilvl w:val="1"/>
          <w:numId w:val="5"/>
        </w:numPr>
        <w:pBdr>
          <w:top w:val="nil"/>
          <w:left w:val="nil"/>
          <w:bottom w:val="nil"/>
          <w:right w:val="nil"/>
          <w:between w:val="nil"/>
        </w:pBdr>
        <w:spacing w:after="240"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w:t>
      </w:r>
      <w:r>
        <w:rPr>
          <w:rFonts w:ascii="Palatino Linotype" w:eastAsia="Palatino Linotype" w:hAnsi="Palatino Linotype" w:cs="Palatino Linotype"/>
          <w:color w:val="000000"/>
        </w:rPr>
        <w:lastRenderedPageBreak/>
        <w:t>propuesta del responsable de la Unidad de Transparencia</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4"/>
      </w:r>
      <w:r>
        <w:rPr>
          <w:rFonts w:ascii="Palatino Linotype" w:eastAsia="Palatino Linotype" w:hAnsi="Palatino Linotype" w:cs="Palatino Linotype"/>
          <w:color w:val="000000"/>
        </w:rPr>
        <w:t>:</w:t>
      </w:r>
    </w:p>
    <w:p w:rsidR="004E5085" w:rsidRDefault="00507C28">
      <w:pPr>
        <w:numPr>
          <w:ilvl w:val="1"/>
          <w:numId w:val="6"/>
        </w:numPr>
        <w:pBdr>
          <w:top w:val="nil"/>
          <w:left w:val="nil"/>
          <w:bottom w:val="nil"/>
          <w:right w:val="nil"/>
          <w:between w:val="nil"/>
        </w:pBdr>
        <w:spacing w:before="240"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rsidR="004E5085" w:rsidRDefault="00507C28">
      <w:pPr>
        <w:numPr>
          <w:ilvl w:val="1"/>
          <w:numId w:val="6"/>
        </w:numPr>
        <w:pBdr>
          <w:top w:val="nil"/>
          <w:left w:val="nil"/>
          <w:bottom w:val="nil"/>
          <w:right w:val="nil"/>
          <w:between w:val="nil"/>
        </w:pBdr>
        <w:spacing w:after="240" w:line="360" w:lineRule="auto"/>
        <w:ind w:left="709" w:right="-702"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4E5085" w:rsidRDefault="004E5085">
      <w:pPr>
        <w:spacing w:line="360" w:lineRule="auto"/>
        <w:ind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53. Las Unidades de Transparencia tendrán las siguientes funciones: </w:t>
      </w:r>
    </w:p>
    <w:p w:rsidR="004E5085" w:rsidRDefault="004E5085">
      <w:pPr>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Recibir, tramitar y dar respuesta a las solicitudes de acceso a la información;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Realizar, con efectividad, los trámites internos necesarios para la atención de las solicitudes de acceso a la información;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V. Entregar, en su caso, a los particulares la información solicitada;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4E5085" w:rsidRDefault="004E5085">
      <w:pPr>
        <w:ind w:left="567" w:right="-702"/>
        <w:jc w:val="both"/>
        <w:rPr>
          <w:rFonts w:ascii="Palatino Linotype" w:eastAsia="Palatino Linotype" w:hAnsi="Palatino Linotype" w:cs="Palatino Linotype"/>
          <w:i/>
          <w:iCs/>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4E5085" w:rsidRDefault="004E5085">
      <w:pPr>
        <w:pBdr>
          <w:top w:val="nil"/>
          <w:left w:val="nil"/>
          <w:bottom w:val="nil"/>
          <w:right w:val="nil"/>
          <w:between w:val="nil"/>
        </w:pBdr>
        <w:tabs>
          <w:tab w:val="left" w:pos="426"/>
          <w:tab w:val="left" w:pos="567"/>
        </w:tabs>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Ahora bien , resulta conveniente referir que del Organigrama, remitido por el propio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se advierte que para el cumplimiento de sus funciones y obligaciones cuenta con el Departamento de Recursos Humanos, dependiente de la Dirección de Administración y Finanzas, tal como se muestra con la siguiente captura de pantalla:</w:t>
      </w:r>
    </w:p>
    <w:p w:rsidR="004E5085" w:rsidRDefault="004E5085">
      <w:pPr>
        <w:spacing w:line="360" w:lineRule="auto"/>
        <w:ind w:right="-702"/>
        <w:jc w:val="center"/>
        <w:rPr>
          <w:rFonts w:ascii="Palatino Linotype" w:eastAsia="Palatino Linotype" w:hAnsi="Palatino Linotype" w:cs="Palatino Linotype"/>
        </w:rPr>
      </w:pPr>
    </w:p>
    <w:p w:rsidR="004E5085" w:rsidRDefault="00507C28">
      <w:pPr>
        <w:spacing w:line="360" w:lineRule="auto"/>
        <w:ind w:right="-702"/>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4445669" cy="30973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445669" cy="3097392"/>
                    </a:xfrm>
                    <a:prstGeom prst="rect">
                      <a:avLst/>
                    </a:prstGeom>
                    <a:ln/>
                  </pic:spPr>
                </pic:pic>
              </a:graphicData>
            </a:graphic>
          </wp:inline>
        </w:drawing>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Con lo antes descrito se advierte que la Unidad Administrativa competente para brindar respuesta a la solicitud del particular es el Departamento de Recursos Humanos, toda vez que dentro de sus atribuciones se encuentran la de gestionar el reclutamiento y movimientos de personal, incluyendo altas, bajas, licencias, vacaciones y promociones de personal, integrar y actualizar los expedientes del personal; calcular y tramitar los pagos de nómina de los servidores públicos. </w:t>
      </w:r>
    </w:p>
    <w:p w:rsidR="004E5085" w:rsidRDefault="004E5085">
      <w:pPr>
        <w:pBdr>
          <w:top w:val="nil"/>
          <w:left w:val="nil"/>
          <w:bottom w:val="nil"/>
          <w:right w:val="nil"/>
          <w:between w:val="nil"/>
        </w:pBdr>
        <w:tabs>
          <w:tab w:val="left" w:pos="426"/>
          <w:tab w:val="left" w:pos="567"/>
        </w:tabs>
        <w:spacing w:line="360" w:lineRule="auto"/>
        <w:ind w:right="-702"/>
        <w:jc w:val="both"/>
        <w:rPr>
          <w:rFonts w:ascii="Palatino Linotype" w:eastAsia="Palatino Linotype" w:hAnsi="Palatino Linotype" w:cs="Palatino Linotype"/>
          <w:b/>
          <w:bCs/>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En este sentido,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cumplió con el procedimiento de búsqueda exhaustiva y razonable, pues gestionó la solicitud de información en la unidad administrativa en donde </w:t>
      </w:r>
      <w:r>
        <w:rPr>
          <w:rFonts w:ascii="Palatino Linotype" w:eastAsia="Palatino Linotype" w:hAnsi="Palatino Linotype" w:cs="Palatino Linotype"/>
          <w:color w:val="000000"/>
          <w:u w:val="single"/>
        </w:rPr>
        <w:t>pudiera</w:t>
      </w:r>
      <w:r>
        <w:rPr>
          <w:rFonts w:ascii="Palatino Linotype" w:eastAsia="Palatino Linotype" w:hAnsi="Palatino Linotype" w:cs="Palatino Linotype"/>
          <w:color w:val="000000"/>
        </w:rPr>
        <w:t xml:space="preserve"> obrar lo peticionado, siendo esta </w:t>
      </w:r>
      <w:r>
        <w:rPr>
          <w:rFonts w:ascii="Palatino Linotype" w:eastAsia="Palatino Linotype" w:hAnsi="Palatino Linotype" w:cs="Palatino Linotype"/>
          <w:b/>
          <w:bCs/>
          <w:color w:val="000000"/>
        </w:rPr>
        <w:t xml:space="preserve">la Directora de Administración y Finanzas </w:t>
      </w:r>
      <w:r>
        <w:rPr>
          <w:rFonts w:ascii="Palatino Linotype" w:eastAsia="Palatino Linotype" w:hAnsi="Palatino Linotype" w:cs="Palatino Linotype"/>
          <w:color w:val="000000"/>
        </w:rPr>
        <w:t xml:space="preserve">a través del </w:t>
      </w:r>
      <w:r>
        <w:rPr>
          <w:rFonts w:ascii="Palatino Linotype" w:eastAsia="Palatino Linotype" w:hAnsi="Palatino Linotype" w:cs="Palatino Linotype"/>
          <w:b/>
          <w:bCs/>
          <w:color w:val="000000"/>
        </w:rPr>
        <w:t>Departamento de Recursos Humanos.</w:t>
      </w: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rPr>
        <w:lastRenderedPageBreak/>
        <w:t>Ahora bien, es de recalcar que los motivos de inconformidad versan sobre la entrega de un Organigrama de fecha 07 de mayo de 2024, que a su dicho no se encuentra actualizado; así como por la omisión del Sujeto Obligado de especificar el área de adscripción de cada servidor público.</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color w:val="000000"/>
        </w:rPr>
      </w:pPr>
    </w:p>
    <w:p w:rsidR="004E5085" w:rsidRDefault="00507C28">
      <w:pPr>
        <w:numPr>
          <w:ilvl w:val="0"/>
          <w:numId w:val="2"/>
        </w:numPr>
        <w:pBdr>
          <w:top w:val="nil"/>
          <w:left w:val="nil"/>
          <w:bottom w:val="nil"/>
          <w:right w:val="nil"/>
          <w:between w:val="nil"/>
        </w:pBdr>
        <w:tabs>
          <w:tab w:val="left" w:pos="426"/>
          <w:tab w:val="left" w:pos="567"/>
        </w:tabs>
        <w:spacing w:line="360" w:lineRule="auto"/>
        <w:ind w:left="0" w:right="-702" w:firstLine="0"/>
        <w:jc w:val="both"/>
      </w:pPr>
      <w:r>
        <w:rPr>
          <w:rFonts w:ascii="Palatino Linotype" w:eastAsia="Palatino Linotype" w:hAnsi="Palatino Linotype" w:cs="Palatino Linotype"/>
        </w:rPr>
        <w:t xml:space="preserve">Derivado de los anterior, mediante un acto jurídico posterior como lo es el informe justificado,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remitió la estructura Orgánica actualizada; así como la plantilla de personal en el que especifica el área de adscripción de cada servidor público, tal como lo solicita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lo cual advierte que colma la pretensión del particular, garantizando el derecho de acceso a la información que regula la ley de la materia.</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 xml:space="preserve">Por lo que, </w:t>
      </w:r>
      <w:r>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4.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521AD" w:rsidRDefault="00D521AD">
      <w:pPr>
        <w:ind w:left="567" w:right="-702"/>
        <w:jc w:val="both"/>
        <w:rPr>
          <w:rFonts w:ascii="Palatino Linotype" w:eastAsia="Palatino Linotype" w:hAnsi="Palatino Linotype" w:cs="Palatino Linotype"/>
          <w:i/>
          <w:iCs/>
          <w:color w:val="000000"/>
        </w:rPr>
      </w:pPr>
    </w:p>
    <w:p w:rsidR="00D521AD" w:rsidRDefault="00D521AD">
      <w:pPr>
        <w:ind w:left="567" w:right="-702"/>
        <w:jc w:val="both"/>
        <w:rPr>
          <w:rFonts w:ascii="Palatino Linotype" w:eastAsia="Palatino Linotype" w:hAnsi="Palatino Linotype" w:cs="Palatino Linotype"/>
          <w:i/>
          <w:iCs/>
          <w:color w:val="000000"/>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 xml:space="preserve">De lo anterior, se desprende </w:t>
      </w:r>
      <w:r>
        <w:rPr>
          <w:rFonts w:ascii="Palatino Linotype" w:eastAsia="Palatino Linotype" w:hAnsi="Palatino Linotype" w:cs="Palatino Linotype"/>
        </w:rPr>
        <w:t>que la información generada, obtenida, adquirida, transmitida, administrada o en posesión de los Sujetos Obligados, será accesible de manera permanente a cualquier persona, privilegiando el principio de máxima publicidad de la información.</w:t>
      </w: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rsidR="004E5085" w:rsidRDefault="004E5085">
      <w:pPr>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 xml:space="preserve">En síntesis, </w:t>
      </w:r>
      <w:r>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w:t>
      </w:r>
      <w:r>
        <w:rPr>
          <w:rFonts w:ascii="Palatino Linotype" w:eastAsia="Palatino Linotype" w:hAnsi="Palatino Linotype" w:cs="Palatino Linotype"/>
          <w:i/>
          <w:iCs/>
          <w:color w:val="000000"/>
        </w:rPr>
        <w:lastRenderedPageBreak/>
        <w:t xml:space="preserve">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4E5085" w:rsidRDefault="004E5085">
      <w:pPr>
        <w:pBdr>
          <w:top w:val="nil"/>
          <w:left w:val="nil"/>
          <w:bottom w:val="nil"/>
          <w:right w:val="nil"/>
          <w:between w:val="nil"/>
        </w:pBdr>
        <w:tabs>
          <w:tab w:val="left" w:pos="709"/>
          <w:tab w:val="left" w:pos="1985"/>
        </w:tabs>
        <w:spacing w:line="360" w:lineRule="auto"/>
        <w:ind w:left="567" w:right="-702"/>
        <w:jc w:val="both"/>
        <w:rPr>
          <w:rFonts w:ascii="Palatino Linotype" w:eastAsia="Palatino Linotype" w:hAnsi="Palatino Linotype" w:cs="Palatino Linotype"/>
          <w:i/>
          <w:iCs/>
          <w:color w:val="000000"/>
        </w:rPr>
      </w:pP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Resoluciones: </w:t>
      </w:r>
    </w:p>
    <w:p w:rsidR="004E5085" w:rsidRDefault="00507C28">
      <w:pPr>
        <w:ind w:left="567" w:right="-702"/>
        <w:jc w:val="both"/>
        <w:rPr>
          <w:rFonts w:ascii="Palatino Linotype" w:eastAsia="Palatino Linotype" w:hAnsi="Palatino Linotype" w:cs="Palatino Linotype"/>
          <w:i/>
          <w:iCs/>
          <w:color w:val="000000"/>
        </w:rPr>
      </w:pPr>
      <w:r>
        <w:rPr>
          <w:rFonts w:ascii="Symbol" w:eastAsia="Symbol" w:hAnsi="Symbol" w:cs="Symbol"/>
          <w:i/>
          <w:iCs/>
          <w:color w:val="000000"/>
        </w:rPr>
        <w:t>∙</w:t>
      </w:r>
      <w:r>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rsidR="004E5085" w:rsidRDefault="00507C28">
      <w:pPr>
        <w:ind w:left="567" w:right="-702"/>
        <w:jc w:val="both"/>
        <w:rPr>
          <w:rFonts w:ascii="Palatino Linotype" w:eastAsia="Palatino Linotype" w:hAnsi="Palatino Linotype" w:cs="Palatino Linotype"/>
          <w:i/>
          <w:iCs/>
          <w:color w:val="000000"/>
        </w:rPr>
      </w:pPr>
      <w:r>
        <w:rPr>
          <w:rFonts w:ascii="Symbol" w:eastAsia="Symbol" w:hAnsi="Symbol" w:cs="Symbol"/>
          <w:i/>
          <w:iCs/>
          <w:color w:val="000000"/>
        </w:rPr>
        <w:t>∙</w:t>
      </w:r>
      <w:r>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rsidR="004E5085" w:rsidRDefault="00507C28">
      <w:pPr>
        <w:ind w:left="567" w:right="-702"/>
        <w:jc w:val="both"/>
        <w:rPr>
          <w:rFonts w:ascii="Palatino Linotype" w:eastAsia="Palatino Linotype" w:hAnsi="Palatino Linotype" w:cs="Palatino Linotype"/>
          <w:i/>
          <w:iCs/>
          <w:color w:val="000000"/>
        </w:rPr>
      </w:pPr>
      <w:r>
        <w:rPr>
          <w:rFonts w:ascii="Symbol" w:eastAsia="Symbol" w:hAnsi="Symbol" w:cs="Symbol"/>
          <w:i/>
          <w:iCs/>
          <w:color w:val="000000"/>
        </w:rPr>
        <w:t>∙</w:t>
      </w:r>
      <w:r>
        <w:rPr>
          <w:rFonts w:ascii="Palatino Linotype" w:eastAsia="Palatino Linotype" w:hAnsi="Palatino Linotype" w:cs="Palatino Linotype"/>
          <w:i/>
          <w:iCs/>
          <w:color w:val="000000"/>
        </w:rPr>
        <w:t xml:space="preserve"> RRA 1889/16. Secretaría de Hacienda y Crédito Público. 05 de octubre de 2016. Por unanimidad. Comisionada Ponente. Ximena Puente de la Mora.”</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 xml:space="preserve">Asimismo, </w:t>
      </w:r>
      <w:r>
        <w:rPr>
          <w:rFonts w:ascii="Palatino Linotype" w:eastAsia="Palatino Linotype" w:hAnsi="Palatino Linotype" w:cs="Palatino Linotype"/>
        </w:rPr>
        <w:t>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Expuesto lo anterior, se tiene que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xml:space="preserve"> modificó la respuesta inicial y aportó información novedosa.</w:t>
      </w:r>
    </w:p>
    <w:p w:rsidR="004E5085" w:rsidRDefault="004E5085">
      <w:pPr>
        <w:spacing w:line="360" w:lineRule="auto"/>
        <w:ind w:right="-702"/>
        <w:jc w:val="both"/>
        <w:rPr>
          <w:rFonts w:ascii="Palatino Linotype" w:eastAsia="Palatino Linotype" w:hAnsi="Palatino Linotype" w:cs="Palatino Linotype"/>
        </w:rPr>
      </w:pPr>
    </w:p>
    <w:p w:rsidR="004E5085" w:rsidRDefault="00507C28">
      <w:pPr>
        <w:numPr>
          <w:ilvl w:val="0"/>
          <w:numId w:val="2"/>
        </w:numPr>
        <w:spacing w:line="360" w:lineRule="auto"/>
        <w:ind w:left="0" w:right="-702" w:firstLine="0"/>
        <w:jc w:val="both"/>
      </w:pPr>
      <w:r>
        <w:rPr>
          <w:rFonts w:ascii="Palatino Linotype" w:eastAsia="Palatino Linotype" w:hAnsi="Palatino Linotype" w:cs="Palatino Linotype"/>
          <w:color w:val="000000"/>
        </w:rPr>
        <w:t xml:space="preserve">En este sentido, </w:t>
      </w:r>
      <w:r>
        <w:rPr>
          <w:rFonts w:ascii="Palatino Linotype" w:eastAsia="Palatino Linotype" w:hAnsi="Palatino Linotype" w:cs="Palatino Linotype"/>
        </w:rPr>
        <w:t xml:space="preserve">es dable sostener que, al haber existido un pronunciamiento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rsidR="004E5085" w:rsidRDefault="004E5085">
      <w:pPr>
        <w:spacing w:line="360" w:lineRule="auto"/>
        <w:ind w:right="-702"/>
        <w:jc w:val="both"/>
        <w:rPr>
          <w:rFonts w:ascii="Palatino Linotype" w:eastAsia="Palatino Linotype" w:hAnsi="Palatino Linotype" w:cs="Palatino Linotype"/>
        </w:rPr>
      </w:pPr>
    </w:p>
    <w:p w:rsidR="004E5085" w:rsidRPr="00D521AD"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Así, este Pleno advierte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modificó </w:t>
      </w:r>
      <w:r>
        <w:rPr>
          <w:rFonts w:ascii="Palatino Linotype" w:eastAsia="Palatino Linotype" w:hAnsi="Palatino Linotype" w:cs="Palatino Linotype"/>
        </w:rPr>
        <w:t>el acto que le dio origen al recurso de revisión, lo que trae como consecuencia que el mismo quede sin materia, actualizándose de este modo, la hipótesis jurídica contenida en la fracción III del artículo 192 de la Ley de Transparencia Local.</w:t>
      </w:r>
    </w:p>
    <w:p w:rsidR="00D521AD" w:rsidRDefault="00D521AD" w:rsidP="00D521AD">
      <w:pPr>
        <w:spacing w:line="360" w:lineRule="auto"/>
        <w:ind w:right="-702"/>
        <w:jc w:val="both"/>
        <w:rPr>
          <w:rFonts w:ascii="Palatino Linotype" w:eastAsia="Palatino Linotype" w:hAnsi="Palatino Linotype" w:cs="Palatino Linotype"/>
          <w:b/>
          <w:bCs/>
        </w:rPr>
      </w:pPr>
    </w:p>
    <w:p w:rsidR="004E5085" w:rsidRPr="00D521AD"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bien, </w:t>
      </w:r>
      <w:r>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o la negativa de entrega de la misma, derivada de la solicitud de información pública.</w:t>
      </w:r>
    </w:p>
    <w:p w:rsidR="00D521AD" w:rsidRDefault="00D521AD" w:rsidP="00D521AD">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 xml:space="preserve">este modo, cuando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Sirve </w:t>
      </w:r>
      <w:r>
        <w:rPr>
          <w:rFonts w:ascii="Palatino Linotype" w:eastAsia="Palatino Linotype" w:hAnsi="Palatino Linotype" w:cs="Palatino Linotype"/>
        </w:rPr>
        <w:t>de sustento a lo anterior la siguiente jurisprudencia por contradicción, cuyo rubro, texto y datos de identificación son los siguientes:</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w:t>
      </w:r>
      <w:r>
        <w:rPr>
          <w:rFonts w:ascii="Palatino Linotype" w:eastAsia="Palatino Linotype" w:hAnsi="Palatino Linotype" w:cs="Palatino Linotype"/>
          <w:i/>
          <w:iCs/>
          <w:color w:val="000000"/>
        </w:rPr>
        <w:lastRenderedPageBreak/>
        <w:t>OTRO JUICIO DE AMPARO O EL MEDIO ORDINARIO DE DEFENSA QUE PROCEDA.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4E5085" w:rsidRDefault="004E5085">
      <w:pPr>
        <w:spacing w:line="360" w:lineRule="auto"/>
        <w:ind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rPr>
        <w:t>anterior jurisprudencia resulta aplicable al presente asunto, en dos aspectos:</w:t>
      </w:r>
    </w:p>
    <w:p w:rsidR="004E5085" w:rsidRDefault="00507C28">
      <w:pPr>
        <w:numPr>
          <w:ilvl w:val="0"/>
          <w:numId w:val="4"/>
        </w:numPr>
        <w:spacing w:line="360" w:lineRule="auto"/>
        <w:ind w:left="567" w:right="-702" w:firstLine="0"/>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4E5085" w:rsidRDefault="00507C28">
      <w:pPr>
        <w:numPr>
          <w:ilvl w:val="0"/>
          <w:numId w:val="4"/>
        </w:numPr>
        <w:spacing w:line="360" w:lineRule="auto"/>
        <w:ind w:left="567" w:right="-702" w:firstLine="0"/>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Eduardo Pallares, </w:t>
      </w:r>
      <w:r>
        <w:rPr>
          <w:rFonts w:ascii="Palatino Linotype" w:eastAsia="Palatino Linotype" w:hAnsi="Palatino Linotype" w:cs="Palatino Linotype"/>
        </w:rPr>
        <w:t xml:space="preserve">en su artículo </w:t>
      </w:r>
      <w:r>
        <w:rPr>
          <w:rFonts w:ascii="Palatino Linotype" w:eastAsia="Palatino Linotype" w:hAnsi="Palatino Linotype" w:cs="Palatino Linotype"/>
          <w:i/>
          <w:iCs/>
        </w:rPr>
        <w:t>“La caducidad y el sobreseimiento en el amparo”</w:t>
      </w:r>
      <w:r>
        <w:rPr>
          <w:rFonts w:ascii="Palatino Linotype" w:eastAsia="Palatino Linotype" w:hAnsi="Palatino Linotype" w:cs="Palatino Linotype"/>
        </w:rPr>
        <w:t xml:space="preserve">, cita la definición de Aguilera Paz, aduciendo que se </w:t>
      </w:r>
      <w:r>
        <w:rPr>
          <w:rFonts w:ascii="Palatino Linotype" w:eastAsia="Palatino Linotype" w:hAnsi="Palatino Linotype" w:cs="Palatino Linotype"/>
          <w:i/>
          <w:iCs/>
        </w:rPr>
        <w:t xml:space="preserve">“...entiende por sobreseimiento en el tecnicismo forense, </w:t>
      </w:r>
      <w:r>
        <w:rPr>
          <w:rFonts w:ascii="Palatino Linotype" w:eastAsia="Palatino Linotype" w:hAnsi="Palatino Linotype" w:cs="Palatino Linotype"/>
          <w:i/>
          <w:iCs/>
        </w:rPr>
        <w:lastRenderedPageBreak/>
        <w:t>el hecho de cesar en el procedimiento o curso de la causa, por no existir méritos bastantes para entrar en un juicio o para entablar la contienda judicial que debe ser objeto del mismo...”</w:t>
      </w:r>
      <w:r>
        <w:rPr>
          <w:rFonts w:ascii="Palatino Linotype" w:eastAsia="Palatino Linotype" w:hAnsi="Palatino Linotype" w:cs="Palatino Linotype"/>
        </w:rPr>
        <w:t>. Asimismo, señala que existe el sobreseimiento provisional y el definitivo</w:t>
      </w:r>
      <w:r>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para la doctrina el sobreseimiento provoca que un procedimiento se suspenda o se resuelva en definitiva </w:t>
      </w:r>
      <w:r>
        <w:rPr>
          <w:rFonts w:ascii="Palatino Linotype" w:eastAsia="Palatino Linotype" w:hAnsi="Palatino Linotype" w:cs="Palatino Linotype"/>
          <w:b/>
          <w:bCs/>
        </w:rPr>
        <w:t>sin que se entre al estudio de los agravios o motivos de inconformidad.</w:t>
      </w:r>
    </w:p>
    <w:p w:rsidR="004E5085" w:rsidRDefault="004E5085">
      <w:pPr>
        <w:pBdr>
          <w:top w:val="nil"/>
          <w:left w:val="nil"/>
          <w:bottom w:val="nil"/>
          <w:right w:val="nil"/>
          <w:between w:val="nil"/>
        </w:pBdr>
        <w:spacing w:line="360" w:lineRule="auto"/>
        <w:ind w:left="720" w:right="-702"/>
        <w:rPr>
          <w:rFonts w:ascii="Palatino Linotype" w:eastAsia="Palatino Linotype" w:hAnsi="Palatino Linotype" w:cs="Palatino Linotype"/>
          <w:color w:val="000000"/>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SOBRESEIMIENTO EN EL JUICIO DE AMPARO DIRECTO. IMPIDE EL ESTUDIO DE LAS VIOLACIONES PROCESALES PLANTEADAS EN LOS CONCEPTOS DE VIOLACIÓN.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SÉPTIMO TRIBUNAL COLEGIADO EN MATERIA CIVIL DEL PRIMER CIRCUITO.</w:t>
      </w:r>
    </w:p>
    <w:p w:rsidR="004E5085" w:rsidRDefault="00507C28">
      <w:pPr>
        <w:ind w:left="567" w:right="-70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directo 699/2008. Mariana Leticia González Steele. 13 de noviembre de 2008. Unanimidad de votos. Ponente: Sara Judith Montalvo Trejo. Secretario: Arnulfo Mateos García.</w:t>
      </w:r>
    </w:p>
    <w:p w:rsidR="004E5085" w:rsidRDefault="004E5085">
      <w:pPr>
        <w:ind w:left="567" w:right="-702"/>
        <w:jc w:val="both"/>
        <w:rPr>
          <w:rFonts w:ascii="Palatino Linotype" w:eastAsia="Palatino Linotype" w:hAnsi="Palatino Linotype" w:cs="Palatino Linotype"/>
          <w:i/>
          <w:iCs/>
          <w:color w:val="000000"/>
        </w:rPr>
      </w:pPr>
    </w:p>
    <w:p w:rsidR="00D521AD" w:rsidRDefault="00D521AD">
      <w:pPr>
        <w:ind w:left="567" w:right="-702"/>
        <w:jc w:val="both"/>
        <w:rPr>
          <w:rFonts w:ascii="Palatino Linotype" w:eastAsia="Palatino Linotype" w:hAnsi="Palatino Linotype" w:cs="Palatino Linotype"/>
          <w:i/>
          <w:iCs/>
          <w:color w:val="000000"/>
        </w:rPr>
      </w:pPr>
    </w:p>
    <w:p w:rsidR="004E5085" w:rsidRPr="00D521AD"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Consecuentemente, </w:t>
      </w:r>
      <w:r>
        <w:rPr>
          <w:rFonts w:ascii="Palatino Linotype" w:eastAsia="Palatino Linotype" w:hAnsi="Palatino Linotype" w:cs="Palatino Linotype"/>
        </w:rPr>
        <w:t xml:space="preserve">por lo que hace a los motivos de inconformidad, los mismos devienen inatendibles por actualizarse la figura del sobreseimiento, misma que impide el </w:t>
      </w:r>
      <w:r>
        <w:rPr>
          <w:rFonts w:ascii="Palatino Linotype" w:eastAsia="Palatino Linotype" w:hAnsi="Palatino Linotype" w:cs="Palatino Linotype"/>
        </w:rPr>
        <w:lastRenderedPageBreak/>
        <w:t>estudio de los agravios planteados, máxime que se ha dado cumplimiento al derecho de acceso a la información.</w:t>
      </w:r>
    </w:p>
    <w:p w:rsidR="00D521AD" w:rsidRDefault="00D521AD" w:rsidP="00D521AD">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Bajo </w:t>
      </w:r>
      <w:r>
        <w:rPr>
          <w:rFonts w:ascii="Palatino Linotype" w:eastAsia="Palatino Linotype" w:hAnsi="Palatino Linotype" w:cs="Palatino Linotype"/>
        </w:rPr>
        <w:t xml:space="preserve">ese tenor y en términos del artículo 186 fracción I este Pleno determina el </w:t>
      </w:r>
      <w:r>
        <w:rPr>
          <w:rFonts w:ascii="Palatino Linotype" w:eastAsia="Palatino Linotype" w:hAnsi="Palatino Linotype" w:cs="Palatino Linotype"/>
          <w:b/>
          <w:bCs/>
        </w:rPr>
        <w:t xml:space="preserve">SOBRESEIMIENTO </w:t>
      </w:r>
      <w:r>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numPr>
          <w:ilvl w:val="0"/>
          <w:numId w:val="2"/>
        </w:numPr>
        <w:spacing w:line="360" w:lineRule="auto"/>
        <w:ind w:left="0" w:right="-702" w:firstLine="0"/>
        <w:jc w:val="both"/>
        <w:rPr>
          <w:rFonts w:ascii="Palatino Linotype" w:eastAsia="Palatino Linotype" w:hAnsi="Palatino Linotype" w:cs="Palatino Linotype"/>
          <w:b/>
          <w:bCs/>
        </w:rPr>
      </w:pP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w:t>
      </w:r>
    </w:p>
    <w:p w:rsidR="004E5085" w:rsidRDefault="004E5085">
      <w:pPr>
        <w:spacing w:line="360" w:lineRule="auto"/>
        <w:ind w:right="-702"/>
        <w:jc w:val="both"/>
        <w:rPr>
          <w:rFonts w:ascii="Palatino Linotype" w:eastAsia="Palatino Linotype" w:hAnsi="Palatino Linotype" w:cs="Palatino Linotype"/>
          <w:b/>
          <w:bCs/>
        </w:rPr>
      </w:pPr>
    </w:p>
    <w:p w:rsidR="004E5085" w:rsidRDefault="00507C28">
      <w:pPr>
        <w:keepNext/>
        <w:keepLines/>
        <w:spacing w:line="360" w:lineRule="auto"/>
        <w:ind w:right="-702"/>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4E5085" w:rsidRDefault="004E5085">
      <w:pPr>
        <w:keepNext/>
        <w:keepLines/>
        <w:spacing w:line="360" w:lineRule="auto"/>
        <w:ind w:right="-702"/>
        <w:rPr>
          <w:rFonts w:ascii="Palatino Linotype" w:eastAsia="Palatino Linotype" w:hAnsi="Palatino Linotype" w:cs="Palatino Linotype"/>
          <w:b/>
          <w:bCs/>
          <w:color w:val="000000"/>
        </w:rPr>
      </w:pPr>
    </w:p>
    <w:p w:rsidR="004E5085" w:rsidRDefault="00507C28">
      <w:pPr>
        <w:spacing w:line="360" w:lineRule="auto"/>
        <w:ind w:right="-70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2388/INFOEM/IP/RR/2026 </w:t>
      </w:r>
      <w:r>
        <w:rPr>
          <w:rFonts w:ascii="Palatino Linotype" w:eastAsia="Palatino Linotype" w:hAnsi="Palatino Linotype" w:cs="Palatino Linotype"/>
        </w:rPr>
        <w:t>conforme al artículo 192 fracción III</w:t>
      </w:r>
      <w:r w:rsidR="007802DA">
        <w:rPr>
          <w:rFonts w:ascii="Palatino Linotype" w:eastAsia="Palatino Linotype" w:hAnsi="Palatino Linotype" w:cs="Palatino Linotype"/>
        </w:rPr>
        <w:t>,</w:t>
      </w:r>
      <w:r>
        <w:rPr>
          <w:rFonts w:ascii="Palatino Linotype" w:eastAsia="Palatino Linotype" w:hAnsi="Palatino Linotype" w:cs="Palatino Linotype"/>
        </w:rPr>
        <w:t xml:space="preserve"> de la Ley de Transparencia y Acceso a la Información Pública del Estado de México y Municipios, porque al </w:t>
      </w:r>
      <w:r>
        <w:rPr>
          <w:rFonts w:ascii="Palatino Linotype" w:eastAsia="Palatino Linotype" w:hAnsi="Palatino Linotype" w:cs="Palatino Linotype"/>
          <w:b/>
          <w:bCs/>
        </w:rPr>
        <w:t>modificar la respuesta a través del informe justificado</w:t>
      </w:r>
      <w:r>
        <w:rPr>
          <w:rFonts w:ascii="Palatino Linotype" w:eastAsia="Palatino Linotype" w:hAnsi="Palatino Linotype" w:cs="Palatino Linotype"/>
        </w:rPr>
        <w:t xml:space="preserve">, el recurso de revisión quedó sin materia en términos del Considerando </w:t>
      </w:r>
      <w:r>
        <w:rPr>
          <w:rFonts w:ascii="Palatino Linotype" w:eastAsia="Palatino Linotype" w:hAnsi="Palatino Linotype" w:cs="Palatino Linotype"/>
          <w:b/>
          <w:bCs/>
        </w:rPr>
        <w:t>TERCERO</w:t>
      </w:r>
      <w:r>
        <w:rPr>
          <w:rFonts w:ascii="Palatino Linotype" w:eastAsia="Palatino Linotype" w:hAnsi="Palatino Linotype" w:cs="Palatino Linotype"/>
        </w:rPr>
        <w:t xml:space="preserve"> de la presente resolución.</w:t>
      </w:r>
    </w:p>
    <w:p w:rsidR="004E5085" w:rsidRDefault="00507C28">
      <w:pPr>
        <w:spacing w:before="240" w:after="240" w:line="360" w:lineRule="auto"/>
        <w:ind w:right="-702"/>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SEGUNDO.</w:t>
      </w:r>
      <w:r>
        <w:rPr>
          <w:rFonts w:ascii="Palatino Linotype" w:eastAsia="Palatino Linotype" w:hAnsi="Palatino Linotype" w:cs="Palatino Linotype"/>
          <w:color w:val="000000"/>
        </w:rPr>
        <w:t xml:space="preserve"> </w:t>
      </w:r>
      <w:r w:rsidR="007802DA">
        <w:rPr>
          <w:rFonts w:ascii="Palatino Linotype" w:eastAsia="Palatino Linotype" w:hAnsi="Palatino Linotype" w:cs="Palatino Linotype"/>
          <w:b/>
          <w:bCs/>
        </w:rPr>
        <w:t>Notifíquese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la presente resolución al Titular de la Unidad de Transparencia del</w:t>
      </w:r>
      <w:r>
        <w:rPr>
          <w:rFonts w:ascii="Palatino Linotype" w:eastAsia="Palatino Linotype" w:hAnsi="Palatino Linotype" w:cs="Palatino Linotype"/>
          <w:b/>
          <w:bCs/>
        </w:rPr>
        <w:t xml:space="preserve"> SUJETO OBLIGADO.</w:t>
      </w:r>
    </w:p>
    <w:p w:rsidR="004E5085" w:rsidRDefault="00507C28">
      <w:pPr>
        <w:shd w:val="clear" w:color="auto" w:fill="FFFFFF"/>
        <w:spacing w:before="240" w:line="360" w:lineRule="auto"/>
        <w:ind w:right="-702"/>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TERCERO.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a través del Sistema de Acceso a la Información Mexiquense </w:t>
      </w:r>
      <w:r>
        <w:rPr>
          <w:rFonts w:ascii="Palatino Linotype" w:eastAsia="Palatino Linotype" w:hAnsi="Palatino Linotype" w:cs="Palatino Linotype"/>
          <w:b/>
          <w:bCs/>
        </w:rPr>
        <w:t>(SAIMEX).</w:t>
      </w:r>
    </w:p>
    <w:p w:rsidR="004E5085" w:rsidRDefault="00507C28">
      <w:pPr>
        <w:spacing w:line="360" w:lineRule="auto"/>
        <w:ind w:right="-702"/>
        <w:jc w:val="both"/>
        <w:rPr>
          <w:rFonts w:ascii="Palatino Linotype" w:eastAsia="Palatino Linotype" w:hAnsi="Palatino Linotype" w:cs="Palatino Linotype"/>
        </w:rPr>
      </w:pPr>
      <w:r>
        <w:rPr>
          <w:rFonts w:ascii="Palatino Linotype" w:eastAsia="Palatino Linotype" w:hAnsi="Palatino Linotype" w:cs="Palatino Linotype"/>
          <w:b/>
          <w:bCs/>
          <w:color w:val="000000"/>
        </w:rPr>
        <w:lastRenderedPageBreak/>
        <w:t>CUARTO.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802DA" w:rsidRDefault="007802DA">
      <w:pPr>
        <w:spacing w:line="360" w:lineRule="auto"/>
        <w:ind w:right="-702"/>
        <w:jc w:val="both"/>
        <w:rPr>
          <w:rFonts w:ascii="Palatino Linotype" w:eastAsia="Palatino Linotype" w:hAnsi="Palatino Linotype" w:cs="Palatino Linotype"/>
        </w:rPr>
      </w:pPr>
    </w:p>
    <w:p w:rsidR="007802DA" w:rsidRPr="003E2295" w:rsidRDefault="007802DA" w:rsidP="007802DA">
      <w:pPr>
        <w:spacing w:before="240" w:after="240" w:line="360" w:lineRule="auto"/>
        <w:ind w:right="-709" w:firstLine="1"/>
        <w:jc w:val="both"/>
        <w:rPr>
          <w:rFonts w:ascii="Palatino Linotype" w:hAnsi="Palatino Linotype"/>
        </w:rPr>
      </w:pPr>
      <w:bookmarkStart w:id="3" w:name="_heading=h.ifj4wqy7b4y9" w:colFirst="0" w:colLast="0"/>
      <w:bookmarkStart w:id="4" w:name="_heading=h.iqwejyge5rnk" w:colFirst="0" w:colLast="0"/>
      <w:bookmarkStart w:id="5" w:name="_Hlk99014733"/>
      <w:bookmarkEnd w:id="3"/>
      <w:bookmarkEnd w:id="4"/>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5"/>
    <w:p w:rsidR="004E5085" w:rsidRDefault="004E5085" w:rsidP="007802DA">
      <w:pPr>
        <w:spacing w:before="240" w:after="240" w:line="360" w:lineRule="auto"/>
        <w:ind w:right="-709"/>
        <w:jc w:val="both"/>
        <w:rPr>
          <w:rFonts w:ascii="Palatino Linotype" w:eastAsia="Palatino Linotype" w:hAnsi="Palatino Linotype" w:cs="Palatino Linotype"/>
        </w:rPr>
      </w:pPr>
    </w:p>
    <w:p w:rsidR="004E5085" w:rsidRDefault="004E5085" w:rsidP="007802DA">
      <w:pPr>
        <w:spacing w:before="240" w:after="240" w:line="360" w:lineRule="auto"/>
        <w:ind w:right="-709"/>
        <w:jc w:val="both"/>
        <w:rPr>
          <w:rFonts w:ascii="Palatino Linotype" w:eastAsia="Palatino Linotype" w:hAnsi="Palatino Linotype" w:cs="Palatino Linotype"/>
        </w:rPr>
      </w:pPr>
      <w:bookmarkStart w:id="6" w:name="_heading=h.lwu1nkcclowi" w:colFirst="0" w:colLast="0"/>
      <w:bookmarkEnd w:id="6"/>
    </w:p>
    <w:p w:rsidR="004E5085" w:rsidRDefault="004E5085">
      <w:pPr>
        <w:spacing w:before="240" w:after="240" w:line="360" w:lineRule="auto"/>
        <w:ind w:right="-702"/>
        <w:jc w:val="both"/>
        <w:rPr>
          <w:rFonts w:ascii="Palatino Linotype" w:eastAsia="Palatino Linotype" w:hAnsi="Palatino Linotype" w:cs="Palatino Linotype"/>
        </w:rPr>
      </w:pPr>
      <w:bookmarkStart w:id="7" w:name="_heading=h.1hjw3mz9k2zw" w:colFirst="0" w:colLast="0"/>
      <w:bookmarkEnd w:id="7"/>
    </w:p>
    <w:p w:rsidR="004E5085" w:rsidRDefault="004E5085">
      <w:pPr>
        <w:spacing w:before="240" w:after="240" w:line="360" w:lineRule="auto"/>
        <w:ind w:right="-702"/>
        <w:jc w:val="both"/>
        <w:rPr>
          <w:rFonts w:ascii="Palatino Linotype" w:eastAsia="Palatino Linotype" w:hAnsi="Palatino Linotype" w:cs="Palatino Linotype"/>
        </w:rPr>
      </w:pPr>
      <w:bookmarkStart w:id="8" w:name="_heading=h.e78avyh6a30z" w:colFirst="0" w:colLast="0"/>
      <w:bookmarkEnd w:id="8"/>
    </w:p>
    <w:p w:rsidR="004E5085" w:rsidRDefault="004E5085">
      <w:pPr>
        <w:spacing w:before="240" w:after="240" w:line="360" w:lineRule="auto"/>
        <w:ind w:right="-702"/>
        <w:jc w:val="both"/>
        <w:rPr>
          <w:rFonts w:ascii="Palatino Linotype" w:eastAsia="Palatino Linotype" w:hAnsi="Palatino Linotype" w:cs="Palatino Linotype"/>
        </w:rPr>
      </w:pPr>
      <w:bookmarkStart w:id="9" w:name="_heading=h.ooo8skaivgcs" w:colFirst="0" w:colLast="0"/>
      <w:bookmarkEnd w:id="9"/>
    </w:p>
    <w:p w:rsidR="004E5085" w:rsidRDefault="004E5085">
      <w:pPr>
        <w:spacing w:before="240" w:after="240" w:line="360" w:lineRule="auto"/>
        <w:ind w:right="-702"/>
        <w:jc w:val="both"/>
        <w:rPr>
          <w:rFonts w:ascii="Palatino Linotype" w:eastAsia="Palatino Linotype" w:hAnsi="Palatino Linotype" w:cs="Palatino Linotype"/>
        </w:rPr>
      </w:pPr>
    </w:p>
    <w:p w:rsidR="004E5085" w:rsidRDefault="004E5085">
      <w:pPr>
        <w:spacing w:line="360" w:lineRule="auto"/>
        <w:ind w:right="-702"/>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4E5085" w:rsidRDefault="004E5085">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p w:rsidR="00EF5453" w:rsidRDefault="00EF5453">
      <w:pPr>
        <w:spacing w:line="360" w:lineRule="auto"/>
        <w:ind w:right="-702"/>
        <w:jc w:val="both"/>
        <w:rPr>
          <w:rFonts w:ascii="Palatino Linotype" w:eastAsia="Palatino Linotype" w:hAnsi="Palatino Linotype" w:cs="Palatino Linotype"/>
        </w:rPr>
      </w:pPr>
    </w:p>
    <w:sectPr w:rsidR="00EF5453">
      <w:headerReference w:type="even" r:id="rId18"/>
      <w:headerReference w:type="default" r:id="rId19"/>
      <w:footerReference w:type="default" r:id="rId20"/>
      <w:headerReference w:type="first" r:id="rId21"/>
      <w:footerReference w:type="first" r:id="rId22"/>
      <w:pgSz w:w="12240" w:h="15840"/>
      <w:pgMar w:top="80" w:right="129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7F2" w:rsidRDefault="000337F2">
      <w:r>
        <w:separator/>
      </w:r>
    </w:p>
  </w:endnote>
  <w:endnote w:type="continuationSeparator" w:id="0">
    <w:p w:rsidR="000337F2" w:rsidRDefault="0003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50973C22-0667-42DC-8294-7C97D70CA396}"/>
    <w:embedBold r:id="rId2" w:fontKey="{57BD5048-0DFC-4E47-8CFE-149F359C68F6}"/>
    <w:embedItalic r:id="rId3" w:fontKey="{09A95B5A-BD62-4AC3-A561-AEE87BDA2F59}"/>
    <w:embedBoldItalic r:id="rId4" w:fontKey="{B6EFCEC1-8F6D-46C3-9C1C-BD7DF0AB4729}"/>
  </w:font>
  <w:font w:name="Noto Sans Symbols">
    <w:altName w:val="Times New Roman"/>
    <w:charset w:val="00"/>
    <w:family w:val="auto"/>
    <w:pitch w:val="default"/>
    <w:embedRegular r:id="rId5" w:fontKey="{3C1011CB-FF1F-4207-9878-BBF8840F6C0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A4E8936-EF94-4D41-B8C6-99259EB222F8}"/>
  </w:font>
  <w:font w:name="Georgia">
    <w:panose1 w:val="02040502050405020303"/>
    <w:charset w:val="00"/>
    <w:family w:val="roman"/>
    <w:pitch w:val="variable"/>
    <w:sig w:usb0="00000287" w:usb1="00000000" w:usb2="00000000" w:usb3="00000000" w:csb0="0000009F" w:csb1="00000000"/>
    <w:embedItalic r:id="rId7" w:fontKey="{CC18173C-0393-43C7-AA6F-0457A0EC27AF}"/>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8" w:fontKey="{D8DE2AF9-4C6B-44DC-9F42-6C3CBAB21EF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FFCDD596-6B6F-46B0-B377-920EBB40CC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85" w:rsidRDefault="00507C2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F43A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F43A5">
      <w:rPr>
        <w:rFonts w:ascii="Palatino Linotype" w:eastAsia="Palatino Linotype" w:hAnsi="Palatino Linotype" w:cs="Palatino Linotype"/>
        <w:b/>
        <w:bCs/>
        <w:noProof/>
        <w:color w:val="000000"/>
        <w:sz w:val="22"/>
        <w:szCs w:val="22"/>
      </w:rPr>
      <w:t>27</w:t>
    </w:r>
    <w:r>
      <w:rPr>
        <w:rFonts w:ascii="Palatino Linotype" w:eastAsia="Palatino Linotype" w:hAnsi="Palatino Linotype" w:cs="Palatino Linotype"/>
        <w:b/>
        <w:bCs/>
        <w:color w:val="000000"/>
        <w:sz w:val="22"/>
        <w:szCs w:val="22"/>
      </w:rPr>
      <w:fldChar w:fldCharType="end"/>
    </w:r>
  </w:p>
  <w:p w:rsidR="004E5085" w:rsidRDefault="004E5085">
    <w:pPr>
      <w:pBdr>
        <w:top w:val="nil"/>
        <w:left w:val="nil"/>
        <w:bottom w:val="nil"/>
        <w:right w:val="nil"/>
        <w:between w:val="nil"/>
      </w:pBdr>
      <w:tabs>
        <w:tab w:val="center" w:pos="4419"/>
        <w:tab w:val="right" w:pos="8838"/>
      </w:tabs>
      <w:rPr>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85" w:rsidRDefault="00507C2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F43A5">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F43A5">
      <w:rPr>
        <w:rFonts w:ascii="Palatino Linotype" w:eastAsia="Palatino Linotype" w:hAnsi="Palatino Linotype" w:cs="Palatino Linotype"/>
        <w:b/>
        <w:bCs/>
        <w:noProof/>
        <w:color w:val="000000"/>
        <w:sz w:val="22"/>
        <w:szCs w:val="22"/>
      </w:rPr>
      <w:t>27</w:t>
    </w:r>
    <w:r>
      <w:rPr>
        <w:rFonts w:ascii="Palatino Linotype" w:eastAsia="Palatino Linotype" w:hAnsi="Palatino Linotype" w:cs="Palatino Linotype"/>
        <w:b/>
        <w:bCs/>
        <w:color w:val="000000"/>
        <w:sz w:val="22"/>
        <w:szCs w:val="22"/>
      </w:rPr>
      <w:fldChar w:fldCharType="end"/>
    </w:r>
  </w:p>
  <w:p w:rsidR="004E5085" w:rsidRDefault="004E5085">
    <w:pPr>
      <w:pBdr>
        <w:top w:val="nil"/>
        <w:left w:val="nil"/>
        <w:bottom w:val="nil"/>
        <w:right w:val="nil"/>
        <w:between w:val="nil"/>
      </w:pBdr>
      <w:tabs>
        <w:tab w:val="center" w:pos="4419"/>
        <w:tab w:val="right" w:pos="88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7F2" w:rsidRDefault="000337F2">
      <w:r>
        <w:separator/>
      </w:r>
    </w:p>
  </w:footnote>
  <w:footnote w:type="continuationSeparator" w:id="0">
    <w:p w:rsidR="000337F2" w:rsidRDefault="000337F2">
      <w:r>
        <w:continuationSeparator/>
      </w:r>
    </w:p>
  </w:footnote>
  <w:footnote w:id="1">
    <w:p w:rsidR="004E5085" w:rsidRDefault="00507C2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rsidR="004E5085" w:rsidRDefault="00507C2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rsidR="004E5085" w:rsidRDefault="00507C2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rsidR="004E5085" w:rsidRDefault="00507C2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85" w:rsidRDefault="000337F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80" w:type="dxa"/>
      <w:tblInd w:w="0" w:type="dxa"/>
      <w:tblLayout w:type="fixed"/>
      <w:tblLook w:val="0400" w:firstRow="0" w:lastRow="0" w:firstColumn="0" w:lastColumn="0" w:noHBand="0" w:noVBand="1"/>
    </w:tblPr>
    <w:tblGrid>
      <w:gridCol w:w="2265"/>
      <w:gridCol w:w="8115"/>
    </w:tblGrid>
    <w:tr w:rsidR="004E5085">
      <w:trPr>
        <w:trHeight w:val="1435"/>
      </w:trPr>
      <w:tc>
        <w:tcPr>
          <w:tcW w:w="2265" w:type="dxa"/>
          <w:shd w:val="clear" w:color="auto" w:fill="auto"/>
        </w:tcPr>
        <w:p w:rsidR="004E5085" w:rsidRDefault="004E5085">
          <w:pPr>
            <w:tabs>
              <w:tab w:val="right" w:pos="4273"/>
            </w:tabs>
            <w:rPr>
              <w:rFonts w:ascii="Garamond" w:eastAsia="Garamond" w:hAnsi="Garamond" w:cs="Garamond"/>
              <w:sz w:val="16"/>
              <w:szCs w:val="16"/>
            </w:rPr>
          </w:pPr>
        </w:p>
      </w:tc>
      <w:tc>
        <w:tcPr>
          <w:tcW w:w="8115" w:type="dxa"/>
          <w:shd w:val="clear" w:color="auto" w:fill="auto"/>
        </w:tcPr>
        <w:tbl>
          <w:tblPr>
            <w:tblStyle w:val="a0"/>
            <w:tblW w:w="7928" w:type="dxa"/>
            <w:tblInd w:w="40" w:type="dxa"/>
            <w:tblLayout w:type="fixed"/>
            <w:tblLook w:val="0400" w:firstRow="0" w:lastRow="0" w:firstColumn="0" w:lastColumn="0" w:noHBand="0" w:noVBand="1"/>
          </w:tblPr>
          <w:tblGrid>
            <w:gridCol w:w="2942"/>
            <w:gridCol w:w="4986"/>
          </w:tblGrid>
          <w:tr w:rsidR="004E5085" w:rsidTr="00D521AD">
            <w:trPr>
              <w:trHeight w:val="150"/>
            </w:trPr>
            <w:tc>
              <w:tcPr>
                <w:tcW w:w="2942" w:type="dxa"/>
                <w:shd w:val="clear" w:color="auto" w:fill="auto"/>
              </w:tcPr>
              <w:p w:rsidR="004E5085" w:rsidRDefault="00507C28">
                <w:pPr>
                  <w:tabs>
                    <w:tab w:val="right" w:pos="8838"/>
                  </w:tabs>
                  <w:ind w:left="283"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86" w:type="dxa"/>
                <w:shd w:val="clear" w:color="auto" w:fill="auto"/>
              </w:tcPr>
              <w:p w:rsidR="004E5085" w:rsidRDefault="00507C28">
                <w:pPr>
                  <w:tabs>
                    <w:tab w:val="right" w:pos="8838"/>
                  </w:tabs>
                  <w:ind w:right="-755"/>
                  <w:rPr>
                    <w:rFonts w:ascii="Palatino Linotype" w:eastAsia="Palatino Linotype" w:hAnsi="Palatino Linotype" w:cs="Palatino Linotype"/>
                  </w:rPr>
                </w:pPr>
                <w:r>
                  <w:rPr>
                    <w:rFonts w:ascii="Palatino Linotype" w:eastAsia="Palatino Linotype" w:hAnsi="Palatino Linotype" w:cs="Palatino Linotype"/>
                  </w:rPr>
                  <w:t>02388/INFOEM/IP/RR/2026</w:t>
                </w:r>
              </w:p>
            </w:tc>
          </w:tr>
          <w:tr w:rsidR="004E5085" w:rsidTr="00D521AD">
            <w:trPr>
              <w:trHeight w:val="295"/>
            </w:trPr>
            <w:tc>
              <w:tcPr>
                <w:tcW w:w="2942" w:type="dxa"/>
                <w:shd w:val="clear" w:color="auto" w:fill="auto"/>
              </w:tcPr>
              <w:p w:rsidR="004E5085" w:rsidRDefault="00507C28">
                <w:pPr>
                  <w:tabs>
                    <w:tab w:val="right" w:pos="8838"/>
                  </w:tabs>
                  <w:ind w:left="283" w:right="-105"/>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86" w:type="dxa"/>
                <w:shd w:val="clear" w:color="auto" w:fill="auto"/>
              </w:tcPr>
              <w:p w:rsidR="004E5085" w:rsidRDefault="00507C28">
                <w:pPr>
                  <w:tabs>
                    <w:tab w:val="left" w:pos="5162"/>
                    <w:tab w:val="right" w:pos="8838"/>
                  </w:tabs>
                  <w:ind w:right="-755"/>
                  <w:rPr>
                    <w:rFonts w:ascii="Palatino Linotype" w:eastAsia="Palatino Linotype" w:hAnsi="Palatino Linotype" w:cs="Palatino Linotype"/>
                  </w:rPr>
                </w:pPr>
                <w:r>
                  <w:rPr>
                    <w:rFonts w:ascii="Palatino Linotype" w:eastAsia="Palatino Linotype" w:hAnsi="Palatino Linotype" w:cs="Palatino Linotype"/>
                  </w:rPr>
                  <w:t xml:space="preserve">Organismo Público Descentralizado de Agua Potable Alcantarillado </w:t>
                </w:r>
                <w:r w:rsidR="007802DA">
                  <w:rPr>
                    <w:rFonts w:ascii="Palatino Linotype" w:eastAsia="Palatino Linotype" w:hAnsi="Palatino Linotype" w:cs="Palatino Linotype"/>
                  </w:rPr>
                  <w:t xml:space="preserve">y </w:t>
                </w:r>
                <w:r>
                  <w:rPr>
                    <w:rFonts w:ascii="Palatino Linotype" w:eastAsia="Palatino Linotype" w:hAnsi="Palatino Linotype" w:cs="Palatino Linotype"/>
                  </w:rPr>
                  <w:t>Saneamiento de Chimalhuacán</w:t>
                </w:r>
              </w:p>
            </w:tc>
          </w:tr>
          <w:tr w:rsidR="004E5085" w:rsidTr="00D521AD">
            <w:trPr>
              <w:trHeight w:val="295"/>
            </w:trPr>
            <w:tc>
              <w:tcPr>
                <w:tcW w:w="2942" w:type="dxa"/>
                <w:shd w:val="clear" w:color="auto" w:fill="auto"/>
              </w:tcPr>
              <w:p w:rsidR="004E5085" w:rsidRDefault="00507C28">
                <w:pPr>
                  <w:tabs>
                    <w:tab w:val="right" w:pos="8838"/>
                  </w:tabs>
                  <w:ind w:left="283" w:right="-105"/>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86" w:type="dxa"/>
                <w:shd w:val="clear" w:color="auto" w:fill="auto"/>
              </w:tcPr>
              <w:p w:rsidR="004E5085" w:rsidRDefault="00507C28">
                <w:pPr>
                  <w:tabs>
                    <w:tab w:val="right" w:pos="8838"/>
                  </w:tabs>
                  <w:ind w:right="-75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E5085" w:rsidRDefault="004E5085">
                <w:pPr>
                  <w:tabs>
                    <w:tab w:val="right" w:pos="8838"/>
                  </w:tabs>
                  <w:ind w:right="-755"/>
                  <w:rPr>
                    <w:rFonts w:ascii="Palatino Linotype" w:eastAsia="Palatino Linotype" w:hAnsi="Palatino Linotype" w:cs="Palatino Linotype"/>
                  </w:rPr>
                </w:pPr>
              </w:p>
            </w:tc>
          </w:tr>
        </w:tbl>
        <w:p w:rsidR="004E5085" w:rsidRDefault="004E5085">
          <w:pPr>
            <w:tabs>
              <w:tab w:val="right" w:pos="8838"/>
            </w:tabs>
            <w:ind w:left="-28"/>
            <w:jc w:val="both"/>
            <w:rPr>
              <w:rFonts w:ascii="Arial" w:eastAsia="Arial" w:hAnsi="Arial" w:cs="Arial"/>
              <w:b/>
              <w:bCs/>
              <w:sz w:val="18"/>
              <w:szCs w:val="18"/>
            </w:rPr>
          </w:pPr>
        </w:p>
      </w:tc>
    </w:tr>
  </w:tbl>
  <w:p w:rsidR="004E5085" w:rsidRDefault="000337F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7.35pt;margin-top:-142.85pt;width:589.8pt;height:768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65" w:type="dxa"/>
      <w:tblInd w:w="0" w:type="dxa"/>
      <w:tblLayout w:type="fixed"/>
      <w:tblLook w:val="0400" w:firstRow="0" w:lastRow="0" w:firstColumn="0" w:lastColumn="0" w:noHBand="0" w:noVBand="1"/>
    </w:tblPr>
    <w:tblGrid>
      <w:gridCol w:w="2265"/>
      <w:gridCol w:w="7800"/>
    </w:tblGrid>
    <w:tr w:rsidR="004E5085">
      <w:trPr>
        <w:trHeight w:val="1435"/>
      </w:trPr>
      <w:tc>
        <w:tcPr>
          <w:tcW w:w="2265" w:type="dxa"/>
          <w:shd w:val="clear" w:color="auto" w:fill="auto"/>
        </w:tcPr>
        <w:p w:rsidR="004E5085" w:rsidRDefault="004E5085">
          <w:pPr>
            <w:tabs>
              <w:tab w:val="right" w:pos="4273"/>
            </w:tabs>
            <w:rPr>
              <w:rFonts w:ascii="Garamond" w:eastAsia="Garamond" w:hAnsi="Garamond" w:cs="Garamond"/>
              <w:sz w:val="22"/>
              <w:szCs w:val="22"/>
            </w:rPr>
          </w:pPr>
        </w:p>
      </w:tc>
      <w:tc>
        <w:tcPr>
          <w:tcW w:w="7800" w:type="dxa"/>
          <w:shd w:val="clear" w:color="auto" w:fill="auto"/>
        </w:tcPr>
        <w:tbl>
          <w:tblPr>
            <w:tblStyle w:val="a2"/>
            <w:tblW w:w="7793" w:type="dxa"/>
            <w:tblInd w:w="30" w:type="dxa"/>
            <w:tblLayout w:type="fixed"/>
            <w:tblLook w:val="0400" w:firstRow="0" w:lastRow="0" w:firstColumn="0" w:lastColumn="0" w:noHBand="0" w:noVBand="1"/>
          </w:tblPr>
          <w:tblGrid>
            <w:gridCol w:w="2723"/>
            <w:gridCol w:w="5070"/>
          </w:tblGrid>
          <w:tr w:rsidR="004E5085" w:rsidTr="00D521AD">
            <w:trPr>
              <w:trHeight w:val="144"/>
            </w:trPr>
            <w:tc>
              <w:tcPr>
                <w:tcW w:w="2723" w:type="dxa"/>
                <w:shd w:val="clear" w:color="auto" w:fill="auto"/>
              </w:tcPr>
              <w:p w:rsidR="004E5085" w:rsidRDefault="00507C28" w:rsidP="00D521AD">
                <w:pPr>
                  <w:tabs>
                    <w:tab w:val="right" w:pos="8838"/>
                  </w:tabs>
                  <w:ind w:right="-397"/>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070" w:type="dxa"/>
                <w:shd w:val="clear" w:color="auto" w:fill="auto"/>
              </w:tcPr>
              <w:p w:rsidR="004E5085" w:rsidRDefault="00507C28">
                <w:pPr>
                  <w:tabs>
                    <w:tab w:val="right" w:pos="8838"/>
                  </w:tabs>
                  <w:ind w:right="-397"/>
                  <w:rPr>
                    <w:rFonts w:ascii="Palatino Linotype" w:eastAsia="Palatino Linotype" w:hAnsi="Palatino Linotype" w:cs="Palatino Linotype"/>
                  </w:rPr>
                </w:pPr>
                <w:r>
                  <w:rPr>
                    <w:rFonts w:ascii="Palatino Linotype" w:eastAsia="Palatino Linotype" w:hAnsi="Palatino Linotype" w:cs="Palatino Linotype"/>
                  </w:rPr>
                  <w:t>02388/INFOEM/IP/RR/2026</w:t>
                </w:r>
              </w:p>
            </w:tc>
          </w:tr>
          <w:tr w:rsidR="004E5085" w:rsidTr="00D521AD">
            <w:trPr>
              <w:trHeight w:val="144"/>
            </w:trPr>
            <w:tc>
              <w:tcPr>
                <w:tcW w:w="2723" w:type="dxa"/>
                <w:shd w:val="clear" w:color="auto" w:fill="auto"/>
              </w:tcPr>
              <w:p w:rsidR="004E5085" w:rsidRDefault="00507C28" w:rsidP="00D521AD">
                <w:pPr>
                  <w:tabs>
                    <w:tab w:val="right" w:pos="8838"/>
                  </w:tabs>
                  <w:ind w:right="-397"/>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070" w:type="dxa"/>
                <w:shd w:val="clear" w:color="auto" w:fill="auto"/>
              </w:tcPr>
              <w:p w:rsidR="004E5085" w:rsidRDefault="001F43A5">
                <w:pPr>
                  <w:tabs>
                    <w:tab w:val="left" w:pos="3122"/>
                    <w:tab w:val="right" w:pos="8838"/>
                  </w:tabs>
                  <w:ind w:right="-397"/>
                  <w:rPr>
                    <w:rFonts w:ascii="Palatino Linotype" w:eastAsia="Palatino Linotype" w:hAnsi="Palatino Linotype" w:cs="Palatino Linotype"/>
                  </w:rPr>
                </w:pPr>
                <w:r>
                  <w:rPr>
                    <w:rFonts w:ascii="Palatino Linotype" w:eastAsia="Palatino Linotype" w:hAnsi="Palatino Linotype" w:cs="Palatino Linotype"/>
                  </w:rPr>
                  <w:t>XXXX</w:t>
                </w:r>
              </w:p>
            </w:tc>
          </w:tr>
          <w:tr w:rsidR="004E5085" w:rsidTr="00D521AD">
            <w:trPr>
              <w:trHeight w:val="926"/>
            </w:trPr>
            <w:tc>
              <w:tcPr>
                <w:tcW w:w="2723" w:type="dxa"/>
                <w:shd w:val="clear" w:color="auto" w:fill="auto"/>
              </w:tcPr>
              <w:p w:rsidR="004E5085" w:rsidRDefault="00507C28" w:rsidP="00D521AD">
                <w:pPr>
                  <w:tabs>
                    <w:tab w:val="right" w:pos="8838"/>
                  </w:tabs>
                  <w:ind w:right="-397"/>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070" w:type="dxa"/>
                <w:shd w:val="clear" w:color="auto" w:fill="auto"/>
              </w:tcPr>
              <w:p w:rsidR="004E5085" w:rsidRDefault="00507C28">
                <w:pPr>
                  <w:tabs>
                    <w:tab w:val="left" w:pos="2834"/>
                    <w:tab w:val="right" w:pos="8838"/>
                  </w:tabs>
                  <w:ind w:right="-397"/>
                  <w:rPr>
                    <w:rFonts w:ascii="Palatino Linotype" w:eastAsia="Palatino Linotype" w:hAnsi="Palatino Linotype" w:cs="Palatino Linotype"/>
                  </w:rPr>
                </w:pPr>
                <w:r>
                  <w:rPr>
                    <w:rFonts w:ascii="Palatino Linotype" w:eastAsia="Palatino Linotype" w:hAnsi="Palatino Linotype" w:cs="Palatino Linotype"/>
                  </w:rPr>
                  <w:t xml:space="preserve">Organismo Público Descentralizado de Agua Potable Alcantarillado </w:t>
                </w:r>
                <w:r w:rsidR="007802DA">
                  <w:rPr>
                    <w:rFonts w:ascii="Palatino Linotype" w:eastAsia="Palatino Linotype" w:hAnsi="Palatino Linotype" w:cs="Palatino Linotype"/>
                  </w:rPr>
                  <w:t xml:space="preserve">y </w:t>
                </w:r>
                <w:r>
                  <w:rPr>
                    <w:rFonts w:ascii="Palatino Linotype" w:eastAsia="Palatino Linotype" w:hAnsi="Palatino Linotype" w:cs="Palatino Linotype"/>
                  </w:rPr>
                  <w:t>Saneamiento de Chimalhuacán</w:t>
                </w:r>
              </w:p>
            </w:tc>
          </w:tr>
          <w:tr w:rsidR="004E5085" w:rsidTr="00D521AD">
            <w:trPr>
              <w:trHeight w:val="283"/>
            </w:trPr>
            <w:tc>
              <w:tcPr>
                <w:tcW w:w="2723" w:type="dxa"/>
                <w:shd w:val="clear" w:color="auto" w:fill="auto"/>
              </w:tcPr>
              <w:p w:rsidR="004E5085" w:rsidRDefault="00507C28" w:rsidP="00D521AD">
                <w:pPr>
                  <w:tabs>
                    <w:tab w:val="right" w:pos="8838"/>
                  </w:tabs>
                  <w:ind w:right="-397"/>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070" w:type="dxa"/>
                <w:shd w:val="clear" w:color="auto" w:fill="auto"/>
              </w:tcPr>
              <w:p w:rsidR="004E5085" w:rsidRDefault="00507C28">
                <w:pPr>
                  <w:tabs>
                    <w:tab w:val="right" w:pos="8838"/>
                  </w:tabs>
                  <w:ind w:right="-397"/>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E5085" w:rsidRDefault="004E5085">
                <w:pPr>
                  <w:tabs>
                    <w:tab w:val="right" w:pos="8838"/>
                  </w:tabs>
                  <w:ind w:right="-397"/>
                  <w:rPr>
                    <w:rFonts w:ascii="Palatino Linotype" w:eastAsia="Palatino Linotype" w:hAnsi="Palatino Linotype" w:cs="Palatino Linotype"/>
                  </w:rPr>
                </w:pPr>
              </w:p>
            </w:tc>
          </w:tr>
        </w:tbl>
        <w:p w:rsidR="004E5085" w:rsidRDefault="004E5085">
          <w:pPr>
            <w:tabs>
              <w:tab w:val="right" w:pos="8838"/>
            </w:tabs>
            <w:ind w:left="-28"/>
            <w:jc w:val="both"/>
            <w:rPr>
              <w:rFonts w:ascii="Arial" w:eastAsia="Arial" w:hAnsi="Arial" w:cs="Arial"/>
              <w:b/>
              <w:bCs/>
              <w:sz w:val="22"/>
              <w:szCs w:val="22"/>
            </w:rPr>
          </w:pPr>
        </w:p>
      </w:tc>
    </w:tr>
  </w:tbl>
  <w:p w:rsidR="004E5085" w:rsidRDefault="000337F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9.7pt;margin-top:-146.1pt;width:589.8pt;height:768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B3E6D"/>
    <w:multiLevelType w:val="multilevel"/>
    <w:tmpl w:val="32AA0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CC6548"/>
    <w:multiLevelType w:val="multilevel"/>
    <w:tmpl w:val="A992C05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1558ED"/>
    <w:multiLevelType w:val="multilevel"/>
    <w:tmpl w:val="7870C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650BED"/>
    <w:multiLevelType w:val="multilevel"/>
    <w:tmpl w:val="85EC1F7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E20A70"/>
    <w:multiLevelType w:val="multilevel"/>
    <w:tmpl w:val="5D0CFEC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256771"/>
    <w:multiLevelType w:val="multilevel"/>
    <w:tmpl w:val="647C5A2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4C43678E"/>
    <w:multiLevelType w:val="multilevel"/>
    <w:tmpl w:val="F4948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3211AB"/>
    <w:multiLevelType w:val="multilevel"/>
    <w:tmpl w:val="EF2AE43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num w:numId="1">
    <w:abstractNumId w:val="0"/>
  </w:num>
  <w:num w:numId="2">
    <w:abstractNumId w:val="3"/>
  </w:num>
  <w:num w:numId="3">
    <w:abstractNumId w:val="7"/>
  </w:num>
  <w:num w:numId="4">
    <w:abstractNumId w:val="5"/>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85"/>
    <w:rsid w:val="000337F2"/>
    <w:rsid w:val="001F43A5"/>
    <w:rsid w:val="0028208C"/>
    <w:rsid w:val="002E0640"/>
    <w:rsid w:val="004E5085"/>
    <w:rsid w:val="00507C28"/>
    <w:rsid w:val="007802DA"/>
    <w:rsid w:val="009F50B2"/>
    <w:rsid w:val="00D521AD"/>
    <w:rsid w:val="00EF5453"/>
    <w:rsid w:val="00EF5B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9B09CA0-E966-46D5-AA7D-32CDD9F4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7802DA"/>
    <w:pPr>
      <w:tabs>
        <w:tab w:val="center" w:pos="4419"/>
        <w:tab w:val="right" w:pos="8838"/>
      </w:tabs>
    </w:pPr>
  </w:style>
  <w:style w:type="character" w:customStyle="1" w:styleId="PiedepginaCar">
    <w:name w:val="Pie de página Car"/>
    <w:basedOn w:val="Fuentedeprrafopredeter"/>
    <w:link w:val="Piedepgina"/>
    <w:uiPriority w:val="99"/>
    <w:rsid w:val="007802DA"/>
  </w:style>
  <w:style w:type="paragraph" w:styleId="Prrafodelista">
    <w:name w:val="List Paragraph"/>
    <w:basedOn w:val="Normal"/>
    <w:uiPriority w:val="34"/>
    <w:qFormat/>
    <w:rsid w:val="00D521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3192.page" TargetMode="External"/><Relationship Id="rId13" Type="http://schemas.openxmlformats.org/officeDocument/2006/relationships/hyperlink" Target="https://saimex.org.mx/saimex/solicitud/downloadAttach/2701301.pag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aimex.org.mx/saimex/solicitud/downloadAttach/2683195.page"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saimex.org.mx/saimex/solicitud/downloadAttach/2701304.pa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83194.pag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aimex.org.mx/saimex/solicitud/downloadAttach/2701303.page" TargetMode="External"/><Relationship Id="rId23" Type="http://schemas.openxmlformats.org/officeDocument/2006/relationships/fontTable" Target="fontTable.xml"/><Relationship Id="rId10" Type="http://schemas.openxmlformats.org/officeDocument/2006/relationships/hyperlink" Target="https://saimex.org.mx/saimex/solicitud/downloadAttach/2683193.p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imex.org.mx/saimex/solicitud/downloadAttach/2683192.page" TargetMode="External"/><Relationship Id="rId14" Type="http://schemas.openxmlformats.org/officeDocument/2006/relationships/hyperlink" Target="https://saimex.org.mx/saimex/solicitud/downloadAttach/2701302.page"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gZavXIDQjk6iICLke36WTzGPQ==">CgMxLjAyCWguM3pueXNoNzIJaC4zZHk2dmttMg5oLmlmajR3cXk3YjR5OTIOaC5lYnY2NnBncDB4eDAyDmgueXdpZzZndHpyZThiMg5oLmlxd2VqeWdlNXJuazIOaC5sd3UxbmtjY2xvd2kyDmguMWhqdzNtejlrMnp3Mg5oLmU3OGF2eWg2YTMwejIOaC5vb284c2thaXZnY3M4AHIhMS1uRFk4VlBWdHM1MjBiLXdjbnVHa0lUMF9KNUowbU1o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7001</Words>
  <Characters>38506</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2026-05-29T00:07:00Z</cp:lastPrinted>
  <dcterms:created xsi:type="dcterms:W3CDTF">2026-05-27T19:12:00Z</dcterms:created>
  <dcterms:modified xsi:type="dcterms:W3CDTF">2026-06-02T23:19:00Z</dcterms:modified>
</cp:coreProperties>
</file>