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7E1" w:rsidRDefault="00FD0603">
      <w:pPr>
        <w:tabs>
          <w:tab w:val="left" w:pos="3465"/>
        </w:tabs>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w:t>
      </w:r>
      <w:r>
        <w:rPr>
          <w:rFonts w:ascii="Palatino Linotype" w:eastAsia="Palatino Linotype" w:hAnsi="Palatino Linotype" w:cs="Palatino Linotype"/>
          <w:b/>
          <w:bCs/>
        </w:rPr>
        <w:t>echa diez (10)</w:t>
      </w:r>
      <w:r>
        <w:rPr>
          <w:rFonts w:ascii="Palatino Linotype" w:eastAsia="Palatino Linotype" w:hAnsi="Palatino Linotype" w:cs="Palatino Linotype"/>
          <w:b/>
          <w:bCs/>
          <w:color w:val="000000"/>
        </w:rPr>
        <w:t xml:space="preserve"> de junio de dos mil veintiséis.</w:t>
      </w:r>
    </w:p>
    <w:p w:rsidR="002717E1" w:rsidRDefault="002717E1">
      <w:pPr>
        <w:tabs>
          <w:tab w:val="left" w:pos="3465"/>
        </w:tabs>
        <w:spacing w:line="360" w:lineRule="auto"/>
        <w:ind w:right="-847"/>
        <w:jc w:val="both"/>
        <w:rPr>
          <w:rFonts w:ascii="Palatino Linotype" w:eastAsia="Palatino Linotype" w:hAnsi="Palatino Linotype" w:cs="Palatino Linotype"/>
        </w:rPr>
      </w:pPr>
    </w:p>
    <w:p w:rsidR="002717E1" w:rsidRDefault="00FD0603">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04938/INFOEM/IP/RR/2026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promovido por </w:t>
      </w:r>
      <w:r w:rsidR="002A2637">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 quien en lo sucesivo se le identificará como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en contra de la respuesta del </w:t>
      </w:r>
      <w:r>
        <w:rPr>
          <w:rFonts w:ascii="Palatino Linotype" w:eastAsia="Palatino Linotype" w:hAnsi="Palatino Linotype" w:cs="Palatino Linotype"/>
          <w:b/>
          <w:bCs/>
          <w:color w:val="000000"/>
        </w:rPr>
        <w:t xml:space="preserve">Ayuntamiento de Teoloyucan,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 xml:space="preserve">adelante </w:t>
      </w: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se procede a dictar la presente Resolución, con base en los siguientes:</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pStyle w:val="Ttulo1"/>
        <w:spacing w:before="0" w:line="360" w:lineRule="auto"/>
        <w:ind w:right="-847"/>
        <w:jc w:val="center"/>
        <w:rPr>
          <w:rFonts w:ascii="Palatino Linotype" w:eastAsia="Palatino Linotype" w:hAnsi="Palatino Linotype" w:cs="Palatino Linotype"/>
          <w:b/>
          <w:bCs/>
          <w:color w:val="000000"/>
          <w:sz w:val="24"/>
          <w:szCs w:val="24"/>
        </w:rPr>
      </w:pPr>
      <w:bookmarkStart w:id="0" w:name="_heading=h.d7cbf61bqw7t" w:colFirst="0" w:colLast="0"/>
      <w:bookmarkEnd w:id="0"/>
      <w:r>
        <w:rPr>
          <w:rFonts w:ascii="Palatino Linotype" w:eastAsia="Palatino Linotype" w:hAnsi="Palatino Linotype" w:cs="Palatino Linotype"/>
          <w:b/>
          <w:bCs/>
          <w:color w:val="000000"/>
          <w:sz w:val="24"/>
          <w:szCs w:val="24"/>
        </w:rPr>
        <w:t>A N T E C E D E N T E S</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seis de mayo dos mil veintiséis,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(SAIMEX), la Solicitud de Información Pública registrada con el número</w:t>
      </w:r>
      <w:r>
        <w:rPr>
          <w:rFonts w:ascii="Palatino Linotype" w:eastAsia="Palatino Linotype" w:hAnsi="Palatino Linotype" w:cs="Palatino Linotype"/>
          <w:b/>
          <w:bCs/>
          <w:color w:val="000000"/>
        </w:rPr>
        <w:t xml:space="preserve"> 00061/TEOLOYU/IP/2026; </w:t>
      </w:r>
      <w:r>
        <w:rPr>
          <w:rFonts w:ascii="Palatino Linotype" w:eastAsia="Palatino Linotype" w:hAnsi="Palatino Linotype" w:cs="Palatino Linotype"/>
        </w:rPr>
        <w:t xml:space="preserve">en la que </w:t>
      </w:r>
      <w:r>
        <w:rPr>
          <w:rFonts w:ascii="Palatino Linotype" w:eastAsia="Palatino Linotype" w:hAnsi="Palatino Linotype" w:cs="Palatino Linotype"/>
          <w:color w:val="000000"/>
        </w:rPr>
        <w:t>se solicitó la siguiente información:</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2717E1" w:rsidRDefault="00FD0603">
      <w:pPr>
        <w:spacing w:line="360" w:lineRule="auto"/>
        <w:ind w:left="426"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color w:val="000000"/>
        </w:rPr>
        <w:t>Comprobacion del pago del finiquito del ex servidor público de nombre René Iván mazon de la cruz, fecha de pago</w:t>
      </w:r>
      <w:r>
        <w:rPr>
          <w:rFonts w:ascii="Palatino Linotype" w:eastAsia="Palatino Linotype" w:hAnsi="Palatino Linotype" w:cs="Palatino Linotype"/>
          <w:i/>
          <w:iCs/>
        </w:rPr>
        <w:t>”</w:t>
      </w:r>
      <w:bookmarkStart w:id="1" w:name="_GoBack"/>
      <w:bookmarkEnd w:id="1"/>
    </w:p>
    <w:p w:rsidR="002717E1" w:rsidRDefault="002717E1">
      <w:pPr>
        <w:pBdr>
          <w:top w:val="nil"/>
          <w:left w:val="nil"/>
          <w:bottom w:val="nil"/>
          <w:right w:val="nil"/>
          <w:between w:val="nil"/>
        </w:pBdr>
        <w:spacing w:line="360" w:lineRule="auto"/>
        <w:ind w:left="426" w:right="-847"/>
        <w:jc w:val="both"/>
        <w:rPr>
          <w:rFonts w:ascii="Palatino Linotype" w:eastAsia="Palatino Linotype" w:hAnsi="Palatino Linotype" w:cs="Palatino Linotype"/>
          <w:i/>
          <w:iCs/>
          <w:color w:val="000000"/>
        </w:rPr>
      </w:pPr>
    </w:p>
    <w:p w:rsidR="002717E1" w:rsidRDefault="00FD0603">
      <w:pPr>
        <w:numPr>
          <w:ilvl w:val="0"/>
          <w:numId w:val="6"/>
        </w:numPr>
        <w:pBdr>
          <w:top w:val="nil"/>
          <w:left w:val="nil"/>
          <w:bottom w:val="nil"/>
          <w:right w:val="nil"/>
          <w:between w:val="nil"/>
        </w:pBdr>
        <w:spacing w:line="360" w:lineRule="auto"/>
        <w:ind w:left="709" w:right="-847" w:hanging="28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Modalidad de entrega de la información: Vía SAIMEX.</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seis de mayo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dio respuesta mediante un oficios signado por la Titular de la Unidad de Transparencia, quien manifiesta de manera general que la solicitud no persigue información pública en sentido estricto, sino la comprobación (verificación o certificación) de un acto administrativo concreto (pago de finiquito) relativo a un ex servidor público que equivale a una declaración de certeza o a la expedición de un documento probatorio de naturaleza laboral-financiera, lo cual no forma parte de las obligaciones de transparencia previstas en Título Quinto de la Ley de Transparencia y Acceso a la Información Pública del Estado de México y Municipios, particularmente en las fracciones de información de oficio aplicables a remuneraciones o finiquitos agregados.</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Inconforme con la respuesta emitida, el </w:t>
      </w:r>
      <w:r>
        <w:rPr>
          <w:rFonts w:ascii="Palatino Linotype" w:eastAsia="Palatino Linotype" w:hAnsi="Palatino Linotype" w:cs="Palatino Linotype"/>
          <w:b/>
          <w:bCs/>
          <w:color w:val="000000"/>
        </w:rPr>
        <w:t>siete de mayo de dos mil veintiséis</w:t>
      </w:r>
      <w:r>
        <w:rPr>
          <w:rFonts w:ascii="Palatino Linotype" w:eastAsia="Palatino Linotype" w:hAnsi="Palatino Linotype" w:cs="Palatino Linotype"/>
          <w:color w:val="000000"/>
        </w:rPr>
        <w:t xml:space="preserv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interpuso su Recurso de Revisión, señalando como acto impugnado y razones o motivos de inconformidad, lo siguiente:</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p>
    <w:p w:rsidR="002717E1" w:rsidRDefault="00FD0603">
      <w:pPr>
        <w:numPr>
          <w:ilvl w:val="0"/>
          <w:numId w:val="1"/>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bookmarkStart w:id="2" w:name="_heading=h.yxbzm8650zhc" w:colFirst="0" w:colLast="0"/>
      <w:bookmarkEnd w:id="2"/>
      <w:r>
        <w:rPr>
          <w:rFonts w:ascii="Palatino Linotype" w:eastAsia="Palatino Linotype" w:hAnsi="Palatino Linotype" w:cs="Palatino Linotype"/>
          <w:b/>
          <w:bCs/>
          <w:color w:val="000000"/>
        </w:rPr>
        <w:t>ACTO IMPUGNADO:</w:t>
      </w:r>
    </w:p>
    <w:p w:rsidR="002717E1" w:rsidRDefault="00FD0603">
      <w:pPr>
        <w:pBdr>
          <w:top w:val="nil"/>
          <w:left w:val="nil"/>
          <w:bottom w:val="nil"/>
          <w:right w:val="nil"/>
          <w:between w:val="nil"/>
        </w:pBd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“Falta de contestación por parte del sujeto obligado”</w:t>
      </w:r>
    </w:p>
    <w:p w:rsidR="002717E1" w:rsidRDefault="002717E1">
      <w:pPr>
        <w:pBdr>
          <w:top w:val="nil"/>
          <w:left w:val="nil"/>
          <w:bottom w:val="nil"/>
          <w:right w:val="nil"/>
          <w:between w:val="nil"/>
        </w:pBdr>
        <w:spacing w:line="360" w:lineRule="auto"/>
        <w:ind w:left="426" w:right="-847"/>
        <w:jc w:val="both"/>
        <w:rPr>
          <w:rFonts w:ascii="Palatino Linotype" w:eastAsia="Palatino Linotype" w:hAnsi="Palatino Linotype" w:cs="Palatino Linotype"/>
          <w:i/>
          <w:iCs/>
          <w:color w:val="000000"/>
        </w:rPr>
      </w:pPr>
    </w:p>
    <w:p w:rsidR="002717E1" w:rsidRDefault="00FD0603">
      <w:pPr>
        <w:numPr>
          <w:ilvl w:val="0"/>
          <w:numId w:val="2"/>
        </w:num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r>
        <w:rPr>
          <w:rFonts w:ascii="Palatino Linotype" w:eastAsia="Palatino Linotype" w:hAnsi="Palatino Linotype" w:cs="Palatino Linotype"/>
          <w:b/>
          <w:bCs/>
          <w:color w:val="000000"/>
        </w:rPr>
        <w:tab/>
      </w:r>
    </w:p>
    <w:p w:rsidR="002717E1" w:rsidRDefault="00FD0603">
      <w:pPr>
        <w:pBdr>
          <w:top w:val="nil"/>
          <w:left w:val="nil"/>
          <w:bottom w:val="nil"/>
          <w:right w:val="nil"/>
          <w:between w:val="nil"/>
        </w:pBd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“Falta de contestación por parte del sujeto obligado”</w:t>
      </w:r>
    </w:p>
    <w:p w:rsidR="002717E1" w:rsidRDefault="002717E1">
      <w:pPr>
        <w:pBdr>
          <w:top w:val="nil"/>
          <w:left w:val="nil"/>
          <w:bottom w:val="nil"/>
          <w:right w:val="nil"/>
          <w:between w:val="nil"/>
        </w:pBdr>
        <w:spacing w:line="360" w:lineRule="auto"/>
        <w:ind w:left="426" w:right="-847"/>
        <w:jc w:val="both"/>
        <w:rPr>
          <w:rFonts w:ascii="Palatino Linotype" w:eastAsia="Palatino Linotype" w:hAnsi="Palatino Linotype" w:cs="Palatino Linotype"/>
          <w:i/>
          <w:iCs/>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Pr>
          <w:rFonts w:ascii="Palatino Linotype" w:eastAsia="Palatino Linotype" w:hAnsi="Palatino Linotype" w:cs="Palatino Linotype"/>
          <w:b/>
          <w:bCs/>
          <w:color w:val="000000"/>
        </w:rPr>
        <w:t xml:space="preserve">once de mayo dos mil </w:t>
      </w:r>
      <w:r>
        <w:rPr>
          <w:rFonts w:ascii="Palatino Linotype" w:eastAsia="Palatino Linotype" w:hAnsi="Palatino Linotype" w:cs="Palatino Linotype"/>
          <w:b/>
          <w:bCs/>
          <w:color w:val="000000"/>
        </w:rPr>
        <w:lastRenderedPageBreak/>
        <w:t>veintiséis</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y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 fecha doce de mayo del año en curso, rindió informe justificado mediante escrito signado por la Titular de la Unidad de Transparencia, mediante el cual </w:t>
      </w:r>
      <w:r>
        <w:rPr>
          <w:rFonts w:ascii="Palatino Linotype" w:eastAsia="Palatino Linotype" w:hAnsi="Palatino Linotype" w:cs="Palatino Linotype"/>
          <w:i/>
          <w:iCs/>
          <w:color w:val="000000"/>
        </w:rPr>
        <w:t>grosso modo</w:t>
      </w:r>
      <w:r>
        <w:rPr>
          <w:rFonts w:ascii="Palatino Linotype" w:eastAsia="Palatino Linotype" w:hAnsi="Palatino Linotype" w:cs="Palatino Linotype"/>
          <w:color w:val="000000"/>
        </w:rPr>
        <w:t xml:space="preserve"> confirma su respuesta inicial, solicitando el sobreseimiento del recurso de revisión. Por su parte la hoy</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no realizó manifestaciones que a su derecho conviniera y asistiera.</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8F0A2D" w:rsidRPr="008F0A2D"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Seguidamente al no existir pendientes o diligencia por desahogar, mediante Acuerdo </w:t>
      </w:r>
      <w:r>
        <w:rPr>
          <w:rFonts w:ascii="Palatino Linotype" w:eastAsia="Palatino Linotype" w:hAnsi="Palatino Linotype" w:cs="Palatino Linotype"/>
        </w:rPr>
        <w:t xml:space="preserve">del </w:t>
      </w:r>
      <w:r>
        <w:rPr>
          <w:rFonts w:ascii="Palatino Linotype" w:eastAsia="Palatino Linotype" w:hAnsi="Palatino Linotype" w:cs="Palatino Linotype"/>
          <w:b/>
          <w:bCs/>
          <w:color w:val="000000"/>
        </w:rPr>
        <w:t>diez de junio de dos mil veintiséis</w:t>
      </w:r>
      <w:r>
        <w:rPr>
          <w:rFonts w:ascii="Palatino Linotype" w:eastAsia="Palatino Linotype" w:hAnsi="Palatino Linotype" w:cs="Palatino Linotype"/>
          <w:color w:val="000000"/>
        </w:rPr>
        <w:t xml:space="preserve">  se decretó el cierre de instrucción, por lo que:</w:t>
      </w:r>
    </w:p>
    <w:p w:rsidR="008F0A2D" w:rsidRDefault="008F0A2D" w:rsidP="008F0A2D">
      <w:pPr>
        <w:pStyle w:val="Prrafodelista"/>
        <w:rPr>
          <w:rFonts w:ascii="Palatino Linotype" w:eastAsia="Palatino Linotype" w:hAnsi="Palatino Linotype" w:cs="Palatino Linotype"/>
          <w:color w:val="000000"/>
        </w:rPr>
      </w:pPr>
    </w:p>
    <w:p w:rsidR="002717E1" w:rsidRDefault="00FD0603" w:rsidP="008F0A2D">
      <w:pPr>
        <w:pBdr>
          <w:top w:val="nil"/>
          <w:left w:val="nil"/>
          <w:bottom w:val="nil"/>
          <w:right w:val="nil"/>
          <w:between w:val="nil"/>
        </w:pBdr>
        <w:spacing w:line="360" w:lineRule="auto"/>
        <w:ind w:right="-847"/>
        <w:jc w:val="both"/>
        <w:rPr>
          <w:color w:val="000000"/>
        </w:rPr>
      </w:pPr>
      <w:r>
        <w:rPr>
          <w:rFonts w:ascii="Palatino Linotype" w:eastAsia="Palatino Linotype" w:hAnsi="Palatino Linotype" w:cs="Palatino Linotype"/>
          <w:color w:val="000000"/>
        </w:rPr>
        <w:t xml:space="preserve"> </w:t>
      </w:r>
    </w:p>
    <w:p w:rsidR="002717E1" w:rsidRDefault="00FD0603">
      <w:pPr>
        <w:pStyle w:val="Ttulo1"/>
        <w:spacing w:before="0" w:line="360" w:lineRule="auto"/>
        <w:ind w:right="-847"/>
        <w:jc w:val="center"/>
        <w:rPr>
          <w:rFonts w:ascii="Palatino Linotype" w:eastAsia="Palatino Linotype" w:hAnsi="Palatino Linotype" w:cs="Palatino Linotype"/>
          <w:b/>
          <w:bCs/>
          <w:color w:val="000000"/>
          <w:sz w:val="24"/>
          <w:szCs w:val="24"/>
        </w:rPr>
      </w:pPr>
      <w:bookmarkStart w:id="3" w:name="_heading=h.vza5qw16mhrf" w:colFirst="0" w:colLast="0"/>
      <w:bookmarkEnd w:id="3"/>
      <w:r>
        <w:rPr>
          <w:rFonts w:ascii="Palatino Linotype" w:eastAsia="Palatino Linotype" w:hAnsi="Palatino Linotype" w:cs="Palatino Linotype"/>
          <w:b/>
          <w:bCs/>
          <w:color w:val="000000"/>
          <w:sz w:val="24"/>
          <w:szCs w:val="24"/>
        </w:rPr>
        <w:t>C O N S I D E R A N D O</w:t>
      </w:r>
    </w:p>
    <w:p w:rsidR="002717E1" w:rsidRDefault="002717E1">
      <w:pPr>
        <w:pStyle w:val="Ttulo2"/>
        <w:spacing w:before="0" w:line="360" w:lineRule="auto"/>
        <w:ind w:right="-847"/>
        <w:rPr>
          <w:rFonts w:ascii="Palatino Linotype" w:eastAsia="Palatino Linotype" w:hAnsi="Palatino Linotype" w:cs="Palatino Linotype"/>
          <w:b/>
          <w:bCs/>
          <w:color w:val="000000"/>
          <w:sz w:val="24"/>
          <w:szCs w:val="24"/>
        </w:rPr>
      </w:pPr>
      <w:bookmarkStart w:id="4" w:name="_heading=h.t2il6b5grf32" w:colFirst="0" w:colLast="0"/>
      <w:bookmarkEnd w:id="4"/>
    </w:p>
    <w:p w:rsidR="002717E1" w:rsidRDefault="00FD0603">
      <w:pPr>
        <w:pStyle w:val="Ttulo2"/>
        <w:spacing w:before="0" w:line="360" w:lineRule="auto"/>
        <w:ind w:right="-84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PRIMERO. De la competencia</w:t>
      </w: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w:t>
      </w:r>
      <w:r>
        <w:rPr>
          <w:rFonts w:ascii="Palatino Linotype" w:eastAsia="Palatino Linotype" w:hAnsi="Palatino Linotype" w:cs="Palatino Linotype"/>
          <w:color w:val="000000"/>
        </w:rPr>
        <w:lastRenderedPageBreak/>
        <w:t>Pública del Estado de México y Municipios; y 9, fracciones I y XXIII y 11 del Reglamento Interior del Instituto de Transparencia, Acceso a la Información Pública y Protección de Datos Personales del Estado de México y Municipios.</w:t>
      </w:r>
    </w:p>
    <w:p w:rsidR="002717E1" w:rsidRDefault="002717E1">
      <w:pPr>
        <w:spacing w:line="360" w:lineRule="auto"/>
        <w:ind w:right="-847"/>
        <w:jc w:val="both"/>
        <w:rPr>
          <w:rFonts w:ascii="Palatino Linotype" w:eastAsia="Palatino Linotype" w:hAnsi="Palatino Linotype" w:cs="Palatino Linotype"/>
          <w:color w:val="000000"/>
        </w:rPr>
      </w:pPr>
    </w:p>
    <w:p w:rsidR="002717E1" w:rsidRDefault="00FD0603">
      <w:pPr>
        <w:spacing w:line="360" w:lineRule="auto"/>
        <w:ind w:right="-847"/>
        <w:jc w:val="both"/>
        <w:rPr>
          <w:rFonts w:ascii="Palatino Linotype" w:eastAsia="Palatino Linotype" w:hAnsi="Palatino Linotype" w:cs="Palatino Linotype"/>
          <w:b/>
          <w:bCs/>
        </w:rPr>
      </w:pPr>
      <w:bookmarkStart w:id="5" w:name="_heading=h.11imjmrsa2g8" w:colFirst="0" w:colLast="0"/>
      <w:bookmarkEnd w:id="5"/>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SEGUNDO. De la oportunidad y procedencia.</w:t>
      </w: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Este Órgano Garante considera que el medio de impugnación reúne los requisitos de procedencia </w:t>
      </w:r>
      <w:r>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ante otra instancia.</w:t>
      </w:r>
    </w:p>
    <w:p w:rsidR="002717E1" w:rsidRDefault="002717E1">
      <w:pPr>
        <w:spacing w:line="360" w:lineRule="auto"/>
        <w:ind w:right="-847"/>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w:t>
      </w:r>
    </w:p>
    <w:p w:rsidR="002717E1" w:rsidRDefault="002717E1">
      <w:pPr>
        <w:pStyle w:val="Ttulo2"/>
        <w:spacing w:before="0" w:line="360" w:lineRule="auto"/>
        <w:ind w:right="-847"/>
        <w:rPr>
          <w:rFonts w:ascii="Palatino Linotype" w:eastAsia="Palatino Linotype" w:hAnsi="Palatino Linotype" w:cs="Palatino Linotype"/>
          <w:b/>
          <w:bCs/>
          <w:color w:val="000000"/>
          <w:sz w:val="24"/>
          <w:szCs w:val="24"/>
        </w:rPr>
      </w:pPr>
      <w:bookmarkStart w:id="6" w:name="_heading=h.82ikx822c2cc" w:colFirst="0" w:colLast="0"/>
      <w:bookmarkEnd w:id="6"/>
    </w:p>
    <w:p w:rsidR="002717E1" w:rsidRDefault="00FD0603">
      <w:pPr>
        <w:pStyle w:val="Ttulo2"/>
        <w:spacing w:before="0" w:line="360" w:lineRule="auto"/>
        <w:ind w:right="-847"/>
        <w:rPr>
          <w:rFonts w:ascii="Palatino Linotype" w:eastAsia="Palatino Linotype" w:hAnsi="Palatino Linotype" w:cs="Palatino Linotype"/>
          <w:b/>
          <w:bCs/>
          <w:color w:val="000000"/>
          <w:sz w:val="24"/>
          <w:szCs w:val="24"/>
        </w:rPr>
      </w:pPr>
      <w:bookmarkStart w:id="7" w:name="_heading=h.r2t3rhcm2rfw" w:colFirst="0" w:colLast="0"/>
      <w:bookmarkEnd w:id="7"/>
      <w:r>
        <w:rPr>
          <w:rFonts w:ascii="Palatino Linotype" w:eastAsia="Palatino Linotype" w:hAnsi="Palatino Linotype" w:cs="Palatino Linotype"/>
          <w:b/>
          <w:bCs/>
          <w:color w:val="000000"/>
          <w:sz w:val="24"/>
          <w:szCs w:val="24"/>
        </w:rPr>
        <w:t>TERCERO. Del planteamiento de la</w:t>
      </w:r>
      <w:r>
        <w:rPr>
          <w:rFonts w:ascii="Palatino Linotype" w:eastAsia="Palatino Linotype" w:hAnsi="Palatino Linotype" w:cs="Palatino Linotype"/>
          <w:b/>
          <w:bCs/>
          <w:i/>
          <w:iCs/>
          <w:color w:val="000000"/>
          <w:sz w:val="24"/>
          <w:szCs w:val="24"/>
        </w:rPr>
        <w:t xml:space="preserve"> Litis</w:t>
      </w: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Se solicitó tener acceso, a la información que a continuación se desagrega:</w:t>
      </w:r>
    </w:p>
    <w:p w:rsidR="002717E1" w:rsidRDefault="00FD0603">
      <w:pPr>
        <w:numPr>
          <w:ilvl w:val="0"/>
          <w:numId w:val="5"/>
        </w:numPr>
        <w:pBdr>
          <w:top w:val="nil"/>
          <w:left w:val="nil"/>
          <w:bottom w:val="nil"/>
          <w:right w:val="nil"/>
          <w:between w:val="nil"/>
        </w:pBdr>
        <w:spacing w:line="360" w:lineRule="auto"/>
        <w:ind w:left="993"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Documentación comprobatoria del pago del finiquito del ex servidor público René Iván Mazón de la Cruz y la fecha de pago.</w:t>
      </w:r>
    </w:p>
    <w:p w:rsidR="002717E1" w:rsidRDefault="002717E1">
      <w:pPr>
        <w:pBdr>
          <w:top w:val="nil"/>
          <w:left w:val="nil"/>
          <w:bottom w:val="nil"/>
          <w:right w:val="nil"/>
          <w:between w:val="nil"/>
        </w:pBdr>
        <w:spacing w:line="360" w:lineRule="auto"/>
        <w:ind w:left="778" w:right="-847"/>
        <w:jc w:val="both"/>
        <w:rPr>
          <w:rFonts w:ascii="Palatino Linotype" w:eastAsia="Palatino Linotype" w:hAnsi="Palatino Linotype" w:cs="Palatino Linotype"/>
          <w:b/>
          <w:bCs/>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remitió el archivo ya descrito en el anterior Párrafo 2; no obstante el particular se inconformó de manera general por la entrega de información incompleta; 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el recurso de revisión </w:t>
      </w:r>
      <w:r>
        <w:rPr>
          <w:rFonts w:ascii="Palatino Linotype" w:eastAsia="Palatino Linotype" w:hAnsi="Palatino Linotype" w:cs="Palatino Linotype"/>
          <w:color w:val="000000"/>
        </w:rPr>
        <w:lastRenderedPageBreak/>
        <w:t xml:space="preserve">se circunscribe a determinar si se actualiza la causal de procedencia prevista en el artículo 179, </w:t>
      </w:r>
      <w:r>
        <w:rPr>
          <w:rFonts w:ascii="Palatino Linotype" w:eastAsia="Palatino Linotype" w:hAnsi="Palatino Linotype" w:cs="Palatino Linotype"/>
          <w:b/>
          <w:bCs/>
          <w:color w:val="000000"/>
        </w:rPr>
        <w:t xml:space="preserve">fracción VII </w:t>
      </w:r>
      <w:r>
        <w:rPr>
          <w:rFonts w:ascii="Palatino Linotype" w:eastAsia="Palatino Linotype" w:hAnsi="Palatino Linotype" w:cs="Palatino Linotype"/>
          <w:color w:val="000000"/>
        </w:rPr>
        <w:t xml:space="preserve">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fracción que determina las hipótesis jurídica relativa a la falta de respuesta; contexto del cual se dolió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 xml:space="preserve">al momento de interponer su inconformidad. </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pStyle w:val="Ttulo2"/>
        <w:spacing w:before="0" w:line="360" w:lineRule="auto"/>
        <w:ind w:right="-847"/>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Del estudio y resolución del estudio</w:t>
      </w: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Pr>
          <w:rFonts w:ascii="Palatino Linotype" w:eastAsia="Palatino Linotype" w:hAnsi="Palatino Linotype" w:cs="Palatino Linotype"/>
          <w:color w:val="000000"/>
        </w:rPr>
        <w:t>Transparencia</w:t>
      </w:r>
      <w:r>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w:t>
      </w:r>
      <w:r>
        <w:rPr>
          <w:rFonts w:ascii="Palatino Linotype" w:eastAsia="Palatino Linotype" w:hAnsi="Palatino Linotype" w:cs="Palatino Linotype"/>
        </w:rPr>
        <w:lastRenderedPageBreak/>
        <w:t>competencias o funciones desde su origen la eventual publicidad y reutilización de la información que generen.</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717E1" w:rsidRDefault="002717E1">
      <w:pPr>
        <w:spacing w:line="360" w:lineRule="auto"/>
        <w:ind w:right="-847"/>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2717E1" w:rsidRDefault="002717E1">
      <w:pPr>
        <w:pBdr>
          <w:top w:val="nil"/>
          <w:left w:val="nil"/>
          <w:bottom w:val="nil"/>
          <w:right w:val="nil"/>
          <w:between w:val="nil"/>
        </w:pBdr>
        <w:tabs>
          <w:tab w:val="left" w:pos="567"/>
        </w:tabs>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Acotado lo anterior, es dable primeramente señalar que contrario a lo referido por el particular en su escrito recursal, si existió una respuesta como quedó asentado en los Antecedentes del presente proveído; no obstante, ciertamente se dejó de entregar la </w:t>
      </w:r>
      <w:r>
        <w:rPr>
          <w:rFonts w:ascii="Palatino Linotype" w:eastAsia="Palatino Linotype" w:hAnsi="Palatino Linotype" w:cs="Palatino Linotype"/>
        </w:rPr>
        <w:lastRenderedPageBreak/>
        <w:t xml:space="preserve">información solicitada, o bien un pronunciamiento al respecto, toda vez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manifestó que la solicitud de información pretende el ejercicio de un derecho diverso como lo es el derecho de petición. </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Contexto que se desestima, pues contrario a lo señalado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el requerir una documental que compruebe que se realizó un acto que está dentro de las atribuciones del Ayuntamiento, no implica que se esté ante la presencia de un derecho de petición.</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Ello resulta así, en virtud que el derecho de acceso a la información pública tiene por objeto obtener información existente, documentada y en posesión de los sujetos obligados y, el derecho de petición, previsto en el artículo 8° de la Constitución Federal, permite a las personas formular solicitudes, planteamientos, quejas, denuncias, opiniones o inconformidades ante la autoridad, para que ésta emita una respuesta fundada y motivada. </w:t>
      </w:r>
    </w:p>
    <w:p w:rsidR="002717E1" w:rsidRDefault="002717E1">
      <w:pPr>
        <w:pBdr>
          <w:top w:val="nil"/>
          <w:left w:val="nil"/>
          <w:bottom w:val="nil"/>
          <w:right w:val="nil"/>
          <w:between w:val="nil"/>
        </w:pBdr>
        <w:spacing w:line="360" w:lineRule="auto"/>
        <w:ind w:left="644" w:right="-847"/>
        <w:jc w:val="both"/>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En el caso concreto, como pudiera haber sido ¿Por qué no se le ha pagado el finiquito? o, ¿Cuándo se realizará el pago? Supuesto que ciertamente no identifican un documento, expediente, registro, informe o dato específico que obre en los archivos institucionales, por el contrario, implicaría que la autoridad explique, justifique o se pronuncie respecto de un hecho, lo que supondría la elaboración de una respuesta, valoración u opinión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rsidR="002717E1" w:rsidRDefault="002717E1">
      <w:pPr>
        <w:pBdr>
          <w:top w:val="nil"/>
          <w:left w:val="nil"/>
          <w:bottom w:val="nil"/>
          <w:right w:val="nil"/>
          <w:between w:val="nil"/>
        </w:pBdr>
        <w:spacing w:line="360" w:lineRule="auto"/>
        <w:ind w:left="644" w:right="-847"/>
        <w:jc w:val="both"/>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lastRenderedPageBreak/>
        <w:t xml:space="preserve">Luego entonces, al haberse solicitado en el presente asunto la documental en que conste o se advierta la erogación de un pago y la fecha, si corresponde al ejercicio de acceso a la información pública; en esa tesitura, también es que se desestiman las aseveraciones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cuando refiere que los hecho ARCO son exclusivos de la persona titular de los datos personales o de su representante legal debidamente acreditado, por lo que, en el presente asunto, el solicitante no acredita ser la titular de los datos ni presenta poder o representación legal alguna, a su decir, existe falta de legitimación activa, lo que deriva en una causal de improcedencia.</w:t>
      </w:r>
    </w:p>
    <w:p w:rsidR="002717E1" w:rsidRDefault="002717E1">
      <w:pPr>
        <w:spacing w:line="360" w:lineRule="auto"/>
        <w:ind w:left="502" w:right="-847"/>
        <w:jc w:val="both"/>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En todo caso, existe una contradicción, cuando previo a eso, la propia respuesta refiere en diversos precedentes este Instituto, ha determinado que los expedientes de finiquito y liquidación de servidores públicos son, por regla general, información confidencial, debiendo entregarse únicamente en versiones públicas con protección de datos sensibles (ello, justamente porque no corresponde al ejercicio de derechos ARCO, sino de acceso a la información pública).</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Efectivamente, su entrega es procedente y, de ser el caso en versión pública protegiendo únicamente datos personales del ex servidor público, como pudieran ser de manera enunciativa más no limitativa: RFC, domicilio particular, teléfono particular, correo electrónico personal, clave bancaria estandarizada (CLABE), número de tarjeta bancaria, huellas dactilares o datos biométricos; o bien, si el documento generado, poseído o administrado, no tuviera ningún dato personal, procede su entrega de manera íntegra.</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lastRenderedPageBreak/>
        <w:t xml:space="preserve">Retomando, es de explorado derecho que el acceso a la información pública, es un derecho que versa sobre documentos, que hayan sido generados, poseídos o administrados por los sujetos obligados, previo a la interposición de una solicitud de información, </w:t>
      </w:r>
      <w:r>
        <w:rPr>
          <w:rFonts w:ascii="Palatino Linotype" w:eastAsia="Palatino Linotype" w:hAnsi="Palatino Linotype" w:cs="Palatino Linotype"/>
          <w:i/>
          <w:iCs/>
        </w:rPr>
        <w:t xml:space="preserve">máxime </w:t>
      </w:r>
      <w:r>
        <w:rPr>
          <w:rFonts w:ascii="Palatino Linotype" w:eastAsia="Palatino Linotype" w:hAnsi="Palatino Linotype" w:cs="Palatino Linotype"/>
        </w:rPr>
        <w:t>cuando está relacionado al ejercicio de recursos públicos como lo es el pago de un finiquito, pues esto abona a la transparencia y rendición de cuentas en la medida en que constituye evidencia documental del destino y aplicación de recursos públicos para cubrir obligaciones laborales de un sujeto obligado, permitiendo verificar la legalidad, procedencia y monto de las erogaciones realizadas, sin perjuicio de la protección de los datos personales que contenga.</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Por tanto, lo dable es ordenar la entrega de la información solicitada, esto, a través de una búsqueda exhaustiva y razonable; toda vez que de las constancias que obran en el expediente electrónico en que se actúa, se advierte que fue la Titular de la Unidad de Transparencia, quien dé propia cuenta emitió la respuesta, sin haberla turnado al servidor público habilitado competente, quien en todo caso era el responsable de emitir un pronunciamiento al respecto.</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Es de recordar que los titulares de las unidades de transparencia, fungen como enlaces entre la ciudadanía y los servidores públicos habilitados competentes cuando ingresa una solicitud de información, y estos deben poner a disposición de los solicitantes las respuestas que se pudieran emitir, no así a de propia cuenta determinar la respuesta.</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En ese contexto,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rsidR="002717E1" w:rsidRDefault="00FD0603">
      <w:pPr>
        <w:spacing w:line="360" w:lineRule="auto"/>
        <w:ind w:left="567" w:right="-847"/>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2717E1" w:rsidRDefault="002717E1">
      <w:pPr>
        <w:spacing w:line="360" w:lineRule="auto"/>
        <w:ind w:left="567" w:right="-847"/>
        <w:jc w:val="both"/>
        <w:rPr>
          <w:rFonts w:ascii="Palatino Linotype" w:eastAsia="Palatino Linotype" w:hAnsi="Palatino Linotype" w:cs="Palatino Linotype"/>
          <w:i/>
          <w:iCs/>
        </w:rPr>
      </w:pPr>
    </w:p>
    <w:p w:rsidR="002717E1" w:rsidRDefault="00FD0603">
      <w:pPr>
        <w:numPr>
          <w:ilvl w:val="0"/>
          <w:numId w:val="3"/>
        </w:numP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y no, a que directamente la Titular de la Unidad de Transparencia emita una respuesta (a menos que sea de su competencia); sino que este debe fungir como un enlace entre el ciudadano y los servidores público habilitados</w:t>
      </w:r>
    </w:p>
    <w:p w:rsidR="002717E1" w:rsidRDefault="002717E1">
      <w:pPr>
        <w:spacing w:line="360" w:lineRule="auto"/>
        <w:ind w:right="-847"/>
        <w:jc w:val="both"/>
        <w:rPr>
          <w:rFonts w:ascii="Palatino Linotype" w:eastAsia="Palatino Linotype" w:hAnsi="Palatino Linotype" w:cs="Palatino Linotype"/>
          <w:b/>
          <w:bCs/>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t xml:space="preserve">Luego entonces, en el presente asunto, se advierte, que se dejaron de realizar los respectivos requerimientos a las diversas áreas que integran en su conjunto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tanto –se insiste– deberá llevarse a cabo la búsqueda exhaustiva y razonable en las áreas que de acuerdo a sus funciones y atribuciones eventualmente cuenten  </w:t>
      </w:r>
      <w:r>
        <w:rPr>
          <w:rFonts w:ascii="Palatino Linotype" w:eastAsia="Palatino Linotype" w:hAnsi="Palatino Linotype" w:cs="Palatino Linotype"/>
        </w:rPr>
        <w:lastRenderedPageBreak/>
        <w:t xml:space="preserve">con lo solicitado, como lo es de manera enunciativa más no limitativa la </w:t>
      </w:r>
      <w:r>
        <w:rPr>
          <w:rFonts w:ascii="Palatino Linotype" w:eastAsia="Palatino Linotype" w:hAnsi="Palatino Linotype" w:cs="Palatino Linotype"/>
          <w:b/>
          <w:bCs/>
        </w:rPr>
        <w:t>Dirección de Administración</w:t>
      </w:r>
      <w:r>
        <w:rPr>
          <w:rFonts w:ascii="Palatino Linotype" w:eastAsia="Palatino Linotype" w:hAnsi="Palatino Linotype" w:cs="Palatino Linotype"/>
        </w:rPr>
        <w:t xml:space="preserve">, quien de conformidad al </w:t>
      </w:r>
      <w:r>
        <w:rPr>
          <w:rFonts w:ascii="Palatino Linotype" w:eastAsia="Palatino Linotype" w:hAnsi="Palatino Linotype" w:cs="Palatino Linotype"/>
          <w:b/>
          <w:bCs/>
        </w:rPr>
        <w:t>Reglamento Interior de la Administración Pública Municipal de Teoloyucan, Estado de México; 2025-2027</w:t>
      </w:r>
      <w:r>
        <w:rPr>
          <w:rFonts w:ascii="Palatino Linotype" w:eastAsia="Palatino Linotype" w:hAnsi="Palatino Linotype" w:cs="Palatino Linotype"/>
        </w:rPr>
        <w:t>, cuenta entre su funciones y atribuciones al caso concreto, las siguientes:</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148. La Dirección de Administración estará a cargo de un Director a quien se le denominara Director de Administración, le corresponderá el ejercicio de las siguientes atribuciones: </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Poner a consideración del Presidente Municipal, los nombramientos, sueldos, remociones, renuncias y licencias de los servidores públicos de la Administración Pública Municipal, atendiendo a las disposiciones de la normatividad aplicable; </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XXIX. Supervisar la revisión de los tabuladores de categorías y la dispersión de las percepciones de los servidores públicos municipales. “</w:t>
      </w:r>
    </w:p>
    <w:p w:rsidR="002717E1" w:rsidRDefault="002717E1">
      <w:pPr>
        <w:spacing w:line="360" w:lineRule="auto"/>
        <w:ind w:left="567" w:right="-847"/>
        <w:jc w:val="both"/>
        <w:rPr>
          <w:rFonts w:ascii="Palatino Linotype" w:eastAsia="Palatino Linotype" w:hAnsi="Palatino Linotype" w:cs="Palatino Linotype"/>
          <w:i/>
          <w:iCs/>
        </w:rPr>
      </w:pP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162. El Director de Administración contará con un Asistente Jurídico, quien tendrá a su cargo el despacho de los asuntos siguientes: </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Supervisar y dar el visto bueno de las liquidaciones y finiquitos del personal de baja; </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pPr>
      <w:r>
        <w:rPr>
          <w:rFonts w:ascii="Palatino Linotype" w:eastAsia="Palatino Linotype" w:hAnsi="Palatino Linotype" w:cs="Palatino Linotype"/>
        </w:rPr>
        <w:lastRenderedPageBreak/>
        <w:t>Finalmente, no pasa desapercibido que derivado de la falta de respuesta del servidor público habilitado competente, este Órgano Garante, no cuenta con certeza de que el pago del finiquito de referencia, si se realizó o al fecha de la solicitud, no se ha realizado.</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tabs>
          <w:tab w:val="left" w:pos="0"/>
        </w:tabs>
        <w:spacing w:line="360" w:lineRule="auto"/>
        <w:ind w:left="0" w:right="-847" w:firstLine="0"/>
        <w:jc w:val="both"/>
        <w:rPr>
          <w:color w:val="000000"/>
        </w:rPr>
      </w:pPr>
      <w:r>
        <w:rPr>
          <w:rFonts w:ascii="Palatino Linotype" w:eastAsia="Palatino Linotype" w:hAnsi="Palatino Linotype" w:cs="Palatino Linotype"/>
          <w:color w:val="000000"/>
        </w:rPr>
        <w:t xml:space="preserve">Por tanto, si derivado de la búsqueda de la información, </w:t>
      </w:r>
      <w:r>
        <w:rPr>
          <w:rFonts w:ascii="Palatino Linotype" w:eastAsia="Palatino Linotype" w:hAnsi="Palatino Linotype" w:cs="Palatino Linotype"/>
          <w:color w:val="000000"/>
          <w:u w:val="single"/>
        </w:rPr>
        <w:t>no se localizara en los archivos</w:t>
      </w:r>
      <w:r>
        <w:rPr>
          <w:rFonts w:ascii="Palatino Linotype" w:eastAsia="Palatino Linotype" w:hAnsi="Palatino Linotype" w:cs="Palatino Linotype"/>
          <w:color w:val="000000"/>
        </w:rPr>
        <w:t xml:space="preserve">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información al respecto, este deberá atender las formalidades que establece el fundamento jurídico plasmado en el </w:t>
      </w:r>
      <w:r>
        <w:rPr>
          <w:rFonts w:ascii="Palatino Linotype" w:eastAsia="Palatino Linotype" w:hAnsi="Palatino Linotype" w:cs="Palatino Linotype"/>
          <w:b/>
          <w:bCs/>
          <w:color w:val="000000"/>
        </w:rPr>
        <w:t>artículo 19</w:t>
      </w:r>
      <w:r>
        <w:rPr>
          <w:rFonts w:ascii="Palatino Linotype" w:eastAsia="Palatino Linotype" w:hAnsi="Palatino Linotype" w:cs="Palatino Linotype"/>
          <w:color w:val="000000"/>
        </w:rPr>
        <w:t xml:space="preserve"> de la ley de la materia y que es del tenor literal siguiente:</w:t>
      </w:r>
    </w:p>
    <w:p w:rsidR="002717E1" w:rsidRDefault="00FD0603">
      <w:pPr>
        <w:spacing w:line="360" w:lineRule="auto"/>
        <w:ind w:left="567"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19.</w:t>
      </w:r>
      <w:r>
        <w:rPr>
          <w:rFonts w:ascii="Palatino Linotype" w:eastAsia="Palatino Linotype" w:hAnsi="Palatino Linotype" w:cs="Palatino Linotype"/>
          <w:i/>
          <w:iCs/>
        </w:rPr>
        <w:t xml:space="preserve"> Se presume que la información debe existir si se refiere a las facultades, competencias y funciones que los ordenamientos jurídicos aplicables otorgan a los sujetos obligados.</w:t>
      </w:r>
    </w:p>
    <w:p w:rsidR="002717E1" w:rsidRDefault="00FD0603">
      <w:pPr>
        <w:spacing w:line="360" w:lineRule="auto"/>
        <w:ind w:left="567"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En los casos en que ciertas facultades, competencias o funciones no se hayan ejercido, se debe motivar la respuesta en función de las causas que motiven tal circunstancia.</w:t>
      </w:r>
    </w:p>
    <w:p w:rsidR="002717E1" w:rsidRDefault="00FD0603">
      <w:pPr>
        <w:spacing w:line="360" w:lineRule="auto"/>
        <w:ind w:left="567" w:right="-847"/>
        <w:jc w:val="both"/>
        <w:rPr>
          <w:rFonts w:ascii="Palatino Linotype" w:eastAsia="Palatino Linotype" w:hAnsi="Palatino Linotype" w:cs="Palatino Linotype"/>
        </w:rPr>
      </w:pPr>
      <w:r>
        <w:rPr>
          <w:rFonts w:ascii="Palatino Linotype" w:eastAsia="Palatino Linotype" w:hAnsi="Palatino Linotype" w:cs="Palatino Linotype"/>
          <w:i/>
          <w:iCs/>
        </w:rPr>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Pr>
          <w:rFonts w:ascii="Palatino Linotype" w:eastAsia="Palatino Linotype" w:hAnsi="Palatino Linotype" w:cs="Palatino Linotype"/>
        </w:rPr>
        <w:t>(Énfasis añadido)</w:t>
      </w:r>
    </w:p>
    <w:p w:rsidR="002717E1" w:rsidRDefault="002717E1">
      <w:pPr>
        <w:spacing w:line="360" w:lineRule="auto"/>
        <w:ind w:left="567"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tabs>
          <w:tab w:val="left" w:pos="0"/>
        </w:tabs>
        <w:spacing w:line="360" w:lineRule="auto"/>
        <w:ind w:left="0" w:right="-847" w:firstLine="0"/>
        <w:jc w:val="both"/>
        <w:rPr>
          <w:color w:val="000000"/>
        </w:rPr>
      </w:pPr>
      <w:r>
        <w:rPr>
          <w:rFonts w:ascii="Palatino Linotype" w:eastAsia="Palatino Linotype" w:hAnsi="Palatino Linotype" w:cs="Palatino Linotype"/>
          <w:color w:val="000000"/>
        </w:rPr>
        <w:t xml:space="preserve"> Artículo que en su segundo párrafo, alude a actos no realizados y contemplados en alguna hipótesis jurídica pero, a) cuya realización dependa de que un tercero demande la emisión de un acto de autoridad, la expedición de una licencia, por ejemplo; b) de un acontecimiento de realización probable, la Cuenta Pública correspondiente a un ejercicio fiscal en curso, por ejemplo; o, C) una facultad potestativa, la firma de convenio de </w:t>
      </w:r>
      <w:r>
        <w:rPr>
          <w:rFonts w:ascii="Palatino Linotype" w:eastAsia="Palatino Linotype" w:hAnsi="Palatino Linotype" w:cs="Palatino Linotype"/>
          <w:color w:val="000000"/>
        </w:rPr>
        <w:lastRenderedPageBreak/>
        <w:t>colaboración, por ejemplo. En estos casos, el sujeto obligado, al emitir su respuesta o cumplir con una resolución emitida por éste órgano garante, deberá manifestar, de manera precisa y clara, las razones que expliquen las causas por las que no se ha realizado el acto de autoridad y, en consecuencia, no se ha documentado decisión alguna.</w:t>
      </w:r>
    </w:p>
    <w:p w:rsidR="002717E1" w:rsidRDefault="002717E1">
      <w:pPr>
        <w:spacing w:line="360" w:lineRule="auto"/>
        <w:ind w:left="426"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tabs>
          <w:tab w:val="left" w:pos="0"/>
        </w:tabs>
        <w:spacing w:line="360" w:lineRule="auto"/>
        <w:ind w:left="0" w:right="-847" w:firstLine="0"/>
        <w:jc w:val="both"/>
        <w:rPr>
          <w:color w:val="000000"/>
        </w:rPr>
      </w:pPr>
      <w:r>
        <w:rPr>
          <w:rFonts w:ascii="Palatino Linotype" w:eastAsia="Palatino Linotype" w:hAnsi="Palatino Linotype" w:cs="Palatino Linotype"/>
          <w:color w:val="000000"/>
        </w:rPr>
        <w:t xml:space="preserve">Por lo que de ser el caso que dicha información no se encuentre en los archivos  del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deberá de manifestar, de manera precisa y clara, las razones que expliquen las causas por las que no se posee la información requerida.</w:t>
      </w:r>
    </w:p>
    <w:p w:rsidR="002717E1" w:rsidRDefault="002717E1">
      <w:pPr>
        <w:spacing w:line="360" w:lineRule="auto"/>
        <w:ind w:left="720" w:right="-847"/>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tabs>
          <w:tab w:val="left" w:pos="0"/>
        </w:tabs>
        <w:spacing w:line="360" w:lineRule="auto"/>
        <w:ind w:left="0" w:right="-847" w:firstLine="0"/>
        <w:jc w:val="both"/>
        <w:rPr>
          <w:color w:val="000000"/>
        </w:rPr>
      </w:pPr>
      <w:r>
        <w:rPr>
          <w:rFonts w:ascii="Palatino Linotype" w:eastAsia="Palatino Linotype" w:hAnsi="Palatino Linotype" w:cs="Palatino Linotype"/>
          <w:color w:val="000000"/>
        </w:rPr>
        <w:t xml:space="preserve">Por último, la entrega deberá ser en versión pública emitiendo para tal efecto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el Acuerdo del Comité de Transparencia de conformidad con el considerando específico siguiente, en el que funde y motive las razones sobre los datos que se supriman o eliminen, mismo que también hará de conocimiento del particular.</w:t>
      </w:r>
    </w:p>
    <w:p w:rsidR="002717E1" w:rsidRDefault="002717E1">
      <w:pP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Pr>
          <w:rFonts w:ascii="Palatino Linotype" w:eastAsia="Palatino Linotype" w:hAnsi="Palatino Linotype" w:cs="Palatino Linotype"/>
        </w:rPr>
        <w:t>corresponde</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 xml:space="preserve">ejercer </w:t>
      </w:r>
      <w:r>
        <w:rPr>
          <w:rFonts w:ascii="Palatino Linotype" w:eastAsia="Palatino Linotype" w:hAnsi="Palatino Linotype" w:cs="Palatino Linotype"/>
          <w:i/>
          <w:iCs/>
          <w:color w:val="000000"/>
        </w:rPr>
        <w:lastRenderedPageBreak/>
        <w:t>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 xml:space="preserve"> ”</w:t>
      </w:r>
    </w:p>
    <w:p w:rsidR="002717E1" w:rsidRDefault="002717E1">
      <w:pP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717E1" w:rsidRDefault="00FD0603">
      <w:pPr>
        <w:spacing w:line="360" w:lineRule="auto"/>
        <w:ind w:left="426"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w:t>
      </w:r>
      <w:r>
        <w:rPr>
          <w:rFonts w:ascii="Palatino Linotype" w:eastAsia="Palatino Linotype" w:hAnsi="Palatino Linotype" w:cs="Palatino Linotype"/>
          <w:i/>
          <w:iCs/>
          <w:color w:val="000000"/>
        </w:rPr>
        <w:lastRenderedPageBreak/>
        <w:t>públicos, en virtud del ejercicio de sus funciones de derecho público, sin importar su fuente, soporte o fecha de elaboración.</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2717E1" w:rsidRDefault="002717E1">
      <w:pPr>
        <w:spacing w:line="360" w:lineRule="auto"/>
        <w:ind w:left="567" w:right="-847"/>
        <w:jc w:val="both"/>
        <w:rPr>
          <w:rFonts w:ascii="Palatino Linotype" w:eastAsia="Palatino Linotype" w:hAnsi="Palatino Linotype" w:cs="Palatino Linotype"/>
          <w:i/>
          <w:iCs/>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717E1" w:rsidRDefault="002717E1">
      <w:pPr>
        <w:spacing w:line="360" w:lineRule="auto"/>
        <w:ind w:left="567" w:right="-847"/>
        <w:jc w:val="both"/>
        <w:rPr>
          <w:rFonts w:ascii="Palatino Linotype" w:eastAsia="Palatino Linotype" w:hAnsi="Palatino Linotype" w:cs="Palatino Linotype"/>
          <w:i/>
          <w:iCs/>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estar </w:t>
      </w:r>
      <w:r>
        <w:rPr>
          <w:rFonts w:ascii="Palatino Linotype" w:eastAsia="Palatino Linotype" w:hAnsi="Palatino Linotype" w:cs="Palatino Linotype"/>
          <w:color w:val="000000"/>
        </w:rPr>
        <w:t xml:space="preserve">documentados y, bajo el más alto estándar de transparencia deberán poner toda la </w:t>
      </w:r>
      <w:r>
        <w:rPr>
          <w:rFonts w:ascii="Palatino Linotype" w:eastAsia="Palatino Linotype" w:hAnsi="Palatino Linotype" w:cs="Palatino Linotype"/>
          <w:color w:val="000000"/>
        </w:rPr>
        <w:lastRenderedPageBreak/>
        <w:t>información que se encuentre en su posesión, a disposición de los particulares que la soliciten.</w:t>
      </w:r>
    </w:p>
    <w:p w:rsidR="002717E1" w:rsidRDefault="002717E1">
      <w:pPr>
        <w:pBdr>
          <w:top w:val="nil"/>
          <w:left w:val="nil"/>
          <w:bottom w:val="nil"/>
          <w:right w:val="nil"/>
          <w:between w:val="nil"/>
        </w:pBdr>
        <w:tabs>
          <w:tab w:val="left" w:pos="284"/>
        </w:tabs>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717E1" w:rsidRDefault="00FD0603">
      <w:pPr>
        <w:spacing w:line="360" w:lineRule="auto"/>
        <w:ind w:left="426"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2717E1" w:rsidRDefault="002717E1">
      <w:pPr>
        <w:spacing w:line="360" w:lineRule="auto"/>
        <w:ind w:left="567" w:right="-847"/>
        <w:jc w:val="both"/>
        <w:rPr>
          <w:rFonts w:ascii="Palatino Linotype" w:eastAsia="Palatino Linotype" w:hAnsi="Palatino Linotype" w:cs="Palatino Linotype"/>
          <w:i/>
          <w:iCs/>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otro, se ven impuestos por la obligación de hacer pública toda aquella información que se </w:t>
      </w:r>
      <w:r>
        <w:rPr>
          <w:rFonts w:ascii="Palatino Linotype" w:eastAsia="Palatino Linotype" w:hAnsi="Palatino Linotype" w:cs="Palatino Linotype"/>
          <w:color w:val="000000"/>
        </w:rPr>
        <w:lastRenderedPageBreak/>
        <w:t>encuentre en su posesión en estricto apego a los principios de eficacia</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2717E1" w:rsidRDefault="002717E1">
      <w:pP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2717E1" w:rsidRDefault="00FD0603">
      <w:pPr>
        <w:pBdr>
          <w:top w:val="nil"/>
          <w:left w:val="nil"/>
          <w:bottom w:val="nil"/>
          <w:right w:val="nil"/>
          <w:between w:val="nil"/>
        </w:pBdr>
        <w:tabs>
          <w:tab w:val="left" w:pos="851"/>
        </w:tabs>
        <w:spacing w:line="360" w:lineRule="auto"/>
        <w:ind w:left="425"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w:t>
      </w:r>
      <w:r>
        <w:rPr>
          <w:rFonts w:ascii="Palatino Linotype" w:eastAsia="Palatino Linotype" w:hAnsi="Palatino Linotype" w:cs="Palatino Linotype"/>
          <w:i/>
          <w:iCs/>
          <w:color w:val="000000"/>
        </w:rPr>
        <w:lastRenderedPageBreak/>
        <w:t>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2717E1" w:rsidRDefault="002717E1">
      <w:pPr>
        <w:pBdr>
          <w:top w:val="nil"/>
          <w:left w:val="nil"/>
          <w:bottom w:val="nil"/>
          <w:right w:val="nil"/>
          <w:between w:val="nil"/>
        </w:pBdr>
        <w:tabs>
          <w:tab w:val="left" w:pos="851"/>
        </w:tabs>
        <w:spacing w:line="360" w:lineRule="auto"/>
        <w:ind w:right="-847"/>
        <w:jc w:val="both"/>
        <w:rPr>
          <w:rFonts w:ascii="Palatino Linotype" w:eastAsia="Palatino Linotype" w:hAnsi="Palatino Linotype" w:cs="Palatino Linotype"/>
          <w:color w:val="000000"/>
        </w:rPr>
      </w:pPr>
    </w:p>
    <w:p w:rsidR="002717E1" w:rsidRDefault="00FD0603">
      <w:pPr>
        <w:pBdr>
          <w:top w:val="nil"/>
          <w:left w:val="nil"/>
          <w:bottom w:val="nil"/>
          <w:right w:val="nil"/>
          <w:between w:val="nil"/>
        </w:pBdr>
        <w:tabs>
          <w:tab w:val="left" w:pos="284"/>
          <w:tab w:val="left" w:pos="426"/>
        </w:tabs>
        <w:spacing w:line="360" w:lineRule="auto"/>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Finalmente, debe señalarse que dada la propia y especial naturaleza de lo solicitado, eventualmente puede contener diversos datos personales que deberán ser protegidos como ya quedó asentado en el Considerando anterior del presente proveído. Para dar cumplimiento a la presente resolución, contengan datos que deban ser clasificados,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sin menoscabo al derecho a la protección de los datos personales de terceros.</w:t>
      </w:r>
    </w:p>
    <w:p w:rsidR="002717E1" w:rsidRDefault="002717E1">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Por lo que, para efectos de la elaboración de la versión pública se deberá observar lo dispuesto por los artículos 3 fracciones IX, XX, XXI, XXXII y XLV; 6, 49 fracción VIII, 91, 137, </w:t>
      </w:r>
      <w:r>
        <w:rPr>
          <w:rFonts w:ascii="Palatino Linotype" w:eastAsia="Palatino Linotype" w:hAnsi="Palatino Linotype" w:cs="Palatino Linotype"/>
          <w:color w:val="000000"/>
        </w:rPr>
        <w:lastRenderedPageBreak/>
        <w:t>143 Fracción I, de la Ley de Transparencia y Acceso a la Información Pública del Estado de México y Municipios vigente, que establecen:</w:t>
      </w:r>
    </w:p>
    <w:p w:rsidR="002717E1" w:rsidRDefault="00FD0603">
      <w:pPr>
        <w:spacing w:line="360" w:lineRule="auto"/>
        <w:ind w:left="993"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 “Artículo 3. Para los efectos de la presente Ley se entenderá por:</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La información concerniente a una persona, identificada o identificable</w:t>
      </w:r>
      <w:r>
        <w:rPr>
          <w:rFonts w:ascii="Palatino Linotype" w:eastAsia="Palatino Linotype" w:hAnsi="Palatino Linotype" w:cs="Palatino Linotype"/>
          <w:i/>
          <w:iCs/>
        </w:rPr>
        <w:t xml:space="preserve"> según lo dispuesto por la Ley de Protección de Datos Personales del Estado de México;</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XX. Información clasificada:</w:t>
      </w:r>
      <w:r>
        <w:rPr>
          <w:rFonts w:ascii="Palatino Linotype" w:eastAsia="Palatino Linotype" w:hAnsi="Palatino Linotype" w:cs="Palatino Linotype"/>
          <w:i/>
          <w:iCs/>
        </w:rPr>
        <w:t xml:space="preserve"> Aquella considerada por la presente Ley como reservada o confidencial;</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XXXII. Protección de Datos Personales:</w:t>
      </w:r>
      <w:r>
        <w:rPr>
          <w:rFonts w:ascii="Palatino Linotype" w:eastAsia="Palatino Linotype" w:hAnsi="Palatino Linotype" w:cs="Palatino Linotype"/>
          <w:i/>
          <w:iCs/>
        </w:rPr>
        <w:t xml:space="preserve"> Derecho humano que tutela la privacidad de datos personales en poder de los sujetos obligados y sujetos particulares;</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XLV. Versión pública</w:t>
      </w:r>
      <w:r>
        <w:rPr>
          <w:rFonts w:ascii="Palatino Linotype" w:eastAsia="Palatino Linotype" w:hAnsi="Palatino Linotype" w:cs="Palatino Linotype"/>
          <w:i/>
          <w:iCs/>
        </w:rPr>
        <w:t>: Documento en el que se elimine, suprime o borra la información clasificada como reservada o confidencial para permitir su acceso.”</w:t>
      </w:r>
    </w:p>
    <w:p w:rsidR="002717E1" w:rsidRDefault="002717E1">
      <w:pPr>
        <w:spacing w:line="360" w:lineRule="auto"/>
        <w:ind w:left="993" w:right="-847"/>
        <w:jc w:val="both"/>
        <w:rPr>
          <w:rFonts w:ascii="Palatino Linotype" w:eastAsia="Palatino Linotype" w:hAnsi="Palatino Linotype" w:cs="Palatino Linotype"/>
          <w:i/>
          <w:iCs/>
        </w:rPr>
      </w:pP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2717E1" w:rsidRDefault="002717E1">
      <w:pPr>
        <w:spacing w:line="360" w:lineRule="auto"/>
        <w:ind w:left="993" w:right="-847"/>
        <w:jc w:val="both"/>
        <w:rPr>
          <w:rFonts w:ascii="Palatino Linotype" w:eastAsia="Palatino Linotype" w:hAnsi="Palatino Linotype" w:cs="Palatino Linotype"/>
          <w:i/>
          <w:iCs/>
        </w:rPr>
      </w:pP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 </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Los Comités de Transparencia tendrán las siguientes atribuciones:</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VIII</w:t>
      </w:r>
      <w:r>
        <w:rPr>
          <w:rFonts w:ascii="Palatino Linotype" w:eastAsia="Palatino Linotype" w:hAnsi="Palatino Linotype" w:cs="Palatino Linotype"/>
          <w:i/>
          <w:iCs/>
        </w:rPr>
        <w:t>. Aprobar, modificar o revocar la clasificación de la información;</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91. </w:t>
      </w:r>
      <w:r>
        <w:rPr>
          <w:rFonts w:ascii="Palatino Linotype" w:eastAsia="Palatino Linotype" w:hAnsi="Palatino Linotype" w:cs="Palatino Linotype"/>
          <w:i/>
          <w:iCs/>
        </w:rPr>
        <w:t>El acceso a la información pública será restringido excepcionalmente, cuando ésta sea clasificada como reservada o confidencial.</w:t>
      </w:r>
    </w:p>
    <w:p w:rsidR="002717E1" w:rsidRDefault="002717E1">
      <w:pPr>
        <w:spacing w:line="360" w:lineRule="auto"/>
        <w:ind w:left="993" w:right="-847"/>
        <w:jc w:val="both"/>
        <w:rPr>
          <w:rFonts w:ascii="Palatino Linotype" w:eastAsia="Palatino Linotype" w:hAnsi="Palatino Linotype" w:cs="Palatino Linotype"/>
          <w:i/>
          <w:iCs/>
        </w:rPr>
      </w:pPr>
    </w:p>
    <w:p w:rsidR="002717E1" w:rsidRDefault="00FD0603">
      <w:pPr>
        <w:spacing w:line="360" w:lineRule="auto"/>
        <w:ind w:left="993"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137.</w:t>
      </w:r>
      <w:r>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2717E1" w:rsidRDefault="002717E1">
      <w:pPr>
        <w:spacing w:line="360" w:lineRule="auto"/>
        <w:ind w:left="993" w:right="-847"/>
        <w:jc w:val="both"/>
        <w:rPr>
          <w:rFonts w:ascii="Palatino Linotype" w:eastAsia="Palatino Linotype" w:hAnsi="Palatino Linotype" w:cs="Palatino Linotype"/>
          <w:b/>
          <w:bCs/>
          <w:i/>
          <w:iCs/>
        </w:rPr>
      </w:pP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rsidR="002717E1" w:rsidRDefault="002717E1">
      <w:pPr>
        <w:spacing w:line="360" w:lineRule="auto"/>
        <w:ind w:left="993" w:right="-847"/>
        <w:jc w:val="both"/>
        <w:rPr>
          <w:rFonts w:ascii="Palatino Linotype" w:eastAsia="Palatino Linotype" w:hAnsi="Palatino Linotype" w:cs="Palatino Linotype"/>
          <w:i/>
          <w:iCs/>
        </w:rPr>
      </w:pPr>
    </w:p>
    <w:p w:rsidR="002717E1" w:rsidRDefault="00FD0603">
      <w:pPr>
        <w:numPr>
          <w:ilvl w:val="0"/>
          <w:numId w:val="3"/>
        </w:numPr>
        <w:spacing w:line="360" w:lineRule="auto"/>
        <w:ind w:left="0" w:right="-847" w:firstLine="0"/>
        <w:jc w:val="both"/>
        <w:rPr>
          <w:color w:val="000000"/>
        </w:rPr>
      </w:pPr>
      <w:r>
        <w:rPr>
          <w:rFonts w:ascii="Palatino Linotype" w:eastAsia="Palatino Linotype" w:hAnsi="Palatino Linotype" w:cs="Palatino Linotype"/>
          <w:color w:val="000000"/>
        </w:rPr>
        <w:t xml:space="preserve">De los preceptos anteriores se desprende que cuando un documento que vaya a ser entregado vía acceso a la información pública, contenga tanto información de interés </w:t>
      </w:r>
      <w:r>
        <w:rPr>
          <w:rFonts w:ascii="Palatino Linotype" w:eastAsia="Palatino Linotype" w:hAnsi="Palatino Linotype" w:cs="Palatino Linotype"/>
          <w:color w:val="000000"/>
        </w:rPr>
        <w:lastRenderedPageBreak/>
        <w:t>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Comités de Transparencia</w:t>
      </w:r>
      <w:r>
        <w:rPr>
          <w:rFonts w:ascii="Palatino Linotype" w:eastAsia="Palatino Linotype" w:hAnsi="Palatino Linotype" w:cs="Palatino Linotype"/>
          <w:i/>
          <w:iCs/>
        </w:rPr>
        <w:t xml:space="preserve"> tendrán las siguientes atribuciones:</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VIII. Aprobar, modificar o revocar la clasificación de la información</w:t>
      </w:r>
      <w:r>
        <w:rPr>
          <w:rFonts w:ascii="Palatino Linotype" w:eastAsia="Palatino Linotype" w:hAnsi="Palatino Linotype" w:cs="Palatino Linotype"/>
          <w:i/>
          <w:iCs/>
        </w:rPr>
        <w:t>…”</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Las </w:t>
      </w:r>
      <w:r>
        <w:rPr>
          <w:rFonts w:ascii="Palatino Linotype" w:eastAsia="Palatino Linotype" w:hAnsi="Palatino Linotype" w:cs="Palatino Linotype"/>
          <w:b/>
          <w:bCs/>
          <w:i/>
          <w:iCs/>
        </w:rPr>
        <w:t>Unidades de Transparencia</w:t>
      </w:r>
      <w:r>
        <w:rPr>
          <w:rFonts w:ascii="Palatino Linotype" w:eastAsia="Palatino Linotype" w:hAnsi="Palatino Linotype" w:cs="Palatino Linotype"/>
          <w:i/>
          <w:iCs/>
        </w:rPr>
        <w:t xml:space="preserve"> tendrán las siguientes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X. Presentar ante el Comité, el proyecto de clasificación de información</w:t>
      </w:r>
      <w:r>
        <w:rPr>
          <w:rFonts w:ascii="Palatino Linotype" w:eastAsia="Palatino Linotype" w:hAnsi="Palatino Linotype" w:cs="Palatino Linotype"/>
          <w:i/>
          <w:iCs/>
        </w:rPr>
        <w:t xml:space="preserve">…” </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59.</w:t>
      </w:r>
      <w:r>
        <w:rPr>
          <w:rFonts w:ascii="Palatino Linotype" w:eastAsia="Palatino Linotype" w:hAnsi="Palatino Linotype" w:cs="Palatino Linotype"/>
          <w:i/>
          <w:iCs/>
        </w:rPr>
        <w:t xml:space="preserve"> Los </w:t>
      </w:r>
      <w:r>
        <w:rPr>
          <w:rFonts w:ascii="Palatino Linotype" w:eastAsia="Palatino Linotype" w:hAnsi="Palatino Linotype" w:cs="Palatino Linotype"/>
          <w:b/>
          <w:bCs/>
          <w:i/>
          <w:iCs/>
        </w:rPr>
        <w:t>servidores públicos habilitados</w:t>
      </w:r>
      <w:r>
        <w:rPr>
          <w:rFonts w:ascii="Palatino Linotype" w:eastAsia="Palatino Linotype" w:hAnsi="Palatino Linotype" w:cs="Palatino Linotype"/>
          <w:i/>
          <w:iCs/>
        </w:rPr>
        <w:t xml:space="preserve"> tendrán las </w:t>
      </w:r>
      <w:r>
        <w:rPr>
          <w:rFonts w:ascii="Palatino Linotype" w:eastAsia="Palatino Linotype" w:hAnsi="Palatino Linotype" w:cs="Palatino Linotype"/>
          <w:b/>
          <w:bCs/>
          <w:i/>
          <w:iCs/>
        </w:rPr>
        <w:t>funciones</w:t>
      </w:r>
      <w:r>
        <w:rPr>
          <w:rFonts w:ascii="Palatino Linotype" w:eastAsia="Palatino Linotype" w:hAnsi="Palatino Linotype" w:cs="Palatino Linotype"/>
          <w:i/>
          <w:iCs/>
        </w:rPr>
        <w:t xml:space="preserve"> siguientes:</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V. Integrar y presentar al responsable de la Unidad de Transparencia la propuesta de clasificación de información</w:t>
      </w:r>
      <w:r>
        <w:rPr>
          <w:rFonts w:ascii="Palatino Linotype" w:eastAsia="Palatino Linotype" w:hAnsi="Palatino Linotype" w:cs="Palatino Linotype"/>
          <w:i/>
          <w:iCs/>
        </w:rPr>
        <w:t>, la cual tendrá los fundamentos y argumentos en que se basa dicha propuesta…”</w:t>
      </w:r>
    </w:p>
    <w:p w:rsidR="002717E1" w:rsidRDefault="002717E1">
      <w:pPr>
        <w:spacing w:line="360" w:lineRule="auto"/>
        <w:ind w:left="851" w:right="-847"/>
        <w:jc w:val="both"/>
        <w:rPr>
          <w:rFonts w:ascii="Palatino Linotype" w:eastAsia="Palatino Linotype" w:hAnsi="Palatino Linotype" w:cs="Palatino Linotype"/>
          <w:i/>
          <w:iCs/>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rsidR="002717E1" w:rsidRDefault="00FD0603">
      <w:pPr>
        <w:spacing w:line="360" w:lineRule="auto"/>
        <w:ind w:left="993"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149.</w:t>
      </w:r>
      <w:r>
        <w:rPr>
          <w:rFonts w:ascii="Palatino Linotype" w:eastAsia="Palatino Linotype" w:hAnsi="Palatino Linotype" w:cs="Palatino Linotype"/>
          <w:i/>
          <w:iCs/>
        </w:rPr>
        <w:t xml:space="preserve"> El </w:t>
      </w:r>
      <w:r>
        <w:rPr>
          <w:rFonts w:ascii="Palatino Linotype" w:eastAsia="Palatino Linotype" w:hAnsi="Palatino Linotype" w:cs="Palatino Linotype"/>
          <w:b/>
          <w:bCs/>
          <w:i/>
          <w:iCs/>
        </w:rPr>
        <w:t>acuerdo que clasifique la información como confidencial</w:t>
      </w:r>
      <w:r>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Es decir, el Sujeto Obligado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rsidR="002717E1" w:rsidRDefault="002717E1">
      <w:pPr>
        <w:spacing w:line="360" w:lineRule="auto"/>
        <w:ind w:left="1134" w:right="-847"/>
        <w:jc w:val="both"/>
        <w:rPr>
          <w:rFonts w:ascii="Palatino Linotype" w:eastAsia="Palatino Linotype" w:hAnsi="Palatino Linotype" w:cs="Palatino Linotype"/>
          <w:i/>
          <w:iCs/>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se destaca que la versión pública que elabore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w:t>
      </w:r>
      <w:r>
        <w:rPr>
          <w:rFonts w:ascii="Palatino Linotype" w:eastAsia="Palatino Linotype" w:hAnsi="Palatino Linotype" w:cs="Palatino Linotype"/>
        </w:rPr>
        <w:t>sustentará</w:t>
      </w:r>
      <w:r>
        <w:rPr>
          <w:rFonts w:ascii="Palatino Linotype" w:eastAsia="Palatino Linotype" w:hAnsi="Palatino Linotype" w:cs="Palatino Linotype"/>
          <w:color w:val="000000"/>
        </w:rPr>
        <w:t xml:space="preserve"> la clasificación de datos y con ello la "versión pública" de los documentos materia de las solicitudes</w:t>
      </w:r>
      <w:r>
        <w:rPr>
          <w:rFonts w:ascii="Palatino Linotype" w:eastAsia="Palatino Linotype" w:hAnsi="Palatino Linotype" w:cs="Palatino Linotype"/>
          <w:color w:val="000000"/>
          <w:highlight w:val="white"/>
        </w:rPr>
        <w:t>.</w:t>
      </w:r>
    </w:p>
    <w:p w:rsidR="002717E1" w:rsidRDefault="002717E1">
      <w:pPr>
        <w:pBdr>
          <w:top w:val="nil"/>
          <w:left w:val="nil"/>
          <w:bottom w:val="nil"/>
          <w:right w:val="nil"/>
          <w:between w:val="nil"/>
        </w:pBdr>
        <w:tabs>
          <w:tab w:val="left" w:pos="284"/>
          <w:tab w:val="left" w:pos="426"/>
        </w:tabs>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w:t>
      </w:r>
      <w:r>
        <w:rPr>
          <w:rFonts w:ascii="Palatino Linotype" w:eastAsia="Palatino Linotype" w:hAnsi="Palatino Linotype" w:cs="Palatino Linotype"/>
          <w:color w:val="000000"/>
        </w:rPr>
        <w:lastRenderedPageBreak/>
        <w:t xml:space="preserve">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w:t>
      </w:r>
      <w:r>
        <w:rPr>
          <w:rFonts w:ascii="Palatino Linotype" w:eastAsia="Palatino Linotype" w:hAnsi="Palatino Linotype" w:cs="Palatino Linotype"/>
          <w:b/>
          <w:bCs/>
          <w:color w:val="000000"/>
        </w:rPr>
        <w:t>LA RECURRENTE.</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rsidR="002717E1" w:rsidRDefault="002717E1">
      <w:pPr>
        <w:pBdr>
          <w:top w:val="nil"/>
          <w:left w:val="nil"/>
          <w:bottom w:val="nil"/>
          <w:right w:val="nil"/>
          <w:between w:val="nil"/>
        </w:pBdr>
        <w:spacing w:line="360" w:lineRule="auto"/>
        <w:ind w:left="720" w:right="-847"/>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w:t>
      </w:r>
      <w:r>
        <w:rPr>
          <w:rFonts w:ascii="Palatino Linotype" w:eastAsia="Palatino Linotype" w:hAnsi="Palatino Linotype" w:cs="Palatino Linotype"/>
        </w:rPr>
        <w:t>desclasificará</w:t>
      </w:r>
      <w:r>
        <w:rPr>
          <w:rFonts w:ascii="Palatino Linotype" w:eastAsia="Palatino Linotype" w:hAnsi="Palatino Linotype" w:cs="Palatino Linotype"/>
          <w:color w:val="000000"/>
        </w:rPr>
        <w:t xml:space="preserve"> y generarán, en su caso, versiones públicas de expedientes o documentos que contengan partes o secciones clasificadas.</w:t>
      </w:r>
    </w:p>
    <w:p w:rsidR="002717E1" w:rsidRDefault="002717E1">
      <w:pPr>
        <w:pBdr>
          <w:top w:val="nil"/>
          <w:left w:val="nil"/>
          <w:bottom w:val="nil"/>
          <w:right w:val="nil"/>
          <w:between w:val="nil"/>
        </w:pBdr>
        <w:spacing w:line="360" w:lineRule="auto"/>
        <w:ind w:left="720" w:right="-847"/>
        <w:jc w:val="both"/>
        <w:rPr>
          <w:rFonts w:ascii="Palatino Linotype" w:eastAsia="Palatino Linotype" w:hAnsi="Palatino Linotype" w:cs="Palatino Linotype"/>
        </w:rPr>
      </w:pPr>
    </w:p>
    <w:p w:rsidR="002717E1" w:rsidRDefault="00FD0603">
      <w:pPr>
        <w:numPr>
          <w:ilvl w:val="0"/>
          <w:numId w:val="3"/>
        </w:numPr>
        <w:pBdr>
          <w:top w:val="nil"/>
          <w:left w:val="nil"/>
          <w:bottom w:val="nil"/>
          <w:right w:val="nil"/>
          <w:between w:val="nil"/>
        </w:pBdr>
        <w:spacing w:line="360" w:lineRule="auto"/>
        <w:ind w:left="141"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Entorno a lo que aquí nos interesa, los Lineamientos Quincuagésimo sexto, Quincuagésimo séptimo y Quincuagésimo octavo, establecen lo siguiente:</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sexto</w:t>
      </w:r>
      <w:r>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Quincuagésimo séptimo. Se considera, en principio, como información pública y no podrá omitirse de las versiones públicas la siguiente: </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rsidR="002717E1" w:rsidRDefault="00FD0603">
      <w:pPr>
        <w:spacing w:line="360" w:lineRule="auto"/>
        <w:ind w:left="851" w:right="-847"/>
        <w:jc w:val="both"/>
        <w:rPr>
          <w:rFonts w:ascii="Palatino Linotype" w:eastAsia="Palatino Linotype" w:hAnsi="Palatino Linotype" w:cs="Palatino Linotype"/>
          <w:i/>
          <w:iCs/>
        </w:rPr>
      </w:pPr>
      <w:r>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rsidR="002717E1" w:rsidRDefault="002717E1">
      <w:pPr>
        <w:spacing w:line="360" w:lineRule="auto"/>
        <w:ind w:left="851" w:right="-847"/>
        <w:jc w:val="both"/>
        <w:rPr>
          <w:rFonts w:ascii="Palatino Linotype" w:eastAsia="Palatino Linotype" w:hAnsi="Palatino Linotype" w:cs="Palatino Linotype"/>
          <w:i/>
          <w:iCs/>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Por lo tanto, </w:t>
      </w:r>
      <w:r>
        <w:rPr>
          <w:rFonts w:ascii="Palatino Linotype" w:eastAsia="Palatino Linotype" w:hAnsi="Palatino Linotype" w:cs="Palatino Linotype"/>
          <w:b/>
          <w:bCs/>
          <w:color w:val="000000"/>
        </w:rPr>
        <w:t xml:space="preserve">la entrega de documentos en su versión pública debe </w:t>
      </w:r>
      <w:r>
        <w:rPr>
          <w:rFonts w:ascii="Palatino Linotype" w:eastAsia="Palatino Linotype" w:hAnsi="Palatino Linotype" w:cs="Palatino Linotype"/>
          <w:color w:val="000000"/>
        </w:rPr>
        <w:t>acompañarse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2717E1" w:rsidRDefault="002717E1">
      <w:pPr>
        <w:pBdr>
          <w:top w:val="nil"/>
          <w:left w:val="nil"/>
          <w:bottom w:val="nil"/>
          <w:right w:val="nil"/>
          <w:between w:val="nil"/>
        </w:pBdr>
        <w:tabs>
          <w:tab w:val="left" w:pos="284"/>
          <w:tab w:val="left" w:pos="426"/>
        </w:tabs>
        <w:spacing w:line="360" w:lineRule="auto"/>
        <w:ind w:right="-847"/>
        <w:jc w:val="both"/>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2717E1" w:rsidRDefault="002717E1">
      <w:pPr>
        <w:pBdr>
          <w:top w:val="nil"/>
          <w:left w:val="nil"/>
          <w:bottom w:val="nil"/>
          <w:right w:val="nil"/>
          <w:between w:val="nil"/>
        </w:pBdr>
        <w:spacing w:line="360" w:lineRule="auto"/>
        <w:ind w:left="502" w:right="-847"/>
        <w:jc w:val="both"/>
        <w:rPr>
          <w:rFonts w:ascii="Palatino Linotype" w:eastAsia="Palatino Linotype" w:hAnsi="Palatino Linotype" w:cs="Palatino Linotype"/>
        </w:rPr>
      </w:pPr>
    </w:p>
    <w:tbl>
      <w:tblPr>
        <w:tblStyle w:val="a"/>
        <w:tblW w:w="972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70"/>
        <w:gridCol w:w="6150"/>
      </w:tblGrid>
      <w:tr w:rsidR="002717E1">
        <w:tc>
          <w:tcPr>
            <w:tcW w:w="3570" w:type="dxa"/>
          </w:tcPr>
          <w:p w:rsidR="002717E1" w:rsidRDefault="00FD0603">
            <w:pPr>
              <w:tabs>
                <w:tab w:val="left" w:pos="284"/>
              </w:tabs>
              <w:ind w:right="8"/>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6150" w:type="dxa"/>
          </w:tcPr>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rsidR="002717E1" w:rsidRDefault="002717E1">
            <w:pPr>
              <w:tabs>
                <w:tab w:val="left" w:pos="284"/>
              </w:tabs>
              <w:ind w:right="8"/>
              <w:jc w:val="both"/>
              <w:rPr>
                <w:rFonts w:ascii="Palatino Linotype" w:eastAsia="Palatino Linotype" w:hAnsi="Palatino Linotype" w:cs="Palatino Linotype"/>
              </w:rPr>
            </w:pPr>
          </w:p>
        </w:tc>
      </w:tr>
      <w:tr w:rsidR="002717E1">
        <w:tc>
          <w:tcPr>
            <w:tcW w:w="3570" w:type="dxa"/>
          </w:tcPr>
          <w:p w:rsidR="002717E1" w:rsidRDefault="00FD0603">
            <w:pPr>
              <w:tabs>
                <w:tab w:val="left" w:pos="284"/>
              </w:tabs>
              <w:ind w:right="8"/>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6150" w:type="dxa"/>
          </w:tcPr>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2717E1" w:rsidRDefault="002717E1">
            <w:pPr>
              <w:tabs>
                <w:tab w:val="left" w:pos="284"/>
              </w:tabs>
              <w:ind w:right="8"/>
              <w:jc w:val="both"/>
              <w:rPr>
                <w:rFonts w:ascii="Palatino Linotype" w:eastAsia="Palatino Linotype" w:hAnsi="Palatino Linotype" w:cs="Palatino Linotype"/>
              </w:rPr>
            </w:pPr>
          </w:p>
        </w:tc>
      </w:tr>
      <w:tr w:rsidR="002717E1">
        <w:tc>
          <w:tcPr>
            <w:tcW w:w="3570" w:type="dxa"/>
          </w:tcPr>
          <w:p w:rsidR="002717E1" w:rsidRDefault="00FD0603">
            <w:pPr>
              <w:tabs>
                <w:tab w:val="left" w:pos="284"/>
              </w:tabs>
              <w:ind w:right="8"/>
              <w:rPr>
                <w:rFonts w:ascii="Palatino Linotype" w:eastAsia="Palatino Linotype" w:hAnsi="Palatino Linotype" w:cs="Palatino Linotype"/>
              </w:rPr>
            </w:pPr>
            <w:r>
              <w:rPr>
                <w:rFonts w:ascii="Palatino Linotype" w:eastAsia="Palatino Linotype" w:hAnsi="Palatino Linotype" w:cs="Palatino Linotype"/>
              </w:rPr>
              <w:t>c) Formalidades para emitir el acuerdo de clasificación.</w:t>
            </w:r>
          </w:p>
        </w:tc>
        <w:tc>
          <w:tcPr>
            <w:tcW w:w="6150" w:type="dxa"/>
          </w:tcPr>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w:t>
            </w:r>
            <w:r>
              <w:rPr>
                <w:rFonts w:ascii="Palatino Linotype" w:eastAsia="Palatino Linotype" w:hAnsi="Palatino Linotype" w:cs="Palatino Linotype"/>
                <w:color w:val="000000"/>
              </w:rPr>
              <w:lastRenderedPageBreak/>
              <w:t xml:space="preserve">para aprobar, modificar o revocar la clasificación de la información que haya propuesto. </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2717E1" w:rsidRDefault="002717E1">
            <w:pPr>
              <w:tabs>
                <w:tab w:val="left" w:pos="284"/>
              </w:tabs>
              <w:ind w:right="8"/>
              <w:jc w:val="both"/>
              <w:rPr>
                <w:rFonts w:ascii="Palatino Linotype" w:eastAsia="Palatino Linotype" w:hAnsi="Palatino Linotype" w:cs="Palatino Linotype"/>
              </w:rPr>
            </w:pPr>
          </w:p>
        </w:tc>
      </w:tr>
      <w:tr w:rsidR="002717E1">
        <w:tc>
          <w:tcPr>
            <w:tcW w:w="3570" w:type="dxa"/>
          </w:tcPr>
          <w:p w:rsidR="002717E1" w:rsidRDefault="002717E1">
            <w:pPr>
              <w:tabs>
                <w:tab w:val="left" w:pos="284"/>
              </w:tabs>
              <w:ind w:right="8"/>
              <w:rPr>
                <w:rFonts w:ascii="Palatino Linotype" w:eastAsia="Palatino Linotype" w:hAnsi="Palatino Linotype" w:cs="Palatino Linotype"/>
              </w:rPr>
            </w:pPr>
          </w:p>
          <w:p w:rsidR="002717E1" w:rsidRDefault="00FD0603">
            <w:pPr>
              <w:tabs>
                <w:tab w:val="left" w:pos="284"/>
              </w:tabs>
              <w:ind w:right="8"/>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6150" w:type="dxa"/>
          </w:tcPr>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2717E1" w:rsidRDefault="002717E1">
            <w:pPr>
              <w:tabs>
                <w:tab w:val="left" w:pos="284"/>
              </w:tabs>
              <w:ind w:right="8"/>
              <w:jc w:val="both"/>
              <w:rPr>
                <w:rFonts w:ascii="Palatino Linotype" w:eastAsia="Palatino Linotype" w:hAnsi="Palatino Linotype" w:cs="Palatino Linotype"/>
                <w:color w:val="000000"/>
              </w:rPr>
            </w:pPr>
          </w:p>
        </w:tc>
      </w:tr>
      <w:tr w:rsidR="002717E1">
        <w:tc>
          <w:tcPr>
            <w:tcW w:w="3570" w:type="dxa"/>
          </w:tcPr>
          <w:p w:rsidR="002717E1" w:rsidRDefault="00FD0603">
            <w:pPr>
              <w:tabs>
                <w:tab w:val="left" w:pos="284"/>
              </w:tabs>
              <w:ind w:right="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6150" w:type="dxa"/>
          </w:tcPr>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2717E1" w:rsidRDefault="00FD0603">
            <w:pPr>
              <w:tabs>
                <w:tab w:val="left" w:pos="284"/>
              </w:tabs>
              <w:ind w:right="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717E1" w:rsidRDefault="00FD0603">
            <w:pPr>
              <w:tabs>
                <w:tab w:val="left" w:pos="284"/>
              </w:tabs>
              <w:ind w:right="8"/>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w:t>
            </w:r>
            <w:r>
              <w:rPr>
                <w:rFonts w:ascii="Palatino Linotype" w:eastAsia="Palatino Linotype" w:hAnsi="Palatino Linotype" w:cs="Palatino Linotype"/>
                <w:color w:val="000000"/>
              </w:rPr>
              <w:lastRenderedPageBreak/>
              <w:t>titular de los datos si permite o no el acceso. De no ser posible, la realización de la consulta, procede, fundando y motivando, la clasificación.</w:t>
            </w:r>
          </w:p>
          <w:p w:rsidR="002717E1" w:rsidRDefault="002717E1">
            <w:pPr>
              <w:tabs>
                <w:tab w:val="left" w:pos="284"/>
              </w:tabs>
              <w:ind w:right="8"/>
              <w:rPr>
                <w:rFonts w:ascii="Palatino Linotype" w:eastAsia="Palatino Linotype" w:hAnsi="Palatino Linotype" w:cs="Palatino Linotype"/>
              </w:rPr>
            </w:pPr>
          </w:p>
        </w:tc>
      </w:tr>
    </w:tbl>
    <w:p w:rsidR="002717E1" w:rsidRDefault="002717E1">
      <w:pPr>
        <w:tabs>
          <w:tab w:val="left" w:pos="284"/>
        </w:tabs>
        <w:spacing w:line="360" w:lineRule="auto"/>
        <w:ind w:right="-847"/>
        <w:rPr>
          <w:rFonts w:ascii="Palatino Linotype" w:eastAsia="Palatino Linotype" w:hAnsi="Palatino Linotype" w:cs="Palatino Linotype"/>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2717E1" w:rsidRDefault="002717E1">
      <w:pPr>
        <w:pBdr>
          <w:top w:val="nil"/>
          <w:left w:val="nil"/>
          <w:bottom w:val="nil"/>
          <w:right w:val="nil"/>
          <w:between w:val="nil"/>
        </w:pBdr>
        <w:tabs>
          <w:tab w:val="left" w:pos="851"/>
        </w:tabs>
        <w:spacing w:line="360" w:lineRule="auto"/>
        <w:ind w:right="-847"/>
        <w:jc w:val="both"/>
        <w:rPr>
          <w:rFonts w:ascii="Palatino Linotype" w:eastAsia="Palatino Linotype" w:hAnsi="Palatino Linotype" w:cs="Palatino Linotype"/>
          <w:i/>
          <w:iCs/>
          <w:color w:val="000000"/>
        </w:rPr>
      </w:pPr>
    </w:p>
    <w:p w:rsidR="002717E1" w:rsidRDefault="00FD0603">
      <w:pPr>
        <w:numPr>
          <w:ilvl w:val="0"/>
          <w:numId w:val="3"/>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Por</w:t>
      </w:r>
      <w:r>
        <w:rPr>
          <w:rFonts w:ascii="Palatino Linotype" w:eastAsia="Palatino Linotype" w:hAnsi="Palatino Linotype" w:cs="Palatino Linotype"/>
          <w:color w:val="222222"/>
        </w:rPr>
        <w:t xml:space="preserve"> lo </w:t>
      </w:r>
      <w:r>
        <w:rPr>
          <w:rFonts w:ascii="Palatino Linotype" w:eastAsia="Palatino Linotype" w:hAnsi="Palatino Linotype" w:cs="Palatino Linotype"/>
        </w:rPr>
        <w:t>anteriormente</w:t>
      </w:r>
      <w:r>
        <w:rPr>
          <w:rFonts w:ascii="Palatino Linotype" w:eastAsia="Palatino Linotype" w:hAnsi="Palatino Linotype" w:cs="Palatino Linotype"/>
          <w:color w:val="222222"/>
        </w:rPr>
        <w:t xml:space="preserv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w:t>
      </w:r>
      <w:r>
        <w:rPr>
          <w:rFonts w:ascii="Palatino Linotype" w:eastAsia="Palatino Linotype" w:hAnsi="Palatino Linotype" w:cs="Palatino Linotype"/>
        </w:rPr>
        <w:t>siguientes</w:t>
      </w:r>
      <w:r>
        <w:rPr>
          <w:rFonts w:ascii="Palatino Linotype" w:eastAsia="Palatino Linotype" w:hAnsi="Palatino Linotype" w:cs="Palatino Linotype"/>
          <w:color w:val="222222"/>
        </w:rPr>
        <w:t>:</w:t>
      </w:r>
    </w:p>
    <w:p w:rsidR="002717E1" w:rsidRDefault="002717E1">
      <w:pPr>
        <w:pBdr>
          <w:top w:val="nil"/>
          <w:left w:val="nil"/>
          <w:bottom w:val="nil"/>
          <w:right w:val="nil"/>
          <w:between w:val="nil"/>
        </w:pBdr>
        <w:spacing w:line="360" w:lineRule="auto"/>
        <w:ind w:left="502" w:right="-847"/>
        <w:jc w:val="both"/>
        <w:rPr>
          <w:rFonts w:ascii="Palatino Linotype" w:eastAsia="Palatino Linotype" w:hAnsi="Palatino Linotype" w:cs="Palatino Linotype"/>
          <w:color w:val="222222"/>
        </w:rPr>
      </w:pPr>
    </w:p>
    <w:p w:rsidR="002717E1" w:rsidRDefault="00FD0603">
      <w:pPr>
        <w:keepNext/>
        <w:keepLines/>
        <w:spacing w:line="360" w:lineRule="auto"/>
        <w:ind w:right="-847"/>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2717E1" w:rsidRDefault="00FD0603">
      <w:pPr>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ab/>
      </w:r>
    </w:p>
    <w:p w:rsidR="002717E1" w:rsidRDefault="00FD0603">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04938/INFOEM/IP/RR/2026, </w:t>
      </w:r>
      <w:r>
        <w:rPr>
          <w:rFonts w:ascii="Palatino Linotype" w:eastAsia="Palatino Linotype" w:hAnsi="Palatino Linotype" w:cs="Palatino Linotype"/>
        </w:rPr>
        <w:t xml:space="preserve">en términos de los </w:t>
      </w:r>
      <w:r>
        <w:rPr>
          <w:rFonts w:ascii="Palatino Linotype" w:eastAsia="Palatino Linotype" w:hAnsi="Palatino Linotype" w:cs="Palatino Linotype"/>
          <w:b/>
          <w:bCs/>
        </w:rPr>
        <w:t>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E83BEE" w:rsidRDefault="00E83BEE">
      <w:pPr>
        <w:spacing w:line="360" w:lineRule="auto"/>
        <w:ind w:right="-847"/>
        <w:jc w:val="both"/>
        <w:rPr>
          <w:rFonts w:ascii="Palatino Linotype" w:eastAsia="Palatino Linotype" w:hAnsi="Palatino Linotype" w:cs="Palatino Linotype"/>
        </w:rPr>
      </w:pPr>
    </w:p>
    <w:p w:rsidR="002717E1" w:rsidRDefault="00FD0603">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Ayuntamiento de Teoloyucan</w:t>
      </w:r>
      <w:r>
        <w:rPr>
          <w:rFonts w:ascii="Palatino Linotype" w:eastAsia="Palatino Linotype" w:hAnsi="Palatino Linotype" w:cs="Palatino Linotype"/>
          <w:b/>
          <w:bCs/>
        </w:rPr>
        <w:t>;</w:t>
      </w:r>
      <w:r>
        <w:rPr>
          <w:rFonts w:ascii="Palatino Linotype" w:eastAsia="Palatino Linotype" w:hAnsi="Palatino Linotype" w:cs="Palatino Linotype"/>
        </w:rPr>
        <w:t xml:space="preserve"> por lo que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previa búsqueda exhaustiva y razonable, la siguiente información en versión pública, generada, poseída o administrada al </w:t>
      </w:r>
      <w:r>
        <w:rPr>
          <w:rFonts w:ascii="Palatino Linotype" w:eastAsia="Palatino Linotype" w:hAnsi="Palatino Linotype" w:cs="Palatino Linotype"/>
          <w:b/>
          <w:bCs/>
          <w:color w:val="000000"/>
        </w:rPr>
        <w:t xml:space="preserve">06 de mayo de </w:t>
      </w:r>
      <w:r w:rsidRPr="00766083">
        <w:rPr>
          <w:rFonts w:ascii="Palatino Linotype" w:eastAsia="Palatino Linotype" w:hAnsi="Palatino Linotype" w:cs="Palatino Linotype"/>
          <w:b/>
          <w:bCs/>
          <w:color w:val="000000"/>
        </w:rPr>
        <w:t>202</w:t>
      </w:r>
      <w:r w:rsidR="00E83BEE" w:rsidRPr="00766083">
        <w:rPr>
          <w:rFonts w:ascii="Palatino Linotype" w:eastAsia="Palatino Linotype" w:hAnsi="Palatino Linotype" w:cs="Palatino Linotype"/>
          <w:b/>
          <w:bCs/>
          <w:color w:val="000000"/>
        </w:rPr>
        <w:t>6</w:t>
      </w:r>
      <w:r w:rsidRPr="00766083">
        <w:rPr>
          <w:rFonts w:ascii="Palatino Linotype" w:eastAsia="Palatino Linotype" w:hAnsi="Palatino Linotype" w:cs="Palatino Linotype"/>
        </w:rPr>
        <w:t>:</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numPr>
          <w:ilvl w:val="0"/>
          <w:numId w:val="4"/>
        </w:num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Soporte documental en que conste el pago de finiquito del ex servidor público referido en la Solicitud de Información 00061/TEOLOYU/IP/2026 y la fecha de pago.</w:t>
      </w:r>
    </w:p>
    <w:p w:rsidR="002717E1" w:rsidRDefault="00FD0603">
      <w:pPr>
        <w:pBdr>
          <w:top w:val="nil"/>
          <w:left w:val="nil"/>
          <w:bottom w:val="nil"/>
          <w:right w:val="nil"/>
          <w:between w:val="nil"/>
        </w:pBdr>
        <w:spacing w:line="360" w:lineRule="auto"/>
        <w:ind w:left="851"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w:t>
      </w:r>
    </w:p>
    <w:p w:rsidR="002717E1" w:rsidRDefault="00FD0603">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2717E1" w:rsidRDefault="002717E1">
      <w:pPr>
        <w:spacing w:line="360" w:lineRule="auto"/>
        <w:ind w:right="-847"/>
        <w:jc w:val="both"/>
        <w:rPr>
          <w:rFonts w:ascii="Palatino Linotype" w:eastAsia="Palatino Linotype" w:hAnsi="Palatino Linotype" w:cs="Palatino Linotype"/>
        </w:rPr>
      </w:pPr>
      <w:bookmarkStart w:id="8" w:name="_heading=h.6hmqq0orr1z2" w:colFirst="0" w:colLast="0"/>
      <w:bookmarkEnd w:id="8"/>
    </w:p>
    <w:p w:rsidR="002717E1" w:rsidRDefault="00FD0603">
      <w:pPr>
        <w:tabs>
          <w:tab w:val="left" w:pos="8080"/>
        </w:tabs>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que la información que se ordena no se haya generado, poseído o administrado, bastará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así lo haga del conocimiento de </w:t>
      </w:r>
      <w:r>
        <w:rPr>
          <w:rFonts w:ascii="Palatino Linotype" w:eastAsia="Palatino Linotype" w:hAnsi="Palatino Linotype" w:cs="Palatino Linotype"/>
          <w:b/>
          <w:bCs/>
        </w:rPr>
        <w:t>LA</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al momento de dar cumplimiento a la presente Resolución en términos del artículo 19 párrafo segundo de la Ley de Transparencia y Acceso a la Información Pública del Estado de México y Municipios.</w:t>
      </w:r>
    </w:p>
    <w:p w:rsidR="002717E1" w:rsidRDefault="002717E1">
      <w:pPr>
        <w:tabs>
          <w:tab w:val="left" w:pos="8080"/>
        </w:tabs>
        <w:spacing w:line="360" w:lineRule="auto"/>
        <w:ind w:right="-847"/>
        <w:jc w:val="both"/>
        <w:rPr>
          <w:rFonts w:ascii="Palatino Linotype" w:eastAsia="Palatino Linotype" w:hAnsi="Palatino Linotype" w:cs="Palatino Linotype"/>
        </w:rPr>
      </w:pPr>
    </w:p>
    <w:p w:rsidR="002717E1" w:rsidRDefault="00FD0603">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w:t>
      </w:r>
      <w:r>
        <w:rPr>
          <w:rFonts w:ascii="Palatino Linotype" w:eastAsia="Palatino Linotype" w:hAnsi="Palatino Linotype" w:cs="Palatino Linotype"/>
        </w:rPr>
        <w:lastRenderedPageBreak/>
        <w:t>de conformidad con lo previsto en los artículos 198, 200, fracción III; 214, 215 y 216 de la Ley  de Transparencia y Acceso a la Información Pública del Estado de México y Municipios.</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2717E1" w:rsidRDefault="002717E1">
      <w:pPr>
        <w:spacing w:line="360" w:lineRule="auto"/>
        <w:ind w:right="-847"/>
        <w:jc w:val="both"/>
        <w:rPr>
          <w:rFonts w:ascii="Palatino Linotype" w:eastAsia="Palatino Linotype" w:hAnsi="Palatino Linotype" w:cs="Palatino Linotype"/>
        </w:rPr>
      </w:pPr>
    </w:p>
    <w:p w:rsidR="002717E1" w:rsidRDefault="00FD0603">
      <w:pPr>
        <w:tabs>
          <w:tab w:val="left" w:pos="8080"/>
        </w:tabs>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LA</w:t>
      </w:r>
      <w:r>
        <w:rPr>
          <w:rFonts w:ascii="Palatino Linotype" w:eastAsia="Palatino Linotype" w:hAnsi="Palatino Linotype" w:cs="Palatino Linotype"/>
        </w:rPr>
        <w:t xml:space="preserv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2717E1" w:rsidRDefault="002717E1">
      <w:pPr>
        <w:tabs>
          <w:tab w:val="left" w:pos="8080"/>
        </w:tabs>
        <w:spacing w:line="360" w:lineRule="auto"/>
        <w:ind w:right="-847"/>
        <w:jc w:val="both"/>
        <w:rPr>
          <w:rFonts w:ascii="Palatino Linotype" w:eastAsia="Palatino Linotype" w:hAnsi="Palatino Linotype" w:cs="Palatino Linotype"/>
        </w:rPr>
      </w:pPr>
    </w:p>
    <w:p w:rsidR="002717E1" w:rsidRDefault="00FD0603">
      <w:pPr>
        <w:shd w:val="clear" w:color="auto" w:fill="FFFFFF"/>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 xml:space="preserve">Se hace del conocimiento de </w:t>
      </w:r>
      <w:r>
        <w:rPr>
          <w:rFonts w:ascii="Palatino Linotype" w:eastAsia="Palatino Linotype" w:hAnsi="Palatino Linotype" w:cs="Palatino Linotype"/>
          <w:b/>
          <w:bCs/>
        </w:rPr>
        <w:t xml:space="preserve">LA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2717E1" w:rsidRDefault="002717E1">
      <w:pPr>
        <w:shd w:val="clear" w:color="auto" w:fill="FFFFFF"/>
        <w:spacing w:line="360" w:lineRule="auto"/>
        <w:ind w:right="-847"/>
        <w:jc w:val="both"/>
        <w:rPr>
          <w:rFonts w:ascii="Palatino Linotype" w:eastAsia="Palatino Linotype" w:hAnsi="Palatino Linotype" w:cs="Palatino Linotype"/>
        </w:rPr>
      </w:pPr>
    </w:p>
    <w:p w:rsidR="00BD7AB9" w:rsidRPr="003E2295" w:rsidRDefault="00BD7AB9" w:rsidP="00BD7AB9">
      <w:pPr>
        <w:spacing w:before="240" w:after="240" w:line="360" w:lineRule="auto"/>
        <w:ind w:right="-850"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2717E1" w:rsidRDefault="002717E1" w:rsidP="00BD7AB9">
      <w:pPr>
        <w:spacing w:line="360" w:lineRule="auto"/>
        <w:ind w:right="-850"/>
        <w:jc w:val="both"/>
        <w:rPr>
          <w:rFonts w:ascii="Palatino Linotype" w:eastAsia="Palatino Linotype" w:hAnsi="Palatino Linotype" w:cs="Palatino Linotype"/>
        </w:rPr>
      </w:pPr>
    </w:p>
    <w:p w:rsidR="002717E1" w:rsidRDefault="002717E1" w:rsidP="00BD7AB9">
      <w:pPr>
        <w:spacing w:line="360" w:lineRule="auto"/>
        <w:ind w:right="-850"/>
        <w:jc w:val="both"/>
        <w:rPr>
          <w:rFonts w:ascii="Palatino Linotype" w:eastAsia="Palatino Linotype" w:hAnsi="Palatino Linotype" w:cs="Palatino Linotype"/>
        </w:rPr>
      </w:pPr>
    </w:p>
    <w:p w:rsidR="002717E1" w:rsidRDefault="002717E1" w:rsidP="00BD7AB9">
      <w:pPr>
        <w:spacing w:line="360" w:lineRule="auto"/>
        <w:ind w:right="-850"/>
        <w:jc w:val="both"/>
        <w:rPr>
          <w:rFonts w:ascii="Palatino Linotype" w:eastAsia="Palatino Linotype" w:hAnsi="Palatino Linotype" w:cs="Palatino Linotype"/>
        </w:rPr>
      </w:pPr>
    </w:p>
    <w:p w:rsidR="002717E1" w:rsidRDefault="002717E1" w:rsidP="00BD7AB9">
      <w:pPr>
        <w:spacing w:line="360" w:lineRule="auto"/>
        <w:ind w:right="-850"/>
        <w:jc w:val="both"/>
        <w:rPr>
          <w:rFonts w:ascii="Palatino Linotype" w:eastAsia="Palatino Linotype" w:hAnsi="Palatino Linotype" w:cs="Palatino Linotype"/>
        </w:rPr>
      </w:pPr>
    </w:p>
    <w:p w:rsidR="002717E1" w:rsidRDefault="002717E1" w:rsidP="00BD7AB9">
      <w:pPr>
        <w:spacing w:line="360" w:lineRule="auto"/>
        <w:ind w:right="-850"/>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p w:rsidR="002717E1" w:rsidRDefault="00FD0603">
      <w:pPr>
        <w:tabs>
          <w:tab w:val="left" w:pos="3374"/>
        </w:tabs>
        <w:spacing w:line="360" w:lineRule="auto"/>
        <w:ind w:right="-847"/>
        <w:rPr>
          <w:rFonts w:ascii="Palatino Linotype" w:eastAsia="Palatino Linotype" w:hAnsi="Palatino Linotype" w:cs="Palatino Linotype"/>
        </w:rPr>
      </w:pPr>
      <w:r>
        <w:rPr>
          <w:rFonts w:ascii="Palatino Linotype" w:eastAsia="Palatino Linotype" w:hAnsi="Palatino Linotype" w:cs="Palatino Linotype"/>
        </w:rPr>
        <w:tab/>
      </w: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tabs>
          <w:tab w:val="left" w:pos="3374"/>
        </w:tabs>
        <w:spacing w:line="360" w:lineRule="auto"/>
        <w:ind w:right="-847"/>
        <w:rPr>
          <w:rFonts w:ascii="Palatino Linotype" w:eastAsia="Palatino Linotype" w:hAnsi="Palatino Linotype" w:cs="Palatino Linotype"/>
        </w:rPr>
      </w:pPr>
    </w:p>
    <w:p w:rsidR="002717E1" w:rsidRDefault="002717E1">
      <w:pPr>
        <w:spacing w:line="360" w:lineRule="auto"/>
        <w:ind w:right="-847"/>
        <w:rPr>
          <w:rFonts w:ascii="Palatino Linotype" w:eastAsia="Palatino Linotype" w:hAnsi="Palatino Linotype" w:cs="Palatino Linotype"/>
        </w:rPr>
      </w:pPr>
    </w:p>
    <w:sectPr w:rsidR="002717E1">
      <w:headerReference w:type="even" r:id="rId8"/>
      <w:headerReference w:type="default" r:id="rId9"/>
      <w:footerReference w:type="default" r:id="rId10"/>
      <w:headerReference w:type="first" r:id="rId11"/>
      <w:footerReference w:type="first" r:id="rId12"/>
      <w:pgSz w:w="12240" w:h="15840"/>
      <w:pgMar w:top="2269" w:right="1750" w:bottom="212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814" w:rsidRDefault="00735814">
      <w:r>
        <w:separator/>
      </w:r>
    </w:p>
  </w:endnote>
  <w:endnote w:type="continuationSeparator" w:id="0">
    <w:p w:rsidR="00735814" w:rsidRDefault="0073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2C6AAA24-A965-4185-8643-6A04C71416A3}"/>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9BEBEA76-D48F-41EB-B964-C79695A83B17}"/>
    <w:embedBold r:id="rId3" w:fontKey="{E0FE214B-7231-481D-BB54-1BC3466F146A}"/>
    <w:embedItalic r:id="rId4" w:fontKey="{0EB50E3E-A729-4C04-91DD-5A6AD04A521D}"/>
    <w:embedBoldItalic r:id="rId5" w:fontKey="{8DB6E505-55A3-4799-9AA1-75DE047C4CCE}"/>
  </w:font>
  <w:font w:name="Calibri">
    <w:panose1 w:val="020F0502020204030204"/>
    <w:charset w:val="00"/>
    <w:family w:val="swiss"/>
    <w:pitch w:val="variable"/>
    <w:sig w:usb0="E4002EFF" w:usb1="C200247B" w:usb2="00000009" w:usb3="00000000" w:csb0="000001FF" w:csb1="00000000"/>
    <w:embedRegular r:id="rId6" w:fontKey="{DA06DD47-612E-45FA-A733-BBC64AE701D1}"/>
    <w:embedBold r:id="rId7" w:fontKey="{893FC541-E455-42B8-9B2C-C627388A2175}"/>
  </w:font>
  <w:font w:name="Georgia">
    <w:panose1 w:val="02040502050405020303"/>
    <w:charset w:val="00"/>
    <w:family w:val="roman"/>
    <w:pitch w:val="variable"/>
    <w:sig w:usb0="00000287" w:usb1="00000000" w:usb2="00000000" w:usb3="00000000" w:csb0="0000009F" w:csb1="00000000"/>
    <w:embedItalic r:id="rId8" w:fontKey="{2A8E6713-86D0-4612-8B05-16FD85B76DDD}"/>
  </w:font>
  <w:font w:name="Cambria">
    <w:panose1 w:val="02040503050406030204"/>
    <w:charset w:val="00"/>
    <w:family w:val="roman"/>
    <w:pitch w:val="variable"/>
    <w:sig w:usb0="E00006FF" w:usb1="420024FF" w:usb2="02000000" w:usb3="00000000" w:csb0="0000019F" w:csb1="00000000"/>
    <w:embedRegular r:id="rId9" w:fontKey="{D2FA2C92-EF2F-4457-B840-453F708159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7E1" w:rsidRDefault="00FD060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A2637">
      <w:rPr>
        <w:rFonts w:ascii="Palatino Linotype" w:eastAsia="Palatino Linotype" w:hAnsi="Palatino Linotype" w:cs="Palatino Linotype"/>
        <w:noProof/>
        <w:color w:val="000000"/>
        <w:sz w:val="22"/>
        <w:szCs w:val="22"/>
      </w:rPr>
      <w:t>24</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A2637">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2717E1" w:rsidRDefault="002717E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7E1" w:rsidRDefault="00FD060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A263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A2637">
      <w:rPr>
        <w:rFonts w:ascii="Palatino Linotype" w:eastAsia="Palatino Linotype" w:hAnsi="Palatino Linotype" w:cs="Palatino Linotype"/>
        <w:noProof/>
        <w:color w:val="000000"/>
        <w:sz w:val="22"/>
        <w:szCs w:val="22"/>
      </w:rPr>
      <w:t>33</w:t>
    </w:r>
    <w:r>
      <w:rPr>
        <w:rFonts w:ascii="Palatino Linotype" w:eastAsia="Palatino Linotype" w:hAnsi="Palatino Linotype" w:cs="Palatino Linotype"/>
        <w:color w:val="000000"/>
        <w:sz w:val="22"/>
        <w:szCs w:val="22"/>
      </w:rPr>
      <w:fldChar w:fldCharType="end"/>
    </w:r>
  </w:p>
  <w:p w:rsidR="002717E1" w:rsidRDefault="002717E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814" w:rsidRDefault="00735814">
      <w:r>
        <w:separator/>
      </w:r>
    </w:p>
  </w:footnote>
  <w:footnote w:type="continuationSeparator" w:id="0">
    <w:p w:rsidR="00735814" w:rsidRDefault="00735814">
      <w:r>
        <w:continuationSeparator/>
      </w:r>
    </w:p>
  </w:footnote>
  <w:footnote w:id="1">
    <w:p w:rsidR="002717E1" w:rsidRDefault="00FD060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2717E1" w:rsidRDefault="00FD060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2717E1" w:rsidRDefault="00FD06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2717E1" w:rsidRDefault="00FD06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2717E1" w:rsidRDefault="00FD0603">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2717E1" w:rsidRDefault="00FD0603">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2717E1" w:rsidRDefault="00FD0603">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2717E1" w:rsidRDefault="00FD0603">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7E1" w:rsidRDefault="0073581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402" w:type="dxa"/>
      <w:tblLayout w:type="fixed"/>
      <w:tblLook w:val="0400" w:firstRow="0" w:lastRow="0" w:firstColumn="0" w:lastColumn="0" w:noHBand="0" w:noVBand="1"/>
    </w:tblPr>
    <w:tblGrid>
      <w:gridCol w:w="2976"/>
      <w:gridCol w:w="3543"/>
    </w:tblGrid>
    <w:tr w:rsidR="002717E1" w:rsidTr="008F0A2D">
      <w:trPr>
        <w:trHeight w:val="227"/>
      </w:trPr>
      <w:tc>
        <w:tcPr>
          <w:tcW w:w="2976" w:type="dxa"/>
          <w:vAlign w:val="center"/>
        </w:tcPr>
        <w:p w:rsidR="002717E1" w:rsidRDefault="00FD0603">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rsidR="002717E1" w:rsidRDefault="00FD06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04938/INFOEM/IP/RR/2026</w:t>
          </w:r>
        </w:p>
      </w:tc>
    </w:tr>
    <w:tr w:rsidR="002717E1" w:rsidTr="008F0A2D">
      <w:trPr>
        <w:trHeight w:val="242"/>
      </w:trPr>
      <w:tc>
        <w:tcPr>
          <w:tcW w:w="2976" w:type="dxa"/>
          <w:vAlign w:val="center"/>
        </w:tcPr>
        <w:p w:rsidR="002717E1" w:rsidRDefault="00FD0603">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rsidR="002717E1" w:rsidRDefault="00FD0603">
          <w:pPr>
            <w:pBdr>
              <w:top w:val="nil"/>
              <w:left w:val="nil"/>
              <w:bottom w:val="nil"/>
              <w:right w:val="nil"/>
              <w:between w:val="nil"/>
            </w:pBdr>
            <w:tabs>
              <w:tab w:val="center" w:pos="4419"/>
              <w:tab w:val="right" w:pos="8838"/>
            </w:tabs>
            <w:ind w:right="21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Teoloyucan</w:t>
          </w:r>
        </w:p>
      </w:tc>
    </w:tr>
    <w:tr w:rsidR="002717E1" w:rsidTr="008F0A2D">
      <w:trPr>
        <w:trHeight w:val="342"/>
      </w:trPr>
      <w:tc>
        <w:tcPr>
          <w:tcW w:w="2976" w:type="dxa"/>
          <w:vAlign w:val="center"/>
        </w:tcPr>
        <w:p w:rsidR="002717E1" w:rsidRDefault="00FD0603">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rsidR="002717E1" w:rsidRDefault="00FD06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717E1" w:rsidRDefault="0073581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2.8pt;margin-top:-125.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402" w:type="dxa"/>
      <w:tblLayout w:type="fixed"/>
      <w:tblLook w:val="0400" w:firstRow="0" w:lastRow="0" w:firstColumn="0" w:lastColumn="0" w:noHBand="0" w:noVBand="1"/>
    </w:tblPr>
    <w:tblGrid>
      <w:gridCol w:w="2977"/>
      <w:gridCol w:w="3683"/>
    </w:tblGrid>
    <w:tr w:rsidR="002717E1" w:rsidTr="008F0A2D">
      <w:trPr>
        <w:trHeight w:val="227"/>
      </w:trPr>
      <w:tc>
        <w:tcPr>
          <w:tcW w:w="2977" w:type="dxa"/>
          <w:vAlign w:val="center"/>
        </w:tcPr>
        <w:p w:rsidR="002717E1" w:rsidRDefault="00FD060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rsidR="002717E1" w:rsidRDefault="00FD06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04938/INFOEM/IP/RR/2026</w:t>
          </w:r>
        </w:p>
      </w:tc>
    </w:tr>
    <w:tr w:rsidR="002717E1" w:rsidTr="008F0A2D">
      <w:trPr>
        <w:trHeight w:val="242"/>
      </w:trPr>
      <w:tc>
        <w:tcPr>
          <w:tcW w:w="2977" w:type="dxa"/>
          <w:vAlign w:val="center"/>
        </w:tcPr>
        <w:p w:rsidR="002717E1" w:rsidRDefault="00FD060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rsidR="002717E1" w:rsidRDefault="002A2637">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2717E1" w:rsidTr="008F0A2D">
      <w:trPr>
        <w:trHeight w:val="342"/>
      </w:trPr>
      <w:tc>
        <w:tcPr>
          <w:tcW w:w="2977" w:type="dxa"/>
          <w:vAlign w:val="center"/>
        </w:tcPr>
        <w:p w:rsidR="002717E1" w:rsidRDefault="00FD060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rsidR="002717E1" w:rsidRDefault="00FD0603">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Teoloyucan</w:t>
          </w:r>
        </w:p>
      </w:tc>
    </w:tr>
    <w:tr w:rsidR="002717E1" w:rsidTr="008F0A2D">
      <w:trPr>
        <w:trHeight w:val="342"/>
      </w:trPr>
      <w:tc>
        <w:tcPr>
          <w:tcW w:w="2977" w:type="dxa"/>
          <w:vAlign w:val="center"/>
        </w:tcPr>
        <w:p w:rsidR="002717E1" w:rsidRDefault="00FD060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rsidR="002717E1" w:rsidRDefault="00FD060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2717E1" w:rsidRDefault="0073581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22.3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357AC"/>
    <w:multiLevelType w:val="multilevel"/>
    <w:tmpl w:val="4F76DC3A"/>
    <w:lvl w:ilvl="0">
      <w:start w:val="1"/>
      <w:numFmt w:val="lowerLetter"/>
      <w:lvlText w:val="%1)"/>
      <w:lvlJc w:val="left"/>
      <w:pPr>
        <w:ind w:left="1498" w:hanging="360"/>
      </w:pPr>
    </w:lvl>
    <w:lvl w:ilvl="1">
      <w:start w:val="1"/>
      <w:numFmt w:val="lowerLetter"/>
      <w:lvlText w:val="%2."/>
      <w:lvlJc w:val="left"/>
      <w:pPr>
        <w:ind w:left="2218" w:hanging="360"/>
      </w:pPr>
    </w:lvl>
    <w:lvl w:ilvl="2">
      <w:start w:val="1"/>
      <w:numFmt w:val="lowerRoman"/>
      <w:lvlText w:val="%3."/>
      <w:lvlJc w:val="right"/>
      <w:pPr>
        <w:ind w:left="2938" w:hanging="180"/>
      </w:pPr>
    </w:lvl>
    <w:lvl w:ilvl="3">
      <w:start w:val="1"/>
      <w:numFmt w:val="decimal"/>
      <w:lvlText w:val="%4."/>
      <w:lvlJc w:val="left"/>
      <w:pPr>
        <w:ind w:left="3658" w:hanging="360"/>
      </w:pPr>
    </w:lvl>
    <w:lvl w:ilvl="4">
      <w:start w:val="1"/>
      <w:numFmt w:val="lowerLetter"/>
      <w:lvlText w:val="%5."/>
      <w:lvlJc w:val="left"/>
      <w:pPr>
        <w:ind w:left="4378" w:hanging="360"/>
      </w:pPr>
    </w:lvl>
    <w:lvl w:ilvl="5">
      <w:start w:val="1"/>
      <w:numFmt w:val="lowerRoman"/>
      <w:lvlText w:val="%6."/>
      <w:lvlJc w:val="right"/>
      <w:pPr>
        <w:ind w:left="5098" w:hanging="180"/>
      </w:pPr>
    </w:lvl>
    <w:lvl w:ilvl="6">
      <w:start w:val="1"/>
      <w:numFmt w:val="decimal"/>
      <w:lvlText w:val="%7."/>
      <w:lvlJc w:val="left"/>
      <w:pPr>
        <w:ind w:left="5818" w:hanging="360"/>
      </w:pPr>
    </w:lvl>
    <w:lvl w:ilvl="7">
      <w:start w:val="1"/>
      <w:numFmt w:val="lowerLetter"/>
      <w:lvlText w:val="%8."/>
      <w:lvlJc w:val="left"/>
      <w:pPr>
        <w:ind w:left="6538" w:hanging="360"/>
      </w:pPr>
    </w:lvl>
    <w:lvl w:ilvl="8">
      <w:start w:val="1"/>
      <w:numFmt w:val="lowerRoman"/>
      <w:lvlText w:val="%9."/>
      <w:lvlJc w:val="right"/>
      <w:pPr>
        <w:ind w:left="7258" w:hanging="180"/>
      </w:pPr>
    </w:lvl>
  </w:abstractNum>
  <w:abstractNum w:abstractNumId="1" w15:restartNumberingAfterBreak="0">
    <w:nsid w:val="14AD54BA"/>
    <w:multiLevelType w:val="multilevel"/>
    <w:tmpl w:val="711CC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E2664"/>
    <w:multiLevelType w:val="multilevel"/>
    <w:tmpl w:val="F21A588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2440627F"/>
    <w:multiLevelType w:val="multilevel"/>
    <w:tmpl w:val="E904F25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8757FE"/>
    <w:multiLevelType w:val="multilevel"/>
    <w:tmpl w:val="E00A918C"/>
    <w:lvl w:ilvl="0">
      <w:start w:val="1"/>
      <w:numFmt w:val="lowerLetter"/>
      <w:lvlText w:val="%1)"/>
      <w:lvlJc w:val="left"/>
      <w:pPr>
        <w:ind w:left="77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E830DF"/>
    <w:multiLevelType w:val="multilevel"/>
    <w:tmpl w:val="0B66C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E1"/>
    <w:rsid w:val="002717E1"/>
    <w:rsid w:val="002A2637"/>
    <w:rsid w:val="00735814"/>
    <w:rsid w:val="00766083"/>
    <w:rsid w:val="007A77F0"/>
    <w:rsid w:val="008F0A2D"/>
    <w:rsid w:val="00BD7AB9"/>
    <w:rsid w:val="00CD418B"/>
    <w:rsid w:val="00E83B98"/>
    <w:rsid w:val="00E83BEE"/>
    <w:rsid w:val="00EC4114"/>
    <w:rsid w:val="00F11C20"/>
    <w:rsid w:val="00FD06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3DE76BD-D133-4A6A-A257-2039591C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40"/>
      <w:outlineLvl w:val="2"/>
    </w:pPr>
    <w:rPr>
      <w:color w:val="1F3863"/>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8F0A2D"/>
    <w:pPr>
      <w:tabs>
        <w:tab w:val="center" w:pos="4419"/>
        <w:tab w:val="right" w:pos="8838"/>
      </w:tabs>
    </w:pPr>
  </w:style>
  <w:style w:type="character" w:customStyle="1" w:styleId="PiedepginaCar">
    <w:name w:val="Pie de página Car"/>
    <w:basedOn w:val="Fuentedeprrafopredeter"/>
    <w:link w:val="Piedepgina"/>
    <w:uiPriority w:val="99"/>
    <w:rsid w:val="008F0A2D"/>
  </w:style>
  <w:style w:type="paragraph" w:styleId="Prrafodelista">
    <w:name w:val="List Paragraph"/>
    <w:basedOn w:val="Normal"/>
    <w:uiPriority w:val="34"/>
    <w:qFormat/>
    <w:rsid w:val="008F0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tWlOBKO6M/1xmulSyWYbcAcCLw==">CgMxLjAyDmguZDdjYmY2MWJxdzd0Mg5oLnl4YnptODY1MHpoYzIOaC52emE1cXcxNm1ocmYyDmgudDJpbDZiNWdyZjMyMg5oLjExaW1qbXJzYTJnODIOaC44MmlreDgyMmMyY2MyDmgucjJ0M3JoY20ycmZ3Mg5oLjZobXFxMG9ycjF6MjgAciExOE1Cb1FOeTdDTmNfVDc4WURRQXpnQmZ1THh1MzVBTkE=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7592</Words>
  <Characters>41756</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2026-06-12T17:06:00Z</cp:lastPrinted>
  <dcterms:created xsi:type="dcterms:W3CDTF">2026-06-08T17:40:00Z</dcterms:created>
  <dcterms:modified xsi:type="dcterms:W3CDTF">2026-06-16T23:01:00Z</dcterms:modified>
</cp:coreProperties>
</file>