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B7A" w:rsidRPr="00E15120" w:rsidRDefault="00CF249E">
      <w:pPr>
        <w:spacing w:line="360" w:lineRule="auto"/>
        <w:jc w:val="both"/>
        <w:rPr>
          <w:rFonts w:ascii="Palatino Linotype" w:eastAsia="Palatino Linotype" w:hAnsi="Palatino Linotype" w:cs="Palatino Linotype"/>
          <w:b/>
        </w:rPr>
      </w:pPr>
      <w:bookmarkStart w:id="0" w:name="_GoBack"/>
      <w:bookmarkEnd w:id="0"/>
      <w:r w:rsidRPr="00E15120">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E15120">
        <w:rPr>
          <w:rFonts w:ascii="Palatino Linotype" w:eastAsia="Palatino Linotype" w:hAnsi="Palatino Linotype" w:cs="Palatino Linotype"/>
          <w:b/>
        </w:rPr>
        <w:t>de fecha cinco</w:t>
      </w:r>
      <w:r w:rsidR="00E15120" w:rsidRPr="00E15120">
        <w:rPr>
          <w:rFonts w:ascii="Palatino Linotype" w:eastAsia="Palatino Linotype" w:hAnsi="Palatino Linotype" w:cs="Palatino Linotype"/>
          <w:b/>
        </w:rPr>
        <w:t xml:space="preserve"> (05)</w:t>
      </w:r>
      <w:r w:rsidRPr="00E15120">
        <w:rPr>
          <w:rFonts w:ascii="Palatino Linotype" w:eastAsia="Palatino Linotype" w:hAnsi="Palatino Linotype" w:cs="Palatino Linotype"/>
          <w:b/>
        </w:rPr>
        <w:t xml:space="preserve"> de marzo de dos mil veintiséis</w:t>
      </w:r>
    </w:p>
    <w:p w:rsidR="000A2B7A" w:rsidRPr="00E15120" w:rsidRDefault="000A2B7A">
      <w:pPr>
        <w:spacing w:line="360" w:lineRule="auto"/>
        <w:jc w:val="both"/>
        <w:rPr>
          <w:rFonts w:ascii="Palatino Linotype" w:eastAsia="Palatino Linotype" w:hAnsi="Palatino Linotype" w:cs="Palatino Linotype"/>
        </w:rPr>
      </w:pPr>
    </w:p>
    <w:p w:rsidR="000A2B7A" w:rsidRPr="00E15120" w:rsidRDefault="00CF249E">
      <w:pPr>
        <w:spacing w:line="360" w:lineRule="auto"/>
        <w:jc w:val="both"/>
        <w:rPr>
          <w:rFonts w:ascii="Palatino Linotype" w:eastAsia="Palatino Linotype" w:hAnsi="Palatino Linotype" w:cs="Palatino Linotype"/>
        </w:rPr>
      </w:pPr>
      <w:r w:rsidRPr="00E15120">
        <w:rPr>
          <w:rFonts w:ascii="Palatino Linotype" w:eastAsia="Palatino Linotype" w:hAnsi="Palatino Linotype" w:cs="Palatino Linotype"/>
          <w:b/>
          <w:bCs/>
        </w:rPr>
        <w:t>VISTO</w:t>
      </w:r>
      <w:r w:rsidRPr="00E15120">
        <w:rPr>
          <w:rFonts w:ascii="Palatino Linotype" w:eastAsia="Palatino Linotype" w:hAnsi="Palatino Linotype" w:cs="Palatino Linotype"/>
        </w:rPr>
        <w:t xml:space="preserve"> el expediente electrónico formado con motivo del recurso de revisión </w:t>
      </w:r>
      <w:r w:rsidRPr="00E15120">
        <w:rPr>
          <w:rFonts w:ascii="Palatino Linotype" w:eastAsia="Palatino Linotype" w:hAnsi="Palatino Linotype" w:cs="Palatino Linotype"/>
          <w:b/>
          <w:bCs/>
        </w:rPr>
        <w:t xml:space="preserve">09438/INFOEM/IP/RR/2025, </w:t>
      </w:r>
      <w:r w:rsidRPr="00E15120">
        <w:rPr>
          <w:rFonts w:ascii="Palatino Linotype" w:eastAsia="Palatino Linotype" w:hAnsi="Palatino Linotype" w:cs="Palatino Linotype"/>
        </w:rPr>
        <w:t xml:space="preserve">promovido por </w:t>
      </w:r>
      <w:r w:rsidR="00E55B14">
        <w:rPr>
          <w:rFonts w:ascii="Palatino Linotype" w:eastAsia="Palatino Linotype" w:hAnsi="Palatino Linotype" w:cs="Palatino Linotype"/>
          <w:b/>
          <w:bCs/>
        </w:rPr>
        <w:t>XXXX</w:t>
      </w:r>
      <w:r w:rsidRPr="00E15120">
        <w:rPr>
          <w:rFonts w:ascii="Palatino Linotype" w:eastAsia="Palatino Linotype" w:hAnsi="Palatino Linotype" w:cs="Palatino Linotype"/>
          <w:b/>
          <w:bCs/>
        </w:rPr>
        <w:t>,</w:t>
      </w:r>
      <w:r w:rsidRPr="00E15120">
        <w:rPr>
          <w:rFonts w:ascii="Palatino Linotype" w:eastAsia="Palatino Linotype" w:hAnsi="Palatino Linotype" w:cs="Palatino Linotype"/>
        </w:rPr>
        <w:t xml:space="preserve"> a quien en lo sucesivo se identificará como </w:t>
      </w:r>
      <w:r w:rsidRPr="00E15120">
        <w:rPr>
          <w:rFonts w:ascii="Palatino Linotype" w:eastAsia="Palatino Linotype" w:hAnsi="Palatino Linotype" w:cs="Palatino Linotype"/>
          <w:b/>
          <w:bCs/>
        </w:rPr>
        <w:t>EL RECURRENTE</w:t>
      </w:r>
      <w:r w:rsidRPr="00E15120">
        <w:rPr>
          <w:rFonts w:ascii="Palatino Linotype" w:eastAsia="Palatino Linotype" w:hAnsi="Palatino Linotype" w:cs="Palatino Linotype"/>
        </w:rPr>
        <w:t xml:space="preserve">, en contra de la respuesta del </w:t>
      </w:r>
      <w:r w:rsidRPr="00E15120">
        <w:rPr>
          <w:rFonts w:ascii="Palatino Linotype" w:eastAsia="Palatino Linotype" w:hAnsi="Palatino Linotype" w:cs="Palatino Linotype"/>
          <w:b/>
          <w:bCs/>
        </w:rPr>
        <w:t xml:space="preserve">Sistema Municipal Para el Desarrollo Integral de la Familia de Zinacantepec, </w:t>
      </w:r>
      <w:r w:rsidRPr="00E15120">
        <w:rPr>
          <w:rFonts w:ascii="Palatino Linotype" w:eastAsia="Palatino Linotype" w:hAnsi="Palatino Linotype" w:cs="Palatino Linotype"/>
        </w:rPr>
        <w:t>en adelante el</w:t>
      </w:r>
      <w:r w:rsidRPr="00E15120">
        <w:rPr>
          <w:rFonts w:ascii="Palatino Linotype" w:eastAsia="Palatino Linotype" w:hAnsi="Palatino Linotype" w:cs="Palatino Linotype"/>
          <w:b/>
          <w:bCs/>
        </w:rPr>
        <w:t xml:space="preserve"> SUJETO OBLIGADO</w:t>
      </w:r>
      <w:r w:rsidRPr="00E15120">
        <w:rPr>
          <w:rFonts w:ascii="Palatino Linotype" w:eastAsia="Palatino Linotype" w:hAnsi="Palatino Linotype" w:cs="Palatino Linotype"/>
        </w:rPr>
        <w:t xml:space="preserve">, por lo que se procede a dictar la presente resolución, con base en los siguientes: </w:t>
      </w:r>
    </w:p>
    <w:p w:rsidR="000A2B7A" w:rsidRPr="00E15120" w:rsidRDefault="000A2B7A">
      <w:pPr>
        <w:spacing w:line="360" w:lineRule="auto"/>
        <w:jc w:val="both"/>
        <w:rPr>
          <w:rFonts w:ascii="Palatino Linotype" w:eastAsia="Palatino Linotype" w:hAnsi="Palatino Linotype" w:cs="Palatino Linotype"/>
          <w:b/>
          <w:bCs/>
        </w:rPr>
      </w:pPr>
    </w:p>
    <w:p w:rsidR="000A2B7A" w:rsidRPr="00E15120" w:rsidRDefault="00CF249E">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E15120">
        <w:rPr>
          <w:rFonts w:ascii="Palatino Linotype" w:eastAsia="Palatino Linotype" w:hAnsi="Palatino Linotype" w:cs="Palatino Linotype"/>
          <w:b/>
          <w:bCs/>
        </w:rPr>
        <w:t>A N T E C E D E N T E S</w:t>
      </w:r>
    </w:p>
    <w:p w:rsidR="000A2B7A" w:rsidRPr="00E15120" w:rsidRDefault="000A2B7A">
      <w:pPr>
        <w:spacing w:line="360" w:lineRule="auto"/>
        <w:rPr>
          <w:rFonts w:ascii="Palatino Linotype" w:eastAsia="Palatino Linotype" w:hAnsi="Palatino Linotype" w:cs="Palatino Linotype"/>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El </w:t>
      </w:r>
      <w:r w:rsidRPr="00E15120">
        <w:rPr>
          <w:rFonts w:ascii="Palatino Linotype" w:eastAsia="Palatino Linotype" w:hAnsi="Palatino Linotype" w:cs="Palatino Linotype"/>
          <w:b/>
          <w:bCs/>
          <w:color w:val="000000"/>
        </w:rPr>
        <w:t>veinte de junio de dos mil veinticinco</w:t>
      </w:r>
      <w:r w:rsidRPr="00E15120">
        <w:rPr>
          <w:rFonts w:ascii="Palatino Linotype" w:eastAsia="Palatino Linotype" w:hAnsi="Palatino Linotype" w:cs="Palatino Linotype"/>
          <w:color w:val="000000"/>
        </w:rPr>
        <w:t xml:space="preserve">, </w:t>
      </w:r>
      <w:r w:rsidRPr="00E15120">
        <w:rPr>
          <w:rFonts w:ascii="Palatino Linotype" w:eastAsia="Palatino Linotype" w:hAnsi="Palatino Linotype" w:cs="Palatino Linotype"/>
          <w:b/>
          <w:bCs/>
          <w:color w:val="000000"/>
        </w:rPr>
        <w:t>EL RECURRENTE,</w:t>
      </w:r>
      <w:r w:rsidRPr="00E15120">
        <w:rPr>
          <w:rFonts w:ascii="Palatino Linotype" w:eastAsia="Palatino Linotype" w:hAnsi="Palatino Linotype" w:cs="Palatino Linotype"/>
          <w:color w:val="000000"/>
        </w:rPr>
        <w:t xml:space="preserve"> ante el </w:t>
      </w:r>
      <w:r w:rsidRPr="00E15120">
        <w:rPr>
          <w:rFonts w:ascii="Palatino Linotype" w:eastAsia="Palatino Linotype" w:hAnsi="Palatino Linotype" w:cs="Palatino Linotype"/>
          <w:b/>
          <w:bCs/>
          <w:color w:val="000000"/>
        </w:rPr>
        <w:t>SUJETO OBLIGADO</w:t>
      </w:r>
      <w:r w:rsidRPr="00E15120">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E15120">
        <w:rPr>
          <w:rFonts w:ascii="Palatino Linotype" w:eastAsia="Palatino Linotype" w:hAnsi="Palatino Linotype" w:cs="Palatino Linotype"/>
          <w:b/>
          <w:bCs/>
          <w:color w:val="000000"/>
        </w:rPr>
        <w:t xml:space="preserve">00028/DIFZINACAN/IP/2025, </w:t>
      </w:r>
      <w:r w:rsidRPr="00E15120">
        <w:rPr>
          <w:rFonts w:ascii="Palatino Linotype" w:eastAsia="Palatino Linotype" w:hAnsi="Palatino Linotype" w:cs="Palatino Linotype"/>
        </w:rPr>
        <w:t>en la que se</w:t>
      </w:r>
      <w:r w:rsidRPr="00E15120">
        <w:rPr>
          <w:rFonts w:ascii="Palatino Linotype" w:eastAsia="Palatino Linotype" w:hAnsi="Palatino Linotype" w:cs="Palatino Linotype"/>
          <w:color w:val="000000"/>
        </w:rPr>
        <w:t xml:space="preserve"> solicitó lo siguiente:</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 xml:space="preserve">“Como ciudadano preocupado por el bienestar de los adultos mayores en nuestro municipio, solicito la siguiente información correspondiente al periodo del 1 de enero al 30 de junio de 2025: 1. Descripción detallada de los programas, servicios o apoyos que ofrece el DIF Municipal para adultos mayores. 2. Número de beneficiarios atendidos durante este periodo, incluyendo su distribución por comunidades o colonias. 3. Recursos económicos asignados y ejercidos específicamente para programas dirigidos a adultos mayores. 4. Actividades de capacitación, talleres o eventos organizados para mejorar la </w:t>
      </w:r>
      <w:r w:rsidRPr="00E15120">
        <w:rPr>
          <w:rFonts w:ascii="Palatino Linotype" w:eastAsia="Palatino Linotype" w:hAnsi="Palatino Linotype" w:cs="Palatino Linotype"/>
          <w:i/>
          <w:iCs/>
          <w:color w:val="000000"/>
        </w:rPr>
        <w:lastRenderedPageBreak/>
        <w:t xml:space="preserve">calidad de vida de los adultos mayores. 5. Información sobre convenios o alianzas con otras instituciones para apoyar a esta población. 6. Personal responsable o encargado de la atención a adultos mayores, con su perfil y funciones.” (Sic) </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Se señaló como modalidad de entrega a través de SAIMEX.</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El </w:t>
      </w:r>
      <w:r w:rsidRPr="00E15120">
        <w:rPr>
          <w:rFonts w:ascii="Palatino Linotype" w:eastAsia="Palatino Linotype" w:hAnsi="Palatino Linotype" w:cs="Palatino Linotype"/>
          <w:b/>
          <w:bCs/>
          <w:color w:val="000000"/>
        </w:rPr>
        <w:t>veintitrés de junio de dos mil veinticinco</w:t>
      </w:r>
      <w:r w:rsidRPr="00E15120">
        <w:rPr>
          <w:rFonts w:ascii="Palatino Linotype" w:eastAsia="Palatino Linotype" w:hAnsi="Palatino Linotype" w:cs="Palatino Linotype"/>
          <w:color w:val="000000"/>
        </w:rPr>
        <w:t xml:space="preserve">, se realizó un requerimiento de información al servidor público habilitado. </w:t>
      </w:r>
    </w:p>
    <w:p w:rsidR="000A2B7A" w:rsidRPr="00E15120" w:rsidRDefault="000A2B7A">
      <w:pPr>
        <w:pBdr>
          <w:top w:val="nil"/>
          <w:left w:val="nil"/>
          <w:bottom w:val="nil"/>
          <w:right w:val="nil"/>
          <w:between w:val="nil"/>
        </w:pBdr>
        <w:ind w:left="720"/>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El once de julio de dos mil veinticinco, se notificó una prórroga por parte del Sujeto Obligado para emitir respuesta, en el siguiente sentido:</w:t>
      </w:r>
    </w:p>
    <w:p w:rsidR="000A2B7A" w:rsidRPr="00E15120" w:rsidRDefault="000A2B7A">
      <w:pPr>
        <w:pBdr>
          <w:top w:val="nil"/>
          <w:left w:val="nil"/>
          <w:bottom w:val="nil"/>
          <w:right w:val="nil"/>
          <w:between w:val="nil"/>
        </w:pBdr>
        <w:ind w:left="720"/>
        <w:rPr>
          <w:rFonts w:ascii="Palatino Linotype" w:eastAsia="Palatino Linotype" w:hAnsi="Palatino Linotype" w:cs="Palatino Linotype"/>
          <w:color w:val="000000"/>
        </w:rPr>
      </w:pPr>
    </w:p>
    <w:tbl>
      <w:tblPr>
        <w:tblStyle w:val="a"/>
        <w:tblW w:w="7462" w:type="dxa"/>
        <w:jc w:val="center"/>
        <w:tblInd w:w="0" w:type="dxa"/>
        <w:tblLayout w:type="fixed"/>
        <w:tblLook w:val="0400" w:firstRow="0" w:lastRow="0" w:firstColumn="0" w:lastColumn="0" w:noHBand="0" w:noVBand="1"/>
      </w:tblPr>
      <w:tblGrid>
        <w:gridCol w:w="7462"/>
      </w:tblGrid>
      <w:tr w:rsidR="000A2B7A" w:rsidRPr="00E15120">
        <w:trPr>
          <w:trHeight w:val="325"/>
          <w:jc w:val="center"/>
        </w:trPr>
        <w:tc>
          <w:tcPr>
            <w:tcW w:w="7462" w:type="dxa"/>
            <w:vAlign w:val="center"/>
          </w:tcPr>
          <w:p w:rsidR="000A2B7A" w:rsidRPr="00E15120" w:rsidRDefault="00CF249E">
            <w:pPr>
              <w:jc w:val="right"/>
              <w:rPr>
                <w:rFonts w:ascii="Palatino Linotype" w:eastAsia="Palatino Linotype" w:hAnsi="Palatino Linotype" w:cs="Palatino Linotype"/>
                <w:i/>
                <w:iCs/>
              </w:rPr>
            </w:pPr>
            <w:r w:rsidRPr="00E15120">
              <w:rPr>
                <w:rFonts w:ascii="Palatino Linotype" w:eastAsia="Palatino Linotype" w:hAnsi="Palatino Linotype" w:cs="Palatino Linotype"/>
                <w:i/>
                <w:iCs/>
              </w:rPr>
              <w:t>“l Para el Desarrollo Integral de la Familia de Zinacantepec, México a 11 de Julio de 2025</w:t>
            </w:r>
          </w:p>
        </w:tc>
      </w:tr>
      <w:tr w:rsidR="000A2B7A" w:rsidRPr="00E15120">
        <w:trPr>
          <w:trHeight w:val="325"/>
          <w:jc w:val="center"/>
        </w:trPr>
        <w:tc>
          <w:tcPr>
            <w:tcW w:w="7462" w:type="dxa"/>
            <w:vAlign w:val="center"/>
          </w:tcPr>
          <w:p w:rsidR="000A2B7A" w:rsidRPr="00E15120" w:rsidRDefault="00CF249E">
            <w:pPr>
              <w:jc w:val="right"/>
              <w:rPr>
                <w:rFonts w:ascii="Palatino Linotype" w:eastAsia="Palatino Linotype" w:hAnsi="Palatino Linotype" w:cs="Palatino Linotype"/>
                <w:i/>
                <w:iCs/>
              </w:rPr>
            </w:pPr>
            <w:r w:rsidRPr="00E15120">
              <w:rPr>
                <w:rFonts w:ascii="Palatino Linotype" w:eastAsia="Palatino Linotype" w:hAnsi="Palatino Linotype" w:cs="Palatino Linotype"/>
                <w:i/>
                <w:iCs/>
              </w:rPr>
              <w:t>Nombre del solicitante: C. Solicitante</w:t>
            </w:r>
          </w:p>
        </w:tc>
      </w:tr>
      <w:tr w:rsidR="000A2B7A" w:rsidRPr="00E15120">
        <w:trPr>
          <w:trHeight w:val="325"/>
          <w:jc w:val="center"/>
        </w:trPr>
        <w:tc>
          <w:tcPr>
            <w:tcW w:w="7462" w:type="dxa"/>
            <w:vAlign w:val="center"/>
          </w:tcPr>
          <w:p w:rsidR="000A2B7A" w:rsidRPr="00E15120" w:rsidRDefault="00CF249E">
            <w:pPr>
              <w:jc w:val="right"/>
              <w:rPr>
                <w:rFonts w:ascii="Palatino Linotype" w:eastAsia="Palatino Linotype" w:hAnsi="Palatino Linotype" w:cs="Palatino Linotype"/>
                <w:i/>
                <w:iCs/>
              </w:rPr>
            </w:pPr>
            <w:r w:rsidRPr="00E15120">
              <w:rPr>
                <w:rFonts w:ascii="Palatino Linotype" w:eastAsia="Palatino Linotype" w:hAnsi="Palatino Linotype" w:cs="Palatino Linotype"/>
                <w:i/>
                <w:iCs/>
              </w:rPr>
              <w:t>Folio de la solicitud: 00028/DIFZINACAN/IP/2025</w:t>
            </w:r>
          </w:p>
        </w:tc>
      </w:tr>
      <w:tr w:rsidR="000A2B7A" w:rsidRPr="00E15120">
        <w:trPr>
          <w:trHeight w:val="487"/>
          <w:jc w:val="center"/>
        </w:trPr>
        <w:tc>
          <w:tcPr>
            <w:tcW w:w="7462" w:type="dxa"/>
            <w:vAlign w:val="center"/>
          </w:tcPr>
          <w:p w:rsidR="000A2B7A" w:rsidRPr="00E15120" w:rsidRDefault="000A2B7A">
            <w:pPr>
              <w:jc w:val="right"/>
              <w:rPr>
                <w:rFonts w:ascii="Palatino Linotype" w:eastAsia="Palatino Linotype" w:hAnsi="Palatino Linotype" w:cs="Palatino Linotype"/>
                <w:i/>
                <w:iCs/>
              </w:rPr>
            </w:pPr>
          </w:p>
        </w:tc>
      </w:tr>
      <w:tr w:rsidR="000A2B7A" w:rsidRPr="00E15120">
        <w:trPr>
          <w:trHeight w:val="162"/>
          <w:jc w:val="center"/>
        </w:trPr>
        <w:tc>
          <w:tcPr>
            <w:tcW w:w="7462" w:type="dxa"/>
            <w:vAlign w:val="center"/>
          </w:tcPr>
          <w:p w:rsidR="000A2B7A" w:rsidRPr="00E15120" w:rsidRDefault="00CF249E">
            <w:pPr>
              <w:rPr>
                <w:rFonts w:ascii="Palatino Linotype" w:eastAsia="Palatino Linotype" w:hAnsi="Palatino Linotype" w:cs="Palatino Linotype"/>
                <w:i/>
                <w:iCs/>
              </w:rPr>
            </w:pPr>
            <w:r w:rsidRPr="00E15120">
              <w:rPr>
                <w:rFonts w:ascii="Palatino Linotype" w:eastAsia="Palatino Linotype" w:hAnsi="Palatino Linotype" w:cs="Palatino Linotype"/>
                <w:i/>
                <w:iCs/>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tc>
      </w:tr>
      <w:tr w:rsidR="000A2B7A" w:rsidRPr="00E15120">
        <w:trPr>
          <w:trHeight w:val="406"/>
          <w:jc w:val="center"/>
        </w:trPr>
        <w:tc>
          <w:tcPr>
            <w:tcW w:w="7462" w:type="dxa"/>
            <w:vAlign w:val="center"/>
          </w:tcPr>
          <w:p w:rsidR="000A2B7A" w:rsidRPr="00E15120" w:rsidRDefault="000A2B7A">
            <w:pPr>
              <w:rPr>
                <w:rFonts w:ascii="Palatino Linotype" w:eastAsia="Palatino Linotype" w:hAnsi="Palatino Linotype" w:cs="Palatino Linotype"/>
                <w:i/>
                <w:iCs/>
              </w:rPr>
            </w:pPr>
          </w:p>
        </w:tc>
      </w:tr>
      <w:tr w:rsidR="000A2B7A" w:rsidRPr="00E15120">
        <w:trPr>
          <w:trHeight w:val="162"/>
          <w:jc w:val="center"/>
        </w:trPr>
        <w:tc>
          <w:tcPr>
            <w:tcW w:w="7462" w:type="dxa"/>
            <w:vAlign w:val="center"/>
          </w:tcPr>
          <w:p w:rsidR="000A2B7A" w:rsidRPr="00E15120" w:rsidRDefault="00CF249E">
            <w:pPr>
              <w:rPr>
                <w:rFonts w:ascii="Palatino Linotype" w:eastAsia="Palatino Linotype" w:hAnsi="Palatino Linotype" w:cs="Palatino Linotype"/>
                <w:i/>
                <w:iCs/>
              </w:rPr>
            </w:pPr>
            <w:r w:rsidRPr="00E15120">
              <w:rPr>
                <w:rFonts w:ascii="Palatino Linotype" w:eastAsia="Palatino Linotype" w:hAnsi="Palatino Linotype" w:cs="Palatino Linotype"/>
                <w:i/>
                <w:iCs/>
              </w:rPr>
              <w:t>Se aprueba la prorroga por 7 dias</w:t>
            </w:r>
          </w:p>
        </w:tc>
      </w:tr>
      <w:tr w:rsidR="000A2B7A" w:rsidRPr="00E15120">
        <w:trPr>
          <w:trHeight w:val="406"/>
          <w:jc w:val="center"/>
        </w:trPr>
        <w:tc>
          <w:tcPr>
            <w:tcW w:w="7462" w:type="dxa"/>
            <w:vAlign w:val="center"/>
          </w:tcPr>
          <w:p w:rsidR="000A2B7A" w:rsidRPr="00E15120" w:rsidRDefault="000A2B7A">
            <w:pPr>
              <w:rPr>
                <w:rFonts w:ascii="Palatino Linotype" w:eastAsia="Palatino Linotype" w:hAnsi="Palatino Linotype" w:cs="Palatino Linotype"/>
                <w:i/>
                <w:iCs/>
              </w:rPr>
            </w:pPr>
          </w:p>
        </w:tc>
      </w:tr>
      <w:tr w:rsidR="000A2B7A" w:rsidRPr="00E15120">
        <w:trPr>
          <w:trHeight w:val="162"/>
          <w:jc w:val="center"/>
        </w:trPr>
        <w:tc>
          <w:tcPr>
            <w:tcW w:w="7462" w:type="dxa"/>
            <w:vAlign w:val="center"/>
          </w:tcPr>
          <w:p w:rsidR="000A2B7A" w:rsidRPr="00E15120" w:rsidRDefault="000A2B7A">
            <w:pPr>
              <w:jc w:val="center"/>
              <w:rPr>
                <w:rFonts w:ascii="Palatino Linotype" w:eastAsia="Palatino Linotype" w:hAnsi="Palatino Linotype" w:cs="Palatino Linotype"/>
                <w:i/>
                <w:iCs/>
              </w:rPr>
            </w:pPr>
          </w:p>
        </w:tc>
      </w:tr>
      <w:tr w:rsidR="000A2B7A" w:rsidRPr="00E15120">
        <w:trPr>
          <w:trHeight w:val="162"/>
          <w:jc w:val="center"/>
        </w:trPr>
        <w:tc>
          <w:tcPr>
            <w:tcW w:w="7462" w:type="dxa"/>
            <w:vAlign w:val="center"/>
          </w:tcPr>
          <w:p w:rsidR="000A2B7A" w:rsidRPr="00E15120" w:rsidRDefault="00CF249E">
            <w:pPr>
              <w:rPr>
                <w:rFonts w:ascii="Palatino Linotype" w:eastAsia="Palatino Linotype" w:hAnsi="Palatino Linotype" w:cs="Palatino Linotype"/>
                <w:i/>
                <w:iCs/>
              </w:rPr>
            </w:pPr>
            <w:r w:rsidRPr="00E15120">
              <w:rPr>
                <w:rFonts w:ascii="Palatino Linotype" w:eastAsia="Palatino Linotype" w:hAnsi="Palatino Linotype" w:cs="Palatino Linotype"/>
                <w:i/>
                <w:iCs/>
              </w:rPr>
              <w:t>MTRO. OCTAVIO PORTILLA MARCIAL</w:t>
            </w:r>
          </w:p>
        </w:tc>
      </w:tr>
      <w:tr w:rsidR="000A2B7A" w:rsidRPr="00E15120">
        <w:trPr>
          <w:trHeight w:val="162"/>
          <w:jc w:val="center"/>
        </w:trPr>
        <w:tc>
          <w:tcPr>
            <w:tcW w:w="7462" w:type="dxa"/>
            <w:vAlign w:val="center"/>
          </w:tcPr>
          <w:p w:rsidR="000A2B7A" w:rsidRPr="00E15120" w:rsidRDefault="00CF249E">
            <w:pPr>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Responsable de la Unidad de Transparencia”</w:t>
            </w:r>
          </w:p>
        </w:tc>
      </w:tr>
    </w:tbl>
    <w:p w:rsidR="000A2B7A" w:rsidRDefault="000A2B7A">
      <w:pPr>
        <w:rPr>
          <w:rFonts w:ascii="Palatino Linotype" w:eastAsia="Palatino Linotype" w:hAnsi="Palatino Linotype" w:cs="Palatino Linotype"/>
          <w:color w:val="000000"/>
        </w:rPr>
      </w:pPr>
    </w:p>
    <w:p w:rsidR="00E15120" w:rsidRPr="00E15120" w:rsidRDefault="00E15120">
      <w:pPr>
        <w:rPr>
          <w:rFonts w:ascii="Palatino Linotype" w:eastAsia="Palatino Linotype" w:hAnsi="Palatino Linotype" w:cs="Palatino Linotype"/>
          <w:color w:val="000000"/>
        </w:rPr>
      </w:pPr>
    </w:p>
    <w:p w:rsidR="000A2B7A" w:rsidRPr="00E15120" w:rsidRDefault="00CF249E">
      <w:pPr>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lastRenderedPageBreak/>
        <w:t>A la prórroga se adjuntó el archivo que se describen enseguida:</w:t>
      </w:r>
    </w:p>
    <w:p w:rsidR="000A2B7A" w:rsidRPr="00E15120" w:rsidRDefault="005A5ED5">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8">
        <w:r w:rsidR="00CF249E" w:rsidRPr="00E15120">
          <w:rPr>
            <w:rFonts w:ascii="Palatino Linotype" w:eastAsia="Palatino Linotype" w:hAnsi="Palatino Linotype" w:cs="Palatino Linotype"/>
            <w:b/>
            <w:bCs/>
            <w:color w:val="000000"/>
            <w:u w:val="single"/>
          </w:rPr>
          <w:t>Septima Sesion Extraordinaria del Comite de Transparencia.pdf</w:t>
        </w:r>
      </w:hyperlink>
      <w:r w:rsidR="00CF249E" w:rsidRPr="00E15120">
        <w:rPr>
          <w:rFonts w:ascii="Palatino Linotype" w:eastAsia="Palatino Linotype" w:hAnsi="Palatino Linotype" w:cs="Palatino Linotype"/>
          <w:color w:val="000000"/>
        </w:rPr>
        <w:t xml:space="preserve">: Acta d ela Séptima Sesión Extraordinaria del Comité de Transparencia de fecha 10 de julio del 2025, en la que se aprobó la prórroga para emitir respuesta por parte del Comité. </w:t>
      </w:r>
    </w:p>
    <w:p w:rsidR="000A2B7A" w:rsidRPr="00E15120" w:rsidRDefault="000A2B7A">
      <w:pPr>
        <w:pBdr>
          <w:top w:val="nil"/>
          <w:left w:val="nil"/>
          <w:bottom w:val="nil"/>
          <w:right w:val="nil"/>
          <w:between w:val="nil"/>
        </w:pBdr>
        <w:ind w:left="720"/>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El </w:t>
      </w:r>
      <w:r w:rsidRPr="00E15120">
        <w:rPr>
          <w:rFonts w:ascii="Palatino Linotype" w:eastAsia="Palatino Linotype" w:hAnsi="Palatino Linotype" w:cs="Palatino Linotype"/>
          <w:b/>
          <w:bCs/>
          <w:color w:val="000000"/>
        </w:rPr>
        <w:t>cuatro de agosto de dos mil veinticinco</w:t>
      </w:r>
      <w:r w:rsidRPr="00E15120">
        <w:rPr>
          <w:rFonts w:ascii="Palatino Linotype" w:eastAsia="Palatino Linotype" w:hAnsi="Palatino Linotype" w:cs="Palatino Linotype"/>
          <w:color w:val="000000"/>
        </w:rPr>
        <w:t>, el Sujeto Obligado dio respuesta a la solicitud de información en los siguientes términos:</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Style w:val="a0"/>
        <w:tblW w:w="7537" w:type="dxa"/>
        <w:jc w:val="center"/>
        <w:tblInd w:w="0" w:type="dxa"/>
        <w:tblLayout w:type="fixed"/>
        <w:tblLook w:val="0400" w:firstRow="0" w:lastRow="0" w:firstColumn="0" w:lastColumn="0" w:noHBand="0" w:noVBand="1"/>
      </w:tblPr>
      <w:tblGrid>
        <w:gridCol w:w="7537"/>
      </w:tblGrid>
      <w:tr w:rsidR="000A2B7A" w:rsidRPr="00E15120">
        <w:trPr>
          <w:trHeight w:val="281"/>
          <w:jc w:val="center"/>
        </w:trPr>
        <w:tc>
          <w:tcPr>
            <w:tcW w:w="7537" w:type="dxa"/>
            <w:vAlign w:val="center"/>
          </w:tcPr>
          <w:p w:rsidR="000A2B7A" w:rsidRPr="00E15120" w:rsidRDefault="00CF249E">
            <w:pPr>
              <w:jc w:val="right"/>
              <w:rPr>
                <w:rFonts w:ascii="Palatino Linotype" w:eastAsia="Palatino Linotype" w:hAnsi="Palatino Linotype" w:cs="Palatino Linotype"/>
                <w:i/>
                <w:iCs/>
              </w:rPr>
            </w:pPr>
            <w:r w:rsidRPr="00E15120">
              <w:rPr>
                <w:rFonts w:ascii="Palatino Linotype" w:eastAsia="Palatino Linotype" w:hAnsi="Palatino Linotype" w:cs="Palatino Linotype"/>
                <w:i/>
                <w:iCs/>
              </w:rPr>
              <w:t>“l Para el Desarrollo Integral de la Familia de Zinacantepec, México a 04 de Agosto de 2025</w:t>
            </w:r>
          </w:p>
        </w:tc>
      </w:tr>
      <w:tr w:rsidR="000A2B7A" w:rsidRPr="00E15120">
        <w:trPr>
          <w:trHeight w:val="281"/>
          <w:jc w:val="center"/>
        </w:trPr>
        <w:tc>
          <w:tcPr>
            <w:tcW w:w="7537" w:type="dxa"/>
            <w:vAlign w:val="center"/>
          </w:tcPr>
          <w:p w:rsidR="000A2B7A" w:rsidRPr="00E15120" w:rsidRDefault="00CF249E">
            <w:pPr>
              <w:jc w:val="right"/>
              <w:rPr>
                <w:rFonts w:ascii="Palatino Linotype" w:eastAsia="Palatino Linotype" w:hAnsi="Palatino Linotype" w:cs="Palatino Linotype"/>
                <w:i/>
                <w:iCs/>
              </w:rPr>
            </w:pPr>
            <w:r w:rsidRPr="00E15120">
              <w:rPr>
                <w:rFonts w:ascii="Palatino Linotype" w:eastAsia="Palatino Linotype" w:hAnsi="Palatino Linotype" w:cs="Palatino Linotype"/>
                <w:i/>
                <w:iCs/>
              </w:rPr>
              <w:t>Nombre del solicitante: C. Solicitante</w:t>
            </w:r>
          </w:p>
        </w:tc>
      </w:tr>
      <w:tr w:rsidR="000A2B7A" w:rsidRPr="00E15120">
        <w:trPr>
          <w:trHeight w:val="281"/>
          <w:jc w:val="center"/>
        </w:trPr>
        <w:tc>
          <w:tcPr>
            <w:tcW w:w="7537" w:type="dxa"/>
            <w:vAlign w:val="center"/>
          </w:tcPr>
          <w:p w:rsidR="000A2B7A" w:rsidRPr="00E15120" w:rsidRDefault="00CF249E">
            <w:pPr>
              <w:jc w:val="right"/>
              <w:rPr>
                <w:rFonts w:ascii="Palatino Linotype" w:eastAsia="Palatino Linotype" w:hAnsi="Palatino Linotype" w:cs="Palatino Linotype"/>
                <w:i/>
                <w:iCs/>
              </w:rPr>
            </w:pPr>
            <w:r w:rsidRPr="00E15120">
              <w:rPr>
                <w:rFonts w:ascii="Palatino Linotype" w:eastAsia="Palatino Linotype" w:hAnsi="Palatino Linotype" w:cs="Palatino Linotype"/>
                <w:i/>
                <w:iCs/>
              </w:rPr>
              <w:t>Folio de la solicitud: 00028/DIFZINACAN/IP/2025</w:t>
            </w:r>
          </w:p>
        </w:tc>
      </w:tr>
      <w:tr w:rsidR="000A2B7A" w:rsidRPr="00E15120">
        <w:trPr>
          <w:trHeight w:val="421"/>
          <w:jc w:val="center"/>
        </w:trPr>
        <w:tc>
          <w:tcPr>
            <w:tcW w:w="7537" w:type="dxa"/>
            <w:vAlign w:val="center"/>
          </w:tcPr>
          <w:p w:rsidR="000A2B7A" w:rsidRPr="00E15120" w:rsidRDefault="000A2B7A">
            <w:pPr>
              <w:jc w:val="right"/>
              <w:rPr>
                <w:rFonts w:ascii="Palatino Linotype" w:eastAsia="Palatino Linotype" w:hAnsi="Palatino Linotype" w:cs="Palatino Linotype"/>
                <w:i/>
                <w:iCs/>
              </w:rPr>
            </w:pPr>
          </w:p>
        </w:tc>
      </w:tr>
      <w:tr w:rsidR="000A2B7A" w:rsidRPr="00E15120">
        <w:trPr>
          <w:trHeight w:val="140"/>
          <w:jc w:val="center"/>
        </w:trPr>
        <w:tc>
          <w:tcPr>
            <w:tcW w:w="7537" w:type="dxa"/>
            <w:vAlign w:val="center"/>
          </w:tcPr>
          <w:p w:rsidR="000A2B7A" w:rsidRPr="00E15120" w:rsidRDefault="00CF249E">
            <w:pPr>
              <w:jc w:val="both"/>
              <w:rPr>
                <w:rFonts w:ascii="Palatino Linotype" w:eastAsia="Palatino Linotype" w:hAnsi="Palatino Linotype" w:cs="Palatino Linotype"/>
                <w:i/>
                <w:iCs/>
              </w:rPr>
            </w:pPr>
            <w:r w:rsidRPr="00E15120">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0A2B7A" w:rsidRPr="00E15120">
        <w:trPr>
          <w:trHeight w:val="351"/>
          <w:jc w:val="center"/>
        </w:trPr>
        <w:tc>
          <w:tcPr>
            <w:tcW w:w="7537" w:type="dxa"/>
            <w:vAlign w:val="center"/>
          </w:tcPr>
          <w:p w:rsidR="000A2B7A" w:rsidRPr="00E15120" w:rsidRDefault="000A2B7A">
            <w:pPr>
              <w:jc w:val="both"/>
              <w:rPr>
                <w:rFonts w:ascii="Palatino Linotype" w:eastAsia="Palatino Linotype" w:hAnsi="Palatino Linotype" w:cs="Palatino Linotype"/>
                <w:i/>
                <w:iCs/>
              </w:rPr>
            </w:pPr>
          </w:p>
        </w:tc>
      </w:tr>
      <w:tr w:rsidR="000A2B7A" w:rsidRPr="00E15120">
        <w:trPr>
          <w:trHeight w:val="140"/>
          <w:jc w:val="center"/>
        </w:trPr>
        <w:tc>
          <w:tcPr>
            <w:tcW w:w="7537" w:type="dxa"/>
            <w:vAlign w:val="center"/>
          </w:tcPr>
          <w:p w:rsidR="000A2B7A" w:rsidRPr="00E15120" w:rsidRDefault="00CF249E">
            <w:pPr>
              <w:jc w:val="both"/>
              <w:rPr>
                <w:rFonts w:ascii="Palatino Linotype" w:eastAsia="Palatino Linotype" w:hAnsi="Palatino Linotype" w:cs="Palatino Linotype"/>
                <w:i/>
                <w:iCs/>
              </w:rPr>
            </w:pPr>
            <w:r w:rsidRPr="00E15120">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 En cumplimiento a lo dispuesto en el articulo 53 fracción II, IV, V Y VI de la Ley de Transparencia y Acceso a la Información Publica del Estado de México y Municipios, adjunto a la presente se anexan los elementos necesarios para la atención de la solicitud interpuesta a este Sujeto Obligado.</w:t>
            </w:r>
          </w:p>
        </w:tc>
      </w:tr>
      <w:tr w:rsidR="000A2B7A" w:rsidRPr="00E15120">
        <w:trPr>
          <w:trHeight w:val="351"/>
          <w:jc w:val="center"/>
        </w:trPr>
        <w:tc>
          <w:tcPr>
            <w:tcW w:w="7537" w:type="dxa"/>
            <w:vAlign w:val="center"/>
          </w:tcPr>
          <w:p w:rsidR="000A2B7A" w:rsidRPr="00E15120" w:rsidRDefault="000A2B7A">
            <w:pPr>
              <w:rPr>
                <w:rFonts w:ascii="Palatino Linotype" w:eastAsia="Palatino Linotype" w:hAnsi="Palatino Linotype" w:cs="Palatino Linotype"/>
                <w:i/>
                <w:iCs/>
              </w:rPr>
            </w:pPr>
          </w:p>
        </w:tc>
      </w:tr>
      <w:tr w:rsidR="000A2B7A" w:rsidRPr="00E15120">
        <w:trPr>
          <w:trHeight w:val="140"/>
          <w:jc w:val="center"/>
        </w:trPr>
        <w:tc>
          <w:tcPr>
            <w:tcW w:w="7537" w:type="dxa"/>
            <w:vAlign w:val="center"/>
          </w:tcPr>
          <w:p w:rsidR="000A2B7A" w:rsidRPr="00E15120" w:rsidRDefault="000A2B7A">
            <w:pPr>
              <w:jc w:val="center"/>
              <w:rPr>
                <w:rFonts w:ascii="Palatino Linotype" w:eastAsia="Palatino Linotype" w:hAnsi="Palatino Linotype" w:cs="Palatino Linotype"/>
                <w:i/>
                <w:iCs/>
              </w:rPr>
            </w:pPr>
          </w:p>
        </w:tc>
      </w:tr>
      <w:tr w:rsidR="000A2B7A" w:rsidRPr="00E15120">
        <w:trPr>
          <w:trHeight w:val="140"/>
          <w:jc w:val="center"/>
        </w:trPr>
        <w:tc>
          <w:tcPr>
            <w:tcW w:w="7537" w:type="dxa"/>
            <w:vAlign w:val="center"/>
          </w:tcPr>
          <w:p w:rsidR="000A2B7A" w:rsidRPr="00E15120" w:rsidRDefault="000A2B7A">
            <w:pPr>
              <w:rPr>
                <w:rFonts w:ascii="Palatino Linotype" w:eastAsia="Palatino Linotype" w:hAnsi="Palatino Linotype" w:cs="Palatino Linotype"/>
                <w:i/>
                <w:iCs/>
              </w:rPr>
            </w:pPr>
          </w:p>
        </w:tc>
      </w:tr>
      <w:tr w:rsidR="000A2B7A" w:rsidRPr="00E15120">
        <w:trPr>
          <w:trHeight w:val="140"/>
          <w:jc w:val="center"/>
        </w:trPr>
        <w:tc>
          <w:tcPr>
            <w:tcW w:w="7537" w:type="dxa"/>
            <w:vAlign w:val="center"/>
          </w:tcPr>
          <w:p w:rsidR="000A2B7A" w:rsidRPr="00E15120" w:rsidRDefault="00CF249E">
            <w:pPr>
              <w:rPr>
                <w:rFonts w:ascii="Palatino Linotype" w:eastAsia="Palatino Linotype" w:hAnsi="Palatino Linotype" w:cs="Palatino Linotype"/>
                <w:i/>
                <w:iCs/>
              </w:rPr>
            </w:pPr>
            <w:r w:rsidRPr="00E15120">
              <w:rPr>
                <w:rFonts w:ascii="Palatino Linotype" w:eastAsia="Palatino Linotype" w:hAnsi="Palatino Linotype" w:cs="Palatino Linotype"/>
                <w:i/>
                <w:iCs/>
              </w:rPr>
              <w:t>ATENTAMENTE</w:t>
            </w:r>
          </w:p>
        </w:tc>
      </w:tr>
      <w:tr w:rsidR="000A2B7A" w:rsidRPr="00E15120">
        <w:trPr>
          <w:trHeight w:val="210"/>
          <w:jc w:val="center"/>
        </w:trPr>
        <w:tc>
          <w:tcPr>
            <w:tcW w:w="7537" w:type="dxa"/>
            <w:vAlign w:val="center"/>
          </w:tcPr>
          <w:p w:rsidR="000A2B7A" w:rsidRPr="00E15120" w:rsidRDefault="000A2B7A">
            <w:pPr>
              <w:rPr>
                <w:rFonts w:ascii="Palatino Linotype" w:eastAsia="Palatino Linotype" w:hAnsi="Palatino Linotype" w:cs="Palatino Linotype"/>
                <w:i/>
                <w:iCs/>
              </w:rPr>
            </w:pPr>
          </w:p>
        </w:tc>
      </w:tr>
      <w:tr w:rsidR="000A2B7A" w:rsidRPr="00E15120">
        <w:trPr>
          <w:trHeight w:val="140"/>
          <w:jc w:val="center"/>
        </w:trPr>
        <w:tc>
          <w:tcPr>
            <w:tcW w:w="7537" w:type="dxa"/>
            <w:vAlign w:val="center"/>
          </w:tcPr>
          <w:p w:rsidR="000A2B7A" w:rsidRPr="00E15120" w:rsidRDefault="00CF249E">
            <w:pPr>
              <w:rPr>
                <w:rFonts w:ascii="Palatino Linotype" w:eastAsia="Palatino Linotype" w:hAnsi="Palatino Linotype" w:cs="Palatino Linotype"/>
                <w:i/>
                <w:iCs/>
              </w:rPr>
            </w:pPr>
            <w:r w:rsidRPr="00E15120">
              <w:rPr>
                <w:rFonts w:ascii="Palatino Linotype" w:eastAsia="Palatino Linotype" w:hAnsi="Palatino Linotype" w:cs="Palatino Linotype"/>
                <w:i/>
                <w:iCs/>
              </w:rPr>
              <w:t>MTRO. OCTAVIO PORTILLA MARCIAL”</w:t>
            </w:r>
          </w:p>
        </w:tc>
      </w:tr>
    </w:tbl>
    <w:p w:rsidR="000A2B7A" w:rsidRPr="00E15120" w:rsidRDefault="00CF249E">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lastRenderedPageBreak/>
        <w:t>A la respuesta, el Sujeto Obligado adjuntó los archivos que se describen enseguida:</w:t>
      </w:r>
    </w:p>
    <w:p w:rsidR="000A2B7A" w:rsidRPr="00E15120" w:rsidRDefault="005A5ED5">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9">
        <w:r w:rsidR="00CF249E" w:rsidRPr="00E15120">
          <w:rPr>
            <w:rFonts w:ascii="Palatino Linotype" w:eastAsia="Palatino Linotype" w:hAnsi="Palatino Linotype" w:cs="Palatino Linotype"/>
            <w:b/>
            <w:bCs/>
            <w:color w:val="000000"/>
            <w:u w:val="single"/>
          </w:rPr>
          <w:t>Respuesta solicitud númer 28.pdf</w:t>
        </w:r>
      </w:hyperlink>
      <w:r w:rsidR="00CF249E" w:rsidRPr="00E15120">
        <w:rPr>
          <w:rFonts w:ascii="Palatino Linotype" w:eastAsia="Palatino Linotype" w:hAnsi="Palatino Linotype" w:cs="Palatino Linotype"/>
          <w:color w:val="000000"/>
        </w:rPr>
        <w:t xml:space="preserve">: oficio número ZIN/TESO/SMDIFZ/191/2025 de fecha veintiséis de junio de dos mil veinticinco, suscrito por el Tesorero quien señaló que la información solicitada en los puntos 3 y 6 podía ser localiza en dos ligas electrónicas que adjuntó.   </w:t>
      </w:r>
    </w:p>
    <w:p w:rsidR="000A2B7A" w:rsidRPr="00E15120" w:rsidRDefault="005A5ED5">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10">
        <w:r w:rsidR="00CF249E" w:rsidRPr="00E15120">
          <w:rPr>
            <w:rFonts w:ascii="Palatino Linotype" w:eastAsia="Palatino Linotype" w:hAnsi="Palatino Linotype" w:cs="Palatino Linotype"/>
            <w:b/>
            <w:bCs/>
            <w:color w:val="000000"/>
            <w:u w:val="single"/>
          </w:rPr>
          <w:t>Oficio#28.pdf</w:t>
        </w:r>
      </w:hyperlink>
      <w:r w:rsidR="00CF249E" w:rsidRPr="00E15120">
        <w:rPr>
          <w:rFonts w:ascii="Palatino Linotype" w:eastAsia="Palatino Linotype" w:hAnsi="Palatino Linotype" w:cs="Palatino Linotype"/>
          <w:color w:val="000000"/>
        </w:rPr>
        <w:t>: oficio número ZIN/CAAM/SMDIFZ/065/2025 de fecha 01 de agosto de 2025, suscrito por la Coordinadora de Atención al Adulto Mayor, en el que se advierte un recuadro con la descripción de los apoyos a los adultos mayores.</w:t>
      </w:r>
    </w:p>
    <w:p w:rsidR="000A2B7A" w:rsidRPr="00E15120" w:rsidRDefault="005A5ED5">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11">
        <w:r w:rsidR="00CF249E" w:rsidRPr="00E15120">
          <w:rPr>
            <w:rFonts w:ascii="Palatino Linotype" w:eastAsia="Palatino Linotype" w:hAnsi="Palatino Linotype" w:cs="Palatino Linotype"/>
            <w:b/>
            <w:bCs/>
            <w:color w:val="000000"/>
            <w:u w:val="single"/>
          </w:rPr>
          <w:t>Resuesta UIPPE 28-2025.pdf</w:t>
        </w:r>
      </w:hyperlink>
      <w:r w:rsidR="00CF249E" w:rsidRPr="00E15120">
        <w:rPr>
          <w:rFonts w:ascii="Palatino Linotype" w:eastAsia="Palatino Linotype" w:hAnsi="Palatino Linotype" w:cs="Palatino Linotype"/>
          <w:color w:val="000000"/>
        </w:rPr>
        <w:t xml:space="preserve">: oficio número ZIN/UIPPET/SMDIFZ/184/2025 de fecha cuatro de agosto de dos mil veinticinco, suscrito por el Titular de la Unidad de Información, Planeación, Programación, Evaluación y Transparencia, quien señaló que se da respuesta emitida por las áreas correspondiente. </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El </w:t>
      </w:r>
      <w:r w:rsidRPr="00E15120">
        <w:rPr>
          <w:rFonts w:ascii="Palatino Linotype" w:eastAsia="Palatino Linotype" w:hAnsi="Palatino Linotype" w:cs="Palatino Linotype"/>
          <w:b/>
          <w:bCs/>
          <w:color w:val="000000"/>
        </w:rPr>
        <w:t>doce de agosto de dos mil veinticinco</w:t>
      </w:r>
      <w:r w:rsidRPr="00E15120">
        <w:rPr>
          <w:rFonts w:ascii="Palatino Linotype" w:eastAsia="Palatino Linotype" w:hAnsi="Palatino Linotype" w:cs="Palatino Linotype"/>
          <w:color w:val="000000"/>
        </w:rPr>
        <w:t xml:space="preserve">, </w:t>
      </w:r>
      <w:r w:rsidRPr="00E15120">
        <w:rPr>
          <w:rFonts w:ascii="Palatino Linotype" w:eastAsia="Palatino Linotype" w:hAnsi="Palatino Linotype" w:cs="Palatino Linotype"/>
          <w:b/>
          <w:bCs/>
          <w:color w:val="000000"/>
        </w:rPr>
        <w:t>EL RECURRENTE</w:t>
      </w:r>
      <w:r w:rsidRPr="00E15120">
        <w:rPr>
          <w:rFonts w:ascii="Palatino Linotype" w:eastAsia="Palatino Linotype" w:hAnsi="Palatino Linotype" w:cs="Palatino Linotype"/>
          <w:color w:val="000000"/>
        </w:rPr>
        <w:t xml:space="preserve"> interpuso el recurso de revisión, en contra de la respuesta, señalando como:</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E15120">
      <w:pPr>
        <w:numPr>
          <w:ilvl w:val="0"/>
          <w:numId w:val="1"/>
        </w:numPr>
        <w:spacing w:line="360" w:lineRule="auto"/>
        <w:ind w:right="822"/>
        <w:jc w:val="both"/>
      </w:pPr>
      <w:r w:rsidRPr="00E15120">
        <w:rPr>
          <w:rFonts w:ascii="Palatino Linotype" w:eastAsia="Palatino Linotype" w:hAnsi="Palatino Linotype" w:cs="Palatino Linotype"/>
          <w:b/>
          <w:bCs/>
        </w:rPr>
        <w:t>ACTO IMPUGNADO</w:t>
      </w:r>
      <w:r w:rsidR="00CF249E" w:rsidRPr="00E15120">
        <w:rPr>
          <w:rFonts w:ascii="Palatino Linotype" w:eastAsia="Palatino Linotype" w:hAnsi="Palatino Linotype" w:cs="Palatino Linotype"/>
          <w:b/>
          <w:bCs/>
          <w:i/>
          <w:iCs/>
        </w:rPr>
        <w:t>:</w:t>
      </w:r>
      <w:r w:rsidR="00CF249E" w:rsidRPr="00E15120">
        <w:rPr>
          <w:rFonts w:ascii="Palatino Linotype" w:eastAsia="Palatino Linotype" w:hAnsi="Palatino Linotype" w:cs="Palatino Linotype"/>
          <w:i/>
          <w:iCs/>
          <w:color w:val="000000"/>
        </w:rPr>
        <w:t xml:space="preserve"> “No me entregaron toda la información que por este medio solicité." (Sic)</w:t>
      </w:r>
    </w:p>
    <w:p w:rsidR="000A2B7A" w:rsidRPr="00E15120" w:rsidRDefault="000A2B7A">
      <w:pPr>
        <w:spacing w:line="360" w:lineRule="auto"/>
        <w:ind w:left="720" w:right="822"/>
        <w:jc w:val="both"/>
      </w:pPr>
    </w:p>
    <w:p w:rsidR="000A2B7A" w:rsidRPr="00E15120" w:rsidRDefault="00E15120">
      <w:pPr>
        <w:numPr>
          <w:ilvl w:val="0"/>
          <w:numId w:val="1"/>
        </w:numPr>
        <w:spacing w:line="360" w:lineRule="auto"/>
        <w:ind w:right="822"/>
        <w:jc w:val="both"/>
        <w:rPr>
          <w:rFonts w:ascii="Palatino Linotype" w:eastAsia="Palatino Linotype" w:hAnsi="Palatino Linotype" w:cs="Palatino Linotype"/>
        </w:rPr>
      </w:pPr>
      <w:r w:rsidRPr="00E15120">
        <w:rPr>
          <w:rFonts w:ascii="Palatino Linotype" w:eastAsia="Palatino Linotype" w:hAnsi="Palatino Linotype" w:cs="Palatino Linotype"/>
          <w:b/>
          <w:bCs/>
        </w:rPr>
        <w:t>RAZONES O MOTIVOS DE INCONFORMIDAD</w:t>
      </w:r>
      <w:r w:rsidR="00CF249E" w:rsidRPr="00E15120">
        <w:rPr>
          <w:rFonts w:ascii="Palatino Linotype" w:eastAsia="Palatino Linotype" w:hAnsi="Palatino Linotype" w:cs="Palatino Linotype"/>
          <w:b/>
          <w:bCs/>
        </w:rPr>
        <w:t xml:space="preserve">: </w:t>
      </w:r>
      <w:r w:rsidR="00CF249E" w:rsidRPr="00E15120">
        <w:rPr>
          <w:rFonts w:ascii="Palatino Linotype" w:eastAsia="Palatino Linotype" w:hAnsi="Palatino Linotype" w:cs="Palatino Linotype"/>
          <w:i/>
          <w:iCs/>
        </w:rPr>
        <w:t>"No me entregaron todo lo que solicité por este medio." (Sic)</w:t>
      </w:r>
    </w:p>
    <w:p w:rsidR="000A2B7A" w:rsidRPr="00E15120" w:rsidRDefault="000A2B7A">
      <w:pPr>
        <w:spacing w:line="360" w:lineRule="auto"/>
        <w:jc w:val="both"/>
        <w:rPr>
          <w:rFonts w:ascii="Palatino Linotype" w:eastAsia="Palatino Linotype" w:hAnsi="Palatino Linotype" w:cs="Palatino Linotype"/>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E15120">
        <w:rPr>
          <w:rFonts w:ascii="Palatino Linotype" w:eastAsia="Palatino Linotype" w:hAnsi="Palatino Linotype" w:cs="Palatino Linotype"/>
          <w:b/>
          <w:bCs/>
          <w:color w:val="000000"/>
        </w:rPr>
        <w:t xml:space="preserve">Ley de </w:t>
      </w:r>
      <w:r w:rsidRPr="00E15120">
        <w:rPr>
          <w:rFonts w:ascii="Palatino Linotype" w:eastAsia="Palatino Linotype" w:hAnsi="Palatino Linotype" w:cs="Palatino Linotype"/>
          <w:b/>
          <w:bCs/>
          <w:color w:val="000000"/>
        </w:rPr>
        <w:lastRenderedPageBreak/>
        <w:t xml:space="preserve">Transparencia y Acceso a la Información Pública del Estado de México y Municipios </w:t>
      </w:r>
      <w:r w:rsidRPr="00E15120">
        <w:rPr>
          <w:rFonts w:ascii="Palatino Linotype" w:eastAsia="Palatino Linotype" w:hAnsi="Palatino Linotype" w:cs="Palatino Linotype"/>
          <w:color w:val="000000"/>
        </w:rPr>
        <w:t xml:space="preserve">se </w:t>
      </w:r>
      <w:r w:rsidRPr="00E15120">
        <w:rPr>
          <w:rFonts w:ascii="Palatino Linotype" w:eastAsia="Palatino Linotype" w:hAnsi="Palatino Linotype" w:cs="Palatino Linotype"/>
        </w:rPr>
        <w:t>turna</w:t>
      </w:r>
      <w:r w:rsidRPr="00E15120">
        <w:rPr>
          <w:rFonts w:ascii="Palatino Linotype" w:eastAsia="Palatino Linotype" w:hAnsi="Palatino Linotype" w:cs="Palatino Linotype"/>
          <w:color w:val="000000"/>
        </w:rPr>
        <w:t xml:space="preserve"> a la </w:t>
      </w:r>
      <w:r w:rsidRPr="00E15120">
        <w:rPr>
          <w:rFonts w:ascii="Palatino Linotype" w:eastAsia="Palatino Linotype" w:hAnsi="Palatino Linotype" w:cs="Palatino Linotype"/>
          <w:b/>
          <w:bCs/>
          <w:color w:val="000000"/>
        </w:rPr>
        <w:t xml:space="preserve">Comisionada María del Rosario Mejía Ayala, </w:t>
      </w:r>
      <w:r w:rsidRPr="00E15120">
        <w:rPr>
          <w:rFonts w:ascii="Palatino Linotype" w:eastAsia="Palatino Linotype" w:hAnsi="Palatino Linotype" w:cs="Palatino Linotype"/>
        </w:rPr>
        <w:t xml:space="preserve">para </w:t>
      </w:r>
      <w:r w:rsidRPr="00E15120">
        <w:rPr>
          <w:rFonts w:ascii="Palatino Linotype" w:eastAsia="Palatino Linotype" w:hAnsi="Palatino Linotype" w:cs="Palatino Linotype"/>
          <w:color w:val="000000"/>
        </w:rPr>
        <w:t xml:space="preserve">su análisis. </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rPr>
        <w:t>La</w:t>
      </w:r>
      <w:r w:rsidRPr="00E15120">
        <w:rPr>
          <w:rFonts w:ascii="Palatino Linotype" w:eastAsia="Palatino Linotype" w:hAnsi="Palatino Linotype" w:cs="Palatino Linotype"/>
          <w:color w:val="000000"/>
        </w:rPr>
        <w:t xml:space="preserve"> Comisionad</w:t>
      </w:r>
      <w:r w:rsidRPr="00E15120">
        <w:rPr>
          <w:rFonts w:ascii="Palatino Linotype" w:eastAsia="Palatino Linotype" w:hAnsi="Palatino Linotype" w:cs="Palatino Linotype"/>
        </w:rPr>
        <w:t>a</w:t>
      </w:r>
      <w:r w:rsidR="00E15120">
        <w:rPr>
          <w:rFonts w:ascii="Palatino Linotype" w:eastAsia="Palatino Linotype" w:hAnsi="Palatino Linotype" w:cs="Palatino Linotype"/>
          <w:color w:val="000000"/>
        </w:rPr>
        <w:t xml:space="preserve"> p</w:t>
      </w:r>
      <w:r w:rsidRPr="00E15120">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del </w:t>
      </w:r>
      <w:r w:rsidRPr="00E15120">
        <w:rPr>
          <w:rFonts w:ascii="Palatino Linotype" w:eastAsia="Palatino Linotype" w:hAnsi="Palatino Linotype" w:cs="Palatino Linotype"/>
          <w:b/>
          <w:bCs/>
          <w:color w:val="000000"/>
        </w:rPr>
        <w:t>dieciocho de agosto de dos mil veinticinco</w:t>
      </w:r>
      <w:r w:rsidRPr="00E15120">
        <w:rPr>
          <w:rFonts w:ascii="Palatino Linotype" w:eastAsia="Palatino Linotype" w:hAnsi="Palatino Linotype" w:cs="Palatino Linotype"/>
          <w:color w:val="000000"/>
        </w:rPr>
        <w:t xml:space="preserve">, puso a disposición de las partes el expediente electrónico vía </w:t>
      </w:r>
      <w:r w:rsidRPr="00E15120">
        <w:rPr>
          <w:rFonts w:ascii="Palatino Linotype" w:eastAsia="Palatino Linotype" w:hAnsi="Palatino Linotype" w:cs="Palatino Linotype"/>
          <w:b/>
          <w:bCs/>
          <w:color w:val="000000"/>
        </w:rPr>
        <w:t xml:space="preserve">SAIMEX </w:t>
      </w:r>
      <w:r w:rsidRPr="00E15120">
        <w:rPr>
          <w:rFonts w:ascii="Palatino Linotype" w:eastAsia="Palatino Linotype" w:hAnsi="Palatino Linotype" w:cs="Palatino Linotype"/>
          <w:color w:val="000000"/>
        </w:rPr>
        <w:t xml:space="preserve">a efecto de que en un plazo máximo de siete días </w:t>
      </w:r>
      <w:r w:rsidRPr="00E15120">
        <w:rPr>
          <w:rFonts w:ascii="Palatino Linotype" w:eastAsia="Palatino Linotype" w:hAnsi="Palatino Linotype" w:cs="Palatino Linotype"/>
        </w:rPr>
        <w:t>manifestara</w:t>
      </w:r>
      <w:r w:rsidRPr="00E15120">
        <w:rPr>
          <w:rFonts w:ascii="Palatino Linotype" w:eastAsia="Palatino Linotype" w:hAnsi="Palatino Linotype" w:cs="Palatino Linotype"/>
          <w:color w:val="000000"/>
        </w:rPr>
        <w:t xml:space="preserve"> lo que a derecho </w:t>
      </w:r>
      <w:r w:rsidRPr="00E15120">
        <w:rPr>
          <w:rFonts w:ascii="Palatino Linotype" w:eastAsia="Palatino Linotype" w:hAnsi="Palatino Linotype" w:cs="Palatino Linotype"/>
        </w:rPr>
        <w:t>conviniera</w:t>
      </w:r>
      <w:r w:rsidRPr="00E15120">
        <w:rPr>
          <w:rFonts w:ascii="Palatino Linotype" w:eastAsia="Palatino Linotype" w:hAnsi="Palatino Linotype" w:cs="Palatino Linotype"/>
          <w:color w:val="000000"/>
        </w:rPr>
        <w:t xml:space="preserve">, </w:t>
      </w:r>
      <w:r w:rsidRPr="00E15120">
        <w:rPr>
          <w:rFonts w:ascii="Palatino Linotype" w:eastAsia="Palatino Linotype" w:hAnsi="Palatino Linotype" w:cs="Palatino Linotype"/>
        </w:rPr>
        <w:t>ofreciera</w:t>
      </w:r>
      <w:r w:rsidRPr="00E15120">
        <w:rPr>
          <w:rFonts w:ascii="Palatino Linotype" w:eastAsia="Palatino Linotype" w:hAnsi="Palatino Linotype" w:cs="Palatino Linotype"/>
          <w:color w:val="000000"/>
        </w:rPr>
        <w:t xml:space="preserve"> pruebas y alegatos según corresponda al caso concreto, de esta forma para que el </w:t>
      </w:r>
      <w:r w:rsidRPr="00E15120">
        <w:rPr>
          <w:rFonts w:ascii="Palatino Linotype" w:eastAsia="Palatino Linotype" w:hAnsi="Palatino Linotype" w:cs="Palatino Linotype"/>
          <w:b/>
          <w:bCs/>
          <w:color w:val="000000"/>
        </w:rPr>
        <w:t>SUJETO OBLIGADO</w:t>
      </w:r>
      <w:r w:rsidRPr="00E15120">
        <w:rPr>
          <w:rFonts w:ascii="Palatino Linotype" w:eastAsia="Palatino Linotype" w:hAnsi="Palatino Linotype" w:cs="Palatino Linotype"/>
          <w:color w:val="000000"/>
        </w:rPr>
        <w:t xml:space="preserve"> </w:t>
      </w:r>
      <w:r w:rsidRPr="00E15120">
        <w:rPr>
          <w:rFonts w:ascii="Palatino Linotype" w:eastAsia="Palatino Linotype" w:hAnsi="Palatino Linotype" w:cs="Palatino Linotype"/>
        </w:rPr>
        <w:t>presentará</w:t>
      </w:r>
      <w:r w:rsidRPr="00E15120">
        <w:rPr>
          <w:rFonts w:ascii="Palatino Linotype" w:eastAsia="Palatino Linotype" w:hAnsi="Palatino Linotype" w:cs="Palatino Linotype"/>
          <w:color w:val="000000"/>
        </w:rPr>
        <w:t xml:space="preserve"> el informe justificado procedente. </w:t>
      </w:r>
    </w:p>
    <w:p w:rsidR="000A2B7A" w:rsidRPr="00E15120" w:rsidRDefault="000A2B7A">
      <w:pPr>
        <w:pBdr>
          <w:top w:val="nil"/>
          <w:left w:val="nil"/>
          <w:bottom w:val="nil"/>
          <w:right w:val="nil"/>
          <w:between w:val="nil"/>
        </w:pBdr>
        <w:ind w:left="720"/>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De las constancias del expediente electrónico SAIMEX se advierte que el Recurrente no realizó manifestaciones; por su parte, el Sujeto Obligado entregó informe justificado el </w:t>
      </w:r>
      <w:r w:rsidRPr="00E15120">
        <w:rPr>
          <w:rFonts w:ascii="Palatino Linotype" w:eastAsia="Palatino Linotype" w:hAnsi="Palatino Linotype" w:cs="Palatino Linotype"/>
          <w:b/>
          <w:bCs/>
          <w:color w:val="000000"/>
        </w:rPr>
        <w:t>veintiséis de agosto de dos mil veinticinco</w:t>
      </w:r>
      <w:r w:rsidRPr="00E15120">
        <w:rPr>
          <w:rFonts w:ascii="Palatino Linotype" w:eastAsia="Palatino Linotype" w:hAnsi="Palatino Linotype" w:cs="Palatino Linotype"/>
          <w:color w:val="000000"/>
        </w:rPr>
        <w:t xml:space="preserve">, mismo que fue puesto a la vista del Recurrente el </w:t>
      </w:r>
      <w:r w:rsidRPr="00E15120">
        <w:rPr>
          <w:rFonts w:ascii="Palatino Linotype" w:eastAsia="Palatino Linotype" w:hAnsi="Palatino Linotype" w:cs="Palatino Linotype"/>
          <w:b/>
          <w:bCs/>
          <w:color w:val="000000"/>
        </w:rPr>
        <w:t>veinticinco de febrero de dos mil veintiséis</w:t>
      </w:r>
      <w:r w:rsidRPr="00E15120">
        <w:rPr>
          <w:rFonts w:ascii="Palatino Linotype" w:eastAsia="Palatino Linotype" w:hAnsi="Palatino Linotype" w:cs="Palatino Linotype"/>
          <w:color w:val="000000"/>
        </w:rPr>
        <w:t xml:space="preserve">, a través del archivo electrónico </w:t>
      </w:r>
      <w:hyperlink r:id="rId12">
        <w:r w:rsidRPr="00E15120">
          <w:rPr>
            <w:rFonts w:ascii="Palatino Linotype" w:eastAsia="Palatino Linotype" w:hAnsi="Palatino Linotype" w:cs="Palatino Linotype"/>
            <w:b/>
            <w:bCs/>
            <w:color w:val="000000"/>
            <w:u w:val="single"/>
          </w:rPr>
          <w:t>INFORME JUSTIFICADO SOLICITUD 28.pdf</w:t>
        </w:r>
      </w:hyperlink>
      <w:r w:rsidRPr="00E15120">
        <w:rPr>
          <w:rFonts w:ascii="Palatino Linotype" w:eastAsia="Palatino Linotype" w:hAnsi="Palatino Linotype" w:cs="Palatino Linotype"/>
        </w:rPr>
        <w:t xml:space="preserve">, a través del cual se ratificó la respuesta. </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El </w:t>
      </w:r>
      <w:r w:rsidRPr="00E15120">
        <w:rPr>
          <w:rFonts w:ascii="Palatino Linotype" w:eastAsia="Palatino Linotype" w:hAnsi="Palatino Linotype" w:cs="Palatino Linotype"/>
          <w:b/>
          <w:bCs/>
          <w:color w:val="000000"/>
        </w:rPr>
        <w:t>veintiséis de enero de dos mil veintiséis</w:t>
      </w:r>
      <w:r w:rsidRPr="00E15120">
        <w:rPr>
          <w:rFonts w:ascii="Palatino Linotype" w:eastAsia="Palatino Linotype" w:hAnsi="Palatino Linotype" w:cs="Palatino Linotype"/>
          <w:color w:val="000000"/>
        </w:rPr>
        <w:t xml:space="preserve">, se notificó el acuerdo mediante el cual se aprobó la ampliación de plazo para emitir resolución. </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E15120">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CF249E" w:rsidRPr="00E15120">
        <w:rPr>
          <w:rFonts w:ascii="Palatino Linotype" w:eastAsia="Palatino Linotype" w:hAnsi="Palatino Linotype" w:cs="Palatino Linotype"/>
          <w:color w:val="000000"/>
        </w:rPr>
        <w:t xml:space="preserve">onente decretó el cierre de instrucción mediante el acuerdo del </w:t>
      </w:r>
      <w:r w:rsidR="00CF249E" w:rsidRPr="00E15120">
        <w:rPr>
          <w:rFonts w:ascii="Palatino Linotype" w:eastAsia="Palatino Linotype" w:hAnsi="Palatino Linotype" w:cs="Palatino Linotype"/>
          <w:b/>
          <w:bCs/>
          <w:color w:val="000000"/>
        </w:rPr>
        <w:t>cuatro de marzo de dos mil veintiséis.</w:t>
      </w:r>
      <w:r>
        <w:rPr>
          <w:rFonts w:ascii="Palatino Linotype" w:eastAsia="Palatino Linotype" w:hAnsi="Palatino Linotype" w:cs="Palatino Linotype"/>
          <w:b/>
          <w:bCs/>
          <w:color w:val="000000"/>
        </w:rPr>
        <w:t xml:space="preserve"> ----------------------------------------------------------------------------------</w:t>
      </w:r>
    </w:p>
    <w:p w:rsidR="00E15120" w:rsidRDefault="00E15120" w:rsidP="00E15120">
      <w:pPr>
        <w:pStyle w:val="Prrafodelista"/>
        <w:rPr>
          <w:rFonts w:ascii="Palatino Linotype" w:eastAsia="Palatino Linotype" w:hAnsi="Palatino Linotype" w:cs="Palatino Linotype"/>
          <w:color w:val="000000"/>
        </w:rPr>
      </w:pPr>
    </w:p>
    <w:p w:rsidR="00E15120" w:rsidRDefault="00E15120" w:rsidP="00E1512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15120" w:rsidRPr="00E15120" w:rsidRDefault="00E15120" w:rsidP="00E1512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0A2B7A">
      <w:pPr>
        <w:spacing w:line="360" w:lineRule="auto"/>
        <w:rPr>
          <w:rFonts w:ascii="Palatino Linotype" w:eastAsia="Palatino Linotype" w:hAnsi="Palatino Linotype" w:cs="Palatino Linotype"/>
        </w:rPr>
      </w:pPr>
    </w:p>
    <w:p w:rsidR="000A2B7A" w:rsidRPr="00E15120" w:rsidRDefault="00CF249E">
      <w:pPr>
        <w:spacing w:line="360" w:lineRule="auto"/>
        <w:jc w:val="center"/>
        <w:rPr>
          <w:rFonts w:ascii="Palatino Linotype" w:eastAsia="Palatino Linotype" w:hAnsi="Palatino Linotype" w:cs="Palatino Linotype"/>
        </w:rPr>
      </w:pPr>
      <w:bookmarkStart w:id="2" w:name="_heading=h.1fob9te" w:colFirst="0" w:colLast="0"/>
      <w:bookmarkEnd w:id="2"/>
      <w:r w:rsidRPr="00E15120">
        <w:rPr>
          <w:rFonts w:ascii="Palatino Linotype" w:eastAsia="Palatino Linotype" w:hAnsi="Palatino Linotype" w:cs="Palatino Linotype"/>
          <w:b/>
          <w:bCs/>
        </w:rPr>
        <w:lastRenderedPageBreak/>
        <w:t>C O N S I D E R A N D O</w:t>
      </w:r>
    </w:p>
    <w:p w:rsidR="000A2B7A" w:rsidRPr="00E15120" w:rsidRDefault="000A2B7A">
      <w:pPr>
        <w:spacing w:line="360" w:lineRule="auto"/>
        <w:jc w:val="center"/>
        <w:rPr>
          <w:rFonts w:ascii="Palatino Linotype" w:eastAsia="Palatino Linotype" w:hAnsi="Palatino Linotype" w:cs="Palatino Linotype"/>
        </w:rPr>
      </w:pPr>
    </w:p>
    <w:p w:rsidR="000A2B7A" w:rsidRPr="00E15120" w:rsidRDefault="00CF249E">
      <w:pPr>
        <w:spacing w:line="360" w:lineRule="auto"/>
        <w:jc w:val="both"/>
        <w:rPr>
          <w:rFonts w:ascii="Palatino Linotype" w:eastAsia="Palatino Linotype" w:hAnsi="Palatino Linotype" w:cs="Palatino Linotype"/>
          <w:b/>
          <w:bCs/>
        </w:rPr>
      </w:pPr>
      <w:bookmarkStart w:id="3" w:name="_heading=h.3znysh7" w:colFirst="0" w:colLast="0"/>
      <w:bookmarkEnd w:id="3"/>
      <w:r w:rsidRPr="00E15120">
        <w:rPr>
          <w:rFonts w:ascii="Palatino Linotype" w:eastAsia="Palatino Linotype" w:hAnsi="Palatino Linotype" w:cs="Palatino Linotype"/>
          <w:b/>
          <w:bCs/>
        </w:rPr>
        <w:t>PRIMERO. De la competencia</w:t>
      </w:r>
    </w:p>
    <w:p w:rsidR="000A2B7A" w:rsidRPr="00E15120" w:rsidRDefault="00CF249E">
      <w:pPr>
        <w:numPr>
          <w:ilvl w:val="0"/>
          <w:numId w:val="6"/>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0A2B7A" w:rsidRPr="00E15120" w:rsidRDefault="00CF249E">
      <w:pPr>
        <w:pBdr>
          <w:top w:val="nil"/>
          <w:left w:val="nil"/>
          <w:bottom w:val="nil"/>
          <w:right w:val="nil"/>
          <w:between w:val="nil"/>
        </w:pBdr>
        <w:tabs>
          <w:tab w:val="left" w:pos="1010"/>
        </w:tabs>
        <w:spacing w:before="240" w:line="360"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ab/>
      </w:r>
    </w:p>
    <w:p w:rsidR="000A2B7A" w:rsidRPr="00E15120" w:rsidRDefault="00CF249E">
      <w:pPr>
        <w:keepNext/>
        <w:keepLines/>
        <w:spacing w:line="360" w:lineRule="auto"/>
        <w:rPr>
          <w:rFonts w:ascii="Palatino Linotype" w:eastAsia="Palatino Linotype" w:hAnsi="Palatino Linotype" w:cs="Palatino Linotype"/>
          <w:b/>
          <w:bCs/>
        </w:rPr>
      </w:pPr>
      <w:bookmarkStart w:id="4" w:name="_heading=h.2et92p0" w:colFirst="0" w:colLast="0"/>
      <w:bookmarkEnd w:id="4"/>
      <w:r w:rsidRPr="00E15120">
        <w:rPr>
          <w:rFonts w:ascii="Palatino Linotype" w:eastAsia="Palatino Linotype" w:hAnsi="Palatino Linotype" w:cs="Palatino Linotype"/>
          <w:b/>
          <w:bCs/>
        </w:rPr>
        <w:t>SEGUNDO. De la oportunidad y procedencia.</w:t>
      </w: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El medio de impugnación fue presentado a través del </w:t>
      </w:r>
      <w:r w:rsidRPr="00E15120">
        <w:rPr>
          <w:rFonts w:ascii="Palatino Linotype" w:eastAsia="Palatino Linotype" w:hAnsi="Palatino Linotype" w:cs="Palatino Linotype"/>
          <w:b/>
          <w:bCs/>
          <w:color w:val="000000"/>
        </w:rPr>
        <w:t>SAIMEX,</w:t>
      </w:r>
      <w:r w:rsidRPr="00E15120">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E15120">
        <w:rPr>
          <w:rFonts w:ascii="Palatino Linotype" w:eastAsia="Palatino Linotype" w:hAnsi="Palatino Linotype" w:cs="Palatino Linotype"/>
          <w:b/>
          <w:bCs/>
          <w:color w:val="000000"/>
        </w:rPr>
        <w:t>SUJETO OBLIGADO</w:t>
      </w:r>
      <w:r w:rsidRPr="00E15120">
        <w:rPr>
          <w:rFonts w:ascii="Palatino Linotype" w:eastAsia="Palatino Linotype" w:hAnsi="Palatino Linotype" w:cs="Palatino Linotype"/>
          <w:color w:val="000000"/>
        </w:rPr>
        <w:t xml:space="preserve"> entregó respuesta a la solicitud el día </w:t>
      </w:r>
      <w:r w:rsidRPr="00E15120">
        <w:rPr>
          <w:rFonts w:ascii="Palatino Linotype" w:eastAsia="Palatino Linotype" w:hAnsi="Palatino Linotype" w:cs="Palatino Linotype"/>
          <w:b/>
          <w:bCs/>
          <w:color w:val="000000"/>
        </w:rPr>
        <w:t xml:space="preserve"> cuatro de agosto de dos mil veinticinco</w:t>
      </w:r>
      <w:r w:rsidRPr="00E15120">
        <w:rPr>
          <w:rFonts w:ascii="Palatino Linotype" w:eastAsia="Palatino Linotype" w:hAnsi="Palatino Linotype" w:cs="Palatino Linotype"/>
          <w:color w:val="000000"/>
        </w:rPr>
        <w:t>, de tal forma que el plazo para interponer el recurso de revisión transcurrió del</w:t>
      </w:r>
      <w:r w:rsidRPr="00E15120">
        <w:rPr>
          <w:rFonts w:ascii="Palatino Linotype" w:eastAsia="Palatino Linotype" w:hAnsi="Palatino Linotype" w:cs="Palatino Linotype"/>
          <w:b/>
          <w:bCs/>
          <w:color w:val="000000"/>
        </w:rPr>
        <w:t xml:space="preserve"> cinco al veinticinco de agosto de dos mil veinticinco</w:t>
      </w:r>
      <w:r w:rsidRPr="00E15120">
        <w:rPr>
          <w:rFonts w:ascii="Palatino Linotype" w:eastAsia="Palatino Linotype" w:hAnsi="Palatino Linotype" w:cs="Palatino Linotype"/>
          <w:color w:val="000000"/>
        </w:rPr>
        <w:t xml:space="preserve">; en consecuencia, presentó su inconformidad el día </w:t>
      </w:r>
      <w:r w:rsidRPr="00E15120">
        <w:rPr>
          <w:rFonts w:ascii="Palatino Linotype" w:eastAsia="Palatino Linotype" w:hAnsi="Palatino Linotype" w:cs="Palatino Linotype"/>
          <w:b/>
          <w:bCs/>
          <w:color w:val="000000"/>
        </w:rPr>
        <w:t>doce de agosto de dos mil veinticinco</w:t>
      </w:r>
      <w:r w:rsidRPr="00E15120">
        <w:rPr>
          <w:rFonts w:ascii="Palatino Linotype" w:eastAsia="Palatino Linotype" w:hAnsi="Palatino Linotype" w:cs="Palatino Linotype"/>
          <w:color w:val="000000"/>
        </w:rPr>
        <w:t xml:space="preserve">, por lo que se encuentra dentro de los márgenes temporales previstos en el artículo 178 de la </w:t>
      </w:r>
      <w:r w:rsidRPr="00E15120">
        <w:rPr>
          <w:rFonts w:ascii="Palatino Linotype" w:eastAsia="Palatino Linotype" w:hAnsi="Palatino Linotype" w:cs="Palatino Linotype"/>
          <w:b/>
          <w:bCs/>
          <w:color w:val="000000"/>
        </w:rPr>
        <w:t xml:space="preserve">Ley de Transparencia y Acceso a la Información Pública del Estado de México y Municipios </w:t>
      </w:r>
      <w:r w:rsidRPr="00E15120">
        <w:rPr>
          <w:rFonts w:ascii="Palatino Linotype" w:eastAsia="Palatino Linotype" w:hAnsi="Palatino Linotype" w:cs="Palatino Linotype"/>
          <w:color w:val="000000"/>
        </w:rPr>
        <w:t>vigente.</w:t>
      </w: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0A2B7A" w:rsidRPr="00E15120" w:rsidRDefault="00CF249E">
      <w:pPr>
        <w:pStyle w:val="Ttulo1"/>
        <w:spacing w:line="360" w:lineRule="auto"/>
        <w:rPr>
          <w:rFonts w:ascii="Palatino Linotype" w:eastAsia="Palatino Linotype" w:hAnsi="Palatino Linotype" w:cs="Palatino Linotype"/>
          <w:b/>
          <w:bCs/>
          <w:i/>
          <w:iCs/>
          <w:color w:val="000000"/>
          <w:sz w:val="24"/>
          <w:szCs w:val="24"/>
        </w:rPr>
      </w:pPr>
      <w:r w:rsidRPr="00E15120">
        <w:rPr>
          <w:rFonts w:ascii="Palatino Linotype" w:eastAsia="Palatino Linotype" w:hAnsi="Palatino Linotype" w:cs="Palatino Linotype"/>
          <w:b/>
          <w:bCs/>
          <w:color w:val="000000"/>
          <w:sz w:val="24"/>
          <w:szCs w:val="24"/>
        </w:rPr>
        <w:t>TERCERO. Del planteamiento de la Litis</w:t>
      </w: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color w:val="000000"/>
        </w:rPr>
        <w:t>El particular solicitó, del periodo del primero de enero al treinta de junio de dos mil veinticinco, la siguiente información:</w:t>
      </w:r>
    </w:p>
    <w:p w:rsidR="000A2B7A" w:rsidRPr="00E15120" w:rsidRDefault="00CF249E">
      <w:pPr>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1. Descripción detallada de los programas, servicios o apoyos que ofrece el DIF Municipal para adultos mayores;</w:t>
      </w:r>
    </w:p>
    <w:p w:rsidR="000A2B7A" w:rsidRPr="00E15120" w:rsidRDefault="00CF249E">
      <w:pPr>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2. Número de beneficiarios atendidos durante este periodo, incluyendo su distribución por comunidades o colonias;</w:t>
      </w:r>
    </w:p>
    <w:p w:rsidR="000A2B7A" w:rsidRPr="00E15120" w:rsidRDefault="00CF249E">
      <w:pPr>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3. Recursos económicos asignados y ejercidos específicamente para programas dirigidos a adultos mayores; </w:t>
      </w:r>
    </w:p>
    <w:p w:rsidR="000A2B7A" w:rsidRPr="00E15120" w:rsidRDefault="00CF249E">
      <w:pPr>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4. Actividades de capacitación, talleres o eventos organizados para mejorar la calidad de vida de los adultos mayores; </w:t>
      </w:r>
    </w:p>
    <w:p w:rsidR="000A2B7A" w:rsidRPr="00E15120" w:rsidRDefault="00CF249E">
      <w:pPr>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5. Información sobre convenios o alianzas con otras instituciones para apoyar a esta población;</w:t>
      </w:r>
    </w:p>
    <w:p w:rsidR="000A2B7A" w:rsidRPr="00E15120" w:rsidRDefault="00CF249E">
      <w:pPr>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6. Personal responsable o encargado de la atención a adultos mayores, con su perfil y funciones.</w:t>
      </w:r>
    </w:p>
    <w:p w:rsidR="000A2B7A" w:rsidRPr="00E15120" w:rsidRDefault="000A2B7A">
      <w:pPr>
        <w:pBdr>
          <w:top w:val="nil"/>
          <w:left w:val="nil"/>
          <w:bottom w:val="nil"/>
          <w:right w:val="nil"/>
          <w:between w:val="nil"/>
        </w:pBdr>
        <w:spacing w:line="360" w:lineRule="auto"/>
        <w:ind w:left="720"/>
        <w:jc w:val="both"/>
        <w:rPr>
          <w:rFonts w:ascii="Palatino Linotype" w:eastAsia="Palatino Linotype" w:hAnsi="Palatino Linotype" w:cs="Palatino Linotype"/>
          <w:i/>
          <w:iCs/>
          <w:color w:val="000000"/>
        </w:rPr>
      </w:pPr>
    </w:p>
    <w:p w:rsidR="000A2B7A" w:rsidRPr="00E15120" w:rsidRDefault="00CF249E">
      <w:pPr>
        <w:numPr>
          <w:ilvl w:val="0"/>
          <w:numId w:val="6"/>
        </w:numPr>
        <w:spacing w:line="360" w:lineRule="auto"/>
        <w:ind w:left="0" w:firstLine="0"/>
        <w:jc w:val="both"/>
        <w:rPr>
          <w:rFonts w:ascii="Palatino Linotype" w:eastAsia="Palatino Linotype" w:hAnsi="Palatino Linotype" w:cs="Palatino Linotype"/>
        </w:rPr>
      </w:pPr>
      <w:r w:rsidRPr="00E15120">
        <w:rPr>
          <w:rFonts w:ascii="Palatino Linotype" w:eastAsia="Palatino Linotype" w:hAnsi="Palatino Linotype" w:cs="Palatino Linotype"/>
        </w:rPr>
        <w:t xml:space="preserve">En respuesta, el Sujeto Obligado señaló dos ligas electrónicas en las que refirió que se localiza la información solicitada, aunado a ello entregó una documento ad hoc en el que da respuesta a los diversos cuestionamientos; posteriormente, el Recurrente se inconformó por la entrega de información incompleta. </w:t>
      </w:r>
    </w:p>
    <w:p w:rsidR="000A2B7A" w:rsidRPr="00E15120" w:rsidRDefault="00CF249E">
      <w:pPr>
        <w:numPr>
          <w:ilvl w:val="0"/>
          <w:numId w:val="6"/>
        </w:numPr>
        <w:spacing w:line="360" w:lineRule="auto"/>
        <w:ind w:left="0" w:firstLine="0"/>
        <w:jc w:val="both"/>
        <w:rPr>
          <w:rFonts w:ascii="Palatino Linotype" w:eastAsia="Palatino Linotype" w:hAnsi="Palatino Linotype" w:cs="Palatino Linotype"/>
        </w:rPr>
      </w:pPr>
      <w:r w:rsidRPr="00E15120">
        <w:rPr>
          <w:rFonts w:ascii="Palatino Linotype" w:eastAsia="Palatino Linotype" w:hAnsi="Palatino Linotype" w:cs="Palatino Linotype"/>
        </w:rPr>
        <w:lastRenderedPageBreak/>
        <w:t xml:space="preserve">En consecuencia, la Litis a resolver en este recurso, se circunscribe a determinar si la respuesta colma con lo solicitado o si se actualiza la causal de procedencia prevista en el artículo 179, fracción V de la Ley de Transparencia y Acceso a la Información Pública del Estado de México y Municipios; que establece la entrega de información incompleta.   </w:t>
      </w:r>
    </w:p>
    <w:p w:rsidR="000A2B7A" w:rsidRPr="00E15120" w:rsidRDefault="00CF249E">
      <w:pPr>
        <w:pStyle w:val="Ttulo1"/>
        <w:spacing w:line="360" w:lineRule="auto"/>
        <w:rPr>
          <w:rFonts w:ascii="Palatino Linotype" w:eastAsia="Palatino Linotype" w:hAnsi="Palatino Linotype" w:cs="Palatino Linotype"/>
          <w:b/>
          <w:bCs/>
          <w:color w:val="000000"/>
          <w:sz w:val="24"/>
          <w:szCs w:val="24"/>
        </w:rPr>
      </w:pPr>
      <w:bookmarkStart w:id="5" w:name="_heading=h.3dy6vkm" w:colFirst="0" w:colLast="0"/>
      <w:bookmarkEnd w:id="5"/>
      <w:r w:rsidRPr="00E15120">
        <w:rPr>
          <w:rFonts w:ascii="Palatino Linotype" w:eastAsia="Palatino Linotype" w:hAnsi="Palatino Linotype" w:cs="Palatino Linotype"/>
          <w:b/>
          <w:bCs/>
          <w:color w:val="000000"/>
          <w:sz w:val="24"/>
          <w:szCs w:val="24"/>
        </w:rPr>
        <w:t xml:space="preserve">CUARTO. Estudio y resolución del recurso de revisión. </w:t>
      </w:r>
    </w:p>
    <w:p w:rsidR="000A2B7A" w:rsidRPr="00E15120" w:rsidRDefault="00CF249E">
      <w:pPr>
        <w:numPr>
          <w:ilvl w:val="0"/>
          <w:numId w:val="6"/>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E15120">
        <w:rPr>
          <w:rFonts w:ascii="Palatino Linotype" w:eastAsia="Palatino Linotype" w:hAnsi="Palatino Linotype" w:cs="Palatino Linotype"/>
          <w:b/>
          <w:bCs/>
          <w:color w:val="000000"/>
        </w:rPr>
        <w:t>Ley de Transparencia y Acceso a la Información Pública del Estado de México y Municipios</w:t>
      </w:r>
      <w:r w:rsidRPr="00E15120">
        <w:rPr>
          <w:rFonts w:ascii="Palatino Linotype" w:eastAsia="Palatino Linotype" w:hAnsi="Palatino Linotype" w:cs="Palatino Linotype"/>
          <w:color w:val="000000"/>
        </w:rPr>
        <w:t>.</w:t>
      </w:r>
    </w:p>
    <w:p w:rsidR="000A2B7A" w:rsidRPr="00E15120" w:rsidRDefault="000A2B7A">
      <w:pPr>
        <w:spacing w:line="360" w:lineRule="auto"/>
        <w:jc w:val="both"/>
        <w:rPr>
          <w:rFonts w:ascii="Palatino Linotype" w:eastAsia="Palatino Linotype" w:hAnsi="Palatino Linotype" w:cs="Palatino Linotype"/>
        </w:rPr>
      </w:pPr>
      <w:bookmarkStart w:id="6" w:name="_heading=h.4d34og8" w:colFirst="0" w:colLast="0"/>
      <w:bookmarkEnd w:id="6"/>
    </w:p>
    <w:p w:rsidR="000A2B7A" w:rsidRPr="00E15120" w:rsidRDefault="00CF249E">
      <w:pPr>
        <w:numPr>
          <w:ilvl w:val="0"/>
          <w:numId w:val="6"/>
        </w:numPr>
        <w:tabs>
          <w:tab w:val="left" w:pos="0"/>
          <w:tab w:val="left" w:pos="567"/>
        </w:tabs>
        <w:spacing w:after="240" w:line="360" w:lineRule="auto"/>
        <w:ind w:left="0" w:firstLine="0"/>
        <w:jc w:val="both"/>
        <w:rPr>
          <w:rFonts w:ascii="Palatino Linotype" w:eastAsia="Palatino Linotype" w:hAnsi="Palatino Linotype" w:cs="Palatino Linotype"/>
        </w:rPr>
      </w:pPr>
      <w:r w:rsidRPr="00E15120">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E15120">
        <w:rPr>
          <w:rFonts w:ascii="Palatino Linotype" w:eastAsia="Palatino Linotype" w:hAnsi="Palatino Linotype" w:cs="Palatino Linotype"/>
          <w:b/>
          <w:bCs/>
          <w:color w:val="000000"/>
        </w:rPr>
        <w:t>SUJETO OBLIGADO y</w:t>
      </w:r>
      <w:r w:rsidRPr="00E15120">
        <w:rPr>
          <w:rFonts w:ascii="Palatino Linotype" w:eastAsia="Palatino Linotype" w:hAnsi="Palatino Linotype" w:cs="Palatino Linotype"/>
          <w:color w:val="000000"/>
        </w:rPr>
        <w:t xml:space="preserve"> las manifestaciones realizadas por el </w:t>
      </w:r>
      <w:r w:rsidRPr="00E15120">
        <w:rPr>
          <w:rFonts w:ascii="Palatino Linotype" w:eastAsia="Palatino Linotype" w:hAnsi="Palatino Linotype" w:cs="Palatino Linotype"/>
          <w:b/>
          <w:bCs/>
        </w:rPr>
        <w:t>SOLICITANTE</w:t>
      </w:r>
      <w:r w:rsidRPr="00E15120">
        <w:rPr>
          <w:rFonts w:ascii="Palatino Linotype" w:eastAsia="Palatino Linotype" w:hAnsi="Palatino Linotype" w:cs="Palatino Linotype"/>
          <w:b/>
          <w:bCs/>
          <w:color w:val="000000"/>
        </w:rPr>
        <w:t xml:space="preserve"> </w:t>
      </w:r>
      <w:r w:rsidRPr="00E15120">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0A2B7A" w:rsidRPr="00E15120" w:rsidRDefault="00CF249E">
      <w:pPr>
        <w:numPr>
          <w:ilvl w:val="0"/>
          <w:numId w:val="6"/>
        </w:numPr>
        <w:tabs>
          <w:tab w:val="left" w:pos="0"/>
          <w:tab w:val="left" w:pos="567"/>
        </w:tabs>
        <w:spacing w:after="240" w:line="360" w:lineRule="auto"/>
        <w:ind w:left="0" w:firstLine="0"/>
        <w:jc w:val="both"/>
        <w:rPr>
          <w:rFonts w:ascii="Palatino Linotype" w:eastAsia="Palatino Linotype" w:hAnsi="Palatino Linotype" w:cs="Palatino Linotype"/>
        </w:rPr>
      </w:pPr>
      <w:r w:rsidRPr="00E15120">
        <w:rPr>
          <w:rFonts w:ascii="Palatino Linotype" w:eastAsia="Palatino Linotype" w:hAnsi="Palatino Linotype" w:cs="Palatino Linotype"/>
        </w:rPr>
        <w:t xml:space="preserve">Para efectos de estudio, se agrega el siguiente cuadro en el que se advierte la solicitud del Recurrente y la respuesta del Sujeto Obligado, tomando en consideración que la inconformidad del Recurrente es la entrega de información incompleta y que ratificó su respuesta en informe justificado: </w:t>
      </w:r>
    </w:p>
    <w:p w:rsidR="000A2B7A" w:rsidRPr="00E15120" w:rsidRDefault="000A2B7A">
      <w:pPr>
        <w:spacing w:line="360" w:lineRule="auto"/>
        <w:jc w:val="both"/>
        <w:rPr>
          <w:rFonts w:ascii="Palatino Linotype" w:eastAsia="Palatino Linotype" w:hAnsi="Palatino Linotype" w:cs="Palatino Linotype"/>
          <w:i/>
          <w:iCs/>
        </w:rPr>
      </w:pPr>
    </w:p>
    <w:p w:rsidR="000A2B7A" w:rsidRPr="00E15120" w:rsidRDefault="000A2B7A">
      <w:pPr>
        <w:spacing w:line="360" w:lineRule="auto"/>
        <w:jc w:val="both"/>
        <w:rPr>
          <w:rFonts w:ascii="Palatino Linotype" w:eastAsia="Palatino Linotype" w:hAnsi="Palatino Linotype" w:cs="Palatino Linotype"/>
          <w:b/>
          <w:bCs/>
        </w:rPr>
      </w:pPr>
    </w:p>
    <w:p w:rsidR="000A2B7A" w:rsidRPr="00E15120" w:rsidRDefault="000A2B7A">
      <w:pPr>
        <w:spacing w:line="360" w:lineRule="auto"/>
        <w:jc w:val="both"/>
        <w:rPr>
          <w:rFonts w:ascii="Palatino Linotype" w:eastAsia="Palatino Linotype" w:hAnsi="Palatino Linotype" w:cs="Palatino Linotype"/>
          <w:b/>
          <w:bCs/>
        </w:rPr>
      </w:pPr>
    </w:p>
    <w:tbl>
      <w:tblPr>
        <w:tblStyle w:val="a1"/>
        <w:tblW w:w="10060"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256"/>
        <w:gridCol w:w="3543"/>
        <w:gridCol w:w="3261"/>
      </w:tblGrid>
      <w:tr w:rsidR="000A2B7A" w:rsidRPr="00E15120" w:rsidTr="00E151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0A2B7A" w:rsidRPr="00E15120" w:rsidRDefault="00CF249E" w:rsidP="00E15120">
            <w:pPr>
              <w:jc w:val="center"/>
              <w:rPr>
                <w:rFonts w:ascii="Palatino Linotype" w:eastAsia="Palatino Linotype" w:hAnsi="Palatino Linotype" w:cs="Palatino Linotype"/>
              </w:rPr>
            </w:pPr>
            <w:r w:rsidRPr="00E15120">
              <w:rPr>
                <w:rFonts w:ascii="Palatino Linotype" w:eastAsia="Palatino Linotype" w:hAnsi="Palatino Linotype" w:cs="Palatino Linotype"/>
                <w:b w:val="0"/>
                <w:bCs w:val="0"/>
              </w:rPr>
              <w:lastRenderedPageBreak/>
              <w:t>SOLICITUD</w:t>
            </w:r>
          </w:p>
        </w:tc>
        <w:tc>
          <w:tcPr>
            <w:tcW w:w="3543" w:type="dxa"/>
          </w:tcPr>
          <w:p w:rsidR="000A2B7A" w:rsidRPr="00E15120" w:rsidRDefault="00CF249E" w:rsidP="00E15120">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b w:val="0"/>
                <w:bCs w:val="0"/>
              </w:rPr>
              <w:t>RESPUESTA</w:t>
            </w:r>
          </w:p>
        </w:tc>
        <w:tc>
          <w:tcPr>
            <w:tcW w:w="3261" w:type="dxa"/>
          </w:tcPr>
          <w:p w:rsidR="000A2B7A" w:rsidRPr="00E15120" w:rsidRDefault="00CF249E" w:rsidP="00E15120">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b w:val="0"/>
                <w:bCs w:val="0"/>
              </w:rPr>
              <w:t>OBSERVACIONES</w:t>
            </w:r>
          </w:p>
        </w:tc>
      </w:tr>
      <w:tr w:rsidR="000A2B7A" w:rsidRPr="00E15120" w:rsidTr="00E15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0A2B7A" w:rsidRPr="00E15120" w:rsidRDefault="00CF249E">
            <w:pPr>
              <w:jc w:val="both"/>
              <w:rPr>
                <w:rFonts w:ascii="Palatino Linotype" w:eastAsia="Palatino Linotype" w:hAnsi="Palatino Linotype" w:cs="Palatino Linotype"/>
              </w:rPr>
            </w:pPr>
            <w:r w:rsidRPr="00E15120">
              <w:rPr>
                <w:rFonts w:ascii="Palatino Linotype" w:eastAsia="Palatino Linotype" w:hAnsi="Palatino Linotype" w:cs="Palatino Linotype"/>
                <w:b w:val="0"/>
                <w:bCs w:val="0"/>
              </w:rPr>
              <w:t>1. Descripción detallada de los programas, servicios o apoyos que ofrece el DIF Municipal para adultos mayores.</w:t>
            </w:r>
          </w:p>
        </w:tc>
        <w:tc>
          <w:tcPr>
            <w:tcW w:w="3543" w:type="dxa"/>
          </w:tcPr>
          <w:p w:rsidR="000A2B7A" w:rsidRPr="00E15120" w:rsidRDefault="00CF249E">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En el cuadro que remitió comprende el apartado de descripción de los programas, en el que se advierten 6 programas</w:t>
            </w: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3261" w:type="dxa"/>
          </w:tcPr>
          <w:p w:rsidR="000A2B7A" w:rsidRPr="00E15120" w:rsidRDefault="00CF249E">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COLMA</w:t>
            </w: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0A2B7A" w:rsidRPr="00E15120" w:rsidRDefault="00CF249E">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 xml:space="preserve">No se puede dudar de la veracidad de la información remitida </w:t>
            </w:r>
          </w:p>
        </w:tc>
      </w:tr>
      <w:tr w:rsidR="000A2B7A" w:rsidRPr="00E15120" w:rsidTr="00E15120">
        <w:tc>
          <w:tcPr>
            <w:cnfStyle w:val="001000000000" w:firstRow="0" w:lastRow="0" w:firstColumn="1" w:lastColumn="0" w:oddVBand="0" w:evenVBand="0" w:oddHBand="0" w:evenHBand="0" w:firstRowFirstColumn="0" w:firstRowLastColumn="0" w:lastRowFirstColumn="0" w:lastRowLastColumn="0"/>
            <w:tcW w:w="3256" w:type="dxa"/>
          </w:tcPr>
          <w:p w:rsidR="000A2B7A" w:rsidRPr="00E15120" w:rsidRDefault="00CF249E">
            <w:pPr>
              <w:jc w:val="both"/>
              <w:rPr>
                <w:rFonts w:ascii="Palatino Linotype" w:eastAsia="Palatino Linotype" w:hAnsi="Palatino Linotype" w:cs="Palatino Linotype"/>
              </w:rPr>
            </w:pPr>
            <w:r w:rsidRPr="00E15120">
              <w:rPr>
                <w:rFonts w:ascii="Palatino Linotype" w:eastAsia="Palatino Linotype" w:hAnsi="Palatino Linotype" w:cs="Palatino Linotype"/>
                <w:b w:val="0"/>
                <w:bCs w:val="0"/>
              </w:rPr>
              <w:t>2. Número de beneficiarios atendidos durante este periodo, incluyendo su distribución por comunidades o colonias.</w:t>
            </w:r>
          </w:p>
          <w:p w:rsidR="000A2B7A" w:rsidRPr="00E15120" w:rsidRDefault="000A2B7A">
            <w:pPr>
              <w:jc w:val="both"/>
              <w:rPr>
                <w:rFonts w:ascii="Palatino Linotype" w:eastAsia="Palatino Linotype" w:hAnsi="Palatino Linotype" w:cs="Palatino Linotype"/>
              </w:rPr>
            </w:pPr>
          </w:p>
        </w:tc>
        <w:tc>
          <w:tcPr>
            <w:tcW w:w="3543" w:type="dxa"/>
          </w:tcPr>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Se remitieron diversas ligas electrónicas.</w:t>
            </w:r>
          </w:p>
        </w:tc>
        <w:tc>
          <w:tcPr>
            <w:tcW w:w="3261" w:type="dxa"/>
          </w:tcPr>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NO COLMA</w:t>
            </w:r>
          </w:p>
          <w:p w:rsidR="000A2B7A" w:rsidRPr="00E15120" w:rsidRDefault="000A2B7A">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Las ligas electrónicas no están en datos abiertos.</w:t>
            </w:r>
          </w:p>
        </w:tc>
      </w:tr>
      <w:tr w:rsidR="000A2B7A" w:rsidRPr="00E15120" w:rsidTr="00E15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0A2B7A" w:rsidRPr="00E15120" w:rsidRDefault="00CF249E">
            <w:pPr>
              <w:jc w:val="both"/>
              <w:rPr>
                <w:rFonts w:ascii="Palatino Linotype" w:eastAsia="Palatino Linotype" w:hAnsi="Palatino Linotype" w:cs="Palatino Linotype"/>
              </w:rPr>
            </w:pPr>
            <w:r w:rsidRPr="00E15120">
              <w:rPr>
                <w:rFonts w:ascii="Palatino Linotype" w:eastAsia="Palatino Linotype" w:hAnsi="Palatino Linotype" w:cs="Palatino Linotype"/>
                <w:b w:val="0"/>
                <w:bCs w:val="0"/>
              </w:rPr>
              <w:t>3. Recursos económicos asignados y ejercidos específicamente para programas dirigidos a adultos mayores.</w:t>
            </w:r>
          </w:p>
          <w:p w:rsidR="000A2B7A" w:rsidRPr="00E15120" w:rsidRDefault="000A2B7A">
            <w:pPr>
              <w:jc w:val="both"/>
              <w:rPr>
                <w:rFonts w:ascii="Palatino Linotype" w:eastAsia="Palatino Linotype" w:hAnsi="Palatino Linotype" w:cs="Palatino Linotype"/>
              </w:rPr>
            </w:pPr>
          </w:p>
        </w:tc>
        <w:tc>
          <w:tcPr>
            <w:tcW w:w="3543" w:type="dxa"/>
          </w:tcPr>
          <w:p w:rsidR="000A2B7A" w:rsidRPr="00E15120" w:rsidRDefault="00CF249E">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Señaló una liga electrónicas en la que podía consultar la información.</w:t>
            </w: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c>
          <w:tcPr>
            <w:tcW w:w="3261" w:type="dxa"/>
          </w:tcPr>
          <w:p w:rsidR="000A2B7A" w:rsidRPr="00E15120" w:rsidRDefault="00CF249E">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NO COLMA</w:t>
            </w: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0A2B7A" w:rsidRPr="00E15120" w:rsidRDefault="00CF249E">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La liga electrónica no está en datos abiertos.</w:t>
            </w:r>
          </w:p>
        </w:tc>
      </w:tr>
      <w:tr w:rsidR="000A2B7A" w:rsidRPr="00E15120" w:rsidTr="00E15120">
        <w:tc>
          <w:tcPr>
            <w:cnfStyle w:val="001000000000" w:firstRow="0" w:lastRow="0" w:firstColumn="1" w:lastColumn="0" w:oddVBand="0" w:evenVBand="0" w:oddHBand="0" w:evenHBand="0" w:firstRowFirstColumn="0" w:firstRowLastColumn="0" w:lastRowFirstColumn="0" w:lastRowLastColumn="0"/>
            <w:tcW w:w="3256" w:type="dxa"/>
          </w:tcPr>
          <w:p w:rsidR="000A2B7A" w:rsidRPr="00E15120" w:rsidRDefault="00CF249E">
            <w:pPr>
              <w:jc w:val="both"/>
              <w:rPr>
                <w:rFonts w:ascii="Palatino Linotype" w:eastAsia="Palatino Linotype" w:hAnsi="Palatino Linotype" w:cs="Palatino Linotype"/>
              </w:rPr>
            </w:pPr>
            <w:r w:rsidRPr="00E15120">
              <w:rPr>
                <w:rFonts w:ascii="Palatino Linotype" w:eastAsia="Palatino Linotype" w:hAnsi="Palatino Linotype" w:cs="Palatino Linotype"/>
                <w:b w:val="0"/>
                <w:bCs w:val="0"/>
              </w:rPr>
              <w:t>4. Actividades de capacitación, talleres o eventos organizados para mejorar la calidad de vida de los adultos mayores.</w:t>
            </w:r>
          </w:p>
          <w:p w:rsidR="000A2B7A" w:rsidRPr="00E15120" w:rsidRDefault="000A2B7A">
            <w:pPr>
              <w:jc w:val="both"/>
              <w:rPr>
                <w:rFonts w:ascii="Palatino Linotype" w:eastAsia="Palatino Linotype" w:hAnsi="Palatino Linotype" w:cs="Palatino Linotype"/>
              </w:rPr>
            </w:pPr>
          </w:p>
        </w:tc>
        <w:tc>
          <w:tcPr>
            <w:tcW w:w="3543" w:type="dxa"/>
          </w:tcPr>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Señaló de forma general quien imparte las capacitaciones, la forma en que se programan.</w:t>
            </w:r>
          </w:p>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 xml:space="preserve">Por lo que se refiere al programa de apoyos funcionales, señaló que no se imparte capacitación. </w:t>
            </w:r>
          </w:p>
          <w:p w:rsidR="000A2B7A" w:rsidRPr="00E15120" w:rsidRDefault="000A2B7A">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3261" w:type="dxa"/>
          </w:tcPr>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 xml:space="preserve">COLMA DE FORMA PARCIAL. </w:t>
            </w:r>
          </w:p>
          <w:p w:rsidR="000A2B7A" w:rsidRPr="00E15120" w:rsidRDefault="000A2B7A">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No señaló cuales son los talleres de capacitación.</w:t>
            </w:r>
          </w:p>
        </w:tc>
      </w:tr>
      <w:tr w:rsidR="000A2B7A" w:rsidRPr="00E15120" w:rsidTr="00E15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0A2B7A" w:rsidRPr="00E15120" w:rsidRDefault="00CF249E">
            <w:pPr>
              <w:jc w:val="both"/>
              <w:rPr>
                <w:rFonts w:ascii="Palatino Linotype" w:eastAsia="Palatino Linotype" w:hAnsi="Palatino Linotype" w:cs="Palatino Linotype"/>
              </w:rPr>
            </w:pPr>
            <w:r w:rsidRPr="00E15120">
              <w:rPr>
                <w:rFonts w:ascii="Palatino Linotype" w:eastAsia="Palatino Linotype" w:hAnsi="Palatino Linotype" w:cs="Palatino Linotype"/>
                <w:b w:val="0"/>
                <w:bCs w:val="0"/>
              </w:rPr>
              <w:t>5. Información sobre convenios o alianzas con otras instituciones para apoyar a esta población.</w:t>
            </w:r>
          </w:p>
          <w:p w:rsidR="000A2B7A" w:rsidRPr="00E15120" w:rsidRDefault="000A2B7A">
            <w:pPr>
              <w:jc w:val="both"/>
              <w:rPr>
                <w:rFonts w:ascii="Palatino Linotype" w:eastAsia="Palatino Linotype" w:hAnsi="Palatino Linotype" w:cs="Palatino Linotype"/>
              </w:rPr>
            </w:pPr>
          </w:p>
        </w:tc>
        <w:tc>
          <w:tcPr>
            <w:tcW w:w="3543" w:type="dxa"/>
          </w:tcPr>
          <w:p w:rsidR="000A2B7A" w:rsidRPr="00E15120" w:rsidRDefault="00CF249E">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 xml:space="preserve">Por lo que se refiere al programa Operar grupos o casa de día para personas Adultas Mayores, Talleres Manualidades, Eventos dirigidos para Personas Adultas Mayores, señaló que </w:t>
            </w:r>
            <w:r w:rsidRPr="00E15120">
              <w:rPr>
                <w:rFonts w:ascii="Palatino Linotype" w:eastAsia="Palatino Linotype" w:hAnsi="Palatino Linotype" w:cs="Palatino Linotype"/>
              </w:rPr>
              <w:lastRenderedPageBreak/>
              <w:t>no se cuenta con ningún convenio de alianza.</w:t>
            </w: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0A2B7A" w:rsidRPr="00E15120" w:rsidRDefault="00CF249E">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 xml:space="preserve">Por lo que se refiere al programa Taller Alfabetización, Recorridos Turísticos, Entrega de Apoyos Funcionales tales como: Bastón de 1 punto, bastón de 4 puntos, Andador con ruedas y asiento, Silla de ruedas, Pañales, Andadera y Aparatos auditivos, señaló que no se cuenta con la información requerida ya que no es un programa perteneciente al SMDIF de Zinacantepec. </w:t>
            </w:r>
          </w:p>
        </w:tc>
        <w:tc>
          <w:tcPr>
            <w:tcW w:w="3261" w:type="dxa"/>
          </w:tcPr>
          <w:p w:rsidR="000A2B7A" w:rsidRPr="00E15120" w:rsidRDefault="00CF249E">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lastRenderedPageBreak/>
              <w:t>COLMA</w:t>
            </w: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0A2B7A" w:rsidRPr="00E15120" w:rsidRDefault="00CF249E">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 xml:space="preserve">No se puede dudar de la veracidad de la información referida en respuesta. </w:t>
            </w: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rsidR="000A2B7A" w:rsidRPr="00E15120" w:rsidRDefault="000A2B7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0A2B7A" w:rsidRPr="00E15120" w:rsidTr="00E15120">
        <w:tc>
          <w:tcPr>
            <w:cnfStyle w:val="001000000000" w:firstRow="0" w:lastRow="0" w:firstColumn="1" w:lastColumn="0" w:oddVBand="0" w:evenVBand="0" w:oddHBand="0" w:evenHBand="0" w:firstRowFirstColumn="0" w:firstRowLastColumn="0" w:lastRowFirstColumn="0" w:lastRowLastColumn="0"/>
            <w:tcW w:w="3256" w:type="dxa"/>
          </w:tcPr>
          <w:p w:rsidR="000A2B7A" w:rsidRPr="00E15120" w:rsidRDefault="00CF249E">
            <w:pPr>
              <w:jc w:val="both"/>
              <w:rPr>
                <w:rFonts w:ascii="Palatino Linotype" w:eastAsia="Palatino Linotype" w:hAnsi="Palatino Linotype" w:cs="Palatino Linotype"/>
              </w:rPr>
            </w:pPr>
            <w:r w:rsidRPr="00E15120">
              <w:rPr>
                <w:rFonts w:ascii="Palatino Linotype" w:eastAsia="Palatino Linotype" w:hAnsi="Palatino Linotype" w:cs="Palatino Linotype"/>
                <w:b w:val="0"/>
                <w:bCs w:val="0"/>
              </w:rPr>
              <w:lastRenderedPageBreak/>
              <w:t>6. Personal responsable o encargado de la atención a adultos mayores, con su perfil y funciones.</w:t>
            </w:r>
          </w:p>
          <w:p w:rsidR="000A2B7A" w:rsidRPr="00E15120" w:rsidRDefault="000A2B7A">
            <w:pPr>
              <w:jc w:val="both"/>
              <w:rPr>
                <w:rFonts w:ascii="Palatino Linotype" w:eastAsia="Palatino Linotype" w:hAnsi="Palatino Linotype" w:cs="Palatino Linotype"/>
              </w:rPr>
            </w:pPr>
          </w:p>
        </w:tc>
        <w:tc>
          <w:tcPr>
            <w:tcW w:w="3543" w:type="dxa"/>
          </w:tcPr>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Señaló que el encargado es el Titular de la Coordinación de Atención al Adulto Mayor Juana Sandoval Valdespino.</w:t>
            </w:r>
          </w:p>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Señaló una liga electrónicas en la que podía consultar la información.</w:t>
            </w:r>
          </w:p>
          <w:p w:rsidR="000A2B7A" w:rsidRPr="00E15120" w:rsidRDefault="000A2B7A">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0A2B7A" w:rsidRPr="00E15120" w:rsidRDefault="000A2B7A">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c>
          <w:tcPr>
            <w:tcW w:w="3261" w:type="dxa"/>
          </w:tcPr>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COLMA DE FORMA PARCIAL</w:t>
            </w:r>
          </w:p>
          <w:p w:rsidR="000A2B7A" w:rsidRPr="00E15120" w:rsidRDefault="000A2B7A">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rsidR="000A2B7A" w:rsidRPr="00E15120" w:rsidRDefault="00CF249E">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E15120">
              <w:rPr>
                <w:rFonts w:ascii="Palatino Linotype" w:eastAsia="Palatino Linotype" w:hAnsi="Palatino Linotype" w:cs="Palatino Linotype"/>
              </w:rPr>
              <w:t xml:space="preserve">Se señaló el responsable pero la liga electrónica para consultar el perfil y las funciones no está en datos abiertos., por lo tanto no se puede ver el perfil y funciones del personal. </w:t>
            </w:r>
          </w:p>
        </w:tc>
      </w:tr>
    </w:tbl>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E15120">
        <w:rPr>
          <w:rFonts w:ascii="Palatino Linotype" w:eastAsia="Palatino Linotype" w:hAnsi="Palatino Linotype" w:cs="Palatino Linotype"/>
          <w:b/>
          <w:bCs/>
          <w:color w:val="000000"/>
        </w:rPr>
        <w:t>De la búsqueda exhaustiva.</w:t>
      </w: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Ahora bien,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sidRPr="00E15120">
        <w:rPr>
          <w:rFonts w:ascii="Palatino Linotype" w:eastAsia="Palatino Linotype" w:hAnsi="Palatino Linotype" w:cs="Palatino Linotype"/>
          <w:i/>
          <w:iCs/>
          <w:color w:val="000000"/>
        </w:rPr>
        <w:t xml:space="preserve">en el ámbito de sus atribuciones, de promover, respetar, proteger y </w:t>
      </w:r>
      <w:r w:rsidRPr="00E15120">
        <w:rPr>
          <w:rFonts w:ascii="Palatino Linotype" w:eastAsia="Palatino Linotype" w:hAnsi="Palatino Linotype" w:cs="Palatino Linotype"/>
          <w:b/>
          <w:bCs/>
          <w:i/>
          <w:iCs/>
          <w:color w:val="000000"/>
        </w:rPr>
        <w:t>garantizar</w:t>
      </w:r>
      <w:r w:rsidRPr="00E15120">
        <w:rPr>
          <w:rFonts w:ascii="Palatino Linotype" w:eastAsia="Palatino Linotype" w:hAnsi="Palatino Linotype" w:cs="Palatino Linotype"/>
          <w:i/>
          <w:iCs/>
          <w:color w:val="000000"/>
        </w:rPr>
        <w:t xml:space="preserve"> </w:t>
      </w:r>
      <w:r w:rsidRPr="00E15120">
        <w:rPr>
          <w:rFonts w:ascii="Palatino Linotype" w:eastAsia="Palatino Linotype" w:hAnsi="Palatino Linotype" w:cs="Palatino Linotype"/>
          <w:i/>
          <w:iCs/>
          <w:color w:val="000000"/>
        </w:rPr>
        <w:lastRenderedPageBreak/>
        <w:t xml:space="preserve">los derechos humanos. </w:t>
      </w:r>
      <w:r w:rsidRPr="00E15120">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sidRPr="00E15120">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sidRPr="00E15120">
        <w:rPr>
          <w:i/>
          <w:iCs/>
          <w:color w:val="000000"/>
          <w:vertAlign w:val="superscript"/>
        </w:rPr>
        <w:footnoteReference w:id="1"/>
      </w:r>
      <w:r w:rsidRPr="00E15120">
        <w:rPr>
          <w:rFonts w:ascii="Palatino Linotype" w:eastAsia="Palatino Linotype" w:hAnsi="Palatino Linotype" w:cs="Palatino Linotype"/>
          <w:i/>
          <w:iCs/>
          <w:color w:val="000000"/>
        </w:rPr>
        <w:t xml:space="preserve">, </w:t>
      </w:r>
      <w:r w:rsidRPr="00E15120">
        <w:rPr>
          <w:rFonts w:ascii="Palatino Linotype" w:eastAsia="Palatino Linotype" w:hAnsi="Palatino Linotype" w:cs="Palatino Linotype"/>
          <w:color w:val="000000"/>
        </w:rPr>
        <w:t>asimismo establece</w:t>
      </w:r>
      <w:r w:rsidRPr="00E15120">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0A2B7A" w:rsidRPr="00E15120" w:rsidRDefault="000A2B7A">
      <w:pPr>
        <w:pBdr>
          <w:top w:val="nil"/>
          <w:left w:val="nil"/>
          <w:bottom w:val="nil"/>
          <w:right w:val="nil"/>
          <w:between w:val="nil"/>
        </w:pBdr>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0A2B7A" w:rsidRPr="00E15120" w:rsidRDefault="000A2B7A">
      <w:pPr>
        <w:pBdr>
          <w:top w:val="nil"/>
          <w:left w:val="nil"/>
          <w:bottom w:val="nil"/>
          <w:right w:val="nil"/>
          <w:between w:val="nil"/>
        </w:pBdr>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Es así que, su obligación es </w:t>
      </w:r>
      <w:r w:rsidRPr="00E15120">
        <w:rPr>
          <w:rFonts w:ascii="Palatino Linotype" w:eastAsia="Palatino Linotype" w:hAnsi="Palatino Linotype" w:cs="Palatino Linotype"/>
          <w:i/>
          <w:iCs/>
          <w:color w:val="000000"/>
        </w:rPr>
        <w:t>realizar, con efectividad, los trámites internos necesarios para la atención de las solicitudes de información</w:t>
      </w:r>
      <w:r w:rsidRPr="00E15120">
        <w:rPr>
          <w:color w:val="000000"/>
          <w:vertAlign w:val="superscript"/>
        </w:rPr>
        <w:footnoteReference w:id="2"/>
      </w:r>
      <w:r w:rsidRPr="00E15120">
        <w:rPr>
          <w:rFonts w:ascii="Palatino Linotype" w:eastAsia="Palatino Linotype" w:hAnsi="Palatino Linotype" w:cs="Palatino Linotype"/>
          <w:color w:val="000000"/>
        </w:rPr>
        <w:t>, es decir, deben otorgar respuestas concisas, contundentes y sobre todo que den la certeza de los actos que realizan.</w:t>
      </w:r>
    </w:p>
    <w:p w:rsidR="000A2B7A" w:rsidRPr="00E15120" w:rsidRDefault="000A2B7A">
      <w:pPr>
        <w:pBdr>
          <w:top w:val="nil"/>
          <w:left w:val="nil"/>
          <w:bottom w:val="nil"/>
          <w:right w:val="nil"/>
          <w:between w:val="nil"/>
        </w:pBdr>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lastRenderedPageBreak/>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 xml:space="preserve">Artículo 50. </w:t>
      </w:r>
      <w:r w:rsidRPr="00E15120">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0A2B7A" w:rsidRPr="00E15120" w:rsidRDefault="000A2B7A">
      <w:pPr>
        <w:ind w:left="567" w:right="616"/>
        <w:jc w:val="both"/>
        <w:rPr>
          <w:rFonts w:ascii="Palatino Linotype" w:eastAsia="Palatino Linotype" w:hAnsi="Palatino Linotype" w:cs="Palatino Linotype"/>
          <w:i/>
          <w:iCs/>
        </w:rPr>
      </w:pP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 xml:space="preserve">Artículo 53. </w:t>
      </w:r>
      <w:r w:rsidRPr="00E15120">
        <w:rPr>
          <w:rFonts w:ascii="Palatino Linotype" w:eastAsia="Palatino Linotype" w:hAnsi="Palatino Linotype" w:cs="Palatino Linotype"/>
          <w:i/>
          <w:iCs/>
        </w:rPr>
        <w:t>Las Unidades de Transparencia tendrán las siguientes funciones:</w:t>
      </w: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i/>
          <w:iCs/>
        </w:rPr>
        <w:t>(…)</w:t>
      </w: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II.</w:t>
      </w:r>
      <w:r w:rsidRPr="00E15120">
        <w:rPr>
          <w:rFonts w:ascii="Palatino Linotype" w:eastAsia="Palatino Linotype" w:hAnsi="Palatino Linotype" w:cs="Palatino Linotype"/>
          <w:i/>
          <w:iCs/>
        </w:rPr>
        <w:t xml:space="preserve"> Recibir, tramitar y dar respuesta a las solicitudes de acceso a la información;</w:t>
      </w: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i/>
          <w:iCs/>
        </w:rPr>
        <w:t>(…)</w:t>
      </w: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IV.</w:t>
      </w:r>
      <w:r w:rsidRPr="00E15120">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V.</w:t>
      </w:r>
      <w:r w:rsidRPr="00E15120">
        <w:rPr>
          <w:rFonts w:ascii="Palatino Linotype" w:eastAsia="Palatino Linotype" w:hAnsi="Palatino Linotype" w:cs="Palatino Linotype"/>
          <w:i/>
          <w:iCs/>
        </w:rPr>
        <w:t xml:space="preserve"> Entregar, en su caso, a los particulares la información solicitada;</w:t>
      </w: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i/>
          <w:iCs/>
        </w:rPr>
        <w:t>(…)</w:t>
      </w:r>
    </w:p>
    <w:p w:rsidR="000A2B7A" w:rsidRPr="00E15120" w:rsidRDefault="000A2B7A">
      <w:pPr>
        <w:ind w:left="567" w:right="616"/>
        <w:jc w:val="both"/>
        <w:rPr>
          <w:rFonts w:ascii="Palatino Linotype" w:eastAsia="Palatino Linotype" w:hAnsi="Palatino Linotype" w:cs="Palatino Linotype"/>
          <w:i/>
          <w:iCs/>
        </w:rPr>
      </w:pP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 xml:space="preserve">Artículo 58. </w:t>
      </w:r>
      <w:r w:rsidRPr="00E15120">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0A2B7A" w:rsidRPr="00E15120" w:rsidRDefault="000A2B7A">
      <w:pPr>
        <w:ind w:left="567" w:right="616"/>
        <w:jc w:val="both"/>
        <w:rPr>
          <w:rFonts w:ascii="Palatino Linotype" w:eastAsia="Palatino Linotype" w:hAnsi="Palatino Linotype" w:cs="Palatino Linotype"/>
          <w:i/>
          <w:iCs/>
        </w:rPr>
      </w:pP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 xml:space="preserve">Artículo 59. </w:t>
      </w:r>
      <w:r w:rsidRPr="00E15120">
        <w:rPr>
          <w:rFonts w:ascii="Palatino Linotype" w:eastAsia="Palatino Linotype" w:hAnsi="Palatino Linotype" w:cs="Palatino Linotype"/>
          <w:i/>
          <w:iCs/>
        </w:rPr>
        <w:t>Los servidores públicos habilitados tendrán las funciones siguientes:</w:t>
      </w:r>
    </w:p>
    <w:p w:rsidR="000A2B7A" w:rsidRPr="00E15120" w:rsidRDefault="000A2B7A">
      <w:pPr>
        <w:ind w:left="567" w:right="616"/>
        <w:jc w:val="both"/>
        <w:rPr>
          <w:rFonts w:ascii="Palatino Linotype" w:eastAsia="Palatino Linotype" w:hAnsi="Palatino Linotype" w:cs="Palatino Linotype"/>
          <w:i/>
          <w:iCs/>
        </w:rPr>
      </w:pP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I.</w:t>
      </w:r>
      <w:r w:rsidRPr="00E15120">
        <w:rPr>
          <w:rFonts w:ascii="Palatino Linotype" w:eastAsia="Palatino Linotype" w:hAnsi="Palatino Linotype" w:cs="Palatino Linotype"/>
          <w:i/>
          <w:iCs/>
        </w:rPr>
        <w:t xml:space="preserve"> Localizar la información que le solicite la Unidad de Transparencia;</w:t>
      </w: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II.</w:t>
      </w:r>
      <w:r w:rsidRPr="00E15120">
        <w:rPr>
          <w:rFonts w:ascii="Palatino Linotype" w:eastAsia="Palatino Linotype" w:hAnsi="Palatino Linotype" w:cs="Palatino Linotype"/>
          <w:i/>
          <w:iCs/>
        </w:rPr>
        <w:t xml:space="preserve"> Proporcionar la información que obre en los archivos y que le sea solicitada por la Unidad de Transparencia;</w:t>
      </w: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i/>
          <w:iCs/>
        </w:rPr>
        <w:t>(...)</w:t>
      </w:r>
    </w:p>
    <w:p w:rsidR="000A2B7A" w:rsidRPr="00E15120" w:rsidRDefault="000A2B7A">
      <w:pPr>
        <w:ind w:left="567" w:right="616"/>
        <w:jc w:val="both"/>
        <w:rPr>
          <w:rFonts w:ascii="Palatino Linotype" w:eastAsia="Palatino Linotype" w:hAnsi="Palatino Linotype" w:cs="Palatino Linotype"/>
          <w:i/>
          <w:iCs/>
        </w:rPr>
      </w:pPr>
    </w:p>
    <w:p w:rsidR="000A2B7A" w:rsidRPr="00E15120" w:rsidRDefault="00CF249E">
      <w:pPr>
        <w:ind w:left="567" w:right="616"/>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 xml:space="preserve">Artículo 162. </w:t>
      </w:r>
      <w:r w:rsidRPr="00E15120">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0A2B7A" w:rsidRPr="00E15120" w:rsidRDefault="000A2B7A">
      <w:pPr>
        <w:spacing w:line="360" w:lineRule="auto"/>
        <w:jc w:val="both"/>
        <w:rPr>
          <w:rFonts w:ascii="Palatino Linotype" w:eastAsia="Palatino Linotype" w:hAnsi="Palatino Linotype" w:cs="Palatino Linotype"/>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w:t>
      </w:r>
      <w:r w:rsidRPr="00E15120">
        <w:rPr>
          <w:rFonts w:ascii="Palatino Linotype" w:eastAsia="Palatino Linotype" w:hAnsi="Palatino Linotype" w:cs="Palatino Linotype"/>
          <w:color w:val="000000"/>
        </w:rPr>
        <w:lastRenderedPageBreak/>
        <w:t>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En el caso que se resuelve, la respuesta fue emitida por el Tesorero Municipal y la Coordinadora de Atención al Adulto Mayor quienes tienen atribuciones para generar, poseer o administrar la información solicitada. </w:t>
      </w:r>
    </w:p>
    <w:p w:rsidR="000A2B7A" w:rsidRPr="00E15120" w:rsidRDefault="000A2B7A">
      <w:pPr>
        <w:pBdr>
          <w:top w:val="nil"/>
          <w:left w:val="nil"/>
          <w:bottom w:val="nil"/>
          <w:right w:val="nil"/>
          <w:between w:val="nil"/>
        </w:pBdr>
        <w:ind w:left="720"/>
        <w:rPr>
          <w:rFonts w:ascii="Palatino Linotype" w:eastAsia="Palatino Linotype" w:hAnsi="Palatino Linotype" w:cs="Palatino Linotype"/>
          <w:color w:val="000000"/>
        </w:rPr>
      </w:pPr>
    </w:p>
    <w:p w:rsidR="000A2B7A" w:rsidRPr="00E15120" w:rsidRDefault="00CF249E">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E15120">
        <w:rPr>
          <w:rFonts w:ascii="Palatino Linotype" w:eastAsia="Palatino Linotype" w:hAnsi="Palatino Linotype" w:cs="Palatino Linotype"/>
          <w:b/>
          <w:bCs/>
          <w:color w:val="000000"/>
        </w:rPr>
        <w:t xml:space="preserve">De la información contenida en ligas electrónicas. </w:t>
      </w:r>
    </w:p>
    <w:p w:rsidR="000A2B7A" w:rsidRPr="00E15120" w:rsidRDefault="00CF249E">
      <w:pPr>
        <w:numPr>
          <w:ilvl w:val="0"/>
          <w:numId w:val="6"/>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Ahora bien,  la Ley en la materia en términos generales, establece que como uno de los objetivos con el que cuenta es el de garantizar a toda persona el derecho de acceso a la información pública, mediante los procedimientos establecidos de forma </w:t>
      </w:r>
      <w:r w:rsidRPr="00E15120">
        <w:rPr>
          <w:rFonts w:ascii="Palatino Linotype" w:eastAsia="Palatino Linotype" w:hAnsi="Palatino Linotype" w:cs="Palatino Linotype"/>
          <w:b/>
          <w:bCs/>
          <w:color w:val="000000"/>
        </w:rPr>
        <w:t>sencilla</w:t>
      </w:r>
      <w:r w:rsidRPr="00E15120">
        <w:rPr>
          <w:rFonts w:ascii="Palatino Linotype" w:eastAsia="Palatino Linotype" w:hAnsi="Palatino Linotype" w:cs="Palatino Linotype"/>
          <w:color w:val="000000"/>
        </w:rPr>
        <w:t xml:space="preserve">, expeditos, </w:t>
      </w:r>
      <w:r w:rsidRPr="00E15120">
        <w:rPr>
          <w:rFonts w:ascii="Palatino Linotype" w:eastAsia="Palatino Linotype" w:hAnsi="Palatino Linotype" w:cs="Palatino Linotype"/>
          <w:b/>
          <w:bCs/>
          <w:color w:val="000000"/>
        </w:rPr>
        <w:t>oportunos</w:t>
      </w:r>
      <w:r w:rsidRPr="00E15120">
        <w:rPr>
          <w:rFonts w:ascii="Palatino Linotype" w:eastAsia="Palatino Linotype" w:hAnsi="Palatino Linotype" w:cs="Palatino Linotype"/>
          <w:color w:val="000000"/>
        </w:rPr>
        <w:t xml:space="preserve"> y gratuitos, y con ello contribuir a la mejora de procedimientos y mecanismos que permitan trasparentar la gestión pública y mejora la toma decisiones, a través de la difusión de la información que obra en poder de los sujeto obligados.</w:t>
      </w:r>
    </w:p>
    <w:p w:rsidR="000A2B7A" w:rsidRPr="00E15120" w:rsidRDefault="000A2B7A">
      <w:pPr>
        <w:spacing w:line="360" w:lineRule="auto"/>
        <w:ind w:right="49"/>
        <w:jc w:val="both"/>
        <w:rPr>
          <w:rFonts w:ascii="Palatino Linotype" w:eastAsia="Palatino Linotype" w:hAnsi="Palatino Linotype" w:cs="Palatino Linotype"/>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lastRenderedPageBreak/>
        <w:t>El formato prediseñado para que los particulares formulen su solicitud de acceso a la información contiene opciones para seleccionar la modalidad de entrega de la información. En el presente asunto en particular, se solicitó la información a través del SAIMEX. En consecuencia, lo idóneo es que, los Sujetos Obligados proporcionen la información por el medio solicitado; no obstante, la Ley de Transparencia y Acceso</w:t>
      </w:r>
      <w:r w:rsidRPr="00E15120">
        <w:rPr>
          <w:rFonts w:ascii="Palatino Linotype" w:eastAsia="Palatino Linotype" w:hAnsi="Palatino Linotype" w:cs="Palatino Linotype"/>
          <w:b/>
          <w:bCs/>
          <w:color w:val="000000"/>
        </w:rPr>
        <w:t xml:space="preserve"> </w:t>
      </w:r>
      <w:r w:rsidRPr="00E15120">
        <w:rPr>
          <w:rFonts w:ascii="Palatino Linotype" w:eastAsia="Palatino Linotype" w:hAnsi="Palatino Linotype" w:cs="Palatino Linotype"/>
          <w:color w:val="000000"/>
        </w:rPr>
        <w:t>a la Información Pública del Estado de México y Municipios establece dos puntos importantes que impactan sobre la modalidad de entrega de la información.</w:t>
      </w:r>
    </w:p>
    <w:p w:rsidR="000A2B7A" w:rsidRPr="00E15120" w:rsidRDefault="000A2B7A">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El primer punto a analizar es que la ley en materia contempla </w:t>
      </w:r>
      <w:r w:rsidRPr="00E15120">
        <w:rPr>
          <w:rFonts w:ascii="Palatino Linotype" w:eastAsia="Palatino Linotype" w:hAnsi="Palatino Linotype" w:cs="Palatino Linotype"/>
          <w:b/>
          <w:bCs/>
          <w:color w:val="000000"/>
        </w:rPr>
        <w:t>información pública de oficio</w:t>
      </w:r>
      <w:r w:rsidRPr="00E15120">
        <w:rPr>
          <w:rFonts w:ascii="Palatino Linotype" w:eastAsia="Palatino Linotype" w:hAnsi="Palatino Linotype" w:cs="Palatino Linotype"/>
          <w:color w:val="000000"/>
        </w:rPr>
        <w:t xml:space="preserve"> que los Sujetos Obligados deben poner a disposición del público de manera permanente y actualizada de forma sencilla, precisa y entendible, en los respectivos medios electrónicos la información pública que generen, administren o posean.</w:t>
      </w:r>
    </w:p>
    <w:p w:rsidR="000A2B7A" w:rsidRPr="00E15120" w:rsidRDefault="000A2B7A">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El segundo punto a analizar y que guarda estricta relación con el punto anterior, se encuentra en el artículo 161 de la citada Ley de Transparencia Local:</w:t>
      </w:r>
    </w:p>
    <w:p w:rsidR="000A2B7A" w:rsidRPr="00E15120" w:rsidRDefault="00CF249E">
      <w:pPr>
        <w:spacing w:line="360" w:lineRule="auto"/>
        <w:ind w:left="567" w:right="567"/>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Artículo 161. Cuando la información requerida por el solicitante ya esté disponible</w:t>
      </w:r>
      <w:r w:rsidRPr="00E15120">
        <w:rPr>
          <w:rFonts w:ascii="Palatino Linotype" w:eastAsia="Palatino Linotype" w:hAnsi="Palatino Linotype" w:cs="Palatino Linotype"/>
          <w:i/>
          <w:iCs/>
        </w:rPr>
        <w:t xml:space="preserve"> al público en medios impresos, tales como libros, compendios, trípticos, registros públicos, </w:t>
      </w:r>
      <w:r w:rsidRPr="00E15120">
        <w:rPr>
          <w:rFonts w:ascii="Palatino Linotype" w:eastAsia="Palatino Linotype" w:hAnsi="Palatino Linotype" w:cs="Palatino Linotype"/>
          <w:b/>
          <w:bCs/>
          <w:i/>
          <w:iCs/>
        </w:rPr>
        <w:t xml:space="preserve">en formatos electrónicos disponibles en Internet </w:t>
      </w:r>
      <w:r w:rsidRPr="00E15120">
        <w:rPr>
          <w:rFonts w:ascii="Palatino Linotype" w:eastAsia="Palatino Linotype" w:hAnsi="Palatino Linotype" w:cs="Palatino Linotype"/>
          <w:i/>
          <w:iCs/>
        </w:rPr>
        <w:t xml:space="preserve">o en cualquier otro medio, se le hará saber por el medio requerido por el solicitante la fuente, el lugar y la forma en que puede consultar, reproducir o adquirir dicha información </w:t>
      </w:r>
      <w:r w:rsidRPr="00E15120">
        <w:rPr>
          <w:rFonts w:ascii="Palatino Linotype" w:eastAsia="Palatino Linotype" w:hAnsi="Palatino Linotype" w:cs="Palatino Linotype"/>
          <w:b/>
          <w:bCs/>
          <w:i/>
          <w:iCs/>
        </w:rPr>
        <w:t>en un plazo no mayor a cinco días hábiles</w:t>
      </w:r>
      <w:r w:rsidRPr="00E15120">
        <w:rPr>
          <w:rFonts w:ascii="Palatino Linotype" w:eastAsia="Palatino Linotype" w:hAnsi="Palatino Linotype" w:cs="Palatino Linotype"/>
          <w:i/>
          <w:iCs/>
        </w:rPr>
        <w:t xml:space="preserve">. </w:t>
      </w:r>
      <w:r w:rsidRPr="00E15120">
        <w:rPr>
          <w:rFonts w:ascii="Palatino Linotype" w:eastAsia="Palatino Linotype" w:hAnsi="Palatino Linotype" w:cs="Palatino Linotype"/>
          <w:b/>
          <w:bCs/>
          <w:i/>
          <w:iCs/>
        </w:rPr>
        <w:t>La fuente deberá ser precisa y concreta y no debe implicar que el solicitante realice una búsqueda en toda la información que se encuentre disponible</w:t>
      </w:r>
      <w:r w:rsidRPr="00E15120">
        <w:rPr>
          <w:rFonts w:ascii="Palatino Linotype" w:eastAsia="Palatino Linotype" w:hAnsi="Palatino Linotype" w:cs="Palatino Linotype"/>
          <w:i/>
          <w:iCs/>
        </w:rPr>
        <w:t>.</w:t>
      </w:r>
    </w:p>
    <w:p w:rsidR="000A2B7A" w:rsidRPr="00E15120" w:rsidRDefault="00CF249E">
      <w:pPr>
        <w:numPr>
          <w:ilvl w:val="0"/>
          <w:numId w:val="6"/>
        </w:numPr>
        <w:pBdr>
          <w:top w:val="nil"/>
          <w:left w:val="nil"/>
          <w:bottom w:val="nil"/>
          <w:right w:val="nil"/>
          <w:between w:val="nil"/>
        </w:pBdr>
        <w:tabs>
          <w:tab w:val="left" w:pos="851"/>
        </w:tabs>
        <w:spacing w:before="240" w:line="360" w:lineRule="auto"/>
        <w:ind w:left="0" w:right="49" w:firstLine="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color w:val="000000"/>
        </w:rPr>
        <w:t xml:space="preserve">Es así que, toda aquella información que sea requerida por los particulares pero que, previamente se encuentre disponible en sitios electrónicos, como puede ser de manera </w:t>
      </w:r>
      <w:r w:rsidRPr="00E15120">
        <w:rPr>
          <w:rFonts w:ascii="Palatino Linotype" w:eastAsia="Palatino Linotype" w:hAnsi="Palatino Linotype" w:cs="Palatino Linotype"/>
          <w:color w:val="000000"/>
        </w:rPr>
        <w:lastRenderedPageBreak/>
        <w:t>enunciativa más no limitativa, el sitio oficial del Sujeto Obligado o el portal IPOMEX o las páginas institucionales. Los Sujetos Obligado pueden indicar la dirección electrónica donde obra la información solicitada. Esta dirección electrónica debe ser precisa, de tal modo que no implique realizar una búsqueda en toda la información que ahí se encuentre. Además, debe ir acompañada del procedimiento a seguir, en caso de que la información se encuentre en distintos puntos del sitio electrónico referido.</w:t>
      </w:r>
    </w:p>
    <w:p w:rsidR="000A2B7A" w:rsidRPr="00E15120" w:rsidRDefault="000A2B7A">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i/>
          <w:iCs/>
          <w:color w:val="000000"/>
        </w:rPr>
      </w:pPr>
    </w:p>
    <w:p w:rsidR="000A2B7A" w:rsidRPr="00E15120" w:rsidRDefault="00CF249E">
      <w:pPr>
        <w:numPr>
          <w:ilvl w:val="0"/>
          <w:numId w:val="6"/>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color w:val="000000"/>
        </w:rPr>
        <w:t>La orientación</w:t>
      </w:r>
      <w:r w:rsidRPr="00E15120">
        <w:rPr>
          <w:rFonts w:ascii="Palatino Linotype" w:eastAsia="Palatino Linotype" w:hAnsi="Palatino Linotype" w:cs="Palatino Linotype"/>
          <w:color w:val="000000"/>
        </w:rPr>
        <w:t xml:space="preserve"> que realicen los Sujetos Obligados a los sitios electrónicos para la consulta de la información </w:t>
      </w:r>
      <w:r w:rsidRPr="00E15120">
        <w:rPr>
          <w:rFonts w:ascii="Palatino Linotype" w:eastAsia="Palatino Linotype" w:hAnsi="Palatino Linotype" w:cs="Palatino Linotype"/>
          <w:b/>
          <w:bCs/>
          <w:color w:val="000000"/>
        </w:rPr>
        <w:t>debe cumplir con las características de tiempo y forma.</w:t>
      </w:r>
      <w:r w:rsidRPr="00E15120">
        <w:rPr>
          <w:rFonts w:ascii="Palatino Linotype" w:eastAsia="Palatino Linotype" w:hAnsi="Palatino Linotype" w:cs="Palatino Linotype"/>
          <w:i/>
          <w:iCs/>
          <w:color w:val="000000"/>
        </w:rPr>
        <w:t xml:space="preserve"> </w:t>
      </w:r>
      <w:r w:rsidRPr="00E15120">
        <w:rPr>
          <w:rFonts w:ascii="Palatino Linotype" w:eastAsia="Palatino Linotype" w:hAnsi="Palatino Linotype" w:cs="Palatino Linotype"/>
          <w:color w:val="000000"/>
        </w:rPr>
        <w:t xml:space="preserve">Ahora bien, la normatividad en materia establece que las direcciones electrónicas deben ser precisas, de tal modo que no implique que el Recurrente deba de realizar una búsqueda dentro de toda la información disponible. En este caso, el Sujeto Obligado adjuntó cuatro ligas electrónicas en las que señaló que se podía consultar la información solicitada, sin embargo, estas no se encuentran en datos abiertos. </w:t>
      </w:r>
    </w:p>
    <w:p w:rsidR="000A2B7A" w:rsidRPr="00E15120" w:rsidRDefault="000A2B7A">
      <w:pPr>
        <w:pBdr>
          <w:top w:val="nil"/>
          <w:left w:val="nil"/>
          <w:bottom w:val="nil"/>
          <w:right w:val="nil"/>
          <w:between w:val="nil"/>
        </w:pBdr>
        <w:ind w:left="720"/>
        <w:rPr>
          <w:rFonts w:ascii="Palatino Linotype" w:eastAsia="Palatino Linotype" w:hAnsi="Palatino Linotype" w:cs="Palatino Linotype"/>
          <w:i/>
          <w:iCs/>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222222"/>
        </w:rPr>
        <w:t>En ese sentido, es oportuno mencionar lo que debemos entender por datos abiertos, siendo estos los datos digitales de carácter público que pueden ser usados, reutilizados y redistribuidos por cualquier interesado y que tienen como característica ser accesibles, integrales, gratuitos, no discriminatorios, oportunos, permanentes, primarios, legibles por las máquinas, en formatos abiertos y de libre uso.  En este mismo sentido, nuestra Ley de Transparencia y Acceso a la Información Pública del Estado de México y Municipios, expresa en su artículo 3, de manera textual lo siguiente:</w:t>
      </w:r>
    </w:p>
    <w:p w:rsidR="000A2B7A" w:rsidRPr="00E15120" w:rsidRDefault="000A2B7A">
      <w:pPr>
        <w:pBdr>
          <w:top w:val="nil"/>
          <w:left w:val="nil"/>
          <w:bottom w:val="nil"/>
          <w:right w:val="nil"/>
          <w:between w:val="nil"/>
        </w:pBdr>
        <w:shd w:val="clear" w:color="auto" w:fill="FFFFFF"/>
        <w:ind w:left="360"/>
        <w:jc w:val="both"/>
        <w:rPr>
          <w:rFonts w:ascii="Palatino Linotype" w:eastAsia="Palatino Linotype" w:hAnsi="Palatino Linotype" w:cs="Palatino Linotype"/>
          <w:color w:val="222222"/>
        </w:rPr>
      </w:pP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b/>
          <w:bCs/>
          <w:i/>
          <w:iCs/>
          <w:color w:val="222222"/>
        </w:rPr>
        <w:lastRenderedPageBreak/>
        <w:t>“VIII. Datos abiertos: Los datos digitales de carácter público que son accesibles en línea que pueden ser usados, reutilizados y redistribuidos por cualquier interesado y que tienen las siguientes características:</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i/>
          <w:iCs/>
          <w:color w:val="222222"/>
        </w:rPr>
        <w:t>a) Accesibles: Los datos están disponibles para la gama más amplia de usuarios, para cualquier propósito;</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i/>
          <w:iCs/>
          <w:color w:val="222222"/>
        </w:rPr>
        <w:t>b) Integrales: Contienen el tema que describen a detalle y con los metadatos necesarios;</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i/>
          <w:iCs/>
          <w:color w:val="222222"/>
        </w:rPr>
        <w:t>c) Gratuitos: Se obtienen sin entregar a cambio contraprestación alguna;</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i/>
          <w:iCs/>
          <w:color w:val="222222"/>
        </w:rPr>
        <w:t>d) No discriminatorios: Los datos están disponibles para cualquier persona, sin necesidad de registro;</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i/>
          <w:iCs/>
          <w:color w:val="222222"/>
        </w:rPr>
        <w:t>e) Oportunos: Son actualizados, periódicamente, conforme se generen;</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i/>
          <w:iCs/>
          <w:color w:val="222222"/>
        </w:rPr>
        <w:t>f) Permanentes: Se conservan en el tiempo, para lo cual, las versiones históricas relevantes para uso público se mantendrán disponibles con identificadores adecuados al efecto;</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i/>
          <w:iCs/>
          <w:color w:val="222222"/>
        </w:rPr>
        <w:t>g) Primarios: Provienen de la fuente de origen con el máximo nivel de desagregación posible;</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i/>
          <w:iCs/>
          <w:color w:val="222222"/>
        </w:rPr>
        <w:t>h) Legibles por máquinas: Deberán estar estructurados, total o parcialmente, para ser procesados e interpretados por equipos electrónicos de manera automática;</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b/>
          <w:bCs/>
          <w:i/>
          <w:iCs/>
          <w:color w:val="222222"/>
        </w:rPr>
        <w:t>i) En formatos abiertos: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w:t>
      </w:r>
      <w:r w:rsidRPr="00E15120">
        <w:rPr>
          <w:rFonts w:ascii="Palatino Linotype" w:eastAsia="Palatino Linotype" w:hAnsi="Palatino Linotype" w:cs="Palatino Linotype"/>
          <w:i/>
          <w:iCs/>
          <w:color w:val="222222"/>
        </w:rPr>
        <w:t>; y</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i/>
          <w:iCs/>
          <w:color w:val="222222"/>
        </w:rPr>
        <w:t>j) De libre uso: Citan la fuente de origen como único requerimiento para ser utilizados libremente.</w:t>
      </w:r>
    </w:p>
    <w:p w:rsidR="000A2B7A" w:rsidRPr="00E15120" w:rsidRDefault="00CF249E">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i/>
          <w:iCs/>
          <w:color w:val="222222"/>
        </w:rPr>
      </w:pPr>
      <w:r w:rsidRPr="00E15120">
        <w:rPr>
          <w:rFonts w:ascii="Palatino Linotype" w:eastAsia="Palatino Linotype" w:hAnsi="Palatino Linotype" w:cs="Palatino Linotype"/>
          <w:i/>
          <w:iCs/>
          <w:color w:val="222222"/>
        </w:rPr>
        <w:t>(Énfasis añadido)</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El dispositivo legal estatal aplicable a la materia, establece en su artículo 41 que el Instituto promoverá la publicación de la información en datos abiertos y accesibles, de tal manera que este Órgano Garante se encuentra en posibilidades de ordenar al Sujeto Obligado, </w:t>
      </w:r>
      <w:r w:rsidRPr="00E15120">
        <w:rPr>
          <w:rFonts w:ascii="Palatino Linotype" w:eastAsia="Palatino Linotype" w:hAnsi="Palatino Linotype" w:cs="Palatino Linotype"/>
          <w:color w:val="000000"/>
        </w:rPr>
        <w:lastRenderedPageBreak/>
        <w:t xml:space="preserve">en caso de tener la información en formatos abiertos entregar la misma en el formato solicitado. Por lo tanto, con las ligas entregadas en respuesta, no se puede colmar el requerimiento del Recurrente a los puntos 2, 3 y 6. </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Sobre los puntos 1 y 5, el Sujeto Obligado dio respuesta y señaló los programas, así como el temas sobres la existencia de convenios o no, En ese sentido, la </w:t>
      </w:r>
      <w:r w:rsidRPr="00E15120">
        <w:rPr>
          <w:rFonts w:ascii="Palatino Linotype" w:eastAsia="Palatino Linotype" w:hAnsi="Palatino Linotype" w:cs="Palatino Linotype"/>
          <w:b/>
          <w:bCs/>
          <w:color w:val="000000"/>
        </w:rPr>
        <w:t>Ley de Transparencia y Acceso a la Información Pública del Estado de México y Municipios</w:t>
      </w:r>
      <w:r w:rsidRPr="00E15120">
        <w:rPr>
          <w:rFonts w:ascii="Palatino Linotype" w:eastAsia="Palatino Linotype" w:hAnsi="Palatino Linotype" w:cs="Palatino Linotype"/>
          <w:color w:val="000000"/>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0A2B7A" w:rsidRPr="00E15120" w:rsidRDefault="00CF249E">
      <w:pPr>
        <w:pBdr>
          <w:top w:val="nil"/>
          <w:left w:val="nil"/>
          <w:bottom w:val="nil"/>
          <w:right w:val="nil"/>
          <w:between w:val="nil"/>
        </w:pBdr>
        <w:ind w:left="851"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 xml:space="preserve">“Artículo 4.- </w:t>
      </w:r>
    </w:p>
    <w:p w:rsidR="000A2B7A" w:rsidRPr="00E15120" w:rsidRDefault="00CF249E">
      <w:pPr>
        <w:pBdr>
          <w:top w:val="nil"/>
          <w:left w:val="nil"/>
          <w:bottom w:val="nil"/>
          <w:right w:val="nil"/>
          <w:between w:val="nil"/>
        </w:pBdr>
        <w:ind w:left="851"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w:t>
      </w:r>
    </w:p>
    <w:p w:rsidR="000A2B7A" w:rsidRPr="00E15120" w:rsidRDefault="00CF249E">
      <w:pPr>
        <w:pBdr>
          <w:top w:val="nil"/>
          <w:left w:val="nil"/>
          <w:bottom w:val="nil"/>
          <w:right w:val="nil"/>
          <w:between w:val="nil"/>
        </w:pBdr>
        <w:ind w:left="851"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0A2B7A" w:rsidRPr="00E15120" w:rsidRDefault="00CF249E">
      <w:pPr>
        <w:pBdr>
          <w:top w:val="nil"/>
          <w:left w:val="nil"/>
          <w:bottom w:val="nil"/>
          <w:right w:val="nil"/>
          <w:between w:val="nil"/>
        </w:pBdr>
        <w:ind w:left="851" w:right="822"/>
        <w:jc w:val="both"/>
        <w:rPr>
          <w:rFonts w:ascii="Palatino Linotype" w:eastAsia="Palatino Linotype" w:hAnsi="Palatino Linotype" w:cs="Palatino Linotype"/>
          <w:b/>
          <w:bCs/>
          <w:i/>
          <w:iCs/>
          <w:color w:val="000000"/>
        </w:rPr>
      </w:pPr>
      <w:r w:rsidRPr="00E15120">
        <w:rPr>
          <w:rFonts w:ascii="Palatino Linotype" w:eastAsia="Palatino Linotype" w:hAnsi="Palatino Linotype" w:cs="Palatino Linotype"/>
          <w:i/>
          <w:iCs/>
          <w:color w:val="000000"/>
        </w:rPr>
        <w:t>…”</w:t>
      </w:r>
    </w:p>
    <w:p w:rsidR="000A2B7A" w:rsidRPr="00E15120" w:rsidRDefault="000A2B7A">
      <w:pPr>
        <w:pBdr>
          <w:top w:val="nil"/>
          <w:left w:val="nil"/>
          <w:bottom w:val="nil"/>
          <w:right w:val="nil"/>
          <w:between w:val="nil"/>
        </w:pBdr>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Numerales que compelen al </w:t>
      </w:r>
      <w:r w:rsidRPr="00E15120">
        <w:rPr>
          <w:rFonts w:ascii="Palatino Linotype" w:eastAsia="Palatino Linotype" w:hAnsi="Palatino Linotype" w:cs="Palatino Linotype"/>
          <w:b/>
          <w:bCs/>
          <w:color w:val="000000"/>
        </w:rPr>
        <w:t>SUJETO OBLIGADO</w:t>
      </w:r>
      <w:r w:rsidRPr="00E15120">
        <w:rPr>
          <w:rFonts w:ascii="Palatino Linotype" w:eastAsia="Palatino Linotype" w:hAnsi="Palatino Linotype" w:cs="Palatino Linotype"/>
          <w:color w:val="000000"/>
        </w:rPr>
        <w:t xml:space="preserve"> a apegarse en todo momento a los criterios ya expuestos, impidiendo a este Órgano Colegiado cuestionar la veracidad de la información.</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Por otro lado, respecto al punto 4, el Sujeto Obligado señaló que de algunos programas no se imparte capacitaciones o talleres y de aquellos en los que si se imparte, señaló de forma general quien imparte las capacitaciones y la forma en que se programan, sin embargo, no señaló cuales son esos talleres, por lo tanto, la respuesta solo colma de forma parcial el </w:t>
      </w:r>
      <w:r w:rsidRPr="00E15120">
        <w:rPr>
          <w:rFonts w:ascii="Palatino Linotype" w:eastAsia="Palatino Linotype" w:hAnsi="Palatino Linotype" w:cs="Palatino Linotype"/>
          <w:color w:val="000000"/>
        </w:rPr>
        <w:lastRenderedPageBreak/>
        <w:t xml:space="preserve">requerimiento del Recurrente. Asimismo, también es necesario señalar que el Sujeto Obligado refirió que algunas de las clases, cursos o talleres son impartidos por el Gobierno del Estado, por ello no cuenta con la información solicitada, sin embargo, este Órgano Garante considera  pertinente señalar que cualquier información que involucre al Sujeto Obligado debe estar debidamente documentada, es decir, que si recibieron capacitaciones, talleres o cursos, para implementación de los programas, estos deben documentarse. </w:t>
      </w:r>
    </w:p>
    <w:p w:rsidR="000A2B7A" w:rsidRPr="00E15120" w:rsidRDefault="000A2B7A">
      <w:pPr>
        <w:pBdr>
          <w:top w:val="nil"/>
          <w:left w:val="nil"/>
          <w:bottom w:val="nil"/>
          <w:right w:val="nil"/>
          <w:between w:val="nil"/>
        </w:pBdr>
        <w:ind w:left="720"/>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No debemos perder de vista que, el derecho de acceso a la información es la </w:t>
      </w:r>
      <w:r w:rsidRPr="00E15120">
        <w:rPr>
          <w:rFonts w:ascii="Palatino Linotype" w:eastAsia="Palatino Linotype" w:hAnsi="Palatino Linotype" w:cs="Palatino Linotype"/>
          <w:i/>
          <w:iCs/>
          <w:color w:val="000000"/>
        </w:rPr>
        <w:t>igualdad de oportunidades para recibir, buscar e impartir información</w:t>
      </w:r>
      <w:r w:rsidRPr="00E15120">
        <w:rPr>
          <w:rFonts w:ascii="Palatino Linotype" w:eastAsia="Palatino Linotype" w:hAnsi="Palatino Linotype" w:cs="Palatino Linotype"/>
          <w:i/>
          <w:iCs/>
          <w:color w:val="000000"/>
          <w:vertAlign w:val="superscript"/>
        </w:rPr>
        <w:footnoteReference w:id="3"/>
      </w:r>
      <w:r w:rsidRPr="00E15120">
        <w:rPr>
          <w:rFonts w:ascii="Palatino Linotype" w:eastAsia="Palatino Linotype" w:hAnsi="Palatino Linotype" w:cs="Palatino Linotype"/>
          <w:i/>
          <w:iCs/>
          <w:color w:val="000000"/>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E15120">
        <w:rPr>
          <w:rFonts w:ascii="Palatino Linotype" w:eastAsia="Palatino Linotype" w:hAnsi="Palatino Linotype" w:cs="Palatino Linotype"/>
          <w:color w:val="000000"/>
          <w:vertAlign w:val="superscript"/>
        </w:rPr>
        <w:footnoteReference w:id="4"/>
      </w:r>
      <w:r w:rsidRPr="00E15120">
        <w:rPr>
          <w:rFonts w:ascii="Palatino Linotype" w:eastAsia="Palatino Linotype" w:hAnsi="Palatino Linotype" w:cs="Palatino Linotype"/>
          <w:i/>
          <w:iCs/>
          <w:color w:val="000000"/>
        </w:rPr>
        <w:t xml:space="preserve"> </w:t>
      </w:r>
      <w:r w:rsidRPr="00E15120">
        <w:rPr>
          <w:rFonts w:ascii="Palatino Linotype" w:eastAsia="Palatino Linotype" w:hAnsi="Palatino Linotype" w:cs="Palatino Linotype"/>
          <w:color w:val="000000"/>
        </w:rPr>
        <w:t xml:space="preserve">que se constituye como una herramienta fundamental para </w:t>
      </w:r>
      <w:r w:rsidRPr="00E15120">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sidRPr="00E15120">
        <w:rPr>
          <w:rFonts w:ascii="Palatino Linotype" w:eastAsia="Palatino Linotype" w:hAnsi="Palatino Linotype" w:cs="Palatino Linotype"/>
          <w:i/>
          <w:iCs/>
          <w:color w:val="000000"/>
          <w:vertAlign w:val="superscript"/>
        </w:rPr>
        <w:footnoteReference w:id="5"/>
      </w:r>
      <w:r w:rsidRPr="00E15120">
        <w:rPr>
          <w:rFonts w:ascii="Palatino Linotype" w:eastAsia="Palatino Linotype" w:hAnsi="Palatino Linotype" w:cs="Palatino Linotype"/>
          <w:color w:val="000000"/>
        </w:rPr>
        <w:t>fomentando</w:t>
      </w:r>
      <w:r w:rsidRPr="00E15120">
        <w:rPr>
          <w:rFonts w:ascii="Palatino Linotype" w:eastAsia="Palatino Linotype" w:hAnsi="Palatino Linotype" w:cs="Palatino Linotype"/>
          <w:i/>
          <w:iCs/>
          <w:color w:val="000000"/>
        </w:rPr>
        <w:t xml:space="preserve"> la transparencia de las actividades estatales y</w:t>
      </w:r>
      <w:r w:rsidRPr="00E15120">
        <w:rPr>
          <w:rFonts w:ascii="Palatino Linotype" w:eastAsia="Palatino Linotype" w:hAnsi="Palatino Linotype" w:cs="Palatino Linotype"/>
          <w:color w:val="000000"/>
        </w:rPr>
        <w:t xml:space="preserve"> promoviendo</w:t>
      </w:r>
      <w:r w:rsidRPr="00E15120">
        <w:rPr>
          <w:rFonts w:ascii="Palatino Linotype" w:eastAsia="Palatino Linotype" w:hAnsi="Palatino Linotype" w:cs="Palatino Linotype"/>
          <w:i/>
          <w:iCs/>
          <w:color w:val="000000"/>
        </w:rPr>
        <w:t xml:space="preserve"> la responsabilidad de los funcionarios sobre su gestión pública</w:t>
      </w:r>
      <w:r w:rsidRPr="00E15120">
        <w:rPr>
          <w:rFonts w:ascii="Palatino Linotype" w:eastAsia="Palatino Linotype" w:hAnsi="Palatino Linotype" w:cs="Palatino Linotype"/>
          <w:i/>
          <w:iCs/>
          <w:color w:val="000000"/>
          <w:vertAlign w:val="superscript"/>
        </w:rPr>
        <w:footnoteReference w:id="6"/>
      </w:r>
      <w:r w:rsidRPr="00E15120">
        <w:rPr>
          <w:rFonts w:ascii="Palatino Linotype" w:eastAsia="Palatino Linotype" w:hAnsi="Palatino Linotype" w:cs="Palatino Linotype"/>
          <w:i/>
          <w:iCs/>
          <w:color w:val="000000"/>
        </w:rPr>
        <w:t xml:space="preserve"> </w:t>
      </w:r>
      <w:r w:rsidRPr="00E15120">
        <w:rPr>
          <w:rFonts w:ascii="Palatino Linotype" w:eastAsia="Palatino Linotype" w:hAnsi="Palatino Linotype" w:cs="Palatino Linotype"/>
          <w:color w:val="000000"/>
        </w:rPr>
        <w:t>que permite</w:t>
      </w:r>
      <w:r w:rsidRPr="00E15120">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sidRPr="00E15120">
        <w:rPr>
          <w:rFonts w:ascii="Palatino Linotype" w:eastAsia="Palatino Linotype" w:hAnsi="Palatino Linotype" w:cs="Palatino Linotype"/>
          <w:i/>
          <w:iCs/>
          <w:color w:val="000000"/>
          <w:vertAlign w:val="superscript"/>
        </w:rPr>
        <w:footnoteReference w:id="7"/>
      </w:r>
      <w:r w:rsidRPr="00E15120">
        <w:rPr>
          <w:rFonts w:ascii="Palatino Linotype" w:eastAsia="Palatino Linotype" w:hAnsi="Palatino Linotype" w:cs="Palatino Linotype"/>
          <w:color w:val="000000"/>
        </w:rPr>
        <w:t xml:space="preserve"> ”</w:t>
      </w:r>
    </w:p>
    <w:p w:rsidR="000A2B7A" w:rsidRPr="00E15120" w:rsidRDefault="000A2B7A">
      <w:pPr>
        <w:pBdr>
          <w:top w:val="nil"/>
          <w:left w:val="nil"/>
          <w:bottom w:val="nil"/>
          <w:right w:val="nil"/>
          <w:between w:val="nil"/>
        </w:pBdr>
        <w:ind w:left="720"/>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lastRenderedPageBreak/>
        <w:t xml:space="preserve">El acceso a la información es un derecho humano constitucional y convencionalmente reconocido y para tal efecto el párrafo tercero del artículo primero de la Constitución Política de los Estados Unidos Mexicanos establece el deber de todas las autoridades, </w:t>
      </w:r>
      <w:r w:rsidRPr="00E15120">
        <w:rPr>
          <w:rFonts w:ascii="Palatino Linotype" w:eastAsia="Palatino Linotype" w:hAnsi="Palatino Linotype" w:cs="Palatino Linotype"/>
          <w:i/>
          <w:iCs/>
          <w:color w:val="000000"/>
        </w:rPr>
        <w:t xml:space="preserve">en el ámbito de sus atribuciones, de promover, respetar, proteger y </w:t>
      </w:r>
      <w:r w:rsidRPr="00E15120">
        <w:rPr>
          <w:rFonts w:ascii="Palatino Linotype" w:eastAsia="Palatino Linotype" w:hAnsi="Palatino Linotype" w:cs="Palatino Linotype"/>
          <w:b/>
          <w:bCs/>
          <w:i/>
          <w:iCs/>
          <w:color w:val="000000"/>
        </w:rPr>
        <w:t>garantizar</w:t>
      </w:r>
      <w:r w:rsidRPr="00E15120">
        <w:rPr>
          <w:rFonts w:ascii="Palatino Linotype" w:eastAsia="Palatino Linotype" w:hAnsi="Palatino Linotype" w:cs="Palatino Linotype"/>
          <w:i/>
          <w:iCs/>
          <w:color w:val="000000"/>
        </w:rPr>
        <w:t xml:space="preserve"> los derechos humanos. </w:t>
      </w:r>
      <w:r w:rsidRPr="00E15120">
        <w:rPr>
          <w:rFonts w:ascii="Palatino Linotype" w:eastAsia="Palatino Linotype" w:hAnsi="Palatino Linotype" w:cs="Palatino Linotype"/>
          <w:color w:val="000000"/>
        </w:rPr>
        <w:t>En cuanto al derecho de acceso a la información, la Ley de Transparencia y Acceso a la Información Pública del Estado de México y Municipios prevé establece que</w:t>
      </w:r>
      <w:r w:rsidRPr="00E15120">
        <w:rPr>
          <w:rFonts w:ascii="Palatino Linotype" w:eastAsia="Palatino Linotype" w:hAnsi="Palatino Linotype" w:cs="Palatino Linotype"/>
          <w:b/>
          <w:bCs/>
          <w:i/>
          <w:iCs/>
          <w:color w:val="000000"/>
        </w:rPr>
        <w:t xml:space="preserve"> e</w:t>
      </w:r>
      <w:r w:rsidRPr="00E15120">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sidRPr="00E15120">
        <w:rPr>
          <w:rFonts w:ascii="Palatino Linotype" w:eastAsia="Palatino Linotype" w:hAnsi="Palatino Linotype" w:cs="Palatino Linotype"/>
          <w:i/>
          <w:iCs/>
          <w:color w:val="000000"/>
          <w:vertAlign w:val="superscript"/>
        </w:rPr>
        <w:footnoteReference w:id="8"/>
      </w:r>
      <w:r w:rsidRPr="00E15120">
        <w:rPr>
          <w:rFonts w:ascii="Palatino Linotype" w:eastAsia="Palatino Linotype" w:hAnsi="Palatino Linotype" w:cs="Palatino Linotype"/>
          <w:i/>
          <w:iCs/>
          <w:color w:val="000000"/>
        </w:rPr>
        <w:t xml:space="preserve">, </w:t>
      </w:r>
      <w:r w:rsidRPr="00E15120">
        <w:rPr>
          <w:rFonts w:ascii="Palatino Linotype" w:eastAsia="Palatino Linotype" w:hAnsi="Palatino Linotype" w:cs="Palatino Linotype"/>
          <w:color w:val="000000"/>
        </w:rPr>
        <w:t>asimismo establece</w:t>
      </w:r>
      <w:r w:rsidRPr="00E15120">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E15120">
        <w:rPr>
          <w:rFonts w:ascii="Palatino Linotype" w:eastAsia="Palatino Linotype" w:hAnsi="Palatino Linotype" w:cs="Palatino Linotype"/>
          <w:b/>
          <w:bCs/>
          <w:color w:val="000000"/>
        </w:rPr>
        <w:t>los Sujetos Obligados deberán documentar todo acto que se derive del ejercicio de sus facultades, competencias o funciones,</w:t>
      </w:r>
      <w:r w:rsidRPr="00E15120">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0A2B7A" w:rsidRPr="00E15120" w:rsidRDefault="000A2B7A">
      <w:pPr>
        <w:pBdr>
          <w:top w:val="nil"/>
          <w:left w:val="nil"/>
          <w:bottom w:val="nil"/>
          <w:right w:val="nil"/>
          <w:between w:val="nil"/>
        </w:pBdr>
        <w:spacing w:line="360" w:lineRule="auto"/>
        <w:ind w:left="720"/>
        <w:rPr>
          <w:rFonts w:ascii="Palatino Linotype" w:eastAsia="Palatino Linotype" w:hAnsi="Palatino Linotype" w:cs="Palatino Linotype"/>
          <w:i/>
          <w:iCs/>
          <w:color w:val="000000"/>
        </w:rPr>
      </w:pPr>
    </w:p>
    <w:p w:rsidR="000A2B7A" w:rsidRPr="00E15120" w:rsidRDefault="00CF249E">
      <w:pPr>
        <w:numPr>
          <w:ilvl w:val="0"/>
          <w:numId w:val="6"/>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lastRenderedPageBreak/>
        <w:t>Además, debemos tomar en cuenta los artículos 4 y 12, de la Ley de Transparencia y Acceso a la Información Pública del Estado de México y Municipios, los cuales establecen lo siguiente:</w:t>
      </w:r>
    </w:p>
    <w:p w:rsidR="000A2B7A" w:rsidRPr="00E15120" w:rsidRDefault="00CF249E">
      <w:pPr>
        <w:spacing w:line="276" w:lineRule="auto"/>
        <w:ind w:left="851" w:right="822"/>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 xml:space="preserve">Artículo 4. </w:t>
      </w:r>
      <w:r w:rsidRPr="00E15120">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0A2B7A" w:rsidRPr="00E15120" w:rsidRDefault="000A2B7A">
      <w:pPr>
        <w:spacing w:line="276" w:lineRule="auto"/>
        <w:ind w:left="851" w:right="822"/>
        <w:jc w:val="both"/>
        <w:rPr>
          <w:rFonts w:ascii="Palatino Linotype" w:eastAsia="Palatino Linotype" w:hAnsi="Palatino Linotype" w:cs="Palatino Linotype"/>
          <w:i/>
          <w:iCs/>
        </w:rPr>
      </w:pPr>
    </w:p>
    <w:p w:rsidR="000A2B7A" w:rsidRPr="00E15120" w:rsidRDefault="00CF249E">
      <w:pPr>
        <w:spacing w:line="276" w:lineRule="auto"/>
        <w:ind w:left="851" w:right="822"/>
        <w:jc w:val="both"/>
        <w:rPr>
          <w:rFonts w:ascii="Palatino Linotype" w:eastAsia="Palatino Linotype" w:hAnsi="Palatino Linotype" w:cs="Palatino Linotype"/>
          <w:i/>
          <w:iCs/>
        </w:rPr>
      </w:pPr>
      <w:r w:rsidRPr="00E15120">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0A2B7A" w:rsidRPr="00E15120" w:rsidRDefault="000A2B7A">
      <w:pPr>
        <w:spacing w:line="360" w:lineRule="auto"/>
        <w:ind w:left="567" w:right="567"/>
        <w:jc w:val="both"/>
        <w:rPr>
          <w:rFonts w:ascii="Palatino Linotype" w:eastAsia="Palatino Linotype" w:hAnsi="Palatino Linotype" w:cs="Palatino Linotype"/>
          <w:i/>
          <w:iCs/>
        </w:rPr>
      </w:pPr>
    </w:p>
    <w:p w:rsidR="000A2B7A" w:rsidRPr="00E15120" w:rsidRDefault="00CF249E">
      <w:pPr>
        <w:spacing w:line="276" w:lineRule="auto"/>
        <w:ind w:left="567" w:right="567"/>
        <w:jc w:val="both"/>
        <w:rPr>
          <w:rFonts w:ascii="Palatino Linotype" w:eastAsia="Palatino Linotype" w:hAnsi="Palatino Linotype" w:cs="Palatino Linotype"/>
          <w:i/>
          <w:iCs/>
        </w:rPr>
      </w:pPr>
      <w:r w:rsidRPr="00E15120">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0A2B7A" w:rsidRPr="00E15120" w:rsidRDefault="000A2B7A">
      <w:pPr>
        <w:spacing w:line="276" w:lineRule="auto"/>
        <w:ind w:right="567"/>
        <w:jc w:val="both"/>
        <w:rPr>
          <w:rFonts w:ascii="Palatino Linotype" w:eastAsia="Palatino Linotype" w:hAnsi="Palatino Linotype" w:cs="Palatino Linotype"/>
          <w:i/>
          <w:iCs/>
          <w:color w:val="000000"/>
        </w:rPr>
      </w:pPr>
    </w:p>
    <w:p w:rsidR="000A2B7A" w:rsidRPr="00E15120" w:rsidRDefault="00CF249E">
      <w:pPr>
        <w:spacing w:line="276" w:lineRule="auto"/>
        <w:ind w:left="567" w:right="567"/>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 xml:space="preserve">Artículo 12. </w:t>
      </w:r>
      <w:r w:rsidRPr="00E15120">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0A2B7A" w:rsidRPr="00E15120" w:rsidRDefault="000A2B7A">
      <w:pPr>
        <w:spacing w:line="276" w:lineRule="auto"/>
        <w:ind w:left="567" w:right="567"/>
        <w:jc w:val="both"/>
        <w:rPr>
          <w:rFonts w:ascii="Palatino Linotype" w:eastAsia="Palatino Linotype" w:hAnsi="Palatino Linotype" w:cs="Palatino Linotype"/>
          <w:i/>
          <w:iCs/>
        </w:rPr>
      </w:pPr>
    </w:p>
    <w:p w:rsidR="000A2B7A" w:rsidRPr="00E15120" w:rsidRDefault="00CF249E">
      <w:pPr>
        <w:spacing w:line="276" w:lineRule="auto"/>
        <w:ind w:left="567" w:right="567"/>
        <w:jc w:val="both"/>
        <w:rPr>
          <w:rFonts w:ascii="Palatino Linotype" w:eastAsia="Palatino Linotype" w:hAnsi="Palatino Linotype" w:cs="Palatino Linotype"/>
          <w:i/>
          <w:iCs/>
        </w:rPr>
      </w:pPr>
      <w:r w:rsidRPr="00E15120">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w:t>
      </w:r>
      <w:r w:rsidRPr="00E15120">
        <w:rPr>
          <w:rFonts w:ascii="Palatino Linotype" w:eastAsia="Palatino Linotype" w:hAnsi="Palatino Linotype" w:cs="Palatino Linotype"/>
          <w:b/>
          <w:bCs/>
          <w:i/>
          <w:iCs/>
        </w:rPr>
        <w:t>La obligación de proporcionar información no comprende el procesamiento de la misma, ni el presentarla conforme al interés del solicitante; no estarán obligados a generarla, resumirla, efectuar cálculos o practicar investigaciones.</w:t>
      </w:r>
    </w:p>
    <w:p w:rsidR="000A2B7A" w:rsidRPr="00E15120" w:rsidRDefault="000A2B7A">
      <w:pPr>
        <w:spacing w:line="360" w:lineRule="auto"/>
        <w:ind w:left="567" w:right="567"/>
        <w:jc w:val="both"/>
        <w:rPr>
          <w:rFonts w:ascii="Palatino Linotype" w:eastAsia="Palatino Linotype" w:hAnsi="Palatino Linotype" w:cs="Palatino Linotype"/>
          <w:i/>
          <w:iCs/>
          <w:color w:val="000000"/>
        </w:rPr>
      </w:pPr>
    </w:p>
    <w:p w:rsidR="000A2B7A" w:rsidRPr="00E15120" w:rsidRDefault="00CF249E">
      <w:pPr>
        <w:numPr>
          <w:ilvl w:val="0"/>
          <w:numId w:val="6"/>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lastRenderedPageBreak/>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E15120">
        <w:rPr>
          <w:rFonts w:ascii="Palatino Linotype" w:eastAsia="Palatino Linotype" w:hAnsi="Palatino Linotype" w:cs="Palatino Linotype"/>
          <w:color w:val="000000"/>
          <w:vertAlign w:val="superscript"/>
        </w:rPr>
        <w:footnoteReference w:id="9"/>
      </w:r>
      <w:r w:rsidRPr="00E15120">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0A2B7A" w:rsidRPr="00E15120" w:rsidRDefault="000A2B7A">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0A2B7A" w:rsidRPr="00E15120" w:rsidRDefault="00CF249E">
      <w:pPr>
        <w:pBdr>
          <w:top w:val="nil"/>
          <w:left w:val="nil"/>
          <w:bottom w:val="nil"/>
          <w:right w:val="nil"/>
          <w:between w:val="nil"/>
        </w:pBdr>
        <w:tabs>
          <w:tab w:val="left" w:pos="851"/>
        </w:tabs>
        <w:spacing w:line="276" w:lineRule="auto"/>
        <w:ind w:left="851"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i/>
          <w:iCs/>
          <w:color w:val="000000"/>
        </w:rPr>
        <w:t>ACCESO A LA INFORMACIÓN. IMPLICACIÓN DEL PRINCIPIO DE MÁXIMA PUBLICIDAD EN EL DERECHO FUNDAMENTAL RELATIVO.</w:t>
      </w:r>
      <w:r w:rsidRPr="00E15120">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w:t>
      </w:r>
      <w:r w:rsidRPr="00E15120">
        <w:rPr>
          <w:rFonts w:ascii="Palatino Linotype" w:eastAsia="Palatino Linotype" w:hAnsi="Palatino Linotype" w:cs="Palatino Linotype"/>
          <w:i/>
          <w:iCs/>
          <w:color w:val="000000"/>
        </w:rPr>
        <w:lastRenderedPageBreak/>
        <w:t xml:space="preserve">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0A2B7A" w:rsidRPr="00E15120" w:rsidRDefault="000A2B7A">
      <w:pPr>
        <w:pBdr>
          <w:top w:val="nil"/>
          <w:left w:val="nil"/>
          <w:bottom w:val="nil"/>
          <w:right w:val="nil"/>
          <w:between w:val="nil"/>
        </w:pBdr>
        <w:tabs>
          <w:tab w:val="left" w:pos="851"/>
        </w:tabs>
        <w:spacing w:line="276" w:lineRule="auto"/>
        <w:ind w:left="851" w:right="822"/>
        <w:jc w:val="both"/>
        <w:rPr>
          <w:rFonts w:ascii="Palatino Linotype" w:eastAsia="Palatino Linotype" w:hAnsi="Palatino Linotype" w:cs="Palatino Linotype"/>
          <w:i/>
          <w:iCs/>
          <w:color w:val="000000"/>
        </w:rPr>
      </w:pPr>
    </w:p>
    <w:p w:rsidR="000A2B7A" w:rsidRPr="00E15120" w:rsidRDefault="00CF249E">
      <w:pPr>
        <w:pBdr>
          <w:top w:val="nil"/>
          <w:left w:val="nil"/>
          <w:bottom w:val="nil"/>
          <w:right w:val="nil"/>
          <w:between w:val="nil"/>
        </w:pBdr>
        <w:tabs>
          <w:tab w:val="left" w:pos="851"/>
        </w:tabs>
        <w:spacing w:line="276" w:lineRule="auto"/>
        <w:ind w:left="851"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 xml:space="preserve">CUARTO TRIBUNAL COLEGIADO EN MATERIA ADMINISTRATIVA DEL PRIMER CIRCUITO. </w:t>
      </w:r>
    </w:p>
    <w:p w:rsidR="000A2B7A" w:rsidRPr="00E15120" w:rsidRDefault="000A2B7A">
      <w:pPr>
        <w:pBdr>
          <w:top w:val="nil"/>
          <w:left w:val="nil"/>
          <w:bottom w:val="nil"/>
          <w:right w:val="nil"/>
          <w:between w:val="nil"/>
        </w:pBdr>
        <w:tabs>
          <w:tab w:val="left" w:pos="851"/>
        </w:tabs>
        <w:spacing w:line="276" w:lineRule="auto"/>
        <w:ind w:left="851" w:right="822"/>
        <w:jc w:val="both"/>
        <w:rPr>
          <w:rFonts w:ascii="Palatino Linotype" w:eastAsia="Palatino Linotype" w:hAnsi="Palatino Linotype" w:cs="Palatino Linotype"/>
          <w:i/>
          <w:iCs/>
          <w:color w:val="000000"/>
        </w:rPr>
      </w:pPr>
    </w:p>
    <w:p w:rsidR="000A2B7A" w:rsidRPr="00E15120" w:rsidRDefault="00CF249E">
      <w:pPr>
        <w:pBdr>
          <w:top w:val="nil"/>
          <w:left w:val="nil"/>
          <w:bottom w:val="nil"/>
          <w:right w:val="nil"/>
          <w:between w:val="nil"/>
        </w:pBdr>
        <w:tabs>
          <w:tab w:val="left" w:pos="851"/>
        </w:tabs>
        <w:spacing w:line="276" w:lineRule="auto"/>
        <w:ind w:left="851"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Amparo en revisión 257/2012. Ruth Corona Muñoz. 6 de diciembre de 2012. Unanimidad de votos. Ponente: Jean Claude Tron Petit. Secretaria: Mayra Susana Martínez López.</w:t>
      </w:r>
    </w:p>
    <w:p w:rsidR="000A2B7A" w:rsidRPr="00E15120" w:rsidRDefault="000A2B7A">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tabs>
          <w:tab w:val="left" w:pos="851"/>
        </w:tabs>
        <w:spacing w:after="240"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0A2B7A" w:rsidRPr="00E15120" w:rsidRDefault="00CF249E">
      <w:pPr>
        <w:spacing w:line="276" w:lineRule="auto"/>
        <w:ind w:left="851" w:right="822"/>
        <w:jc w:val="both"/>
        <w:rPr>
          <w:rFonts w:ascii="Palatino Linotype" w:eastAsia="Palatino Linotype" w:hAnsi="Palatino Linotype" w:cs="Palatino Linotype"/>
          <w:i/>
          <w:iCs/>
        </w:rPr>
      </w:pPr>
      <w:r w:rsidRPr="00E15120">
        <w:rPr>
          <w:rFonts w:ascii="Palatino Linotype" w:eastAsia="Palatino Linotype" w:hAnsi="Palatino Linotype" w:cs="Palatino Linotype"/>
          <w:b/>
          <w:bCs/>
          <w:i/>
          <w:iCs/>
        </w:rPr>
        <w:t xml:space="preserve">XI. Documento: </w:t>
      </w:r>
      <w:r w:rsidRPr="00E15120">
        <w:rPr>
          <w:rFonts w:ascii="Palatino Linotype" w:eastAsia="Palatino Linotype" w:hAnsi="Palatino Linotype" w:cs="Palatino Linotype"/>
          <w:i/>
          <w:iCs/>
        </w:rPr>
        <w:t xml:space="preserve">Los expedientes, reportes, estudios, actas, resoluciones, oficios, correspondencia, acuerdos, directivas, directrices, circulares, contratos, convenios, instructivos, notas, memorandos, estadísticas o bien, </w:t>
      </w:r>
      <w:r w:rsidRPr="00E15120">
        <w:rPr>
          <w:rFonts w:ascii="Palatino Linotype" w:eastAsia="Palatino Linotype" w:hAnsi="Palatino Linotype" w:cs="Palatino Linotype"/>
          <w:b/>
          <w:bCs/>
          <w:i/>
          <w:iCs/>
        </w:rPr>
        <w:t>cualquier otro registro</w:t>
      </w:r>
      <w:r w:rsidRPr="00E15120">
        <w:rPr>
          <w:rFonts w:ascii="Palatino Linotype" w:eastAsia="Palatino Linotype" w:hAnsi="Palatino Linotype" w:cs="Palatino Linotype"/>
          <w:i/>
          <w:iC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0A2B7A" w:rsidRPr="00E15120" w:rsidRDefault="000A2B7A">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lastRenderedPageBreak/>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0A2B7A" w:rsidRPr="00E15120" w:rsidRDefault="000A2B7A">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Por otro lado, cabe precisar que el Recurrente solicitó información correspondiente al periodo del primero al treinta de junio de 2025, sin embargo, la solicitud se realizó el veinte de junio 2025, por lo tanto, la información del veintiuno al treinta de junio de 2025 corresponde a hechos futuros.</w:t>
      </w:r>
    </w:p>
    <w:p w:rsidR="000A2B7A" w:rsidRPr="00E15120" w:rsidRDefault="000A2B7A">
      <w:pPr>
        <w:pBdr>
          <w:top w:val="nil"/>
          <w:left w:val="nil"/>
          <w:bottom w:val="nil"/>
          <w:right w:val="nil"/>
          <w:between w:val="nil"/>
        </w:pBdr>
        <w:ind w:left="720"/>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Sirve como referencia la Jurisprudencia emitida por la Suprema Corte de Justicia de la Nación, que es del texto y rubro siguiente:</w:t>
      </w:r>
    </w:p>
    <w:p w:rsidR="000A2B7A" w:rsidRPr="00E15120" w:rsidRDefault="00CF249E">
      <w:pPr>
        <w:pBdr>
          <w:top w:val="nil"/>
          <w:left w:val="nil"/>
          <w:bottom w:val="nil"/>
          <w:right w:val="nil"/>
          <w:between w:val="nil"/>
        </w:pBdr>
        <w:spacing w:line="276" w:lineRule="auto"/>
        <w:ind w:left="851" w:right="90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i/>
          <w:iCs/>
          <w:color w:val="000000"/>
        </w:rPr>
        <w:t>“DEMANDA DE AMPARO. LA RECLAMACIÓN DE UN ACTO FUTURO O INCIERTO, DEL CUAL NO PUEDA SABERSE CON EXACTITUD SI ES INMINENTE O SI LLEGARÁ O NO A MATERIALIZARSE, NO CONSTITUYE UN MOTIVO MANIFIESTO E INDUDABLE DE IMPROCEDENCIA, POR LO QUE EL JUEZ DE DISTRITO DEBE ADMITIRLA A TRÁMITE.</w:t>
      </w:r>
      <w:r w:rsidRPr="00E15120">
        <w:rPr>
          <w:rFonts w:ascii="Palatino Linotype" w:eastAsia="Palatino Linotype" w:hAnsi="Palatino Linotype" w:cs="Palatino Linotype"/>
          <w:i/>
          <w:iCs/>
          <w:color w:val="000000"/>
        </w:rPr>
        <w:t xml:space="preserve"> El artículo 145 de la Ley de Amparo faculta al Juez de Distrito para desechar la demanda de amparo indirecto cuando al examinarla aparezca un motivo manifiesto e indudable de improcedencia; sin embargo, esa potestad del Juez no es ilimitada, ni depende de un criterio puramente subjetivo, pues tal motivo debe estar plenamente demostrado, y advertirse en forma patente y absolutamente clara de la lectura del escrito de demanda, de los escritos aclaratorios o de los documentos que se anexen a esas promociones. De ahí que cuando se reclame un acto futuro e incierto y no pueda saberse con exactitud si es inminente, o bien, si llegará o no a materializarse, sino que es necesario contar con elementos de prueba que permitan una correcta conclusión, no debe considerarse que existe un motivo manifiesto e indudable de improcedencia que amerite aplicar el indicado artículo 145 para desechar de plano la demanda, por lo que el Juez de Distrito deberá admitirla a trámite. Lo anterior obedece a que para que el juzgador se encuentre en condiciones de saber si el acto reclamado, </w:t>
      </w:r>
      <w:r w:rsidRPr="00E15120">
        <w:rPr>
          <w:rFonts w:ascii="Palatino Linotype" w:eastAsia="Palatino Linotype" w:hAnsi="Palatino Linotype" w:cs="Palatino Linotype"/>
          <w:i/>
          <w:iCs/>
          <w:color w:val="000000"/>
        </w:rPr>
        <w:lastRenderedPageBreak/>
        <w:t xml:space="preserve">considerado como futuro, se realizará por parte de la autoridad, debe analizar los elementos probatorios existentes, y si estimara racionalmente que la responsable ya ordenó la realización del acto reclamado o que está a punto de hacerlo, deberá admitir la demanda, sin perjuicio de que durante la sustanciación del juicio quede plenamente probado que efectivamente se trata de un acto de ese tipo, o se tenga la certeza de la existencia de alguna otra causa de improcedencia regulada en el artículo 73 de la citada ley, u otra prevista en diverso precepto legal relacionado con la fracción XVIII de este numeral.No obstante, en términos del artículo 6 de la Constitución Política de los Estados Unidos Mexicanos, toda persona sin necesidad de acreditar interés alguno, tendrá acceso gratuito a la información pública </w:t>
      </w:r>
      <w:r w:rsidRPr="00E15120">
        <w:rPr>
          <w:rFonts w:ascii="Palatino Linotype" w:eastAsia="Palatino Linotype" w:hAnsi="Palatino Linotype" w:cs="Palatino Linotype"/>
          <w:b/>
          <w:bCs/>
          <w:i/>
          <w:iCs/>
          <w:color w:val="000000"/>
        </w:rPr>
        <w:t>en posesión</w:t>
      </w:r>
      <w:r w:rsidRPr="00E15120">
        <w:rPr>
          <w:rFonts w:ascii="Palatino Linotype" w:eastAsia="Palatino Linotype" w:hAnsi="Palatino Linotype" w:cs="Palatino Linotype"/>
          <w:i/>
          <w:iCs/>
          <w:color w:val="000000"/>
        </w:rPr>
        <w:t xml:space="preserve"> de cualquier autoridad, entidad, órgano y organismo federal, estatal y municipal, la cual sólo podrá ser reservada temporalmente por razones de interés público en los términos que fijen las leyes, debiendo prevalecer en la interpretación del derecho el principio de máxima publicidad, de ahí que los sujetos obligados deban conservar sus documentos en archivos administrados actualizados.”</w:t>
      </w:r>
    </w:p>
    <w:p w:rsidR="000A2B7A" w:rsidRPr="00E15120" w:rsidRDefault="000A2B7A">
      <w:pPr>
        <w:pBdr>
          <w:top w:val="nil"/>
          <w:left w:val="nil"/>
          <w:bottom w:val="nil"/>
          <w:right w:val="nil"/>
          <w:between w:val="nil"/>
        </w:pBdr>
        <w:spacing w:line="276" w:lineRule="auto"/>
        <w:ind w:left="851" w:right="900"/>
        <w:jc w:val="both"/>
        <w:rPr>
          <w:rFonts w:ascii="Palatino Linotype" w:eastAsia="Palatino Linotype" w:hAnsi="Palatino Linotype" w:cs="Palatino Linotype"/>
          <w:i/>
          <w:iCs/>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Robustecen lo anterior los Criterios 1/2010 y 2/2010,  emitidos por el “Comité de Acceso a la Información y Protección de Datos personales” de la Suprema Corte de Justicia de la Nación, que disponen: </w:t>
      </w:r>
    </w:p>
    <w:p w:rsidR="000A2B7A" w:rsidRPr="00E15120" w:rsidRDefault="00CF249E">
      <w:pPr>
        <w:pBdr>
          <w:top w:val="nil"/>
          <w:left w:val="nil"/>
          <w:bottom w:val="nil"/>
          <w:right w:val="nil"/>
          <w:between w:val="nil"/>
        </w:pBdr>
        <w:spacing w:line="276" w:lineRule="auto"/>
        <w:ind w:left="851" w:right="900"/>
        <w:rPr>
          <w:color w:val="000000"/>
        </w:rPr>
      </w:pPr>
      <w:r w:rsidRPr="00E15120">
        <w:rPr>
          <w:rFonts w:ascii="Palatino Linotype" w:eastAsia="Palatino Linotype" w:hAnsi="Palatino Linotype" w:cs="Palatino Linotype"/>
          <w:i/>
          <w:iCs/>
          <w:color w:val="000000"/>
        </w:rPr>
        <w:t> “</w:t>
      </w:r>
      <w:r w:rsidRPr="00E15120">
        <w:rPr>
          <w:rFonts w:ascii="Palatino Linotype" w:eastAsia="Palatino Linotype" w:hAnsi="Palatino Linotype" w:cs="Palatino Linotype"/>
          <w:b/>
          <w:bCs/>
          <w:i/>
          <w:iCs/>
          <w:color w:val="000000"/>
        </w:rPr>
        <w:t>Criterio 1/2010</w:t>
      </w:r>
    </w:p>
    <w:p w:rsidR="000A2B7A" w:rsidRPr="00E15120" w:rsidRDefault="00CF249E">
      <w:pPr>
        <w:pBdr>
          <w:top w:val="nil"/>
          <w:left w:val="nil"/>
          <w:bottom w:val="nil"/>
          <w:right w:val="nil"/>
          <w:between w:val="nil"/>
        </w:pBdr>
        <w:spacing w:line="276" w:lineRule="auto"/>
        <w:ind w:left="851" w:right="900"/>
        <w:jc w:val="both"/>
        <w:rPr>
          <w:color w:val="000000"/>
        </w:rPr>
      </w:pPr>
      <w:r w:rsidRPr="00E15120">
        <w:rPr>
          <w:rFonts w:ascii="Palatino Linotype" w:eastAsia="Palatino Linotype" w:hAnsi="Palatino Linotype" w:cs="Palatino Linotype"/>
          <w:b/>
          <w:bCs/>
          <w:i/>
          <w:iCs/>
          <w:color w:val="000000"/>
        </w:rPr>
        <w:t>SOLICITUD DE ACCESO A LA INFORMACIÓN. SU OTORGAMIENTO ES RESPECTO DE AQUELLA QUE EXISTA Y SE HUBIESE GENERADO AL MOMENTO DE LA PETICIÓN.</w:t>
      </w:r>
    </w:p>
    <w:p w:rsidR="000A2B7A" w:rsidRPr="00E15120" w:rsidRDefault="00CF249E">
      <w:pPr>
        <w:pBdr>
          <w:top w:val="nil"/>
          <w:left w:val="nil"/>
          <w:bottom w:val="nil"/>
          <w:right w:val="nil"/>
          <w:between w:val="nil"/>
        </w:pBdr>
        <w:spacing w:line="276" w:lineRule="auto"/>
        <w:ind w:left="851" w:right="900"/>
        <w:jc w:val="both"/>
        <w:rPr>
          <w:color w:val="000000"/>
        </w:rPr>
      </w:pPr>
      <w:r w:rsidRPr="00E15120">
        <w:rPr>
          <w:rFonts w:ascii="Palatino Linotype" w:eastAsia="Palatino Linotype" w:hAnsi="Palatino Linotype" w:cs="Palatino Linotype"/>
          <w:b/>
          <w:bCs/>
          <w:i/>
          <w:iCs/>
          <w:color w:val="000000"/>
        </w:rPr>
        <w:t>El otorgamiento de la información procede respecto de aquella que sea existente y se encuentre en posesión del órgano de Estado, al momento de la solicitud</w:t>
      </w:r>
      <w:r w:rsidRPr="00E15120">
        <w:rPr>
          <w:rFonts w:ascii="Palatino Linotype" w:eastAsia="Palatino Linotype" w:hAnsi="Palatino Linotype" w:cs="Palatino Linotype"/>
          <w:i/>
          <w:iCs/>
          <w:color w:val="000000"/>
        </w:rPr>
        <w:t xml:space="preserve">; por lo que </w:t>
      </w:r>
      <w:r w:rsidRPr="00E15120">
        <w:rPr>
          <w:rFonts w:ascii="Palatino Linotype" w:eastAsia="Palatino Linotype" w:hAnsi="Palatino Linotype" w:cs="Palatino Linotype"/>
          <w:b/>
          <w:bCs/>
          <w:i/>
          <w:iCs/>
          <w:color w:val="000000"/>
        </w:rPr>
        <w:t>resulta inconducente otorgar la que se genere en fecha futura</w:t>
      </w:r>
      <w:r w:rsidRPr="00E15120">
        <w:rPr>
          <w:rFonts w:ascii="Palatino Linotype" w:eastAsia="Palatino Linotype" w:hAnsi="Palatino Linotype" w:cs="Palatino Linotype"/>
          <w:i/>
          <w:iCs/>
          <w:color w:val="000000"/>
        </w:rPr>
        <w:t xml:space="preserve">, en tanto ningún órgano de Estado puede verse vinculado en el otorgamiento de información de tal naturaleza, al tenor del artículo 6° constitucional, que dispone que la garantía del acceso a la información lo es respecto de aquella que se encuentre en posesión de cualquier autoridad, entidad, órgano y organismo federal, estatal y </w:t>
      </w:r>
      <w:r w:rsidRPr="00E15120">
        <w:rPr>
          <w:rFonts w:ascii="Palatino Linotype" w:eastAsia="Palatino Linotype" w:hAnsi="Palatino Linotype" w:cs="Palatino Linotype"/>
          <w:i/>
          <w:iCs/>
          <w:color w:val="000000"/>
        </w:rPr>
        <w:lastRenderedPageBreak/>
        <w:t>municipal, principio que se reitera en el artículo 1° de la Ley Federal de Transparencia y Acceso a la Información Pública Gubernamental.</w:t>
      </w:r>
    </w:p>
    <w:p w:rsidR="000A2B7A" w:rsidRPr="00E15120" w:rsidRDefault="00CF249E">
      <w:pPr>
        <w:pBdr>
          <w:top w:val="nil"/>
          <w:left w:val="nil"/>
          <w:bottom w:val="nil"/>
          <w:right w:val="nil"/>
          <w:between w:val="nil"/>
        </w:pBdr>
        <w:spacing w:line="276" w:lineRule="auto"/>
        <w:ind w:left="851" w:right="900"/>
        <w:jc w:val="both"/>
        <w:rPr>
          <w:color w:val="000000"/>
        </w:rPr>
      </w:pPr>
      <w:r w:rsidRPr="00E15120">
        <w:rPr>
          <w:rFonts w:ascii="Palatino Linotype" w:eastAsia="Palatino Linotype" w:hAnsi="Palatino Linotype" w:cs="Palatino Linotype"/>
          <w:i/>
          <w:iCs/>
          <w:color w:val="000000"/>
        </w:rPr>
        <w:t>Clasificación de Información 69/2009-A. 30 de septiembre de 2009. Unanimidad de votos.”</w:t>
      </w:r>
    </w:p>
    <w:p w:rsidR="000A2B7A" w:rsidRPr="00E15120" w:rsidRDefault="00CF249E">
      <w:pPr>
        <w:pBdr>
          <w:top w:val="nil"/>
          <w:left w:val="nil"/>
          <w:bottom w:val="nil"/>
          <w:right w:val="nil"/>
          <w:between w:val="nil"/>
        </w:pBdr>
        <w:spacing w:line="276" w:lineRule="auto"/>
        <w:ind w:left="851" w:right="900"/>
        <w:rPr>
          <w:color w:val="000000"/>
        </w:rPr>
      </w:pPr>
      <w:r w:rsidRPr="00E15120">
        <w:rPr>
          <w:rFonts w:ascii="Palatino Linotype" w:eastAsia="Palatino Linotype" w:hAnsi="Palatino Linotype" w:cs="Palatino Linotype"/>
          <w:i/>
          <w:iCs/>
          <w:color w:val="000000"/>
        </w:rPr>
        <w:t>“</w:t>
      </w:r>
      <w:r w:rsidRPr="00E15120">
        <w:rPr>
          <w:rFonts w:ascii="Palatino Linotype" w:eastAsia="Palatino Linotype" w:hAnsi="Palatino Linotype" w:cs="Palatino Linotype"/>
          <w:b/>
          <w:bCs/>
          <w:i/>
          <w:iCs/>
          <w:color w:val="000000"/>
        </w:rPr>
        <w:t>Criterio 2/2010.</w:t>
      </w:r>
    </w:p>
    <w:p w:rsidR="000A2B7A" w:rsidRPr="00E15120" w:rsidRDefault="00CF249E">
      <w:pPr>
        <w:pBdr>
          <w:top w:val="nil"/>
          <w:left w:val="nil"/>
          <w:bottom w:val="nil"/>
          <w:right w:val="nil"/>
          <w:between w:val="nil"/>
        </w:pBdr>
        <w:spacing w:line="276" w:lineRule="auto"/>
        <w:ind w:left="851" w:right="900"/>
        <w:jc w:val="both"/>
        <w:rPr>
          <w:color w:val="000000"/>
        </w:rPr>
      </w:pPr>
      <w:r w:rsidRPr="00E15120">
        <w:rPr>
          <w:rFonts w:ascii="Palatino Linotype" w:eastAsia="Palatino Linotype" w:hAnsi="Palatino Linotype" w:cs="Palatino Linotype"/>
          <w:b/>
          <w:bCs/>
          <w:i/>
          <w:iCs/>
          <w:color w:val="000000"/>
        </w:rPr>
        <w:t>SOLICITUD DE ACCESO A LA INFORMACIÓN. ES MATERIA DE ANÁLISIS Y OTORGAMIENTO LA GENERADA HASTA LA FECHA DE LA SOLICITUD EN CASO DE IMPRECISIÓN TEMPORAL. </w:t>
      </w:r>
    </w:p>
    <w:p w:rsidR="000A2B7A" w:rsidRPr="00E15120" w:rsidRDefault="00CF249E">
      <w:pPr>
        <w:pBdr>
          <w:top w:val="nil"/>
          <w:left w:val="nil"/>
          <w:bottom w:val="nil"/>
          <w:right w:val="nil"/>
          <w:between w:val="nil"/>
        </w:pBdr>
        <w:spacing w:line="276" w:lineRule="auto"/>
        <w:ind w:left="851" w:right="900"/>
        <w:jc w:val="both"/>
        <w:rPr>
          <w:color w:val="000000"/>
        </w:rPr>
      </w:pPr>
      <w:r w:rsidRPr="00E15120">
        <w:rPr>
          <w:rFonts w:ascii="Palatino Linotype" w:eastAsia="Palatino Linotype" w:hAnsi="Palatino Linotype" w:cs="Palatino Linotype"/>
          <w:i/>
          <w:iCs/>
          <w:color w:val="000000"/>
        </w:rPr>
        <w:t>La información que en todo caso debe ser materia de análisis y pronunciamiento sobre su naturaleza, disponibilidad y acceso, es aquélla que en términos del artículo 6° constitucional y 1° de la Ley Federal de Transparencia y Acceso a la Información Pública Gubernamental, se encuentre en posesión de este Alto Tribunal; es decir, se hubiese ya generado y sea existente al momento del planteamiento de solicitud de acceso. Por ello, en caso de que se solicite información sin que se precise el término temporal, deberá entenderse que es aquella que se hubiese generado y se tenga en posesión al día de la fecha de la solicitud de acceso correspondiente.</w:t>
      </w:r>
    </w:p>
    <w:p w:rsidR="000A2B7A" w:rsidRPr="00E15120" w:rsidRDefault="00CF249E">
      <w:pPr>
        <w:pBdr>
          <w:top w:val="nil"/>
          <w:left w:val="nil"/>
          <w:bottom w:val="nil"/>
          <w:right w:val="nil"/>
          <w:between w:val="nil"/>
        </w:pBdr>
        <w:spacing w:line="276" w:lineRule="auto"/>
        <w:ind w:left="851" w:right="90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Clasificación de Información 69/2009-A. 30 de septiembre de 2009. Unanimidad de votos.”(Sic)</w:t>
      </w:r>
    </w:p>
    <w:p w:rsidR="000A2B7A" w:rsidRPr="00E15120" w:rsidRDefault="000A2B7A">
      <w:pPr>
        <w:pBdr>
          <w:top w:val="nil"/>
          <w:left w:val="nil"/>
          <w:bottom w:val="nil"/>
          <w:right w:val="nil"/>
          <w:between w:val="nil"/>
        </w:pBdr>
        <w:spacing w:line="276" w:lineRule="auto"/>
        <w:ind w:left="851" w:right="900"/>
        <w:jc w:val="both"/>
        <w:rPr>
          <w:color w:val="000000"/>
        </w:rPr>
      </w:pPr>
    </w:p>
    <w:p w:rsidR="000A2B7A" w:rsidRPr="00E15120" w:rsidRDefault="00CF249E">
      <w:pPr>
        <w:numPr>
          <w:ilvl w:val="0"/>
          <w:numId w:val="6"/>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En consecuencia, no es procedente ordenar la entrega de información del periodo que corresponde del veintiuno al treinta de junio de dos mil veinticinco. </w:t>
      </w:r>
    </w:p>
    <w:p w:rsidR="000A2B7A" w:rsidRPr="00E15120" w:rsidRDefault="000A2B7A">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0A2B7A" w:rsidRPr="00E15120" w:rsidRDefault="00CF249E">
      <w:pPr>
        <w:numPr>
          <w:ilvl w:val="0"/>
          <w:numId w:val="6"/>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bookmarkStart w:id="7" w:name="_heading=h.2s8eyo1" w:colFirst="0" w:colLast="0"/>
      <w:bookmarkEnd w:id="7"/>
      <w:r w:rsidRPr="00E15120">
        <w:rPr>
          <w:rFonts w:ascii="Palatino Linotype" w:eastAsia="Palatino Linotype" w:hAnsi="Palatino Linotype" w:cs="Palatino Linotype"/>
          <w:color w:val="000000"/>
        </w:rPr>
        <w:t>E</w:t>
      </w:r>
      <w:r w:rsidRPr="00E15120">
        <w:rPr>
          <w:rFonts w:ascii="Palatino Linotype" w:eastAsia="Palatino Linotype" w:hAnsi="Palatino Linotype" w:cs="Palatino Linotype"/>
          <w:color w:val="000000"/>
        </w:rPr>
        <w:tab/>
        <w:t xml:space="preserve">n mérito de lo expuesto en líneas anteriores, resultan fundadas las razones o motivos de inconformidad hechos valer por el </w:t>
      </w:r>
      <w:r w:rsidRPr="00E15120">
        <w:rPr>
          <w:rFonts w:ascii="Palatino Linotype" w:eastAsia="Palatino Linotype" w:hAnsi="Palatino Linotype" w:cs="Palatino Linotype"/>
          <w:b/>
          <w:bCs/>
          <w:color w:val="000000"/>
        </w:rPr>
        <w:t>RECURRENTE</w:t>
      </w:r>
      <w:r w:rsidRPr="00E15120">
        <w:rPr>
          <w:rFonts w:ascii="Palatino Linotype" w:eastAsia="Palatino Linotype" w:hAnsi="Palatino Linotype" w:cs="Palatino Linotype"/>
          <w:color w:val="000000"/>
        </w:rPr>
        <w:t xml:space="preserve"> dentro del recurso de revisión </w:t>
      </w:r>
      <w:r w:rsidRPr="00E15120">
        <w:rPr>
          <w:rFonts w:ascii="Palatino Linotype" w:eastAsia="Palatino Linotype" w:hAnsi="Palatino Linotype" w:cs="Palatino Linotype"/>
          <w:b/>
          <w:bCs/>
          <w:color w:val="000000"/>
        </w:rPr>
        <w:t>09438/INFOEM/IP/RR/2025</w:t>
      </w:r>
      <w:r w:rsidRPr="00E15120">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E15120">
        <w:rPr>
          <w:rFonts w:ascii="Palatino Linotype" w:eastAsia="Palatino Linotype" w:hAnsi="Palatino Linotype" w:cs="Palatino Linotype"/>
          <w:b/>
          <w:bCs/>
          <w:color w:val="000000"/>
        </w:rPr>
        <w:t>MODIFICA</w:t>
      </w:r>
      <w:r w:rsidRPr="00E15120">
        <w:rPr>
          <w:rFonts w:ascii="Palatino Linotype" w:eastAsia="Palatino Linotype" w:hAnsi="Palatino Linotype" w:cs="Palatino Linotype"/>
          <w:color w:val="000000"/>
        </w:rPr>
        <w:t xml:space="preserve"> la respuesta a la solicitud de información número </w:t>
      </w:r>
      <w:r w:rsidRPr="00E15120">
        <w:rPr>
          <w:rFonts w:ascii="Palatino Linotype" w:eastAsia="Palatino Linotype" w:hAnsi="Palatino Linotype" w:cs="Palatino Linotype"/>
          <w:b/>
          <w:bCs/>
          <w:color w:val="000000"/>
        </w:rPr>
        <w:t xml:space="preserve">00028/DIFZINACAN/IP/2025 </w:t>
      </w:r>
      <w:r w:rsidRPr="00E15120">
        <w:rPr>
          <w:rFonts w:ascii="Palatino Linotype" w:eastAsia="Palatino Linotype" w:hAnsi="Palatino Linotype" w:cs="Palatino Linotype"/>
          <w:color w:val="000000"/>
        </w:rPr>
        <w:t xml:space="preserve">y se </w:t>
      </w:r>
      <w:r w:rsidRPr="00E15120">
        <w:rPr>
          <w:rFonts w:ascii="Palatino Linotype" w:eastAsia="Palatino Linotype" w:hAnsi="Palatino Linotype" w:cs="Palatino Linotype"/>
          <w:b/>
          <w:bCs/>
          <w:color w:val="000000"/>
        </w:rPr>
        <w:t xml:space="preserve">ORDENA </w:t>
      </w:r>
      <w:r w:rsidRPr="00E15120">
        <w:rPr>
          <w:rFonts w:ascii="Palatino Linotype" w:eastAsia="Palatino Linotype" w:hAnsi="Palatino Linotype" w:cs="Palatino Linotype"/>
          <w:color w:val="000000"/>
        </w:rPr>
        <w:t xml:space="preserve">entregar, de ser procedente en versión pública, el soporte documental donde </w:t>
      </w:r>
      <w:r w:rsidRPr="00E15120">
        <w:rPr>
          <w:rFonts w:ascii="Palatino Linotype" w:eastAsia="Palatino Linotype" w:hAnsi="Palatino Linotype" w:cs="Palatino Linotype"/>
          <w:color w:val="000000"/>
        </w:rPr>
        <w:lastRenderedPageBreak/>
        <w:t>conste, la siguiente información sobre los programas, servicios o apoyos para adultos mayores, del primero de enero al veinte de junio de dos mil veinticinco:</w:t>
      </w:r>
    </w:p>
    <w:p w:rsidR="000A2B7A" w:rsidRPr="00E15120" w:rsidRDefault="00CF249E" w:rsidP="00E15120">
      <w:pPr>
        <w:numPr>
          <w:ilvl w:val="0"/>
          <w:numId w:val="8"/>
        </w:numPr>
        <w:pBdr>
          <w:top w:val="nil"/>
          <w:left w:val="nil"/>
          <w:bottom w:val="nil"/>
          <w:right w:val="nil"/>
          <w:between w:val="nil"/>
        </w:pBdr>
        <w:spacing w:line="360" w:lineRule="auto"/>
        <w:ind w:left="142" w:right="822" w:hanging="1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color w:val="000000"/>
        </w:rPr>
        <w:t>Número de servidores número de beneficiarios atendidos por comunidad o al mayor grado de desagregación posible;</w:t>
      </w:r>
    </w:p>
    <w:p w:rsidR="000A2B7A" w:rsidRPr="00E15120" w:rsidRDefault="00CF249E" w:rsidP="00E15120">
      <w:pPr>
        <w:numPr>
          <w:ilvl w:val="0"/>
          <w:numId w:val="8"/>
        </w:numPr>
        <w:pBdr>
          <w:top w:val="nil"/>
          <w:left w:val="nil"/>
          <w:bottom w:val="nil"/>
          <w:right w:val="nil"/>
          <w:between w:val="nil"/>
        </w:pBdr>
        <w:spacing w:line="360" w:lineRule="auto"/>
        <w:ind w:left="142" w:right="822" w:hanging="1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color w:val="000000"/>
        </w:rPr>
        <w:t>Recursos económicos asignados y ejercidos;</w:t>
      </w:r>
    </w:p>
    <w:p w:rsidR="000A2B7A" w:rsidRPr="00E15120" w:rsidRDefault="00CF249E" w:rsidP="00E15120">
      <w:pPr>
        <w:numPr>
          <w:ilvl w:val="0"/>
          <w:numId w:val="8"/>
        </w:numPr>
        <w:pBdr>
          <w:top w:val="nil"/>
          <w:left w:val="nil"/>
          <w:bottom w:val="nil"/>
          <w:right w:val="nil"/>
          <w:between w:val="nil"/>
        </w:pBdr>
        <w:spacing w:line="360" w:lineRule="auto"/>
        <w:ind w:left="142" w:right="822" w:hanging="1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color w:val="000000"/>
        </w:rPr>
        <w:t>Talleres, capacitaciones o eventos organizados para mejorar la calidad de vida de los adultos mayores;</w:t>
      </w:r>
    </w:p>
    <w:p w:rsidR="000A2B7A" w:rsidRPr="00E15120" w:rsidRDefault="00CF249E" w:rsidP="00E15120">
      <w:pPr>
        <w:numPr>
          <w:ilvl w:val="0"/>
          <w:numId w:val="8"/>
        </w:numPr>
        <w:pBdr>
          <w:top w:val="nil"/>
          <w:left w:val="nil"/>
          <w:bottom w:val="nil"/>
          <w:right w:val="nil"/>
          <w:between w:val="nil"/>
        </w:pBdr>
        <w:spacing w:line="360" w:lineRule="auto"/>
        <w:ind w:left="142" w:right="822" w:hanging="1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color w:val="000000"/>
        </w:rPr>
        <w:t xml:space="preserve">Perfil y funciones del responsable de la atención a los adultos mayores. </w:t>
      </w:r>
    </w:p>
    <w:p w:rsidR="000A2B7A" w:rsidRPr="00E15120" w:rsidRDefault="000A2B7A">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p>
    <w:p w:rsidR="000A2B7A" w:rsidRPr="00E15120" w:rsidRDefault="00CF249E">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r w:rsidRPr="00E15120">
        <w:rPr>
          <w:rFonts w:ascii="Palatino Linotype" w:eastAsia="Palatino Linotype" w:hAnsi="Palatino Linotype" w:cs="Palatino Linotype"/>
          <w:b/>
          <w:bCs/>
          <w:color w:val="000000"/>
        </w:rPr>
        <w:t>QUINTO. De la versión pública.</w:t>
      </w:r>
    </w:p>
    <w:p w:rsidR="000A2B7A" w:rsidRPr="00E15120" w:rsidRDefault="00CF249E">
      <w:pPr>
        <w:numPr>
          <w:ilvl w:val="0"/>
          <w:numId w:val="6"/>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Debe destacarse que, debido a la naturaleza de la información solicitada</w:t>
      </w:r>
      <w:r w:rsidRPr="00E15120">
        <w:rPr>
          <w:rFonts w:ascii="Palatino Linotype" w:eastAsia="Palatino Linotype" w:hAnsi="Palatino Linotype" w:cs="Palatino Linotype"/>
          <w:b/>
          <w:bCs/>
          <w:color w:val="000000"/>
        </w:rPr>
        <w:t xml:space="preserve"> </w:t>
      </w:r>
      <w:r w:rsidRPr="00E15120">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0A2B7A" w:rsidRPr="00E15120" w:rsidRDefault="000A2B7A">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La clasificación total o parcial de la información requerida, mediante solicitud de acceso a la información pública, constituye una restricción al derecho humano de acceso a la información. Actualmente, el grave problema que enfrentamos son los Acuerdos de Clasificación de la Información que emiten los </w:t>
      </w:r>
      <w:r w:rsidRPr="00E15120">
        <w:rPr>
          <w:rFonts w:ascii="Palatino Linotype" w:eastAsia="Palatino Linotype" w:hAnsi="Palatino Linotype" w:cs="Palatino Linotype"/>
          <w:b/>
          <w:bCs/>
          <w:color w:val="000000"/>
        </w:rPr>
        <w:t>SUJETOS OBLIGADOS</w:t>
      </w:r>
      <w:r w:rsidRPr="00E15120">
        <w:rPr>
          <w:rFonts w:ascii="Palatino Linotype" w:eastAsia="Palatino Linotype" w:hAnsi="Palatino Linotype" w:cs="Palatino Linotype"/>
          <w:color w:val="000000"/>
        </w:rPr>
        <w:t>, ya que no observan los requisitos que deben de llevar a cabo para la realización de la clasificación de la información, tanto por la complejidad del procedimiento como por la falta de atención de los operadores jurídicos, por lo que es menester reiterar los mismos:</w:t>
      </w:r>
    </w:p>
    <w:tbl>
      <w:tblPr>
        <w:tblStyle w:val="a2"/>
        <w:tblW w:w="992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4"/>
        <w:gridCol w:w="6810"/>
      </w:tblGrid>
      <w:tr w:rsidR="000A2B7A" w:rsidRPr="00E15120" w:rsidTr="00E15120">
        <w:tc>
          <w:tcPr>
            <w:tcW w:w="3114" w:type="dxa"/>
          </w:tcPr>
          <w:p w:rsidR="000A2B7A" w:rsidRPr="00E15120" w:rsidRDefault="00CF249E">
            <w:pPr>
              <w:tabs>
                <w:tab w:val="left" w:pos="284"/>
              </w:tabs>
              <w:spacing w:line="360" w:lineRule="auto"/>
              <w:rPr>
                <w:rFonts w:ascii="Palatino Linotype" w:eastAsia="Palatino Linotype" w:hAnsi="Palatino Linotype" w:cs="Palatino Linotype"/>
                <w:b/>
                <w:bCs/>
              </w:rPr>
            </w:pPr>
            <w:r w:rsidRPr="00E15120">
              <w:rPr>
                <w:rFonts w:ascii="Palatino Linotype" w:eastAsia="Palatino Linotype" w:hAnsi="Palatino Linotype" w:cs="Palatino Linotype"/>
                <w:color w:val="000000"/>
              </w:rPr>
              <w:lastRenderedPageBreak/>
              <w:tab/>
            </w:r>
            <w:r w:rsidRPr="00E15120">
              <w:rPr>
                <w:rFonts w:ascii="Palatino Linotype" w:eastAsia="Palatino Linotype" w:hAnsi="Palatino Linotype" w:cs="Palatino Linotype"/>
                <w:b/>
                <w:bCs/>
              </w:rPr>
              <w:t>a) Requisitos previos.</w:t>
            </w:r>
          </w:p>
        </w:tc>
        <w:tc>
          <w:tcPr>
            <w:tcW w:w="6810" w:type="dxa"/>
          </w:tcPr>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Además, se debe señalar el procedimiento, de los tres que establecen el artículo 132 de la Ley Estatal.</w:t>
            </w:r>
          </w:p>
          <w:p w:rsidR="000A2B7A" w:rsidRPr="00E15120" w:rsidRDefault="00CF249E">
            <w:pPr>
              <w:tabs>
                <w:tab w:val="left" w:pos="284"/>
              </w:tabs>
              <w:spacing w:line="276" w:lineRule="auto"/>
              <w:jc w:val="both"/>
              <w:rPr>
                <w:rFonts w:ascii="Palatino Linotype" w:eastAsia="Palatino Linotype" w:hAnsi="Palatino Linotype" w:cs="Palatino Linotype"/>
              </w:rPr>
            </w:pPr>
            <w:r w:rsidRPr="00E15120">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E15120">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E15120">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0A2B7A" w:rsidRPr="00E15120" w:rsidTr="00E15120">
        <w:tc>
          <w:tcPr>
            <w:tcW w:w="3114" w:type="dxa"/>
            <w:shd w:val="clear" w:color="auto" w:fill="D9D9D9"/>
          </w:tcPr>
          <w:p w:rsidR="000A2B7A" w:rsidRPr="00E15120" w:rsidRDefault="00CF249E">
            <w:pPr>
              <w:tabs>
                <w:tab w:val="left" w:pos="284"/>
              </w:tabs>
              <w:spacing w:line="360" w:lineRule="auto"/>
              <w:rPr>
                <w:rFonts w:ascii="Palatino Linotype" w:eastAsia="Palatino Linotype" w:hAnsi="Palatino Linotype" w:cs="Palatino Linotype"/>
                <w:b/>
                <w:bCs/>
              </w:rPr>
            </w:pPr>
            <w:r w:rsidRPr="00E15120">
              <w:rPr>
                <w:rFonts w:ascii="Palatino Linotype" w:eastAsia="Palatino Linotype" w:hAnsi="Palatino Linotype" w:cs="Palatino Linotype"/>
                <w:b/>
                <w:bCs/>
              </w:rPr>
              <w:t>b) Supuestos de clasificación.</w:t>
            </w:r>
          </w:p>
        </w:tc>
        <w:tc>
          <w:tcPr>
            <w:tcW w:w="6810" w:type="dxa"/>
            <w:shd w:val="clear" w:color="auto" w:fill="D9D9D9"/>
          </w:tcPr>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A2B7A" w:rsidRPr="00E15120" w:rsidRDefault="00CF249E">
            <w:pPr>
              <w:tabs>
                <w:tab w:val="left" w:pos="284"/>
              </w:tabs>
              <w:spacing w:line="276" w:lineRule="auto"/>
              <w:jc w:val="both"/>
              <w:rPr>
                <w:rFonts w:ascii="Palatino Linotype" w:eastAsia="Palatino Linotype" w:hAnsi="Palatino Linotype" w:cs="Palatino Linotype"/>
              </w:rPr>
            </w:pPr>
            <w:r w:rsidRPr="00E15120">
              <w:rPr>
                <w:rFonts w:ascii="Palatino Linotype" w:eastAsia="Palatino Linotype" w:hAnsi="Palatino Linotype" w:cs="Palatino Linotype"/>
                <w:color w:val="000000"/>
              </w:rPr>
              <w:t xml:space="preserve">El </w:t>
            </w:r>
            <w:r w:rsidRPr="00E15120">
              <w:rPr>
                <w:rFonts w:ascii="Palatino Linotype" w:eastAsia="Palatino Linotype" w:hAnsi="Palatino Linotype" w:cs="Palatino Linotype"/>
                <w:b/>
                <w:bCs/>
                <w:color w:val="000000"/>
              </w:rPr>
              <w:t>Sujeto Obligado</w:t>
            </w:r>
            <w:r w:rsidRPr="00E15120">
              <w:rPr>
                <w:rFonts w:ascii="Palatino Linotype" w:eastAsia="Palatino Linotype" w:hAnsi="Palatino Linotype" w:cs="Palatino Linotype"/>
                <w:color w:val="000000"/>
              </w:rPr>
              <w:t xml:space="preserve"> debe identificar claramente el tipo de información y hacer un juicio de subsunción o encaje para </w:t>
            </w:r>
            <w:r w:rsidRPr="00E15120">
              <w:rPr>
                <w:rFonts w:ascii="Palatino Linotype" w:eastAsia="Palatino Linotype" w:hAnsi="Palatino Linotype" w:cs="Palatino Linotype"/>
                <w:color w:val="000000"/>
              </w:rPr>
              <w:lastRenderedPageBreak/>
              <w:t>acreditar que el supuesto de hecho corresponde estrictamente con la hipótesis jurídica. Esto también lo debe de realizar el servidor público habilitado y el titular del área que administra la información.</w:t>
            </w:r>
          </w:p>
        </w:tc>
      </w:tr>
      <w:tr w:rsidR="000A2B7A" w:rsidRPr="00E15120" w:rsidTr="00E15120">
        <w:tc>
          <w:tcPr>
            <w:tcW w:w="3114" w:type="dxa"/>
          </w:tcPr>
          <w:p w:rsidR="000A2B7A" w:rsidRPr="00E15120" w:rsidRDefault="00CF249E">
            <w:pPr>
              <w:tabs>
                <w:tab w:val="left" w:pos="284"/>
              </w:tabs>
              <w:spacing w:line="360" w:lineRule="auto"/>
              <w:rPr>
                <w:rFonts w:ascii="Palatino Linotype" w:eastAsia="Palatino Linotype" w:hAnsi="Palatino Linotype" w:cs="Palatino Linotype"/>
                <w:b/>
                <w:bCs/>
              </w:rPr>
            </w:pPr>
            <w:r w:rsidRPr="00E15120">
              <w:rPr>
                <w:rFonts w:ascii="Palatino Linotype" w:eastAsia="Palatino Linotype" w:hAnsi="Palatino Linotype" w:cs="Palatino Linotype"/>
                <w:b/>
                <w:bCs/>
              </w:rPr>
              <w:lastRenderedPageBreak/>
              <w:t>c) Formalidades para emitir el acuerdo de clasificación.</w:t>
            </w:r>
          </w:p>
        </w:tc>
        <w:tc>
          <w:tcPr>
            <w:tcW w:w="6810" w:type="dxa"/>
          </w:tcPr>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Es necesario que </w:t>
            </w:r>
            <w:r w:rsidRPr="00E15120">
              <w:rPr>
                <w:rFonts w:ascii="Palatino Linotype" w:eastAsia="Palatino Linotype" w:hAnsi="Palatino Linotype" w:cs="Palatino Linotype"/>
                <w:b/>
                <w:bCs/>
                <w:color w:val="000000"/>
                <w:u w:val="single"/>
              </w:rPr>
              <w:t>el acto reúna con los requisitos elementales</w:t>
            </w:r>
            <w:r w:rsidRPr="00E15120">
              <w:rPr>
                <w:rFonts w:ascii="Palatino Linotype" w:eastAsia="Palatino Linotype" w:hAnsi="Palatino Linotype" w:cs="Palatino Linotype"/>
                <w:color w:val="000000"/>
              </w:rPr>
              <w:t>, entre ellos, que la autoridad que va a emitir el acto de autoridad sea la legalmente facultada para ello.</w:t>
            </w:r>
          </w:p>
          <w:p w:rsidR="000A2B7A" w:rsidRPr="00E15120" w:rsidRDefault="00CF249E">
            <w:pPr>
              <w:tabs>
                <w:tab w:val="left" w:pos="284"/>
              </w:tabs>
              <w:spacing w:line="276" w:lineRule="auto"/>
              <w:jc w:val="both"/>
              <w:rPr>
                <w:rFonts w:ascii="Palatino Linotype" w:eastAsia="Palatino Linotype" w:hAnsi="Palatino Linotype" w:cs="Palatino Linotype"/>
              </w:rPr>
            </w:pPr>
            <w:r w:rsidRPr="00E15120">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E15120">
              <w:rPr>
                <w:rFonts w:ascii="Palatino Linotype" w:eastAsia="Palatino Linotype" w:hAnsi="Palatino Linotype" w:cs="Palatino Linotype"/>
              </w:rPr>
              <w:t>El área</w:t>
            </w:r>
            <w:r w:rsidRPr="00E15120">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A2B7A" w:rsidRPr="00E15120" w:rsidTr="00E15120">
        <w:tc>
          <w:tcPr>
            <w:tcW w:w="3114" w:type="dxa"/>
            <w:shd w:val="clear" w:color="auto" w:fill="D9D9D9"/>
          </w:tcPr>
          <w:p w:rsidR="000A2B7A" w:rsidRPr="00E15120" w:rsidRDefault="000A2B7A">
            <w:pPr>
              <w:tabs>
                <w:tab w:val="left" w:pos="284"/>
              </w:tabs>
              <w:spacing w:line="360" w:lineRule="auto"/>
              <w:rPr>
                <w:rFonts w:ascii="Palatino Linotype" w:eastAsia="Palatino Linotype" w:hAnsi="Palatino Linotype" w:cs="Palatino Linotype"/>
                <w:b/>
                <w:bCs/>
              </w:rPr>
            </w:pPr>
          </w:p>
          <w:p w:rsidR="000A2B7A" w:rsidRPr="00E15120" w:rsidRDefault="00CF249E">
            <w:pPr>
              <w:tabs>
                <w:tab w:val="left" w:pos="284"/>
              </w:tabs>
              <w:spacing w:line="360" w:lineRule="auto"/>
              <w:jc w:val="both"/>
              <w:rPr>
                <w:rFonts w:ascii="Palatino Linotype" w:eastAsia="Palatino Linotype" w:hAnsi="Palatino Linotype" w:cs="Palatino Linotype"/>
                <w:b/>
                <w:bCs/>
              </w:rPr>
            </w:pPr>
            <w:r w:rsidRPr="00E15120">
              <w:rPr>
                <w:rFonts w:ascii="Palatino Linotype" w:eastAsia="Palatino Linotype" w:hAnsi="Palatino Linotype" w:cs="Palatino Linotype"/>
                <w:b/>
                <w:bCs/>
                <w:color w:val="000000"/>
              </w:rPr>
              <w:t xml:space="preserve">d) Requisitos de fondo del acuerdo de clasificación. </w:t>
            </w:r>
          </w:p>
        </w:tc>
        <w:tc>
          <w:tcPr>
            <w:tcW w:w="6810" w:type="dxa"/>
            <w:shd w:val="clear" w:color="auto" w:fill="D9D9D9"/>
          </w:tcPr>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E15120">
              <w:rPr>
                <w:rFonts w:ascii="Palatino Linotype" w:eastAsia="Palatino Linotype" w:hAnsi="Palatino Linotype" w:cs="Palatino Linotype"/>
                <w:b/>
                <w:bCs/>
                <w:color w:val="000000"/>
              </w:rPr>
              <w:t>Sujetos Obligados</w:t>
            </w:r>
            <w:r w:rsidRPr="00E15120">
              <w:rPr>
                <w:rFonts w:ascii="Palatino Linotype" w:eastAsia="Palatino Linotype" w:hAnsi="Palatino Linotype" w:cs="Palatino Linotype"/>
                <w:color w:val="000000"/>
              </w:rPr>
              <w:t xml:space="preserve">, por lo que deberán fundar y motivar debidamente la clasificación. </w:t>
            </w:r>
          </w:p>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bookmarkStart w:id="8" w:name="_heading=h.1lxbn9ffzumf" w:colFirst="0" w:colLast="0"/>
            <w:bookmarkEnd w:id="8"/>
            <w:r w:rsidRPr="00E15120">
              <w:rPr>
                <w:rFonts w:ascii="Palatino Linotype" w:eastAsia="Palatino Linotype" w:hAnsi="Palatino Linotype" w:cs="Palatino Linotype"/>
                <w:color w:val="000000"/>
              </w:rPr>
              <w:t xml:space="preserve">De lo anterior, se desprende que para una correcta </w:t>
            </w:r>
            <w:r w:rsidRPr="00E15120">
              <w:rPr>
                <w:rFonts w:ascii="Palatino Linotype" w:eastAsia="Palatino Linotype" w:hAnsi="Palatino Linotype" w:cs="Palatino Linotype"/>
                <w:b/>
                <w:bCs/>
                <w:color w:val="000000"/>
              </w:rPr>
              <w:t>clasificación total o parcial</w:t>
            </w:r>
            <w:r w:rsidRPr="00E15120">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w:t>
            </w:r>
            <w:r w:rsidRPr="00E15120">
              <w:rPr>
                <w:rFonts w:ascii="Palatino Linotype" w:eastAsia="Palatino Linotype" w:hAnsi="Palatino Linotype" w:cs="Palatino Linotype"/>
                <w:color w:val="000000"/>
              </w:rPr>
              <w:lastRenderedPageBreak/>
              <w:t>todo acto que la autoridad pronuncie en el ejercicio de sus atribuciones, debe expresar los fundamentos legales que le dieron origen y las razones por las que se deben aplicar al caso concreto.</w:t>
            </w:r>
          </w:p>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Ahora bien, </w:t>
            </w:r>
            <w:r w:rsidRPr="00E15120">
              <w:rPr>
                <w:rFonts w:ascii="Palatino Linotype" w:eastAsia="Palatino Linotype" w:hAnsi="Palatino Linotype" w:cs="Palatino Linotype"/>
                <w:b/>
                <w:bCs/>
                <w:color w:val="000000"/>
                <w:u w:val="single"/>
              </w:rPr>
              <w:t>para cada caso además de fundar y motivar</w:t>
            </w:r>
            <w:r w:rsidRPr="00E15120">
              <w:rPr>
                <w:rFonts w:ascii="Palatino Linotype" w:eastAsia="Palatino Linotype" w:hAnsi="Palatino Linotype" w:cs="Palatino Linotype"/>
                <w:color w:val="000000"/>
              </w:rPr>
              <w:t xml:space="preserve">, se debe identificar con claridad </w:t>
            </w:r>
            <w:r w:rsidRPr="00E15120">
              <w:rPr>
                <w:rFonts w:ascii="Palatino Linotype" w:eastAsia="Palatino Linotype" w:hAnsi="Palatino Linotype" w:cs="Palatino Linotype"/>
              </w:rPr>
              <w:t>qué</w:t>
            </w:r>
            <w:r w:rsidRPr="00E15120">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A2B7A" w:rsidRPr="00E15120" w:rsidTr="00E15120">
        <w:tc>
          <w:tcPr>
            <w:tcW w:w="3114" w:type="dxa"/>
          </w:tcPr>
          <w:p w:rsidR="000A2B7A" w:rsidRPr="00E15120" w:rsidRDefault="00CF249E">
            <w:pPr>
              <w:tabs>
                <w:tab w:val="left" w:pos="284"/>
              </w:tabs>
              <w:spacing w:line="360" w:lineRule="auto"/>
              <w:jc w:val="both"/>
              <w:rPr>
                <w:rFonts w:ascii="Palatino Linotype" w:eastAsia="Palatino Linotype" w:hAnsi="Palatino Linotype" w:cs="Palatino Linotype"/>
                <w:b/>
                <w:bCs/>
              </w:rPr>
            </w:pPr>
            <w:r w:rsidRPr="00E15120">
              <w:rPr>
                <w:rFonts w:ascii="Palatino Linotype" w:eastAsia="Palatino Linotype" w:hAnsi="Palatino Linotype" w:cs="Palatino Linotype"/>
                <w:b/>
                <w:bCs/>
              </w:rPr>
              <w:lastRenderedPageBreak/>
              <w:t xml:space="preserve">e) Condiciones especiales de la clasificación de la información como confidencial. </w:t>
            </w:r>
          </w:p>
        </w:tc>
        <w:tc>
          <w:tcPr>
            <w:tcW w:w="6810" w:type="dxa"/>
          </w:tcPr>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0A2B7A" w:rsidRPr="00E15120" w:rsidRDefault="00CF249E">
            <w:pPr>
              <w:tabs>
                <w:tab w:val="left" w:pos="284"/>
              </w:tabs>
              <w:spacing w:line="276"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w:t>
            </w:r>
            <w:r w:rsidRPr="00E15120">
              <w:rPr>
                <w:rFonts w:ascii="Palatino Linotype" w:eastAsia="Palatino Linotype" w:hAnsi="Palatino Linotype" w:cs="Palatino Linotype"/>
                <w:color w:val="000000"/>
              </w:rPr>
              <w:lastRenderedPageBreak/>
              <w:t xml:space="preserve">Corte de Justicia de la Nación, los servidores públicos nos encontramos sujetos a un régimen menor de protección. </w:t>
            </w:r>
          </w:p>
          <w:p w:rsidR="000A2B7A" w:rsidRPr="00E15120" w:rsidRDefault="00CF249E">
            <w:pPr>
              <w:tabs>
                <w:tab w:val="left" w:pos="284"/>
              </w:tabs>
              <w:spacing w:line="276" w:lineRule="auto"/>
              <w:rPr>
                <w:rFonts w:ascii="Palatino Linotype" w:eastAsia="Palatino Linotype" w:hAnsi="Palatino Linotype" w:cs="Palatino Linotype"/>
              </w:rPr>
            </w:pPr>
            <w:r w:rsidRPr="00E15120">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A2B7A" w:rsidRPr="00E15120" w:rsidRDefault="000A2B7A">
      <w:pPr>
        <w:pBdr>
          <w:top w:val="nil"/>
          <w:left w:val="nil"/>
          <w:bottom w:val="nil"/>
          <w:right w:val="nil"/>
          <w:between w:val="nil"/>
        </w:pBdr>
        <w:spacing w:line="360" w:lineRule="auto"/>
        <w:ind w:right="538"/>
        <w:jc w:val="both"/>
        <w:rPr>
          <w:rFonts w:ascii="Palatino Linotype" w:eastAsia="Palatino Linotype" w:hAnsi="Palatino Linotype" w:cs="Palatino Linotype"/>
          <w:i/>
          <w:iCs/>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Considerando que se </w:t>
      </w:r>
      <w:r w:rsidRPr="00E15120">
        <w:rPr>
          <w:rFonts w:ascii="Palatino Linotype" w:eastAsia="Palatino Linotype" w:hAnsi="Palatino Linotype" w:cs="Palatino Linotype"/>
          <w:i/>
          <w:iCs/>
          <w:color w:val="000000"/>
        </w:rPr>
        <w:t>ORDENA</w:t>
      </w:r>
      <w:r w:rsidRPr="00E15120">
        <w:rPr>
          <w:rFonts w:ascii="Palatino Linotype" w:eastAsia="Palatino Linotype" w:hAnsi="Palatino Linotype" w:cs="Palatino Linotype"/>
          <w:color w:val="000000"/>
        </w:rPr>
        <w:t xml:space="preserve"> la entrega de la información en versión pública, resulta oportuno remitirnos a lo dispuesto en los artículos 3, fracciones IX, XX, XXI, XLV; 91, 143 y 146 de la Ley de Transparencia y Acceso a la Información Pública del Estado de México y Municipios que establecen:</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i/>
          <w:iCs/>
          <w:color w:val="000000"/>
        </w:rPr>
        <w:t>“Artículo 3.-</w:t>
      </w:r>
      <w:r w:rsidRPr="00E15120">
        <w:rPr>
          <w:rFonts w:ascii="Palatino Linotype" w:eastAsia="Palatino Linotype" w:hAnsi="Palatino Linotype" w:cs="Palatino Linotype"/>
          <w:i/>
          <w:iCs/>
          <w:color w:val="000000"/>
        </w:rPr>
        <w:t xml:space="preserve"> Para los efectos de esta Ley, se entenderá por:</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i/>
          <w:iCs/>
          <w:color w:val="000000"/>
        </w:rPr>
        <w:t xml:space="preserve">IX. Datos personales: </w:t>
      </w:r>
      <w:r w:rsidRPr="00E15120">
        <w:rPr>
          <w:rFonts w:ascii="Palatino Linotype" w:eastAsia="Palatino Linotype" w:hAnsi="Palatino Linotype" w:cs="Palatino Linotype"/>
          <w:i/>
          <w:iCs/>
          <w:color w:val="000000"/>
        </w:rPr>
        <w:t>La información concerniente a una persona, identificada o identificable según lo dispuesto por la Ley de Protección de Datos Personales del Estado de México;…</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b/>
          <w:bCs/>
          <w:i/>
          <w:iCs/>
          <w:color w:val="000000"/>
        </w:rPr>
      </w:pPr>
      <w:r w:rsidRPr="00E15120">
        <w:rPr>
          <w:rFonts w:ascii="Palatino Linotype" w:eastAsia="Palatino Linotype" w:hAnsi="Palatino Linotype" w:cs="Palatino Linotype"/>
          <w:b/>
          <w:bCs/>
          <w:i/>
          <w:iCs/>
          <w:color w:val="000000"/>
        </w:rPr>
        <w:t xml:space="preserve">XX. </w:t>
      </w:r>
      <w:r w:rsidRPr="00E15120">
        <w:rPr>
          <w:rFonts w:ascii="Palatino Linotype" w:eastAsia="Palatino Linotype" w:hAnsi="Palatino Linotype" w:cs="Palatino Linotype"/>
          <w:i/>
          <w:iCs/>
          <w:color w:val="000000"/>
        </w:rPr>
        <w:t>Información clasificada: Aquella considerada por la presente Ley como reservada o confidencial;</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i/>
          <w:iCs/>
          <w:color w:val="000000"/>
        </w:rPr>
        <w:t xml:space="preserve">XXI. </w:t>
      </w:r>
      <w:r w:rsidRPr="00E15120">
        <w:rPr>
          <w:rFonts w:ascii="Palatino Linotype" w:eastAsia="Palatino Linotype" w:hAnsi="Palatino Linotype" w:cs="Palatino Linotype"/>
          <w:i/>
          <w:iCs/>
          <w:color w:val="000000"/>
        </w:rPr>
        <w:t>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b/>
          <w:bCs/>
          <w:i/>
          <w:iCs/>
          <w:color w:val="000000"/>
        </w:rPr>
      </w:pPr>
      <w:r w:rsidRPr="00E15120">
        <w:rPr>
          <w:rFonts w:ascii="Palatino Linotype" w:eastAsia="Palatino Linotype" w:hAnsi="Palatino Linotype" w:cs="Palatino Linotype"/>
          <w:b/>
          <w:bCs/>
          <w:i/>
          <w:iCs/>
          <w:color w:val="000000"/>
        </w:rPr>
        <w:t xml:space="preserve">XLV. Versión pública: </w:t>
      </w:r>
      <w:r w:rsidRPr="00E15120">
        <w:rPr>
          <w:rFonts w:ascii="Palatino Linotype" w:eastAsia="Palatino Linotype" w:hAnsi="Palatino Linotype" w:cs="Palatino Linotype"/>
          <w:i/>
          <w:iCs/>
          <w:color w:val="000000"/>
        </w:rPr>
        <w:t>Documento en el que se elimine, suprime o borra la información clasificada como reservada o confidencial para permitir su acceso.</w:t>
      </w:r>
    </w:p>
    <w:p w:rsidR="000A2B7A" w:rsidRPr="00E15120" w:rsidRDefault="000A2B7A">
      <w:pPr>
        <w:pBdr>
          <w:top w:val="nil"/>
          <w:left w:val="nil"/>
          <w:bottom w:val="nil"/>
          <w:right w:val="nil"/>
          <w:between w:val="nil"/>
        </w:pBdr>
        <w:ind w:left="851" w:right="851"/>
        <w:jc w:val="both"/>
        <w:rPr>
          <w:rFonts w:ascii="Palatino Linotype" w:eastAsia="Palatino Linotype" w:hAnsi="Palatino Linotype" w:cs="Palatino Linotype"/>
          <w:b/>
          <w:bCs/>
          <w:i/>
          <w:iCs/>
          <w:color w:val="000000"/>
        </w:rPr>
      </w:pP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b/>
          <w:bCs/>
          <w:i/>
          <w:iCs/>
          <w:color w:val="000000"/>
        </w:rPr>
      </w:pPr>
      <w:r w:rsidRPr="00E15120">
        <w:rPr>
          <w:rFonts w:ascii="Palatino Linotype" w:eastAsia="Palatino Linotype" w:hAnsi="Palatino Linotype" w:cs="Palatino Linotype"/>
          <w:b/>
          <w:bCs/>
          <w:i/>
          <w:iCs/>
          <w:color w:val="000000"/>
        </w:rPr>
        <w:t xml:space="preserve">Artículo 91. </w:t>
      </w:r>
      <w:r w:rsidRPr="00E15120">
        <w:rPr>
          <w:rFonts w:ascii="Palatino Linotype" w:eastAsia="Palatino Linotype" w:hAnsi="Palatino Linotype" w:cs="Palatino Linotype"/>
          <w:i/>
          <w:iCs/>
          <w:color w:val="000000"/>
        </w:rPr>
        <w:t>El acceso a la información pública será restringido excepcionalmente, cuando ésta sea clasificada como reservada o confidencial.</w:t>
      </w:r>
      <w:r w:rsidRPr="00E15120">
        <w:rPr>
          <w:rFonts w:ascii="Palatino Linotype" w:eastAsia="Palatino Linotype" w:hAnsi="Palatino Linotype" w:cs="Palatino Linotype"/>
          <w:i/>
          <w:iCs/>
          <w:color w:val="000000"/>
        </w:rPr>
        <w:br/>
        <w:t>(…)</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i/>
          <w:iCs/>
          <w:color w:val="000000"/>
        </w:rPr>
        <w:t xml:space="preserve">Artículo 143. </w:t>
      </w:r>
      <w:r w:rsidRPr="00E15120">
        <w:rPr>
          <w:rFonts w:ascii="Palatino Linotype" w:eastAsia="Palatino Linotype" w:hAnsi="Palatino Linotype" w:cs="Palatino Linotype"/>
          <w:i/>
          <w:iCs/>
          <w:color w:val="000000"/>
        </w:rPr>
        <w:t>Para los efectos de esta Ley se considera información confidencial, la clasificada como tal, de manera permanente, por su naturaleza, cuando:</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lastRenderedPageBreak/>
        <w:t>I. Se refiera a la información privada y los datos personales concernientes a una persona física o jurídico colectiva identificada o identificable;</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II. Los secretos bancario, fiduciario, industrial, comercial, fiscal, bursátil y postal, cuya titularidad corresponda a particulares, sujetos de derecho internacional o a sujetos obligados cuando no involucren el ejercicio de recursos públicos; y</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III. La que presenten los particulares a los sujetos obligados, de conformidad con lo dispuesto por las leyes o los tratados internacionales.</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La información confidencial no estará sujeta a temporalidad alguna y sólo podrán tener acceso a ella los titulares de la misma, sus representantes y los servidores públicos facultados para ello.</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No se considerará confidencial la información que se encuentre en los registros públicos o en fuentes de acceso público, ni tampoco la que sea considerada por la presente ley como información pública.</w:t>
      </w:r>
    </w:p>
    <w:p w:rsidR="000A2B7A" w:rsidRPr="00E15120" w:rsidRDefault="000A2B7A">
      <w:pPr>
        <w:pBdr>
          <w:top w:val="nil"/>
          <w:left w:val="nil"/>
          <w:bottom w:val="nil"/>
          <w:right w:val="nil"/>
          <w:between w:val="nil"/>
        </w:pBdr>
        <w:ind w:left="851" w:right="851"/>
        <w:jc w:val="both"/>
        <w:rPr>
          <w:rFonts w:ascii="Palatino Linotype" w:eastAsia="Palatino Linotype" w:hAnsi="Palatino Linotype" w:cs="Palatino Linotype"/>
          <w:b/>
          <w:bCs/>
          <w:i/>
          <w:iCs/>
          <w:color w:val="000000"/>
        </w:rPr>
      </w:pP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b/>
          <w:bCs/>
          <w:i/>
          <w:iCs/>
          <w:color w:val="000000"/>
        </w:rPr>
      </w:pPr>
      <w:r w:rsidRPr="00E15120">
        <w:rPr>
          <w:rFonts w:ascii="Palatino Linotype" w:eastAsia="Palatino Linotype" w:hAnsi="Palatino Linotype" w:cs="Palatino Linotype"/>
          <w:b/>
          <w:bCs/>
          <w:i/>
          <w:iCs/>
          <w:color w:val="000000"/>
        </w:rPr>
        <w:t xml:space="preserve">Artículo 146. </w:t>
      </w:r>
      <w:r w:rsidRPr="00E15120">
        <w:rPr>
          <w:rFonts w:ascii="Palatino Linotype" w:eastAsia="Palatino Linotype" w:hAnsi="Palatino Linotype" w:cs="Palatino Linotype"/>
          <w:i/>
          <w:iCs/>
          <w:color w:val="000000"/>
        </w:rPr>
        <w:t>Los sujetos obligados que se constituyan como contribuyentes o como autoridades en materia tributaria, no podrán clasificar la información relativa al ejercicio de recursos públicos como secreto fiscal.</w:t>
      </w:r>
      <w:r w:rsidRPr="00E15120">
        <w:rPr>
          <w:rFonts w:ascii="Palatino Linotype" w:eastAsia="Palatino Linotype" w:hAnsi="Palatino Linotype" w:cs="Palatino Linotype"/>
          <w:b/>
          <w:bCs/>
          <w:i/>
          <w:iCs/>
          <w:color w:val="000000"/>
        </w:rPr>
        <w:t xml:space="preserve"> </w:t>
      </w:r>
    </w:p>
    <w:p w:rsidR="000A2B7A" w:rsidRPr="00E15120" w:rsidRDefault="00CF249E">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(Énfasis añadido)</w:t>
      </w:r>
    </w:p>
    <w:p w:rsidR="000A2B7A" w:rsidRPr="00E15120" w:rsidRDefault="00CF249E">
      <w:pPr>
        <w:numPr>
          <w:ilvl w:val="0"/>
          <w:numId w:val="6"/>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De los dispositivos legales citados, se desprende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el artículo 14 con relación con el 58 de la Ley de Protección de Datos Personales del Estado de México. </w:t>
      </w:r>
    </w:p>
    <w:p w:rsidR="000A2B7A" w:rsidRPr="00E15120" w:rsidRDefault="00CF249E">
      <w:pPr>
        <w:numPr>
          <w:ilvl w:val="0"/>
          <w:numId w:val="6"/>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De este modo, en armonía entre los principios constitucionales de máxima publicidad y de protección de datos personales, la Ley permite la elaboración de versiones públicas en las </w:t>
      </w:r>
      <w:r w:rsidRPr="00E15120">
        <w:rPr>
          <w:rFonts w:ascii="Palatino Linotype" w:eastAsia="Palatino Linotype" w:hAnsi="Palatino Linotype" w:cs="Palatino Linotype"/>
          <w:color w:val="000000"/>
        </w:rPr>
        <w:lastRenderedPageBreak/>
        <w:t>que se suprima aquella información relacionada con la vida privada de los particulares y de los servidores públicos.</w:t>
      </w:r>
    </w:p>
    <w:p w:rsidR="000A2B7A" w:rsidRPr="00E15120" w:rsidRDefault="00CF249E">
      <w:pPr>
        <w:numPr>
          <w:ilvl w:val="0"/>
          <w:numId w:val="6"/>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Así, los LINEAMIENTOS GENERALES EN MATERIA DE CLASIFICACIÓN Y DESCLASIFICACIÓN DE LA INFORMACIÓN, ASÍ COMO PARA LA ELABORACIÓN DE VERSIONES PÚBLICAS, emitidos por el Consejo Nacional de Transparencia, señalan la forma para la realización de las versiones públicas. </w:t>
      </w:r>
    </w:p>
    <w:p w:rsidR="000A2B7A" w:rsidRPr="00E15120" w:rsidRDefault="00CF249E">
      <w:pPr>
        <w:numPr>
          <w:ilvl w:val="0"/>
          <w:numId w:val="6"/>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En el caso específico, es insoslayable, resaltar que al tratarse de información de beneficiarios, si bien el nombre de aquellos es público, no pasa desapercibido que pudieran encontrarse demás datos de identificación que afecten la privacidad de las personas, ello es así ya que la excepción de publicidad, es aquella información que tenga el carácter de confidencial (datos personales), por lo que debe privilegiarse el acceso a la información bajo el principio de máxima divulgación, empero sin violar el derecho a la intimidad por medio de la protección de datos personales, por ende de la información que se ponga a disposición, </w:t>
      </w:r>
      <w:r w:rsidRPr="00E15120">
        <w:rPr>
          <w:rFonts w:ascii="Palatino Linotype" w:eastAsia="Palatino Linotype" w:hAnsi="Palatino Linotype" w:cs="Palatino Linotype"/>
          <w:b/>
          <w:bCs/>
          <w:color w:val="000000"/>
        </w:rPr>
        <w:t>su entrega deberá ser en versión pública;</w:t>
      </w:r>
      <w:r w:rsidRPr="00E15120">
        <w:rPr>
          <w:rFonts w:ascii="Palatino Linotype" w:eastAsia="Palatino Linotype" w:hAnsi="Palatino Linotype" w:cs="Palatino Linotype"/>
          <w:color w:val="000000"/>
        </w:rPr>
        <w:t xml:space="preserve"> lo anterior es así, toda vez que si bien el nombre de los beneficiarios es público, empero cierto lo es también la información que se ordena entregar puede contener el nombre de las personas que fueron beneficiadas por los diversos programas, por lo que a criterio de este órgano Garante la información relativa a los nombres de los beneficiarios (especialmente tratándose de adul tos mayores) la misma debe considerarse como confidencial, toda vez que como se prevé en el artículo 143, de la Ley de Transparencia y Acceso a la Información Pública del Estado de México y Municipios se refiere a información privada y a los datos concernientes a una persona física que lo identifica y lo hace identificable, en este sentido se concluye que respecto a la información precisada con anterioridad debe precisarse que la misma debe ser testada.</w:t>
      </w: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lastRenderedPageBreak/>
        <w:t>Por otra parte, debe precisarse que en la presente resolución del recurso de revisión al rubro anotado, también se vela por la protección de los datos personales de la población que presentan alguna discapacidad física o mental, así como por su situación económica se encuentran en un alto grado de vulnerabilidad, lo anterior es así, toda vez que a manera de ejemplo se debe precisar que las Reglas de Operación del Programa de Apoyo a la Vivienda para el ejercicio Fiscal 2016 se establece que el Programa de Apoyo a la Vivienda, se destinará, exclusivamente a la población con carencias en materia de vivienda, en condiciones de vulnerabilidad, rezago y de marginación, de acuerdo con los criterios de resultados que defina el Consejo Nacional de Población y a las evaluaciones del Consejo Nacional de Evaluación de la Política de Desarrollo Social, en los programas que resulte aplicable y la Declaratoria de Zonas de Atención Prioritaria formulada por la Cámara de Diputados, mediante acciones que promuevan una mejor calidad de la vivienda urbana y rural, a través de la educación, la salud, la alimentación, la generación de empleo e ingreso, autoempleo y capacitación; protección social y programas asistenciales; el desarrollo regional; la infraestructura social básica y el fomento del sector social de la economía; conforme lo establece el artículo 14 de la Ley General de Desarrollo Social.</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Cabe precisar que los programas sociales fueron diseñados para apoyar a los hogares de menores ingresos económicos disminuyendo los índices de rezago social, mediante el otorgamiento de apoyos económicos como subsidio, siendo oportuno agregar que los programas sociales están dirigidos a personas de localidades clasificadas con alto y muy alto grado de marginalidad, motivo por el cual este Órgano Garante considera que debe precisarse adultos mayores (tercera edad) el nombre de los beneficiarios debe testarse, lo anterior es así, toda vez que las referidas personas pertenecen a un sector de la población que en razón de su </w:t>
      </w:r>
      <w:r w:rsidRPr="00E15120">
        <w:rPr>
          <w:rFonts w:ascii="Palatino Linotype" w:eastAsia="Palatino Linotype" w:hAnsi="Palatino Linotype" w:cs="Palatino Linotype"/>
          <w:color w:val="000000"/>
        </w:rPr>
        <w:lastRenderedPageBreak/>
        <w:t>situación económica son vulnerables, es decir, permite que los beneficiarios puedan ser identificados o identificables; razón por la cual el suscrito emite la presente opinión particular.</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right="51"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Verbigracia, previo a poner a disposición la información correspondiente debe considerarse que tiene carácter de confidencial el Registro Federal de Contribuyentes (RFC),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rsidR="000A2B7A" w:rsidRPr="00E15120" w:rsidRDefault="000A2B7A">
      <w:pPr>
        <w:pBdr>
          <w:top w:val="nil"/>
          <w:left w:val="nil"/>
          <w:bottom w:val="nil"/>
          <w:right w:val="nil"/>
          <w:between w:val="nil"/>
        </w:pBdr>
        <w:spacing w:line="360" w:lineRule="auto"/>
        <w:ind w:right="51"/>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right="-91"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En cuanto al Registro Federal de Contribuyentes de las personas físicas constituye un dato personal, ya que para su obtención es necesario acreditar ante la autoridad fiscal previamente la identidad de la persona, su fecha de nacimiento, entre otros aspectos.</w:t>
      </w:r>
    </w:p>
    <w:p w:rsidR="000A2B7A" w:rsidRPr="00E15120" w:rsidRDefault="000A2B7A">
      <w:pPr>
        <w:pBdr>
          <w:top w:val="nil"/>
          <w:left w:val="nil"/>
          <w:bottom w:val="nil"/>
          <w:right w:val="nil"/>
          <w:between w:val="nil"/>
        </w:pBdr>
        <w:spacing w:line="360" w:lineRule="auto"/>
        <w:ind w:right="-91"/>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right="-91"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rsidR="000A2B7A" w:rsidRPr="00E15120" w:rsidRDefault="000A2B7A">
      <w:pPr>
        <w:pBdr>
          <w:top w:val="nil"/>
          <w:left w:val="nil"/>
          <w:bottom w:val="nil"/>
          <w:right w:val="nil"/>
          <w:between w:val="nil"/>
        </w:pBdr>
        <w:spacing w:line="360" w:lineRule="auto"/>
        <w:ind w:right="-91"/>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right="-91"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Lo anterior es compartido por el entonces Instituto Federal de Acceso a la Información y Protección de Datos Personales (IFAI), ahora Instituto Nacional de Transparencia, Acceso a la Información Pública y Protección de Datos Personales (INAI), a través del Criterio 09/2009, el cual es del tenor literal siguiente:</w:t>
      </w:r>
    </w:p>
    <w:p w:rsidR="000A2B7A" w:rsidRPr="00E15120" w:rsidRDefault="00CF249E">
      <w:pPr>
        <w:pBdr>
          <w:top w:val="nil"/>
          <w:left w:val="nil"/>
          <w:bottom w:val="nil"/>
          <w:right w:val="nil"/>
          <w:between w:val="nil"/>
        </w:pBdr>
        <w:ind w:left="851" w:right="85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w:t>
      </w:r>
      <w:r w:rsidRPr="00E15120">
        <w:rPr>
          <w:rFonts w:ascii="Palatino Linotype" w:eastAsia="Palatino Linotype" w:hAnsi="Palatino Linotype" w:cs="Palatino Linotype"/>
          <w:b/>
          <w:bCs/>
          <w:i/>
          <w:iCs/>
          <w:color w:val="000000"/>
        </w:rPr>
        <w:t>Registro Federal de Contribuyentes (RFC) de las personas físicas es un dato personal confidencial</w:t>
      </w:r>
      <w:r w:rsidRPr="00E15120">
        <w:rPr>
          <w:rFonts w:ascii="Palatino Linotype" w:eastAsia="Palatino Linotype" w:hAnsi="Palatino Linotype" w:cs="Palatino Linotype"/>
          <w:i/>
          <w:iCs/>
          <w:color w:val="000000"/>
        </w:rPr>
        <w:t xml:space="preserve">. De conformidad con lo establecido en el artículo 18, fracción II de la Ley Federal de Transparencia y Acceso a la Información Pública Gubernamental </w:t>
      </w:r>
      <w:r w:rsidRPr="00E15120">
        <w:rPr>
          <w:rFonts w:ascii="Palatino Linotype" w:eastAsia="Palatino Linotype" w:hAnsi="Palatino Linotype" w:cs="Palatino Linotype"/>
          <w:i/>
          <w:iCs/>
          <w:color w:val="000000"/>
          <w:u w:val="single"/>
        </w:rPr>
        <w:lastRenderedPageBreak/>
        <w:t>se considera información confidencial los datos personales que requieren el consentimiento de los individuos para su difusión, distribución o comercialización en los términos de esta Ley. Por su parte, según dispone el artículo 3, fracción II de la Ley Federal de Transparencia y Acceso a la Información Pública Gubernamental, dato personal es toda aquella información concerniente a una persona física identificada o identificable</w:t>
      </w:r>
      <w:r w:rsidRPr="00E15120">
        <w:rPr>
          <w:rFonts w:ascii="Palatino Linotype" w:eastAsia="Palatino Linotype" w:hAnsi="Palatino Linotype" w:cs="Palatino Linotype"/>
          <w:i/>
          <w:iCs/>
          <w:color w:val="000000"/>
        </w:rPr>
        <w:t xml:space="preserve">. Para </w:t>
      </w:r>
      <w:r w:rsidRPr="00E15120">
        <w:rPr>
          <w:rFonts w:ascii="Palatino Linotype" w:eastAsia="Palatino Linotype" w:hAnsi="Palatino Linotype" w:cs="Palatino Linotype"/>
          <w:i/>
          <w:iCs/>
          <w:color w:val="000000"/>
          <w:u w:val="single"/>
        </w:rPr>
        <w:t xml:space="preserve">obtener el RFC es necesario acreditar previamente mediante documentos oficiales (pasaporte, acta de nacimiento, etc.) la identidad de la persona, su fecha y lugar de nacimiento, entre otros. </w:t>
      </w:r>
      <w:r w:rsidRPr="00E15120">
        <w:rPr>
          <w:rFonts w:ascii="Palatino Linotype" w:eastAsia="Palatino Linotype" w:hAnsi="Palatino Linotype" w:cs="Palatino Linotype"/>
          <w:i/>
          <w:iCs/>
          <w:color w:val="000000"/>
        </w:rPr>
        <w:t>De acuerdo con la legislación tributaria, las personas físicas tramitan su inscripción en el Registro Federal de Contribuyentes con el único propósito de realizar mediante esa clave de identificación, operaciones o actividades de naturaleza tributaria. En este sentido, el artículo 79 del Código Fiscal de la Federación prevé que la utilización de una clave de registro no asignada por la autoridad constituye como una infracción en materia fiscal. De acuerdo con lo antes apuntado, el RFC vinculado al nombre de su titular, permite identificar la edad de la persona, así como su homoclave, siendo esta última única e irrepetible, por lo que es posible concluir que el RFC constituye un dato personal y, por tanto, información confidencial, de conformidad con los previsto en el artículo 18, fracción II de la Ley Federal de Transparencia y Acceso a la Información Pública Gubernamental.</w:t>
      </w:r>
    </w:p>
    <w:p w:rsidR="000A2B7A" w:rsidRPr="00E15120" w:rsidRDefault="000A2B7A">
      <w:pPr>
        <w:pBdr>
          <w:top w:val="nil"/>
          <w:left w:val="nil"/>
          <w:bottom w:val="nil"/>
          <w:right w:val="nil"/>
          <w:between w:val="nil"/>
        </w:pBdr>
        <w:spacing w:after="120"/>
        <w:ind w:left="644" w:right="850"/>
        <w:jc w:val="both"/>
        <w:rPr>
          <w:rFonts w:ascii="Palatino Linotype" w:eastAsia="Palatino Linotype" w:hAnsi="Palatino Linotype" w:cs="Palatino Linotype"/>
          <w:i/>
          <w:iCs/>
          <w:color w:val="000000"/>
        </w:rPr>
      </w:pPr>
    </w:p>
    <w:p w:rsidR="000A2B7A" w:rsidRPr="00E15120" w:rsidRDefault="00CF249E">
      <w:pPr>
        <w:numPr>
          <w:ilvl w:val="0"/>
          <w:numId w:val="6"/>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rsidR="000A2B7A" w:rsidRPr="00E15120" w:rsidRDefault="00CF249E">
      <w:pPr>
        <w:numPr>
          <w:ilvl w:val="0"/>
          <w:numId w:val="6"/>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En cuanto a la Clave Única de Registro de Población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rsidR="000A2B7A" w:rsidRPr="00E15120" w:rsidRDefault="00CF249E">
      <w:pPr>
        <w:numPr>
          <w:ilvl w:val="0"/>
          <w:numId w:val="6"/>
        </w:numPr>
        <w:pBdr>
          <w:top w:val="nil"/>
          <w:left w:val="nil"/>
          <w:bottom w:val="nil"/>
          <w:right w:val="nil"/>
          <w:between w:val="nil"/>
        </w:pBdr>
        <w:spacing w:before="240" w:line="360" w:lineRule="auto"/>
        <w:ind w:left="0" w:right="-91"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 xml:space="preserve">Argumento que es compartido por el entonces </w:t>
      </w:r>
      <w:r w:rsidRPr="00E15120">
        <w:rPr>
          <w:rFonts w:ascii="Palatino Linotype" w:eastAsia="Palatino Linotype" w:hAnsi="Palatino Linotype" w:cs="Palatino Linotype"/>
          <w:b/>
          <w:bCs/>
          <w:color w:val="000000"/>
        </w:rPr>
        <w:t xml:space="preserve">Instituto Federal de Acceso a la Información y Protección de Datos (IFAI), hoy Instituto Nacional de Transparencia, Acceso a </w:t>
      </w:r>
      <w:r w:rsidRPr="00E15120">
        <w:rPr>
          <w:rFonts w:ascii="Palatino Linotype" w:eastAsia="Palatino Linotype" w:hAnsi="Palatino Linotype" w:cs="Palatino Linotype"/>
          <w:b/>
          <w:bCs/>
          <w:color w:val="000000"/>
        </w:rPr>
        <w:lastRenderedPageBreak/>
        <w:t xml:space="preserve">la Información Pública y Protección de Datos Personales, conforme al </w:t>
      </w:r>
      <w:r w:rsidRPr="00E15120">
        <w:rPr>
          <w:rFonts w:ascii="Palatino Linotype" w:eastAsia="Palatino Linotype" w:hAnsi="Palatino Linotype" w:cs="Palatino Linotype"/>
          <w:color w:val="000000"/>
        </w:rPr>
        <w:t xml:space="preserve">criterio número 0003-10, el cual refiere: </w:t>
      </w:r>
    </w:p>
    <w:p w:rsidR="000A2B7A" w:rsidRPr="00E15120" w:rsidRDefault="00CF249E">
      <w:pPr>
        <w:pBdr>
          <w:top w:val="nil"/>
          <w:left w:val="nil"/>
          <w:bottom w:val="nil"/>
          <w:right w:val="nil"/>
          <w:between w:val="nil"/>
        </w:pBdr>
        <w:spacing w:after="240"/>
        <w:ind w:left="851" w:right="850"/>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i/>
          <w:iCs/>
          <w:color w:val="000000"/>
        </w:rPr>
        <w:t>“</w:t>
      </w:r>
      <w:r w:rsidRPr="00E15120">
        <w:rPr>
          <w:rFonts w:ascii="Palatino Linotype" w:eastAsia="Palatino Linotype" w:hAnsi="Palatino Linotype" w:cs="Palatino Linotype"/>
          <w:b/>
          <w:bCs/>
          <w:i/>
          <w:iCs/>
          <w:color w:val="000000"/>
        </w:rPr>
        <w:t>Clave Única de Registro de Población (CURP) es un dato personal confidencial.</w:t>
      </w:r>
      <w:r w:rsidRPr="00E15120">
        <w:rPr>
          <w:rFonts w:ascii="Palatino Linotype" w:eastAsia="Palatino Linotype" w:hAnsi="Palatino Linotype" w:cs="Palatino Linotype"/>
          <w:i/>
          <w:iCs/>
          <w:color w:val="000000"/>
        </w:rPr>
        <w:t xml:space="preserve"> De conformidad con lo establecido en el artículo 3, fracción II de la Ley Federal de Transparencia y Acceso a la Información Pública Gubernamental, </w:t>
      </w:r>
      <w:r w:rsidRPr="00E15120">
        <w:rPr>
          <w:rFonts w:ascii="Palatino Linotype" w:eastAsia="Palatino Linotype" w:hAnsi="Palatino Linotype" w:cs="Palatino Linotype"/>
          <w:i/>
          <w:iCs/>
          <w:color w:val="000000"/>
          <w:u w:val="single"/>
        </w:rPr>
        <w:t>dato personal es toda aquella información concerniente a una persona física identificada o identificable.</w:t>
      </w:r>
      <w:r w:rsidRPr="00E15120">
        <w:rPr>
          <w:rFonts w:ascii="Palatino Linotype" w:eastAsia="Palatino Linotype" w:hAnsi="Palatino Linotype" w:cs="Palatino Linotype"/>
          <w:i/>
          <w:iCs/>
          <w:color w:val="000000"/>
        </w:rPr>
        <w:t xml:space="preserv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0A2B7A" w:rsidRPr="00E15120" w:rsidRDefault="000A2B7A">
      <w:pPr>
        <w:pBdr>
          <w:top w:val="nil"/>
          <w:left w:val="nil"/>
          <w:bottom w:val="nil"/>
          <w:right w:val="nil"/>
          <w:between w:val="nil"/>
        </w:pBdr>
        <w:spacing w:line="360" w:lineRule="auto"/>
        <w:ind w:left="644"/>
        <w:jc w:val="both"/>
        <w:rPr>
          <w:rFonts w:ascii="Palatino Linotype" w:eastAsia="Palatino Linotype" w:hAnsi="Palatino Linotype" w:cs="Palatino Linotype"/>
          <w:color w:val="000000"/>
        </w:rPr>
      </w:pPr>
    </w:p>
    <w:p w:rsidR="000A2B7A" w:rsidRPr="00E15120" w:rsidRDefault="00CF249E">
      <w:pPr>
        <w:numPr>
          <w:ilvl w:val="0"/>
          <w:numId w:val="6"/>
        </w:numPr>
        <w:pBdr>
          <w:top w:val="nil"/>
          <w:left w:val="nil"/>
          <w:bottom w:val="nil"/>
          <w:right w:val="nil"/>
          <w:between w:val="nil"/>
        </w:pBdr>
        <w:spacing w:line="360" w:lineRule="auto"/>
        <w:ind w:left="0" w:right="51" w:firstLine="0"/>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color w:val="000000"/>
        </w:rPr>
        <w:t>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LINEAMIENTOS GENERALES EN MATERIA DE CLASIFICACIÓN Y DESCLASIFICACIÓN DE LA INFORMACIÓN, ASÍ COMO PARA LA ELABORACIÓN DE VERSIONES PÚBLICAS, publicados en el Diario Oficial de la Federación en fecha quince de abril de dos mil dieciséis, mediante Acuerdo del Consejo Nacional del Sistema Nacional de Transparencia, Acceso a la Información Pública y Protección de Datos Personales.</w:t>
      </w:r>
    </w:p>
    <w:p w:rsidR="000A2B7A" w:rsidRPr="00E15120" w:rsidRDefault="000A2B7A">
      <w:pPr>
        <w:pBdr>
          <w:top w:val="nil"/>
          <w:left w:val="nil"/>
          <w:bottom w:val="nil"/>
          <w:right w:val="nil"/>
          <w:between w:val="nil"/>
        </w:pBdr>
        <w:spacing w:line="360" w:lineRule="auto"/>
        <w:ind w:left="360" w:right="51"/>
        <w:jc w:val="both"/>
        <w:rPr>
          <w:rFonts w:ascii="Palatino Linotype" w:eastAsia="Palatino Linotype" w:hAnsi="Palatino Linotype" w:cs="Palatino Linotype"/>
          <w:color w:val="000000"/>
        </w:rPr>
      </w:pPr>
    </w:p>
    <w:p w:rsidR="000A2B7A" w:rsidRPr="00E15120" w:rsidRDefault="00CF249E">
      <w:pPr>
        <w:numPr>
          <w:ilvl w:val="0"/>
          <w:numId w:val="6"/>
        </w:numPr>
        <w:spacing w:line="360" w:lineRule="auto"/>
        <w:ind w:left="0" w:firstLine="0"/>
        <w:jc w:val="both"/>
        <w:rPr>
          <w:rFonts w:ascii="Palatino Linotype" w:eastAsia="Palatino Linotype" w:hAnsi="Palatino Linotype" w:cs="Palatino Linotype"/>
        </w:rPr>
      </w:pPr>
      <w:r w:rsidRPr="00E15120">
        <w:rPr>
          <w:rFonts w:ascii="Palatino Linotype" w:eastAsia="Palatino Linotype" w:hAnsi="Palatino Linotype" w:cs="Palatino Linotype"/>
          <w:color w:val="000000"/>
        </w:rPr>
        <w:t xml:space="preserve">Por lo anteriormente expuesto y fundado, este </w:t>
      </w:r>
      <w:r w:rsidRPr="00E15120">
        <w:rPr>
          <w:rFonts w:ascii="Palatino Linotype" w:eastAsia="Palatino Linotype" w:hAnsi="Palatino Linotype" w:cs="Palatino Linotype"/>
          <w:b/>
          <w:bCs/>
          <w:color w:val="000000"/>
        </w:rPr>
        <w:t>ÓRGANO GARANTE</w:t>
      </w:r>
      <w:r w:rsidRPr="00E15120">
        <w:rPr>
          <w:rFonts w:ascii="Palatino Linotype" w:eastAsia="Palatino Linotype" w:hAnsi="Palatino Linotype" w:cs="Palatino Linotype"/>
          <w:color w:val="000000"/>
        </w:rPr>
        <w:t xml:space="preserve"> emite los siguientes:</w:t>
      </w:r>
      <w:r w:rsidR="00E15120">
        <w:rPr>
          <w:rFonts w:ascii="Palatino Linotype" w:eastAsia="Palatino Linotype" w:hAnsi="Palatino Linotype" w:cs="Palatino Linotype"/>
          <w:color w:val="000000"/>
        </w:rPr>
        <w:t xml:space="preserve"> --------------------------------------------------------------------------------------------------------------</w:t>
      </w:r>
    </w:p>
    <w:p w:rsidR="000A2B7A" w:rsidRPr="00E15120" w:rsidRDefault="00CF249E">
      <w:pPr>
        <w:keepNext/>
        <w:keepLines/>
        <w:spacing w:before="240" w:line="360" w:lineRule="auto"/>
        <w:jc w:val="center"/>
        <w:rPr>
          <w:rFonts w:ascii="Palatino Linotype" w:eastAsia="Palatino Linotype" w:hAnsi="Palatino Linotype" w:cs="Palatino Linotype"/>
          <w:b/>
          <w:bCs/>
          <w:color w:val="000000"/>
        </w:rPr>
      </w:pPr>
      <w:r w:rsidRPr="00E15120">
        <w:rPr>
          <w:rFonts w:ascii="Palatino Linotype" w:eastAsia="Palatino Linotype" w:hAnsi="Palatino Linotype" w:cs="Palatino Linotype"/>
          <w:b/>
          <w:bCs/>
          <w:color w:val="000000"/>
        </w:rPr>
        <w:lastRenderedPageBreak/>
        <w:t>R E S O L U T I V O S</w:t>
      </w:r>
    </w:p>
    <w:p w:rsidR="000A2B7A" w:rsidRPr="00E15120" w:rsidRDefault="000A2B7A">
      <w:pPr>
        <w:keepNext/>
        <w:keepLines/>
        <w:spacing w:before="240" w:line="360" w:lineRule="auto"/>
        <w:jc w:val="center"/>
        <w:rPr>
          <w:rFonts w:ascii="Palatino Linotype" w:eastAsia="Palatino Linotype" w:hAnsi="Palatino Linotype" w:cs="Palatino Linotype"/>
          <w:b/>
          <w:bCs/>
          <w:color w:val="000000"/>
        </w:rPr>
      </w:pPr>
    </w:p>
    <w:p w:rsidR="000A2B7A" w:rsidRPr="00E15120" w:rsidRDefault="00CF249E">
      <w:pPr>
        <w:spacing w:line="360" w:lineRule="auto"/>
        <w:jc w:val="both"/>
        <w:rPr>
          <w:rFonts w:ascii="Palatino Linotype" w:eastAsia="Palatino Linotype" w:hAnsi="Palatino Linotype" w:cs="Palatino Linotype"/>
        </w:rPr>
      </w:pPr>
      <w:r w:rsidRPr="00E15120">
        <w:rPr>
          <w:rFonts w:ascii="Palatino Linotype" w:eastAsia="Palatino Linotype" w:hAnsi="Palatino Linotype" w:cs="Palatino Linotype"/>
          <w:b/>
          <w:bCs/>
        </w:rPr>
        <w:t xml:space="preserve">PRIMERO. </w:t>
      </w:r>
      <w:r w:rsidRPr="00E15120">
        <w:rPr>
          <w:rFonts w:ascii="Palatino Linotype" w:eastAsia="Palatino Linotype" w:hAnsi="Palatino Linotype" w:cs="Palatino Linotype"/>
        </w:rPr>
        <w:t>Resultan fundadas las</w:t>
      </w:r>
      <w:r w:rsidRPr="00E15120">
        <w:rPr>
          <w:rFonts w:ascii="Palatino Linotype" w:eastAsia="Palatino Linotype" w:hAnsi="Palatino Linotype" w:cs="Palatino Linotype"/>
          <w:b/>
          <w:bCs/>
        </w:rPr>
        <w:t xml:space="preserve"> </w:t>
      </w:r>
      <w:r w:rsidRPr="00E15120">
        <w:rPr>
          <w:rFonts w:ascii="Palatino Linotype" w:eastAsia="Palatino Linotype" w:hAnsi="Palatino Linotype" w:cs="Palatino Linotype"/>
        </w:rPr>
        <w:t xml:space="preserve">razones o motivos de inconformidad hechos valer en el recurso de revisión </w:t>
      </w:r>
      <w:r w:rsidRPr="00E15120">
        <w:rPr>
          <w:rFonts w:ascii="Palatino Linotype" w:eastAsia="Palatino Linotype" w:hAnsi="Palatino Linotype" w:cs="Palatino Linotype"/>
          <w:b/>
          <w:bCs/>
        </w:rPr>
        <w:t xml:space="preserve">09438/INFOEM/IP/RR/2025 </w:t>
      </w:r>
      <w:r w:rsidRPr="00E15120">
        <w:rPr>
          <w:rFonts w:ascii="Palatino Linotype" w:eastAsia="Palatino Linotype" w:hAnsi="Palatino Linotype" w:cs="Palatino Linotype"/>
        </w:rPr>
        <w:t xml:space="preserve">en términos de los </w:t>
      </w:r>
      <w:r w:rsidRPr="00E15120">
        <w:rPr>
          <w:rFonts w:ascii="Palatino Linotype" w:eastAsia="Palatino Linotype" w:hAnsi="Palatino Linotype" w:cs="Palatino Linotype"/>
          <w:b/>
          <w:bCs/>
        </w:rPr>
        <w:t>Considerandos</w:t>
      </w:r>
      <w:r w:rsidRPr="00E15120">
        <w:rPr>
          <w:rFonts w:ascii="Palatino Linotype" w:eastAsia="Palatino Linotype" w:hAnsi="Palatino Linotype" w:cs="Palatino Linotype"/>
        </w:rPr>
        <w:t xml:space="preserve"> </w:t>
      </w:r>
      <w:r w:rsidRPr="00E15120">
        <w:rPr>
          <w:rFonts w:ascii="Palatino Linotype" w:eastAsia="Palatino Linotype" w:hAnsi="Palatino Linotype" w:cs="Palatino Linotype"/>
          <w:b/>
          <w:bCs/>
        </w:rPr>
        <w:t xml:space="preserve">CUARTO y QUINTO </w:t>
      </w:r>
      <w:r w:rsidRPr="00E15120">
        <w:rPr>
          <w:rFonts w:ascii="Palatino Linotype" w:eastAsia="Palatino Linotype" w:hAnsi="Palatino Linotype" w:cs="Palatino Linotype"/>
        </w:rPr>
        <w:t>de la presente resolución.</w:t>
      </w:r>
    </w:p>
    <w:p w:rsidR="000A2B7A" w:rsidRPr="00E15120" w:rsidRDefault="000A2B7A">
      <w:pPr>
        <w:spacing w:line="360" w:lineRule="auto"/>
        <w:jc w:val="both"/>
        <w:rPr>
          <w:rFonts w:ascii="Palatino Linotype" w:eastAsia="Palatino Linotype" w:hAnsi="Palatino Linotype" w:cs="Palatino Linotype"/>
        </w:rPr>
      </w:pPr>
    </w:p>
    <w:p w:rsidR="000A2B7A" w:rsidRPr="00E15120" w:rsidRDefault="00CF249E">
      <w:pPr>
        <w:spacing w:line="360" w:lineRule="auto"/>
        <w:jc w:val="both"/>
        <w:rPr>
          <w:rFonts w:ascii="Palatino Linotype" w:eastAsia="Palatino Linotype" w:hAnsi="Palatino Linotype" w:cs="Palatino Linotype"/>
        </w:rPr>
      </w:pPr>
      <w:bookmarkStart w:id="9" w:name="_heading=h.26in1rg" w:colFirst="0" w:colLast="0"/>
      <w:bookmarkEnd w:id="9"/>
      <w:r w:rsidRPr="00E15120">
        <w:rPr>
          <w:rFonts w:ascii="Palatino Linotype" w:eastAsia="Palatino Linotype" w:hAnsi="Palatino Linotype" w:cs="Palatino Linotype"/>
          <w:b/>
          <w:bCs/>
        </w:rPr>
        <w:t>SEGUNDO.</w:t>
      </w:r>
      <w:r w:rsidRPr="00E15120">
        <w:rPr>
          <w:rFonts w:ascii="Palatino Linotype" w:eastAsia="Palatino Linotype" w:hAnsi="Palatino Linotype" w:cs="Palatino Linotype"/>
          <w:color w:val="2F5496"/>
        </w:rPr>
        <w:t xml:space="preserve"> </w:t>
      </w:r>
      <w:r w:rsidRPr="00E15120">
        <w:rPr>
          <w:rFonts w:ascii="Palatino Linotype" w:eastAsia="Palatino Linotype" w:hAnsi="Palatino Linotype" w:cs="Palatino Linotype"/>
        </w:rPr>
        <w:t>Se</w:t>
      </w:r>
      <w:r w:rsidRPr="00E15120">
        <w:rPr>
          <w:rFonts w:ascii="Palatino Linotype" w:eastAsia="Palatino Linotype" w:hAnsi="Palatino Linotype" w:cs="Palatino Linotype"/>
          <w:b/>
          <w:bCs/>
        </w:rPr>
        <w:t xml:space="preserve"> MODIFICA </w:t>
      </w:r>
      <w:r w:rsidRPr="00E15120">
        <w:rPr>
          <w:rFonts w:ascii="Palatino Linotype" w:eastAsia="Palatino Linotype" w:hAnsi="Palatino Linotype" w:cs="Palatino Linotype"/>
        </w:rPr>
        <w:t xml:space="preserve">la respuesta emitida por el </w:t>
      </w:r>
      <w:r w:rsidRPr="00E15120">
        <w:rPr>
          <w:rFonts w:ascii="Palatino Linotype" w:eastAsia="Palatino Linotype" w:hAnsi="Palatino Linotype" w:cs="Palatino Linotype"/>
          <w:b/>
          <w:bCs/>
        </w:rPr>
        <w:t xml:space="preserve">Sistema Municipal Para el Desarrollo Integral de la Familia de Zinacantepec </w:t>
      </w:r>
      <w:r w:rsidRPr="00E15120">
        <w:rPr>
          <w:rFonts w:ascii="Palatino Linotype" w:eastAsia="Palatino Linotype" w:hAnsi="Palatino Linotype" w:cs="Palatino Linotype"/>
        </w:rPr>
        <w:t xml:space="preserve">a la solicitud </w:t>
      </w:r>
      <w:r w:rsidRPr="00E15120">
        <w:rPr>
          <w:rFonts w:ascii="Palatino Linotype" w:eastAsia="Palatino Linotype" w:hAnsi="Palatino Linotype" w:cs="Palatino Linotype"/>
          <w:b/>
          <w:bCs/>
          <w:color w:val="000000"/>
        </w:rPr>
        <w:t>00028/DIFZINACAN/IP/2025,</w:t>
      </w:r>
      <w:r w:rsidRPr="00E15120">
        <w:rPr>
          <w:rFonts w:ascii="Palatino Linotype" w:eastAsia="Palatino Linotype" w:hAnsi="Palatino Linotype" w:cs="Palatino Linotype"/>
        </w:rPr>
        <w:t xml:space="preserve"> y se </w:t>
      </w:r>
      <w:r w:rsidRPr="00E15120">
        <w:rPr>
          <w:rFonts w:ascii="Palatino Linotype" w:eastAsia="Palatino Linotype" w:hAnsi="Palatino Linotype" w:cs="Palatino Linotype"/>
          <w:b/>
          <w:bCs/>
        </w:rPr>
        <w:t>ORDENA</w:t>
      </w:r>
      <w:r w:rsidRPr="00E15120">
        <w:rPr>
          <w:rFonts w:ascii="Palatino Linotype" w:eastAsia="Palatino Linotype" w:hAnsi="Palatino Linotype" w:cs="Palatino Linotype"/>
        </w:rPr>
        <w:t xml:space="preserve"> la entrega, a través del Sistema de Acceso a la Información Mexiquense, de ser procedente en versión pública, el soporte documental donde conste, la siguiente información sobre los programas, servicios o apoyos para adultos mayores, del primero de enero al veinte de junio de dos mil veinticinco:</w:t>
      </w:r>
    </w:p>
    <w:p w:rsidR="000A2B7A" w:rsidRPr="00E15120" w:rsidRDefault="000A2B7A">
      <w:pPr>
        <w:spacing w:line="360" w:lineRule="auto"/>
        <w:jc w:val="both"/>
        <w:rPr>
          <w:rFonts w:ascii="Palatino Linotype" w:eastAsia="Palatino Linotype" w:hAnsi="Palatino Linotype" w:cs="Palatino Linotype"/>
        </w:rPr>
      </w:pPr>
    </w:p>
    <w:p w:rsidR="000A2B7A" w:rsidRPr="00E15120" w:rsidRDefault="00CF249E">
      <w:pPr>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color w:val="000000"/>
        </w:rPr>
        <w:t>Número de beneficiarios atendidos por comunidad o al mayor grado de desagregación posible;</w:t>
      </w:r>
    </w:p>
    <w:p w:rsidR="000A2B7A" w:rsidRPr="00E15120" w:rsidRDefault="00CF249E">
      <w:pPr>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color w:val="000000"/>
        </w:rPr>
        <w:t>Recursos económicos asignados y ejercidos;</w:t>
      </w:r>
    </w:p>
    <w:p w:rsidR="000A2B7A" w:rsidRPr="00E15120" w:rsidRDefault="00CF249E">
      <w:pPr>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color w:val="000000"/>
        </w:rPr>
        <w:t>Talleres, capacitaciones o eventos organizados para mejorar la calidad de vida de los adultos mayores;</w:t>
      </w:r>
    </w:p>
    <w:p w:rsidR="000A2B7A" w:rsidRPr="00E15120" w:rsidRDefault="00CF249E">
      <w:pPr>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i/>
          <w:iCs/>
          <w:color w:val="000000"/>
        </w:rPr>
      </w:pPr>
      <w:r w:rsidRPr="00E15120">
        <w:rPr>
          <w:rFonts w:ascii="Palatino Linotype" w:eastAsia="Palatino Linotype" w:hAnsi="Palatino Linotype" w:cs="Palatino Linotype"/>
          <w:b/>
          <w:bCs/>
          <w:color w:val="000000"/>
        </w:rPr>
        <w:t xml:space="preserve">Perfil y funciones del responsable de la atención a los adultos mayores. </w:t>
      </w:r>
    </w:p>
    <w:p w:rsidR="000A2B7A" w:rsidRPr="00E15120" w:rsidRDefault="000A2B7A">
      <w:pPr>
        <w:pBdr>
          <w:top w:val="nil"/>
          <w:left w:val="nil"/>
          <w:bottom w:val="nil"/>
          <w:right w:val="nil"/>
          <w:between w:val="nil"/>
        </w:pBdr>
        <w:spacing w:line="360" w:lineRule="auto"/>
        <w:ind w:left="1211"/>
        <w:rPr>
          <w:rFonts w:ascii="Palatino Linotype" w:eastAsia="Palatino Linotype" w:hAnsi="Palatino Linotype" w:cs="Palatino Linotype"/>
          <w:b/>
          <w:bCs/>
          <w:color w:val="000000"/>
        </w:rPr>
      </w:pPr>
    </w:p>
    <w:p w:rsidR="000A2B7A" w:rsidRPr="00E15120" w:rsidRDefault="00CF249E">
      <w:pPr>
        <w:tabs>
          <w:tab w:val="left" w:pos="993"/>
        </w:tabs>
        <w:spacing w:line="360" w:lineRule="auto"/>
        <w:jc w:val="both"/>
        <w:rPr>
          <w:rFonts w:ascii="Palatino Linotype" w:eastAsia="Palatino Linotype" w:hAnsi="Palatino Linotype" w:cs="Palatino Linotype"/>
        </w:rPr>
      </w:pPr>
      <w:r w:rsidRPr="00E15120">
        <w:rPr>
          <w:rFonts w:ascii="Palatino Linotype" w:eastAsia="Palatino Linotype" w:hAnsi="Palatino Linotype" w:cs="Palatino Linotype"/>
          <w:color w:val="000000"/>
        </w:rPr>
        <w:t xml:space="preserve">Para </w:t>
      </w:r>
      <w:r w:rsidRPr="00E15120">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w:t>
      </w:r>
      <w:r w:rsidRPr="00E15120">
        <w:rPr>
          <w:rFonts w:ascii="Palatino Linotype" w:eastAsia="Palatino Linotype" w:hAnsi="Palatino Linotype" w:cs="Palatino Linotype"/>
        </w:rPr>
        <w:lastRenderedPageBreak/>
        <w:t xml:space="preserve">razones sobre los datos que se supriman o eliminen dentro del soporte documental respectivo objeto de las versiones públicas que se formulen, y se ponga a disposición del </w:t>
      </w:r>
      <w:r w:rsidRPr="00E15120">
        <w:rPr>
          <w:rFonts w:ascii="Palatino Linotype" w:eastAsia="Palatino Linotype" w:hAnsi="Palatino Linotype" w:cs="Palatino Linotype"/>
          <w:b/>
          <w:bCs/>
        </w:rPr>
        <w:t>RECURRENTE</w:t>
      </w:r>
      <w:r w:rsidRPr="00E15120">
        <w:rPr>
          <w:rFonts w:ascii="Palatino Linotype" w:eastAsia="Palatino Linotype" w:hAnsi="Palatino Linotype" w:cs="Palatino Linotype"/>
        </w:rPr>
        <w:t>.</w:t>
      </w:r>
    </w:p>
    <w:p w:rsidR="000A2B7A" w:rsidRPr="00E15120" w:rsidRDefault="000A2B7A">
      <w:pPr>
        <w:tabs>
          <w:tab w:val="left" w:pos="993"/>
        </w:tabs>
        <w:spacing w:line="360" w:lineRule="auto"/>
        <w:jc w:val="both"/>
        <w:rPr>
          <w:rFonts w:ascii="Palatino Linotype" w:eastAsia="Palatino Linotype" w:hAnsi="Palatino Linotype" w:cs="Palatino Linotype"/>
        </w:rPr>
      </w:pPr>
    </w:p>
    <w:p w:rsidR="000A2B7A" w:rsidRPr="00E15120" w:rsidRDefault="00CF249E">
      <w:pPr>
        <w:shd w:val="clear" w:color="auto" w:fill="FFFFFF"/>
        <w:spacing w:line="360" w:lineRule="auto"/>
        <w:jc w:val="both"/>
        <w:rPr>
          <w:rFonts w:ascii="Palatino Linotype" w:eastAsia="Palatino Linotype" w:hAnsi="Palatino Linotype" w:cs="Palatino Linotype"/>
          <w:color w:val="222222"/>
        </w:rPr>
      </w:pPr>
      <w:r w:rsidRPr="00E15120">
        <w:rPr>
          <w:rFonts w:ascii="Palatino Linotype" w:eastAsia="Palatino Linotype" w:hAnsi="Palatino Linotype" w:cs="Palatino Linotype"/>
          <w:b/>
          <w:bCs/>
          <w:color w:val="222222"/>
        </w:rPr>
        <w:t xml:space="preserve">TERCERO. </w:t>
      </w:r>
      <w:r w:rsidRPr="00E15120">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E15120">
        <w:rPr>
          <w:rFonts w:ascii="Palatino Linotype" w:eastAsia="Palatino Linotype" w:hAnsi="Palatino Linotype" w:cs="Palatino Linotype"/>
          <w:b/>
          <w:bCs/>
          <w:color w:val="222222"/>
        </w:rPr>
        <w:t>dé cumplimiento a lo ordenado dentro del plazo de diez días hábiles,</w:t>
      </w:r>
      <w:r w:rsidRPr="00E15120">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A2B7A" w:rsidRPr="00E15120" w:rsidRDefault="000A2B7A">
      <w:pPr>
        <w:shd w:val="clear" w:color="auto" w:fill="FFFFFF"/>
        <w:spacing w:line="360" w:lineRule="auto"/>
        <w:jc w:val="both"/>
        <w:rPr>
          <w:rFonts w:ascii="Palatino Linotype" w:eastAsia="Palatino Linotype" w:hAnsi="Palatino Linotype" w:cs="Palatino Linotype"/>
          <w:b/>
          <w:bCs/>
          <w:color w:val="222222"/>
        </w:rPr>
      </w:pPr>
    </w:p>
    <w:p w:rsidR="000A2B7A" w:rsidRPr="00E15120" w:rsidRDefault="00CF249E">
      <w:pPr>
        <w:shd w:val="clear" w:color="auto" w:fill="FFFFFF"/>
        <w:spacing w:line="360"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b/>
          <w:bCs/>
          <w:color w:val="000000"/>
        </w:rPr>
        <w:t>CUARTO.</w:t>
      </w:r>
      <w:r w:rsidRPr="00E15120">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E15120">
        <w:rPr>
          <w:rFonts w:ascii="Palatino Linotype" w:eastAsia="Palatino Linotype" w:hAnsi="Palatino Linotype" w:cs="Palatino Linotype"/>
          <w:b/>
          <w:bCs/>
          <w:color w:val="000000"/>
        </w:rPr>
        <w:t>SUJETO OBLIGADO</w:t>
      </w:r>
      <w:r w:rsidRPr="00E15120">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0A2B7A" w:rsidRPr="00E15120" w:rsidRDefault="000A2B7A">
      <w:pPr>
        <w:spacing w:line="360" w:lineRule="auto"/>
        <w:rPr>
          <w:rFonts w:ascii="Palatino Linotype" w:eastAsia="Palatino Linotype" w:hAnsi="Palatino Linotype" w:cs="Palatino Linotype"/>
        </w:rPr>
      </w:pPr>
    </w:p>
    <w:p w:rsidR="000A2B7A" w:rsidRPr="00E15120" w:rsidRDefault="00CF249E">
      <w:pPr>
        <w:shd w:val="clear" w:color="auto" w:fill="FFFFFF"/>
        <w:spacing w:line="360" w:lineRule="auto"/>
        <w:jc w:val="both"/>
        <w:rPr>
          <w:rFonts w:ascii="Palatino Linotype" w:eastAsia="Palatino Linotype" w:hAnsi="Palatino Linotype" w:cs="Palatino Linotype"/>
          <w:color w:val="000000"/>
        </w:rPr>
      </w:pPr>
      <w:r w:rsidRPr="00E15120">
        <w:rPr>
          <w:rFonts w:ascii="Palatino Linotype" w:eastAsia="Palatino Linotype" w:hAnsi="Palatino Linotype" w:cs="Palatino Linotype"/>
          <w:b/>
          <w:bCs/>
        </w:rPr>
        <w:t xml:space="preserve">QUINTO. </w:t>
      </w:r>
      <w:r w:rsidRPr="00E15120">
        <w:rPr>
          <w:rFonts w:ascii="Palatino Linotype" w:eastAsia="Palatino Linotype" w:hAnsi="Palatino Linotype" w:cs="Palatino Linotype"/>
          <w:b/>
          <w:bCs/>
          <w:color w:val="222222"/>
        </w:rPr>
        <w:t xml:space="preserve">Notifíquese </w:t>
      </w:r>
      <w:r w:rsidRPr="00E15120">
        <w:rPr>
          <w:rFonts w:ascii="Palatino Linotype" w:eastAsia="Palatino Linotype" w:hAnsi="Palatino Linotype" w:cs="Palatino Linotype"/>
          <w:color w:val="222222"/>
        </w:rPr>
        <w:t xml:space="preserve">al </w:t>
      </w:r>
      <w:r w:rsidRPr="00E15120">
        <w:rPr>
          <w:rFonts w:ascii="Palatino Linotype" w:eastAsia="Palatino Linotype" w:hAnsi="Palatino Linotype" w:cs="Palatino Linotype"/>
          <w:b/>
          <w:bCs/>
          <w:color w:val="222222"/>
        </w:rPr>
        <w:t>RECURRENTE</w:t>
      </w:r>
      <w:r w:rsidRPr="00E15120">
        <w:rPr>
          <w:rFonts w:ascii="Palatino Linotype" w:eastAsia="Palatino Linotype" w:hAnsi="Palatino Linotype" w:cs="Palatino Linotype"/>
          <w:color w:val="222222"/>
        </w:rPr>
        <w:t xml:space="preserve"> </w:t>
      </w:r>
      <w:r w:rsidRPr="00E15120">
        <w:rPr>
          <w:rFonts w:ascii="Palatino Linotype" w:eastAsia="Palatino Linotype" w:hAnsi="Palatino Linotype" w:cs="Palatino Linotype"/>
        </w:rPr>
        <w:t>la presente resolución vía Sistema de Acceso a la Información Mexiquense (SAIMEX).</w:t>
      </w:r>
    </w:p>
    <w:p w:rsidR="000A2B7A" w:rsidRPr="00E15120" w:rsidRDefault="000A2B7A">
      <w:pPr>
        <w:shd w:val="clear" w:color="auto" w:fill="FFFFFF"/>
        <w:spacing w:line="360" w:lineRule="auto"/>
        <w:jc w:val="both"/>
        <w:rPr>
          <w:rFonts w:ascii="Palatino Linotype" w:eastAsia="Palatino Linotype" w:hAnsi="Palatino Linotype" w:cs="Palatino Linotype"/>
        </w:rPr>
      </w:pPr>
    </w:p>
    <w:p w:rsidR="000A2B7A" w:rsidRPr="00E15120" w:rsidRDefault="00CF249E">
      <w:pPr>
        <w:spacing w:line="360" w:lineRule="auto"/>
        <w:jc w:val="both"/>
        <w:rPr>
          <w:rFonts w:ascii="Palatino Linotype" w:eastAsia="Palatino Linotype" w:hAnsi="Palatino Linotype" w:cs="Palatino Linotype"/>
        </w:rPr>
      </w:pPr>
      <w:r w:rsidRPr="00E15120">
        <w:rPr>
          <w:rFonts w:ascii="Palatino Linotype" w:eastAsia="Palatino Linotype" w:hAnsi="Palatino Linotype" w:cs="Palatino Linotype"/>
          <w:b/>
          <w:bCs/>
        </w:rPr>
        <w:t>SEXTO.</w:t>
      </w:r>
      <w:r w:rsidRPr="00E15120">
        <w:rPr>
          <w:rFonts w:ascii="Palatino Linotype" w:eastAsia="Palatino Linotype" w:hAnsi="Palatino Linotype" w:cs="Palatino Linotype"/>
        </w:rPr>
        <w:t xml:space="preserve"> Se hace del conocimiento del </w:t>
      </w:r>
      <w:r w:rsidRPr="00E15120">
        <w:rPr>
          <w:rFonts w:ascii="Palatino Linotype" w:eastAsia="Palatino Linotype" w:hAnsi="Palatino Linotype" w:cs="Palatino Linotype"/>
          <w:b/>
          <w:bCs/>
        </w:rPr>
        <w:t>RECURRENTE</w:t>
      </w:r>
      <w:r w:rsidRPr="00E15120">
        <w:rPr>
          <w:rFonts w:ascii="Palatino Linotype" w:eastAsia="Palatino Linotype" w:hAnsi="Palatino Linotype" w:cs="Palatino Linotype"/>
          <w:color w:val="222222"/>
        </w:rPr>
        <w:t xml:space="preserve"> </w:t>
      </w:r>
      <w:r w:rsidRPr="00E15120">
        <w:rPr>
          <w:rFonts w:ascii="Palatino Linotype" w:eastAsia="Palatino Linotype" w:hAnsi="Palatino Linotype" w:cs="Palatino Linotype"/>
        </w:rPr>
        <w:t xml:space="preserve">que, de conformidad con lo establecido en el artículo 196 de la Ley de Transparencia y Acceso a la Información Pública del Estado de </w:t>
      </w:r>
      <w:r w:rsidRPr="00E15120">
        <w:rPr>
          <w:rFonts w:ascii="Palatino Linotype" w:eastAsia="Palatino Linotype" w:hAnsi="Palatino Linotype" w:cs="Palatino Linotype"/>
        </w:rPr>
        <w:lastRenderedPageBreak/>
        <w:t>México y Municipios, en caso de que considere que la resolución le cause algún perjuicio podrá impugnar vía juicio de amparo en los términos de las leyes aplicables.</w:t>
      </w:r>
    </w:p>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F7C46" w:rsidRPr="00E15120" w:rsidRDefault="009F7C46" w:rsidP="009F7C46">
      <w:pPr>
        <w:spacing w:before="240" w:after="240" w:line="360" w:lineRule="auto"/>
        <w:ind w:firstLine="1"/>
        <w:jc w:val="both"/>
        <w:rPr>
          <w:rFonts w:ascii="Palatino Linotype" w:hAnsi="Palatino Linotype"/>
        </w:rPr>
      </w:pPr>
      <w:bookmarkStart w:id="10" w:name="_Hlk99014733"/>
      <w:r w:rsidRPr="00E15120">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B13102" w:rsidRPr="00E15120">
        <w:rPr>
          <w:rFonts w:ascii="Palatino Linotype" w:hAnsi="Palatino Linotype" w:cs="Palatino Linotype"/>
        </w:rPr>
        <w:t xml:space="preserve"> </w:t>
      </w:r>
      <w:r w:rsidR="00B13102" w:rsidRPr="00E15120">
        <w:rPr>
          <w:rFonts w:ascii="Palatino Linotype" w:hAnsi="Palatino Linotype"/>
        </w:rPr>
        <w:t>EMITIENDO VOTO PARTICULAR</w:t>
      </w:r>
      <w:r w:rsidRPr="00E15120">
        <w:rPr>
          <w:rFonts w:ascii="Palatino Linotype" w:hAnsi="Palatino Linotype" w:cs="Palatino Linotype"/>
        </w:rPr>
        <w:t xml:space="preserve"> Y GUADALUPE RAMÍREZ PEÑA; EN LA OCTAVA SESIÓN ORDINARIA, CELEBRADA EL CINCO (05) DE MARZO DE DOS MIL VEINTISÉIS, ANTE EL SECRETARIO TÉCNICO DEL PLENO </w:t>
      </w:r>
      <w:r w:rsidRPr="00E15120">
        <w:rPr>
          <w:rFonts w:ascii="Palatino Linotype" w:hAnsi="Palatino Linotype" w:cs="Palatino Linotype"/>
          <w:color w:val="000000" w:themeColor="text1"/>
        </w:rPr>
        <w:t>ALEXIS TAPIA RAMÍREZ.</w:t>
      </w:r>
    </w:p>
    <w:bookmarkEnd w:id="10"/>
    <w:p w:rsidR="000A2B7A" w:rsidRPr="00E15120" w:rsidRDefault="000A2B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A2B7A" w:rsidRPr="00E15120" w:rsidRDefault="000A2B7A"/>
    <w:p w:rsidR="000A2B7A" w:rsidRPr="00E15120" w:rsidRDefault="000A2B7A"/>
    <w:p w:rsidR="000A2B7A" w:rsidRPr="00E15120" w:rsidRDefault="000A2B7A"/>
    <w:p w:rsidR="000A2B7A" w:rsidRPr="00E15120" w:rsidRDefault="000A2B7A"/>
    <w:p w:rsidR="000A2B7A" w:rsidRPr="00E15120" w:rsidRDefault="000A2B7A"/>
    <w:p w:rsidR="000A2B7A" w:rsidRPr="00E15120" w:rsidRDefault="000A2B7A"/>
    <w:p w:rsidR="000A2B7A" w:rsidRPr="00E15120" w:rsidRDefault="000A2B7A"/>
    <w:p w:rsidR="000A2B7A" w:rsidRPr="00E15120" w:rsidRDefault="000A2B7A"/>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p w:rsidR="00E43D30" w:rsidRPr="00E15120" w:rsidRDefault="00E43D30"/>
    <w:sectPr w:rsidR="00E43D30" w:rsidRPr="00E15120" w:rsidSect="00E15120">
      <w:headerReference w:type="even" r:id="rId13"/>
      <w:headerReference w:type="default" r:id="rId14"/>
      <w:footerReference w:type="default" r:id="rId15"/>
      <w:headerReference w:type="first" r:id="rId16"/>
      <w:footerReference w:type="first" r:id="rId17"/>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ED5" w:rsidRDefault="005A5ED5">
      <w:r>
        <w:separator/>
      </w:r>
    </w:p>
  </w:endnote>
  <w:endnote w:type="continuationSeparator" w:id="0">
    <w:p w:rsidR="005A5ED5" w:rsidRDefault="005A5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F8F82BA7-D9FC-4626-9B57-73FCC6CF847F}"/>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1E1A5E3D-2113-434E-8716-93D5DD8A5375}"/>
    <w:embedBold r:id="rId3" w:fontKey="{FB588B49-0615-4ADD-B49E-9D298664EA5B}"/>
    <w:embedItalic r:id="rId4" w:fontKey="{50EEB727-CB45-4A99-8AD2-21A2F028C1A4}"/>
    <w:embedBoldItalic r:id="rId5" w:fontKey="{E857D92D-9107-4EF4-8C90-C502B84F8A76}"/>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8DE7C5F5-3979-431D-BFCE-BE747D3A2837}"/>
  </w:font>
  <w:font w:name="Calibri Light">
    <w:panose1 w:val="020F0302020204030204"/>
    <w:charset w:val="00"/>
    <w:family w:val="swiss"/>
    <w:pitch w:val="variable"/>
    <w:sig w:usb0="E4002EFF" w:usb1="C200247B" w:usb2="00000009" w:usb3="00000000" w:csb0="000001FF" w:csb1="00000000"/>
    <w:embedRegular r:id="rId7" w:fontKey="{A9F8F172-270E-46AB-9C37-6899520B40CD}"/>
  </w:font>
  <w:font w:name="Georgia">
    <w:panose1 w:val="02040502050405020303"/>
    <w:charset w:val="00"/>
    <w:family w:val="roman"/>
    <w:pitch w:val="variable"/>
    <w:sig w:usb0="00000287" w:usb1="00000000" w:usb2="00000000" w:usb3="00000000" w:csb0="0000009F" w:csb1="00000000"/>
    <w:embedItalic r:id="rId8" w:fontKey="{16E80F0D-0321-489A-8BF2-ABEA957E97E3}"/>
  </w:font>
  <w:font w:name="Garamond">
    <w:panose1 w:val="02020404030301010803"/>
    <w:charset w:val="00"/>
    <w:family w:val="roman"/>
    <w:pitch w:val="variable"/>
    <w:sig w:usb0="00000287" w:usb1="00000000" w:usb2="00000000" w:usb3="00000000" w:csb0="0000009F" w:csb1="00000000"/>
    <w:embedRegular r:id="rId9" w:fontKey="{A07082A1-D754-4E74-AD98-72E15BC0A29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B7A" w:rsidRPr="00E15120" w:rsidRDefault="00CF249E">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E15120">
      <w:rPr>
        <w:rFonts w:ascii="Palatino Linotype" w:hAnsi="Palatino Linotype"/>
        <w:b/>
        <w:color w:val="000000"/>
        <w:sz w:val="22"/>
      </w:rPr>
      <w:t xml:space="preserve">Página </w:t>
    </w:r>
    <w:r w:rsidRPr="00E15120">
      <w:rPr>
        <w:rFonts w:ascii="Palatino Linotype" w:hAnsi="Palatino Linotype"/>
        <w:b/>
        <w:bCs/>
        <w:color w:val="000000"/>
        <w:sz w:val="22"/>
      </w:rPr>
      <w:fldChar w:fldCharType="begin"/>
    </w:r>
    <w:r w:rsidRPr="00E15120">
      <w:rPr>
        <w:rFonts w:ascii="Palatino Linotype" w:hAnsi="Palatino Linotype"/>
        <w:b/>
        <w:bCs/>
        <w:color w:val="000000"/>
        <w:sz w:val="22"/>
      </w:rPr>
      <w:instrText>PAGE</w:instrText>
    </w:r>
    <w:r w:rsidRPr="00E15120">
      <w:rPr>
        <w:rFonts w:ascii="Palatino Linotype" w:hAnsi="Palatino Linotype"/>
        <w:b/>
        <w:bCs/>
        <w:color w:val="000000"/>
        <w:sz w:val="22"/>
      </w:rPr>
      <w:fldChar w:fldCharType="separate"/>
    </w:r>
    <w:r w:rsidR="00E55B14">
      <w:rPr>
        <w:rFonts w:ascii="Palatino Linotype" w:hAnsi="Palatino Linotype"/>
        <w:b/>
        <w:bCs/>
        <w:noProof/>
        <w:color w:val="000000"/>
        <w:sz w:val="22"/>
      </w:rPr>
      <w:t>21</w:t>
    </w:r>
    <w:r w:rsidRPr="00E15120">
      <w:rPr>
        <w:rFonts w:ascii="Palatino Linotype" w:hAnsi="Palatino Linotype"/>
        <w:b/>
        <w:bCs/>
        <w:color w:val="000000"/>
        <w:sz w:val="22"/>
      </w:rPr>
      <w:fldChar w:fldCharType="end"/>
    </w:r>
    <w:r w:rsidRPr="00E15120">
      <w:rPr>
        <w:rFonts w:ascii="Palatino Linotype" w:hAnsi="Palatino Linotype"/>
        <w:b/>
        <w:color w:val="000000"/>
        <w:sz w:val="22"/>
      </w:rPr>
      <w:t xml:space="preserve"> de </w:t>
    </w:r>
    <w:r w:rsidRPr="00E15120">
      <w:rPr>
        <w:rFonts w:ascii="Palatino Linotype" w:hAnsi="Palatino Linotype"/>
        <w:b/>
        <w:bCs/>
        <w:color w:val="000000"/>
        <w:sz w:val="22"/>
      </w:rPr>
      <w:fldChar w:fldCharType="begin"/>
    </w:r>
    <w:r w:rsidRPr="00E15120">
      <w:rPr>
        <w:rFonts w:ascii="Palatino Linotype" w:hAnsi="Palatino Linotype"/>
        <w:b/>
        <w:bCs/>
        <w:color w:val="000000"/>
        <w:sz w:val="22"/>
      </w:rPr>
      <w:instrText>NUMPAGES</w:instrText>
    </w:r>
    <w:r w:rsidRPr="00E15120">
      <w:rPr>
        <w:rFonts w:ascii="Palatino Linotype" w:hAnsi="Palatino Linotype"/>
        <w:b/>
        <w:bCs/>
        <w:color w:val="000000"/>
        <w:sz w:val="22"/>
      </w:rPr>
      <w:fldChar w:fldCharType="separate"/>
    </w:r>
    <w:r w:rsidR="00E55B14">
      <w:rPr>
        <w:rFonts w:ascii="Palatino Linotype" w:hAnsi="Palatino Linotype"/>
        <w:b/>
        <w:bCs/>
        <w:noProof/>
        <w:color w:val="000000"/>
        <w:sz w:val="22"/>
      </w:rPr>
      <w:t>40</w:t>
    </w:r>
    <w:r w:rsidRPr="00E15120">
      <w:rPr>
        <w:rFonts w:ascii="Palatino Linotype" w:hAnsi="Palatino Linotype"/>
        <w:b/>
        <w:bCs/>
        <w:color w:val="000000"/>
        <w:sz w:val="22"/>
      </w:rPr>
      <w:fldChar w:fldCharType="end"/>
    </w:r>
  </w:p>
  <w:p w:rsidR="000A2B7A" w:rsidRDefault="000A2B7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B7A" w:rsidRPr="00E15120" w:rsidRDefault="00CF249E">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E15120">
      <w:rPr>
        <w:rFonts w:ascii="Palatino Linotype" w:hAnsi="Palatino Linotype"/>
        <w:b/>
        <w:color w:val="000000"/>
        <w:sz w:val="22"/>
      </w:rPr>
      <w:t xml:space="preserve">Página </w:t>
    </w:r>
    <w:r w:rsidRPr="00E15120">
      <w:rPr>
        <w:rFonts w:ascii="Palatino Linotype" w:hAnsi="Palatino Linotype"/>
        <w:b/>
        <w:bCs/>
        <w:color w:val="000000"/>
        <w:sz w:val="22"/>
      </w:rPr>
      <w:fldChar w:fldCharType="begin"/>
    </w:r>
    <w:r w:rsidRPr="00E15120">
      <w:rPr>
        <w:rFonts w:ascii="Palatino Linotype" w:hAnsi="Palatino Linotype"/>
        <w:b/>
        <w:bCs/>
        <w:color w:val="000000"/>
        <w:sz w:val="22"/>
      </w:rPr>
      <w:instrText>PAGE</w:instrText>
    </w:r>
    <w:r w:rsidRPr="00E15120">
      <w:rPr>
        <w:rFonts w:ascii="Palatino Linotype" w:hAnsi="Palatino Linotype"/>
        <w:b/>
        <w:bCs/>
        <w:color w:val="000000"/>
        <w:sz w:val="22"/>
      </w:rPr>
      <w:fldChar w:fldCharType="separate"/>
    </w:r>
    <w:r w:rsidR="00E55B14">
      <w:rPr>
        <w:rFonts w:ascii="Palatino Linotype" w:hAnsi="Palatino Linotype"/>
        <w:b/>
        <w:bCs/>
        <w:noProof/>
        <w:color w:val="000000"/>
        <w:sz w:val="22"/>
      </w:rPr>
      <w:t>1</w:t>
    </w:r>
    <w:r w:rsidRPr="00E15120">
      <w:rPr>
        <w:rFonts w:ascii="Palatino Linotype" w:hAnsi="Palatino Linotype"/>
        <w:b/>
        <w:bCs/>
        <w:color w:val="000000"/>
        <w:sz w:val="22"/>
      </w:rPr>
      <w:fldChar w:fldCharType="end"/>
    </w:r>
    <w:r w:rsidRPr="00E15120">
      <w:rPr>
        <w:rFonts w:ascii="Palatino Linotype" w:hAnsi="Palatino Linotype"/>
        <w:b/>
        <w:color w:val="000000"/>
        <w:sz w:val="22"/>
      </w:rPr>
      <w:t xml:space="preserve"> de </w:t>
    </w:r>
    <w:r w:rsidRPr="00E15120">
      <w:rPr>
        <w:rFonts w:ascii="Palatino Linotype" w:hAnsi="Palatino Linotype"/>
        <w:b/>
        <w:bCs/>
        <w:color w:val="000000"/>
        <w:sz w:val="22"/>
      </w:rPr>
      <w:fldChar w:fldCharType="begin"/>
    </w:r>
    <w:r w:rsidRPr="00E15120">
      <w:rPr>
        <w:rFonts w:ascii="Palatino Linotype" w:hAnsi="Palatino Linotype"/>
        <w:b/>
        <w:bCs/>
        <w:color w:val="000000"/>
        <w:sz w:val="22"/>
      </w:rPr>
      <w:instrText>NUMPAGES</w:instrText>
    </w:r>
    <w:r w:rsidRPr="00E15120">
      <w:rPr>
        <w:rFonts w:ascii="Palatino Linotype" w:hAnsi="Palatino Linotype"/>
        <w:b/>
        <w:bCs/>
        <w:color w:val="000000"/>
        <w:sz w:val="22"/>
      </w:rPr>
      <w:fldChar w:fldCharType="separate"/>
    </w:r>
    <w:r w:rsidR="00E55B14">
      <w:rPr>
        <w:rFonts w:ascii="Palatino Linotype" w:hAnsi="Palatino Linotype"/>
        <w:b/>
        <w:bCs/>
        <w:noProof/>
        <w:color w:val="000000"/>
        <w:sz w:val="22"/>
      </w:rPr>
      <w:t>40</w:t>
    </w:r>
    <w:r w:rsidRPr="00E15120">
      <w:rPr>
        <w:rFonts w:ascii="Palatino Linotype" w:hAnsi="Palatino Linotype"/>
        <w:b/>
        <w:bCs/>
        <w:color w:val="000000"/>
        <w:sz w:val="22"/>
      </w:rPr>
      <w:fldChar w:fldCharType="end"/>
    </w:r>
  </w:p>
  <w:p w:rsidR="000A2B7A" w:rsidRDefault="000A2B7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ED5" w:rsidRDefault="005A5ED5">
      <w:r>
        <w:separator/>
      </w:r>
    </w:p>
  </w:footnote>
  <w:footnote w:type="continuationSeparator" w:id="0">
    <w:p w:rsidR="005A5ED5" w:rsidRDefault="005A5ED5">
      <w:r>
        <w:continuationSeparator/>
      </w:r>
    </w:p>
  </w:footnote>
  <w:footnote w:id="1">
    <w:p w:rsidR="000A2B7A" w:rsidRDefault="00CF249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0A2B7A" w:rsidRDefault="00CF249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0A2B7A" w:rsidRDefault="00CF249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 w:id="3">
    <w:p w:rsidR="000A2B7A" w:rsidRDefault="00CF249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4">
    <w:p w:rsidR="000A2B7A" w:rsidRDefault="00CF249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5">
    <w:p w:rsidR="000A2B7A" w:rsidRDefault="00CF249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6">
    <w:p w:rsidR="000A2B7A" w:rsidRDefault="00CF249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Párr. 87.</w:t>
      </w:r>
    </w:p>
  </w:footnote>
  <w:footnote w:id="7">
    <w:p w:rsidR="000A2B7A" w:rsidRDefault="00CF249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Calibri" w:eastAsia="Calibri" w:hAnsi="Calibri" w:cs="Calibri"/>
            <w:color w:val="0000FF"/>
            <w:sz w:val="20"/>
            <w:szCs w:val="20"/>
            <w:u w:val="single"/>
          </w:rPr>
          <w:t>http://www.oas.org/es/cidh/expresion/documentos_basicos/declaraciones.asp</w:t>
        </w:r>
      </w:hyperlink>
      <w:r>
        <w:rPr>
          <w:rFonts w:ascii="Calibri" w:eastAsia="Calibri" w:hAnsi="Calibri" w:cs="Calibri"/>
          <w:color w:val="000000"/>
          <w:sz w:val="20"/>
          <w:szCs w:val="20"/>
        </w:rPr>
        <w:t>.</w:t>
      </w:r>
    </w:p>
  </w:footnote>
  <w:footnote w:id="8">
    <w:p w:rsidR="000A2B7A" w:rsidRDefault="00CF249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0A2B7A" w:rsidRDefault="00CF249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9">
    <w:p w:rsidR="000A2B7A" w:rsidRDefault="00CF249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0A2B7A" w:rsidRDefault="00CF249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0A2B7A" w:rsidRDefault="00CF249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B7A" w:rsidRDefault="005A5ED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348" w:type="dxa"/>
      <w:tblInd w:w="0" w:type="dxa"/>
      <w:tblLayout w:type="fixed"/>
      <w:tblLook w:val="0400" w:firstRow="0" w:lastRow="0" w:firstColumn="0" w:lastColumn="0" w:noHBand="0" w:noVBand="1"/>
    </w:tblPr>
    <w:tblGrid>
      <w:gridCol w:w="2268"/>
      <w:gridCol w:w="8080"/>
    </w:tblGrid>
    <w:tr w:rsidR="000A2B7A" w:rsidTr="00E15120">
      <w:trPr>
        <w:trHeight w:val="1435"/>
      </w:trPr>
      <w:tc>
        <w:tcPr>
          <w:tcW w:w="2268" w:type="dxa"/>
          <w:shd w:val="clear" w:color="auto" w:fill="auto"/>
        </w:tcPr>
        <w:p w:rsidR="000A2B7A" w:rsidRDefault="000A2B7A">
          <w:pPr>
            <w:tabs>
              <w:tab w:val="right" w:pos="4273"/>
            </w:tabs>
            <w:rPr>
              <w:rFonts w:ascii="Garamond" w:eastAsia="Garamond" w:hAnsi="Garamond" w:cs="Garamond"/>
              <w:sz w:val="16"/>
              <w:szCs w:val="16"/>
            </w:rPr>
          </w:pPr>
        </w:p>
      </w:tc>
      <w:tc>
        <w:tcPr>
          <w:tcW w:w="8080" w:type="dxa"/>
          <w:shd w:val="clear" w:color="auto" w:fill="auto"/>
        </w:tcPr>
        <w:tbl>
          <w:tblPr>
            <w:tblStyle w:val="a4"/>
            <w:tblW w:w="7642" w:type="dxa"/>
            <w:tblInd w:w="736" w:type="dxa"/>
            <w:tblLayout w:type="fixed"/>
            <w:tblLook w:val="0400" w:firstRow="0" w:lastRow="0" w:firstColumn="0" w:lastColumn="0" w:noHBand="0" w:noVBand="1"/>
          </w:tblPr>
          <w:tblGrid>
            <w:gridCol w:w="2822"/>
            <w:gridCol w:w="4820"/>
          </w:tblGrid>
          <w:tr w:rsidR="000A2B7A" w:rsidTr="00E15120">
            <w:trPr>
              <w:trHeight w:val="150"/>
            </w:trPr>
            <w:tc>
              <w:tcPr>
                <w:tcW w:w="2822" w:type="dxa"/>
                <w:shd w:val="clear" w:color="auto" w:fill="auto"/>
              </w:tcPr>
              <w:p w:rsidR="000A2B7A" w:rsidRPr="00E15120" w:rsidRDefault="00CF249E">
                <w:pPr>
                  <w:tabs>
                    <w:tab w:val="right" w:pos="8838"/>
                  </w:tabs>
                  <w:ind w:right="-105"/>
                  <w:rPr>
                    <w:rFonts w:ascii="Palatino Linotype" w:eastAsia="Palatino Linotype" w:hAnsi="Palatino Linotype" w:cs="Palatino Linotype"/>
                    <w:b/>
                    <w:bCs/>
                    <w:szCs w:val="22"/>
                  </w:rPr>
                </w:pPr>
                <w:r w:rsidRPr="00E15120">
                  <w:rPr>
                    <w:rFonts w:ascii="Palatino Linotype" w:eastAsia="Palatino Linotype" w:hAnsi="Palatino Linotype" w:cs="Palatino Linotype"/>
                    <w:b/>
                    <w:bCs/>
                    <w:szCs w:val="22"/>
                  </w:rPr>
                  <w:t>Recurso de Revisión:</w:t>
                </w:r>
              </w:p>
            </w:tc>
            <w:tc>
              <w:tcPr>
                <w:tcW w:w="4820" w:type="dxa"/>
                <w:shd w:val="clear" w:color="auto" w:fill="auto"/>
              </w:tcPr>
              <w:p w:rsidR="000A2B7A" w:rsidRPr="00E15120" w:rsidRDefault="00CF249E">
                <w:pPr>
                  <w:tabs>
                    <w:tab w:val="right" w:pos="8838"/>
                  </w:tabs>
                  <w:ind w:left="-108" w:right="-1090"/>
                  <w:jc w:val="both"/>
                  <w:rPr>
                    <w:rFonts w:ascii="Palatino Linotype" w:eastAsia="Palatino Linotype" w:hAnsi="Palatino Linotype" w:cs="Palatino Linotype"/>
                    <w:szCs w:val="22"/>
                  </w:rPr>
                </w:pPr>
                <w:r w:rsidRPr="00E15120">
                  <w:rPr>
                    <w:rFonts w:ascii="Palatino Linotype" w:eastAsia="Palatino Linotype" w:hAnsi="Palatino Linotype" w:cs="Palatino Linotype"/>
                    <w:szCs w:val="22"/>
                  </w:rPr>
                  <w:t>09438/INFOEM/IP/RR/2025</w:t>
                </w:r>
                <w:r w:rsidRPr="00E15120">
                  <w:rPr>
                    <w:rFonts w:ascii="Palatino Linotype" w:eastAsia="Palatino Linotype" w:hAnsi="Palatino Linotype" w:cs="Palatino Linotype"/>
                    <w:b/>
                    <w:bCs/>
                    <w:szCs w:val="22"/>
                  </w:rPr>
                  <w:t xml:space="preserve"> </w:t>
                </w:r>
              </w:p>
            </w:tc>
          </w:tr>
          <w:tr w:rsidR="000A2B7A" w:rsidTr="00E15120">
            <w:trPr>
              <w:trHeight w:val="295"/>
            </w:trPr>
            <w:tc>
              <w:tcPr>
                <w:tcW w:w="2822" w:type="dxa"/>
                <w:shd w:val="clear" w:color="auto" w:fill="auto"/>
              </w:tcPr>
              <w:p w:rsidR="000A2B7A" w:rsidRPr="00E15120" w:rsidRDefault="00CF249E">
                <w:pPr>
                  <w:tabs>
                    <w:tab w:val="right" w:pos="8838"/>
                  </w:tabs>
                  <w:ind w:right="-105"/>
                  <w:rPr>
                    <w:rFonts w:ascii="Palatino Linotype" w:eastAsia="Palatino Linotype" w:hAnsi="Palatino Linotype" w:cs="Palatino Linotype"/>
                    <w:b/>
                    <w:bCs/>
                    <w:szCs w:val="22"/>
                  </w:rPr>
                </w:pPr>
                <w:r w:rsidRPr="00E15120">
                  <w:rPr>
                    <w:rFonts w:ascii="Palatino Linotype" w:eastAsia="Palatino Linotype" w:hAnsi="Palatino Linotype" w:cs="Palatino Linotype"/>
                    <w:b/>
                    <w:bCs/>
                    <w:szCs w:val="22"/>
                  </w:rPr>
                  <w:t>Sujeto Obligado:</w:t>
                </w:r>
              </w:p>
            </w:tc>
            <w:tc>
              <w:tcPr>
                <w:tcW w:w="4820" w:type="dxa"/>
                <w:shd w:val="clear" w:color="auto" w:fill="auto"/>
              </w:tcPr>
              <w:p w:rsidR="000A2B7A" w:rsidRPr="00E15120" w:rsidRDefault="00CF249E">
                <w:pPr>
                  <w:tabs>
                    <w:tab w:val="left" w:pos="2834"/>
                    <w:tab w:val="right" w:pos="8838"/>
                  </w:tabs>
                  <w:ind w:left="-108" w:right="-1090"/>
                  <w:jc w:val="both"/>
                  <w:rPr>
                    <w:rFonts w:ascii="Palatino Linotype" w:eastAsia="Palatino Linotype" w:hAnsi="Palatino Linotype" w:cs="Palatino Linotype"/>
                    <w:szCs w:val="22"/>
                  </w:rPr>
                </w:pPr>
                <w:r w:rsidRPr="00E15120">
                  <w:rPr>
                    <w:rFonts w:ascii="Palatino Linotype" w:eastAsia="Palatino Linotype" w:hAnsi="Palatino Linotype" w:cs="Palatino Linotype"/>
                    <w:szCs w:val="22"/>
                  </w:rPr>
                  <w:t xml:space="preserve">Sistema Municipal Para el Desarrollo </w:t>
                </w:r>
              </w:p>
              <w:p w:rsidR="000A2B7A" w:rsidRPr="00E15120" w:rsidRDefault="00CF249E">
                <w:pPr>
                  <w:tabs>
                    <w:tab w:val="left" w:pos="2834"/>
                    <w:tab w:val="right" w:pos="8838"/>
                  </w:tabs>
                  <w:ind w:left="-108" w:right="-1090"/>
                  <w:jc w:val="both"/>
                  <w:rPr>
                    <w:rFonts w:ascii="Palatino Linotype" w:eastAsia="Palatino Linotype" w:hAnsi="Palatino Linotype" w:cs="Palatino Linotype"/>
                    <w:szCs w:val="22"/>
                  </w:rPr>
                </w:pPr>
                <w:r w:rsidRPr="00E15120">
                  <w:rPr>
                    <w:rFonts w:ascii="Palatino Linotype" w:eastAsia="Palatino Linotype" w:hAnsi="Palatino Linotype" w:cs="Palatino Linotype"/>
                    <w:szCs w:val="22"/>
                  </w:rPr>
                  <w:t>Integral de la Familia de Zinacantepec</w:t>
                </w:r>
              </w:p>
            </w:tc>
          </w:tr>
          <w:tr w:rsidR="000A2B7A" w:rsidTr="00E15120">
            <w:trPr>
              <w:trHeight w:val="295"/>
            </w:trPr>
            <w:tc>
              <w:tcPr>
                <w:tcW w:w="2822" w:type="dxa"/>
                <w:shd w:val="clear" w:color="auto" w:fill="auto"/>
              </w:tcPr>
              <w:p w:rsidR="000A2B7A" w:rsidRPr="00E15120" w:rsidRDefault="00CF249E">
                <w:pPr>
                  <w:tabs>
                    <w:tab w:val="right" w:pos="8838"/>
                  </w:tabs>
                  <w:ind w:right="-105"/>
                  <w:rPr>
                    <w:rFonts w:ascii="Palatino Linotype" w:eastAsia="Palatino Linotype" w:hAnsi="Palatino Linotype" w:cs="Palatino Linotype"/>
                    <w:b/>
                    <w:bCs/>
                    <w:szCs w:val="22"/>
                  </w:rPr>
                </w:pPr>
                <w:r w:rsidRPr="00E15120">
                  <w:rPr>
                    <w:rFonts w:ascii="Palatino Linotype" w:eastAsia="Palatino Linotype" w:hAnsi="Palatino Linotype" w:cs="Palatino Linotype"/>
                    <w:b/>
                    <w:bCs/>
                    <w:szCs w:val="22"/>
                  </w:rPr>
                  <w:t>Comisionado ponente:</w:t>
                </w:r>
              </w:p>
            </w:tc>
            <w:tc>
              <w:tcPr>
                <w:tcW w:w="4820" w:type="dxa"/>
                <w:shd w:val="clear" w:color="auto" w:fill="auto"/>
              </w:tcPr>
              <w:p w:rsidR="000A2B7A" w:rsidRPr="00E15120" w:rsidRDefault="00CF249E">
                <w:pPr>
                  <w:tabs>
                    <w:tab w:val="right" w:pos="8838"/>
                  </w:tabs>
                  <w:ind w:left="-108" w:right="-1090"/>
                  <w:jc w:val="both"/>
                  <w:rPr>
                    <w:rFonts w:ascii="Palatino Linotype" w:eastAsia="Palatino Linotype" w:hAnsi="Palatino Linotype" w:cs="Palatino Linotype"/>
                    <w:szCs w:val="22"/>
                  </w:rPr>
                </w:pPr>
                <w:r w:rsidRPr="00E15120">
                  <w:rPr>
                    <w:rFonts w:ascii="Palatino Linotype" w:eastAsia="Palatino Linotype" w:hAnsi="Palatino Linotype" w:cs="Palatino Linotype"/>
                    <w:szCs w:val="22"/>
                  </w:rPr>
                  <w:t>María del Rosario Mejía Ayala</w:t>
                </w:r>
              </w:p>
              <w:p w:rsidR="000A2B7A" w:rsidRPr="00E15120" w:rsidRDefault="000A2B7A">
                <w:pPr>
                  <w:tabs>
                    <w:tab w:val="right" w:pos="8838"/>
                  </w:tabs>
                  <w:ind w:left="-108" w:right="-1090"/>
                  <w:jc w:val="both"/>
                  <w:rPr>
                    <w:rFonts w:ascii="Palatino Linotype" w:eastAsia="Palatino Linotype" w:hAnsi="Palatino Linotype" w:cs="Palatino Linotype"/>
                    <w:b/>
                    <w:bCs/>
                    <w:szCs w:val="22"/>
                  </w:rPr>
                </w:pPr>
              </w:p>
            </w:tc>
          </w:tr>
        </w:tbl>
        <w:p w:rsidR="000A2B7A" w:rsidRDefault="000A2B7A">
          <w:pPr>
            <w:tabs>
              <w:tab w:val="right" w:pos="8838"/>
            </w:tabs>
            <w:ind w:left="-28"/>
            <w:jc w:val="both"/>
            <w:rPr>
              <w:rFonts w:ascii="Arial" w:eastAsia="Arial" w:hAnsi="Arial" w:cs="Arial"/>
              <w:b/>
              <w:bCs/>
              <w:sz w:val="22"/>
              <w:szCs w:val="22"/>
            </w:rPr>
          </w:pPr>
        </w:p>
      </w:tc>
    </w:tr>
  </w:tbl>
  <w:p w:rsidR="000A2B7A" w:rsidRDefault="005A5ED5">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10348" w:type="dxa"/>
      <w:tblInd w:w="0" w:type="dxa"/>
      <w:tblLayout w:type="fixed"/>
      <w:tblLook w:val="0400" w:firstRow="0" w:lastRow="0" w:firstColumn="0" w:lastColumn="0" w:noHBand="0" w:noVBand="1"/>
    </w:tblPr>
    <w:tblGrid>
      <w:gridCol w:w="2265"/>
      <w:gridCol w:w="8083"/>
    </w:tblGrid>
    <w:tr w:rsidR="000A2B7A" w:rsidTr="00E15120">
      <w:trPr>
        <w:trHeight w:val="1435"/>
      </w:trPr>
      <w:tc>
        <w:tcPr>
          <w:tcW w:w="2265" w:type="dxa"/>
          <w:shd w:val="clear" w:color="auto" w:fill="auto"/>
        </w:tcPr>
        <w:p w:rsidR="000A2B7A" w:rsidRDefault="000A2B7A">
          <w:pPr>
            <w:tabs>
              <w:tab w:val="right" w:pos="4273"/>
            </w:tabs>
            <w:rPr>
              <w:rFonts w:ascii="Garamond" w:eastAsia="Garamond" w:hAnsi="Garamond" w:cs="Garamond"/>
              <w:sz w:val="22"/>
              <w:szCs w:val="22"/>
            </w:rPr>
          </w:pPr>
        </w:p>
      </w:tc>
      <w:tc>
        <w:tcPr>
          <w:tcW w:w="8083" w:type="dxa"/>
          <w:shd w:val="clear" w:color="auto" w:fill="auto"/>
        </w:tcPr>
        <w:tbl>
          <w:tblPr>
            <w:tblStyle w:val="a6"/>
            <w:tblW w:w="7648" w:type="dxa"/>
            <w:tblInd w:w="172" w:type="dxa"/>
            <w:tblLayout w:type="fixed"/>
            <w:tblLook w:val="0400" w:firstRow="0" w:lastRow="0" w:firstColumn="0" w:lastColumn="0" w:noHBand="0" w:noVBand="1"/>
          </w:tblPr>
          <w:tblGrid>
            <w:gridCol w:w="2683"/>
            <w:gridCol w:w="4965"/>
          </w:tblGrid>
          <w:tr w:rsidR="000A2B7A" w:rsidTr="00E15120">
            <w:trPr>
              <w:trHeight w:val="144"/>
            </w:trPr>
            <w:tc>
              <w:tcPr>
                <w:tcW w:w="2683" w:type="dxa"/>
                <w:shd w:val="clear" w:color="auto" w:fill="auto"/>
              </w:tcPr>
              <w:p w:rsidR="000A2B7A" w:rsidRPr="00E15120" w:rsidRDefault="00CF249E">
                <w:pPr>
                  <w:tabs>
                    <w:tab w:val="right" w:pos="8838"/>
                  </w:tabs>
                  <w:ind w:left="-264" w:right="-105" w:firstLine="195"/>
                  <w:rPr>
                    <w:rFonts w:ascii="Palatino Linotype" w:eastAsia="Palatino Linotype" w:hAnsi="Palatino Linotype" w:cs="Palatino Linotype"/>
                    <w:b/>
                    <w:bCs/>
                    <w:szCs w:val="22"/>
                  </w:rPr>
                </w:pPr>
                <w:r w:rsidRPr="00E15120">
                  <w:rPr>
                    <w:rFonts w:ascii="Palatino Linotype" w:eastAsia="Palatino Linotype" w:hAnsi="Palatino Linotype" w:cs="Palatino Linotype"/>
                    <w:b/>
                    <w:bCs/>
                    <w:szCs w:val="22"/>
                  </w:rPr>
                  <w:t>Recurso de Revisión:</w:t>
                </w:r>
              </w:p>
            </w:tc>
            <w:tc>
              <w:tcPr>
                <w:tcW w:w="4965" w:type="dxa"/>
                <w:shd w:val="clear" w:color="auto" w:fill="auto"/>
              </w:tcPr>
              <w:p w:rsidR="000A2B7A" w:rsidRPr="00E15120" w:rsidRDefault="00CF249E">
                <w:pPr>
                  <w:tabs>
                    <w:tab w:val="right" w:pos="8838"/>
                  </w:tabs>
                  <w:ind w:left="-74" w:right="-1269"/>
                  <w:rPr>
                    <w:rFonts w:ascii="Palatino Linotype" w:eastAsia="Palatino Linotype" w:hAnsi="Palatino Linotype" w:cs="Palatino Linotype"/>
                    <w:szCs w:val="22"/>
                  </w:rPr>
                </w:pPr>
                <w:r w:rsidRPr="00E15120">
                  <w:rPr>
                    <w:rFonts w:ascii="Palatino Linotype" w:eastAsia="Palatino Linotype" w:hAnsi="Palatino Linotype" w:cs="Palatino Linotype"/>
                    <w:szCs w:val="22"/>
                  </w:rPr>
                  <w:t>09438/INFOEM/IP/RR/2025</w:t>
                </w:r>
              </w:p>
            </w:tc>
          </w:tr>
          <w:tr w:rsidR="000A2B7A" w:rsidTr="00E15120">
            <w:trPr>
              <w:trHeight w:val="144"/>
            </w:trPr>
            <w:tc>
              <w:tcPr>
                <w:tcW w:w="2683" w:type="dxa"/>
                <w:shd w:val="clear" w:color="auto" w:fill="auto"/>
              </w:tcPr>
              <w:p w:rsidR="000A2B7A" w:rsidRPr="00E15120" w:rsidRDefault="00CF249E">
                <w:pPr>
                  <w:tabs>
                    <w:tab w:val="right" w:pos="8838"/>
                  </w:tabs>
                  <w:ind w:left="-74" w:right="-105"/>
                  <w:rPr>
                    <w:rFonts w:ascii="Palatino Linotype" w:eastAsia="Palatino Linotype" w:hAnsi="Palatino Linotype" w:cs="Palatino Linotype"/>
                    <w:b/>
                    <w:bCs/>
                    <w:szCs w:val="22"/>
                  </w:rPr>
                </w:pPr>
                <w:r w:rsidRPr="00E15120">
                  <w:rPr>
                    <w:rFonts w:ascii="Palatino Linotype" w:eastAsia="Palatino Linotype" w:hAnsi="Palatino Linotype" w:cs="Palatino Linotype"/>
                    <w:b/>
                    <w:bCs/>
                    <w:szCs w:val="22"/>
                  </w:rPr>
                  <w:t>Recurrente:</w:t>
                </w:r>
              </w:p>
            </w:tc>
            <w:tc>
              <w:tcPr>
                <w:tcW w:w="4965" w:type="dxa"/>
                <w:shd w:val="clear" w:color="auto" w:fill="auto"/>
              </w:tcPr>
              <w:p w:rsidR="000A2B7A" w:rsidRPr="00E15120" w:rsidRDefault="00CF249E" w:rsidP="00E55B14">
                <w:pPr>
                  <w:tabs>
                    <w:tab w:val="left" w:pos="3122"/>
                    <w:tab w:val="right" w:pos="8838"/>
                  </w:tabs>
                  <w:ind w:left="-74" w:right="-1269"/>
                  <w:rPr>
                    <w:rFonts w:ascii="Palatino Linotype" w:eastAsia="Palatino Linotype" w:hAnsi="Palatino Linotype" w:cs="Palatino Linotype"/>
                    <w:szCs w:val="22"/>
                  </w:rPr>
                </w:pPr>
                <w:r w:rsidRPr="00E15120">
                  <w:rPr>
                    <w:rFonts w:ascii="Palatino Linotype" w:eastAsia="Palatino Linotype" w:hAnsi="Palatino Linotype" w:cs="Palatino Linotype"/>
                    <w:b/>
                    <w:bCs/>
                    <w:szCs w:val="22"/>
                  </w:rPr>
                  <w:t> </w:t>
                </w:r>
                <w:r w:rsidR="00E55B14">
                  <w:rPr>
                    <w:rFonts w:ascii="Palatino Linotype" w:eastAsia="Palatino Linotype" w:hAnsi="Palatino Linotype" w:cs="Palatino Linotype"/>
                    <w:szCs w:val="22"/>
                  </w:rPr>
                  <w:t>XXXX</w:t>
                </w:r>
              </w:p>
            </w:tc>
          </w:tr>
          <w:tr w:rsidR="000A2B7A" w:rsidTr="00E15120">
            <w:trPr>
              <w:trHeight w:val="283"/>
            </w:trPr>
            <w:tc>
              <w:tcPr>
                <w:tcW w:w="2683" w:type="dxa"/>
                <w:shd w:val="clear" w:color="auto" w:fill="auto"/>
              </w:tcPr>
              <w:p w:rsidR="000A2B7A" w:rsidRPr="00E15120" w:rsidRDefault="00CF249E">
                <w:pPr>
                  <w:tabs>
                    <w:tab w:val="right" w:pos="8838"/>
                  </w:tabs>
                  <w:ind w:left="-74" w:right="-105"/>
                  <w:rPr>
                    <w:rFonts w:ascii="Palatino Linotype" w:eastAsia="Palatino Linotype" w:hAnsi="Palatino Linotype" w:cs="Palatino Linotype"/>
                    <w:b/>
                    <w:bCs/>
                    <w:szCs w:val="22"/>
                  </w:rPr>
                </w:pPr>
                <w:r w:rsidRPr="00E15120">
                  <w:rPr>
                    <w:rFonts w:ascii="Palatino Linotype" w:eastAsia="Palatino Linotype" w:hAnsi="Palatino Linotype" w:cs="Palatino Linotype"/>
                    <w:b/>
                    <w:bCs/>
                    <w:szCs w:val="22"/>
                  </w:rPr>
                  <w:t>Sujeto Obligado:</w:t>
                </w:r>
              </w:p>
            </w:tc>
            <w:tc>
              <w:tcPr>
                <w:tcW w:w="4965" w:type="dxa"/>
                <w:shd w:val="clear" w:color="auto" w:fill="auto"/>
              </w:tcPr>
              <w:p w:rsidR="000A2B7A" w:rsidRPr="00E15120" w:rsidRDefault="00CF249E">
                <w:pPr>
                  <w:tabs>
                    <w:tab w:val="left" w:pos="2834"/>
                    <w:tab w:val="right" w:pos="8838"/>
                  </w:tabs>
                  <w:ind w:left="-74" w:right="-1269"/>
                  <w:rPr>
                    <w:rFonts w:ascii="Palatino Linotype" w:eastAsia="Palatino Linotype" w:hAnsi="Palatino Linotype" w:cs="Palatino Linotype"/>
                    <w:szCs w:val="22"/>
                  </w:rPr>
                </w:pPr>
                <w:r w:rsidRPr="00E15120">
                  <w:rPr>
                    <w:rFonts w:ascii="Palatino Linotype" w:eastAsia="Palatino Linotype" w:hAnsi="Palatino Linotype" w:cs="Palatino Linotype"/>
                    <w:szCs w:val="22"/>
                  </w:rPr>
                  <w:t xml:space="preserve">Sistema Municipal Para el Desarrollo Integral </w:t>
                </w:r>
              </w:p>
              <w:p w:rsidR="000A2B7A" w:rsidRPr="00E15120" w:rsidRDefault="00CF249E">
                <w:pPr>
                  <w:tabs>
                    <w:tab w:val="left" w:pos="2834"/>
                    <w:tab w:val="right" w:pos="8838"/>
                  </w:tabs>
                  <w:ind w:left="-74" w:right="-1269"/>
                  <w:rPr>
                    <w:rFonts w:ascii="Palatino Linotype" w:eastAsia="Palatino Linotype" w:hAnsi="Palatino Linotype" w:cs="Palatino Linotype"/>
                    <w:szCs w:val="22"/>
                  </w:rPr>
                </w:pPr>
                <w:r w:rsidRPr="00E15120">
                  <w:rPr>
                    <w:rFonts w:ascii="Palatino Linotype" w:eastAsia="Palatino Linotype" w:hAnsi="Palatino Linotype" w:cs="Palatino Linotype"/>
                    <w:szCs w:val="22"/>
                  </w:rPr>
                  <w:t>de la Familia de Zinacantepec</w:t>
                </w:r>
              </w:p>
            </w:tc>
          </w:tr>
          <w:tr w:rsidR="000A2B7A" w:rsidTr="00E15120">
            <w:trPr>
              <w:trHeight w:val="283"/>
            </w:trPr>
            <w:tc>
              <w:tcPr>
                <w:tcW w:w="2683" w:type="dxa"/>
                <w:shd w:val="clear" w:color="auto" w:fill="auto"/>
              </w:tcPr>
              <w:p w:rsidR="000A2B7A" w:rsidRPr="00E15120" w:rsidRDefault="00CF249E">
                <w:pPr>
                  <w:tabs>
                    <w:tab w:val="right" w:pos="8838"/>
                  </w:tabs>
                  <w:ind w:left="-74" w:right="-105"/>
                  <w:rPr>
                    <w:rFonts w:ascii="Palatino Linotype" w:eastAsia="Palatino Linotype" w:hAnsi="Palatino Linotype" w:cs="Palatino Linotype"/>
                    <w:b/>
                    <w:bCs/>
                    <w:szCs w:val="22"/>
                  </w:rPr>
                </w:pPr>
                <w:r w:rsidRPr="00E15120">
                  <w:rPr>
                    <w:rFonts w:ascii="Palatino Linotype" w:eastAsia="Palatino Linotype" w:hAnsi="Palatino Linotype" w:cs="Palatino Linotype"/>
                    <w:b/>
                    <w:bCs/>
                    <w:szCs w:val="22"/>
                  </w:rPr>
                  <w:t>Comisionado ponente:</w:t>
                </w:r>
              </w:p>
            </w:tc>
            <w:tc>
              <w:tcPr>
                <w:tcW w:w="4965" w:type="dxa"/>
                <w:shd w:val="clear" w:color="auto" w:fill="auto"/>
              </w:tcPr>
              <w:p w:rsidR="000A2B7A" w:rsidRPr="00E15120" w:rsidRDefault="00CF249E">
                <w:pPr>
                  <w:tabs>
                    <w:tab w:val="right" w:pos="8838"/>
                  </w:tabs>
                  <w:ind w:left="-74" w:right="-1269"/>
                  <w:rPr>
                    <w:rFonts w:ascii="Palatino Linotype" w:eastAsia="Palatino Linotype" w:hAnsi="Palatino Linotype" w:cs="Palatino Linotype"/>
                    <w:szCs w:val="22"/>
                  </w:rPr>
                </w:pPr>
                <w:r w:rsidRPr="00E15120">
                  <w:rPr>
                    <w:rFonts w:ascii="Palatino Linotype" w:eastAsia="Palatino Linotype" w:hAnsi="Palatino Linotype" w:cs="Palatino Linotype"/>
                    <w:szCs w:val="22"/>
                  </w:rPr>
                  <w:t>María del Rosario Mejía Ayala</w:t>
                </w:r>
              </w:p>
              <w:p w:rsidR="000A2B7A" w:rsidRPr="00E15120" w:rsidRDefault="000A2B7A">
                <w:pPr>
                  <w:tabs>
                    <w:tab w:val="right" w:pos="8838"/>
                  </w:tabs>
                  <w:ind w:left="-74" w:right="-1269"/>
                  <w:rPr>
                    <w:rFonts w:ascii="Palatino Linotype" w:eastAsia="Palatino Linotype" w:hAnsi="Palatino Linotype" w:cs="Palatino Linotype"/>
                    <w:b/>
                    <w:bCs/>
                    <w:szCs w:val="22"/>
                  </w:rPr>
                </w:pPr>
              </w:p>
            </w:tc>
          </w:tr>
        </w:tbl>
        <w:p w:rsidR="000A2B7A" w:rsidRDefault="000A2B7A">
          <w:pPr>
            <w:tabs>
              <w:tab w:val="right" w:pos="8838"/>
            </w:tabs>
            <w:ind w:left="-28"/>
            <w:jc w:val="both"/>
            <w:rPr>
              <w:rFonts w:ascii="Arial" w:eastAsia="Arial" w:hAnsi="Arial" w:cs="Arial"/>
              <w:b/>
              <w:bCs/>
              <w:sz w:val="22"/>
              <w:szCs w:val="22"/>
            </w:rPr>
          </w:pPr>
        </w:p>
      </w:tc>
    </w:tr>
  </w:tbl>
  <w:p w:rsidR="000A2B7A" w:rsidRDefault="005A5ED5" w:rsidP="00E15120">
    <w:pPr>
      <w:pBdr>
        <w:top w:val="nil"/>
        <w:left w:val="nil"/>
        <w:bottom w:val="nil"/>
        <w:right w:val="nil"/>
        <w:between w:val="nil"/>
      </w:pBdr>
      <w:tabs>
        <w:tab w:val="center" w:pos="4419"/>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0.35pt;margin-top:-133.9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401C3"/>
    <w:multiLevelType w:val="multilevel"/>
    <w:tmpl w:val="A70CF1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C76D1E"/>
    <w:multiLevelType w:val="multilevel"/>
    <w:tmpl w:val="C53ACC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42335D"/>
    <w:multiLevelType w:val="multilevel"/>
    <w:tmpl w:val="58E4AAFA"/>
    <w:lvl w:ilvl="0">
      <w:numFmt w:val="bullet"/>
      <w:lvlText w:val="-"/>
      <w:lvlJc w:val="left"/>
      <w:pPr>
        <w:ind w:left="720" w:hanging="360"/>
      </w:pPr>
      <w:rPr>
        <w:rFonts w:ascii="Palatino Linotype" w:eastAsia="Palatino Linotype" w:hAnsi="Palatino Linotype" w:cs="Palatino Linotype"/>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3344D5"/>
    <w:multiLevelType w:val="multilevel"/>
    <w:tmpl w:val="B6428764"/>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B41FD7"/>
    <w:multiLevelType w:val="multilevel"/>
    <w:tmpl w:val="6166FB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CF05C24"/>
    <w:multiLevelType w:val="multilevel"/>
    <w:tmpl w:val="5134B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BA1AF7"/>
    <w:multiLevelType w:val="multilevel"/>
    <w:tmpl w:val="56A42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F9A7167"/>
    <w:multiLevelType w:val="multilevel"/>
    <w:tmpl w:val="A10E011A"/>
    <w:lvl w:ilvl="0">
      <w:numFmt w:val="bullet"/>
      <w:lvlText w:val="-"/>
      <w:lvlJc w:val="left"/>
      <w:pPr>
        <w:ind w:left="720" w:hanging="360"/>
      </w:pPr>
      <w:rPr>
        <w:rFonts w:ascii="Palatino Linotype" w:eastAsia="Palatino Linotype" w:hAnsi="Palatino Linotype" w:cs="Palatino Linotype"/>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7350DF5"/>
    <w:multiLevelType w:val="multilevel"/>
    <w:tmpl w:val="6602DCA8"/>
    <w:lvl w:ilvl="0">
      <w:start w:val="1"/>
      <w:numFmt w:val="lowerLetter"/>
      <w:lvlText w:val="%1."/>
      <w:lvlJc w:val="left"/>
      <w:pPr>
        <w:ind w:left="1080" w:hanging="360"/>
      </w:pPr>
      <w:rPr>
        <w:rFonts w:ascii="Palatino Linotype" w:eastAsia="Palatino Linotype" w:hAnsi="Palatino Linotype" w:cs="Palatino Linotype"/>
        <w:b/>
        <w:bCs/>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6"/>
  </w:num>
  <w:num w:numId="2">
    <w:abstractNumId w:val="1"/>
  </w:num>
  <w:num w:numId="3">
    <w:abstractNumId w:val="0"/>
  </w:num>
  <w:num w:numId="4">
    <w:abstractNumId w:val="2"/>
  </w:num>
  <w:num w:numId="5">
    <w:abstractNumId w:val="8"/>
  </w:num>
  <w:num w:numId="6">
    <w:abstractNumId w:val="3"/>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B7A"/>
    <w:rsid w:val="000A2B7A"/>
    <w:rsid w:val="002248DF"/>
    <w:rsid w:val="003B4978"/>
    <w:rsid w:val="00453C97"/>
    <w:rsid w:val="004F5598"/>
    <w:rsid w:val="005A5ED5"/>
    <w:rsid w:val="007450A9"/>
    <w:rsid w:val="007F482B"/>
    <w:rsid w:val="009F7C46"/>
    <w:rsid w:val="00A52006"/>
    <w:rsid w:val="00B13102"/>
    <w:rsid w:val="00CF249E"/>
    <w:rsid w:val="00CF27A3"/>
    <w:rsid w:val="00E15120"/>
    <w:rsid w:val="00E43D30"/>
    <w:rsid w:val="00E55B14"/>
    <w:rsid w:val="00FA57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0B8437B-235E-4315-86ED-CD12B990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79167A"/>
    <w:rPr>
      <w:rFonts w:asciiTheme="majorHAnsi" w:eastAsiaTheme="majorEastAsia" w:hAnsiTheme="majorHAnsi" w:cstheme="majorBidi"/>
      <w:color w:val="2E74B5" w:themeColor="accent1" w:themeShade="BF"/>
      <w:sz w:val="32"/>
      <w:szCs w:val="32"/>
      <w:lang w:val="es-ES" w:eastAsia="es-ES"/>
    </w:rPr>
  </w:style>
  <w:style w:type="character" w:styleId="Hipervnculo">
    <w:name w:val="Hyperlink"/>
    <w:basedOn w:val="Fuentedeprrafopredeter"/>
    <w:uiPriority w:val="99"/>
    <w:unhideWhenUsed/>
    <w:rsid w:val="0079167A"/>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9167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9167A"/>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9167A"/>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79167A"/>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79167A"/>
    <w:rPr>
      <w:vertAlign w:val="superscript"/>
    </w:rPr>
  </w:style>
  <w:style w:type="paragraph" w:styleId="Piedepgina">
    <w:name w:val="footer"/>
    <w:basedOn w:val="Normal"/>
    <w:link w:val="PiedepginaCar"/>
    <w:uiPriority w:val="99"/>
    <w:unhideWhenUsed/>
    <w:rsid w:val="0079167A"/>
    <w:pPr>
      <w:tabs>
        <w:tab w:val="center" w:pos="4419"/>
        <w:tab w:val="right" w:pos="8838"/>
      </w:tabs>
    </w:pPr>
  </w:style>
  <w:style w:type="character" w:customStyle="1" w:styleId="PiedepginaCar">
    <w:name w:val="Pie de página Car"/>
    <w:basedOn w:val="Fuentedeprrafopredeter"/>
    <w:link w:val="Piedepgina"/>
    <w:uiPriority w:val="99"/>
    <w:rsid w:val="0079167A"/>
    <w:rPr>
      <w:rFonts w:ascii="Times New Roman" w:eastAsia="Times New Roman" w:hAnsi="Times New Roman" w:cs="Times New Roman"/>
      <w:sz w:val="24"/>
      <w:szCs w:val="24"/>
      <w:lang w:eastAsia="es-MX"/>
    </w:rPr>
  </w:style>
  <w:style w:type="table" w:styleId="Tablaconcuadrcula">
    <w:name w:val="Table Grid"/>
    <w:basedOn w:val="Tablanormal"/>
    <w:uiPriority w:val="39"/>
    <w:rsid w:val="00627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62778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inespaciado">
    <w:name w:val="No Spacing"/>
    <w:aliases w:val="Francesa"/>
    <w:link w:val="SinespaciadoCar"/>
    <w:uiPriority w:val="1"/>
    <w:qFormat/>
    <w:rsid w:val="00E06F6D"/>
    <w:rPr>
      <w:lang w:eastAsia="es-ES"/>
    </w:rPr>
  </w:style>
  <w:style w:type="character" w:styleId="Textoennegrita">
    <w:name w:val="Strong"/>
    <w:basedOn w:val="Fuentedeprrafopredeter"/>
    <w:uiPriority w:val="22"/>
    <w:qFormat/>
    <w:rsid w:val="00E06F6D"/>
    <w:rPr>
      <w:b/>
      <w:bCs/>
    </w:rPr>
  </w:style>
  <w:style w:type="character" w:customStyle="1" w:styleId="SinespaciadoCar">
    <w:name w:val="Sin espaciado Car"/>
    <w:aliases w:val="Francesa Car"/>
    <w:link w:val="Sinespaciado"/>
    <w:uiPriority w:val="1"/>
    <w:locked/>
    <w:rsid w:val="00E06F6D"/>
    <w:rPr>
      <w:rFonts w:ascii="Times New Roman" w:eastAsia="Times New Roman" w:hAnsi="Times New Roman" w:cs="Times New Roman"/>
      <w:sz w:val="24"/>
      <w:szCs w:val="24"/>
      <w:lang w:eastAsia="es-E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sing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05566.page"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imex.org.mx/saimex/solicitud/downloadAttach/2543846.pag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516930.pag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aimex.org.mx/saimex/solicitud/downloadAttach/2515174.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imex.org.mx/saimex/solicitud/downloadAttach/2490067.pag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eu33O6a6MgBDD/ti9V1Y3zH76Q==">CgMxLjAyCGguZ2pkZ3hzMgloLjFmb2I5dGUyCWguM3pueXNoNzIJaC4yZXQ5MnAwMgloLjNkeTZ2a20yCWguNGQzNG9nODIJaC4yczhleW8xMg5oLjFseGJuOWZmenVtZjIJaC4yNmluMXJnOAByITE5U3lmY0pVZkx6YU1wczVTQlVyaVZNLWI5R3hTdmJHLQ==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10274</Words>
  <Characters>56512</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INFOEM549</dc:creator>
  <cp:lastModifiedBy>Cuenta Microsoft</cp:lastModifiedBy>
  <cp:revision>11</cp:revision>
  <cp:lastPrinted>2026-03-06T19:27:00Z</cp:lastPrinted>
  <dcterms:created xsi:type="dcterms:W3CDTF">2026-03-03T18:08:00Z</dcterms:created>
  <dcterms:modified xsi:type="dcterms:W3CDTF">2026-03-13T19:57:00Z</dcterms:modified>
</cp:coreProperties>
</file>