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E65" w:rsidRPr="002B7457" w:rsidRDefault="00A3357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0" w:name="_GoBack"/>
      <w:bookmarkEnd w:id="0"/>
      <w:r w:rsidRPr="002B7457">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Pr="002B7457">
        <w:rPr>
          <w:rFonts w:ascii="Palatino Linotype" w:eastAsia="Palatino Linotype" w:hAnsi="Palatino Linotype" w:cs="Palatino Linotype"/>
          <w:b/>
          <w:color w:val="000000"/>
        </w:rPr>
        <w:t>de</w:t>
      </w:r>
      <w:r w:rsidRPr="002B7457">
        <w:rPr>
          <w:rFonts w:ascii="Palatino Linotype" w:eastAsia="Palatino Linotype" w:hAnsi="Palatino Linotype" w:cs="Palatino Linotype"/>
          <w:b/>
        </w:rPr>
        <w:t xml:space="preserve"> fecha </w:t>
      </w:r>
      <w:r w:rsidRPr="002B7457">
        <w:rPr>
          <w:rFonts w:ascii="Palatino Linotype" w:eastAsia="Palatino Linotype" w:hAnsi="Palatino Linotype" w:cs="Palatino Linotype"/>
          <w:b/>
          <w:color w:val="000000"/>
        </w:rPr>
        <w:t>veintiuno (21) de enero de dos mil veintiséis.</w:t>
      </w:r>
    </w:p>
    <w:p w:rsidR="00E82E65" w:rsidRPr="002B7457" w:rsidRDefault="00E82E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82E65" w:rsidRPr="002B7457" w:rsidRDefault="00A33575">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b/>
          <w:bCs/>
          <w:color w:val="000000"/>
        </w:rPr>
        <w:t>VISTO</w:t>
      </w:r>
      <w:r w:rsidRPr="002B7457">
        <w:rPr>
          <w:rFonts w:ascii="Palatino Linotype" w:eastAsia="Palatino Linotype" w:hAnsi="Palatino Linotype" w:cs="Palatino Linotype"/>
          <w:color w:val="000000"/>
        </w:rPr>
        <w:t xml:space="preserve"> en el expediente electrónico formado con motivo del recurso de revisión número </w:t>
      </w:r>
      <w:r w:rsidRPr="002B7457">
        <w:rPr>
          <w:rFonts w:ascii="Palatino Linotype" w:eastAsia="Palatino Linotype" w:hAnsi="Palatino Linotype" w:cs="Palatino Linotype"/>
          <w:b/>
          <w:bCs/>
          <w:color w:val="000000"/>
        </w:rPr>
        <w:t>10533/INFOEM/IP/RR/2025</w:t>
      </w:r>
      <w:r w:rsidRPr="002B7457">
        <w:rPr>
          <w:rFonts w:ascii="Palatino Linotype" w:eastAsia="Palatino Linotype" w:hAnsi="Palatino Linotype" w:cs="Palatino Linotype"/>
          <w:color w:val="000000"/>
        </w:rPr>
        <w:t xml:space="preserve">, promovido por </w:t>
      </w:r>
      <w:r w:rsidR="00C94EE7">
        <w:rPr>
          <w:rFonts w:ascii="Palatino Linotype" w:eastAsia="Palatino Linotype" w:hAnsi="Palatino Linotype" w:cs="Palatino Linotype"/>
          <w:b/>
          <w:color w:val="000000"/>
        </w:rPr>
        <w:t>XXXX</w:t>
      </w:r>
      <w:r w:rsidRPr="002B7457">
        <w:rPr>
          <w:rFonts w:ascii="Palatino Linotype" w:eastAsia="Palatino Linotype" w:hAnsi="Palatino Linotype" w:cs="Palatino Linotype"/>
          <w:b/>
          <w:bCs/>
          <w:color w:val="000000"/>
        </w:rPr>
        <w:t xml:space="preserve">, </w:t>
      </w:r>
      <w:r w:rsidRPr="002B7457">
        <w:rPr>
          <w:rFonts w:ascii="Palatino Linotype" w:eastAsia="Palatino Linotype" w:hAnsi="Palatino Linotype" w:cs="Palatino Linotype"/>
        </w:rPr>
        <w:t>a quien</w:t>
      </w:r>
      <w:r w:rsidRPr="002B7457">
        <w:rPr>
          <w:rFonts w:ascii="Palatino Linotype" w:eastAsia="Palatino Linotype" w:hAnsi="Palatino Linotype" w:cs="Palatino Linotype"/>
          <w:color w:val="000000"/>
        </w:rPr>
        <w:t xml:space="preserve"> en lo sucesivo denominaremos</w:t>
      </w:r>
      <w:r w:rsidRPr="002B7457">
        <w:rPr>
          <w:rFonts w:ascii="Palatino Linotype" w:eastAsia="Palatino Linotype" w:hAnsi="Palatino Linotype" w:cs="Palatino Linotype"/>
          <w:b/>
          <w:bCs/>
          <w:color w:val="000000"/>
        </w:rPr>
        <w:t xml:space="preserve"> RECURRENTE,</w:t>
      </w:r>
      <w:r w:rsidRPr="002B7457">
        <w:rPr>
          <w:rFonts w:ascii="Palatino Linotype" w:eastAsia="Palatino Linotype" w:hAnsi="Palatino Linotype" w:cs="Palatino Linotype"/>
          <w:color w:val="000000"/>
        </w:rPr>
        <w:t xml:space="preserve"> en contra de la respuesta del </w:t>
      </w:r>
      <w:r w:rsidRPr="002B7457">
        <w:rPr>
          <w:rFonts w:ascii="Palatino Linotype" w:eastAsia="Palatino Linotype" w:hAnsi="Palatino Linotype" w:cs="Palatino Linotype"/>
          <w:b/>
          <w:color w:val="000000"/>
        </w:rPr>
        <w:t>Ayuntamiento de San José del Rincón</w:t>
      </w:r>
      <w:r w:rsidRPr="002B7457">
        <w:rPr>
          <w:rFonts w:ascii="Palatino Linotype" w:eastAsia="Palatino Linotype" w:hAnsi="Palatino Linotype" w:cs="Palatino Linotype"/>
          <w:color w:val="000000"/>
        </w:rPr>
        <w:t xml:space="preserve">, en </w:t>
      </w:r>
      <w:r w:rsidRPr="002B7457">
        <w:rPr>
          <w:rFonts w:ascii="Palatino Linotype" w:eastAsia="Palatino Linotype" w:hAnsi="Palatino Linotype" w:cs="Palatino Linotype"/>
        </w:rPr>
        <w:t>adelante</w:t>
      </w:r>
      <w:r w:rsidRPr="002B7457">
        <w:rPr>
          <w:rFonts w:ascii="Palatino Linotype" w:eastAsia="Palatino Linotype" w:hAnsi="Palatino Linotype" w:cs="Palatino Linotype"/>
          <w:color w:val="000000"/>
        </w:rPr>
        <w:t xml:space="preserve"> el</w:t>
      </w:r>
      <w:r w:rsidRPr="002B7457">
        <w:rPr>
          <w:rFonts w:ascii="Palatino Linotype" w:eastAsia="Palatino Linotype" w:hAnsi="Palatino Linotype" w:cs="Palatino Linotype"/>
          <w:b/>
          <w:bCs/>
          <w:color w:val="000000"/>
        </w:rPr>
        <w:t xml:space="preserve"> SUJETO OBLIGADO, </w:t>
      </w:r>
      <w:r w:rsidRPr="002B7457">
        <w:rPr>
          <w:rFonts w:ascii="Palatino Linotype" w:eastAsia="Palatino Linotype" w:hAnsi="Palatino Linotype" w:cs="Palatino Linotype"/>
          <w:color w:val="000000"/>
        </w:rPr>
        <w:t>se procede a dictar la presente resolución, con base en los siguientes:</w:t>
      </w:r>
    </w:p>
    <w:p w:rsidR="00E82E65" w:rsidRPr="002B7457" w:rsidRDefault="00E82E65">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b/>
          <w:bCs/>
          <w:color w:val="000000"/>
        </w:rPr>
      </w:pPr>
    </w:p>
    <w:p w:rsidR="00E82E65" w:rsidRPr="002B7457" w:rsidRDefault="00A33575">
      <w:pPr>
        <w:pStyle w:val="Ttulo2"/>
        <w:spacing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sidRPr="002B7457">
        <w:rPr>
          <w:rFonts w:ascii="Palatino Linotype" w:eastAsia="Palatino Linotype" w:hAnsi="Palatino Linotype" w:cs="Palatino Linotype"/>
          <w:b/>
          <w:bCs/>
          <w:color w:val="000000"/>
          <w:sz w:val="24"/>
          <w:szCs w:val="24"/>
        </w:rPr>
        <w:t>A N T E C E D E N T E S</w:t>
      </w:r>
    </w:p>
    <w:p w:rsidR="002B7457" w:rsidRPr="002B7457" w:rsidRDefault="002B7457" w:rsidP="002B7457">
      <w:pPr>
        <w:rPr>
          <w:rFonts w:eastAsia="Palatino Linotype"/>
        </w:rPr>
      </w:pPr>
    </w:p>
    <w:p w:rsidR="00E82E65" w:rsidRPr="002B7457" w:rsidRDefault="00A335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El día </w:t>
      </w:r>
      <w:r w:rsidRPr="002B7457">
        <w:rPr>
          <w:rFonts w:ascii="Palatino Linotype" w:eastAsia="Palatino Linotype" w:hAnsi="Palatino Linotype" w:cs="Palatino Linotype"/>
          <w:b/>
          <w:bCs/>
          <w:color w:val="000000"/>
        </w:rPr>
        <w:t xml:space="preserve">siete de agosto de dos mil veinticinco, </w:t>
      </w:r>
      <w:r w:rsidRPr="002B7457">
        <w:rPr>
          <w:rFonts w:ascii="Palatino Linotype" w:eastAsia="Palatino Linotype" w:hAnsi="Palatino Linotype" w:cs="Palatino Linotype"/>
          <w:color w:val="000000"/>
        </w:rPr>
        <w:t xml:space="preserve">se presentó ante 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 xml:space="preserve"> vía SAIMEX, la solicitud de información pública registrada con el número</w:t>
      </w:r>
      <w:r w:rsidRPr="002B7457">
        <w:rPr>
          <w:rFonts w:ascii="Palatino Linotype" w:eastAsia="Palatino Linotype" w:hAnsi="Palatino Linotype" w:cs="Palatino Linotype"/>
          <w:b/>
          <w:bCs/>
          <w:color w:val="000000"/>
        </w:rPr>
        <w:t xml:space="preserve"> 00181/JOSERIN/IP/2025; </w:t>
      </w:r>
      <w:r w:rsidRPr="002B7457">
        <w:rPr>
          <w:rFonts w:ascii="Palatino Linotype" w:eastAsia="Palatino Linotype" w:hAnsi="Palatino Linotype" w:cs="Palatino Linotype"/>
          <w:color w:val="000000"/>
        </w:rPr>
        <w:t>en la que solicitó la siguiente información:</w:t>
      </w:r>
    </w:p>
    <w:p w:rsidR="00E82E65" w:rsidRPr="002B7457" w:rsidRDefault="00E82E65">
      <w:pPr>
        <w:jc w:val="both"/>
        <w:rPr>
          <w:rFonts w:ascii="Palatino Linotype" w:eastAsia="Palatino Linotype" w:hAnsi="Palatino Linotype" w:cs="Palatino Linotype"/>
          <w:i/>
          <w:iCs/>
          <w:color w:val="000000"/>
        </w:rPr>
      </w:pPr>
    </w:p>
    <w:p w:rsidR="00E82E65" w:rsidRPr="002B7457" w:rsidRDefault="00A33575">
      <w:pPr>
        <w:ind w:left="1134" w:right="849"/>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i/>
          <w:iCs/>
          <w:color w:val="000000"/>
        </w:rPr>
        <w:t>“Solicito la fecha de cuando el presidente estuvo presente para dar inicio a la obra del centro en la que iba a haber locales de comida, cuando se hizo el comité que checa eso de la obra, porque no se ha echo nada todavía, que área se encarga de checar que la obra se realice y que a echo esa área.” (</w:t>
      </w:r>
      <w:r w:rsidRPr="002B7457">
        <w:rPr>
          <w:rFonts w:ascii="Palatino Linotype" w:eastAsia="Palatino Linotype" w:hAnsi="Palatino Linotype" w:cs="Palatino Linotype"/>
          <w:color w:val="000000"/>
        </w:rPr>
        <w:t>Sic).</w:t>
      </w:r>
    </w:p>
    <w:p w:rsidR="00E82E65" w:rsidRDefault="00E82E65">
      <w:pPr>
        <w:pBdr>
          <w:top w:val="nil"/>
          <w:left w:val="nil"/>
          <w:bottom w:val="nil"/>
          <w:right w:val="nil"/>
          <w:between w:val="nil"/>
        </w:pBdr>
        <w:rPr>
          <w:rFonts w:ascii="Palatino Linotype" w:eastAsia="Palatino Linotype" w:hAnsi="Palatino Linotype" w:cs="Palatino Linotype"/>
        </w:rPr>
      </w:pPr>
    </w:p>
    <w:p w:rsidR="002B7457" w:rsidRDefault="002B7457">
      <w:pPr>
        <w:pBdr>
          <w:top w:val="nil"/>
          <w:left w:val="nil"/>
          <w:bottom w:val="nil"/>
          <w:right w:val="nil"/>
          <w:between w:val="nil"/>
        </w:pBdr>
        <w:rPr>
          <w:rFonts w:ascii="Palatino Linotype" w:eastAsia="Palatino Linotype" w:hAnsi="Palatino Linotype" w:cs="Palatino Linotype"/>
        </w:rPr>
      </w:pPr>
    </w:p>
    <w:p w:rsidR="002B7457" w:rsidRPr="002B7457" w:rsidRDefault="002B7457">
      <w:pPr>
        <w:pBdr>
          <w:top w:val="nil"/>
          <w:left w:val="nil"/>
          <w:bottom w:val="nil"/>
          <w:right w:val="nil"/>
          <w:between w:val="nil"/>
        </w:pBdr>
        <w:rPr>
          <w:rFonts w:ascii="Palatino Linotype" w:eastAsia="Palatino Linotype" w:hAnsi="Palatino Linotype" w:cs="Palatino Linotype"/>
        </w:rPr>
      </w:pPr>
    </w:p>
    <w:p w:rsidR="00E82E65" w:rsidRPr="002B7457" w:rsidRDefault="00A33575" w:rsidP="002B7457">
      <w:pPr>
        <w:numPr>
          <w:ilvl w:val="0"/>
          <w:numId w:val="1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color w:val="000000"/>
        </w:rPr>
        <w:t>Modalidad de entrega de la información: a través del</w:t>
      </w:r>
      <w:r w:rsidRPr="002B7457">
        <w:rPr>
          <w:rFonts w:ascii="Palatino Linotype" w:eastAsia="Palatino Linotype" w:hAnsi="Palatino Linotype" w:cs="Palatino Linotype"/>
          <w:b/>
          <w:bCs/>
          <w:i/>
          <w:iCs/>
          <w:color w:val="000000"/>
        </w:rPr>
        <w:t xml:space="preserve"> </w:t>
      </w:r>
      <w:r w:rsidRPr="002B7457">
        <w:rPr>
          <w:rFonts w:ascii="Palatino Linotype" w:eastAsia="Palatino Linotype" w:hAnsi="Palatino Linotype" w:cs="Palatino Linotype"/>
          <w:b/>
          <w:bCs/>
          <w:color w:val="000000"/>
        </w:rPr>
        <w:t>SAIMEX.</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lastRenderedPageBreak/>
        <w:t xml:space="preserve">En fecha </w:t>
      </w:r>
      <w:r w:rsidRPr="002B7457">
        <w:rPr>
          <w:rFonts w:ascii="Palatino Linotype" w:eastAsia="Palatino Linotype" w:hAnsi="Palatino Linotype" w:cs="Palatino Linotype"/>
          <w:b/>
          <w:bCs/>
          <w:color w:val="000000"/>
        </w:rPr>
        <w:t>veintisiete de agosto de dos mil veinticinco</w:t>
      </w:r>
      <w:r w:rsidRPr="002B7457">
        <w:rPr>
          <w:rFonts w:ascii="Palatino Linotype" w:eastAsia="Palatino Linotype" w:hAnsi="Palatino Linotype" w:cs="Palatino Linotype"/>
          <w:color w:val="000000"/>
        </w:rPr>
        <w:t>, dio respuesta a la solicitud de información mediante un archivo en formato pdf cuyo contenido grosso modo se desglosa:</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b/>
          <w:bCs/>
        </w:rPr>
        <w:t xml:space="preserve">101.pdf : </w:t>
      </w:r>
      <w:r w:rsidRPr="002B7457">
        <w:rPr>
          <w:rFonts w:ascii="Palatino Linotype" w:eastAsia="Palatino Linotype" w:hAnsi="Palatino Linotype" w:cs="Palatino Linotype"/>
          <w:i/>
          <w:iCs/>
        </w:rPr>
        <w:t xml:space="preserve">Donde el Director de Obras Públicas  entrega nota informativa indicando que: </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I. La Dirección de Obras Públicas y Desarrollo Urbano, realizo el Proceso que establece el Artículo 96 Bis. Fracción I, II, III y V de la Ley Orgánica Municipal.(Planeación, Programación, Cuantificación y Proyección).</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II. Lo anterior en apego y cumplimiento de lo que se emiten en los lineamientos de los Fondos del (FAISMUN) y FEFOM, para este ejercicio fiscal 2025.</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III. Hay modificaciones en la Plataforma del FAISMUN que se denomina (SIFAIS) para la carga de proyectos para su revisión, validación y visto bueno que a la fecha se encuentra en proceso de desarrollo y con problemas técnicos por parte de la Secretaria de Bienestar.</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V. Mercado Publico: Se abrió la plataforma a principios del mes de mayo y se cargó el Proyecto del Mercado Municipal con los requisitos solicitados y el sistema lo elimino sin dar aviso de alguna observación que solventar.</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V. Se carga nuevamente el Proyecto del Mercado a la plataforma y recomiendan eliminar el proyecto, debido a los problemas técnicos, las fechas de ejecución no son procedentes por desfase de su calendario emitido.</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VI. Se carga el proyecto por tercera ocasión con las fechas recomendadas de inicio 07 de julio de acuerdo a su calendario y a la fecha se encuentra en revisión, sin ningún dato de observación por solventar.</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VIL La obra del Mercado Publico, se encuentra validada por la plataforma de la Secretaria de Bienestar y en trámites administrativos para el proceso de contratación.</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VII. Se informa que en relación a los trámites administrativos de la obra de la</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Construcción de Mercado Publico en San José del Rincón, la obra iniciara en el mes de septiembre del año en curso.</w:t>
      </w:r>
    </w:p>
    <w:p w:rsidR="00E82E65" w:rsidRPr="002B7457" w:rsidRDefault="00A33575">
      <w:pPr>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IX. Los tramites que realiza la Dirección de Obras Publicas y Desarrollo Urbano, es en cumplimiento a los Lineamientos y la Normatividad vigente.</w:t>
      </w:r>
    </w:p>
    <w:p w:rsidR="00E82E65" w:rsidRPr="002B7457" w:rsidRDefault="00A33575">
      <w:pPr>
        <w:spacing w:line="276" w:lineRule="auto"/>
        <w:ind w:left="1134" w:right="849"/>
        <w:rPr>
          <w:rFonts w:ascii="Palatino Linotype" w:eastAsia="Palatino Linotype" w:hAnsi="Palatino Linotype" w:cs="Palatino Linotype"/>
          <w:b/>
          <w:bCs/>
          <w:i/>
          <w:iCs/>
        </w:rPr>
      </w:pPr>
      <w:r w:rsidRPr="002B7457">
        <w:rPr>
          <w:rFonts w:ascii="Palatino Linotype" w:eastAsia="Palatino Linotype" w:hAnsi="Palatino Linotype" w:cs="Palatino Linotype"/>
          <w:i/>
          <w:iCs/>
          <w:color w:val="333333"/>
        </w:rPr>
        <w:br/>
      </w:r>
    </w:p>
    <w:p w:rsidR="00E82E65" w:rsidRPr="002B7457" w:rsidRDefault="00A33575">
      <w:pPr>
        <w:numPr>
          <w:ilvl w:val="0"/>
          <w:numId w:val="1"/>
        </w:numPr>
        <w:pBdr>
          <w:top w:val="nil"/>
          <w:left w:val="nil"/>
          <w:bottom w:val="nil"/>
          <w:right w:val="nil"/>
          <w:between w:val="nil"/>
        </w:pBdr>
        <w:tabs>
          <w:tab w:val="left" w:pos="142"/>
          <w:tab w:val="left" w:pos="426"/>
        </w:tabs>
        <w:spacing w:line="360" w:lineRule="auto"/>
        <w:ind w:left="0" w:firstLine="0"/>
        <w:jc w:val="both"/>
        <w:rPr>
          <w:rFonts w:ascii="Palatino Linotype" w:eastAsia="Palatino Linotype" w:hAnsi="Palatino Linotype" w:cs="Palatino Linotype"/>
          <w:color w:val="000000"/>
        </w:rPr>
      </w:pPr>
      <w:bookmarkStart w:id="2" w:name="_heading=h.30j0zll" w:colFirst="0" w:colLast="0"/>
      <w:bookmarkEnd w:id="2"/>
      <w:r w:rsidRPr="002B7457">
        <w:rPr>
          <w:rFonts w:ascii="Palatino Linotype" w:eastAsia="Palatino Linotype" w:hAnsi="Palatino Linotype" w:cs="Palatino Linotype"/>
          <w:color w:val="000000"/>
        </w:rPr>
        <w:lastRenderedPageBreak/>
        <w:t xml:space="preserve">Derivado de la respuesta del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 xml:space="preserve">, el </w:t>
      </w:r>
      <w:r w:rsidRPr="002B7457">
        <w:rPr>
          <w:rFonts w:ascii="Palatino Linotype" w:eastAsia="Palatino Linotype" w:hAnsi="Palatino Linotype" w:cs="Palatino Linotype"/>
          <w:b/>
          <w:bCs/>
          <w:color w:val="000000"/>
        </w:rPr>
        <w:t>ocho de septiembre de dos mil veinticinco</w:t>
      </w:r>
      <w:r w:rsidRPr="002B7457">
        <w:rPr>
          <w:rFonts w:ascii="Palatino Linotype" w:eastAsia="Palatino Linotype" w:hAnsi="Palatino Linotype" w:cs="Palatino Linotype"/>
          <w:color w:val="000000"/>
        </w:rPr>
        <w:t xml:space="preserve">, el particular interpuso el recurso de revisión </w:t>
      </w:r>
      <w:r w:rsidRPr="002B7457">
        <w:rPr>
          <w:rFonts w:ascii="Palatino Linotype" w:eastAsia="Palatino Linotype" w:hAnsi="Palatino Linotype" w:cs="Palatino Linotype"/>
          <w:b/>
          <w:bCs/>
          <w:color w:val="000000"/>
        </w:rPr>
        <w:t>10533/INFOEM/IP/RR/2025</w:t>
      </w:r>
      <w:r w:rsidRPr="002B7457">
        <w:rPr>
          <w:rFonts w:ascii="Palatino Linotype" w:eastAsia="Palatino Linotype" w:hAnsi="Palatino Linotype" w:cs="Palatino Linotype"/>
          <w:color w:val="000000"/>
        </w:rPr>
        <w:t>; impugnación en la que refirió lo siguiente:</w:t>
      </w:r>
    </w:p>
    <w:p w:rsidR="00E82E65" w:rsidRPr="002B7457" w:rsidRDefault="00E82E65">
      <w:pPr>
        <w:tabs>
          <w:tab w:val="left" w:pos="142"/>
          <w:tab w:val="left" w:pos="426"/>
        </w:tabs>
        <w:spacing w:line="360" w:lineRule="auto"/>
        <w:jc w:val="both"/>
        <w:rPr>
          <w:rFonts w:ascii="Palatino Linotype" w:eastAsia="Palatino Linotype" w:hAnsi="Palatino Linotype" w:cs="Palatino Linotype"/>
          <w:color w:val="000000"/>
        </w:rPr>
      </w:pPr>
    </w:p>
    <w:p w:rsidR="00E82E65" w:rsidRPr="002B7457" w:rsidRDefault="002B745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b/>
          <w:bCs/>
          <w:color w:val="000000"/>
        </w:rPr>
        <w:t>ACTO IMPUGNADO:</w:t>
      </w:r>
      <w:r w:rsidRPr="002B7457">
        <w:rPr>
          <w:rFonts w:ascii="Palatino Linotype" w:eastAsia="Palatino Linotype" w:hAnsi="Palatino Linotype" w:cs="Palatino Linotype"/>
          <w:color w:val="000000"/>
        </w:rPr>
        <w:t xml:space="preserve"> </w:t>
      </w:r>
    </w:p>
    <w:p w:rsidR="00E82E65" w:rsidRPr="002B7457" w:rsidRDefault="00A33575" w:rsidP="002B7457">
      <w:pPr>
        <w:ind w:right="849" w:firstLine="36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 xml:space="preserve">“Respuesta a la solicitud de información 00181/JOSERIN/IP/2025”  </w:t>
      </w:r>
      <w:r w:rsidRPr="002B7457">
        <w:rPr>
          <w:rFonts w:ascii="Palatino Linotype" w:eastAsia="Palatino Linotype" w:hAnsi="Palatino Linotype" w:cs="Palatino Linotype"/>
          <w:color w:val="000000"/>
        </w:rPr>
        <w:t>(Sic).</w:t>
      </w:r>
    </w:p>
    <w:p w:rsidR="00E82E65" w:rsidRPr="002B7457" w:rsidRDefault="002B745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b/>
          <w:bCs/>
          <w:color w:val="000000"/>
        </w:rPr>
        <w:t>RAZONES O MOTIVOS DE INCONFORMIDAD:</w:t>
      </w:r>
      <w:r w:rsidRPr="002B7457">
        <w:rPr>
          <w:rFonts w:ascii="Palatino Linotype" w:eastAsia="Palatino Linotype" w:hAnsi="Palatino Linotype" w:cs="Palatino Linotype"/>
          <w:color w:val="000000"/>
        </w:rPr>
        <w:t xml:space="preserve"> </w:t>
      </w:r>
    </w:p>
    <w:p w:rsidR="00E82E65" w:rsidRPr="002B7457" w:rsidRDefault="00A33575" w:rsidP="002B7457">
      <w:pPr>
        <w:ind w:left="360" w:right="849"/>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 xml:space="preserve">“El la solicitud se pidió: 1. La fecha de cuando el presidente estuvo presente para dar inicio a la obra del centro en la que iba a haber locales de comida 2. Cuando se hizo el comité que checa eso de la obra 3. Porque no se ha echo nada todavía 4. Que área se encarga de checar que la obra se realice y 5. Que a echo esa área. Pero solo contestaron el porque no se a hecho nada todavía. Todo lo demás no me lo contestaron. Lo puse en puntos para que se vea cuántas cosas diferentes se pidieron y no contestaron.” </w:t>
      </w:r>
      <w:r w:rsidRPr="002B7457">
        <w:rPr>
          <w:rFonts w:ascii="Palatino Linotype" w:eastAsia="Palatino Linotype" w:hAnsi="Palatino Linotype" w:cs="Palatino Linotype"/>
          <w:color w:val="000000"/>
        </w:rPr>
        <w:t>(Sic).</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E82E65" w:rsidRPr="002B7457" w:rsidRDefault="00A3357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2B7457">
        <w:rPr>
          <w:rFonts w:ascii="Palatino Linotype" w:eastAsia="Palatino Linotype" w:hAnsi="Palatino Linotype" w:cs="Palatino Linotype"/>
          <w:b/>
          <w:bCs/>
          <w:color w:val="000000"/>
        </w:rPr>
        <w:t xml:space="preserve">Ley de Transparencia y Acceso a la Información Pública del Estado de México y Municipios </w:t>
      </w:r>
      <w:r w:rsidRPr="002B7457">
        <w:rPr>
          <w:rFonts w:ascii="Palatino Linotype" w:eastAsia="Palatino Linotype" w:hAnsi="Palatino Linotype" w:cs="Palatino Linotype"/>
          <w:color w:val="000000"/>
        </w:rPr>
        <w:t xml:space="preserve">se turna a la </w:t>
      </w:r>
      <w:r w:rsidRPr="002B7457">
        <w:rPr>
          <w:rFonts w:ascii="Palatino Linotype" w:eastAsia="Palatino Linotype" w:hAnsi="Palatino Linotype" w:cs="Palatino Linotype"/>
          <w:b/>
          <w:bCs/>
          <w:color w:val="000000"/>
        </w:rPr>
        <w:t xml:space="preserve">Comisionada María del Rosario Mejía Ayala, </w:t>
      </w:r>
      <w:r w:rsidRPr="002B7457">
        <w:rPr>
          <w:rFonts w:ascii="Palatino Linotype" w:eastAsia="Palatino Linotype" w:hAnsi="Palatino Linotype" w:cs="Palatino Linotype"/>
          <w:color w:val="000000"/>
        </w:rPr>
        <w:t xml:space="preserve">para su análisis. </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E82E65" w:rsidRPr="002B7457" w:rsidRDefault="002B7457">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bookmarkStart w:id="3" w:name="_heading=h.7fe394l1oxz" w:colFirst="0" w:colLast="0"/>
      <w:bookmarkEnd w:id="3"/>
      <w:r>
        <w:rPr>
          <w:rFonts w:ascii="Palatino Linotype" w:eastAsia="Palatino Linotype" w:hAnsi="Palatino Linotype" w:cs="Palatino Linotype"/>
          <w:color w:val="000000"/>
        </w:rPr>
        <w:t>La Comisionada p</w:t>
      </w:r>
      <w:r w:rsidR="00A33575" w:rsidRPr="002B7457">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w:t>
      </w:r>
      <w:r w:rsidR="00A33575" w:rsidRPr="002B7457">
        <w:rPr>
          <w:rFonts w:ascii="Palatino Linotype" w:eastAsia="Palatino Linotype" w:hAnsi="Palatino Linotype" w:cs="Palatino Linotype"/>
          <w:b/>
          <w:bCs/>
          <w:color w:val="000000"/>
        </w:rPr>
        <w:t>doce de septiembre de dos mil veinticinco</w:t>
      </w:r>
      <w:r w:rsidR="00A33575" w:rsidRPr="002B7457">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derecho convinieran, </w:t>
      </w:r>
      <w:r w:rsidR="00A33575" w:rsidRPr="002B7457">
        <w:rPr>
          <w:rFonts w:ascii="Palatino Linotype" w:eastAsia="Palatino Linotype" w:hAnsi="Palatino Linotype" w:cs="Palatino Linotype"/>
          <w:color w:val="000000"/>
        </w:rPr>
        <w:lastRenderedPageBreak/>
        <w:t xml:space="preserve">ofrecieran pruebas y alegatos según corresponda a los casos concretos, de esta forma para que el </w:t>
      </w:r>
      <w:r w:rsidR="00A33575" w:rsidRPr="002B7457">
        <w:rPr>
          <w:rFonts w:ascii="Palatino Linotype" w:eastAsia="Palatino Linotype" w:hAnsi="Palatino Linotype" w:cs="Palatino Linotype"/>
          <w:b/>
          <w:bCs/>
          <w:color w:val="000000"/>
        </w:rPr>
        <w:t>SUJETO OBLIGADO</w:t>
      </w:r>
      <w:r w:rsidR="00A33575" w:rsidRPr="002B7457">
        <w:rPr>
          <w:rFonts w:ascii="Palatino Linotype" w:eastAsia="Palatino Linotype" w:hAnsi="Palatino Linotype" w:cs="Palatino Linotype"/>
          <w:color w:val="000000"/>
        </w:rPr>
        <w:t xml:space="preserve"> presentara su informe justificado procedente.</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0"/>
          <w:numId w:val="3"/>
        </w:numPr>
        <w:pBdr>
          <w:top w:val="nil"/>
          <w:left w:val="nil"/>
          <w:bottom w:val="nil"/>
          <w:right w:val="nil"/>
          <w:between w:val="nil"/>
        </w:pBdr>
        <w:tabs>
          <w:tab w:val="left" w:pos="426"/>
        </w:tabs>
        <w:spacing w:line="360" w:lineRule="auto"/>
        <w:ind w:right="27"/>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color w:val="000000"/>
        </w:rPr>
        <w:t xml:space="preserve">El </w:t>
      </w:r>
      <w:r w:rsidRPr="002B7457">
        <w:rPr>
          <w:rFonts w:ascii="Palatino Linotype" w:eastAsia="Palatino Linotype" w:hAnsi="Palatino Linotype" w:cs="Palatino Linotype"/>
          <w:b/>
          <w:bCs/>
          <w:color w:val="000000"/>
        </w:rPr>
        <w:t xml:space="preserve">SUJETO OBLIGADO </w:t>
      </w:r>
      <w:r w:rsidRPr="002B7457">
        <w:rPr>
          <w:rFonts w:ascii="Palatino Linotype" w:eastAsia="Palatino Linotype" w:hAnsi="Palatino Linotype" w:cs="Palatino Linotype"/>
          <w:color w:val="000000"/>
        </w:rPr>
        <w:t xml:space="preserve">omitió rendir el informe justificado correspondiente, por su parte, el </w:t>
      </w:r>
      <w:r w:rsidRPr="002B7457">
        <w:rPr>
          <w:rFonts w:ascii="Palatino Linotype" w:eastAsia="Palatino Linotype" w:hAnsi="Palatino Linotype" w:cs="Palatino Linotype"/>
          <w:b/>
          <w:bCs/>
          <w:color w:val="000000"/>
        </w:rPr>
        <w:t>RECURRENTE</w:t>
      </w:r>
      <w:r w:rsidRPr="002B7457">
        <w:rPr>
          <w:rFonts w:ascii="Palatino Linotype" w:eastAsia="Palatino Linotype" w:hAnsi="Palatino Linotype" w:cs="Palatino Linotype"/>
          <w:color w:val="000000"/>
        </w:rPr>
        <w:t xml:space="preserve"> no realizó manifestaciones que a su derecho convinieran.</w:t>
      </w:r>
    </w:p>
    <w:p w:rsidR="00E82E65" w:rsidRPr="002B7457" w:rsidRDefault="00E82E65">
      <w:pPr>
        <w:tabs>
          <w:tab w:val="left" w:pos="426"/>
        </w:tabs>
        <w:spacing w:line="360" w:lineRule="auto"/>
        <w:ind w:right="27"/>
        <w:jc w:val="both"/>
        <w:rPr>
          <w:rFonts w:ascii="Palatino Linotype" w:eastAsia="Palatino Linotype" w:hAnsi="Palatino Linotype" w:cs="Palatino Linotype"/>
          <w:b/>
          <w:bCs/>
          <w:color w:val="000000"/>
        </w:rPr>
      </w:pPr>
    </w:p>
    <w:p w:rsidR="00E82E65" w:rsidRPr="002B7457" w:rsidRDefault="00A33575">
      <w:pPr>
        <w:numPr>
          <w:ilvl w:val="0"/>
          <w:numId w:val="3"/>
        </w:numPr>
        <w:pBdr>
          <w:top w:val="nil"/>
          <w:left w:val="nil"/>
          <w:bottom w:val="nil"/>
          <w:right w:val="nil"/>
          <w:between w:val="nil"/>
        </w:pBdr>
        <w:spacing w:line="360" w:lineRule="auto"/>
        <w:ind w:right="27"/>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color w:val="000000"/>
        </w:rPr>
        <w:t xml:space="preserve">En </w:t>
      </w:r>
      <w:r w:rsidRPr="002B7457">
        <w:rPr>
          <w:rFonts w:ascii="Palatino Linotype" w:eastAsia="Palatino Linotype" w:hAnsi="Palatino Linotype" w:cs="Palatino Linotype"/>
          <w:b/>
          <w:bCs/>
          <w:color w:val="000000"/>
        </w:rPr>
        <w:t>fecha trece de enero de dos mil veintiséis</w:t>
      </w:r>
      <w:r w:rsidRPr="002B7457">
        <w:rPr>
          <w:rFonts w:ascii="Palatino Linotype" w:eastAsia="Palatino Linotype" w:hAnsi="Palatino Linotype" w:cs="Palatino Linotype"/>
          <w:color w:val="000000"/>
        </w:rPr>
        <w:t>, se acordó ampliar el término para resolver el presente asunto.</w:t>
      </w:r>
    </w:p>
    <w:p w:rsidR="00E82E65" w:rsidRPr="002B7457" w:rsidRDefault="00E82E65">
      <w:pPr>
        <w:pBdr>
          <w:top w:val="nil"/>
          <w:left w:val="nil"/>
          <w:bottom w:val="nil"/>
          <w:right w:val="nil"/>
          <w:between w:val="nil"/>
        </w:pBdr>
        <w:ind w:left="720" w:right="27"/>
        <w:rPr>
          <w:rFonts w:ascii="Palatino Linotype" w:eastAsia="Palatino Linotype" w:hAnsi="Palatino Linotype" w:cs="Palatino Linotype"/>
          <w:b/>
          <w:bCs/>
          <w:color w:val="000000"/>
        </w:rPr>
      </w:pPr>
    </w:p>
    <w:p w:rsidR="00E82E65" w:rsidRPr="002B7457" w:rsidRDefault="00A3357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b/>
          <w:bCs/>
          <w:color w:val="000000"/>
        </w:rPr>
      </w:pPr>
    </w:p>
    <w:p w:rsidR="00E82E65" w:rsidRDefault="00A33575">
      <w:pPr>
        <w:numPr>
          <w:ilvl w:val="0"/>
          <w:numId w:val="3"/>
        </w:numPr>
        <w:spacing w:line="360" w:lineRule="auto"/>
        <w:ind w:right="-29"/>
        <w:jc w:val="both"/>
        <w:rPr>
          <w:rFonts w:ascii="Palatino Linotype" w:eastAsia="Palatino Linotype" w:hAnsi="Palatino Linotype" w:cs="Palatino Linotype"/>
        </w:rPr>
      </w:pPr>
      <w:r w:rsidRPr="002B7457">
        <w:rPr>
          <w:rFonts w:ascii="Palatino Linotype" w:eastAsia="Palatino Linotype" w:hAnsi="Palatino Linotype" w:cs="Palatino Linotype"/>
        </w:rPr>
        <w:t xml:space="preserve">La Comisionada Ponente decretó el cierre de instrucción mediante el acuerdo del </w:t>
      </w:r>
      <w:r w:rsidRPr="002B7457">
        <w:rPr>
          <w:rFonts w:ascii="Palatino Linotype" w:eastAsia="Palatino Linotype" w:hAnsi="Palatino Linotype" w:cs="Palatino Linotype"/>
          <w:b/>
          <w:bCs/>
        </w:rPr>
        <w:t xml:space="preserve">trece de enero de dos mil veintiséis; </w:t>
      </w:r>
      <w:r w:rsidRPr="002B7457">
        <w:rPr>
          <w:rFonts w:ascii="Palatino Linotype" w:eastAsia="Palatino Linotype" w:hAnsi="Palatino Linotype" w:cs="Palatino Linotype"/>
        </w:rPr>
        <w:t xml:space="preserve">por lo que en virtud de que el expediente electrónico ha sido debidamente substanciado y no existe diligencia pendiente de desahogo, se procede a emitir la presente resolución que conforme a Derecho corresponda y </w:t>
      </w:r>
      <w:r w:rsidR="002B7457">
        <w:rPr>
          <w:rFonts w:ascii="Palatino Linotype" w:eastAsia="Palatino Linotype" w:hAnsi="Palatino Linotype" w:cs="Palatino Linotype"/>
        </w:rPr>
        <w:t>----------------------------------------</w:t>
      </w:r>
    </w:p>
    <w:p w:rsidR="002B7457" w:rsidRDefault="002B7457" w:rsidP="002B7457">
      <w:pPr>
        <w:pStyle w:val="Prrafodelista"/>
        <w:rPr>
          <w:rFonts w:ascii="Palatino Linotype" w:eastAsia="Palatino Linotype" w:hAnsi="Palatino Linotype" w:cs="Palatino Linotype"/>
        </w:rPr>
      </w:pPr>
    </w:p>
    <w:p w:rsidR="002B7457" w:rsidRPr="002B7457" w:rsidRDefault="002B7457" w:rsidP="002B7457">
      <w:pPr>
        <w:spacing w:line="360" w:lineRule="auto"/>
        <w:ind w:right="-29"/>
        <w:jc w:val="both"/>
        <w:rPr>
          <w:rFonts w:ascii="Palatino Linotype" w:eastAsia="Palatino Linotype" w:hAnsi="Palatino Linotype" w:cs="Palatino Linotype"/>
        </w:rPr>
      </w:pP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pStyle w:val="Ttulo2"/>
        <w:jc w:val="center"/>
        <w:rPr>
          <w:rFonts w:ascii="Palatino Linotype" w:eastAsia="Palatino Linotype" w:hAnsi="Palatino Linotype" w:cs="Palatino Linotype"/>
          <w:b/>
          <w:bCs/>
          <w:color w:val="000000"/>
          <w:sz w:val="24"/>
          <w:szCs w:val="24"/>
        </w:rPr>
      </w:pPr>
      <w:bookmarkStart w:id="4" w:name="_heading=h.1fob9te" w:colFirst="0" w:colLast="0"/>
      <w:bookmarkEnd w:id="4"/>
      <w:r w:rsidRPr="002B7457">
        <w:rPr>
          <w:rFonts w:ascii="Palatino Linotype" w:eastAsia="Palatino Linotype" w:hAnsi="Palatino Linotype" w:cs="Palatino Linotype"/>
          <w:b/>
          <w:bCs/>
          <w:color w:val="000000"/>
          <w:sz w:val="24"/>
          <w:szCs w:val="24"/>
        </w:rPr>
        <w:lastRenderedPageBreak/>
        <w:t>C O N S I D E R A N D O</w:t>
      </w:r>
    </w:p>
    <w:p w:rsidR="00E82E65" w:rsidRPr="002B7457" w:rsidRDefault="00E82E65">
      <w:pPr>
        <w:rPr>
          <w:rFonts w:ascii="Palatino Linotype" w:eastAsia="Palatino Linotype" w:hAnsi="Palatino Linotype" w:cs="Palatino Linotype"/>
        </w:rPr>
      </w:pPr>
    </w:p>
    <w:p w:rsidR="00E82E65" w:rsidRPr="002B7457" w:rsidRDefault="00A33575">
      <w:pPr>
        <w:pStyle w:val="Ttulo2"/>
        <w:tabs>
          <w:tab w:val="left" w:pos="0"/>
        </w:tabs>
        <w:spacing w:before="0" w:line="360" w:lineRule="auto"/>
        <w:rPr>
          <w:rFonts w:ascii="Palatino Linotype" w:eastAsia="Palatino Linotype" w:hAnsi="Palatino Linotype" w:cs="Palatino Linotype"/>
          <w:b/>
          <w:bCs/>
          <w:color w:val="000000"/>
          <w:sz w:val="24"/>
          <w:szCs w:val="24"/>
        </w:rPr>
      </w:pPr>
      <w:bookmarkStart w:id="5" w:name="_heading=h.3znysh7" w:colFirst="0" w:colLast="0"/>
      <w:bookmarkEnd w:id="5"/>
      <w:r w:rsidRPr="002B7457">
        <w:rPr>
          <w:rFonts w:ascii="Palatino Linotype" w:eastAsia="Palatino Linotype" w:hAnsi="Palatino Linotype" w:cs="Palatino Linotype"/>
          <w:b/>
          <w:bCs/>
          <w:color w:val="000000"/>
          <w:sz w:val="24"/>
          <w:szCs w:val="24"/>
        </w:rPr>
        <w:t>PRIMERO. De la competencia</w:t>
      </w: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highlight w:val="white"/>
        </w:rPr>
      </w:pPr>
      <w:r w:rsidRPr="002B7457">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pStyle w:val="Ttulo2"/>
        <w:tabs>
          <w:tab w:val="left" w:pos="0"/>
        </w:tabs>
        <w:spacing w:before="0" w:line="360" w:lineRule="auto"/>
        <w:rPr>
          <w:rFonts w:ascii="Palatino Linotype" w:eastAsia="Palatino Linotype" w:hAnsi="Palatino Linotype" w:cs="Palatino Linotype"/>
          <w:b/>
          <w:bCs/>
          <w:color w:val="000000"/>
          <w:sz w:val="24"/>
          <w:szCs w:val="24"/>
        </w:rPr>
      </w:pPr>
      <w:bookmarkStart w:id="6" w:name="_heading=h.2et92p0" w:colFirst="0" w:colLast="0"/>
      <w:bookmarkEnd w:id="6"/>
      <w:r w:rsidRPr="002B7457">
        <w:rPr>
          <w:rFonts w:ascii="Palatino Linotype" w:eastAsia="Palatino Linotype" w:hAnsi="Palatino Linotype" w:cs="Palatino Linotype"/>
          <w:b/>
          <w:bCs/>
          <w:color w:val="000000"/>
          <w:sz w:val="24"/>
          <w:szCs w:val="24"/>
        </w:rPr>
        <w:t>SEGUNDO. De la oportunidad y procedencia.</w:t>
      </w: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bookmarkStart w:id="7" w:name="_heading=h.tyjcwt" w:colFirst="0" w:colLast="0"/>
      <w:bookmarkEnd w:id="7"/>
      <w:r w:rsidRPr="002B7457">
        <w:rPr>
          <w:rFonts w:ascii="Palatino Linotype" w:eastAsia="Palatino Linotype" w:hAnsi="Palatino Linotype" w:cs="Palatino Linotype"/>
          <w:color w:val="000000"/>
        </w:rPr>
        <w:t xml:space="preserve"> El medio de impugnación fue presentado a través del </w:t>
      </w:r>
      <w:r w:rsidRPr="002B7457">
        <w:rPr>
          <w:rFonts w:ascii="Palatino Linotype" w:eastAsia="Palatino Linotype" w:hAnsi="Palatino Linotype" w:cs="Palatino Linotype"/>
          <w:b/>
          <w:bCs/>
          <w:color w:val="000000"/>
        </w:rPr>
        <w:t xml:space="preserve">SAIMEX </w:t>
      </w:r>
      <w:r w:rsidRPr="002B7457">
        <w:rPr>
          <w:rFonts w:ascii="Palatino Linotype" w:eastAsia="Palatino Linotype" w:hAnsi="Palatino Linotype" w:cs="Palatino Linotype"/>
          <w:color w:val="000000"/>
        </w:rPr>
        <w:t xml:space="preserve">en el formato previamente aprobado para tal efecto y dentro del plazo legal de quince días hábiles otorgados; siendo así que 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 xml:space="preserve"> entregó respuesta </w:t>
      </w:r>
      <w:r w:rsidRPr="002B7457">
        <w:rPr>
          <w:rFonts w:ascii="Palatino Linotype" w:eastAsia="Palatino Linotype" w:hAnsi="Palatino Linotype" w:cs="Palatino Linotype"/>
          <w:b/>
          <w:bCs/>
          <w:color w:val="000000"/>
        </w:rPr>
        <w:t>el veintisiete de agosto de dos mil veinticinco</w:t>
      </w:r>
      <w:r w:rsidRPr="002B7457">
        <w:rPr>
          <w:rFonts w:ascii="Palatino Linotype" w:eastAsia="Palatino Linotype" w:hAnsi="Palatino Linotype" w:cs="Palatino Linotype"/>
          <w:color w:val="000000"/>
        </w:rPr>
        <w:t xml:space="preserve">, de tal forma que el plazo para interponer el recurso de revisión transcurrió del </w:t>
      </w:r>
      <w:r w:rsidRPr="002B7457">
        <w:rPr>
          <w:rFonts w:ascii="Palatino Linotype" w:eastAsia="Palatino Linotype" w:hAnsi="Palatino Linotype" w:cs="Palatino Linotype"/>
          <w:b/>
          <w:bCs/>
          <w:color w:val="000000"/>
        </w:rPr>
        <w:t>veintiocho de agosto al dieciocho de septiembre de dos mil veinticinco</w:t>
      </w:r>
      <w:r w:rsidRPr="002B7457">
        <w:rPr>
          <w:rFonts w:ascii="Palatino Linotype" w:eastAsia="Palatino Linotype" w:hAnsi="Palatino Linotype" w:cs="Palatino Linotype"/>
          <w:color w:val="000000"/>
        </w:rPr>
        <w:t xml:space="preserve">, en consecuencia, si la parte </w:t>
      </w:r>
      <w:r w:rsidRPr="002B7457">
        <w:rPr>
          <w:rFonts w:ascii="Palatino Linotype" w:eastAsia="Palatino Linotype" w:hAnsi="Palatino Linotype" w:cs="Palatino Linotype"/>
          <w:b/>
          <w:bCs/>
          <w:color w:val="000000"/>
        </w:rPr>
        <w:t xml:space="preserve">RECURRENTE </w:t>
      </w:r>
      <w:r w:rsidRPr="002B7457">
        <w:rPr>
          <w:rFonts w:ascii="Palatino Linotype" w:eastAsia="Palatino Linotype" w:hAnsi="Palatino Linotype" w:cs="Palatino Linotype"/>
          <w:color w:val="000000"/>
        </w:rPr>
        <w:t xml:space="preserve">presentó su inconformidad el </w:t>
      </w:r>
      <w:r w:rsidRPr="002B7457">
        <w:rPr>
          <w:rFonts w:ascii="Palatino Linotype" w:eastAsia="Palatino Linotype" w:hAnsi="Palatino Linotype" w:cs="Palatino Linotype"/>
          <w:b/>
          <w:bCs/>
          <w:color w:val="000000"/>
        </w:rPr>
        <w:t>ocho de septiembre de dos mil veinticinco</w:t>
      </w:r>
      <w:r w:rsidRPr="002B7457">
        <w:rPr>
          <w:rFonts w:ascii="Palatino Linotype" w:eastAsia="Palatino Linotype" w:hAnsi="Palatino Linotype" w:cs="Palatino Linotype"/>
          <w:color w:val="000000"/>
        </w:rPr>
        <w:t xml:space="preserve">, se encuentra dentro de los márgenes temporales previstos en el </w:t>
      </w:r>
      <w:r w:rsidRPr="002B7457">
        <w:rPr>
          <w:rFonts w:ascii="Palatino Linotype" w:eastAsia="Palatino Linotype" w:hAnsi="Palatino Linotype" w:cs="Palatino Linotype"/>
          <w:color w:val="000000"/>
        </w:rPr>
        <w:lastRenderedPageBreak/>
        <w:t>artículo 178 de la Ley de Transparencia y Acceso a la Información Pública del Estado de México y Municipios.</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pStyle w:val="Ttulo2"/>
        <w:tabs>
          <w:tab w:val="left" w:pos="0"/>
        </w:tabs>
        <w:spacing w:before="0" w:line="360" w:lineRule="auto"/>
        <w:rPr>
          <w:rFonts w:ascii="Palatino Linotype" w:eastAsia="Palatino Linotype" w:hAnsi="Palatino Linotype" w:cs="Palatino Linotype"/>
          <w:b/>
          <w:bCs/>
          <w:i/>
          <w:iCs/>
          <w:color w:val="000000"/>
          <w:sz w:val="24"/>
          <w:szCs w:val="24"/>
        </w:rPr>
      </w:pPr>
      <w:bookmarkStart w:id="8" w:name="_heading=h.3dy6vkm" w:colFirst="0" w:colLast="0"/>
      <w:bookmarkEnd w:id="8"/>
      <w:r w:rsidRPr="002B7457">
        <w:rPr>
          <w:rFonts w:ascii="Palatino Linotype" w:eastAsia="Palatino Linotype" w:hAnsi="Palatino Linotype" w:cs="Palatino Linotype"/>
          <w:b/>
          <w:bCs/>
          <w:color w:val="000000"/>
          <w:sz w:val="24"/>
          <w:szCs w:val="24"/>
        </w:rPr>
        <w:t xml:space="preserve">TERCERO. Del planteamiento de la </w:t>
      </w:r>
      <w:r w:rsidRPr="002B7457">
        <w:rPr>
          <w:rFonts w:ascii="Palatino Linotype" w:eastAsia="Palatino Linotype" w:hAnsi="Palatino Linotype" w:cs="Palatino Linotype"/>
          <w:b/>
          <w:bCs/>
          <w:i/>
          <w:iCs/>
          <w:color w:val="000000"/>
          <w:sz w:val="24"/>
          <w:szCs w:val="24"/>
        </w:rPr>
        <w:t>Litis.</w:t>
      </w: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rPr>
      </w:pPr>
      <w:bookmarkStart w:id="9" w:name="_heading=h.1t3h5sf" w:colFirst="0" w:colLast="0"/>
      <w:bookmarkEnd w:id="9"/>
      <w:r w:rsidRPr="002B7457">
        <w:rPr>
          <w:rFonts w:ascii="Palatino Linotype" w:eastAsia="Palatino Linotype" w:hAnsi="Palatino Linotype" w:cs="Palatino Linotype"/>
          <w:color w:val="000000"/>
        </w:rPr>
        <w:t xml:space="preserve">El </w:t>
      </w:r>
      <w:r w:rsidRPr="002B7457">
        <w:rPr>
          <w:rFonts w:ascii="Palatino Linotype" w:eastAsia="Palatino Linotype" w:hAnsi="Palatino Linotype" w:cs="Palatino Linotype"/>
          <w:b/>
          <w:bCs/>
          <w:color w:val="000000"/>
        </w:rPr>
        <w:t>RECURRENTE</w:t>
      </w:r>
      <w:r w:rsidRPr="002B7457">
        <w:rPr>
          <w:rFonts w:ascii="Palatino Linotype" w:eastAsia="Palatino Linotype" w:hAnsi="Palatino Linotype" w:cs="Palatino Linotype"/>
          <w:color w:val="000000"/>
        </w:rPr>
        <w:t xml:space="preserve"> solicitó:</w:t>
      </w:r>
    </w:p>
    <w:p w:rsidR="00E82E65" w:rsidRPr="002B7457" w:rsidRDefault="00A33575" w:rsidP="002B7457">
      <w:pPr>
        <w:numPr>
          <w:ilvl w:val="3"/>
          <w:numId w:val="5"/>
        </w:numPr>
        <w:pBdr>
          <w:top w:val="nil"/>
          <w:left w:val="nil"/>
          <w:bottom w:val="nil"/>
          <w:right w:val="nil"/>
          <w:between w:val="nil"/>
        </w:pBdr>
        <w:tabs>
          <w:tab w:val="left" w:pos="426"/>
          <w:tab w:val="left" w:pos="567"/>
        </w:tabs>
        <w:spacing w:line="360" w:lineRule="auto"/>
        <w:ind w:left="1134"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Fecha en que el Presidente Municipal anunció el inicio de obras para locales de comida;</w:t>
      </w:r>
    </w:p>
    <w:p w:rsidR="00E82E65" w:rsidRPr="002B7457" w:rsidRDefault="00A33575" w:rsidP="002B7457">
      <w:pPr>
        <w:numPr>
          <w:ilvl w:val="3"/>
          <w:numId w:val="5"/>
        </w:numPr>
        <w:pBdr>
          <w:top w:val="nil"/>
          <w:left w:val="nil"/>
          <w:bottom w:val="nil"/>
          <w:right w:val="nil"/>
          <w:between w:val="nil"/>
        </w:pBdr>
        <w:tabs>
          <w:tab w:val="left" w:pos="426"/>
          <w:tab w:val="left" w:pos="567"/>
        </w:tabs>
        <w:spacing w:line="360" w:lineRule="auto"/>
        <w:ind w:left="1134"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Fecha en que se constituyó el Comité Ciudadano para tal obra;</w:t>
      </w:r>
    </w:p>
    <w:p w:rsidR="00E82E65" w:rsidRPr="002B7457" w:rsidRDefault="00A33575" w:rsidP="002B7457">
      <w:pPr>
        <w:numPr>
          <w:ilvl w:val="3"/>
          <w:numId w:val="5"/>
        </w:numPr>
        <w:pBdr>
          <w:top w:val="nil"/>
          <w:left w:val="nil"/>
          <w:bottom w:val="nil"/>
          <w:right w:val="nil"/>
          <w:between w:val="nil"/>
        </w:pBdr>
        <w:tabs>
          <w:tab w:val="left" w:pos="426"/>
          <w:tab w:val="left" w:pos="567"/>
        </w:tabs>
        <w:spacing w:line="360" w:lineRule="auto"/>
        <w:ind w:left="1134"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Porque no se han realizado los trabajos de la obra;</w:t>
      </w:r>
    </w:p>
    <w:p w:rsidR="00E82E65" w:rsidRPr="002B7457" w:rsidRDefault="00A33575" w:rsidP="002B7457">
      <w:pPr>
        <w:numPr>
          <w:ilvl w:val="3"/>
          <w:numId w:val="5"/>
        </w:numPr>
        <w:pBdr>
          <w:top w:val="nil"/>
          <w:left w:val="nil"/>
          <w:bottom w:val="nil"/>
          <w:right w:val="nil"/>
          <w:between w:val="nil"/>
        </w:pBdr>
        <w:tabs>
          <w:tab w:val="left" w:pos="426"/>
          <w:tab w:val="left" w:pos="567"/>
        </w:tabs>
        <w:spacing w:line="360" w:lineRule="auto"/>
        <w:ind w:left="1134"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Área encargada de verificar los avances de la obra;</w:t>
      </w:r>
    </w:p>
    <w:p w:rsidR="00E82E65" w:rsidRPr="002B7457" w:rsidRDefault="00A33575" w:rsidP="002B7457">
      <w:pPr>
        <w:numPr>
          <w:ilvl w:val="3"/>
          <w:numId w:val="5"/>
        </w:numPr>
        <w:pBdr>
          <w:top w:val="nil"/>
          <w:left w:val="nil"/>
          <w:bottom w:val="nil"/>
          <w:right w:val="nil"/>
          <w:between w:val="nil"/>
        </w:pBdr>
        <w:tabs>
          <w:tab w:val="left" w:pos="426"/>
          <w:tab w:val="left" w:pos="567"/>
        </w:tabs>
        <w:spacing w:line="360" w:lineRule="auto"/>
        <w:ind w:left="1134"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Acciones del área encargada de verificar los avances de la obra a la fecha de la solicitud.</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bCs/>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En respuesta, 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 entregó el archivo electrónico descrito en el párrafo segundo.</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lastRenderedPageBreak/>
        <w:t xml:space="preserve">Posteriormente, el </w:t>
      </w:r>
      <w:r w:rsidRPr="002B7457">
        <w:rPr>
          <w:rFonts w:ascii="Palatino Linotype" w:eastAsia="Palatino Linotype" w:hAnsi="Palatino Linotype" w:cs="Palatino Linotype"/>
          <w:b/>
          <w:bCs/>
          <w:color w:val="000000"/>
        </w:rPr>
        <w:t xml:space="preserve">RECURRENTE </w:t>
      </w:r>
      <w:r w:rsidRPr="002B7457">
        <w:rPr>
          <w:rFonts w:ascii="Palatino Linotype" w:eastAsia="Palatino Linotype" w:hAnsi="Palatino Linotype" w:cs="Palatino Linotype"/>
          <w:color w:val="000000"/>
        </w:rPr>
        <w:t>interpuso el</w:t>
      </w:r>
      <w:r w:rsidRPr="002B7457">
        <w:rPr>
          <w:rFonts w:ascii="Palatino Linotype" w:eastAsia="Palatino Linotype" w:hAnsi="Palatino Linotype" w:cs="Palatino Linotype"/>
          <w:b/>
          <w:bCs/>
          <w:color w:val="000000"/>
        </w:rPr>
        <w:t xml:space="preserve"> </w:t>
      </w:r>
      <w:r w:rsidRPr="002B7457">
        <w:rPr>
          <w:rFonts w:ascii="Palatino Linotype" w:eastAsia="Palatino Linotype" w:hAnsi="Palatino Linotype" w:cs="Palatino Linotype"/>
          <w:color w:val="000000"/>
        </w:rPr>
        <w:t xml:space="preserve">recurso de revisión número </w:t>
      </w:r>
      <w:r w:rsidRPr="002B7457">
        <w:rPr>
          <w:rFonts w:ascii="Palatino Linotype" w:eastAsia="Palatino Linotype" w:hAnsi="Palatino Linotype" w:cs="Palatino Linotype"/>
          <w:b/>
          <w:bCs/>
          <w:color w:val="000000"/>
        </w:rPr>
        <w:t>10533/INFOEM/IP/RR/2025</w:t>
      </w:r>
      <w:r w:rsidRPr="002B7457">
        <w:rPr>
          <w:rFonts w:ascii="Palatino Linotype" w:eastAsia="Palatino Linotype" w:hAnsi="Palatino Linotype" w:cs="Palatino Linotype"/>
          <w:color w:val="000000"/>
        </w:rPr>
        <w:t>, donde manifestó como motivos de inconformidad,</w:t>
      </w:r>
      <w:r w:rsidRPr="002B7457">
        <w:rPr>
          <w:rFonts w:ascii="Palatino Linotype" w:eastAsia="Palatino Linotype" w:hAnsi="Palatino Linotype" w:cs="Palatino Linotype"/>
          <w:b/>
          <w:bCs/>
          <w:color w:val="000000"/>
        </w:rPr>
        <w:t xml:space="preserve"> </w:t>
      </w:r>
      <w:r w:rsidRPr="002B7457">
        <w:rPr>
          <w:rFonts w:ascii="Palatino Linotype" w:eastAsia="Palatino Linotype" w:hAnsi="Palatino Linotype" w:cs="Palatino Linotype"/>
          <w:color w:val="000000"/>
        </w:rPr>
        <w:t>la entrega de  información incompleta por el Sujeto Obligado.</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b/>
          <w:bCs/>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En dichas condiciones, la </w:t>
      </w:r>
      <w:r w:rsidRPr="002B7457">
        <w:rPr>
          <w:rFonts w:ascii="Palatino Linotype" w:eastAsia="Palatino Linotype" w:hAnsi="Palatino Linotype" w:cs="Palatino Linotype"/>
          <w:i/>
          <w:iCs/>
          <w:color w:val="000000"/>
        </w:rPr>
        <w:t>Litis</w:t>
      </w:r>
      <w:r w:rsidRPr="002B7457">
        <w:rPr>
          <w:rFonts w:ascii="Palatino Linotype" w:eastAsia="Palatino Linotype" w:hAnsi="Palatino Linotype" w:cs="Palatino Linotype"/>
          <w:color w:val="000000"/>
        </w:rPr>
        <w:t xml:space="preserve"> a resolver en el presente recurso de revisión se circunscribe a determinar si se actualizan la causal de procedencia prevista en el artículo 179, </w:t>
      </w:r>
      <w:r w:rsidRPr="002B7457">
        <w:rPr>
          <w:rFonts w:ascii="Palatino Linotype" w:eastAsia="Palatino Linotype" w:hAnsi="Palatino Linotype" w:cs="Palatino Linotype"/>
          <w:b/>
          <w:bCs/>
          <w:color w:val="000000"/>
        </w:rPr>
        <w:t>fracción V</w:t>
      </w:r>
      <w:r w:rsidRPr="002B7457">
        <w:rPr>
          <w:rFonts w:ascii="Palatino Linotype" w:eastAsia="Palatino Linotype" w:hAnsi="Palatino Linotype" w:cs="Palatino Linotype"/>
          <w:color w:val="000000"/>
        </w:rPr>
        <w:t xml:space="preserve"> de la </w:t>
      </w:r>
      <w:r w:rsidRPr="002B7457">
        <w:rPr>
          <w:rFonts w:ascii="Palatino Linotype" w:eastAsia="Palatino Linotype" w:hAnsi="Palatino Linotype" w:cs="Palatino Linotype"/>
          <w:b/>
          <w:bCs/>
          <w:color w:val="000000"/>
        </w:rPr>
        <w:t>Ley de Transparencia y Acceso a la Información Pública del Estado de México y Municipios</w:t>
      </w:r>
      <w:r w:rsidRPr="002B7457">
        <w:rPr>
          <w:rFonts w:ascii="Palatino Linotype" w:eastAsia="Palatino Linotype" w:hAnsi="Palatino Linotype" w:cs="Palatino Linotype"/>
          <w:color w:val="000000"/>
        </w:rPr>
        <w:t xml:space="preserve">. </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pStyle w:val="Ttulo2"/>
        <w:tabs>
          <w:tab w:val="left" w:pos="0"/>
        </w:tabs>
        <w:spacing w:before="0" w:line="360" w:lineRule="auto"/>
        <w:rPr>
          <w:rFonts w:ascii="Palatino Linotype" w:eastAsia="Palatino Linotype" w:hAnsi="Palatino Linotype" w:cs="Palatino Linotype"/>
          <w:b/>
          <w:bCs/>
          <w:color w:val="000000"/>
          <w:sz w:val="24"/>
          <w:szCs w:val="24"/>
        </w:rPr>
      </w:pPr>
      <w:r w:rsidRPr="002B7457">
        <w:rPr>
          <w:rFonts w:ascii="Palatino Linotype" w:eastAsia="Palatino Linotype" w:hAnsi="Palatino Linotype" w:cs="Palatino Linotype"/>
          <w:b/>
          <w:bCs/>
          <w:color w:val="000000"/>
          <w:sz w:val="24"/>
          <w:szCs w:val="24"/>
        </w:rPr>
        <w:t>CUARTO. Del estudio y resolución del asunto.</w:t>
      </w: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Definiendo el Derecho de Acceso a la Información Pública como: </w:t>
      </w:r>
      <w:r w:rsidRPr="002B7457">
        <w:rPr>
          <w:rFonts w:ascii="Palatino Linotype" w:eastAsia="Palatino Linotype" w:hAnsi="Palatino Linotype" w:cs="Palatino Linotype"/>
          <w:i/>
          <w:iCs/>
          <w:color w:val="000000"/>
        </w:rPr>
        <w:t xml:space="preserve">La igualdad de </w:t>
      </w:r>
      <w:r w:rsidRPr="002B7457">
        <w:rPr>
          <w:rFonts w:ascii="Palatino Linotype" w:eastAsia="Palatino Linotype" w:hAnsi="Palatino Linotype" w:cs="Palatino Linotype"/>
          <w:color w:val="000000"/>
        </w:rPr>
        <w:t>oportunidades</w:t>
      </w:r>
      <w:r w:rsidRPr="002B7457">
        <w:rPr>
          <w:rFonts w:ascii="Palatino Linotype" w:eastAsia="Palatino Linotype" w:hAnsi="Palatino Linotype" w:cs="Palatino Linotype"/>
          <w:i/>
          <w:iCs/>
          <w:color w:val="000000"/>
        </w:rPr>
        <w:t xml:space="preserve"> para recibir, buscar e impartir información</w:t>
      </w:r>
      <w:r w:rsidRPr="002B7457">
        <w:rPr>
          <w:rFonts w:ascii="Palatino Linotype" w:eastAsia="Palatino Linotype" w:hAnsi="Palatino Linotype" w:cs="Palatino Linotype"/>
          <w:i/>
          <w:iCs/>
          <w:color w:val="000000"/>
          <w:vertAlign w:val="superscript"/>
        </w:rPr>
        <w:footnoteReference w:id="1"/>
      </w:r>
      <w:r w:rsidRPr="002B7457">
        <w:rPr>
          <w:rFonts w:ascii="Palatino Linotype" w:eastAsia="Palatino Linotype" w:hAnsi="Palatino Linotype" w:cs="Palatino Linotype"/>
          <w:i/>
          <w:iCs/>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B7457">
        <w:rPr>
          <w:rFonts w:ascii="Palatino Linotype" w:eastAsia="Palatino Linotype" w:hAnsi="Palatino Linotype" w:cs="Palatino Linotype"/>
          <w:i/>
          <w:iCs/>
          <w:color w:val="000000"/>
        </w:rPr>
        <w:lastRenderedPageBreak/>
        <w:t>municipal,</w:t>
      </w:r>
      <w:r w:rsidRPr="002B7457">
        <w:rPr>
          <w:rFonts w:ascii="Palatino Linotype" w:eastAsia="Palatino Linotype" w:hAnsi="Palatino Linotype" w:cs="Palatino Linotype"/>
          <w:i/>
          <w:iCs/>
          <w:color w:val="000000"/>
          <w:vertAlign w:val="superscript"/>
        </w:rPr>
        <w:footnoteReference w:id="2"/>
      </w:r>
      <w:r w:rsidRPr="002B7457">
        <w:rPr>
          <w:rFonts w:ascii="Palatino Linotype" w:eastAsia="Palatino Linotype" w:hAnsi="Palatino Linotype" w:cs="Palatino Linotype"/>
          <w:color w:val="000000"/>
        </w:rPr>
        <w:t>que se constituye como una herramienta fundamental para ejercer</w:t>
      </w:r>
      <w:r w:rsidRPr="002B7457">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2B7457">
        <w:rPr>
          <w:rFonts w:ascii="Palatino Linotype" w:eastAsia="Palatino Linotype" w:hAnsi="Palatino Linotype" w:cs="Palatino Linotype"/>
          <w:i/>
          <w:iCs/>
          <w:color w:val="000000"/>
          <w:vertAlign w:val="superscript"/>
        </w:rPr>
        <w:footnoteReference w:id="3"/>
      </w:r>
      <w:r w:rsidRPr="002B7457">
        <w:rPr>
          <w:rFonts w:ascii="Palatino Linotype" w:eastAsia="Palatino Linotype" w:hAnsi="Palatino Linotype" w:cs="Palatino Linotype"/>
          <w:color w:val="000000"/>
        </w:rPr>
        <w:t>fomentando</w:t>
      </w:r>
      <w:r w:rsidRPr="002B7457">
        <w:rPr>
          <w:rFonts w:ascii="Palatino Linotype" w:eastAsia="Palatino Linotype" w:hAnsi="Palatino Linotype" w:cs="Palatino Linotype"/>
          <w:i/>
          <w:iCs/>
          <w:color w:val="000000"/>
        </w:rPr>
        <w:t xml:space="preserve"> la transparencia de las actividades estatales y </w:t>
      </w:r>
      <w:r w:rsidRPr="002B7457">
        <w:rPr>
          <w:rFonts w:ascii="Palatino Linotype" w:eastAsia="Palatino Linotype" w:hAnsi="Palatino Linotype" w:cs="Palatino Linotype"/>
          <w:color w:val="000000"/>
        </w:rPr>
        <w:t>promoviendo</w:t>
      </w:r>
      <w:r w:rsidRPr="002B7457">
        <w:rPr>
          <w:rFonts w:ascii="Palatino Linotype" w:eastAsia="Palatino Linotype" w:hAnsi="Palatino Linotype" w:cs="Palatino Linotype"/>
          <w:i/>
          <w:iCs/>
          <w:color w:val="000000"/>
        </w:rPr>
        <w:t xml:space="preserve"> la responsabilidad de los funcionarios sobre su gestión pública,</w:t>
      </w:r>
      <w:r w:rsidRPr="002B7457">
        <w:rPr>
          <w:rFonts w:ascii="Palatino Linotype" w:eastAsia="Palatino Linotype" w:hAnsi="Palatino Linotype" w:cs="Palatino Linotype"/>
          <w:i/>
          <w:iCs/>
          <w:color w:val="000000"/>
          <w:vertAlign w:val="superscript"/>
        </w:rPr>
        <w:footnoteReference w:id="4"/>
      </w:r>
      <w:r w:rsidRPr="002B7457">
        <w:rPr>
          <w:rFonts w:ascii="Palatino Linotype" w:eastAsia="Palatino Linotype" w:hAnsi="Palatino Linotype" w:cs="Palatino Linotype"/>
          <w:color w:val="000000"/>
        </w:rPr>
        <w:t>que permite</w:t>
      </w:r>
      <w:r w:rsidRPr="002B7457">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rsidR="00E82E65" w:rsidRPr="002B7457" w:rsidRDefault="00A33575">
      <w:pPr>
        <w:pStyle w:val="Ttulo3"/>
        <w:ind w:left="1134" w:right="1274"/>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b/>
          <w:bCs/>
          <w:color w:val="000000"/>
        </w:rPr>
        <w:t xml:space="preserve">“Artículo 1.- </w:t>
      </w:r>
    </w:p>
    <w:p w:rsidR="00E82E65" w:rsidRPr="002B7457" w:rsidRDefault="00A33575">
      <w:pPr>
        <w:ind w:left="1134" w:right="1274"/>
        <w:jc w:val="both"/>
        <w:rPr>
          <w:rFonts w:ascii="Palatino Linotype" w:eastAsia="Palatino Linotype" w:hAnsi="Palatino Linotype" w:cs="Palatino Linotype"/>
          <w:b/>
          <w:bCs/>
          <w:i/>
          <w:iCs/>
          <w:color w:val="000000"/>
        </w:rPr>
      </w:pPr>
      <w:r w:rsidRPr="002B7457">
        <w:rPr>
          <w:rFonts w:ascii="Palatino Linotype" w:eastAsia="Palatino Linotype" w:hAnsi="Palatino Linotype" w:cs="Palatino Linotype"/>
          <w:b/>
          <w:bCs/>
          <w:i/>
          <w:iCs/>
          <w:color w:val="000000"/>
        </w:rPr>
        <w:t>(…)</w:t>
      </w:r>
    </w:p>
    <w:p w:rsidR="00E82E65" w:rsidRPr="002B7457" w:rsidRDefault="00A33575">
      <w:pPr>
        <w:pBdr>
          <w:top w:val="nil"/>
          <w:left w:val="nil"/>
          <w:bottom w:val="nil"/>
          <w:right w:val="nil"/>
          <w:between w:val="nil"/>
        </w:pBdr>
        <w:ind w:left="1134" w:right="1274"/>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82E65" w:rsidRPr="002B7457" w:rsidRDefault="00A33575">
      <w:pPr>
        <w:ind w:left="1134" w:right="1274"/>
        <w:jc w:val="both"/>
        <w:rPr>
          <w:rFonts w:ascii="Palatino Linotype" w:eastAsia="Palatino Linotype" w:hAnsi="Palatino Linotype" w:cs="Palatino Linotype"/>
        </w:rPr>
      </w:pPr>
      <w:r w:rsidRPr="002B7457">
        <w:rPr>
          <w:rFonts w:ascii="Palatino Linotype" w:eastAsia="Palatino Linotype" w:hAnsi="Palatino Linotype" w:cs="Palatino Linotype"/>
          <w:i/>
          <w:iCs/>
        </w:rPr>
        <w:t>(…)</w:t>
      </w:r>
      <w:r w:rsidRPr="002B7457">
        <w:rPr>
          <w:rFonts w:ascii="Palatino Linotype" w:eastAsia="Palatino Linotype" w:hAnsi="Palatino Linotype" w:cs="Palatino Linotype"/>
        </w:rPr>
        <w:t>”</w:t>
      </w:r>
    </w:p>
    <w:p w:rsidR="00E82E65" w:rsidRPr="002B7457" w:rsidRDefault="00E82E65">
      <w:pPr>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Por lo anterior, se deduce que el Derecho de Acceso a la Información Pública es un Derecho Humano de Fuente Internacional y Constitucionalmente reconocido. Además del </w:t>
      </w:r>
      <w:r w:rsidRPr="002B7457">
        <w:rPr>
          <w:rFonts w:ascii="Palatino Linotype" w:eastAsia="Palatino Linotype" w:hAnsi="Palatino Linotype" w:cs="Palatino Linotype"/>
          <w:color w:val="000000"/>
        </w:rPr>
        <w:lastRenderedPageBreak/>
        <w:t>derecho, también se reconocen garantías para su protección, lo que vincula con el mandato del párrafo tercero del mismo artículo.</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82E65" w:rsidRPr="002B7457" w:rsidRDefault="00A33575">
      <w:pPr>
        <w:pStyle w:val="Ttulo4"/>
        <w:ind w:left="1134" w:right="565"/>
        <w:rPr>
          <w:rFonts w:ascii="Palatino Linotype" w:eastAsia="Palatino Linotype" w:hAnsi="Palatino Linotype" w:cs="Palatino Linotype"/>
          <w:b/>
          <w:bCs/>
          <w:color w:val="000000"/>
        </w:rPr>
      </w:pPr>
      <w:r w:rsidRPr="002B7457">
        <w:rPr>
          <w:rFonts w:ascii="Palatino Linotype" w:eastAsia="Palatino Linotype" w:hAnsi="Palatino Linotype" w:cs="Palatino Linotype"/>
          <w:b/>
          <w:bCs/>
          <w:color w:val="000000"/>
        </w:rPr>
        <w:t>Constitución Política de los Estados Unidos Mexicanos</w:t>
      </w:r>
    </w:p>
    <w:p w:rsidR="00E82E65" w:rsidRPr="002B7457" w:rsidRDefault="00A33575">
      <w:pPr>
        <w:pStyle w:val="Ttulo3"/>
        <w:ind w:left="1134" w:right="565"/>
        <w:rPr>
          <w:rFonts w:ascii="Palatino Linotype" w:eastAsia="Palatino Linotype" w:hAnsi="Palatino Linotype" w:cs="Palatino Linotype"/>
          <w:b/>
          <w:bCs/>
          <w:color w:val="000000"/>
        </w:rPr>
      </w:pPr>
      <w:r w:rsidRPr="002B7457">
        <w:rPr>
          <w:rFonts w:ascii="Palatino Linotype" w:eastAsia="Palatino Linotype" w:hAnsi="Palatino Linotype" w:cs="Palatino Linotype"/>
          <w:b/>
          <w:bCs/>
          <w:color w:val="000000"/>
        </w:rPr>
        <w:t>“Artículo 6. …</w:t>
      </w:r>
    </w:p>
    <w:p w:rsidR="00E82E65" w:rsidRPr="002B7457" w:rsidRDefault="00A33575">
      <w:pPr>
        <w:ind w:left="1134" w:right="565"/>
        <w:jc w:val="both"/>
        <w:rPr>
          <w:rFonts w:ascii="Palatino Linotype" w:eastAsia="Palatino Linotype" w:hAnsi="Palatino Linotype" w:cs="Palatino Linotype"/>
          <w:b/>
          <w:bCs/>
          <w:i/>
          <w:iCs/>
        </w:rPr>
      </w:pPr>
      <w:r w:rsidRPr="002B7457">
        <w:rPr>
          <w:rFonts w:ascii="Palatino Linotype" w:eastAsia="Palatino Linotype" w:hAnsi="Palatino Linotype" w:cs="Palatino Linotype"/>
          <w:b/>
          <w:bCs/>
          <w:i/>
          <w:iCs/>
        </w:rPr>
        <w:t>…</w:t>
      </w:r>
    </w:p>
    <w:p w:rsidR="00E82E65" w:rsidRPr="002B7457" w:rsidRDefault="00A33575">
      <w:pPr>
        <w:pBdr>
          <w:top w:val="nil"/>
          <w:left w:val="nil"/>
          <w:bottom w:val="nil"/>
          <w:right w:val="nil"/>
          <w:between w:val="nil"/>
        </w:pBdr>
        <w:spacing w:after="120"/>
        <w:ind w:left="1134" w:right="1416"/>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Para efectos de lo dispuesto en el presente artículo se observará lo siguiente:</w:t>
      </w:r>
    </w:p>
    <w:p w:rsidR="00E82E65" w:rsidRPr="002B7457" w:rsidRDefault="00A33575">
      <w:pPr>
        <w:pBdr>
          <w:top w:val="nil"/>
          <w:left w:val="nil"/>
          <w:bottom w:val="nil"/>
          <w:right w:val="nil"/>
          <w:between w:val="nil"/>
        </w:pBdr>
        <w:tabs>
          <w:tab w:val="left" w:pos="7938"/>
        </w:tabs>
        <w:ind w:left="1134" w:right="1416"/>
        <w:jc w:val="both"/>
        <w:rPr>
          <w:rFonts w:ascii="Palatino Linotype" w:eastAsia="Palatino Linotype" w:hAnsi="Palatino Linotype" w:cs="Palatino Linotype"/>
          <w:b/>
          <w:bCs/>
          <w:i/>
          <w:iCs/>
          <w:color w:val="000000"/>
        </w:rPr>
      </w:pPr>
      <w:r w:rsidRPr="002B7457">
        <w:rPr>
          <w:rFonts w:ascii="Palatino Linotype" w:eastAsia="Palatino Linotype" w:hAnsi="Palatino Linotype" w:cs="Palatino Linotype"/>
          <w:b/>
          <w:bCs/>
          <w:i/>
          <w:iCs/>
          <w:color w:val="000000"/>
        </w:rPr>
        <w:t>A. Para el ejercicio del derecho de acceso a la información, la Federación y las entidades federativas, en el ámbito de sus respectivas competencias, se regirán por los siguientes principios y bases:</w:t>
      </w:r>
    </w:p>
    <w:p w:rsidR="00E82E65" w:rsidRPr="002B7457" w:rsidRDefault="00A33575">
      <w:pPr>
        <w:pBdr>
          <w:top w:val="nil"/>
          <w:left w:val="nil"/>
          <w:bottom w:val="nil"/>
          <w:right w:val="nil"/>
          <w:between w:val="nil"/>
        </w:pBdr>
        <w:ind w:left="1134" w:right="1416"/>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b/>
          <w:bCs/>
          <w:i/>
          <w:iCs/>
          <w:color w:val="000000"/>
        </w:rPr>
        <w:t xml:space="preserve">I. </w:t>
      </w:r>
      <w:r w:rsidRPr="002B7457">
        <w:rPr>
          <w:rFonts w:ascii="Palatino Linotype" w:eastAsia="Palatino Linotype" w:hAnsi="Palatino Linotype" w:cs="Palatino Linotype"/>
          <w:b/>
          <w:bCs/>
          <w:i/>
          <w:iCs/>
          <w:color w:val="000000"/>
        </w:rPr>
        <w:tab/>
        <w:t>Toda la información en posesión de cualquier</w:t>
      </w:r>
      <w:r w:rsidRPr="002B7457">
        <w:rPr>
          <w:rFonts w:ascii="Palatino Linotype" w:eastAsia="Palatino Linotype" w:hAnsi="Palatino Linotype" w:cs="Palatino Linotype"/>
          <w:i/>
          <w:iCs/>
          <w:color w:val="000000"/>
        </w:rPr>
        <w:t xml:space="preserve"> </w:t>
      </w:r>
      <w:r w:rsidRPr="002B7457">
        <w:rPr>
          <w:rFonts w:ascii="Palatino Linotype" w:eastAsia="Palatino Linotype" w:hAnsi="Palatino Linotype" w:cs="Palatino Linotype"/>
          <w:b/>
          <w:bCs/>
          <w:i/>
          <w:iCs/>
          <w:color w:val="000000"/>
        </w:rPr>
        <w:t>autoridad</w:t>
      </w:r>
      <w:r w:rsidRPr="002B7457">
        <w:rPr>
          <w:rFonts w:ascii="Palatino Linotype" w:eastAsia="Palatino Linotype" w:hAnsi="Palatino Linotype" w:cs="Palatino Linotype"/>
          <w:i/>
          <w:iCs/>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B7457">
        <w:rPr>
          <w:rFonts w:ascii="Palatino Linotype" w:eastAsia="Palatino Linotype" w:hAnsi="Palatino Linotype" w:cs="Palatino Linotype"/>
          <w:b/>
          <w:bCs/>
          <w:i/>
          <w:iCs/>
          <w:color w:val="000000"/>
        </w:rPr>
        <w:t>municipal</w:t>
      </w:r>
      <w:r w:rsidRPr="002B7457">
        <w:rPr>
          <w:rFonts w:ascii="Palatino Linotype" w:eastAsia="Palatino Linotype" w:hAnsi="Palatino Linotype" w:cs="Palatino Linotype"/>
          <w:i/>
          <w:iCs/>
          <w:color w:val="000000"/>
        </w:rPr>
        <w:t xml:space="preserve">, </w:t>
      </w:r>
      <w:r w:rsidRPr="002B7457">
        <w:rPr>
          <w:rFonts w:ascii="Palatino Linotype" w:eastAsia="Palatino Linotype" w:hAnsi="Palatino Linotype" w:cs="Palatino Linotype"/>
          <w:b/>
          <w:bCs/>
          <w:i/>
          <w:iCs/>
          <w:color w:val="000000"/>
        </w:rPr>
        <w:t>es pública</w:t>
      </w:r>
      <w:r w:rsidRPr="002B7457">
        <w:rPr>
          <w:rFonts w:ascii="Palatino Linotype" w:eastAsia="Palatino Linotype" w:hAnsi="Palatino Linotype" w:cs="Palatino Linotype"/>
          <w:i/>
          <w:iCs/>
          <w:color w:val="000000"/>
        </w:rPr>
        <w:t xml:space="preserve"> y sólo podrá ser reservada temporalmente por razones de interés público y seguridad nacional, en los términos que fijen las leyes. </w:t>
      </w:r>
      <w:r w:rsidRPr="002B7457">
        <w:rPr>
          <w:rFonts w:ascii="Palatino Linotype" w:eastAsia="Palatino Linotype" w:hAnsi="Palatino Linotype" w:cs="Palatino Linotype"/>
          <w:b/>
          <w:bCs/>
          <w:i/>
          <w:iCs/>
          <w:color w:val="000000"/>
        </w:rPr>
        <w:t>En la interpretación de este derecho deberá prevalecer el principio de máxima publicidad. Los sujetos obligados deberán documentar todo acto que derive del ejercicio de sus facultades, competencias o funciones</w:t>
      </w:r>
      <w:r w:rsidRPr="002B7457">
        <w:rPr>
          <w:rFonts w:ascii="Palatino Linotype" w:eastAsia="Palatino Linotype" w:hAnsi="Palatino Linotype" w:cs="Palatino Linotype"/>
          <w:i/>
          <w:iCs/>
          <w:color w:val="000000"/>
        </w:rPr>
        <w:t>, la ley determinará los supuestos específicos bajo los cuales procederá la declaración de inexistencia de la información.”</w:t>
      </w:r>
    </w:p>
    <w:p w:rsidR="00E82E65" w:rsidRPr="002B7457" w:rsidRDefault="00A33575">
      <w:pPr>
        <w:pStyle w:val="Ttulo4"/>
        <w:ind w:left="1134" w:right="565"/>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lastRenderedPageBreak/>
        <w:t>Constitución Política del Estado Libre y Soberano de México</w:t>
      </w:r>
    </w:p>
    <w:p w:rsidR="00E82E65" w:rsidRPr="002B7457" w:rsidRDefault="00A33575">
      <w:pPr>
        <w:pStyle w:val="Ttulo5"/>
        <w:ind w:left="1134" w:right="565"/>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“Artículo 5.-…</w:t>
      </w:r>
    </w:p>
    <w:p w:rsidR="00E82E65" w:rsidRPr="002B7457" w:rsidRDefault="00A33575">
      <w:pPr>
        <w:ind w:left="1134" w:right="565"/>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w:t>
      </w:r>
    </w:p>
    <w:p w:rsidR="00E82E65" w:rsidRPr="002B7457" w:rsidRDefault="00A33575">
      <w:pPr>
        <w:pBdr>
          <w:top w:val="nil"/>
          <w:left w:val="nil"/>
          <w:bottom w:val="nil"/>
          <w:right w:val="nil"/>
          <w:between w:val="nil"/>
        </w:pBdr>
        <w:tabs>
          <w:tab w:val="left" w:pos="7371"/>
          <w:tab w:val="left" w:pos="7513"/>
          <w:tab w:val="left" w:pos="7797"/>
        </w:tabs>
        <w:ind w:left="1134" w:right="1416"/>
        <w:jc w:val="both"/>
        <w:rPr>
          <w:rFonts w:ascii="Palatino Linotype" w:eastAsia="Palatino Linotype" w:hAnsi="Palatino Linotype" w:cs="Palatino Linotype"/>
          <w:b/>
          <w:bCs/>
          <w:i/>
          <w:iCs/>
          <w:color w:val="000000"/>
        </w:rPr>
      </w:pPr>
      <w:r w:rsidRPr="002B7457">
        <w:rPr>
          <w:rFonts w:ascii="Palatino Linotype" w:eastAsia="Palatino Linotype" w:hAnsi="Palatino Linotype" w:cs="Palatino Linotype"/>
          <w:b/>
          <w:bCs/>
          <w:i/>
          <w:iCs/>
          <w:color w:val="000000"/>
        </w:rPr>
        <w:t>El derecho a la información será garantizado por el Estado. La ley establecerá las previsiones que permitan asegurar la protección, el respeto y la difusión de este derecho.</w:t>
      </w:r>
    </w:p>
    <w:p w:rsidR="00E82E65" w:rsidRPr="002B7457" w:rsidRDefault="00A33575">
      <w:pPr>
        <w:pBdr>
          <w:top w:val="nil"/>
          <w:left w:val="nil"/>
          <w:bottom w:val="nil"/>
          <w:right w:val="nil"/>
          <w:between w:val="nil"/>
        </w:pBdr>
        <w:ind w:left="1134" w:right="1416"/>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82E65" w:rsidRPr="002B7457" w:rsidRDefault="00A33575">
      <w:pPr>
        <w:pStyle w:val="Ttulo3"/>
        <w:ind w:left="1134" w:right="565"/>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Este derecho se regirá por los principios y bases siguientes:</w:t>
      </w:r>
    </w:p>
    <w:p w:rsidR="00E82E65" w:rsidRPr="002B7457" w:rsidRDefault="00A33575">
      <w:pPr>
        <w:numPr>
          <w:ilvl w:val="0"/>
          <w:numId w:val="15"/>
        </w:numPr>
        <w:pBdr>
          <w:top w:val="nil"/>
          <w:left w:val="nil"/>
          <w:bottom w:val="nil"/>
          <w:right w:val="nil"/>
          <w:between w:val="nil"/>
        </w:pBdr>
        <w:ind w:left="1134" w:right="1274"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b/>
          <w:bCs/>
          <w:i/>
          <w:iCs/>
          <w:color w:val="000000"/>
        </w:rPr>
        <w:t>Toda la información en posesión de cualquier autoridad, entidad, órgano y organismos de los</w:t>
      </w:r>
      <w:r w:rsidRPr="002B7457">
        <w:rPr>
          <w:rFonts w:ascii="Palatino Linotype" w:eastAsia="Palatino Linotype" w:hAnsi="Palatino Linotype" w:cs="Palatino Linotype"/>
          <w:i/>
          <w:iCs/>
          <w:color w:val="000000"/>
        </w:rPr>
        <w:t xml:space="preserve"> Poderes Ejecutivo, Legislativo y Judicial, órganos autónomos, partidos políticos, fideicomisos y fondos públicos estatales y </w:t>
      </w:r>
      <w:r w:rsidRPr="002B7457">
        <w:rPr>
          <w:rFonts w:ascii="Palatino Linotype" w:eastAsia="Palatino Linotype" w:hAnsi="Palatino Linotype" w:cs="Palatino Linotype"/>
          <w:b/>
          <w:bCs/>
          <w:i/>
          <w:iCs/>
          <w:color w:val="000000"/>
        </w:rPr>
        <w:t>municipales</w:t>
      </w:r>
      <w:r w:rsidRPr="002B7457">
        <w:rPr>
          <w:rFonts w:ascii="Palatino Linotype" w:eastAsia="Palatino Linotype" w:hAnsi="Palatino Linotype" w:cs="Palatino Linotype"/>
          <w:i/>
          <w:iCs/>
          <w:color w:val="00000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B7457">
        <w:rPr>
          <w:rFonts w:ascii="Palatino Linotype" w:eastAsia="Palatino Linotype" w:hAnsi="Palatino Linotype" w:cs="Palatino Linotype"/>
          <w:b/>
          <w:bCs/>
          <w:i/>
          <w:iCs/>
          <w:color w:val="000000"/>
        </w:rPr>
        <w:t>es pública</w:t>
      </w:r>
      <w:r w:rsidRPr="002B7457">
        <w:rPr>
          <w:rFonts w:ascii="Palatino Linotype" w:eastAsia="Palatino Linotype" w:hAnsi="Palatino Linotype" w:cs="Palatino Linotype"/>
          <w:i/>
          <w:iCs/>
          <w:color w:val="000000"/>
        </w:rPr>
        <w:t xml:space="preserve"> y sólo podrá ser reservada temporalmente por razones previstas en la Constitución Política de los Estados Unidos Mexicanos de interés público y seguridad, en los términos que fijen las leyes. </w:t>
      </w:r>
      <w:r w:rsidRPr="002B7457">
        <w:rPr>
          <w:rFonts w:ascii="Palatino Linotype" w:eastAsia="Palatino Linotype" w:hAnsi="Palatino Linotype" w:cs="Palatino Linotype"/>
          <w:b/>
          <w:bCs/>
          <w:i/>
          <w:iCs/>
          <w:color w:val="000000"/>
        </w:rPr>
        <w:t>En la interpretación de este derecho deberá prevalecer el principio de máxima publicidad</w:t>
      </w:r>
      <w:r w:rsidRPr="002B7457">
        <w:rPr>
          <w:rFonts w:ascii="Palatino Linotype" w:eastAsia="Palatino Linotype" w:hAnsi="Palatino Linotype" w:cs="Palatino Linotype"/>
          <w:i/>
          <w:iCs/>
          <w:color w:val="000000"/>
        </w:rPr>
        <w:t xml:space="preserve">. </w:t>
      </w:r>
      <w:r w:rsidRPr="002B7457">
        <w:rPr>
          <w:rFonts w:ascii="Palatino Linotype" w:eastAsia="Palatino Linotype" w:hAnsi="Palatino Linotype" w:cs="Palatino Linotype"/>
          <w:b/>
          <w:bCs/>
          <w:i/>
          <w:iCs/>
          <w:color w:val="000000"/>
        </w:rPr>
        <w:t>Los sujetos obligados deberán documentar todo acto que derive del ejercicio de sus facultades, competencias o funciones</w:t>
      </w:r>
      <w:r w:rsidRPr="002B7457">
        <w:rPr>
          <w:rFonts w:ascii="Palatino Linotype" w:eastAsia="Palatino Linotype" w:hAnsi="Palatino Linotype" w:cs="Palatino Linotype"/>
          <w:i/>
          <w:iCs/>
          <w:color w:val="000000"/>
        </w:rPr>
        <w:t>, la ley determinará los supuestos específicos bajo los cuales procederá la declaración de inexistencia de la información.”</w:t>
      </w:r>
    </w:p>
    <w:p w:rsidR="00E82E65" w:rsidRDefault="00E82E65">
      <w:pPr>
        <w:pBdr>
          <w:top w:val="nil"/>
          <w:left w:val="nil"/>
          <w:bottom w:val="nil"/>
          <w:right w:val="nil"/>
          <w:between w:val="nil"/>
        </w:pBdr>
        <w:tabs>
          <w:tab w:val="left" w:pos="426"/>
          <w:tab w:val="left" w:pos="567"/>
        </w:tabs>
        <w:spacing w:line="360" w:lineRule="auto"/>
        <w:ind w:left="567"/>
        <w:jc w:val="both"/>
        <w:rPr>
          <w:rFonts w:ascii="Palatino Linotype" w:eastAsia="Palatino Linotype" w:hAnsi="Palatino Linotype" w:cs="Palatino Linotype"/>
          <w:color w:val="000000"/>
        </w:rPr>
      </w:pPr>
    </w:p>
    <w:p w:rsidR="002B7457" w:rsidRPr="002B7457" w:rsidRDefault="002B7457">
      <w:pPr>
        <w:pBdr>
          <w:top w:val="nil"/>
          <w:left w:val="nil"/>
          <w:bottom w:val="nil"/>
          <w:right w:val="nil"/>
          <w:between w:val="nil"/>
        </w:pBdr>
        <w:tabs>
          <w:tab w:val="left" w:pos="426"/>
          <w:tab w:val="left" w:pos="567"/>
        </w:tabs>
        <w:spacing w:line="360" w:lineRule="auto"/>
        <w:ind w:left="567"/>
        <w:jc w:val="both"/>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Según el artículo 150 de la Ley de Transparencia del Estado, la solicitud es la garantía primaria del Derecho de Acceso a la Información, además, establece que se regirá </w:t>
      </w:r>
      <w:r w:rsidRPr="002B7457">
        <w:rPr>
          <w:rFonts w:ascii="Palatino Linotype" w:eastAsia="Palatino Linotype" w:hAnsi="Palatino Linotype" w:cs="Palatino Linotype"/>
          <w:i/>
          <w:iCs/>
          <w:color w:val="000000"/>
        </w:rPr>
        <w:t xml:space="preserve">por los </w:t>
      </w:r>
      <w:r w:rsidRPr="002B7457">
        <w:rPr>
          <w:rFonts w:ascii="Palatino Linotype" w:eastAsia="Palatino Linotype" w:hAnsi="Palatino Linotype" w:cs="Palatino Linotype"/>
          <w:i/>
          <w:iCs/>
          <w:color w:val="000000"/>
        </w:rPr>
        <w:lastRenderedPageBreak/>
        <w:t>principios de simplicidad, rapidez gratuidad del procedimiento, auxilio y orientación a los particulares</w:t>
      </w:r>
      <w:r w:rsidRPr="002B7457">
        <w:rPr>
          <w:rFonts w:ascii="Palatino Linotype" w:eastAsia="Palatino Linotype" w:hAnsi="Palatino Linotype" w:cs="Palatino Linotype"/>
          <w:color w:val="000000"/>
        </w:rPr>
        <w:t>, contemplando el derecho de las personas con discapacidad y hablantes de lengua indígena.</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El Derecho de Acceso a la Información se garantiza y respeta oportunamente, y según lo que dispone la Ley, las </w:t>
      </w:r>
      <w:r w:rsidRPr="002B7457">
        <w:rPr>
          <w:rFonts w:ascii="Palatino Linotype" w:eastAsia="Palatino Linotype" w:hAnsi="Palatino Linotype" w:cs="Palatino Linotype"/>
          <w:i/>
          <w:iCs/>
          <w:color w:val="000000"/>
        </w:rPr>
        <w:t>solicitudes de acceso a la información</w:t>
      </w:r>
      <w:r w:rsidRPr="002B7457">
        <w:rPr>
          <w:rFonts w:ascii="Palatino Linotype" w:eastAsia="Palatino Linotype" w:hAnsi="Palatino Linotype" w:cs="Palatino Linotype"/>
          <w:color w:val="000000"/>
        </w:rPr>
        <w:t>.</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 xml:space="preserve">Así entonces, se procede analizar, en primer lugar, si 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 </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E82E65" w:rsidRPr="002B7457" w:rsidRDefault="00A33575">
      <w:pPr>
        <w:numPr>
          <w:ilvl w:val="1"/>
          <w:numId w:val="17"/>
        </w:numPr>
        <w:pBdr>
          <w:top w:val="nil"/>
          <w:left w:val="nil"/>
          <w:bottom w:val="nil"/>
          <w:right w:val="nil"/>
          <w:between w:val="nil"/>
        </w:pBdr>
        <w:ind w:left="0" w:firstLine="0"/>
        <w:rPr>
          <w:rFonts w:ascii="Palatino Linotype" w:eastAsia="Palatino Linotype" w:hAnsi="Palatino Linotype" w:cs="Palatino Linotype"/>
          <w:b/>
          <w:bCs/>
          <w:color w:val="000000"/>
        </w:rPr>
      </w:pPr>
      <w:bookmarkStart w:id="10" w:name="_heading=h.4d34og8" w:colFirst="0" w:colLast="0"/>
      <w:bookmarkEnd w:id="10"/>
      <w:r w:rsidRPr="002B7457">
        <w:rPr>
          <w:rFonts w:ascii="Palatino Linotype" w:eastAsia="Palatino Linotype" w:hAnsi="Palatino Linotype" w:cs="Palatino Linotype"/>
          <w:b/>
          <w:bCs/>
          <w:color w:val="000000"/>
        </w:rPr>
        <w:t>De la información solicitada y la respuesta del SUJETO OBLIGADO.</w:t>
      </w:r>
    </w:p>
    <w:p w:rsidR="00E82E65" w:rsidRPr="002B7457" w:rsidRDefault="00A33575">
      <w:pPr>
        <w:numPr>
          <w:ilvl w:val="0"/>
          <w:numId w:val="7"/>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2B7457">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E82E65" w:rsidRPr="002B7457" w:rsidRDefault="00E82E65">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E82E65" w:rsidRPr="002B7457" w:rsidRDefault="00A33575">
      <w:pPr>
        <w:numPr>
          <w:ilvl w:val="3"/>
          <w:numId w:val="9"/>
        </w:numPr>
        <w:pBdr>
          <w:top w:val="nil"/>
          <w:left w:val="nil"/>
          <w:bottom w:val="nil"/>
          <w:right w:val="nil"/>
          <w:between w:val="nil"/>
        </w:pBdr>
        <w:spacing w:line="360" w:lineRule="auto"/>
        <w:ind w:left="0" w:right="-2"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color w:val="000000"/>
        </w:rPr>
        <w:t xml:space="preserve">Así, debemos recapitular que la </w:t>
      </w:r>
      <w:r w:rsidRPr="002B7457">
        <w:rPr>
          <w:rFonts w:ascii="Palatino Linotype" w:eastAsia="Palatino Linotype" w:hAnsi="Palatino Linotype" w:cs="Palatino Linotype"/>
          <w:b/>
          <w:bCs/>
          <w:color w:val="000000"/>
        </w:rPr>
        <w:t>RECURRENTE</w:t>
      </w:r>
      <w:r w:rsidRPr="002B7457">
        <w:rPr>
          <w:rFonts w:ascii="Palatino Linotype" w:eastAsia="Palatino Linotype" w:hAnsi="Palatino Linotype" w:cs="Palatino Linotype"/>
          <w:color w:val="000000"/>
        </w:rPr>
        <w:t xml:space="preserve"> solicitó conocer:</w:t>
      </w:r>
    </w:p>
    <w:p w:rsidR="00E82E65" w:rsidRPr="002B7457" w:rsidRDefault="00A33575">
      <w:pPr>
        <w:numPr>
          <w:ilvl w:val="3"/>
          <w:numId w:val="14"/>
        </w:numPr>
        <w:pBdr>
          <w:top w:val="nil"/>
          <w:left w:val="nil"/>
          <w:bottom w:val="nil"/>
          <w:right w:val="nil"/>
          <w:between w:val="nil"/>
        </w:pBdr>
        <w:tabs>
          <w:tab w:val="left" w:pos="426"/>
          <w:tab w:val="left" w:pos="567"/>
        </w:tabs>
        <w:spacing w:line="360" w:lineRule="auto"/>
        <w:ind w:left="1843"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lastRenderedPageBreak/>
        <w:t>Fecha en que el Presidente Municipal anunció el inicio de obras para locales de comida;</w:t>
      </w:r>
    </w:p>
    <w:p w:rsidR="00E82E65" w:rsidRPr="002B7457" w:rsidRDefault="00A33575">
      <w:pPr>
        <w:numPr>
          <w:ilvl w:val="3"/>
          <w:numId w:val="14"/>
        </w:numPr>
        <w:pBdr>
          <w:top w:val="nil"/>
          <w:left w:val="nil"/>
          <w:bottom w:val="nil"/>
          <w:right w:val="nil"/>
          <w:between w:val="nil"/>
        </w:pBdr>
        <w:tabs>
          <w:tab w:val="left" w:pos="426"/>
          <w:tab w:val="left" w:pos="567"/>
        </w:tabs>
        <w:spacing w:line="360" w:lineRule="auto"/>
        <w:ind w:left="1843"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Fecha en que se constituyó el Comité Ciudadano para tal obra;</w:t>
      </w:r>
    </w:p>
    <w:p w:rsidR="00E82E65" w:rsidRPr="002B7457" w:rsidRDefault="00A33575">
      <w:pPr>
        <w:numPr>
          <w:ilvl w:val="3"/>
          <w:numId w:val="14"/>
        </w:numPr>
        <w:pBdr>
          <w:top w:val="nil"/>
          <w:left w:val="nil"/>
          <w:bottom w:val="nil"/>
          <w:right w:val="nil"/>
          <w:between w:val="nil"/>
        </w:pBdr>
        <w:tabs>
          <w:tab w:val="left" w:pos="426"/>
          <w:tab w:val="left" w:pos="567"/>
        </w:tabs>
        <w:spacing w:line="360" w:lineRule="auto"/>
        <w:ind w:left="1843"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Porque no se han realizado los trabajos de la obra;</w:t>
      </w:r>
    </w:p>
    <w:p w:rsidR="00E82E65" w:rsidRPr="002B7457" w:rsidRDefault="00A33575">
      <w:pPr>
        <w:numPr>
          <w:ilvl w:val="3"/>
          <w:numId w:val="14"/>
        </w:numPr>
        <w:pBdr>
          <w:top w:val="nil"/>
          <w:left w:val="nil"/>
          <w:bottom w:val="nil"/>
          <w:right w:val="nil"/>
          <w:between w:val="nil"/>
        </w:pBdr>
        <w:tabs>
          <w:tab w:val="left" w:pos="426"/>
          <w:tab w:val="left" w:pos="567"/>
        </w:tabs>
        <w:spacing w:line="360" w:lineRule="auto"/>
        <w:ind w:left="1843"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Área encargada de verificar los avances de la obra;</w:t>
      </w:r>
    </w:p>
    <w:p w:rsidR="00E82E65" w:rsidRPr="002B7457" w:rsidRDefault="00A33575">
      <w:pPr>
        <w:numPr>
          <w:ilvl w:val="3"/>
          <w:numId w:val="14"/>
        </w:numPr>
        <w:pBdr>
          <w:top w:val="nil"/>
          <w:left w:val="nil"/>
          <w:bottom w:val="nil"/>
          <w:right w:val="nil"/>
          <w:between w:val="nil"/>
        </w:pBdr>
        <w:tabs>
          <w:tab w:val="left" w:pos="426"/>
          <w:tab w:val="left" w:pos="567"/>
        </w:tabs>
        <w:spacing w:line="360" w:lineRule="auto"/>
        <w:ind w:left="1843" w:right="849"/>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Acciones del área encargada de verificar los avances de la obra a la fecha de la solicitud.</w:t>
      </w:r>
    </w:p>
    <w:p w:rsidR="00E82E65" w:rsidRPr="002B7457" w:rsidRDefault="00E82E65">
      <w:pPr>
        <w:pBdr>
          <w:top w:val="nil"/>
          <w:left w:val="nil"/>
          <w:bottom w:val="nil"/>
          <w:right w:val="nil"/>
          <w:between w:val="nil"/>
        </w:pBdr>
        <w:tabs>
          <w:tab w:val="left" w:pos="426"/>
          <w:tab w:val="left" w:pos="567"/>
        </w:tabs>
        <w:spacing w:line="480" w:lineRule="auto"/>
        <w:ind w:left="1418" w:right="849"/>
        <w:rPr>
          <w:rFonts w:ascii="Palatino Linotype" w:eastAsia="Palatino Linotype" w:hAnsi="Palatino Linotype" w:cs="Palatino Linotype"/>
          <w:i/>
          <w:iCs/>
        </w:rPr>
      </w:pPr>
    </w:p>
    <w:p w:rsidR="00E82E65" w:rsidRPr="002B7457" w:rsidRDefault="00A33575">
      <w:pPr>
        <w:numPr>
          <w:ilvl w:val="0"/>
          <w:numId w:val="16"/>
        </w:numPr>
        <w:pBdr>
          <w:top w:val="nil"/>
          <w:left w:val="nil"/>
          <w:bottom w:val="nil"/>
          <w:right w:val="nil"/>
          <w:between w:val="nil"/>
        </w:pBdr>
        <w:tabs>
          <w:tab w:val="left" w:pos="426"/>
          <w:tab w:val="left" w:pos="567"/>
        </w:tabs>
        <w:spacing w:line="360" w:lineRule="auto"/>
        <w:ind w:left="0" w:right="-2"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Por lo que</w:t>
      </w:r>
      <w:r w:rsidRPr="002B7457">
        <w:rPr>
          <w:rFonts w:ascii="Palatino Linotype" w:eastAsia="Palatino Linotype" w:hAnsi="Palatino Linotype" w:cs="Palatino Linotype"/>
          <w:b/>
          <w:bCs/>
          <w:color w:val="000000"/>
        </w:rPr>
        <w:t xml:space="preserve"> </w:t>
      </w:r>
      <w:r w:rsidRPr="002B7457">
        <w:rPr>
          <w:rFonts w:ascii="Palatino Linotype" w:eastAsia="Palatino Linotype" w:hAnsi="Palatino Linotype" w:cs="Palatino Linotype"/>
          <w:color w:val="000000"/>
        </w:rPr>
        <w:t xml:space="preserve">en respuesta, 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 xml:space="preserve"> por medio del Director de Obras Públicas la información señalada en la siguiente tabla para su mejor apreciación:</w:t>
      </w:r>
    </w:p>
    <w:p w:rsidR="00E82E65" w:rsidRPr="002B7457" w:rsidRDefault="00E82E65">
      <w:pPr>
        <w:pBdr>
          <w:top w:val="nil"/>
          <w:left w:val="nil"/>
          <w:bottom w:val="nil"/>
          <w:right w:val="nil"/>
          <w:between w:val="nil"/>
        </w:pBdr>
        <w:tabs>
          <w:tab w:val="left" w:pos="426"/>
          <w:tab w:val="left" w:pos="567"/>
        </w:tabs>
        <w:spacing w:line="360" w:lineRule="auto"/>
        <w:ind w:right="-2"/>
        <w:jc w:val="both"/>
        <w:rPr>
          <w:rFonts w:ascii="Palatino Linotype" w:eastAsia="Palatino Linotype" w:hAnsi="Palatino Linotype" w:cs="Palatino Linotype"/>
          <w:color w:val="000000"/>
        </w:rPr>
      </w:pPr>
    </w:p>
    <w:tbl>
      <w:tblPr>
        <w:tblStyle w:val="a3"/>
        <w:tblW w:w="9776"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3256"/>
        <w:gridCol w:w="3118"/>
        <w:gridCol w:w="3402"/>
      </w:tblGrid>
      <w:tr w:rsidR="00E82E65" w:rsidRPr="002B7457" w:rsidTr="002B745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vAlign w:val="center"/>
          </w:tcPr>
          <w:p w:rsidR="00E82E65" w:rsidRPr="002B7457" w:rsidRDefault="00A33575">
            <w:pPr>
              <w:spacing w:line="360" w:lineRule="auto"/>
              <w:ind w:right="-28"/>
              <w:jc w:val="center"/>
              <w:rPr>
                <w:rFonts w:ascii="Palatino Linotype" w:eastAsia="Palatino Linotype" w:hAnsi="Palatino Linotype" w:cs="Palatino Linotype"/>
                <w:sz w:val="24"/>
                <w:szCs w:val="24"/>
              </w:rPr>
            </w:pPr>
            <w:r w:rsidRPr="002B7457">
              <w:rPr>
                <w:rFonts w:ascii="Palatino Linotype" w:eastAsia="Palatino Linotype" w:hAnsi="Palatino Linotype" w:cs="Palatino Linotype"/>
                <w:sz w:val="24"/>
                <w:szCs w:val="24"/>
              </w:rPr>
              <w:t>SOLICITUD</w:t>
            </w:r>
          </w:p>
        </w:tc>
        <w:tc>
          <w:tcPr>
            <w:tcW w:w="3118" w:type="dxa"/>
            <w:vAlign w:val="center"/>
          </w:tcPr>
          <w:p w:rsidR="00E82E65" w:rsidRPr="002B7457" w:rsidRDefault="00A33575">
            <w:pPr>
              <w:spacing w:line="360" w:lineRule="auto"/>
              <w:ind w:right="-28"/>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2B7457">
              <w:rPr>
                <w:rFonts w:ascii="Palatino Linotype" w:eastAsia="Palatino Linotype" w:hAnsi="Palatino Linotype" w:cs="Palatino Linotype"/>
                <w:sz w:val="24"/>
                <w:szCs w:val="24"/>
              </w:rPr>
              <w:t>RESPUESTA</w:t>
            </w:r>
          </w:p>
        </w:tc>
        <w:tc>
          <w:tcPr>
            <w:tcW w:w="3402" w:type="dxa"/>
            <w:vAlign w:val="center"/>
          </w:tcPr>
          <w:p w:rsidR="00E82E65" w:rsidRPr="002B7457" w:rsidRDefault="00A33575">
            <w:pPr>
              <w:spacing w:line="360" w:lineRule="auto"/>
              <w:ind w:right="-28"/>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2B7457">
              <w:rPr>
                <w:rFonts w:ascii="Palatino Linotype" w:eastAsia="Palatino Linotype" w:hAnsi="Palatino Linotype" w:cs="Palatino Linotype"/>
                <w:sz w:val="24"/>
                <w:szCs w:val="24"/>
              </w:rPr>
              <w:t>CUMPLIMIENTO</w:t>
            </w:r>
          </w:p>
        </w:tc>
      </w:tr>
      <w:tr w:rsidR="00E82E65" w:rsidRPr="002B7457" w:rsidTr="002B7457">
        <w:tc>
          <w:tcPr>
            <w:cnfStyle w:val="001000000000" w:firstRow="0" w:lastRow="0" w:firstColumn="1" w:lastColumn="0" w:oddVBand="0" w:evenVBand="0" w:oddHBand="0" w:evenHBand="0" w:firstRowFirstColumn="0" w:firstRowLastColumn="0" w:lastRowFirstColumn="0" w:lastRowLastColumn="0"/>
            <w:tcW w:w="3256" w:type="dxa"/>
            <w:vAlign w:val="center"/>
          </w:tcPr>
          <w:p w:rsidR="00E82E65" w:rsidRPr="002B7457" w:rsidRDefault="00A33575" w:rsidP="002B7457">
            <w:pPr>
              <w:spacing w:line="360" w:lineRule="auto"/>
              <w:ind w:right="-28"/>
              <w:rPr>
                <w:rFonts w:ascii="Palatino Linotype" w:eastAsia="Palatino Linotype" w:hAnsi="Palatino Linotype" w:cs="Palatino Linotype"/>
                <w:sz w:val="24"/>
                <w:szCs w:val="24"/>
              </w:rPr>
            </w:pPr>
            <w:r w:rsidRPr="002B7457">
              <w:rPr>
                <w:rFonts w:ascii="Palatino Linotype" w:eastAsia="Palatino Linotype" w:hAnsi="Palatino Linotype" w:cs="Palatino Linotype"/>
                <w:i/>
                <w:iCs/>
                <w:color w:val="000000"/>
                <w:sz w:val="24"/>
                <w:szCs w:val="24"/>
              </w:rPr>
              <w:t>I.</w:t>
            </w:r>
            <w:r w:rsidRPr="002B7457">
              <w:rPr>
                <w:rFonts w:ascii="Palatino Linotype" w:eastAsia="Palatino Linotype" w:hAnsi="Palatino Linotype" w:cs="Palatino Linotype"/>
                <w:i/>
                <w:iCs/>
                <w:color w:val="000000"/>
                <w:sz w:val="24"/>
                <w:szCs w:val="24"/>
              </w:rPr>
              <w:tab/>
              <w:t>Fecha en que el Presidente Municipal anunció el inicio de obras para locales de comida;</w:t>
            </w:r>
          </w:p>
        </w:tc>
        <w:tc>
          <w:tcPr>
            <w:tcW w:w="3118" w:type="dxa"/>
            <w:vAlign w:val="center"/>
          </w:tcPr>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sz w:val="24"/>
                <w:szCs w:val="24"/>
              </w:rPr>
            </w:pPr>
            <w:r w:rsidRPr="002B7457">
              <w:rPr>
                <w:rFonts w:ascii="Palatino Linotype" w:eastAsia="Palatino Linotype" w:hAnsi="Palatino Linotype" w:cs="Palatino Linotype"/>
                <w:i/>
                <w:iCs/>
                <w:sz w:val="24"/>
                <w:szCs w:val="24"/>
              </w:rPr>
              <w:t xml:space="preserve">Señala la fecha de inicio de la obra para el mes de septiembre de 2025 </w:t>
            </w:r>
          </w:p>
        </w:tc>
        <w:tc>
          <w:tcPr>
            <w:tcW w:w="3402" w:type="dxa"/>
            <w:vAlign w:val="center"/>
          </w:tcPr>
          <w:p w:rsidR="00E82E65" w:rsidRPr="002B7457" w:rsidRDefault="00A3357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SI</w:t>
            </w:r>
          </w:p>
          <w:p w:rsidR="00E82E65" w:rsidRPr="002B7457" w:rsidRDefault="00A3357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Hechos futuros</w:t>
            </w:r>
          </w:p>
          <w:p w:rsidR="00E82E65" w:rsidRPr="002B7457" w:rsidRDefault="00E82E6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p>
        </w:tc>
      </w:tr>
      <w:tr w:rsidR="00E82E65" w:rsidRPr="002B7457" w:rsidTr="002B7457">
        <w:tc>
          <w:tcPr>
            <w:cnfStyle w:val="001000000000" w:firstRow="0" w:lastRow="0" w:firstColumn="1" w:lastColumn="0" w:oddVBand="0" w:evenVBand="0" w:oddHBand="0" w:evenHBand="0" w:firstRowFirstColumn="0" w:firstRowLastColumn="0" w:lastRowFirstColumn="0" w:lastRowLastColumn="0"/>
            <w:tcW w:w="3256" w:type="dxa"/>
            <w:vAlign w:val="center"/>
          </w:tcPr>
          <w:p w:rsidR="00E82E65" w:rsidRPr="002B7457" w:rsidRDefault="00A33575" w:rsidP="002B7457">
            <w:pPr>
              <w:spacing w:line="360" w:lineRule="auto"/>
              <w:ind w:right="-28"/>
              <w:rPr>
                <w:rFonts w:ascii="Palatino Linotype" w:eastAsia="Palatino Linotype" w:hAnsi="Palatino Linotype" w:cs="Palatino Linotype"/>
                <w:sz w:val="24"/>
                <w:szCs w:val="24"/>
              </w:rPr>
            </w:pPr>
            <w:r w:rsidRPr="002B7457">
              <w:rPr>
                <w:rFonts w:ascii="Palatino Linotype" w:eastAsia="Palatino Linotype" w:hAnsi="Palatino Linotype" w:cs="Palatino Linotype"/>
                <w:i/>
                <w:iCs/>
                <w:color w:val="000000"/>
                <w:sz w:val="24"/>
                <w:szCs w:val="24"/>
              </w:rPr>
              <w:t>II.</w:t>
            </w:r>
            <w:r w:rsidRPr="002B7457">
              <w:rPr>
                <w:rFonts w:ascii="Palatino Linotype" w:eastAsia="Palatino Linotype" w:hAnsi="Palatino Linotype" w:cs="Palatino Linotype"/>
                <w:i/>
                <w:iCs/>
                <w:color w:val="000000"/>
                <w:sz w:val="24"/>
                <w:szCs w:val="24"/>
              </w:rPr>
              <w:tab/>
              <w:t>Fecha en que se constituyó el comité de ley para tal obra;</w:t>
            </w:r>
          </w:p>
        </w:tc>
        <w:tc>
          <w:tcPr>
            <w:tcW w:w="3118" w:type="dxa"/>
            <w:vAlign w:val="center"/>
          </w:tcPr>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sz w:val="24"/>
                <w:szCs w:val="24"/>
              </w:rPr>
            </w:pPr>
            <w:r w:rsidRPr="002B7457">
              <w:rPr>
                <w:rFonts w:ascii="Palatino Linotype" w:eastAsia="Palatino Linotype" w:hAnsi="Palatino Linotype" w:cs="Palatino Linotype"/>
                <w:i/>
                <w:iCs/>
                <w:sz w:val="24"/>
                <w:szCs w:val="24"/>
              </w:rPr>
              <w:t xml:space="preserve">No se pronuncia </w:t>
            </w:r>
          </w:p>
        </w:tc>
        <w:tc>
          <w:tcPr>
            <w:tcW w:w="3402" w:type="dxa"/>
            <w:vAlign w:val="center"/>
          </w:tcPr>
          <w:p w:rsidR="00E82E65" w:rsidRPr="002B7457" w:rsidRDefault="00E82E6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p>
          <w:p w:rsidR="00E82E65" w:rsidRPr="002B7457" w:rsidRDefault="00A3357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NO</w:t>
            </w:r>
          </w:p>
          <w:p w:rsidR="00E82E65" w:rsidRPr="002B7457" w:rsidRDefault="00E82E6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FF0000"/>
                <w:sz w:val="24"/>
                <w:szCs w:val="24"/>
              </w:rPr>
            </w:pPr>
          </w:p>
        </w:tc>
      </w:tr>
      <w:tr w:rsidR="00E82E65" w:rsidRPr="002B7457" w:rsidTr="002B7457">
        <w:trPr>
          <w:trHeight w:val="476"/>
        </w:trPr>
        <w:tc>
          <w:tcPr>
            <w:cnfStyle w:val="001000000000" w:firstRow="0" w:lastRow="0" w:firstColumn="1" w:lastColumn="0" w:oddVBand="0" w:evenVBand="0" w:oddHBand="0" w:evenHBand="0" w:firstRowFirstColumn="0" w:firstRowLastColumn="0" w:lastRowFirstColumn="0" w:lastRowLastColumn="0"/>
            <w:tcW w:w="3256" w:type="dxa"/>
            <w:vAlign w:val="center"/>
          </w:tcPr>
          <w:p w:rsidR="00E82E65" w:rsidRPr="002B7457" w:rsidRDefault="00A33575" w:rsidP="002B7457">
            <w:pPr>
              <w:spacing w:line="360" w:lineRule="auto"/>
              <w:ind w:right="-28"/>
              <w:rPr>
                <w:rFonts w:ascii="Palatino Linotype" w:eastAsia="Palatino Linotype" w:hAnsi="Palatino Linotype" w:cs="Palatino Linotype"/>
                <w:sz w:val="24"/>
                <w:szCs w:val="24"/>
              </w:rPr>
            </w:pPr>
            <w:r w:rsidRPr="002B7457">
              <w:rPr>
                <w:rFonts w:ascii="Palatino Linotype" w:eastAsia="Palatino Linotype" w:hAnsi="Palatino Linotype" w:cs="Palatino Linotype"/>
                <w:i/>
                <w:iCs/>
                <w:color w:val="000000"/>
                <w:sz w:val="24"/>
                <w:szCs w:val="24"/>
              </w:rPr>
              <w:lastRenderedPageBreak/>
              <w:t>III.</w:t>
            </w:r>
            <w:r w:rsidRPr="002B7457">
              <w:rPr>
                <w:rFonts w:ascii="Palatino Linotype" w:eastAsia="Palatino Linotype" w:hAnsi="Palatino Linotype" w:cs="Palatino Linotype"/>
                <w:i/>
                <w:iCs/>
                <w:color w:val="000000"/>
                <w:sz w:val="24"/>
                <w:szCs w:val="24"/>
              </w:rPr>
              <w:tab/>
              <w:t>Porque no se han realizado los trabajos de la obra;</w:t>
            </w:r>
          </w:p>
        </w:tc>
        <w:tc>
          <w:tcPr>
            <w:tcW w:w="3118" w:type="dxa"/>
            <w:vAlign w:val="center"/>
          </w:tcPr>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sz w:val="24"/>
                <w:szCs w:val="24"/>
              </w:rPr>
            </w:pPr>
            <w:r w:rsidRPr="002B7457">
              <w:rPr>
                <w:rFonts w:ascii="Palatino Linotype" w:eastAsia="Palatino Linotype" w:hAnsi="Palatino Linotype" w:cs="Palatino Linotype"/>
                <w:i/>
                <w:iCs/>
                <w:sz w:val="24"/>
                <w:szCs w:val="24"/>
              </w:rPr>
              <w:t xml:space="preserve">Señala diversos intentos para cargar el proyecto en plataformas para su validación y visto bueno que impedían el inicio de la obra. </w:t>
            </w:r>
          </w:p>
        </w:tc>
        <w:tc>
          <w:tcPr>
            <w:tcW w:w="3402" w:type="dxa"/>
            <w:vAlign w:val="center"/>
          </w:tcPr>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SI</w:t>
            </w:r>
          </w:p>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Actos Consentidos</w:t>
            </w:r>
          </w:p>
        </w:tc>
      </w:tr>
      <w:tr w:rsidR="00E82E65" w:rsidRPr="002B7457" w:rsidTr="002B7457">
        <w:tc>
          <w:tcPr>
            <w:cnfStyle w:val="001000000000" w:firstRow="0" w:lastRow="0" w:firstColumn="1" w:lastColumn="0" w:oddVBand="0" w:evenVBand="0" w:oddHBand="0" w:evenHBand="0" w:firstRowFirstColumn="0" w:firstRowLastColumn="0" w:lastRowFirstColumn="0" w:lastRowLastColumn="0"/>
            <w:tcW w:w="3256" w:type="dxa"/>
            <w:vAlign w:val="center"/>
          </w:tcPr>
          <w:p w:rsidR="00E82E65" w:rsidRPr="002B7457" w:rsidRDefault="00A33575" w:rsidP="002B7457">
            <w:pPr>
              <w:spacing w:line="360" w:lineRule="auto"/>
              <w:ind w:right="-28"/>
              <w:rPr>
                <w:rFonts w:ascii="Palatino Linotype" w:eastAsia="Palatino Linotype" w:hAnsi="Palatino Linotype" w:cs="Palatino Linotype"/>
                <w:sz w:val="24"/>
                <w:szCs w:val="24"/>
              </w:rPr>
            </w:pPr>
            <w:r w:rsidRPr="002B7457">
              <w:rPr>
                <w:rFonts w:ascii="Palatino Linotype" w:eastAsia="Palatino Linotype" w:hAnsi="Palatino Linotype" w:cs="Palatino Linotype"/>
                <w:i/>
                <w:iCs/>
                <w:color w:val="000000"/>
                <w:sz w:val="24"/>
                <w:szCs w:val="24"/>
              </w:rPr>
              <w:t>IV.</w:t>
            </w:r>
            <w:r w:rsidRPr="002B7457">
              <w:rPr>
                <w:rFonts w:ascii="Palatino Linotype" w:eastAsia="Palatino Linotype" w:hAnsi="Palatino Linotype" w:cs="Palatino Linotype"/>
                <w:i/>
                <w:iCs/>
                <w:color w:val="000000"/>
                <w:sz w:val="24"/>
                <w:szCs w:val="24"/>
              </w:rPr>
              <w:tab/>
              <w:t>Área encargada de verificar los avances de la obra;</w:t>
            </w:r>
          </w:p>
        </w:tc>
        <w:tc>
          <w:tcPr>
            <w:tcW w:w="3118" w:type="dxa"/>
            <w:vAlign w:val="center"/>
          </w:tcPr>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sz w:val="24"/>
                <w:szCs w:val="24"/>
              </w:rPr>
            </w:pPr>
            <w:r w:rsidRPr="002B7457">
              <w:rPr>
                <w:rFonts w:ascii="Palatino Linotype" w:eastAsia="Palatino Linotype" w:hAnsi="Palatino Linotype" w:cs="Palatino Linotype"/>
                <w:i/>
                <w:iCs/>
                <w:sz w:val="24"/>
                <w:szCs w:val="24"/>
              </w:rPr>
              <w:t xml:space="preserve">Señala a la Dirección de Obras Públicas y desarrollo Urbano como la responsable de la Planeación, Programación, Cuantificación y Proyección. </w:t>
            </w:r>
          </w:p>
        </w:tc>
        <w:tc>
          <w:tcPr>
            <w:tcW w:w="3402" w:type="dxa"/>
            <w:vAlign w:val="center"/>
          </w:tcPr>
          <w:p w:rsidR="00E82E65" w:rsidRPr="002B7457" w:rsidRDefault="00A3357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SI</w:t>
            </w:r>
          </w:p>
          <w:p w:rsidR="00E82E65" w:rsidRPr="002B7457" w:rsidRDefault="00E82E6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p>
        </w:tc>
      </w:tr>
      <w:tr w:rsidR="00E82E65" w:rsidRPr="002B7457" w:rsidTr="002B7457">
        <w:tc>
          <w:tcPr>
            <w:cnfStyle w:val="001000000000" w:firstRow="0" w:lastRow="0" w:firstColumn="1" w:lastColumn="0" w:oddVBand="0" w:evenVBand="0" w:oddHBand="0" w:evenHBand="0" w:firstRowFirstColumn="0" w:firstRowLastColumn="0" w:lastRowFirstColumn="0" w:lastRowLastColumn="0"/>
            <w:tcW w:w="3256" w:type="dxa"/>
            <w:vAlign w:val="center"/>
          </w:tcPr>
          <w:p w:rsidR="00E82E65" w:rsidRPr="002B7457" w:rsidRDefault="00A33575" w:rsidP="002B7457">
            <w:pPr>
              <w:spacing w:line="360" w:lineRule="auto"/>
              <w:ind w:right="-28"/>
              <w:rPr>
                <w:rFonts w:ascii="Palatino Linotype" w:eastAsia="Palatino Linotype" w:hAnsi="Palatino Linotype" w:cs="Palatino Linotype"/>
                <w:sz w:val="24"/>
                <w:szCs w:val="24"/>
              </w:rPr>
            </w:pPr>
            <w:r w:rsidRPr="002B7457">
              <w:rPr>
                <w:rFonts w:ascii="Palatino Linotype" w:eastAsia="Palatino Linotype" w:hAnsi="Palatino Linotype" w:cs="Palatino Linotype"/>
                <w:i/>
                <w:iCs/>
                <w:color w:val="000000"/>
                <w:sz w:val="24"/>
                <w:szCs w:val="24"/>
              </w:rPr>
              <w:t>V.</w:t>
            </w:r>
            <w:r w:rsidRPr="002B7457">
              <w:rPr>
                <w:rFonts w:ascii="Palatino Linotype" w:eastAsia="Palatino Linotype" w:hAnsi="Palatino Linotype" w:cs="Palatino Linotype"/>
                <w:i/>
                <w:iCs/>
                <w:color w:val="000000"/>
                <w:sz w:val="24"/>
                <w:szCs w:val="24"/>
              </w:rPr>
              <w:tab/>
              <w:t>Acciones del área encargada de verificar los avances de la obra a la fecha de la solicitud</w:t>
            </w:r>
          </w:p>
        </w:tc>
        <w:tc>
          <w:tcPr>
            <w:tcW w:w="3118" w:type="dxa"/>
            <w:vAlign w:val="center"/>
          </w:tcPr>
          <w:p w:rsidR="00E82E65" w:rsidRPr="002B7457" w:rsidRDefault="00A33575" w:rsidP="002B7457">
            <w:pPr>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sz w:val="24"/>
                <w:szCs w:val="24"/>
              </w:rPr>
            </w:pPr>
            <w:r w:rsidRPr="002B7457">
              <w:rPr>
                <w:rFonts w:ascii="Palatino Linotype" w:eastAsia="Palatino Linotype" w:hAnsi="Palatino Linotype" w:cs="Palatino Linotype"/>
                <w:i/>
                <w:iCs/>
                <w:sz w:val="24"/>
                <w:szCs w:val="24"/>
              </w:rPr>
              <w:t>Refiere que se han cargado diversas plataformas y que  la obra dará inicio en el mes de septiembre de dos mil veinticinco</w:t>
            </w:r>
          </w:p>
        </w:tc>
        <w:tc>
          <w:tcPr>
            <w:tcW w:w="3402" w:type="dxa"/>
            <w:vAlign w:val="center"/>
          </w:tcPr>
          <w:p w:rsidR="00E82E65" w:rsidRPr="002B7457" w:rsidRDefault="00A3357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SI</w:t>
            </w:r>
          </w:p>
          <w:p w:rsidR="00E82E65" w:rsidRPr="002B7457" w:rsidRDefault="00A3357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sz w:val="24"/>
                <w:szCs w:val="24"/>
              </w:rPr>
            </w:pPr>
            <w:r w:rsidRPr="002B7457">
              <w:rPr>
                <w:rFonts w:ascii="Palatino Linotype" w:eastAsia="Palatino Linotype" w:hAnsi="Palatino Linotype" w:cs="Palatino Linotype"/>
                <w:b/>
                <w:bCs/>
                <w:sz w:val="24"/>
                <w:szCs w:val="24"/>
              </w:rPr>
              <w:t>Hechos Negativos</w:t>
            </w:r>
          </w:p>
          <w:p w:rsidR="00E82E65" w:rsidRPr="002B7457" w:rsidRDefault="00E82E65" w:rsidP="002B7457">
            <w:pPr>
              <w:spacing w:line="360" w:lineRule="auto"/>
              <w:ind w:right="-2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sz w:val="24"/>
                <w:szCs w:val="24"/>
              </w:rPr>
            </w:pPr>
          </w:p>
        </w:tc>
      </w:tr>
    </w:tbl>
    <w:p w:rsidR="00E82E65" w:rsidRPr="002B7457" w:rsidRDefault="00E82E65">
      <w:pPr>
        <w:pBdr>
          <w:top w:val="nil"/>
          <w:left w:val="nil"/>
          <w:bottom w:val="nil"/>
          <w:right w:val="nil"/>
          <w:between w:val="nil"/>
        </w:pBdr>
        <w:tabs>
          <w:tab w:val="left" w:pos="426"/>
          <w:tab w:val="left" w:pos="567"/>
        </w:tabs>
        <w:spacing w:line="360" w:lineRule="auto"/>
        <w:ind w:right="-2"/>
        <w:jc w:val="both"/>
        <w:rPr>
          <w:rFonts w:ascii="Palatino Linotype" w:eastAsia="Palatino Linotype" w:hAnsi="Palatino Linotype" w:cs="Palatino Linotype"/>
          <w:color w:val="000000"/>
        </w:rPr>
      </w:pPr>
    </w:p>
    <w:p w:rsidR="00E82E65" w:rsidRPr="002B7457" w:rsidRDefault="00E82E65">
      <w:pPr>
        <w:pBdr>
          <w:top w:val="nil"/>
          <w:left w:val="nil"/>
          <w:bottom w:val="nil"/>
          <w:right w:val="nil"/>
          <w:between w:val="nil"/>
        </w:pBdr>
        <w:ind w:left="720"/>
        <w:rPr>
          <w:rFonts w:ascii="Palatino Linotype" w:eastAsia="Palatino Linotype" w:hAnsi="Palatino Linotype" w:cs="Palatino Linotype"/>
          <w:color w:val="000000"/>
        </w:rPr>
      </w:pPr>
    </w:p>
    <w:p w:rsidR="00E82E65" w:rsidRPr="002B7457" w:rsidRDefault="00A33575" w:rsidP="002B7457">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color w:val="000000"/>
        </w:rPr>
        <w:t>Resulta importante establecer, que el servidor público habilitado que emitió la respuesta en cita y admite ser poseedor de la información, por lo cual, no es necesario estudiar si este es competente para conocer y en su caso dar respuesta a la solicitud, pues al mencionar que pone a disposición la información solicitada, este reconoce contar con la misma.</w:t>
      </w:r>
    </w:p>
    <w:p w:rsidR="00E82E65" w:rsidRPr="002B7457" w:rsidRDefault="00E82E65">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E82E65" w:rsidRPr="002B7457" w:rsidRDefault="00A33575">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De la misma forma se establece que el particular al momento de interponer el recurso que se resuelve y formular sus razones o motivos de inconformidad admite que de los requerimientos solo le fue contestado el relativo a conocer por que no se ha realizado la obra  de referencia, por lo que tal punto es considerado como consentido; sirve de apoyo a lo </w:t>
      </w:r>
      <w:r w:rsidRPr="002B7457">
        <w:rPr>
          <w:rFonts w:ascii="Palatino Linotype" w:eastAsia="Palatino Linotype" w:hAnsi="Palatino Linotype" w:cs="Palatino Linotype"/>
          <w:color w:val="000000"/>
        </w:rPr>
        <w:lastRenderedPageBreak/>
        <w:t>anterior, por analogía la Tesis Jurisprudencial Número 3ª./J.7/91, Publicada en el Semanario Judicial de la Federación y su Gaceta bajo el número de registro 174,177, que establece lo siguiente:</w:t>
      </w:r>
    </w:p>
    <w:p w:rsidR="00E82E65" w:rsidRPr="002B7457" w:rsidRDefault="00A33575">
      <w:pPr>
        <w:spacing w:line="276" w:lineRule="auto"/>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b/>
          <w:bCs/>
          <w:i/>
          <w:iCs/>
        </w:rPr>
        <w:t xml:space="preserve">“REVISIÓN EN AMPARO. LOS RESOLUTIVOS NO COMBATIDOS DEBEN DECLARARSE FIRMES. </w:t>
      </w:r>
      <w:r w:rsidRPr="002B7457">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82E65" w:rsidRPr="002B7457" w:rsidRDefault="00E82E65">
      <w:pPr>
        <w:spacing w:line="480" w:lineRule="auto"/>
        <w:ind w:left="1134" w:right="849"/>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Consecuentemente, se insiste, ante la falta de impugnación en contra de todos los puntos de la solicitud, los no controvertidos deben declararse consentidos.</w:t>
      </w:r>
    </w:p>
    <w:p w:rsidR="00E82E65" w:rsidRPr="002B7457" w:rsidRDefault="00E82E65">
      <w:pPr>
        <w:spacing w:line="360" w:lineRule="auto"/>
        <w:ind w:right="27"/>
        <w:jc w:val="both"/>
        <w:rPr>
          <w:rFonts w:ascii="Palatino Linotype" w:eastAsia="Palatino Linotype" w:hAnsi="Palatino Linotype" w:cs="Palatino Linotype"/>
        </w:rPr>
      </w:pPr>
    </w:p>
    <w:p w:rsidR="00E82E65" w:rsidRPr="002B7457" w:rsidRDefault="00A33575">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Lo anterior se sustenta con lo plasmado en el criterio 01/20 emitido por el entonces Instituto Nacional de Transparencia, Acceso a la Información, y Protección de Datos Personales, INAI, que lleva por rubro y texto los siguientes: </w:t>
      </w:r>
    </w:p>
    <w:p w:rsidR="00E82E65" w:rsidRPr="002B7457" w:rsidRDefault="00A33575">
      <w:pPr>
        <w:pBdr>
          <w:top w:val="nil"/>
          <w:left w:val="nil"/>
          <w:bottom w:val="nil"/>
          <w:right w:val="nil"/>
          <w:between w:val="nil"/>
        </w:pBdr>
        <w:spacing w:line="276" w:lineRule="auto"/>
        <w:ind w:left="1134" w:right="849"/>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i/>
          <w:iCs/>
          <w:color w:val="000000"/>
        </w:rPr>
        <w:t>“</w:t>
      </w:r>
      <w:r w:rsidRPr="002B7457">
        <w:rPr>
          <w:rFonts w:ascii="Palatino Linotype" w:eastAsia="Palatino Linotype" w:hAnsi="Palatino Linotype" w:cs="Palatino Linotype"/>
          <w:b/>
          <w:bCs/>
          <w:i/>
          <w:iCs/>
          <w:color w:val="000000"/>
        </w:rPr>
        <w:t xml:space="preserve">Actos consentidos tácitamente. Improcedencia de su análisis. </w:t>
      </w:r>
      <w:r w:rsidRPr="002B7457">
        <w:rPr>
          <w:rFonts w:ascii="Palatino Linotype" w:eastAsia="Palatino Linotype" w:hAnsi="Palatino Linotype" w:cs="Palatino Linotype"/>
          <w:i/>
          <w:iCs/>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E82E65" w:rsidRPr="002B7457" w:rsidRDefault="00E82E65">
      <w:pPr>
        <w:pBdr>
          <w:top w:val="nil"/>
          <w:left w:val="nil"/>
          <w:bottom w:val="nil"/>
          <w:right w:val="nil"/>
          <w:between w:val="nil"/>
        </w:pBdr>
        <w:spacing w:line="360" w:lineRule="auto"/>
        <w:ind w:left="1134" w:right="849"/>
        <w:jc w:val="both"/>
        <w:rPr>
          <w:rFonts w:ascii="Palatino Linotype" w:eastAsia="Palatino Linotype" w:hAnsi="Palatino Linotype" w:cs="Palatino Linotype"/>
          <w:i/>
          <w:iCs/>
          <w:color w:val="000000"/>
        </w:rPr>
      </w:pPr>
    </w:p>
    <w:p w:rsidR="00E82E65" w:rsidRPr="002B7457" w:rsidRDefault="00A33575">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lastRenderedPageBreak/>
        <w:t>Asimismo, resulta aplicable por analogía la tesis jurisprudencial número VI.3o.C. J/60, publicada en el Semanario Judicial de la Federación y su Gaceta bajo el número de registro 176,608 que a la letra dice:</w:t>
      </w:r>
    </w:p>
    <w:p w:rsidR="00E82E65" w:rsidRPr="002B7457" w:rsidRDefault="00A33575">
      <w:pPr>
        <w:tabs>
          <w:tab w:val="left" w:pos="851"/>
          <w:tab w:val="left" w:pos="1276"/>
        </w:tabs>
        <w:spacing w:line="276" w:lineRule="auto"/>
        <w:ind w:left="1134" w:right="849"/>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b/>
          <w:bCs/>
          <w:i/>
          <w:iCs/>
          <w:smallCaps/>
        </w:rPr>
        <w:t xml:space="preserve">“ACTOS CONSENTIDOS. SON LOS QUE NO SE IMPUGNAN MEDIANTE EL RECURSO IDÓNEO. </w:t>
      </w:r>
      <w:r w:rsidRPr="002B7457">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82E65" w:rsidRPr="002B7457" w:rsidRDefault="00E82E65">
      <w:pPr>
        <w:pBdr>
          <w:top w:val="nil"/>
          <w:left w:val="nil"/>
          <w:bottom w:val="nil"/>
          <w:right w:val="nil"/>
          <w:between w:val="nil"/>
        </w:pBdr>
        <w:spacing w:line="360" w:lineRule="auto"/>
        <w:ind w:left="1134" w:right="849"/>
        <w:jc w:val="both"/>
        <w:rPr>
          <w:rFonts w:ascii="Palatino Linotype" w:eastAsia="Palatino Linotype" w:hAnsi="Palatino Linotype" w:cs="Palatino Linotype"/>
          <w:color w:val="000000"/>
        </w:rPr>
      </w:pPr>
    </w:p>
    <w:p w:rsidR="00E82E65" w:rsidRPr="002B7457" w:rsidRDefault="00A33575">
      <w:pPr>
        <w:numPr>
          <w:ilvl w:val="0"/>
          <w:numId w:val="10"/>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color w:val="000000"/>
        </w:rPr>
      </w:pPr>
      <w:r w:rsidRPr="002B7457">
        <w:rPr>
          <w:rFonts w:ascii="Palatino Linotype" w:eastAsia="Palatino Linotype" w:hAnsi="Palatino Linotype" w:cs="Palatino Linotype"/>
          <w:color w:val="000000"/>
        </w:rPr>
        <w:t xml:space="preserve">En ese sentido, atendiendo los motivos de inconformidad, </w:t>
      </w:r>
      <w:r w:rsidRPr="002B7457">
        <w:rPr>
          <w:rFonts w:ascii="Palatino Linotype" w:eastAsia="Palatino Linotype" w:hAnsi="Palatino Linotype" w:cs="Palatino Linotype"/>
          <w:b/>
          <w:bCs/>
          <w:color w:val="000000"/>
        </w:rPr>
        <w:t xml:space="preserve">en el presente asunto únicamente se procederá al estudio de los puntos I, II, IV Y V </w:t>
      </w:r>
      <w:r w:rsidRPr="002B7457">
        <w:rPr>
          <w:rFonts w:ascii="Palatino Linotype" w:eastAsia="Palatino Linotype" w:hAnsi="Palatino Linotype" w:cs="Palatino Linotype"/>
          <w:color w:val="000000"/>
        </w:rPr>
        <w:t>de la solicitud</w:t>
      </w:r>
      <w:r w:rsidRPr="002B7457">
        <w:rPr>
          <w:rFonts w:ascii="Palatino Linotype" w:eastAsia="Palatino Linotype" w:hAnsi="Palatino Linotype" w:cs="Palatino Linotype"/>
          <w:b/>
          <w:bCs/>
          <w:color w:val="000000"/>
        </w:rPr>
        <w:t>.</w:t>
      </w:r>
    </w:p>
    <w:p w:rsidR="00E82E65" w:rsidRPr="002B7457" w:rsidRDefault="00E82E65">
      <w:pPr>
        <w:spacing w:line="360" w:lineRule="auto"/>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b/>
          <w:bCs/>
          <w:color w:val="000000"/>
        </w:rPr>
        <w:t xml:space="preserve"> </w:t>
      </w:r>
      <w:r w:rsidRPr="002B7457">
        <w:rPr>
          <w:rFonts w:ascii="Palatino Linotype" w:eastAsia="Palatino Linotype" w:hAnsi="Palatino Linotype" w:cs="Palatino Linotype"/>
          <w:color w:val="000000"/>
        </w:rPr>
        <w:t>Ahora bien,  el Bando Municipal establece que el Sujeto Obligado para el ejercicio de sus funciones cuenta con diversas unidades administrativas, entre otras la Dirección de Obras Públicas, misma que del ordenamiento en cita señala para esta las siguientes atribuciones:</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i/>
          <w:iCs/>
          <w:color w:val="000000"/>
        </w:rPr>
      </w:pPr>
    </w:p>
    <w:p w:rsidR="00E82E65" w:rsidRPr="002B7457" w:rsidRDefault="00A33575">
      <w:pPr>
        <w:spacing w:line="276" w:lineRule="auto"/>
        <w:ind w:left="1134" w:right="849"/>
        <w:jc w:val="both"/>
        <w:rPr>
          <w:rFonts w:ascii="Palatino Linotype" w:eastAsia="Palatino Linotype" w:hAnsi="Palatino Linotype" w:cs="Palatino Linotype"/>
          <w:b/>
          <w:bCs/>
          <w:i/>
          <w:iCs/>
        </w:rPr>
      </w:pPr>
      <w:r w:rsidRPr="002B7457">
        <w:rPr>
          <w:rFonts w:ascii="Palatino Linotype" w:eastAsia="Palatino Linotype" w:hAnsi="Palatino Linotype" w:cs="Palatino Linotype"/>
          <w:b/>
          <w:bCs/>
          <w:i/>
          <w:iCs/>
        </w:rPr>
        <w:t xml:space="preserve">XI. DE LA DIRECCIÓN DE OBRAS PÚBLICAS Y DESARROLLO URBANO </w:t>
      </w:r>
    </w:p>
    <w:p w:rsidR="00E82E65" w:rsidRPr="002B7457" w:rsidRDefault="00A33575">
      <w:pPr>
        <w:spacing w:line="276" w:lineRule="auto"/>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Artículo 80.- La Dirección de Obras Públicas y Desarrollo Urbano estará a cargo de una Directora o Director, quien será propuesta(o) por el Presidente Municipal y aprobada(o) por el Ayuntamiento, quien deberá cumplir con lo señalado en los artículos 32 y 96 Ter de la Ley Orgánica Municipal. Para el ejercicio de sus funciones se valdrá de la Subdirección de Obras Públicas, de la Coordinación de </w:t>
      </w:r>
      <w:r w:rsidRPr="002B7457">
        <w:rPr>
          <w:rFonts w:ascii="Palatino Linotype" w:eastAsia="Palatino Linotype" w:hAnsi="Palatino Linotype" w:cs="Palatino Linotype"/>
          <w:i/>
          <w:iCs/>
        </w:rPr>
        <w:lastRenderedPageBreak/>
        <w:t xml:space="preserve">Agua Potable, Drenaje, Alcantarillado y Saneamiento y de la Coordinación de Desarrollo Urbano.  </w:t>
      </w:r>
    </w:p>
    <w:p w:rsidR="00E82E65" w:rsidRPr="002B7457" w:rsidRDefault="00E82E65">
      <w:pPr>
        <w:spacing w:line="276" w:lineRule="auto"/>
        <w:ind w:left="1134" w:right="849"/>
        <w:jc w:val="both"/>
        <w:rPr>
          <w:rFonts w:ascii="Palatino Linotype" w:eastAsia="Palatino Linotype" w:hAnsi="Palatino Linotype" w:cs="Palatino Linotype"/>
          <w:i/>
          <w:iCs/>
        </w:rPr>
      </w:pPr>
    </w:p>
    <w:p w:rsidR="00E82E65" w:rsidRPr="002B7457" w:rsidRDefault="00A33575">
      <w:pPr>
        <w:spacing w:line="276" w:lineRule="auto"/>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Artículo 81.- La Dirección de Obras Públicas y Desarrollo Urbano es el área de la Administración Pública Municipal responsable de la </w:t>
      </w:r>
      <w:r w:rsidRPr="002B7457">
        <w:rPr>
          <w:rFonts w:ascii="Palatino Linotype" w:eastAsia="Palatino Linotype" w:hAnsi="Palatino Linotype" w:cs="Palatino Linotype"/>
          <w:b/>
          <w:bCs/>
          <w:i/>
          <w:iCs/>
        </w:rPr>
        <w:t>planeación, programación, presupuestación y ejecución de la obra pública</w:t>
      </w:r>
      <w:r w:rsidRPr="002B7457">
        <w:rPr>
          <w:rFonts w:ascii="Palatino Linotype" w:eastAsia="Palatino Linotype" w:hAnsi="Palatino Linotype" w:cs="Palatino Linotype"/>
          <w:i/>
          <w:iCs/>
        </w:rPr>
        <w:t xml:space="preserve">, </w:t>
      </w:r>
      <w:r w:rsidRPr="002B7457">
        <w:rPr>
          <w:rFonts w:ascii="Palatino Linotype" w:eastAsia="Palatino Linotype" w:hAnsi="Palatino Linotype" w:cs="Palatino Linotype"/>
          <w:b/>
          <w:bCs/>
          <w:i/>
          <w:iCs/>
        </w:rPr>
        <w:t>manteniendo el control de la calidad, cantidad y funcionalidad de la misma</w:t>
      </w:r>
      <w:r w:rsidRPr="002B7457">
        <w:rPr>
          <w:rFonts w:ascii="Palatino Linotype" w:eastAsia="Palatino Linotype" w:hAnsi="Palatino Linotype" w:cs="Palatino Linotype"/>
          <w:i/>
          <w:iCs/>
        </w:rPr>
        <w:t xml:space="preserve">, verificando y vigilando las acciones encaminadas a este fin, realizándolas con estricto apego a las leyes, reglamentos, normas u ordenamientos legales y jurídicos vigentes. </w:t>
      </w:r>
    </w:p>
    <w:p w:rsidR="00E82E65" w:rsidRPr="002B7457" w:rsidRDefault="00E82E65">
      <w:pPr>
        <w:spacing w:line="276" w:lineRule="auto"/>
        <w:ind w:left="1134" w:right="849"/>
        <w:jc w:val="both"/>
        <w:rPr>
          <w:rFonts w:ascii="Palatino Linotype" w:eastAsia="Palatino Linotype" w:hAnsi="Palatino Linotype" w:cs="Palatino Linotype"/>
          <w:i/>
          <w:iCs/>
        </w:rPr>
      </w:pPr>
    </w:p>
    <w:p w:rsidR="00E82E65" w:rsidRPr="002B7457" w:rsidRDefault="00A33575">
      <w:pPr>
        <w:spacing w:line="276" w:lineRule="auto"/>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Artículo 82.- La Dirección de Obras Públicas, tendrá las siguientes atribuciones: </w:t>
      </w:r>
    </w:p>
    <w:p w:rsidR="00E82E65" w:rsidRPr="002B7457" w:rsidRDefault="00A33575">
      <w:pPr>
        <w:numPr>
          <w:ilvl w:val="0"/>
          <w:numId w:val="13"/>
        </w:numPr>
        <w:pBdr>
          <w:top w:val="nil"/>
          <w:left w:val="nil"/>
          <w:bottom w:val="nil"/>
          <w:right w:val="nil"/>
          <w:between w:val="nil"/>
        </w:pBdr>
        <w:spacing w:line="276" w:lineRule="auto"/>
        <w:ind w:left="1134" w:right="849" w:firstLine="0"/>
        <w:jc w:val="both"/>
        <w:rPr>
          <w:rFonts w:ascii="Palatino Linotype" w:eastAsia="Palatino Linotype" w:hAnsi="Palatino Linotype" w:cs="Palatino Linotype"/>
          <w:b/>
          <w:bCs/>
          <w:i/>
          <w:iCs/>
          <w:color w:val="000000"/>
        </w:rPr>
      </w:pPr>
      <w:r w:rsidRPr="002B7457">
        <w:rPr>
          <w:rFonts w:ascii="Palatino Linotype" w:eastAsia="Palatino Linotype" w:hAnsi="Palatino Linotype" w:cs="Palatino Linotype"/>
          <w:b/>
          <w:bCs/>
          <w:i/>
          <w:iCs/>
          <w:color w:val="000000"/>
        </w:rPr>
        <w:t>Planear, programar, presupuestar, adjudicar, contratar, ejecutar, supervisar y controlar la obra pública y servicios relacionados con la misma;</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II. Proyectar, formular y proponer al Ayuntamiento, el programa anual de obra, para la construcción y mejoramiento de las mismas, de acuerdo a la normatividad aplicable y en congruencia con la política, objetivos y prioridades del municipio, así como el Plan de Desarrollo Municipal y Estatal;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III. Vigilar que el presupuesto destinado a obras públicas y servicios relacionados con las mismas determine los materiales, productos, equipos y procedimientos de construcción que satisfagan los requerimientos técnicos y económicos de los proyectos contenidos en los programas anuales de obra, considerando preferentemente el empleo de los recursos humanos y los materiales propios de la región donde se ubiquen las obras, para garantizar su ejecución al municipio con las mejores condiciones disponibles;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lastRenderedPageBreak/>
        <w:t xml:space="preserve">IV. Realizar los procedimientos de adjudicación y contratación de obra pública y servicios relacionados con la misma, conforme a los ordenamientos legales en la materia;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V. </w:t>
      </w:r>
      <w:r w:rsidRPr="002B7457">
        <w:rPr>
          <w:rFonts w:ascii="Palatino Linotype" w:eastAsia="Palatino Linotype" w:hAnsi="Palatino Linotype" w:cs="Palatino Linotype"/>
          <w:b/>
          <w:bCs/>
          <w:i/>
          <w:iCs/>
        </w:rPr>
        <w:t>Vigilar el procedimiento de construcción en las obras por contrato y por administración;</w:t>
      </w:r>
      <w:r w:rsidRPr="002B7457">
        <w:rPr>
          <w:rFonts w:ascii="Palatino Linotype" w:eastAsia="Palatino Linotype" w:hAnsi="Palatino Linotype" w:cs="Palatino Linotype"/>
          <w:i/>
          <w:iCs/>
        </w:rPr>
        <w:t xml:space="preserve">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VI. Realizar los procedimientos de contratación de obra pública, conforme a los ordenamientos legales en la materia;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VII. Vigilar que la ejecución de la obra pública adjudicada y los servicios relacionados con ésta, se sujeten a las condiciones contratadas;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VIII. Verificar la calidad de los materiales utilizados en la obra pública;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IX. Programar y ejecutar la obra pública conforme a las prioridades y objetivos establecidos en el Plan de Desarrollo Municipal;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 Verificar que las obras públicas solicitadas y propuestas cumplan con el desarrollo de las comunidades;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XI. Verificar y vigilar que las obras municipales cumplan con los requisitos de seguridad y observen las normas de construcción establecidas en la materia;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XII. Vigilar que se cumplan y lleven a cabo los programas de construcción y mantenimiento de obras públicas y servicios relacionados de acuerdo a los programas anuales de obra;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XIII. Integrar y verificar que se elaboren de manera correcta y completa los expedientes únicos de obra pública y servicios relacionados con la misma, conforme a lo establecido en las disposiciones legales aplicables;</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 XIV. Autorizar para su pago, previa validación del avance y calidad de las obras, los presupuestos y estimaciones que presenten los contratistas de obras públicas municipales;</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 XV. Verificar que las obras públicas y los servicios relacionados con la misma, hayan sido programadas, presupuestadas, ejecutadas, adquiridas y contratadas en estricto apego a las disposiciones legales aplicables;</w:t>
      </w:r>
    </w:p>
    <w:p w:rsidR="00E82E65" w:rsidRPr="002B7457" w:rsidRDefault="00A33575">
      <w:pPr>
        <w:spacing w:line="276" w:lineRule="auto"/>
        <w:ind w:left="1276" w:right="849"/>
        <w:jc w:val="both"/>
        <w:rPr>
          <w:rFonts w:ascii="Palatino Linotype" w:eastAsia="Palatino Linotype" w:hAnsi="Palatino Linotype" w:cs="Palatino Linotype"/>
          <w:b/>
          <w:bCs/>
          <w:i/>
          <w:iCs/>
        </w:rPr>
      </w:pPr>
      <w:r w:rsidRPr="002B7457">
        <w:rPr>
          <w:rFonts w:ascii="Palatino Linotype" w:eastAsia="Palatino Linotype" w:hAnsi="Palatino Linotype" w:cs="Palatino Linotype"/>
          <w:b/>
          <w:bCs/>
          <w:i/>
          <w:iCs/>
        </w:rPr>
        <w:lastRenderedPageBreak/>
        <w:t xml:space="preserve">XVI.Fomentar la participación ciudadana en la elaboración, modificación y realización de los proyectos para la ejecución de la obra pública, efectuando reuniones para la selección de representantes comunitarios;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XVII. Promover la organización de la comunidad para la ejecución de programas de obra pública en la que participe activamente, ya sea con aportación de materiales de la región o mano de obra;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XVIII. Conservar, proteger y mantener bajo estricta política institucional y municipal que, para la ejecución de cualquier tipo de obra, se evalué el impacto ambiental que pueda causar la misma;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XIX. Elaborar y mantener actualizado el padrón municipal de contratistas en coordinación con el Órgano Interno de Control;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XX. Validar técnicamente los proyectos de obra que sean solicitados por las demás áreas operativas del municipio, en beneficio de las comunidades;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XXI. Establecer los lineamientos para la realización de estudios y proyectos de construcción de obras públicas;</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 XXII. Formular el inventario de la maquinaria y equipo de construcción a su cuidado o de su propiedad, manteniéndolo en óptimas condiciones de uso;</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 xml:space="preserve"> XXIII. Llevar a cabo los trabajos de mantenimiento y reparación de los inmuebles municipales, para el buen funcionamiento y prestación de servicio; y </w:t>
      </w:r>
    </w:p>
    <w:p w:rsidR="00E82E65" w:rsidRPr="002B7457" w:rsidRDefault="00A33575">
      <w:pPr>
        <w:spacing w:line="276" w:lineRule="auto"/>
        <w:ind w:left="1276"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XXIV. Ejercer todas aquellas atribuciones que sean de su competencia.</w:t>
      </w:r>
    </w:p>
    <w:p w:rsidR="00E82E65" w:rsidRPr="002B7457" w:rsidRDefault="00E82E65">
      <w:pPr>
        <w:spacing w:line="480" w:lineRule="auto"/>
        <w:ind w:left="1276" w:right="849"/>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color w:val="000000"/>
        </w:rPr>
        <w:t>De lo anterior para el punto I de la solicitud se advierte que en respuesta el Sujeto Obligado manifestó que el inicio de la obra sucedería en el mes de septiembre de dos mil veinticinco, por lo que de existir tal evento, el mismo acaecería en temporalidad posterior a la fecha de la solicitud y aún no se habría llevado a cabo y por ende no se habría generado la información relativa, constituyendo actos futuros.</w:t>
      </w:r>
    </w:p>
    <w:p w:rsidR="00E82E65" w:rsidRPr="002B7457" w:rsidRDefault="00A33575">
      <w:pPr>
        <w:numPr>
          <w:ilvl w:val="0"/>
          <w:numId w:val="10"/>
        </w:numPr>
        <w:pBdr>
          <w:top w:val="nil"/>
          <w:left w:val="nil"/>
          <w:bottom w:val="nil"/>
          <w:right w:val="nil"/>
          <w:between w:val="nil"/>
        </w:pBdr>
        <w:spacing w:before="240" w:line="360" w:lineRule="auto"/>
        <w:ind w:left="0" w:right="-2"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lastRenderedPageBreak/>
        <w:t xml:space="preserve">Bajo este contexto, se destaca que el derecho de acceso a la información estriba respecto de aquellos soportes documentales generados, poseídos o administrados por </w:t>
      </w:r>
      <w:r w:rsidRPr="002B7457">
        <w:rPr>
          <w:rFonts w:ascii="Palatino Linotype" w:eastAsia="Palatino Linotype" w:hAnsi="Palatino Linotype" w:cs="Palatino Linotype"/>
          <w:b/>
          <w:bCs/>
          <w:color w:val="000000"/>
        </w:rPr>
        <w:t xml:space="preserve">El Sujeto Obligado </w:t>
      </w:r>
      <w:r w:rsidRPr="002B7457">
        <w:rPr>
          <w:rFonts w:ascii="Palatino Linotype" w:eastAsia="Palatino Linotype" w:hAnsi="Palatino Linotype" w:cs="Palatino Linotype"/>
          <w:color w:val="000000"/>
        </w:rPr>
        <w:t>que se encuentren disponibles al momento de ejercer dicha prerrogativa, es decir, excluye los siguientes actos:</w:t>
      </w:r>
    </w:p>
    <w:p w:rsidR="00E82E65" w:rsidRPr="002B7457" w:rsidRDefault="00A33575">
      <w:pPr>
        <w:spacing w:before="240" w:line="360" w:lineRule="auto"/>
        <w:ind w:left="1134" w:right="850"/>
        <w:jc w:val="both"/>
        <w:rPr>
          <w:rFonts w:ascii="Palatino Linotype" w:eastAsia="Palatino Linotype" w:hAnsi="Palatino Linotype" w:cs="Palatino Linotype"/>
          <w:i/>
          <w:iCs/>
        </w:rPr>
      </w:pPr>
      <w:r w:rsidRPr="002B7457">
        <w:rPr>
          <w:rFonts w:ascii="Palatino Linotype" w:eastAsia="Palatino Linotype" w:hAnsi="Palatino Linotype" w:cs="Palatino Linotype"/>
          <w:b/>
          <w:bCs/>
          <w:i/>
          <w:iCs/>
        </w:rPr>
        <w:t xml:space="preserve">Actos futuros inminentes: </w:t>
      </w:r>
      <w:r w:rsidRPr="002B7457">
        <w:rPr>
          <w:rFonts w:ascii="Palatino Linotype" w:eastAsia="Palatino Linotype" w:hAnsi="Palatino Linotype" w:cs="Palatino Linotype"/>
          <w:i/>
          <w:iCs/>
        </w:rPr>
        <w:t xml:space="preserve">Son aquellos cuyo mandamiento ya se ha dictado y su ejecución puede realizarse de un momento a otro. </w:t>
      </w:r>
    </w:p>
    <w:p w:rsidR="00E82E65" w:rsidRPr="002B7457" w:rsidRDefault="00A33575">
      <w:pPr>
        <w:spacing w:before="240" w:line="360" w:lineRule="auto"/>
        <w:ind w:left="1134" w:right="850"/>
        <w:jc w:val="both"/>
        <w:rPr>
          <w:rFonts w:ascii="Palatino Linotype" w:eastAsia="Palatino Linotype" w:hAnsi="Palatino Linotype" w:cs="Palatino Linotype"/>
          <w:i/>
          <w:iCs/>
        </w:rPr>
      </w:pPr>
      <w:r w:rsidRPr="002B7457">
        <w:rPr>
          <w:rFonts w:ascii="Palatino Linotype" w:eastAsia="Palatino Linotype" w:hAnsi="Palatino Linotype" w:cs="Palatino Linotype"/>
          <w:b/>
          <w:bCs/>
          <w:i/>
          <w:iCs/>
        </w:rPr>
        <w:t xml:space="preserve">Actos futuros probables: </w:t>
      </w:r>
      <w:r w:rsidRPr="002B7457">
        <w:rPr>
          <w:rFonts w:ascii="Palatino Linotype" w:eastAsia="Palatino Linotype" w:hAnsi="Palatino Linotype" w:cs="Palatino Linotype"/>
          <w:i/>
          <w:iCs/>
        </w:rPr>
        <w:t xml:space="preserve">Son aquellos que pueden o no suceder, es decir, son de remota realización. </w:t>
      </w:r>
    </w:p>
    <w:p w:rsidR="00E82E65" w:rsidRPr="002B7457" w:rsidRDefault="00E82E65">
      <w:pPr>
        <w:spacing w:before="240" w:line="360" w:lineRule="auto"/>
        <w:ind w:left="1134" w:right="850"/>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color w:val="000000"/>
        </w:rPr>
        <w:t>Ahora bien, en relación al segundo punto de la solicitud; como se señala de la respuesta emitida por el Sujeto Obligado, la  obra objeto de la presente resolución se realiza mediante el FONDO DE APORTACIONES PARA LA INFRAESTRUCTURA SOCIAL MUNICIPAL (FAISMUN) y el FONDO ESTATAL DE FORTALECIMIENTO MUNICIPAL (FEFOM) mismos que según Código Financiero del Estado de México y Municipios requieren la integración de Comités Ciudadanos de Control y Vigilancia constituidos por la autoridad municipal, mediante elección en asamblea de tres vecinos de la comunidad beneficiada.</w:t>
      </w:r>
      <w:r w:rsidRPr="002B7457">
        <w:rPr>
          <w:rFonts w:ascii="Palatino Linotype" w:eastAsia="Palatino Linotype" w:hAnsi="Palatino Linotype" w:cs="Palatino Linotype"/>
          <w:color w:val="000000"/>
          <w:vertAlign w:val="superscript"/>
        </w:rPr>
        <w:footnoteReference w:id="5"/>
      </w:r>
      <w:r w:rsidRPr="002B7457">
        <w:rPr>
          <w:rFonts w:ascii="Palatino Linotype" w:eastAsia="Palatino Linotype" w:hAnsi="Palatino Linotype" w:cs="Palatino Linotype"/>
          <w:color w:val="000000"/>
        </w:rPr>
        <w:t xml:space="preserve"> </w:t>
      </w:r>
    </w:p>
    <w:p w:rsidR="00E82E65" w:rsidRPr="002B7457" w:rsidRDefault="00E82E65">
      <w:pPr>
        <w:spacing w:line="360" w:lineRule="auto"/>
        <w:ind w:right="49"/>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color w:val="000000"/>
        </w:rPr>
        <w:lastRenderedPageBreak/>
        <w:t>Acorde a lo anterior, los propios Lineamientos Generales de Operación del FAISMUN señala:</w:t>
      </w:r>
    </w:p>
    <w:p w:rsidR="00E82E65" w:rsidRPr="002B7457" w:rsidRDefault="00A33575">
      <w:pPr>
        <w:spacing w:line="276" w:lineRule="auto"/>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“3. PARTICIPACIÓN SOCIAL … en la determinación de las obras o acciones, así como en su ejecución, seguimiento y evaluación, los municipios promoverán la participación de las comunidades beneficiadas, bajo cualquier mecanismo, asegurando la correcta aplicación de los recursos, apegándose a la Guía de participación social publicada por la Secretaría de Bienestar del Gobierno Federal.”</w:t>
      </w:r>
    </w:p>
    <w:p w:rsidR="00E82E65" w:rsidRPr="002B7457" w:rsidRDefault="00E82E65">
      <w:pPr>
        <w:spacing w:line="480" w:lineRule="auto"/>
        <w:ind w:left="1134" w:right="849"/>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2B7457">
        <w:rPr>
          <w:rFonts w:ascii="Palatino Linotype" w:eastAsia="Palatino Linotype" w:hAnsi="Palatino Linotype" w:cs="Palatino Linotype"/>
          <w:color w:val="000000"/>
        </w:rPr>
        <w:t xml:space="preserve"> De lo que se advierte que es necesaria la participación ciudadana mediante la constitución de Comités para el ejercicio de tales fondos, por lo que se debe ordenar la entrega del documento o documentos en que conste la fecha de instalación del citado comité para la obra referida.</w:t>
      </w:r>
    </w:p>
    <w:p w:rsidR="00E82E65" w:rsidRPr="002B7457" w:rsidRDefault="00E82E65">
      <w:pPr>
        <w:spacing w:line="360" w:lineRule="auto"/>
        <w:ind w:right="49"/>
        <w:jc w:val="both"/>
        <w:rPr>
          <w:rFonts w:ascii="Palatino Linotype" w:eastAsia="Palatino Linotype" w:hAnsi="Palatino Linotype" w:cs="Palatino Linotype"/>
          <w:i/>
          <w:iCs/>
        </w:rPr>
      </w:pPr>
    </w:p>
    <w:p w:rsidR="00E82E65" w:rsidRPr="002B7457" w:rsidRDefault="00A33575">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Por cuanto hace al cuarto punto de la solicitud y como se ha visto, el área encargada de verificar los avances de la obra una vez iniciada recae en la Dirección de Obras Públicas, misma que rindió respuesta por medio del Servido Público habilitado y que admitió de forma expresa la Planificación, Programación, Cuantificación y proyección de tal obra.</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color w:val="000000"/>
        </w:rPr>
      </w:pPr>
    </w:p>
    <w:p w:rsidR="00E82E65" w:rsidRPr="002B7457" w:rsidRDefault="00A33575">
      <w:pPr>
        <w:numPr>
          <w:ilvl w:val="0"/>
          <w:numId w:val="1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Finalmente en lo relativo al último punto de la solicitud, se aprecia que al igual que acontece con el numeral primero que, tal información no había sido generada aún a la fecha de la solicitud por lo que la entrega de las acciones del área encargada de verificar los avances de la obra a la fecha de la solicitud constituyen hechos futuros, sin embargo al no haber </w:t>
      </w:r>
      <w:r w:rsidRPr="002B7457">
        <w:rPr>
          <w:rFonts w:ascii="Palatino Linotype" w:eastAsia="Palatino Linotype" w:hAnsi="Palatino Linotype" w:cs="Palatino Linotype"/>
          <w:color w:val="000000"/>
        </w:rPr>
        <w:lastRenderedPageBreak/>
        <w:t>iniciado los trabajos, el Sujeto Obligado señaló las acciones previas al arranque de los mismos.</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color w:val="000000"/>
        </w:rPr>
      </w:pPr>
    </w:p>
    <w:p w:rsidR="00E82E65" w:rsidRPr="002B7457" w:rsidRDefault="00A33575">
      <w:pPr>
        <w:numPr>
          <w:ilvl w:val="0"/>
          <w:numId w:val="4"/>
        </w:numPr>
        <w:tabs>
          <w:tab w:val="left" w:pos="284"/>
        </w:tabs>
        <w:spacing w:before="240" w:after="240" w:line="360" w:lineRule="auto"/>
        <w:ind w:left="0"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Por lo tanto, en consecuencia y en mérito de todo lo expuesto, resultan parcialmente fundadas las razones o motivos de inconformidad hechos valer por el </w:t>
      </w:r>
      <w:r w:rsidRPr="002B7457">
        <w:rPr>
          <w:rFonts w:ascii="Palatino Linotype" w:eastAsia="Palatino Linotype" w:hAnsi="Palatino Linotype" w:cs="Palatino Linotype"/>
          <w:b/>
          <w:bCs/>
          <w:color w:val="000000"/>
        </w:rPr>
        <w:t>RECURRENTE</w:t>
      </w:r>
      <w:r w:rsidRPr="002B7457">
        <w:rPr>
          <w:rFonts w:ascii="Palatino Linotype" w:eastAsia="Palatino Linotype" w:hAnsi="Palatino Linotype" w:cs="Palatino Linotype"/>
          <w:color w:val="000000"/>
        </w:rPr>
        <w:t xml:space="preserve"> dentro del recurso de revisión </w:t>
      </w:r>
      <w:r w:rsidRPr="002B7457">
        <w:rPr>
          <w:rFonts w:ascii="Palatino Linotype" w:eastAsia="Palatino Linotype" w:hAnsi="Palatino Linotype" w:cs="Palatino Linotype"/>
          <w:b/>
          <w:bCs/>
          <w:color w:val="000000"/>
        </w:rPr>
        <w:t>10533/INFOEM/IP/RR/2025</w:t>
      </w:r>
      <w:r w:rsidRPr="002B7457">
        <w:rPr>
          <w:rFonts w:ascii="Palatino Linotype" w:eastAsia="Palatino Linotype" w:hAnsi="Palatino Linotype" w:cs="Palatino Linotype"/>
          <w:color w:val="000000"/>
        </w:rPr>
        <w:t xml:space="preserve">, por ello, éste Órgano Garante determina </w:t>
      </w:r>
      <w:r w:rsidRPr="002B7457">
        <w:rPr>
          <w:rFonts w:ascii="Palatino Linotype" w:eastAsia="Palatino Linotype" w:hAnsi="Palatino Linotype" w:cs="Palatino Linotype"/>
          <w:b/>
          <w:bCs/>
          <w:color w:val="000000"/>
        </w:rPr>
        <w:t>MODIFICAR</w:t>
      </w:r>
      <w:r w:rsidRPr="002B7457">
        <w:rPr>
          <w:rFonts w:ascii="Palatino Linotype" w:eastAsia="Palatino Linotype" w:hAnsi="Palatino Linotype" w:cs="Palatino Linotype"/>
          <w:color w:val="000000"/>
        </w:rPr>
        <w:t xml:space="preserve"> la respuesta del </w:t>
      </w:r>
      <w:r w:rsidRPr="002B7457">
        <w:rPr>
          <w:rFonts w:ascii="Palatino Linotype" w:eastAsia="Palatino Linotype" w:hAnsi="Palatino Linotype" w:cs="Palatino Linotype"/>
          <w:b/>
          <w:bCs/>
          <w:color w:val="000000"/>
        </w:rPr>
        <w:t>SUJETO OBLIGADO</w:t>
      </w:r>
      <w:r w:rsidRPr="002B7457">
        <w:rPr>
          <w:rFonts w:ascii="Palatino Linotype" w:eastAsia="Palatino Linotype" w:hAnsi="Palatino Linotype" w:cs="Palatino Linotype"/>
          <w:color w:val="000000"/>
        </w:rPr>
        <w:t>.</w:t>
      </w:r>
    </w:p>
    <w:p w:rsidR="00E82E65" w:rsidRPr="002B7457" w:rsidRDefault="00E82E65">
      <w:pPr>
        <w:pBdr>
          <w:top w:val="nil"/>
          <w:left w:val="nil"/>
          <w:bottom w:val="nil"/>
          <w:right w:val="nil"/>
          <w:between w:val="nil"/>
        </w:pBdr>
        <w:ind w:left="720"/>
        <w:rPr>
          <w:rFonts w:ascii="Palatino Linotype" w:eastAsia="Palatino Linotype" w:hAnsi="Palatino Linotype" w:cs="Palatino Linotype"/>
          <w:color w:val="000000"/>
        </w:rPr>
      </w:pPr>
    </w:p>
    <w:p w:rsidR="00E82E65" w:rsidRPr="002B7457" w:rsidRDefault="00A33575">
      <w:pPr>
        <w:numPr>
          <w:ilvl w:val="0"/>
          <w:numId w:val="8"/>
        </w:numPr>
        <w:spacing w:line="360" w:lineRule="auto"/>
        <w:ind w:left="0" w:right="49" w:firstLine="0"/>
        <w:jc w:val="both"/>
        <w:rPr>
          <w:rFonts w:ascii="Palatino Linotype" w:eastAsia="Palatino Linotype" w:hAnsi="Palatino Linotype" w:cs="Palatino Linotype"/>
          <w:color w:val="000000"/>
        </w:rPr>
      </w:pPr>
      <w:r w:rsidRPr="002B7457">
        <w:rPr>
          <w:rFonts w:ascii="Palatino Linotype" w:eastAsia="Palatino Linotype" w:hAnsi="Palatino Linotype" w:cs="Palatino Linotype"/>
          <w:color w:val="000000"/>
        </w:rPr>
        <w:t xml:space="preserve">Por lo anteriormente expuesto y fundado, este </w:t>
      </w:r>
      <w:r w:rsidRPr="002B7457">
        <w:rPr>
          <w:rFonts w:ascii="Palatino Linotype" w:eastAsia="Palatino Linotype" w:hAnsi="Palatino Linotype" w:cs="Palatino Linotype"/>
          <w:b/>
          <w:bCs/>
          <w:color w:val="000000"/>
        </w:rPr>
        <w:t>ÓRGANO GARANTE</w:t>
      </w:r>
      <w:r w:rsidRPr="002B7457">
        <w:rPr>
          <w:rFonts w:ascii="Palatino Linotype" w:eastAsia="Palatino Linotype" w:hAnsi="Palatino Linotype" w:cs="Palatino Linotype"/>
          <w:color w:val="000000"/>
        </w:rPr>
        <w:t xml:space="preserve"> emite los siguientes:</w:t>
      </w:r>
    </w:p>
    <w:p w:rsidR="00E82E65" w:rsidRPr="002B7457" w:rsidRDefault="00E82E65">
      <w:pPr>
        <w:spacing w:line="360" w:lineRule="auto"/>
        <w:jc w:val="both"/>
        <w:rPr>
          <w:rFonts w:ascii="Palatino Linotype" w:eastAsia="Palatino Linotype" w:hAnsi="Palatino Linotype" w:cs="Palatino Linotype"/>
          <w:i/>
          <w:iCs/>
          <w:color w:val="000000"/>
        </w:rPr>
      </w:pPr>
    </w:p>
    <w:p w:rsidR="00E82E65" w:rsidRPr="002B7457" w:rsidRDefault="00A33575">
      <w:pPr>
        <w:pStyle w:val="Ttulo1"/>
        <w:spacing w:before="0" w:line="360" w:lineRule="auto"/>
        <w:jc w:val="center"/>
        <w:rPr>
          <w:rFonts w:ascii="Palatino Linotype" w:eastAsia="Palatino Linotype" w:hAnsi="Palatino Linotype" w:cs="Palatino Linotype"/>
          <w:b w:val="0"/>
          <w:bCs w:val="0"/>
          <w:color w:val="000000"/>
          <w:sz w:val="24"/>
          <w:szCs w:val="24"/>
        </w:rPr>
      </w:pPr>
      <w:r w:rsidRPr="002B7457">
        <w:rPr>
          <w:rFonts w:ascii="Palatino Linotype" w:eastAsia="Palatino Linotype" w:hAnsi="Palatino Linotype" w:cs="Palatino Linotype"/>
          <w:color w:val="000000"/>
          <w:sz w:val="24"/>
          <w:szCs w:val="24"/>
        </w:rPr>
        <w:t>R E S O L U T I V O S</w:t>
      </w:r>
    </w:p>
    <w:p w:rsidR="00E82E65" w:rsidRPr="002B7457" w:rsidRDefault="00E82E65">
      <w:pPr>
        <w:spacing w:line="480" w:lineRule="auto"/>
        <w:rPr>
          <w:rFonts w:ascii="Palatino Linotype" w:eastAsia="Palatino Linotype" w:hAnsi="Palatino Linotype" w:cs="Palatino Linotype"/>
        </w:rPr>
      </w:pPr>
    </w:p>
    <w:p w:rsidR="00E82E65" w:rsidRPr="002B7457" w:rsidRDefault="00A33575">
      <w:pPr>
        <w:spacing w:line="360" w:lineRule="auto"/>
        <w:jc w:val="both"/>
        <w:rPr>
          <w:rFonts w:ascii="Palatino Linotype" w:eastAsia="Palatino Linotype" w:hAnsi="Palatino Linotype" w:cs="Palatino Linotype"/>
        </w:rPr>
      </w:pPr>
      <w:r w:rsidRPr="002B7457">
        <w:rPr>
          <w:rFonts w:ascii="Palatino Linotype" w:eastAsia="Palatino Linotype" w:hAnsi="Palatino Linotype" w:cs="Palatino Linotype"/>
          <w:b/>
          <w:bCs/>
        </w:rPr>
        <w:t>PRIMERO</w:t>
      </w:r>
      <w:r w:rsidRPr="002B7457">
        <w:rPr>
          <w:rFonts w:ascii="Palatino Linotype" w:eastAsia="Palatino Linotype" w:hAnsi="Palatino Linotype" w:cs="Palatino Linotype"/>
        </w:rPr>
        <w:t>. Resultan fundadas las</w:t>
      </w:r>
      <w:r w:rsidRPr="002B7457">
        <w:rPr>
          <w:rFonts w:ascii="Palatino Linotype" w:eastAsia="Palatino Linotype" w:hAnsi="Palatino Linotype" w:cs="Palatino Linotype"/>
          <w:b/>
          <w:bCs/>
        </w:rPr>
        <w:t xml:space="preserve"> </w:t>
      </w:r>
      <w:r w:rsidRPr="002B7457">
        <w:rPr>
          <w:rFonts w:ascii="Palatino Linotype" w:eastAsia="Palatino Linotype" w:hAnsi="Palatino Linotype" w:cs="Palatino Linotype"/>
        </w:rPr>
        <w:t>razones o motivos de</w:t>
      </w:r>
      <w:r w:rsidR="001A4DB9" w:rsidRPr="002B7457">
        <w:rPr>
          <w:rFonts w:ascii="Palatino Linotype" w:eastAsia="Palatino Linotype" w:hAnsi="Palatino Linotype" w:cs="Palatino Linotype"/>
        </w:rPr>
        <w:t xml:space="preserve"> inconformidad hechos valer en </w:t>
      </w:r>
      <w:r w:rsidRPr="002B7457">
        <w:rPr>
          <w:rFonts w:ascii="Palatino Linotype" w:eastAsia="Palatino Linotype" w:hAnsi="Palatino Linotype" w:cs="Palatino Linotype"/>
        </w:rPr>
        <w:t xml:space="preserve">el Recurso de Revisión </w:t>
      </w:r>
      <w:r w:rsidRPr="002B7457">
        <w:rPr>
          <w:rFonts w:ascii="Palatino Linotype" w:eastAsia="Palatino Linotype" w:hAnsi="Palatino Linotype" w:cs="Palatino Linotype"/>
          <w:b/>
          <w:bCs/>
        </w:rPr>
        <w:t>10533/INFOEM/IP/RR/2025</w:t>
      </w:r>
      <w:r w:rsidRPr="002B7457">
        <w:rPr>
          <w:rFonts w:ascii="Palatino Linotype" w:eastAsia="Palatino Linotype" w:hAnsi="Palatino Linotype" w:cs="Palatino Linotype"/>
        </w:rPr>
        <w:t xml:space="preserve">,  </w:t>
      </w:r>
      <w:r w:rsidRPr="002B7457">
        <w:rPr>
          <w:rFonts w:ascii="Palatino Linotype" w:eastAsia="Palatino Linotype" w:hAnsi="Palatino Linotype" w:cs="Palatino Linotype"/>
          <w:b/>
          <w:bCs/>
        </w:rPr>
        <w:t xml:space="preserve"> </w:t>
      </w:r>
      <w:r w:rsidRPr="002B7457">
        <w:rPr>
          <w:rFonts w:ascii="Palatino Linotype" w:eastAsia="Palatino Linotype" w:hAnsi="Palatino Linotype" w:cs="Palatino Linotype"/>
        </w:rPr>
        <w:t xml:space="preserve">por lo que se </w:t>
      </w:r>
      <w:r w:rsidRPr="002B7457">
        <w:rPr>
          <w:rFonts w:ascii="Palatino Linotype" w:eastAsia="Palatino Linotype" w:hAnsi="Palatino Linotype" w:cs="Palatino Linotype"/>
          <w:b/>
          <w:bCs/>
        </w:rPr>
        <w:t xml:space="preserve">MODIFICA </w:t>
      </w:r>
      <w:r w:rsidRPr="002B7457">
        <w:rPr>
          <w:rFonts w:ascii="Palatino Linotype" w:eastAsia="Palatino Linotype" w:hAnsi="Palatino Linotype" w:cs="Palatino Linotype"/>
        </w:rPr>
        <w:t xml:space="preserve">la respuesta del </w:t>
      </w:r>
      <w:r w:rsidRPr="002B7457">
        <w:rPr>
          <w:rFonts w:ascii="Palatino Linotype" w:eastAsia="Palatino Linotype" w:hAnsi="Palatino Linotype" w:cs="Palatino Linotype"/>
          <w:b/>
          <w:bCs/>
        </w:rPr>
        <w:t xml:space="preserve">SUJETO OBLIGADO </w:t>
      </w:r>
      <w:r w:rsidRPr="002B7457">
        <w:rPr>
          <w:rFonts w:ascii="Palatino Linotype" w:eastAsia="Palatino Linotype" w:hAnsi="Palatino Linotype" w:cs="Palatino Linotype"/>
        </w:rPr>
        <w:t xml:space="preserve">en la solicitud de información </w:t>
      </w:r>
      <w:r w:rsidRPr="002B7457">
        <w:rPr>
          <w:rFonts w:ascii="Palatino Linotype" w:eastAsia="Palatino Linotype" w:hAnsi="Palatino Linotype" w:cs="Palatino Linotype"/>
          <w:b/>
          <w:bCs/>
        </w:rPr>
        <w:t xml:space="preserve">00181/JOSERIN/IP/2025, </w:t>
      </w:r>
      <w:r w:rsidRPr="002B7457">
        <w:rPr>
          <w:rFonts w:ascii="Palatino Linotype" w:eastAsia="Palatino Linotype" w:hAnsi="Palatino Linotype" w:cs="Palatino Linotype"/>
        </w:rPr>
        <w:t xml:space="preserve">en términos del </w:t>
      </w:r>
      <w:r w:rsidRPr="002B7457">
        <w:rPr>
          <w:rFonts w:ascii="Palatino Linotype" w:eastAsia="Palatino Linotype" w:hAnsi="Palatino Linotype" w:cs="Palatino Linotype"/>
          <w:b/>
          <w:bCs/>
        </w:rPr>
        <w:t xml:space="preserve">Considerando Cuarto </w:t>
      </w:r>
      <w:r w:rsidRPr="002B7457">
        <w:rPr>
          <w:rFonts w:ascii="Palatino Linotype" w:eastAsia="Palatino Linotype" w:hAnsi="Palatino Linotype" w:cs="Palatino Linotype"/>
        </w:rPr>
        <w:t>de la presente resolución.</w:t>
      </w:r>
    </w:p>
    <w:p w:rsidR="00E82E65" w:rsidRPr="002B7457" w:rsidRDefault="00E82E65">
      <w:pPr>
        <w:spacing w:line="480" w:lineRule="auto"/>
        <w:jc w:val="both"/>
        <w:rPr>
          <w:rFonts w:ascii="Palatino Linotype" w:eastAsia="Palatino Linotype" w:hAnsi="Palatino Linotype" w:cs="Palatino Linotype"/>
        </w:rPr>
      </w:pPr>
    </w:p>
    <w:p w:rsidR="00E82E65" w:rsidRPr="002B7457" w:rsidRDefault="00A33575">
      <w:pPr>
        <w:spacing w:line="360" w:lineRule="auto"/>
        <w:jc w:val="both"/>
        <w:rPr>
          <w:rFonts w:ascii="Palatino Linotype" w:eastAsia="Palatino Linotype" w:hAnsi="Palatino Linotype" w:cs="Palatino Linotype"/>
          <w:color w:val="000000"/>
        </w:rPr>
      </w:pPr>
      <w:bookmarkStart w:id="11" w:name="_heading=h.6p4dfh9gmh75" w:colFirst="0" w:colLast="0"/>
      <w:bookmarkEnd w:id="11"/>
      <w:r w:rsidRPr="002B7457">
        <w:rPr>
          <w:rFonts w:ascii="Palatino Linotype" w:eastAsia="Palatino Linotype" w:hAnsi="Palatino Linotype" w:cs="Palatino Linotype"/>
          <w:b/>
          <w:bCs/>
        </w:rPr>
        <w:t>SEGUNDO.</w:t>
      </w:r>
      <w:r w:rsidRPr="002B7457">
        <w:rPr>
          <w:rFonts w:ascii="Palatino Linotype" w:eastAsia="Palatino Linotype" w:hAnsi="Palatino Linotype" w:cs="Palatino Linotype"/>
          <w:color w:val="2E75B5"/>
        </w:rPr>
        <w:t xml:space="preserve"> </w:t>
      </w:r>
      <w:r w:rsidRPr="002B7457">
        <w:rPr>
          <w:rFonts w:ascii="Palatino Linotype" w:eastAsia="Palatino Linotype" w:hAnsi="Palatino Linotype" w:cs="Palatino Linotype"/>
          <w:color w:val="000000"/>
        </w:rPr>
        <w:t xml:space="preserve">Se </w:t>
      </w:r>
      <w:r w:rsidRPr="002B7457">
        <w:rPr>
          <w:rFonts w:ascii="Palatino Linotype" w:eastAsia="Palatino Linotype" w:hAnsi="Palatino Linotype" w:cs="Palatino Linotype"/>
          <w:b/>
          <w:bCs/>
          <w:color w:val="000000"/>
        </w:rPr>
        <w:t xml:space="preserve">ORDENA </w:t>
      </w:r>
      <w:r w:rsidRPr="002B7457">
        <w:rPr>
          <w:rFonts w:ascii="Palatino Linotype" w:eastAsia="Palatino Linotype" w:hAnsi="Palatino Linotype" w:cs="Palatino Linotype"/>
          <w:color w:val="000000"/>
        </w:rPr>
        <w:t xml:space="preserve">al </w:t>
      </w:r>
      <w:r w:rsidRPr="002B7457">
        <w:rPr>
          <w:rFonts w:ascii="Palatino Linotype" w:eastAsia="Palatino Linotype" w:hAnsi="Palatino Linotype" w:cs="Palatino Linotype"/>
          <w:b/>
          <w:bCs/>
          <w:color w:val="000000"/>
        </w:rPr>
        <w:t xml:space="preserve">SUJETO OBLIGADO, </w:t>
      </w:r>
      <w:r w:rsidRPr="002B7457">
        <w:rPr>
          <w:rFonts w:ascii="Palatino Linotype" w:eastAsia="Palatino Linotype" w:hAnsi="Palatino Linotype" w:cs="Palatino Linotype"/>
          <w:color w:val="000000"/>
        </w:rPr>
        <w:t xml:space="preserve">a efecto de entregar vía Sistema de Acceso a la Información Mexiquense </w:t>
      </w:r>
      <w:r w:rsidRPr="002B7457">
        <w:rPr>
          <w:rFonts w:ascii="Palatino Linotype" w:eastAsia="Palatino Linotype" w:hAnsi="Palatino Linotype" w:cs="Palatino Linotype"/>
          <w:b/>
          <w:bCs/>
          <w:color w:val="000000"/>
        </w:rPr>
        <w:t>(SAIMEX)</w:t>
      </w:r>
      <w:r w:rsidRPr="002B7457">
        <w:rPr>
          <w:rFonts w:ascii="Palatino Linotype" w:eastAsia="Palatino Linotype" w:hAnsi="Palatino Linotype" w:cs="Palatino Linotype"/>
          <w:color w:val="000000"/>
        </w:rPr>
        <w:t>, la siguiente información para la obra referida y de ser procedente en versión pública:</w:t>
      </w:r>
    </w:p>
    <w:p w:rsidR="00E82E65" w:rsidRPr="002B7457" w:rsidRDefault="00A33575">
      <w:pPr>
        <w:numPr>
          <w:ilvl w:val="3"/>
          <w:numId w:val="11"/>
        </w:numPr>
        <w:pBdr>
          <w:top w:val="nil"/>
          <w:left w:val="nil"/>
          <w:bottom w:val="nil"/>
          <w:right w:val="nil"/>
          <w:between w:val="nil"/>
        </w:pBdr>
        <w:tabs>
          <w:tab w:val="left" w:pos="426"/>
          <w:tab w:val="left" w:pos="567"/>
        </w:tabs>
        <w:spacing w:line="360" w:lineRule="auto"/>
        <w:ind w:right="849"/>
        <w:jc w:val="both"/>
        <w:rPr>
          <w:rFonts w:ascii="Palatino Linotype" w:eastAsia="Palatino Linotype" w:hAnsi="Palatino Linotype" w:cs="Palatino Linotype"/>
          <w:b/>
          <w:bCs/>
          <w:i/>
          <w:iCs/>
          <w:color w:val="000000"/>
        </w:rPr>
      </w:pPr>
      <w:r w:rsidRPr="002B7457">
        <w:rPr>
          <w:rFonts w:ascii="Palatino Linotype" w:eastAsia="Palatino Linotype" w:hAnsi="Palatino Linotype" w:cs="Palatino Linotype"/>
          <w:b/>
          <w:bCs/>
          <w:i/>
          <w:iCs/>
          <w:color w:val="000000"/>
        </w:rPr>
        <w:lastRenderedPageBreak/>
        <w:t xml:space="preserve">Documento o documentos donde conste la fecha de instalación del Comité Ciudadano de Control y Vigilancia </w:t>
      </w:r>
    </w:p>
    <w:p w:rsidR="00E82E65" w:rsidRPr="002B7457" w:rsidRDefault="00E82E65">
      <w:pPr>
        <w:pBdr>
          <w:top w:val="nil"/>
          <w:left w:val="nil"/>
          <w:bottom w:val="nil"/>
          <w:right w:val="nil"/>
          <w:between w:val="nil"/>
        </w:pBdr>
        <w:tabs>
          <w:tab w:val="left" w:pos="426"/>
          <w:tab w:val="left" w:pos="567"/>
        </w:tabs>
        <w:spacing w:line="360" w:lineRule="auto"/>
        <w:ind w:left="1211" w:right="849"/>
        <w:jc w:val="both"/>
        <w:rPr>
          <w:rFonts w:ascii="Palatino Linotype" w:eastAsia="Palatino Linotype" w:hAnsi="Palatino Linotype" w:cs="Palatino Linotype"/>
          <w:b/>
          <w:bCs/>
          <w:i/>
          <w:iCs/>
        </w:rPr>
      </w:pPr>
    </w:p>
    <w:p w:rsidR="00E82E65" w:rsidRPr="002B7457" w:rsidRDefault="00A33575">
      <w:pPr>
        <w:pBdr>
          <w:top w:val="nil"/>
          <w:left w:val="nil"/>
          <w:bottom w:val="nil"/>
          <w:right w:val="nil"/>
          <w:between w:val="nil"/>
        </w:pBdr>
        <w:tabs>
          <w:tab w:val="left" w:pos="426"/>
          <w:tab w:val="left" w:pos="567"/>
        </w:tabs>
        <w:spacing w:line="360" w:lineRule="auto"/>
        <w:ind w:left="1134" w:right="849"/>
        <w:jc w:val="both"/>
        <w:rPr>
          <w:rFonts w:ascii="Palatino Linotype" w:eastAsia="Palatino Linotype" w:hAnsi="Palatino Linotype" w:cs="Palatino Linotype"/>
          <w:i/>
          <w:iCs/>
        </w:rPr>
      </w:pPr>
      <w:r w:rsidRPr="002B7457">
        <w:rPr>
          <w:rFonts w:ascii="Palatino Linotype" w:eastAsia="Palatino Linotype" w:hAnsi="Palatino Linotype" w:cs="Palatino Linotype"/>
          <w:i/>
          <w:iCs/>
        </w:rPr>
        <w:t>Para el caso en que no se cuente con la información por no haber sido generada a la fecha de la solicitud, bastará con que así se haga del conocimiento a LA PARTE RECURRENTE en términos de lo que establece el artículo 19 segundo párrafo de la Ley de Transparencia Local</w:t>
      </w:r>
    </w:p>
    <w:p w:rsidR="00E82E65" w:rsidRPr="002B7457" w:rsidRDefault="00E82E65">
      <w:pPr>
        <w:tabs>
          <w:tab w:val="left" w:pos="7513"/>
        </w:tabs>
        <w:spacing w:line="360" w:lineRule="auto"/>
        <w:ind w:left="774" w:right="1247"/>
        <w:jc w:val="both"/>
        <w:rPr>
          <w:rFonts w:ascii="Palatino Linotype" w:eastAsia="Palatino Linotype" w:hAnsi="Palatino Linotype" w:cs="Palatino Linotype"/>
          <w:b/>
          <w:bCs/>
          <w:i/>
          <w:iCs/>
        </w:rPr>
      </w:pPr>
    </w:p>
    <w:p w:rsidR="00E82E65" w:rsidRPr="002B7457" w:rsidRDefault="00A33575">
      <w:pPr>
        <w:tabs>
          <w:tab w:val="left" w:pos="8080"/>
        </w:tabs>
        <w:spacing w:line="360" w:lineRule="auto"/>
        <w:jc w:val="both"/>
        <w:rPr>
          <w:rFonts w:ascii="Palatino Linotype" w:eastAsia="Palatino Linotype" w:hAnsi="Palatino Linotype" w:cs="Palatino Linotype"/>
          <w:color w:val="222222"/>
        </w:rPr>
      </w:pPr>
      <w:r w:rsidRPr="002B7457">
        <w:rPr>
          <w:rFonts w:ascii="Palatino Linotype" w:eastAsia="Palatino Linotype" w:hAnsi="Palatino Linotype" w:cs="Palatino Linotype"/>
          <w:b/>
          <w:bCs/>
        </w:rPr>
        <w:t xml:space="preserve">TERCERO. </w:t>
      </w:r>
      <w:r w:rsidRPr="002B7457">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B7457">
        <w:rPr>
          <w:rFonts w:ascii="Palatino Linotype" w:eastAsia="Palatino Linotype" w:hAnsi="Palatino Linotype" w:cs="Palatino Linotype"/>
          <w:b/>
          <w:bCs/>
          <w:color w:val="222222"/>
        </w:rPr>
        <w:t xml:space="preserve">dé cumplimiento a lo ordenado dentro del plazo de diez días hábiles, </w:t>
      </w:r>
      <w:r w:rsidRPr="002B7457">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E82E65" w:rsidRPr="002B7457" w:rsidRDefault="00E82E65">
      <w:pPr>
        <w:spacing w:line="480" w:lineRule="auto"/>
        <w:jc w:val="both"/>
        <w:rPr>
          <w:rFonts w:ascii="Palatino Linotype" w:eastAsia="Palatino Linotype" w:hAnsi="Palatino Linotype" w:cs="Palatino Linotype"/>
        </w:rPr>
      </w:pPr>
    </w:p>
    <w:p w:rsidR="00E82E65" w:rsidRPr="002B7457" w:rsidRDefault="00A33575">
      <w:pPr>
        <w:spacing w:line="360" w:lineRule="auto"/>
        <w:jc w:val="both"/>
        <w:rPr>
          <w:rFonts w:ascii="Palatino Linotype" w:eastAsia="Palatino Linotype" w:hAnsi="Palatino Linotype" w:cs="Palatino Linotype"/>
        </w:rPr>
      </w:pPr>
      <w:r w:rsidRPr="002B7457">
        <w:rPr>
          <w:rFonts w:ascii="Palatino Linotype" w:eastAsia="Palatino Linotype" w:hAnsi="Palatino Linotype" w:cs="Palatino Linotype"/>
          <w:b/>
          <w:bCs/>
        </w:rPr>
        <w:t xml:space="preserve">CUARTO. </w:t>
      </w:r>
      <w:r w:rsidRPr="002B745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E82E65" w:rsidRPr="002B7457" w:rsidRDefault="00A33575">
      <w:pPr>
        <w:spacing w:line="360" w:lineRule="auto"/>
        <w:ind w:right="49"/>
        <w:jc w:val="both"/>
        <w:rPr>
          <w:rFonts w:ascii="Palatino Linotype" w:eastAsia="Palatino Linotype" w:hAnsi="Palatino Linotype" w:cs="Palatino Linotype"/>
        </w:rPr>
      </w:pPr>
      <w:r w:rsidRPr="002B7457">
        <w:rPr>
          <w:rFonts w:ascii="Palatino Linotype" w:eastAsia="Palatino Linotype" w:hAnsi="Palatino Linotype" w:cs="Palatino Linotype"/>
          <w:b/>
          <w:bCs/>
        </w:rPr>
        <w:lastRenderedPageBreak/>
        <w:t xml:space="preserve">QUINTO. </w:t>
      </w:r>
      <w:r w:rsidRPr="002B7457">
        <w:rPr>
          <w:rFonts w:ascii="Palatino Linotype" w:eastAsia="Palatino Linotype" w:hAnsi="Palatino Linotype" w:cs="Palatino Linotype"/>
          <w:b/>
          <w:bCs/>
          <w:color w:val="222222"/>
        </w:rPr>
        <w:t xml:space="preserve">Notifíquese </w:t>
      </w:r>
      <w:r w:rsidR="001A4DB9" w:rsidRPr="002B7457">
        <w:rPr>
          <w:rFonts w:ascii="Palatino Linotype" w:eastAsia="Palatino Linotype" w:hAnsi="Palatino Linotype" w:cs="Palatino Linotype"/>
          <w:b/>
          <w:color w:val="222222"/>
        </w:rPr>
        <w:t>AL</w:t>
      </w:r>
      <w:r w:rsidRPr="002B7457">
        <w:rPr>
          <w:rFonts w:ascii="Palatino Linotype" w:eastAsia="Palatino Linotype" w:hAnsi="Palatino Linotype" w:cs="Palatino Linotype"/>
          <w:b/>
          <w:bCs/>
        </w:rPr>
        <w:t xml:space="preserve"> RECURRENTE</w:t>
      </w:r>
      <w:r w:rsidRPr="002B7457">
        <w:rPr>
          <w:rFonts w:ascii="Palatino Linotype" w:eastAsia="Palatino Linotype" w:hAnsi="Palatino Linotype" w:cs="Palatino Linotype"/>
        </w:rPr>
        <w:t xml:space="preserve"> la presente resolución, vía SAIMEX.</w:t>
      </w:r>
    </w:p>
    <w:p w:rsidR="00E82E65" w:rsidRPr="002B7457" w:rsidRDefault="00E82E65">
      <w:pPr>
        <w:spacing w:line="480" w:lineRule="auto"/>
        <w:ind w:right="49"/>
        <w:jc w:val="both"/>
        <w:rPr>
          <w:rFonts w:ascii="Palatino Linotype" w:eastAsia="Palatino Linotype" w:hAnsi="Palatino Linotype" w:cs="Palatino Linotype"/>
        </w:rPr>
      </w:pPr>
    </w:p>
    <w:p w:rsidR="00E82E65" w:rsidRPr="002B7457" w:rsidRDefault="00A33575">
      <w:pPr>
        <w:spacing w:line="360" w:lineRule="auto"/>
        <w:ind w:right="49"/>
        <w:jc w:val="both"/>
        <w:rPr>
          <w:rFonts w:ascii="Palatino Linotype" w:eastAsia="Palatino Linotype" w:hAnsi="Palatino Linotype" w:cs="Palatino Linotype"/>
        </w:rPr>
      </w:pPr>
      <w:r w:rsidRPr="002B7457">
        <w:rPr>
          <w:rFonts w:ascii="Palatino Linotype" w:eastAsia="Palatino Linotype" w:hAnsi="Palatino Linotype" w:cs="Palatino Linotype"/>
          <w:b/>
          <w:bCs/>
        </w:rPr>
        <w:t>SEXTO.</w:t>
      </w:r>
      <w:r w:rsidRPr="002B7457">
        <w:rPr>
          <w:rFonts w:ascii="Palatino Linotype" w:eastAsia="Palatino Linotype" w:hAnsi="Palatino Linotype" w:cs="Palatino Linotype"/>
        </w:rPr>
        <w:t xml:space="preserve"> Se hace del conocimiento de </w:t>
      </w:r>
      <w:r w:rsidRPr="002B7457">
        <w:rPr>
          <w:rFonts w:ascii="Palatino Linotype" w:eastAsia="Palatino Linotype" w:hAnsi="Palatino Linotype" w:cs="Palatino Linotype"/>
          <w:b/>
          <w:bCs/>
        </w:rPr>
        <w:t>LA RECURRENTE</w:t>
      </w:r>
      <w:r w:rsidRPr="002B7457">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82E65" w:rsidRPr="002B7457" w:rsidRDefault="00E82E65">
      <w:pPr>
        <w:spacing w:line="360" w:lineRule="auto"/>
        <w:ind w:right="49"/>
        <w:jc w:val="both"/>
        <w:rPr>
          <w:rFonts w:ascii="Palatino Linotype" w:eastAsia="Palatino Linotype" w:hAnsi="Palatino Linotype" w:cs="Palatino Linotype"/>
        </w:rPr>
      </w:pPr>
    </w:p>
    <w:p w:rsidR="001A4DB9" w:rsidRPr="002B7457" w:rsidRDefault="001A4DB9" w:rsidP="001A4DB9">
      <w:pPr>
        <w:spacing w:before="240" w:after="240" w:line="360" w:lineRule="auto"/>
        <w:ind w:firstLine="1"/>
        <w:jc w:val="both"/>
        <w:rPr>
          <w:rFonts w:ascii="Palatino Linotype" w:hAnsi="Palatino Linotype"/>
        </w:rPr>
      </w:pPr>
      <w:bookmarkStart w:id="12" w:name="_Hlk99014733"/>
      <w:r w:rsidRPr="002B7457">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2B7457">
        <w:rPr>
          <w:rFonts w:ascii="Palatino Linotype" w:hAnsi="Palatino Linotype" w:cs="Palatino Linotype"/>
          <w:color w:val="000000" w:themeColor="text1"/>
        </w:rPr>
        <w:t>ALEXIS TAPIA RAMÍREZ.</w:t>
      </w:r>
    </w:p>
    <w:bookmarkEnd w:id="12"/>
    <w:p w:rsidR="00E82E65" w:rsidRPr="002B7457" w:rsidRDefault="00E82E65">
      <w:pPr>
        <w:spacing w:line="360" w:lineRule="auto"/>
        <w:ind w:right="-847"/>
        <w:jc w:val="both"/>
        <w:rPr>
          <w:rFonts w:ascii="Palatino Linotype" w:eastAsia="Palatino Linotype" w:hAnsi="Palatino Linotype" w:cs="Palatino Linotype"/>
        </w:rPr>
      </w:pPr>
    </w:p>
    <w:p w:rsidR="00E82E65" w:rsidRPr="002B7457" w:rsidRDefault="00E82E65">
      <w:pPr>
        <w:spacing w:line="360" w:lineRule="auto"/>
        <w:ind w:right="-847"/>
        <w:jc w:val="both"/>
        <w:rPr>
          <w:rFonts w:ascii="Palatino Linotype" w:eastAsia="Palatino Linotype" w:hAnsi="Palatino Linotype" w:cs="Palatino Linotype"/>
        </w:rPr>
      </w:pPr>
    </w:p>
    <w:p w:rsidR="00E82E65" w:rsidRPr="002B7457" w:rsidRDefault="00E82E65">
      <w:pPr>
        <w:spacing w:line="360" w:lineRule="auto"/>
        <w:ind w:right="-847"/>
        <w:jc w:val="both"/>
        <w:rPr>
          <w:rFonts w:ascii="Palatino Linotype" w:eastAsia="Palatino Linotype" w:hAnsi="Palatino Linotype" w:cs="Palatino Linotype"/>
        </w:rPr>
      </w:pPr>
    </w:p>
    <w:p w:rsidR="00E82E65" w:rsidRPr="002B7457" w:rsidRDefault="00E82E65">
      <w:pPr>
        <w:spacing w:line="360" w:lineRule="auto"/>
        <w:ind w:right="-847"/>
        <w:jc w:val="both"/>
        <w:rPr>
          <w:rFonts w:ascii="Palatino Linotype" w:eastAsia="Palatino Linotype" w:hAnsi="Palatino Linotype" w:cs="Palatino Linotype"/>
        </w:rPr>
      </w:pPr>
    </w:p>
    <w:p w:rsidR="00E82E65" w:rsidRPr="002B7457" w:rsidRDefault="00E82E65">
      <w:pPr>
        <w:spacing w:line="360" w:lineRule="auto"/>
        <w:ind w:right="-847"/>
        <w:jc w:val="both"/>
        <w:rPr>
          <w:rFonts w:ascii="Palatino Linotype" w:eastAsia="Palatino Linotype" w:hAnsi="Palatino Linotype" w:cs="Palatino Linotype"/>
        </w:rPr>
      </w:pPr>
    </w:p>
    <w:p w:rsidR="00E82E65" w:rsidRPr="002B7457" w:rsidRDefault="00E82E65">
      <w:pPr>
        <w:spacing w:line="360" w:lineRule="auto"/>
        <w:ind w:right="-847"/>
        <w:jc w:val="both"/>
        <w:rPr>
          <w:rFonts w:ascii="Palatino Linotype" w:eastAsia="Palatino Linotype" w:hAnsi="Palatino Linotype" w:cs="Palatino Linotype"/>
        </w:rPr>
      </w:pPr>
    </w:p>
    <w:p w:rsidR="00E82E65" w:rsidRPr="002B7457" w:rsidRDefault="00E82E65">
      <w:pPr>
        <w:spacing w:line="360" w:lineRule="auto"/>
        <w:ind w:right="-847"/>
        <w:jc w:val="both"/>
        <w:rPr>
          <w:rFonts w:ascii="Palatino Linotype" w:eastAsia="Palatino Linotype" w:hAnsi="Palatino Linotype" w:cs="Palatino Linotype"/>
        </w:rPr>
      </w:pPr>
    </w:p>
    <w:sectPr w:rsidR="00E82E65" w:rsidRPr="002B7457" w:rsidSect="002B7457">
      <w:headerReference w:type="default" r:id="rId8"/>
      <w:footerReference w:type="default" r:id="rId9"/>
      <w:headerReference w:type="first" r:id="rId10"/>
      <w:footerReference w:type="first" r:id="rId11"/>
      <w:pgSz w:w="12240" w:h="15840"/>
      <w:pgMar w:top="2552" w:right="758" w:bottom="255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BD8" w:rsidRDefault="004A0BD8">
      <w:r>
        <w:separator/>
      </w:r>
    </w:p>
  </w:endnote>
  <w:endnote w:type="continuationSeparator" w:id="0">
    <w:p w:rsidR="004A0BD8" w:rsidRDefault="004A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C2635537-4CBF-4418-AF58-0C0C43730FC1}"/>
    <w:embedBold r:id="rId2" w:fontKey="{44C1D43C-DA86-4E70-B940-4F81936C8A5D}"/>
    <w:embedItalic r:id="rId3" w:fontKey="{8F2F0B82-B09A-4D29-B684-65C7A9C981C9}"/>
    <w:embedBoldItalic r:id="rId4" w:fontKey="{D853603B-2CD0-446A-9F52-4F6DAF18B46F}"/>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F7D67D8E-896A-44CC-973C-65F8518F06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F6EED31-3A2B-431A-84ED-AB4B7A7B0C98}"/>
    <w:embedItalic r:id="rId7" w:fontKey="{3DD0E5DE-8EE9-4E91-96BD-07DF1959030E}"/>
  </w:font>
  <w:font w:name="Calibri Light">
    <w:panose1 w:val="020F0302020204030204"/>
    <w:charset w:val="00"/>
    <w:family w:val="swiss"/>
    <w:pitch w:val="variable"/>
    <w:sig w:usb0="E4002EFF" w:usb1="C200247B" w:usb2="00000009" w:usb3="00000000" w:csb0="000001FF" w:csb1="00000000"/>
    <w:embedRegular r:id="rId8" w:fontKey="{0E4A7502-5504-4E80-A75A-5411B71296C4}"/>
    <w:embedItalic r:id="rId9" w:fontKey="{970321D1-386B-4360-B3C8-1F3571D8626B}"/>
  </w:font>
  <w:font w:name="Arial">
    <w:panose1 w:val="020B0604020202020204"/>
    <w:charset w:val="00"/>
    <w:family w:val="swiss"/>
    <w:pitch w:val="variable"/>
    <w:sig w:usb0="E0002EFF" w:usb1="C000785B" w:usb2="00000009" w:usb3="00000000" w:csb0="000001FF" w:csb1="00000000"/>
  </w:font>
  <w:font w:name="Modica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0" w:fontKey="{44BFA582-B0FE-4209-9901-1546770D5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E65" w:rsidRPr="002B7457" w:rsidRDefault="00A33575">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8"/>
        <w:szCs w:val="28"/>
      </w:rPr>
    </w:pPr>
    <w:r w:rsidRPr="002B7457">
      <w:rPr>
        <w:rFonts w:ascii="Palatino Linotype" w:eastAsia="Palatino Linotype" w:hAnsi="Palatino Linotype" w:cs="Palatino Linotype"/>
        <w:b/>
        <w:color w:val="000000"/>
        <w:sz w:val="22"/>
        <w:szCs w:val="22"/>
      </w:rPr>
      <w:t xml:space="preserve">Página </w:t>
    </w:r>
    <w:r w:rsidRPr="002B7457">
      <w:rPr>
        <w:rFonts w:ascii="Palatino Linotype" w:eastAsia="Palatino Linotype" w:hAnsi="Palatino Linotype" w:cs="Palatino Linotype"/>
        <w:b/>
        <w:bCs/>
        <w:color w:val="000000"/>
        <w:sz w:val="22"/>
        <w:szCs w:val="22"/>
      </w:rPr>
      <w:fldChar w:fldCharType="begin"/>
    </w:r>
    <w:r w:rsidRPr="002B7457">
      <w:rPr>
        <w:rFonts w:ascii="Palatino Linotype" w:eastAsia="Palatino Linotype" w:hAnsi="Palatino Linotype" w:cs="Palatino Linotype"/>
        <w:b/>
        <w:bCs/>
        <w:color w:val="000000"/>
        <w:sz w:val="22"/>
        <w:szCs w:val="22"/>
      </w:rPr>
      <w:instrText>PAGE</w:instrText>
    </w:r>
    <w:r w:rsidRPr="002B7457">
      <w:rPr>
        <w:rFonts w:ascii="Palatino Linotype" w:eastAsia="Palatino Linotype" w:hAnsi="Palatino Linotype" w:cs="Palatino Linotype"/>
        <w:b/>
        <w:bCs/>
        <w:color w:val="000000"/>
        <w:sz w:val="22"/>
        <w:szCs w:val="22"/>
      </w:rPr>
      <w:fldChar w:fldCharType="separate"/>
    </w:r>
    <w:r w:rsidR="00C94EE7">
      <w:rPr>
        <w:rFonts w:ascii="Palatino Linotype" w:eastAsia="Palatino Linotype" w:hAnsi="Palatino Linotype" w:cs="Palatino Linotype"/>
        <w:b/>
        <w:bCs/>
        <w:noProof/>
        <w:color w:val="000000"/>
        <w:sz w:val="22"/>
        <w:szCs w:val="22"/>
      </w:rPr>
      <w:t>21</w:t>
    </w:r>
    <w:r w:rsidRPr="002B7457">
      <w:rPr>
        <w:rFonts w:ascii="Palatino Linotype" w:eastAsia="Palatino Linotype" w:hAnsi="Palatino Linotype" w:cs="Palatino Linotype"/>
        <w:b/>
        <w:bCs/>
        <w:color w:val="000000"/>
        <w:sz w:val="22"/>
        <w:szCs w:val="22"/>
      </w:rPr>
      <w:fldChar w:fldCharType="end"/>
    </w:r>
    <w:r w:rsidRPr="002B7457">
      <w:rPr>
        <w:rFonts w:ascii="Palatino Linotype" w:eastAsia="Palatino Linotype" w:hAnsi="Palatino Linotype" w:cs="Palatino Linotype"/>
        <w:b/>
        <w:color w:val="000000"/>
        <w:sz w:val="22"/>
        <w:szCs w:val="22"/>
      </w:rPr>
      <w:t xml:space="preserve"> de </w:t>
    </w:r>
    <w:r w:rsidRPr="002B7457">
      <w:rPr>
        <w:rFonts w:ascii="Palatino Linotype" w:eastAsia="Palatino Linotype" w:hAnsi="Palatino Linotype" w:cs="Palatino Linotype"/>
        <w:b/>
        <w:bCs/>
        <w:color w:val="000000"/>
        <w:sz w:val="22"/>
        <w:szCs w:val="22"/>
      </w:rPr>
      <w:fldChar w:fldCharType="begin"/>
    </w:r>
    <w:r w:rsidRPr="002B7457">
      <w:rPr>
        <w:rFonts w:ascii="Palatino Linotype" w:eastAsia="Palatino Linotype" w:hAnsi="Palatino Linotype" w:cs="Palatino Linotype"/>
        <w:b/>
        <w:bCs/>
        <w:color w:val="000000"/>
        <w:sz w:val="22"/>
        <w:szCs w:val="22"/>
      </w:rPr>
      <w:instrText>NUMPAGES</w:instrText>
    </w:r>
    <w:r w:rsidRPr="002B7457">
      <w:rPr>
        <w:rFonts w:ascii="Palatino Linotype" w:eastAsia="Palatino Linotype" w:hAnsi="Palatino Linotype" w:cs="Palatino Linotype"/>
        <w:b/>
        <w:bCs/>
        <w:color w:val="000000"/>
        <w:sz w:val="22"/>
        <w:szCs w:val="22"/>
      </w:rPr>
      <w:fldChar w:fldCharType="separate"/>
    </w:r>
    <w:r w:rsidR="00C94EE7">
      <w:rPr>
        <w:rFonts w:ascii="Palatino Linotype" w:eastAsia="Palatino Linotype" w:hAnsi="Palatino Linotype" w:cs="Palatino Linotype"/>
        <w:b/>
        <w:bCs/>
        <w:noProof/>
        <w:color w:val="000000"/>
        <w:sz w:val="22"/>
        <w:szCs w:val="22"/>
      </w:rPr>
      <w:t>24</w:t>
    </w:r>
    <w:r w:rsidRPr="002B7457">
      <w:rPr>
        <w:rFonts w:ascii="Palatino Linotype" w:eastAsia="Palatino Linotype" w:hAnsi="Palatino Linotype" w:cs="Palatino Linotype"/>
        <w:b/>
        <w:bCs/>
        <w:color w:val="000000"/>
        <w:sz w:val="22"/>
        <w:szCs w:val="22"/>
      </w:rPr>
      <w:fldChar w:fldCharType="end"/>
    </w:r>
  </w:p>
  <w:p w:rsidR="00E82E65" w:rsidRDefault="00E82E6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E65" w:rsidRPr="002B7457" w:rsidRDefault="00A33575">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2B7457">
      <w:rPr>
        <w:rFonts w:ascii="Palatino Linotype" w:eastAsia="Palatino Linotype" w:hAnsi="Palatino Linotype" w:cs="Palatino Linotype"/>
        <w:b/>
        <w:color w:val="000000"/>
        <w:sz w:val="22"/>
        <w:szCs w:val="22"/>
      </w:rPr>
      <w:t xml:space="preserve">Página </w:t>
    </w:r>
    <w:r w:rsidRPr="002B7457">
      <w:rPr>
        <w:rFonts w:ascii="Palatino Linotype" w:eastAsia="Palatino Linotype" w:hAnsi="Palatino Linotype" w:cs="Palatino Linotype"/>
        <w:b/>
        <w:color w:val="000000"/>
        <w:sz w:val="22"/>
        <w:szCs w:val="22"/>
      </w:rPr>
      <w:fldChar w:fldCharType="begin"/>
    </w:r>
    <w:r w:rsidRPr="002B7457">
      <w:rPr>
        <w:rFonts w:ascii="Palatino Linotype" w:eastAsia="Palatino Linotype" w:hAnsi="Palatino Linotype" w:cs="Palatino Linotype"/>
        <w:b/>
        <w:color w:val="000000"/>
        <w:sz w:val="22"/>
        <w:szCs w:val="22"/>
      </w:rPr>
      <w:instrText>PAGE</w:instrText>
    </w:r>
    <w:r w:rsidRPr="002B7457">
      <w:rPr>
        <w:rFonts w:ascii="Palatino Linotype" w:eastAsia="Palatino Linotype" w:hAnsi="Palatino Linotype" w:cs="Palatino Linotype"/>
        <w:b/>
        <w:color w:val="000000"/>
        <w:sz w:val="22"/>
        <w:szCs w:val="22"/>
      </w:rPr>
      <w:fldChar w:fldCharType="separate"/>
    </w:r>
    <w:r w:rsidR="00C94EE7">
      <w:rPr>
        <w:rFonts w:ascii="Palatino Linotype" w:eastAsia="Palatino Linotype" w:hAnsi="Palatino Linotype" w:cs="Palatino Linotype"/>
        <w:b/>
        <w:noProof/>
        <w:color w:val="000000"/>
        <w:sz w:val="22"/>
        <w:szCs w:val="22"/>
      </w:rPr>
      <w:t>1</w:t>
    </w:r>
    <w:r w:rsidRPr="002B7457">
      <w:rPr>
        <w:rFonts w:ascii="Palatino Linotype" w:eastAsia="Palatino Linotype" w:hAnsi="Palatino Linotype" w:cs="Palatino Linotype"/>
        <w:b/>
        <w:color w:val="000000"/>
        <w:sz w:val="22"/>
        <w:szCs w:val="22"/>
      </w:rPr>
      <w:fldChar w:fldCharType="end"/>
    </w:r>
    <w:r w:rsidRPr="002B7457">
      <w:rPr>
        <w:rFonts w:ascii="Palatino Linotype" w:eastAsia="Palatino Linotype" w:hAnsi="Palatino Linotype" w:cs="Palatino Linotype"/>
        <w:b/>
        <w:color w:val="000000"/>
        <w:sz w:val="22"/>
        <w:szCs w:val="22"/>
      </w:rPr>
      <w:t xml:space="preserve"> de </w:t>
    </w:r>
    <w:r w:rsidRPr="002B7457">
      <w:rPr>
        <w:rFonts w:ascii="Palatino Linotype" w:eastAsia="Palatino Linotype" w:hAnsi="Palatino Linotype" w:cs="Palatino Linotype"/>
        <w:b/>
        <w:color w:val="000000"/>
        <w:sz w:val="22"/>
        <w:szCs w:val="22"/>
      </w:rPr>
      <w:fldChar w:fldCharType="begin"/>
    </w:r>
    <w:r w:rsidRPr="002B7457">
      <w:rPr>
        <w:rFonts w:ascii="Palatino Linotype" w:eastAsia="Palatino Linotype" w:hAnsi="Palatino Linotype" w:cs="Palatino Linotype"/>
        <w:b/>
        <w:color w:val="000000"/>
        <w:sz w:val="22"/>
        <w:szCs w:val="22"/>
      </w:rPr>
      <w:instrText>NUMPAGES</w:instrText>
    </w:r>
    <w:r w:rsidRPr="002B7457">
      <w:rPr>
        <w:rFonts w:ascii="Palatino Linotype" w:eastAsia="Palatino Linotype" w:hAnsi="Palatino Linotype" w:cs="Palatino Linotype"/>
        <w:b/>
        <w:color w:val="000000"/>
        <w:sz w:val="22"/>
        <w:szCs w:val="22"/>
      </w:rPr>
      <w:fldChar w:fldCharType="separate"/>
    </w:r>
    <w:r w:rsidR="00C94EE7">
      <w:rPr>
        <w:rFonts w:ascii="Palatino Linotype" w:eastAsia="Palatino Linotype" w:hAnsi="Palatino Linotype" w:cs="Palatino Linotype"/>
        <w:b/>
        <w:noProof/>
        <w:color w:val="000000"/>
        <w:sz w:val="22"/>
        <w:szCs w:val="22"/>
      </w:rPr>
      <w:t>24</w:t>
    </w:r>
    <w:r w:rsidRPr="002B7457">
      <w:rPr>
        <w:rFonts w:ascii="Palatino Linotype" w:eastAsia="Palatino Linotype" w:hAnsi="Palatino Linotype" w:cs="Palatino Linotype"/>
        <w:b/>
        <w:color w:val="000000"/>
        <w:sz w:val="22"/>
        <w:szCs w:val="22"/>
      </w:rPr>
      <w:fldChar w:fldCharType="end"/>
    </w:r>
  </w:p>
  <w:p w:rsidR="00E82E65" w:rsidRDefault="00E82E6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BD8" w:rsidRDefault="004A0BD8">
      <w:r>
        <w:separator/>
      </w:r>
    </w:p>
  </w:footnote>
  <w:footnote w:type="continuationSeparator" w:id="0">
    <w:p w:rsidR="004A0BD8" w:rsidRDefault="004A0BD8">
      <w:r>
        <w:continuationSeparator/>
      </w:r>
    </w:p>
  </w:footnote>
  <w:footnote w:id="1">
    <w:p w:rsidR="00E82E65" w:rsidRDefault="00A335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E82E65" w:rsidRDefault="00A335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E82E65" w:rsidRDefault="00A3357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8"/>
          <w:szCs w:val="18"/>
        </w:rPr>
        <w:t>Corte Interamericana de Derechos Humanos. Caso Claude Reyes y otros vs. Chile. Sentencia de 19 de septiembre de 2006. Serie C. No. 151. Párr. 86.</w:t>
      </w:r>
    </w:p>
  </w:footnote>
  <w:footnote w:id="4">
    <w:p w:rsidR="00E82E65" w:rsidRDefault="00A3357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5">
    <w:p w:rsidR="00E82E65" w:rsidRDefault="00A335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Artículos 232 y 233 Código Financiero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795"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3544"/>
      <w:gridCol w:w="4251"/>
    </w:tblGrid>
    <w:tr w:rsidR="00E82E65" w:rsidTr="002B7457">
      <w:trPr>
        <w:trHeight w:val="138"/>
      </w:trPr>
      <w:tc>
        <w:tcPr>
          <w:tcW w:w="3544" w:type="dxa"/>
          <w:vAlign w:val="center"/>
        </w:tcPr>
        <w:p w:rsidR="00E82E65" w:rsidRDefault="00A33575">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1" w:type="dxa"/>
          <w:vAlign w:val="center"/>
        </w:tcPr>
        <w:p w:rsidR="00E82E65" w:rsidRDefault="00A3357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10533/INFOEM/IP/RR/2025</w:t>
          </w:r>
        </w:p>
      </w:tc>
    </w:tr>
    <w:tr w:rsidR="00E82E65" w:rsidTr="002B7457">
      <w:trPr>
        <w:trHeight w:val="233"/>
      </w:trPr>
      <w:tc>
        <w:tcPr>
          <w:tcW w:w="3544" w:type="dxa"/>
          <w:vAlign w:val="center"/>
        </w:tcPr>
        <w:p w:rsidR="00E82E65" w:rsidRDefault="00A33575">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1" w:type="dxa"/>
          <w:vAlign w:val="center"/>
        </w:tcPr>
        <w:p w:rsidR="00E82E65" w:rsidRDefault="00A3357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3"/>
              <w:szCs w:val="23"/>
            </w:rPr>
            <w:t>Ayuntamiento de San José del Rincón</w:t>
          </w:r>
        </w:p>
      </w:tc>
    </w:tr>
    <w:tr w:rsidR="00E82E65" w:rsidTr="002B7457">
      <w:trPr>
        <w:trHeight w:val="321"/>
      </w:trPr>
      <w:tc>
        <w:tcPr>
          <w:tcW w:w="3544" w:type="dxa"/>
          <w:vAlign w:val="center"/>
        </w:tcPr>
        <w:p w:rsidR="00E82E65" w:rsidRDefault="00A33575">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1" w:type="dxa"/>
          <w:vAlign w:val="center"/>
        </w:tcPr>
        <w:p w:rsidR="00E82E65" w:rsidRDefault="00A33575">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E82E65" w:rsidRDefault="002B7457">
    <w:pPr>
      <w:pBdr>
        <w:top w:val="nil"/>
        <w:left w:val="nil"/>
        <w:bottom w:val="nil"/>
        <w:right w:val="nil"/>
        <w:between w:val="nil"/>
      </w:pBdr>
      <w:tabs>
        <w:tab w:val="center" w:pos="4252"/>
        <w:tab w:val="right" w:pos="8504"/>
        <w:tab w:val="left" w:pos="1606"/>
      </w:tabs>
      <w:rPr>
        <w:rFonts w:ascii="Calibri" w:eastAsia="Calibri" w:hAnsi="Calibri" w:cs="Calibri"/>
        <w:color w:val="000000"/>
      </w:rPr>
    </w:pPr>
    <w:r>
      <w:rPr>
        <w:rFonts w:ascii="Calibri" w:eastAsia="Calibri" w:hAnsi="Calibri" w:cs="Calibri"/>
        <w:noProof/>
        <w:color w:val="000000"/>
        <w:lang w:val="es-MX"/>
      </w:rPr>
      <w:drawing>
        <wp:anchor distT="0" distB="0" distL="0" distR="0" simplePos="0" relativeHeight="251657216" behindDoc="1" locked="0" layoutInCell="1" hidden="0" allowOverlap="1">
          <wp:simplePos x="0" y="0"/>
          <wp:positionH relativeFrom="margin">
            <wp:align>center</wp:align>
          </wp:positionH>
          <wp:positionV relativeFrom="margin">
            <wp:posOffset>-1714763</wp:posOffset>
          </wp:positionV>
          <wp:extent cx="7490460" cy="9753600"/>
          <wp:effectExtent l="0" t="0" r="0" b="0"/>
          <wp:wrapNone/>
          <wp:docPr id="7" name="image1.jpg" descr="resolución infoem imagen"/>
          <wp:cNvGraphicFramePr/>
          <a:graphic xmlns:a="http://schemas.openxmlformats.org/drawingml/2006/main">
            <a:graphicData uri="http://schemas.openxmlformats.org/drawingml/2006/picture">
              <pic:pic xmlns:pic="http://schemas.openxmlformats.org/drawingml/2006/picture">
                <pic:nvPicPr>
                  <pic:cNvPr id="0" name="image1.jpg" descr="resolución infoem imagen"/>
                  <pic:cNvPicPr preferRelativeResize="0"/>
                </pic:nvPicPr>
                <pic:blipFill>
                  <a:blip r:embed="rId1"/>
                  <a:srcRect/>
                  <a:stretch>
                    <a:fillRect/>
                  </a:stretch>
                </pic:blipFill>
                <pic:spPr>
                  <a:xfrm>
                    <a:off x="0" y="0"/>
                    <a:ext cx="7490460" cy="9753600"/>
                  </a:xfrm>
                  <a:prstGeom prst="rect">
                    <a:avLst/>
                  </a:prstGeom>
                  <a:ln/>
                </pic:spPr>
              </pic:pic>
            </a:graphicData>
          </a:graphic>
        </wp:anchor>
      </w:drawing>
    </w:r>
    <w:r w:rsidR="00A33575">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8166"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3630"/>
      <w:gridCol w:w="4536"/>
    </w:tblGrid>
    <w:tr w:rsidR="00E82E65" w:rsidTr="002B7457">
      <w:trPr>
        <w:trHeight w:val="138"/>
      </w:trPr>
      <w:tc>
        <w:tcPr>
          <w:tcW w:w="3630" w:type="dxa"/>
          <w:vAlign w:val="center"/>
        </w:tcPr>
        <w:p w:rsidR="00E82E65" w:rsidRPr="002B7457" w:rsidRDefault="00A33575">
          <w:pPr>
            <w:jc w:val="right"/>
            <w:rPr>
              <w:rFonts w:ascii="Palatino Linotype" w:eastAsia="Palatino Linotype" w:hAnsi="Palatino Linotype" w:cs="Palatino Linotype"/>
              <w:b/>
              <w:bCs/>
              <w:szCs w:val="22"/>
            </w:rPr>
          </w:pPr>
          <w:r w:rsidRPr="002B7457">
            <w:rPr>
              <w:rFonts w:ascii="Palatino Linotype" w:eastAsia="Palatino Linotype" w:hAnsi="Palatino Linotype" w:cs="Palatino Linotype"/>
              <w:b/>
              <w:bCs/>
              <w:szCs w:val="22"/>
            </w:rPr>
            <w:t>RECURSO DE REVISIÓN:</w:t>
          </w:r>
        </w:p>
      </w:tc>
      <w:tc>
        <w:tcPr>
          <w:tcW w:w="4536" w:type="dxa"/>
          <w:vAlign w:val="center"/>
        </w:tcPr>
        <w:p w:rsidR="00E82E65" w:rsidRPr="002B7457" w:rsidRDefault="00A33575" w:rsidP="002B745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Cs w:val="22"/>
            </w:rPr>
          </w:pPr>
          <w:r w:rsidRPr="002B7457">
            <w:rPr>
              <w:rFonts w:ascii="Palatino Linotype" w:eastAsia="Palatino Linotype" w:hAnsi="Palatino Linotype" w:cs="Palatino Linotype"/>
              <w:color w:val="000000"/>
              <w:szCs w:val="22"/>
            </w:rPr>
            <w:t>10533/INFOEM/IP/RR/2025</w:t>
          </w:r>
        </w:p>
      </w:tc>
    </w:tr>
    <w:tr w:rsidR="00E82E65" w:rsidTr="002B7457">
      <w:trPr>
        <w:trHeight w:val="233"/>
      </w:trPr>
      <w:tc>
        <w:tcPr>
          <w:tcW w:w="3630" w:type="dxa"/>
          <w:vAlign w:val="center"/>
        </w:tcPr>
        <w:p w:rsidR="00E82E65" w:rsidRPr="002B7457" w:rsidRDefault="00A33575">
          <w:pPr>
            <w:jc w:val="right"/>
            <w:rPr>
              <w:rFonts w:ascii="Palatino Linotype" w:eastAsia="Palatino Linotype" w:hAnsi="Palatino Linotype" w:cs="Palatino Linotype"/>
              <w:b/>
              <w:bCs/>
              <w:szCs w:val="22"/>
            </w:rPr>
          </w:pPr>
          <w:r w:rsidRPr="002B7457">
            <w:rPr>
              <w:rFonts w:ascii="Palatino Linotype" w:eastAsia="Palatino Linotype" w:hAnsi="Palatino Linotype" w:cs="Palatino Linotype"/>
              <w:b/>
              <w:bCs/>
              <w:szCs w:val="22"/>
            </w:rPr>
            <w:t>RECURRENTE:</w:t>
          </w:r>
        </w:p>
      </w:tc>
      <w:tc>
        <w:tcPr>
          <w:tcW w:w="4536" w:type="dxa"/>
        </w:tcPr>
        <w:p w:rsidR="00E82E65" w:rsidRPr="002B7457" w:rsidRDefault="00C94EE7" w:rsidP="002B7457">
          <w:pPr>
            <w:pBdr>
              <w:top w:val="nil"/>
              <w:left w:val="nil"/>
              <w:bottom w:val="nil"/>
              <w:right w:val="nil"/>
              <w:between w:val="nil"/>
            </w:pBdr>
            <w:tabs>
              <w:tab w:val="center" w:pos="4252"/>
              <w:tab w:val="right" w:pos="8504"/>
            </w:tabs>
            <w:ind w:right="234"/>
            <w:rPr>
              <w:rFonts w:ascii="Palatino Linotype" w:eastAsia="Palatino Linotype" w:hAnsi="Palatino Linotype" w:cs="Palatino Linotype"/>
              <w:color w:val="000000"/>
              <w:szCs w:val="22"/>
            </w:rPr>
          </w:pPr>
          <w:r>
            <w:rPr>
              <w:rFonts w:ascii="Palatino Linotype" w:eastAsia="Palatino Linotype" w:hAnsi="Palatino Linotype" w:cs="Palatino Linotype"/>
              <w:color w:val="000000"/>
              <w:szCs w:val="22"/>
            </w:rPr>
            <w:t>XXXX</w:t>
          </w:r>
        </w:p>
      </w:tc>
    </w:tr>
    <w:tr w:rsidR="00E82E65" w:rsidTr="002B7457">
      <w:trPr>
        <w:trHeight w:val="321"/>
      </w:trPr>
      <w:tc>
        <w:tcPr>
          <w:tcW w:w="3630" w:type="dxa"/>
          <w:vAlign w:val="center"/>
        </w:tcPr>
        <w:p w:rsidR="00E82E65" w:rsidRPr="002B7457" w:rsidRDefault="00A33575">
          <w:pPr>
            <w:jc w:val="right"/>
            <w:rPr>
              <w:rFonts w:ascii="Palatino Linotype" w:eastAsia="Palatino Linotype" w:hAnsi="Palatino Linotype" w:cs="Palatino Linotype"/>
              <w:b/>
              <w:bCs/>
              <w:szCs w:val="22"/>
            </w:rPr>
          </w:pPr>
          <w:r w:rsidRPr="002B7457">
            <w:rPr>
              <w:rFonts w:ascii="Palatino Linotype" w:eastAsia="Palatino Linotype" w:hAnsi="Palatino Linotype" w:cs="Palatino Linotype"/>
              <w:b/>
              <w:bCs/>
              <w:szCs w:val="22"/>
            </w:rPr>
            <w:t>SUJETO OBLIGADO:</w:t>
          </w:r>
        </w:p>
      </w:tc>
      <w:tc>
        <w:tcPr>
          <w:tcW w:w="4536" w:type="dxa"/>
          <w:vAlign w:val="center"/>
        </w:tcPr>
        <w:p w:rsidR="00E82E65" w:rsidRPr="002B7457" w:rsidRDefault="00A33575" w:rsidP="002B7457">
          <w:pPr>
            <w:pBdr>
              <w:top w:val="nil"/>
              <w:left w:val="nil"/>
              <w:bottom w:val="nil"/>
              <w:right w:val="nil"/>
              <w:between w:val="nil"/>
            </w:pBdr>
            <w:tabs>
              <w:tab w:val="right" w:pos="8504"/>
            </w:tabs>
            <w:rPr>
              <w:rFonts w:ascii="Palatino Linotype" w:eastAsia="Palatino Linotype" w:hAnsi="Palatino Linotype" w:cs="Palatino Linotype"/>
              <w:color w:val="000000"/>
              <w:szCs w:val="22"/>
            </w:rPr>
          </w:pPr>
          <w:r w:rsidRPr="002B7457">
            <w:rPr>
              <w:rFonts w:ascii="Palatino Linotype" w:eastAsia="Palatino Linotype" w:hAnsi="Palatino Linotype" w:cs="Palatino Linotype"/>
              <w:color w:val="000000"/>
              <w:szCs w:val="22"/>
            </w:rPr>
            <w:t>Ayuntamiento de San José del Rincón</w:t>
          </w:r>
        </w:p>
      </w:tc>
    </w:tr>
    <w:tr w:rsidR="00E82E65" w:rsidTr="002B7457">
      <w:trPr>
        <w:trHeight w:val="321"/>
      </w:trPr>
      <w:tc>
        <w:tcPr>
          <w:tcW w:w="3630" w:type="dxa"/>
          <w:vAlign w:val="center"/>
        </w:tcPr>
        <w:p w:rsidR="00E82E65" w:rsidRPr="002B7457" w:rsidRDefault="00A33575">
          <w:pPr>
            <w:jc w:val="right"/>
            <w:rPr>
              <w:rFonts w:ascii="Palatino Linotype" w:eastAsia="Palatino Linotype" w:hAnsi="Palatino Linotype" w:cs="Palatino Linotype"/>
              <w:b/>
              <w:bCs/>
              <w:szCs w:val="22"/>
            </w:rPr>
          </w:pPr>
          <w:r w:rsidRPr="002B7457">
            <w:rPr>
              <w:rFonts w:ascii="Palatino Linotype" w:eastAsia="Palatino Linotype" w:hAnsi="Palatino Linotype" w:cs="Palatino Linotype"/>
              <w:b/>
              <w:bCs/>
              <w:szCs w:val="22"/>
            </w:rPr>
            <w:t>COMISIONADA PONENTE:</w:t>
          </w:r>
        </w:p>
      </w:tc>
      <w:tc>
        <w:tcPr>
          <w:tcW w:w="4536" w:type="dxa"/>
          <w:vAlign w:val="center"/>
        </w:tcPr>
        <w:p w:rsidR="00E82E65" w:rsidRPr="002B7457" w:rsidRDefault="00A33575" w:rsidP="002B745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Cs w:val="22"/>
            </w:rPr>
          </w:pPr>
          <w:r w:rsidRPr="002B7457">
            <w:rPr>
              <w:rFonts w:ascii="Palatino Linotype" w:eastAsia="Palatino Linotype" w:hAnsi="Palatino Linotype" w:cs="Palatino Linotype"/>
              <w:color w:val="000000"/>
              <w:szCs w:val="22"/>
            </w:rPr>
            <w:t>María del Rosario Mejía Ayala</w:t>
          </w:r>
        </w:p>
      </w:tc>
    </w:tr>
  </w:tbl>
  <w:p w:rsidR="00E82E65" w:rsidRDefault="004A0BD8">
    <w:pPr>
      <w:pBdr>
        <w:top w:val="nil"/>
        <w:left w:val="nil"/>
        <w:bottom w:val="nil"/>
        <w:right w:val="nil"/>
        <w:between w:val="nil"/>
      </w:pBdr>
      <w:tabs>
        <w:tab w:val="center" w:pos="4252"/>
        <w:tab w:val="right" w:pos="8504"/>
        <w:tab w:val="left" w:pos="3103"/>
      </w:tabs>
      <w:rPr>
        <w:rFonts w:ascii="Calibri" w:eastAsia="Calibri" w:hAnsi="Calibri" w:cs="Calibri"/>
        <w:color w:val="000000"/>
      </w:rPr>
    </w:pPr>
    <w:r>
      <w:rPr>
        <w:rFonts w:ascii="Calibri" w:eastAsia="Calibri" w:hAnsi="Calibri" w:cs="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infoem imagen" style="position:absolute;margin-left:-80.15pt;margin-top:-135.1pt;width:589.8pt;height:768pt;z-index:-251658240;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1A3"/>
    <w:multiLevelType w:val="multilevel"/>
    <w:tmpl w:val="14B23FEC"/>
    <w:lvl w:ilvl="0">
      <w:start w:val="10"/>
      <w:numFmt w:val="decimal"/>
      <w:lvlText w:val="%1."/>
      <w:lvlJc w:val="left"/>
      <w:pPr>
        <w:ind w:left="249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4584"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abstractNum w:abstractNumId="1" w15:restartNumberingAfterBreak="0">
    <w:nsid w:val="06593C19"/>
    <w:multiLevelType w:val="multilevel"/>
    <w:tmpl w:val="835CC328"/>
    <w:lvl w:ilvl="0">
      <w:start w:val="61"/>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32437"/>
    <w:multiLevelType w:val="multilevel"/>
    <w:tmpl w:val="D0583B02"/>
    <w:lvl w:ilvl="0">
      <w:start w:val="61"/>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26"/>
      <w:numFmt w:val="decimal"/>
      <w:lvlText w:val="%4."/>
      <w:lvlJc w:val="left"/>
      <w:pPr>
        <w:ind w:left="1211" w:hanging="360"/>
      </w:pPr>
      <w:rPr>
        <w:b/>
        <w:bCs/>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52445F"/>
    <w:multiLevelType w:val="multilevel"/>
    <w:tmpl w:val="6E7C152C"/>
    <w:lvl w:ilvl="0">
      <w:start w:val="27"/>
      <w:numFmt w:val="decimal"/>
      <w:lvlText w:val="%1."/>
      <w:lvlJc w:val="left"/>
      <w:pPr>
        <w:ind w:left="249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8D0A76"/>
    <w:multiLevelType w:val="multilevel"/>
    <w:tmpl w:val="E41A6812"/>
    <w:lvl w:ilvl="0">
      <w:start w:val="6"/>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A573B8"/>
    <w:multiLevelType w:val="multilevel"/>
    <w:tmpl w:val="64FC9260"/>
    <w:lvl w:ilvl="0">
      <w:start w:val="27"/>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760F4B"/>
    <w:multiLevelType w:val="multilevel"/>
    <w:tmpl w:val="CF1C12D8"/>
    <w:lvl w:ilvl="0">
      <w:start w:val="61"/>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0706BC"/>
    <w:multiLevelType w:val="multilevel"/>
    <w:tmpl w:val="F4A26B4E"/>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EB610D"/>
    <w:multiLevelType w:val="multilevel"/>
    <w:tmpl w:val="0E08B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410060"/>
    <w:multiLevelType w:val="multilevel"/>
    <w:tmpl w:val="0218C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595D36"/>
    <w:multiLevelType w:val="multilevel"/>
    <w:tmpl w:val="434C1AB0"/>
    <w:lvl w:ilvl="0">
      <w:start w:val="1"/>
      <w:numFmt w:val="upperRoman"/>
      <w:lvlText w:val="%1."/>
      <w:lvlJc w:val="left"/>
      <w:pPr>
        <w:ind w:left="1287" w:hanging="72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64D17B89"/>
    <w:multiLevelType w:val="multilevel"/>
    <w:tmpl w:val="1C960C42"/>
    <w:lvl w:ilvl="0">
      <w:start w:val="1"/>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C87E8A"/>
    <w:multiLevelType w:val="multilevel"/>
    <w:tmpl w:val="7BB423BA"/>
    <w:lvl w:ilvl="0">
      <w:start w:val="45"/>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7D0690C"/>
    <w:multiLevelType w:val="multilevel"/>
    <w:tmpl w:val="84C4DC88"/>
    <w:lvl w:ilvl="0">
      <w:start w:val="28"/>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C8354D"/>
    <w:multiLevelType w:val="multilevel"/>
    <w:tmpl w:val="01660DA0"/>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73B40986"/>
    <w:multiLevelType w:val="multilevel"/>
    <w:tmpl w:val="149AD6F8"/>
    <w:lvl w:ilvl="0">
      <w:start w:val="44"/>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704987"/>
    <w:multiLevelType w:val="multilevel"/>
    <w:tmpl w:val="0CCA276C"/>
    <w:lvl w:ilvl="0">
      <w:start w:val="61"/>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Roman"/>
      <w:lvlText w:val="%4."/>
      <w:lvlJc w:val="left"/>
      <w:pPr>
        <w:ind w:left="1211"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4"/>
  </w:num>
  <w:num w:numId="4">
    <w:abstractNumId w:val="15"/>
  </w:num>
  <w:num w:numId="5">
    <w:abstractNumId w:val="6"/>
  </w:num>
  <w:num w:numId="6">
    <w:abstractNumId w:val="5"/>
  </w:num>
  <w:num w:numId="7">
    <w:abstractNumId w:val="0"/>
  </w:num>
  <w:num w:numId="8">
    <w:abstractNumId w:val="12"/>
  </w:num>
  <w:num w:numId="9">
    <w:abstractNumId w:val="2"/>
  </w:num>
  <w:num w:numId="10">
    <w:abstractNumId w:val="13"/>
  </w:num>
  <w:num w:numId="11">
    <w:abstractNumId w:val="1"/>
  </w:num>
  <w:num w:numId="12">
    <w:abstractNumId w:val="8"/>
  </w:num>
  <w:num w:numId="13">
    <w:abstractNumId w:val="14"/>
  </w:num>
  <w:num w:numId="14">
    <w:abstractNumId w:val="16"/>
  </w:num>
  <w:num w:numId="15">
    <w:abstractNumId w:val="10"/>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65"/>
    <w:rsid w:val="001A4DB9"/>
    <w:rsid w:val="002B7457"/>
    <w:rsid w:val="00354FEE"/>
    <w:rsid w:val="004A0BD8"/>
    <w:rsid w:val="00A33575"/>
    <w:rsid w:val="00C94EE7"/>
    <w:rsid w:val="00E82E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1BD08BB-15BD-4384-9AD2-2D056B39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40"/>
      <w:outlineLvl w:val="3"/>
    </w:pPr>
    <w:rPr>
      <w:rFonts w:ascii="Calibri" w:eastAsia="Calibri" w:hAnsi="Calibri" w:cs="Calibri"/>
      <w:i/>
      <w:iCs/>
      <w:color w:val="2E75B5"/>
    </w:rPr>
  </w:style>
  <w:style w:type="paragraph" w:styleId="Ttulo5">
    <w:name w:val="heading 5"/>
    <w:basedOn w:val="Normal"/>
    <w:next w:val="Normal"/>
    <w:pPr>
      <w:keepNext/>
      <w:keepLines/>
      <w:spacing w:before="40"/>
      <w:outlineLvl w:val="4"/>
    </w:pPr>
    <w:rPr>
      <w:rFonts w:ascii="Calibri" w:eastAsia="Calibri" w:hAnsi="Calibri" w:cs="Calibri"/>
      <w:color w:val="2E75B5"/>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735BA3"/>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uiPriority w:val="9"/>
    <w:rsid w:val="00735BA3"/>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uiPriority w:val="9"/>
    <w:rsid w:val="00735BA3"/>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uiPriority w:val="9"/>
    <w:rsid w:val="00735BA3"/>
    <w:rPr>
      <w:rFonts w:asciiTheme="majorHAnsi" w:eastAsiaTheme="majorEastAsia" w:hAnsiTheme="majorHAnsi" w:cstheme="majorBidi"/>
      <w:color w:val="2E74B5" w:themeColor="accent1" w:themeShade="BF"/>
      <w:sz w:val="24"/>
      <w:szCs w:val="24"/>
      <w:lang w:eastAsia="es-MX"/>
    </w:rPr>
  </w:style>
  <w:style w:type="paragraph" w:styleId="Encabezado">
    <w:name w:val="header"/>
    <w:basedOn w:val="Normal"/>
    <w:link w:val="Encabezado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735BA3"/>
    <w:rPr>
      <w:rFonts w:eastAsiaTheme="minorEastAsia"/>
      <w:sz w:val="24"/>
      <w:szCs w:val="24"/>
      <w:lang w:val="es-ES_tradnl" w:eastAsia="es-ES"/>
    </w:rPr>
  </w:style>
  <w:style w:type="paragraph" w:styleId="Piedepgina">
    <w:name w:val="footer"/>
    <w:basedOn w:val="Normal"/>
    <w:link w:val="Piedepgina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735BA3"/>
    <w:rPr>
      <w:rFonts w:eastAsiaTheme="minorEastAsia"/>
      <w:sz w:val="24"/>
      <w:szCs w:val="24"/>
      <w:lang w:val="es-ES_tradnl" w:eastAsia="es-ES"/>
    </w:rPr>
  </w:style>
  <w:style w:type="table" w:styleId="Tablaconcuadrcula">
    <w:name w:val="Table Grid"/>
    <w:basedOn w:val="Tablanormal"/>
    <w:uiPriority w:val="39"/>
    <w:rsid w:val="00735BA3"/>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5BA3"/>
    <w:pPr>
      <w:ind w:left="720"/>
      <w:contextualSpacing/>
    </w:pPr>
    <w:rPr>
      <w:rFonts w:asciiTheme="minorHAnsi" w:eastAsiaTheme="minorEastAsia" w:hAnsiTheme="minorHAnsi" w:cstheme="minorBidi"/>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5BA3"/>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735BA3"/>
    <w:rPr>
      <w:color w:val="0563C1" w:themeColor="hyperlink"/>
      <w:u w:val="single"/>
    </w:rPr>
  </w:style>
  <w:style w:type="paragraph" w:styleId="Textoindependiente">
    <w:name w:val="Body Text"/>
    <w:basedOn w:val="Normal"/>
    <w:link w:val="TextoindependienteCar"/>
    <w:rsid w:val="00735BA3"/>
    <w:pPr>
      <w:jc w:val="both"/>
    </w:pPr>
    <w:rPr>
      <w:rFonts w:ascii="Arial" w:hAnsi="Arial"/>
      <w:szCs w:val="20"/>
      <w:lang w:eastAsia="es-ES"/>
    </w:rPr>
  </w:style>
  <w:style w:type="character" w:customStyle="1" w:styleId="TextoindependienteCar">
    <w:name w:val="Texto independiente Car"/>
    <w:basedOn w:val="Fuentedeprrafopredeter"/>
    <w:link w:val="Textoindependiente"/>
    <w:rsid w:val="00735BA3"/>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5BA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35BA3"/>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35BA3"/>
    <w:rPr>
      <w:vertAlign w:val="superscript"/>
    </w:rPr>
  </w:style>
  <w:style w:type="paragraph" w:styleId="Lista2">
    <w:name w:val="List 2"/>
    <w:basedOn w:val="Normal"/>
    <w:uiPriority w:val="99"/>
    <w:unhideWhenUsed/>
    <w:rsid w:val="00735BA3"/>
    <w:pPr>
      <w:ind w:left="566" w:hanging="283"/>
      <w:contextualSpacing/>
    </w:pPr>
    <w:rPr>
      <w:rFonts w:asciiTheme="minorHAnsi" w:eastAsiaTheme="minorEastAsia" w:hAnsiTheme="minorHAnsi" w:cstheme="minorBidi"/>
      <w:lang w:eastAsia="es-ES"/>
    </w:rPr>
  </w:style>
  <w:style w:type="paragraph" w:styleId="Sangradetextonormal">
    <w:name w:val="Body Text Indent"/>
    <w:basedOn w:val="Normal"/>
    <w:link w:val="SangradetextonormalCar"/>
    <w:uiPriority w:val="99"/>
    <w:unhideWhenUsed/>
    <w:rsid w:val="00735BA3"/>
    <w:pPr>
      <w:spacing w:after="120"/>
      <w:ind w:left="283"/>
    </w:pPr>
    <w:rPr>
      <w:rFonts w:asciiTheme="minorHAnsi" w:eastAsiaTheme="minorEastAsia" w:hAnsiTheme="minorHAnsi" w:cstheme="minorBidi"/>
      <w:lang w:eastAsia="es-ES"/>
    </w:rPr>
  </w:style>
  <w:style w:type="character" w:customStyle="1" w:styleId="SangradetextonormalCar">
    <w:name w:val="Sangría de texto normal Car"/>
    <w:basedOn w:val="Fuentedeprrafopredeter"/>
    <w:link w:val="Sangradetextonormal"/>
    <w:uiPriority w:val="99"/>
    <w:rsid w:val="00735BA3"/>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35BA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5BA3"/>
    <w:rPr>
      <w:rFonts w:eastAsiaTheme="minorEastAsia"/>
      <w:sz w:val="24"/>
      <w:szCs w:val="24"/>
      <w:lang w:val="es-ES_tradnl" w:eastAsia="es-ES"/>
    </w:rPr>
  </w:style>
  <w:style w:type="paragraph" w:customStyle="1" w:styleId="Default">
    <w:name w:val="Default"/>
    <w:qFormat/>
    <w:rsid w:val="00ED1C8E"/>
    <w:pPr>
      <w:autoSpaceDE w:val="0"/>
      <w:autoSpaceDN w:val="0"/>
      <w:adjustRightInd w:val="0"/>
    </w:pPr>
    <w:rPr>
      <w:rFonts w:ascii="Arial" w:hAnsi="Arial" w:cs="Arial"/>
      <w:color w:val="000000"/>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character" w:customStyle="1" w:styleId="A2">
    <w:name w:val="A2"/>
    <w:uiPriority w:val="99"/>
    <w:rsid w:val="00AA23CE"/>
    <w:rPr>
      <w:rFonts w:cs="Modica Black"/>
      <w:color w:val="000000"/>
      <w:sz w:val="20"/>
      <w:szCs w:val="20"/>
    </w:rPr>
  </w:style>
  <w:style w:type="paragraph" w:customStyle="1" w:styleId="Pa2">
    <w:name w:val="Pa2"/>
    <w:basedOn w:val="Default"/>
    <w:next w:val="Default"/>
    <w:uiPriority w:val="99"/>
    <w:rsid w:val="00AA23CE"/>
    <w:pPr>
      <w:spacing w:line="221" w:lineRule="atLeast"/>
    </w:pPr>
    <w:rPr>
      <w:rFonts w:ascii="Modica Black" w:hAnsi="Modica Black" w:cs="Times New Roman"/>
      <w:color w:val="auto"/>
      <w:lang w:val="es-MX"/>
    </w:rPr>
  </w:style>
  <w:style w:type="paragraph" w:customStyle="1" w:styleId="Pa5">
    <w:name w:val="Pa5"/>
    <w:basedOn w:val="Default"/>
    <w:next w:val="Default"/>
    <w:uiPriority w:val="99"/>
    <w:rsid w:val="00AA23CE"/>
    <w:pPr>
      <w:spacing w:line="221" w:lineRule="atLeast"/>
    </w:pPr>
    <w:rPr>
      <w:rFonts w:ascii="Modica Black" w:hAnsi="Modica Black" w:cs="Times New Roman"/>
      <w:color w:val="auto"/>
      <w:lang w:val="es-MX"/>
    </w:rPr>
  </w:style>
  <w:style w:type="character" w:customStyle="1" w:styleId="PuestoCar">
    <w:name w:val="Puesto Car"/>
    <w:aliases w:val="Cita textual Car"/>
    <w:basedOn w:val="Fuentedeprrafopredeter"/>
    <w:uiPriority w:val="10"/>
    <w:rsid w:val="009D1FF3"/>
    <w:rPr>
      <w:b/>
      <w:sz w:val="72"/>
      <w:szCs w:val="72"/>
    </w:rPr>
  </w:style>
  <w:style w:type="character" w:styleId="Hipervnculovisitado">
    <w:name w:val="FollowedHyperlink"/>
    <w:basedOn w:val="Fuentedeprrafopredeter"/>
    <w:uiPriority w:val="99"/>
    <w:semiHidden/>
    <w:unhideWhenUsed/>
    <w:rsid w:val="00E2693E"/>
    <w:rPr>
      <w:color w:val="954F72" w:themeColor="followedHyperlink"/>
      <w:u w:val="single"/>
    </w:rPr>
  </w:style>
  <w:style w:type="character" w:customStyle="1" w:styleId="UnresolvedMention">
    <w:name w:val="Unresolved Mention"/>
    <w:basedOn w:val="Fuentedeprrafopredeter"/>
    <w:uiPriority w:val="99"/>
    <w:semiHidden/>
    <w:unhideWhenUsed/>
    <w:rsid w:val="00AE73D6"/>
    <w:rPr>
      <w:color w:val="605E5C"/>
      <w:shd w:val="clear" w:color="auto" w:fill="E1DFDD"/>
    </w:rPr>
  </w:style>
  <w:style w:type="table" w:styleId="Tabladecuadrcula1clara-nfasis1">
    <w:name w:val="Grid Table 1 Light Accent 1"/>
    <w:basedOn w:val="Tablanormal"/>
    <w:uiPriority w:val="46"/>
    <w:rsid w:val="00713E9D"/>
    <w:rPr>
      <w:sz w:val="20"/>
      <w:szCs w:val="20"/>
      <w:lang w:val="es-MX"/>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rPr>
      <w:sz w:val="20"/>
      <w:szCs w:val="20"/>
    </w:rPr>
    <w:tblPr>
      <w:tblStyleRowBandSize w:val="1"/>
      <w:tblStyleColBandSize w:val="1"/>
      <w:tblCellMar>
        <w:left w:w="108" w:type="dxa"/>
        <w:right w:w="108" w:type="dxa"/>
      </w:tblCellMar>
    </w:tblPr>
    <w:tblStylePr w:type="firstRow">
      <w:rPr>
        <w:b/>
        <w:bCs/>
      </w:rPr>
      <w:tblPr/>
      <w:tcPr>
        <w:tcBorders>
          <w:bottom w:val="single" w:sz="12" w:space="0" w:color="9CC3E5"/>
        </w:tcBorders>
      </w:tcPr>
    </w:tblStylePr>
    <w:tblStylePr w:type="lastRow">
      <w:rPr>
        <w:b/>
        <w:bCs/>
      </w:rPr>
      <w:tblPr/>
      <w:tcPr>
        <w:tcBorders>
          <w:top w:val="single" w:sz="4" w:space="0" w:color="9CC3E5"/>
        </w:tcBorders>
      </w:tcPr>
    </w:tblStylePr>
    <w:tblStylePr w:type="firstCol">
      <w:rPr>
        <w:b/>
        <w:bCs/>
      </w:rPr>
    </w:tblStylePr>
    <w:tblStylePr w:type="lastCol">
      <w:rPr>
        <w:b/>
        <w:bCs/>
      </w:rPr>
    </w:tblStyle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tZ8nZ2DugkbDrNZjXhkQ7nFyw==">CgMxLjAyCGguZ2pkZ3hzMgloLjMwajB6bGwyDWguN2ZlMzk0bDFveHoyCWguMWZvYjl0ZTIJaC4zem55c2g3MgloLjJldDkycDAyCGgudHlqY3d0MgloLjNkeTZ2a20yCWguMXQzaDVzZjIJaC40ZDM0b2c4Mg5oLjZwNGRmaDlnbWg3NTIJaC4zcmRjcmpuOAByITEtUDVZZ0RNUmphYUx2WEtObXRmdG1mQnNISV9iT1NCQQ==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5053</Words>
  <Characters>27795</Characters>
  <Application>Microsoft Office Word</Application>
  <DocSecurity>0</DocSecurity>
  <Lines>231</Lines>
  <Paragraphs>65</Paragraphs>
  <ScaleCrop>false</ScaleCrop>
  <Company>HP Inc.</Company>
  <LinksUpToDate>false</LinksUpToDate>
  <CharactersWithSpaces>32783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4</cp:revision>
  <dcterms:created xsi:type="dcterms:W3CDTF">2026-01-13T00:42:00Z</dcterms:created>
  <dcterms:modified xsi:type="dcterms:W3CDTF">2026-02-06T18:54:00Z</dcterms:modified>
</cp:coreProperties>
</file>