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15E" w:rsidRDefault="00E1615E">
      <w:pPr>
        <w:widowControl w:val="0"/>
        <w:pBdr>
          <w:top w:val="nil"/>
          <w:left w:val="nil"/>
          <w:bottom w:val="nil"/>
          <w:right w:val="nil"/>
          <w:between w:val="nil"/>
        </w:pBdr>
        <w:spacing w:after="0" w:line="276" w:lineRule="auto"/>
        <w:jc w:val="left"/>
      </w:pPr>
    </w:p>
    <w:p w:rsidR="00E1615E" w:rsidRDefault="00E1615E">
      <w:pPr>
        <w:widowControl w:val="0"/>
        <w:pBdr>
          <w:top w:val="nil"/>
          <w:left w:val="nil"/>
          <w:bottom w:val="nil"/>
          <w:right w:val="nil"/>
          <w:between w:val="nil"/>
        </w:pBdr>
        <w:spacing w:after="0" w:line="276" w:lineRule="auto"/>
        <w:jc w:val="left"/>
      </w:pPr>
    </w:p>
    <w:p w:rsidR="00E1615E" w:rsidRDefault="00E1615E">
      <w:pPr>
        <w:widowControl w:val="0"/>
        <w:pBdr>
          <w:top w:val="nil"/>
          <w:left w:val="nil"/>
          <w:bottom w:val="nil"/>
          <w:right w:val="nil"/>
          <w:between w:val="nil"/>
        </w:pBdr>
        <w:spacing w:after="0" w:line="360" w:lineRule="auto"/>
        <w:jc w:val="left"/>
      </w:pPr>
    </w:p>
    <w:p w:rsidR="00E1615E" w:rsidRDefault="00FB0354">
      <w:pPr>
        <w:tabs>
          <w:tab w:val="left" w:pos="8931"/>
        </w:tabs>
        <w:spacing w:after="0" w:line="360" w:lineRule="auto"/>
      </w:pPr>
      <w:r>
        <w:t xml:space="preserve"> </w:t>
      </w:r>
    </w:p>
    <w:p w:rsidR="00E1615E" w:rsidRDefault="00FB0354">
      <w:pPr>
        <w:keepNext/>
        <w:keepLines/>
        <w:pBdr>
          <w:top w:val="nil"/>
          <w:left w:val="nil"/>
          <w:bottom w:val="nil"/>
          <w:right w:val="nil"/>
          <w:between w:val="nil"/>
        </w:pBdr>
        <w:spacing w:after="0" w:line="360" w:lineRule="auto"/>
        <w:jc w:val="center"/>
        <w:rPr>
          <w:color w:val="000000"/>
        </w:rPr>
      </w:pPr>
      <w:r>
        <w:rPr>
          <w:color w:val="000000"/>
        </w:rPr>
        <w:t>RESOLUCIÓN DEL RECURSO DE REVISIÓN 11691/INFOEM/IP/RR/2025</w:t>
      </w:r>
    </w:p>
    <w:p w:rsidR="00E1615E" w:rsidRDefault="00E1615E">
      <w:pPr>
        <w:spacing w:after="0" w:line="360" w:lineRule="auto"/>
      </w:pPr>
      <w:bookmarkStart w:id="0" w:name="_heading=h.8xban5zg304o" w:colFirst="0" w:colLast="0"/>
      <w:bookmarkEnd w:id="0"/>
    </w:p>
    <w:sdt>
      <w:sdtPr>
        <w:rPr>
          <w:rFonts w:ascii="Palatino Linotype" w:eastAsia="Palatino Linotype" w:hAnsi="Palatino Linotype" w:cs="Palatino Linotype"/>
          <w:color w:val="auto"/>
          <w:sz w:val="22"/>
          <w:szCs w:val="22"/>
          <w:lang w:val="es-ES"/>
        </w:rPr>
        <w:id w:val="269902349"/>
        <w:docPartObj>
          <w:docPartGallery w:val="Table of Contents"/>
          <w:docPartUnique/>
        </w:docPartObj>
      </w:sdtPr>
      <w:sdtEndPr>
        <w:rPr>
          <w:b/>
          <w:bCs/>
        </w:rPr>
      </w:sdtEndPr>
      <w:sdtContent>
        <w:p w:rsidR="00705379" w:rsidRDefault="00705379">
          <w:pPr>
            <w:pStyle w:val="TtulodeTDC"/>
          </w:pPr>
        </w:p>
        <w:p w:rsidR="00AD79BC" w:rsidRDefault="00705379">
          <w:pPr>
            <w:pStyle w:val="TDC1"/>
            <w:tabs>
              <w:tab w:val="right" w:leader="dot" w:pos="8921"/>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21204366" w:history="1">
            <w:r w:rsidR="00AD79BC" w:rsidRPr="00340D75">
              <w:rPr>
                <w:rStyle w:val="Hipervnculo"/>
                <w:noProof/>
              </w:rPr>
              <w:t>A N T E C E D E N T E S</w:t>
            </w:r>
            <w:r w:rsidR="00AD79BC">
              <w:rPr>
                <w:noProof/>
                <w:webHidden/>
              </w:rPr>
              <w:tab/>
            </w:r>
            <w:r w:rsidR="00AD79BC">
              <w:rPr>
                <w:noProof/>
                <w:webHidden/>
              </w:rPr>
              <w:fldChar w:fldCharType="begin"/>
            </w:r>
            <w:r w:rsidR="00AD79BC">
              <w:rPr>
                <w:noProof/>
                <w:webHidden/>
              </w:rPr>
              <w:instrText xml:space="preserve"> PAGEREF _Toc221204366 \h </w:instrText>
            </w:r>
            <w:r w:rsidR="00AD79BC">
              <w:rPr>
                <w:noProof/>
                <w:webHidden/>
              </w:rPr>
            </w:r>
            <w:r w:rsidR="00AD79BC">
              <w:rPr>
                <w:noProof/>
                <w:webHidden/>
              </w:rPr>
              <w:fldChar w:fldCharType="separate"/>
            </w:r>
            <w:r w:rsidR="002C4979">
              <w:rPr>
                <w:noProof/>
                <w:webHidden/>
              </w:rPr>
              <w:t>2</w:t>
            </w:r>
            <w:r w:rsidR="00AD79BC">
              <w:rPr>
                <w:noProof/>
                <w:webHidden/>
              </w:rPr>
              <w:fldChar w:fldCharType="end"/>
            </w:r>
          </w:hyperlink>
        </w:p>
        <w:p w:rsidR="00AD79BC" w:rsidRDefault="00174501">
          <w:pPr>
            <w:pStyle w:val="TDC2"/>
            <w:rPr>
              <w:rFonts w:asciiTheme="minorHAnsi" w:eastAsiaTheme="minorEastAsia" w:hAnsiTheme="minorHAnsi" w:cstheme="minorBidi"/>
              <w:noProof/>
            </w:rPr>
          </w:pPr>
          <w:hyperlink w:anchor="_Toc221204367" w:history="1">
            <w:r w:rsidR="00AD79BC" w:rsidRPr="00340D75">
              <w:rPr>
                <w:rStyle w:val="Hipervnculo"/>
                <w:noProof/>
              </w:rPr>
              <w:t>I. Presentación de la solicitud de información</w:t>
            </w:r>
            <w:r w:rsidR="00AD79BC">
              <w:rPr>
                <w:noProof/>
                <w:webHidden/>
              </w:rPr>
              <w:tab/>
            </w:r>
            <w:r w:rsidR="00AD79BC">
              <w:rPr>
                <w:noProof/>
                <w:webHidden/>
              </w:rPr>
              <w:fldChar w:fldCharType="begin"/>
            </w:r>
            <w:r w:rsidR="00AD79BC">
              <w:rPr>
                <w:noProof/>
                <w:webHidden/>
              </w:rPr>
              <w:instrText xml:space="preserve"> PAGEREF _Toc221204367 \h </w:instrText>
            </w:r>
            <w:r w:rsidR="00AD79BC">
              <w:rPr>
                <w:noProof/>
                <w:webHidden/>
              </w:rPr>
            </w:r>
            <w:r w:rsidR="00AD79BC">
              <w:rPr>
                <w:noProof/>
                <w:webHidden/>
              </w:rPr>
              <w:fldChar w:fldCharType="separate"/>
            </w:r>
            <w:r w:rsidR="002C4979">
              <w:rPr>
                <w:noProof/>
                <w:webHidden/>
              </w:rPr>
              <w:t>2</w:t>
            </w:r>
            <w:r w:rsidR="00AD79BC">
              <w:rPr>
                <w:noProof/>
                <w:webHidden/>
              </w:rPr>
              <w:fldChar w:fldCharType="end"/>
            </w:r>
          </w:hyperlink>
        </w:p>
        <w:p w:rsidR="00AD79BC" w:rsidRDefault="00174501">
          <w:pPr>
            <w:pStyle w:val="TDC2"/>
            <w:rPr>
              <w:rFonts w:asciiTheme="minorHAnsi" w:eastAsiaTheme="minorEastAsia" w:hAnsiTheme="minorHAnsi" w:cstheme="minorBidi"/>
              <w:noProof/>
            </w:rPr>
          </w:pPr>
          <w:hyperlink w:anchor="_Toc221204368" w:history="1">
            <w:r w:rsidR="00AD79BC" w:rsidRPr="00340D75">
              <w:rPr>
                <w:rStyle w:val="Hipervnculo"/>
                <w:noProof/>
              </w:rPr>
              <w:t>II. Respuesta del Sujeto Obligado</w:t>
            </w:r>
            <w:r w:rsidR="00AD79BC">
              <w:rPr>
                <w:noProof/>
                <w:webHidden/>
              </w:rPr>
              <w:tab/>
            </w:r>
            <w:r w:rsidR="00AD79BC">
              <w:rPr>
                <w:noProof/>
                <w:webHidden/>
              </w:rPr>
              <w:fldChar w:fldCharType="begin"/>
            </w:r>
            <w:r w:rsidR="00AD79BC">
              <w:rPr>
                <w:noProof/>
                <w:webHidden/>
              </w:rPr>
              <w:instrText xml:space="preserve"> PAGEREF _Toc221204368 \h </w:instrText>
            </w:r>
            <w:r w:rsidR="00AD79BC">
              <w:rPr>
                <w:noProof/>
                <w:webHidden/>
              </w:rPr>
            </w:r>
            <w:r w:rsidR="00AD79BC">
              <w:rPr>
                <w:noProof/>
                <w:webHidden/>
              </w:rPr>
              <w:fldChar w:fldCharType="separate"/>
            </w:r>
            <w:r w:rsidR="002C4979">
              <w:rPr>
                <w:noProof/>
                <w:webHidden/>
              </w:rPr>
              <w:t>3</w:t>
            </w:r>
            <w:r w:rsidR="00AD79BC">
              <w:rPr>
                <w:noProof/>
                <w:webHidden/>
              </w:rPr>
              <w:fldChar w:fldCharType="end"/>
            </w:r>
          </w:hyperlink>
        </w:p>
        <w:p w:rsidR="00AD79BC" w:rsidRDefault="00174501">
          <w:pPr>
            <w:pStyle w:val="TDC2"/>
            <w:rPr>
              <w:rFonts w:asciiTheme="minorHAnsi" w:eastAsiaTheme="minorEastAsia" w:hAnsiTheme="minorHAnsi" w:cstheme="minorBidi"/>
              <w:noProof/>
            </w:rPr>
          </w:pPr>
          <w:hyperlink w:anchor="_Toc221204369" w:history="1">
            <w:r w:rsidR="00AD79BC" w:rsidRPr="00340D75">
              <w:rPr>
                <w:rStyle w:val="Hipervnculo"/>
                <w:noProof/>
              </w:rPr>
              <w:t>III. Interposición del Recurso de Revisión</w:t>
            </w:r>
            <w:r w:rsidR="00AD79BC">
              <w:rPr>
                <w:noProof/>
                <w:webHidden/>
              </w:rPr>
              <w:tab/>
            </w:r>
            <w:r w:rsidR="00AD79BC">
              <w:rPr>
                <w:noProof/>
                <w:webHidden/>
              </w:rPr>
              <w:fldChar w:fldCharType="begin"/>
            </w:r>
            <w:r w:rsidR="00AD79BC">
              <w:rPr>
                <w:noProof/>
                <w:webHidden/>
              </w:rPr>
              <w:instrText xml:space="preserve"> PAGEREF _Toc221204369 \h </w:instrText>
            </w:r>
            <w:r w:rsidR="00AD79BC">
              <w:rPr>
                <w:noProof/>
                <w:webHidden/>
              </w:rPr>
            </w:r>
            <w:r w:rsidR="00AD79BC">
              <w:rPr>
                <w:noProof/>
                <w:webHidden/>
              </w:rPr>
              <w:fldChar w:fldCharType="separate"/>
            </w:r>
            <w:r w:rsidR="002C4979">
              <w:rPr>
                <w:noProof/>
                <w:webHidden/>
              </w:rPr>
              <w:t>3</w:t>
            </w:r>
            <w:r w:rsidR="00AD79BC">
              <w:rPr>
                <w:noProof/>
                <w:webHidden/>
              </w:rPr>
              <w:fldChar w:fldCharType="end"/>
            </w:r>
          </w:hyperlink>
        </w:p>
        <w:p w:rsidR="00AD79BC" w:rsidRDefault="00174501">
          <w:pPr>
            <w:pStyle w:val="TDC2"/>
            <w:rPr>
              <w:rFonts w:asciiTheme="minorHAnsi" w:eastAsiaTheme="minorEastAsia" w:hAnsiTheme="minorHAnsi" w:cstheme="minorBidi"/>
              <w:noProof/>
            </w:rPr>
          </w:pPr>
          <w:hyperlink w:anchor="_Toc221204370" w:history="1">
            <w:r w:rsidR="00AD79BC" w:rsidRPr="00340D75">
              <w:rPr>
                <w:rStyle w:val="Hipervnculo"/>
                <w:noProof/>
              </w:rPr>
              <w:t>IV. Trámite del Recurso de Revisión ante este Instituto</w:t>
            </w:r>
            <w:r w:rsidR="00AD79BC">
              <w:rPr>
                <w:noProof/>
                <w:webHidden/>
              </w:rPr>
              <w:tab/>
            </w:r>
            <w:r w:rsidR="00AD79BC">
              <w:rPr>
                <w:noProof/>
                <w:webHidden/>
              </w:rPr>
              <w:fldChar w:fldCharType="begin"/>
            </w:r>
            <w:r w:rsidR="00AD79BC">
              <w:rPr>
                <w:noProof/>
                <w:webHidden/>
              </w:rPr>
              <w:instrText xml:space="preserve"> PAGEREF _Toc221204370 \h </w:instrText>
            </w:r>
            <w:r w:rsidR="00AD79BC">
              <w:rPr>
                <w:noProof/>
                <w:webHidden/>
              </w:rPr>
            </w:r>
            <w:r w:rsidR="00AD79BC">
              <w:rPr>
                <w:noProof/>
                <w:webHidden/>
              </w:rPr>
              <w:fldChar w:fldCharType="separate"/>
            </w:r>
            <w:r w:rsidR="002C4979">
              <w:rPr>
                <w:noProof/>
                <w:webHidden/>
              </w:rPr>
              <w:t>3</w:t>
            </w:r>
            <w:r w:rsidR="00AD79BC">
              <w:rPr>
                <w:noProof/>
                <w:webHidden/>
              </w:rPr>
              <w:fldChar w:fldCharType="end"/>
            </w:r>
          </w:hyperlink>
        </w:p>
        <w:p w:rsidR="00AD79BC" w:rsidRDefault="00174501">
          <w:pPr>
            <w:pStyle w:val="TDC1"/>
            <w:tabs>
              <w:tab w:val="right" w:leader="dot" w:pos="8921"/>
            </w:tabs>
            <w:rPr>
              <w:rFonts w:asciiTheme="minorHAnsi" w:eastAsiaTheme="minorEastAsia" w:hAnsiTheme="minorHAnsi" w:cstheme="minorBidi"/>
              <w:noProof/>
            </w:rPr>
          </w:pPr>
          <w:hyperlink w:anchor="_Toc221204371" w:history="1">
            <w:r w:rsidR="00AD79BC" w:rsidRPr="00340D75">
              <w:rPr>
                <w:rStyle w:val="Hipervnculo"/>
                <w:noProof/>
              </w:rPr>
              <w:t>C O N S I D E R A N D O S</w:t>
            </w:r>
            <w:r w:rsidR="00AD79BC">
              <w:rPr>
                <w:noProof/>
                <w:webHidden/>
              </w:rPr>
              <w:tab/>
            </w:r>
            <w:r w:rsidR="00AD79BC">
              <w:rPr>
                <w:noProof/>
                <w:webHidden/>
              </w:rPr>
              <w:fldChar w:fldCharType="begin"/>
            </w:r>
            <w:r w:rsidR="00AD79BC">
              <w:rPr>
                <w:noProof/>
                <w:webHidden/>
              </w:rPr>
              <w:instrText xml:space="preserve"> PAGEREF _Toc221204371 \h </w:instrText>
            </w:r>
            <w:r w:rsidR="00AD79BC">
              <w:rPr>
                <w:noProof/>
                <w:webHidden/>
              </w:rPr>
            </w:r>
            <w:r w:rsidR="00AD79BC">
              <w:rPr>
                <w:noProof/>
                <w:webHidden/>
              </w:rPr>
              <w:fldChar w:fldCharType="separate"/>
            </w:r>
            <w:r w:rsidR="002C4979">
              <w:rPr>
                <w:noProof/>
                <w:webHidden/>
              </w:rPr>
              <w:t>5</w:t>
            </w:r>
            <w:r w:rsidR="00AD79BC">
              <w:rPr>
                <w:noProof/>
                <w:webHidden/>
              </w:rPr>
              <w:fldChar w:fldCharType="end"/>
            </w:r>
          </w:hyperlink>
        </w:p>
        <w:p w:rsidR="00AD79BC" w:rsidRDefault="00174501">
          <w:pPr>
            <w:pStyle w:val="TDC2"/>
            <w:rPr>
              <w:rFonts w:asciiTheme="minorHAnsi" w:eastAsiaTheme="minorEastAsia" w:hAnsiTheme="minorHAnsi" w:cstheme="minorBidi"/>
              <w:noProof/>
            </w:rPr>
          </w:pPr>
          <w:hyperlink w:anchor="_Toc221204372" w:history="1">
            <w:r w:rsidR="00AD79BC" w:rsidRPr="00340D75">
              <w:rPr>
                <w:rStyle w:val="Hipervnculo"/>
                <w:noProof/>
              </w:rPr>
              <w:t>PRIMERO. Competencia</w:t>
            </w:r>
            <w:r w:rsidR="00AD79BC">
              <w:rPr>
                <w:noProof/>
                <w:webHidden/>
              </w:rPr>
              <w:tab/>
            </w:r>
            <w:r w:rsidR="00AD79BC">
              <w:rPr>
                <w:noProof/>
                <w:webHidden/>
              </w:rPr>
              <w:fldChar w:fldCharType="begin"/>
            </w:r>
            <w:r w:rsidR="00AD79BC">
              <w:rPr>
                <w:noProof/>
                <w:webHidden/>
              </w:rPr>
              <w:instrText xml:space="preserve"> PAGEREF _Toc221204372 \h </w:instrText>
            </w:r>
            <w:r w:rsidR="00AD79BC">
              <w:rPr>
                <w:noProof/>
                <w:webHidden/>
              </w:rPr>
            </w:r>
            <w:r w:rsidR="00AD79BC">
              <w:rPr>
                <w:noProof/>
                <w:webHidden/>
              </w:rPr>
              <w:fldChar w:fldCharType="separate"/>
            </w:r>
            <w:r w:rsidR="002C4979">
              <w:rPr>
                <w:noProof/>
                <w:webHidden/>
              </w:rPr>
              <w:t>5</w:t>
            </w:r>
            <w:r w:rsidR="00AD79BC">
              <w:rPr>
                <w:noProof/>
                <w:webHidden/>
              </w:rPr>
              <w:fldChar w:fldCharType="end"/>
            </w:r>
          </w:hyperlink>
        </w:p>
        <w:p w:rsidR="00AD79BC" w:rsidRDefault="00174501">
          <w:pPr>
            <w:pStyle w:val="TDC2"/>
            <w:rPr>
              <w:rFonts w:asciiTheme="minorHAnsi" w:eastAsiaTheme="minorEastAsia" w:hAnsiTheme="minorHAnsi" w:cstheme="minorBidi"/>
              <w:noProof/>
            </w:rPr>
          </w:pPr>
          <w:hyperlink w:anchor="_Toc221204373" w:history="1">
            <w:r w:rsidR="00AD79BC" w:rsidRPr="00340D75">
              <w:rPr>
                <w:rStyle w:val="Hipervnculo"/>
                <w:noProof/>
              </w:rPr>
              <w:t>SEGUNDO. Causales de improcedencia y sobreseimiento</w:t>
            </w:r>
            <w:r w:rsidR="00AD79BC">
              <w:rPr>
                <w:noProof/>
                <w:webHidden/>
              </w:rPr>
              <w:tab/>
            </w:r>
            <w:r w:rsidR="00AD79BC">
              <w:rPr>
                <w:noProof/>
                <w:webHidden/>
              </w:rPr>
              <w:fldChar w:fldCharType="begin"/>
            </w:r>
            <w:r w:rsidR="00AD79BC">
              <w:rPr>
                <w:noProof/>
                <w:webHidden/>
              </w:rPr>
              <w:instrText xml:space="preserve"> PAGEREF _Toc221204373 \h </w:instrText>
            </w:r>
            <w:r w:rsidR="00AD79BC">
              <w:rPr>
                <w:noProof/>
                <w:webHidden/>
              </w:rPr>
            </w:r>
            <w:r w:rsidR="00AD79BC">
              <w:rPr>
                <w:noProof/>
                <w:webHidden/>
              </w:rPr>
              <w:fldChar w:fldCharType="separate"/>
            </w:r>
            <w:r w:rsidR="002C4979">
              <w:rPr>
                <w:noProof/>
                <w:webHidden/>
              </w:rPr>
              <w:t>6</w:t>
            </w:r>
            <w:r w:rsidR="00AD79BC">
              <w:rPr>
                <w:noProof/>
                <w:webHidden/>
              </w:rPr>
              <w:fldChar w:fldCharType="end"/>
            </w:r>
          </w:hyperlink>
        </w:p>
        <w:p w:rsidR="00AD79BC" w:rsidRDefault="00174501">
          <w:pPr>
            <w:pStyle w:val="TDC2"/>
            <w:rPr>
              <w:rFonts w:asciiTheme="minorHAnsi" w:eastAsiaTheme="minorEastAsia" w:hAnsiTheme="minorHAnsi" w:cstheme="minorBidi"/>
              <w:noProof/>
            </w:rPr>
          </w:pPr>
          <w:hyperlink w:anchor="_Toc221204374" w:history="1">
            <w:r w:rsidR="00AD79BC" w:rsidRPr="00340D75">
              <w:rPr>
                <w:rStyle w:val="Hipervnculo"/>
                <w:noProof/>
              </w:rPr>
              <w:t>TERCERO. Determinación de la Controversia</w:t>
            </w:r>
            <w:r w:rsidR="00AD79BC">
              <w:rPr>
                <w:noProof/>
                <w:webHidden/>
              </w:rPr>
              <w:tab/>
            </w:r>
            <w:r w:rsidR="00AD79BC">
              <w:rPr>
                <w:noProof/>
                <w:webHidden/>
              </w:rPr>
              <w:fldChar w:fldCharType="begin"/>
            </w:r>
            <w:r w:rsidR="00AD79BC">
              <w:rPr>
                <w:noProof/>
                <w:webHidden/>
              </w:rPr>
              <w:instrText xml:space="preserve"> PAGEREF _Toc221204374 \h </w:instrText>
            </w:r>
            <w:r w:rsidR="00AD79BC">
              <w:rPr>
                <w:noProof/>
                <w:webHidden/>
              </w:rPr>
            </w:r>
            <w:r w:rsidR="00AD79BC">
              <w:rPr>
                <w:noProof/>
                <w:webHidden/>
              </w:rPr>
              <w:fldChar w:fldCharType="separate"/>
            </w:r>
            <w:r w:rsidR="002C4979">
              <w:rPr>
                <w:noProof/>
                <w:webHidden/>
              </w:rPr>
              <w:t>7</w:t>
            </w:r>
            <w:r w:rsidR="00AD79BC">
              <w:rPr>
                <w:noProof/>
                <w:webHidden/>
              </w:rPr>
              <w:fldChar w:fldCharType="end"/>
            </w:r>
          </w:hyperlink>
        </w:p>
        <w:p w:rsidR="00AD79BC" w:rsidRDefault="00174501">
          <w:pPr>
            <w:pStyle w:val="TDC2"/>
            <w:rPr>
              <w:rFonts w:asciiTheme="minorHAnsi" w:eastAsiaTheme="minorEastAsia" w:hAnsiTheme="minorHAnsi" w:cstheme="minorBidi"/>
              <w:noProof/>
            </w:rPr>
          </w:pPr>
          <w:hyperlink w:anchor="_Toc221204375" w:history="1">
            <w:r w:rsidR="00AD79BC" w:rsidRPr="00340D75">
              <w:rPr>
                <w:rStyle w:val="Hipervnculo"/>
                <w:noProof/>
              </w:rPr>
              <w:t>CUARTO. Marco normativo aplicable en materia de transparencia y acceso a la información pública</w:t>
            </w:r>
            <w:r w:rsidR="00AD79BC">
              <w:rPr>
                <w:noProof/>
                <w:webHidden/>
              </w:rPr>
              <w:tab/>
            </w:r>
            <w:r w:rsidR="00AD79BC">
              <w:rPr>
                <w:noProof/>
                <w:webHidden/>
              </w:rPr>
              <w:fldChar w:fldCharType="begin"/>
            </w:r>
            <w:r w:rsidR="00AD79BC">
              <w:rPr>
                <w:noProof/>
                <w:webHidden/>
              </w:rPr>
              <w:instrText xml:space="preserve"> PAGEREF _Toc221204375 \h </w:instrText>
            </w:r>
            <w:r w:rsidR="00AD79BC">
              <w:rPr>
                <w:noProof/>
                <w:webHidden/>
              </w:rPr>
            </w:r>
            <w:r w:rsidR="00AD79BC">
              <w:rPr>
                <w:noProof/>
                <w:webHidden/>
              </w:rPr>
              <w:fldChar w:fldCharType="separate"/>
            </w:r>
            <w:r w:rsidR="002C4979">
              <w:rPr>
                <w:noProof/>
                <w:webHidden/>
              </w:rPr>
              <w:t>8</w:t>
            </w:r>
            <w:r w:rsidR="00AD79BC">
              <w:rPr>
                <w:noProof/>
                <w:webHidden/>
              </w:rPr>
              <w:fldChar w:fldCharType="end"/>
            </w:r>
          </w:hyperlink>
        </w:p>
        <w:p w:rsidR="00AD79BC" w:rsidRDefault="00174501">
          <w:pPr>
            <w:pStyle w:val="TDC2"/>
            <w:rPr>
              <w:rFonts w:asciiTheme="minorHAnsi" w:eastAsiaTheme="minorEastAsia" w:hAnsiTheme="minorHAnsi" w:cstheme="minorBidi"/>
              <w:noProof/>
            </w:rPr>
          </w:pPr>
          <w:hyperlink w:anchor="_Toc221204376" w:history="1">
            <w:r w:rsidR="00AD79BC" w:rsidRPr="00340D75">
              <w:rPr>
                <w:rStyle w:val="Hipervnculo"/>
                <w:noProof/>
              </w:rPr>
              <w:t>QUINTO. Estudio de Fondo</w:t>
            </w:r>
            <w:r w:rsidR="00AD79BC">
              <w:rPr>
                <w:noProof/>
                <w:webHidden/>
              </w:rPr>
              <w:tab/>
            </w:r>
            <w:r w:rsidR="00AD79BC">
              <w:rPr>
                <w:noProof/>
                <w:webHidden/>
              </w:rPr>
              <w:fldChar w:fldCharType="begin"/>
            </w:r>
            <w:r w:rsidR="00AD79BC">
              <w:rPr>
                <w:noProof/>
                <w:webHidden/>
              </w:rPr>
              <w:instrText xml:space="preserve"> PAGEREF _Toc221204376 \h </w:instrText>
            </w:r>
            <w:r w:rsidR="00AD79BC">
              <w:rPr>
                <w:noProof/>
                <w:webHidden/>
              </w:rPr>
            </w:r>
            <w:r w:rsidR="00AD79BC">
              <w:rPr>
                <w:noProof/>
                <w:webHidden/>
              </w:rPr>
              <w:fldChar w:fldCharType="separate"/>
            </w:r>
            <w:r w:rsidR="002C4979">
              <w:rPr>
                <w:noProof/>
                <w:webHidden/>
              </w:rPr>
              <w:t>9</w:t>
            </w:r>
            <w:r w:rsidR="00AD79BC">
              <w:rPr>
                <w:noProof/>
                <w:webHidden/>
              </w:rPr>
              <w:fldChar w:fldCharType="end"/>
            </w:r>
          </w:hyperlink>
        </w:p>
        <w:p w:rsidR="00AD79BC" w:rsidRDefault="00174501">
          <w:pPr>
            <w:pStyle w:val="TDC2"/>
            <w:rPr>
              <w:rFonts w:asciiTheme="minorHAnsi" w:eastAsiaTheme="minorEastAsia" w:hAnsiTheme="minorHAnsi" w:cstheme="minorBidi"/>
              <w:noProof/>
            </w:rPr>
          </w:pPr>
          <w:hyperlink w:anchor="_Toc221204377" w:history="1">
            <w:r w:rsidR="00AD79BC" w:rsidRPr="00340D75">
              <w:rPr>
                <w:rStyle w:val="Hipervnculo"/>
                <w:noProof/>
              </w:rPr>
              <w:t>SEXTO. Decisión</w:t>
            </w:r>
            <w:r w:rsidR="00AD79BC">
              <w:rPr>
                <w:noProof/>
                <w:webHidden/>
              </w:rPr>
              <w:tab/>
            </w:r>
            <w:r w:rsidR="00AD79BC">
              <w:rPr>
                <w:noProof/>
                <w:webHidden/>
              </w:rPr>
              <w:fldChar w:fldCharType="begin"/>
            </w:r>
            <w:r w:rsidR="00AD79BC">
              <w:rPr>
                <w:noProof/>
                <w:webHidden/>
              </w:rPr>
              <w:instrText xml:space="preserve"> PAGEREF _Toc221204377 \h </w:instrText>
            </w:r>
            <w:r w:rsidR="00AD79BC">
              <w:rPr>
                <w:noProof/>
                <w:webHidden/>
              </w:rPr>
            </w:r>
            <w:r w:rsidR="00AD79BC">
              <w:rPr>
                <w:noProof/>
                <w:webHidden/>
              </w:rPr>
              <w:fldChar w:fldCharType="separate"/>
            </w:r>
            <w:r w:rsidR="002C4979">
              <w:rPr>
                <w:noProof/>
                <w:webHidden/>
              </w:rPr>
              <w:t>31</w:t>
            </w:r>
            <w:r w:rsidR="00AD79BC">
              <w:rPr>
                <w:noProof/>
                <w:webHidden/>
              </w:rPr>
              <w:fldChar w:fldCharType="end"/>
            </w:r>
          </w:hyperlink>
        </w:p>
        <w:p w:rsidR="00AD79BC" w:rsidRDefault="00174501">
          <w:pPr>
            <w:pStyle w:val="TDC1"/>
            <w:tabs>
              <w:tab w:val="right" w:leader="dot" w:pos="8921"/>
            </w:tabs>
            <w:rPr>
              <w:rFonts w:asciiTheme="minorHAnsi" w:eastAsiaTheme="minorEastAsia" w:hAnsiTheme="minorHAnsi" w:cstheme="minorBidi"/>
              <w:noProof/>
            </w:rPr>
          </w:pPr>
          <w:hyperlink w:anchor="_Toc221204378" w:history="1">
            <w:r w:rsidR="00AD79BC" w:rsidRPr="00340D75">
              <w:rPr>
                <w:rStyle w:val="Hipervnculo"/>
                <w:noProof/>
              </w:rPr>
              <w:t>R E S U E L V E</w:t>
            </w:r>
            <w:r w:rsidR="00AD79BC">
              <w:rPr>
                <w:noProof/>
                <w:webHidden/>
              </w:rPr>
              <w:tab/>
            </w:r>
            <w:r w:rsidR="00AD79BC">
              <w:rPr>
                <w:noProof/>
                <w:webHidden/>
              </w:rPr>
              <w:fldChar w:fldCharType="begin"/>
            </w:r>
            <w:r w:rsidR="00AD79BC">
              <w:rPr>
                <w:noProof/>
                <w:webHidden/>
              </w:rPr>
              <w:instrText xml:space="preserve"> PAGEREF _Toc221204378 \h </w:instrText>
            </w:r>
            <w:r w:rsidR="00AD79BC">
              <w:rPr>
                <w:noProof/>
                <w:webHidden/>
              </w:rPr>
            </w:r>
            <w:r w:rsidR="00AD79BC">
              <w:rPr>
                <w:noProof/>
                <w:webHidden/>
              </w:rPr>
              <w:fldChar w:fldCharType="separate"/>
            </w:r>
            <w:r w:rsidR="002C4979">
              <w:rPr>
                <w:noProof/>
                <w:webHidden/>
              </w:rPr>
              <w:t>32</w:t>
            </w:r>
            <w:r w:rsidR="00AD79BC">
              <w:rPr>
                <w:noProof/>
                <w:webHidden/>
              </w:rPr>
              <w:fldChar w:fldCharType="end"/>
            </w:r>
          </w:hyperlink>
        </w:p>
        <w:p w:rsidR="00705379" w:rsidRDefault="00705379">
          <w:r>
            <w:rPr>
              <w:b/>
              <w:bCs/>
              <w:lang w:val="es-ES"/>
            </w:rPr>
            <w:fldChar w:fldCharType="end"/>
          </w:r>
        </w:p>
      </w:sdtContent>
    </w:sdt>
    <w:p w:rsidR="00E1615E" w:rsidRDefault="00E1615E">
      <w:pPr>
        <w:tabs>
          <w:tab w:val="left" w:pos="8931"/>
        </w:tabs>
        <w:spacing w:after="0" w:line="360" w:lineRule="auto"/>
      </w:pPr>
    </w:p>
    <w:p w:rsidR="00705379" w:rsidRDefault="00705379">
      <w:pPr>
        <w:tabs>
          <w:tab w:val="left" w:pos="8931"/>
        </w:tabs>
        <w:spacing w:after="0" w:line="360" w:lineRule="auto"/>
      </w:pPr>
    </w:p>
    <w:p w:rsidR="00705379" w:rsidRDefault="00705379">
      <w:pPr>
        <w:tabs>
          <w:tab w:val="left" w:pos="8931"/>
        </w:tabs>
        <w:spacing w:after="0" w:line="360" w:lineRule="auto"/>
      </w:pPr>
    </w:p>
    <w:p w:rsidR="00E1615E" w:rsidRDefault="00E1615E">
      <w:pPr>
        <w:tabs>
          <w:tab w:val="left" w:pos="8931"/>
        </w:tabs>
        <w:spacing w:after="0" w:line="360" w:lineRule="auto"/>
      </w:pPr>
    </w:p>
    <w:p w:rsidR="00E1615E" w:rsidRDefault="00FB0354">
      <w:pPr>
        <w:tabs>
          <w:tab w:val="left" w:pos="8931"/>
        </w:tabs>
        <w:spacing w:after="0" w:line="360" w:lineRule="auto"/>
      </w:pPr>
      <w:r>
        <w:lastRenderedPageBreak/>
        <w:t>Resolución del Pleno del Instituto de Transparencia, Acceso a la Información Pública y Protección de Datos Personales del Estado de México y Municipios, con domicilio en Metepec, E</w:t>
      </w:r>
      <w:r w:rsidR="00705379">
        <w:t>stado de México, de fecha cinco</w:t>
      </w:r>
      <w:r>
        <w:t xml:space="preserve"> de febrero de dos mil veintiséis. </w:t>
      </w:r>
    </w:p>
    <w:p w:rsidR="00E1615E" w:rsidRDefault="00E1615E">
      <w:pPr>
        <w:spacing w:after="0" w:line="360" w:lineRule="auto"/>
        <w:rPr>
          <w:b/>
          <w:bCs/>
        </w:rPr>
      </w:pPr>
    </w:p>
    <w:p w:rsidR="00E1615E" w:rsidRDefault="00FB0354">
      <w:pPr>
        <w:spacing w:after="0" w:line="360" w:lineRule="auto"/>
        <w:rPr>
          <w:color w:val="0D0D0D"/>
        </w:rPr>
      </w:pPr>
      <w:r>
        <w:rPr>
          <w:b/>
          <w:bCs/>
        </w:rPr>
        <w:t xml:space="preserve">VISTO </w:t>
      </w:r>
      <w:r>
        <w:t xml:space="preserve">el expediente electrónico conformado con motivo del Recurso de Revisión </w:t>
      </w:r>
      <w:r w:rsidRPr="00162598">
        <w:rPr>
          <w:b/>
        </w:rPr>
        <w:t>11691/INFOEM/IP/RR/2025</w:t>
      </w:r>
      <w:r>
        <w:t xml:space="preserve">, interpuesto por, la persona </w:t>
      </w:r>
      <w:r>
        <w:rPr>
          <w:color w:val="0D0D0D"/>
        </w:rPr>
        <w:t xml:space="preserve">Recurrente o Particular, en contra de la respuesta del Sujeto Obligado, </w:t>
      </w:r>
      <w:bookmarkStart w:id="1" w:name="_GoBack"/>
      <w:r w:rsidRPr="00162598">
        <w:rPr>
          <w:b/>
        </w:rPr>
        <w:t>Sistema Municipal Para el Desarrollo Integral de la Familia de Huehuetoca</w:t>
      </w:r>
      <w:bookmarkEnd w:id="1"/>
      <w:r>
        <w:rPr>
          <w:color w:val="0D0D0D"/>
        </w:rPr>
        <w:t xml:space="preserve">, a la solicitud de acceso a la información pública </w:t>
      </w:r>
      <w:r>
        <w:t xml:space="preserve">  00228/DIFHUEHUET/IP/2025</w:t>
      </w:r>
      <w:r>
        <w:rPr>
          <w:color w:val="000000"/>
        </w:rPr>
        <w:t xml:space="preserve">, </w:t>
      </w:r>
      <w:r>
        <w:rPr>
          <w:color w:val="0D0D0D"/>
        </w:rPr>
        <w:t>se emite la presente Resolución, con base en los Antecedentes y Considerandos que se exponen a continuación:</w:t>
      </w:r>
    </w:p>
    <w:p w:rsidR="00E1615E" w:rsidRDefault="00E1615E">
      <w:pPr>
        <w:spacing w:after="0" w:line="360" w:lineRule="auto"/>
        <w:rPr>
          <w:b/>
          <w:bCs/>
        </w:rPr>
      </w:pPr>
    </w:p>
    <w:p w:rsidR="00E1615E" w:rsidRDefault="00FB0354">
      <w:pPr>
        <w:pStyle w:val="Ttulo1"/>
        <w:spacing w:before="0" w:after="0" w:line="360" w:lineRule="auto"/>
        <w:jc w:val="center"/>
        <w:rPr>
          <w:sz w:val="22"/>
          <w:szCs w:val="22"/>
        </w:rPr>
      </w:pPr>
      <w:bookmarkStart w:id="2" w:name="_heading=h.ydrhtmnvv8iv" w:colFirst="0" w:colLast="0"/>
      <w:bookmarkStart w:id="3" w:name="_Toc221204366"/>
      <w:bookmarkEnd w:id="2"/>
      <w:r>
        <w:rPr>
          <w:sz w:val="22"/>
          <w:szCs w:val="22"/>
        </w:rPr>
        <w:t>A N T E C E D E N T E S</w:t>
      </w:r>
      <w:bookmarkEnd w:id="3"/>
    </w:p>
    <w:p w:rsidR="00E1615E" w:rsidRDefault="00E1615E">
      <w:pPr>
        <w:spacing w:after="0" w:line="360" w:lineRule="auto"/>
        <w:jc w:val="center"/>
        <w:rPr>
          <w:b/>
          <w:bCs/>
        </w:rPr>
      </w:pPr>
    </w:p>
    <w:p w:rsidR="00E1615E" w:rsidRDefault="00FB0354">
      <w:pPr>
        <w:pStyle w:val="Ttulo2"/>
        <w:spacing w:before="0" w:after="0" w:line="360" w:lineRule="auto"/>
        <w:rPr>
          <w:sz w:val="22"/>
          <w:szCs w:val="22"/>
        </w:rPr>
      </w:pPr>
      <w:bookmarkStart w:id="4" w:name="_heading=h.1v8lj5a1txh9" w:colFirst="0" w:colLast="0"/>
      <w:bookmarkStart w:id="5" w:name="_Toc221204367"/>
      <w:bookmarkEnd w:id="4"/>
      <w:r>
        <w:rPr>
          <w:sz w:val="22"/>
          <w:szCs w:val="22"/>
        </w:rPr>
        <w:t>I. Presentación de la solicitud de información</w:t>
      </w:r>
      <w:bookmarkEnd w:id="5"/>
    </w:p>
    <w:p w:rsidR="00E1615E" w:rsidRDefault="00E1615E">
      <w:pPr>
        <w:tabs>
          <w:tab w:val="left" w:pos="567"/>
        </w:tabs>
        <w:spacing w:after="0" w:line="360" w:lineRule="auto"/>
      </w:pPr>
    </w:p>
    <w:p w:rsidR="00E1615E" w:rsidRDefault="00FB0354">
      <w:pPr>
        <w:spacing w:after="0" w:line="360" w:lineRule="auto"/>
      </w:pPr>
      <w:r>
        <w:t>El dieciocho de septiembre de dos mil veinticinco, el Particular presentó una solicitud de acceso a la información pública, a través del Sistema de Acceso a la Información Mexiquense (SAIMEX), ante el Sistema Municipal Para el Desarrollo Integral de la Familia de Huehuetoca</w:t>
      </w:r>
      <w:r>
        <w:rPr>
          <w:color w:val="000000"/>
        </w:rPr>
        <w:t>,</w:t>
      </w:r>
      <w:r>
        <w:t xml:space="preserve"> en los siguientes términos: </w:t>
      </w:r>
    </w:p>
    <w:p w:rsidR="00E1615E" w:rsidRDefault="00E1615E">
      <w:pPr>
        <w:spacing w:after="0" w:line="360" w:lineRule="auto"/>
      </w:pPr>
    </w:p>
    <w:p w:rsidR="00E1615E" w:rsidRDefault="00FB0354">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rsidR="00E1615E" w:rsidRDefault="00FB0354">
      <w:pPr>
        <w:tabs>
          <w:tab w:val="left" w:pos="4667"/>
        </w:tabs>
        <w:spacing w:after="0" w:line="360" w:lineRule="auto"/>
        <w:ind w:left="567" w:right="567"/>
        <w:rPr>
          <w:i/>
          <w:iCs/>
          <w:sz w:val="20"/>
          <w:szCs w:val="20"/>
        </w:rPr>
      </w:pPr>
      <w:r>
        <w:rPr>
          <w:i/>
          <w:iCs/>
          <w:sz w:val="20"/>
          <w:szCs w:val="20"/>
        </w:rPr>
        <w:t>“SOLICITO ME MANDE TODAS LAS FACTURAS, DESDE EL INICIO DE LA ADMINISTRACION, HASTA EL 18 DE SEPTIEMBRE DEL 2025, QUE YA SE ENCUENTRAN PAGADAS Y LAS QUE ESTAN POR PAGARSE”” (Sic.)</w:t>
      </w:r>
    </w:p>
    <w:p w:rsidR="00E1615E" w:rsidRDefault="00E1615E">
      <w:pPr>
        <w:tabs>
          <w:tab w:val="left" w:pos="4667"/>
        </w:tabs>
        <w:spacing w:after="0" w:line="360" w:lineRule="auto"/>
        <w:ind w:left="567" w:right="567"/>
        <w:rPr>
          <w:b/>
          <w:bCs/>
          <w:i/>
          <w:iCs/>
          <w:sz w:val="20"/>
          <w:szCs w:val="20"/>
        </w:rPr>
      </w:pPr>
    </w:p>
    <w:p w:rsidR="00E1615E" w:rsidRDefault="00FB0354">
      <w:pPr>
        <w:tabs>
          <w:tab w:val="left" w:pos="4667"/>
        </w:tabs>
        <w:spacing w:after="0" w:line="360" w:lineRule="auto"/>
        <w:ind w:left="567" w:right="567"/>
        <w:rPr>
          <w:b/>
          <w:bCs/>
          <w:i/>
          <w:iCs/>
          <w:sz w:val="20"/>
          <w:szCs w:val="20"/>
        </w:rPr>
      </w:pPr>
      <w:r>
        <w:rPr>
          <w:b/>
          <w:bCs/>
          <w:i/>
          <w:iCs/>
          <w:sz w:val="20"/>
          <w:szCs w:val="20"/>
        </w:rPr>
        <w:t>“MODALIDAD DE ENTREGA</w:t>
      </w:r>
    </w:p>
    <w:p w:rsidR="00E1615E" w:rsidRDefault="00FB0354">
      <w:pPr>
        <w:spacing w:after="0" w:line="360" w:lineRule="auto"/>
        <w:ind w:left="567" w:right="567"/>
        <w:rPr>
          <w:i/>
          <w:iCs/>
          <w:sz w:val="20"/>
          <w:szCs w:val="20"/>
        </w:rPr>
      </w:pPr>
      <w:bookmarkStart w:id="6" w:name="_heading=h.gokpofyswui9" w:colFirst="0" w:colLast="0"/>
      <w:bookmarkEnd w:id="6"/>
      <w:r>
        <w:rPr>
          <w:i/>
          <w:iCs/>
          <w:sz w:val="20"/>
          <w:szCs w:val="20"/>
        </w:rPr>
        <w:t>A través del SAIMEX”</w:t>
      </w:r>
    </w:p>
    <w:p w:rsidR="00E1615E" w:rsidRDefault="00E1615E">
      <w:pPr>
        <w:spacing w:after="0" w:line="360" w:lineRule="auto"/>
        <w:ind w:left="567" w:right="567"/>
        <w:rPr>
          <w:i/>
          <w:iCs/>
          <w:sz w:val="20"/>
          <w:szCs w:val="20"/>
        </w:rPr>
      </w:pPr>
      <w:bookmarkStart w:id="7" w:name="_heading=h.307q5g3t39fr" w:colFirst="0" w:colLast="0"/>
      <w:bookmarkEnd w:id="7"/>
    </w:p>
    <w:p w:rsidR="00E1615E" w:rsidRDefault="00FB0354">
      <w:pPr>
        <w:pStyle w:val="Ttulo2"/>
        <w:spacing w:before="0" w:after="0" w:line="360" w:lineRule="auto"/>
        <w:rPr>
          <w:sz w:val="22"/>
          <w:szCs w:val="22"/>
        </w:rPr>
      </w:pPr>
      <w:bookmarkStart w:id="8" w:name="_Toc221204368"/>
      <w:r>
        <w:rPr>
          <w:sz w:val="22"/>
          <w:szCs w:val="22"/>
        </w:rPr>
        <w:t>II. Respuesta del Sujeto Obligado</w:t>
      </w:r>
      <w:bookmarkEnd w:id="8"/>
    </w:p>
    <w:p w:rsidR="00E1615E" w:rsidRDefault="00E1615E">
      <w:pPr>
        <w:spacing w:after="0" w:line="360" w:lineRule="auto"/>
        <w:rPr>
          <w:b/>
          <w:bCs/>
        </w:rPr>
      </w:pPr>
    </w:p>
    <w:p w:rsidR="00E1615E" w:rsidRDefault="00FB0354">
      <w:pPr>
        <w:spacing w:after="0" w:line="360" w:lineRule="auto"/>
        <w:rPr>
          <w:color w:val="000000"/>
        </w:rPr>
      </w:pPr>
      <w:r>
        <w:t xml:space="preserve">El ocho de octubre de dos mil veinticinco, el Sujeto Obligado notificó, a través del Sistema de Acceso a la Información Mexiquense (SAIMEX), la respuesta a la solicitud de acceso a la información pública, </w:t>
      </w:r>
      <w:r>
        <w:rPr>
          <w:color w:val="000000"/>
        </w:rPr>
        <w:t>mediante la digitalización del oficio número 317/PROCUDIF/2025, suscrito por el procurador de protección del SMDIF y dirigido al Titular de la Unidad de Transparencia, donde responde a una solicitud diversa a la solicitada enfocándose en dar un listado de acciones en pro de los derechos de las niñas, niños y adolescentes.</w:t>
      </w:r>
    </w:p>
    <w:p w:rsidR="00E1615E" w:rsidRDefault="00E1615E">
      <w:pPr>
        <w:spacing w:after="0" w:line="360" w:lineRule="auto"/>
      </w:pPr>
    </w:p>
    <w:p w:rsidR="00E1615E" w:rsidRDefault="00FB0354">
      <w:pPr>
        <w:pStyle w:val="Ttulo2"/>
        <w:spacing w:before="0" w:after="0" w:line="360" w:lineRule="auto"/>
        <w:rPr>
          <w:sz w:val="22"/>
          <w:szCs w:val="22"/>
        </w:rPr>
      </w:pPr>
      <w:bookmarkStart w:id="9" w:name="_heading=h.37iyx8bkdbyw" w:colFirst="0" w:colLast="0"/>
      <w:bookmarkStart w:id="10" w:name="_Toc221204369"/>
      <w:bookmarkEnd w:id="9"/>
      <w:r>
        <w:rPr>
          <w:sz w:val="22"/>
          <w:szCs w:val="22"/>
        </w:rPr>
        <w:t>III. Interposición del Recurso de Revisión</w:t>
      </w:r>
      <w:bookmarkEnd w:id="10"/>
    </w:p>
    <w:p w:rsidR="00E1615E" w:rsidRDefault="00E1615E">
      <w:pPr>
        <w:spacing w:after="0" w:line="360" w:lineRule="auto"/>
        <w:rPr>
          <w:b/>
          <w:bCs/>
        </w:rPr>
      </w:pPr>
    </w:p>
    <w:p w:rsidR="00E1615E" w:rsidRDefault="00FB0354">
      <w:pPr>
        <w:spacing w:after="0" w:line="360" w:lineRule="auto"/>
      </w:pPr>
      <w:r>
        <w:t>El nueve de octubre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rsidR="00E1615E" w:rsidRDefault="00E1615E">
      <w:pPr>
        <w:spacing w:after="0" w:line="360" w:lineRule="auto"/>
      </w:pPr>
    </w:p>
    <w:p w:rsidR="00E1615E" w:rsidRDefault="00FB0354">
      <w:pPr>
        <w:spacing w:after="0" w:line="360" w:lineRule="auto"/>
        <w:ind w:left="567" w:right="567"/>
        <w:rPr>
          <w:b/>
          <w:bCs/>
          <w:i/>
          <w:iCs/>
          <w:sz w:val="20"/>
          <w:szCs w:val="20"/>
        </w:rPr>
      </w:pPr>
      <w:r>
        <w:rPr>
          <w:b/>
          <w:bCs/>
          <w:i/>
          <w:iCs/>
          <w:sz w:val="20"/>
          <w:szCs w:val="20"/>
        </w:rPr>
        <w:t>‘’ACTO IMPUGNADO</w:t>
      </w:r>
    </w:p>
    <w:p w:rsidR="00E1615E" w:rsidRDefault="00FB0354">
      <w:pPr>
        <w:spacing w:after="0" w:line="360" w:lineRule="auto"/>
        <w:ind w:left="567" w:right="567"/>
        <w:rPr>
          <w:i/>
          <w:iCs/>
          <w:sz w:val="20"/>
          <w:szCs w:val="20"/>
        </w:rPr>
      </w:pPr>
      <w:r>
        <w:rPr>
          <w:i/>
          <w:iCs/>
          <w:sz w:val="20"/>
          <w:szCs w:val="20"/>
        </w:rPr>
        <w:t>LA CONTESTACION QUE DAN ES INCONGRUENTE.” (Sic.)</w:t>
      </w:r>
    </w:p>
    <w:p w:rsidR="00E1615E" w:rsidRDefault="00E1615E">
      <w:pPr>
        <w:spacing w:after="0" w:line="360" w:lineRule="auto"/>
        <w:ind w:left="567" w:right="567"/>
        <w:rPr>
          <w:i/>
          <w:iCs/>
          <w:sz w:val="20"/>
          <w:szCs w:val="20"/>
        </w:rPr>
      </w:pPr>
    </w:p>
    <w:p w:rsidR="00E1615E" w:rsidRDefault="00FB0354">
      <w:pPr>
        <w:spacing w:after="0" w:line="360" w:lineRule="auto"/>
        <w:ind w:left="567" w:right="567"/>
        <w:rPr>
          <w:b/>
          <w:bCs/>
          <w:i/>
          <w:iCs/>
          <w:sz w:val="20"/>
          <w:szCs w:val="20"/>
        </w:rPr>
      </w:pPr>
      <w:r>
        <w:rPr>
          <w:b/>
          <w:bCs/>
          <w:i/>
          <w:iCs/>
          <w:sz w:val="20"/>
          <w:szCs w:val="20"/>
        </w:rPr>
        <w:t>‘’RAZONES O MOTIVOS DE LA INCONFORMIDAD</w:t>
      </w:r>
    </w:p>
    <w:p w:rsidR="00E1615E" w:rsidRDefault="00FB0354">
      <w:pPr>
        <w:spacing w:after="0" w:line="360" w:lineRule="auto"/>
        <w:ind w:left="567" w:right="567"/>
        <w:rPr>
          <w:i/>
          <w:iCs/>
          <w:sz w:val="20"/>
          <w:szCs w:val="20"/>
        </w:rPr>
      </w:pPr>
      <w:r>
        <w:rPr>
          <w:i/>
          <w:iCs/>
          <w:sz w:val="20"/>
          <w:szCs w:val="20"/>
        </w:rPr>
        <w:t>LA CONTESTACION QUE DAN ES INCONGRUENTE, YA QUE NO CORRESPONDE A LO SOLICITADO.”</w:t>
      </w:r>
    </w:p>
    <w:p w:rsidR="00E1615E" w:rsidRDefault="00E1615E">
      <w:pPr>
        <w:spacing w:after="0" w:line="360" w:lineRule="auto"/>
        <w:ind w:left="567" w:right="567" w:firstLine="32"/>
        <w:rPr>
          <w:i/>
          <w:iCs/>
          <w:sz w:val="20"/>
          <w:szCs w:val="20"/>
        </w:rPr>
      </w:pPr>
    </w:p>
    <w:p w:rsidR="00E1615E" w:rsidRDefault="00FB0354">
      <w:pPr>
        <w:pStyle w:val="Ttulo2"/>
        <w:spacing w:before="0" w:after="0" w:line="360" w:lineRule="auto"/>
        <w:rPr>
          <w:sz w:val="22"/>
          <w:szCs w:val="22"/>
        </w:rPr>
      </w:pPr>
      <w:bookmarkStart w:id="11" w:name="_heading=h.bnl43r14a44" w:colFirst="0" w:colLast="0"/>
      <w:bookmarkStart w:id="12" w:name="_Toc221204370"/>
      <w:bookmarkEnd w:id="11"/>
      <w:r>
        <w:rPr>
          <w:sz w:val="22"/>
          <w:szCs w:val="22"/>
        </w:rPr>
        <w:t>IV. Trámite del Recurso de Revisión ante este Instituto</w:t>
      </w:r>
      <w:bookmarkEnd w:id="12"/>
    </w:p>
    <w:p w:rsidR="00E1615E" w:rsidRDefault="00E1615E">
      <w:pPr>
        <w:spacing w:after="0" w:line="360" w:lineRule="auto"/>
        <w:rPr>
          <w:b/>
          <w:bCs/>
        </w:rPr>
      </w:pPr>
    </w:p>
    <w:p w:rsidR="00E1615E" w:rsidRDefault="00FB0354">
      <w:pPr>
        <w:spacing w:after="0" w:line="360" w:lineRule="auto"/>
      </w:pPr>
      <w:r>
        <w:rPr>
          <w:b/>
          <w:bCs/>
        </w:rPr>
        <w:lastRenderedPageBreak/>
        <w:t>a) Turno del Medio de Impugnación.</w:t>
      </w:r>
      <w:r>
        <w:t xml:space="preserve"> El nueve de octubre de dos mil veinticinco, el Sistema de Acceso a la Información Mexiquense (SAIMEX), asignó el número de expediente </w:t>
      </w:r>
      <w:r>
        <w:rPr>
          <w:b/>
          <w:bCs/>
        </w:rPr>
        <w:t>11691/INFOEM/IP/RR/2025</w:t>
      </w:r>
      <w: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rsidR="00E1615E" w:rsidRDefault="00E1615E">
      <w:pPr>
        <w:spacing w:after="0" w:line="360" w:lineRule="auto"/>
        <w:rPr>
          <w:b/>
          <w:bCs/>
        </w:rPr>
      </w:pPr>
    </w:p>
    <w:p w:rsidR="00E1615E" w:rsidRDefault="00FB0354">
      <w:pPr>
        <w:spacing w:after="0" w:line="360" w:lineRule="auto"/>
      </w:pPr>
      <w:r>
        <w:rPr>
          <w:b/>
          <w:bCs/>
        </w:rPr>
        <w:t xml:space="preserve">b) Admisión del Recurso de Revisión. </w:t>
      </w:r>
      <w:r>
        <w:t>El catorce de octubre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E1615E" w:rsidRDefault="00E1615E">
      <w:pPr>
        <w:spacing w:after="0" w:line="360" w:lineRule="auto"/>
      </w:pPr>
    </w:p>
    <w:p w:rsidR="00E1615E" w:rsidRDefault="00FB0354">
      <w:pPr>
        <w:tabs>
          <w:tab w:val="left" w:pos="3261"/>
        </w:tabs>
        <w:spacing w:after="0" w:line="360" w:lineRule="auto"/>
      </w:pPr>
      <w:r>
        <w:rPr>
          <w:b/>
          <w:bCs/>
          <w:color w:val="000000"/>
        </w:rPr>
        <w:t>c) Informe Justificado o Manifestaciones.</w:t>
      </w:r>
      <w:r>
        <w:t xml:space="preserve"> Las partes fueron omisas en emitir alguna manifestación o alegato.</w:t>
      </w:r>
    </w:p>
    <w:p w:rsidR="00E1615E" w:rsidRDefault="00E1615E">
      <w:pPr>
        <w:tabs>
          <w:tab w:val="left" w:pos="3261"/>
        </w:tabs>
        <w:spacing w:after="0" w:line="360" w:lineRule="auto"/>
      </w:pPr>
    </w:p>
    <w:p w:rsidR="00E1615E" w:rsidRDefault="00FB0354">
      <w:pPr>
        <w:tabs>
          <w:tab w:val="left" w:pos="3261"/>
        </w:tabs>
        <w:spacing w:after="0" w:line="360" w:lineRule="auto"/>
      </w:pPr>
      <w:r>
        <w:rPr>
          <w:b/>
          <w:bCs/>
        </w:rPr>
        <w:t>d) Ampliación de plazo para resolver</w:t>
      </w:r>
      <w:r>
        <w:t>. El veintinueve de enero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mediante el Sistema de Acceso a la Información Mexiquense (SAIMEX, el mismo día.</w:t>
      </w:r>
    </w:p>
    <w:p w:rsidR="00E1615E" w:rsidRDefault="00E1615E">
      <w:pPr>
        <w:spacing w:after="0" w:line="360" w:lineRule="auto"/>
      </w:pPr>
    </w:p>
    <w:p w:rsidR="00E1615E" w:rsidRDefault="00FB0354">
      <w:pPr>
        <w:spacing w:after="0" w:line="360" w:lineRule="auto"/>
      </w:pPr>
      <w:r>
        <w:rPr>
          <w:b/>
          <w:bCs/>
        </w:rPr>
        <w:lastRenderedPageBreak/>
        <w:t>e) Cierre de instrucción.</w:t>
      </w:r>
      <w:r>
        <w:t xml:space="preserve"> El veintinueve de enero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rsidR="00E1615E" w:rsidRDefault="00E1615E">
      <w:pPr>
        <w:spacing w:after="0" w:line="360" w:lineRule="auto"/>
      </w:pPr>
    </w:p>
    <w:p w:rsidR="00E1615E" w:rsidRDefault="00FB0354">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con los siguientes:</w:t>
      </w:r>
    </w:p>
    <w:p w:rsidR="00E1615E" w:rsidRDefault="00E1615E">
      <w:pPr>
        <w:spacing w:after="0" w:line="360" w:lineRule="auto"/>
        <w:rPr>
          <w:color w:val="000000"/>
        </w:rPr>
      </w:pPr>
    </w:p>
    <w:p w:rsidR="00E1615E" w:rsidRDefault="00FB0354">
      <w:pPr>
        <w:pStyle w:val="Ttulo1"/>
        <w:spacing w:before="0" w:after="0" w:line="360" w:lineRule="auto"/>
        <w:jc w:val="center"/>
        <w:rPr>
          <w:sz w:val="22"/>
          <w:szCs w:val="22"/>
        </w:rPr>
      </w:pPr>
      <w:bookmarkStart w:id="13" w:name="_heading=h.dd1w48p0ore4" w:colFirst="0" w:colLast="0"/>
      <w:bookmarkStart w:id="14" w:name="_Toc221204371"/>
      <w:bookmarkEnd w:id="13"/>
      <w:r>
        <w:rPr>
          <w:sz w:val="22"/>
          <w:szCs w:val="22"/>
        </w:rPr>
        <w:t>C O N S I D E R A N D O S</w:t>
      </w:r>
      <w:bookmarkEnd w:id="14"/>
    </w:p>
    <w:p w:rsidR="00E1615E" w:rsidRDefault="00E1615E">
      <w:pPr>
        <w:spacing w:after="0" w:line="360" w:lineRule="auto"/>
        <w:jc w:val="center"/>
        <w:rPr>
          <w:b/>
          <w:bCs/>
          <w:color w:val="000000"/>
        </w:rPr>
      </w:pPr>
    </w:p>
    <w:p w:rsidR="00E1615E" w:rsidRDefault="00FB0354">
      <w:pPr>
        <w:pStyle w:val="Ttulo2"/>
        <w:spacing w:before="0" w:after="0" w:line="360" w:lineRule="auto"/>
        <w:rPr>
          <w:sz w:val="22"/>
          <w:szCs w:val="22"/>
        </w:rPr>
      </w:pPr>
      <w:bookmarkStart w:id="15" w:name="_heading=h.o23cfqt8gb1g" w:colFirst="0" w:colLast="0"/>
      <w:bookmarkStart w:id="16" w:name="_Toc221204372"/>
      <w:bookmarkEnd w:id="15"/>
      <w:r>
        <w:rPr>
          <w:sz w:val="22"/>
          <w:szCs w:val="22"/>
        </w:rPr>
        <w:t>PRIMERO. Competencia</w:t>
      </w:r>
      <w:bookmarkEnd w:id="16"/>
    </w:p>
    <w:p w:rsidR="00E1615E" w:rsidRDefault="00E1615E">
      <w:pPr>
        <w:spacing w:after="0" w:line="360" w:lineRule="auto"/>
      </w:pPr>
      <w:bookmarkStart w:id="17" w:name="_heading=h.30j0zll" w:colFirst="0" w:colLast="0"/>
      <w:bookmarkEnd w:id="17"/>
    </w:p>
    <w:p w:rsidR="00E1615E" w:rsidRDefault="00FB0354">
      <w:pPr>
        <w:spacing w:after="0" w:line="360" w:lineRule="auto"/>
      </w:pPr>
      <w: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E1615E" w:rsidRDefault="00E1615E">
      <w:pPr>
        <w:spacing w:after="0" w:line="360" w:lineRule="auto"/>
        <w:rPr>
          <w:b/>
          <w:bCs/>
          <w:color w:val="000000"/>
        </w:rPr>
      </w:pPr>
    </w:p>
    <w:p w:rsidR="00E1615E" w:rsidRDefault="00FB0354">
      <w:pPr>
        <w:pStyle w:val="Ttulo2"/>
        <w:spacing w:before="0" w:after="0" w:line="360" w:lineRule="auto"/>
        <w:rPr>
          <w:sz w:val="22"/>
          <w:szCs w:val="22"/>
        </w:rPr>
      </w:pPr>
      <w:bookmarkStart w:id="18" w:name="_heading=h.q2k3i7gg7azw" w:colFirst="0" w:colLast="0"/>
      <w:bookmarkStart w:id="19" w:name="_Toc221204373"/>
      <w:bookmarkEnd w:id="18"/>
      <w:r>
        <w:rPr>
          <w:sz w:val="22"/>
          <w:szCs w:val="22"/>
        </w:rPr>
        <w:t>SEGUNDO. Causales de improcedencia y sobreseimiento</w:t>
      </w:r>
      <w:bookmarkEnd w:id="19"/>
    </w:p>
    <w:p w:rsidR="00E1615E" w:rsidRDefault="00E1615E">
      <w:pPr>
        <w:spacing w:after="0" w:line="360" w:lineRule="auto"/>
        <w:rPr>
          <w:color w:val="000000"/>
        </w:rPr>
      </w:pPr>
    </w:p>
    <w:p w:rsidR="00E1615E" w:rsidRDefault="00FB0354">
      <w:pPr>
        <w:spacing w:after="0" w:line="360" w:lineRule="auto"/>
        <w:rPr>
          <w:color w:val="000000"/>
        </w:rPr>
      </w:pPr>
      <w:r>
        <w:rPr>
          <w:color w:val="000000"/>
        </w:rPr>
        <w:t xml:space="preserve">De las constancias que forma parte del Recurso de Revisión que se analiza, se advierte que previo al estudio del fondo de la </w:t>
      </w:r>
      <w:proofErr w:type="spellStart"/>
      <w:r>
        <w:rPr>
          <w:i/>
          <w:iCs/>
          <w:color w:val="000000"/>
        </w:rPr>
        <w:t>litis</w:t>
      </w:r>
      <w:proofErr w:type="spellEnd"/>
      <w:r>
        <w:rPr>
          <w:color w:val="000000"/>
        </w:rPr>
        <w:t>, es necesario estudiar las causales de improcedencia y sobreseimiento que se adviertan, para determinar lo que en Derecho proceda.</w:t>
      </w:r>
    </w:p>
    <w:p w:rsidR="00E1615E" w:rsidRDefault="00E1615E">
      <w:pPr>
        <w:spacing w:after="0" w:line="360" w:lineRule="auto"/>
        <w:rPr>
          <w:color w:val="000000"/>
        </w:rPr>
      </w:pPr>
    </w:p>
    <w:p w:rsidR="00E1615E" w:rsidRDefault="00FB0354">
      <w:pPr>
        <w:spacing w:after="0" w:line="360" w:lineRule="auto"/>
        <w:rPr>
          <w:b/>
          <w:bCs/>
        </w:rPr>
      </w:pPr>
      <w:r>
        <w:rPr>
          <w:b/>
          <w:bCs/>
        </w:rPr>
        <w:t>Causales de improcedencia</w:t>
      </w:r>
    </w:p>
    <w:p w:rsidR="00E1615E" w:rsidRDefault="00E1615E">
      <w:pPr>
        <w:spacing w:after="0" w:line="360" w:lineRule="auto"/>
        <w:rPr>
          <w:b/>
          <w:bCs/>
        </w:rPr>
      </w:pPr>
    </w:p>
    <w:p w:rsidR="00E1615E" w:rsidRDefault="00FB0354">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E1615E" w:rsidRDefault="00E1615E">
      <w:pPr>
        <w:spacing w:after="0" w:line="360" w:lineRule="auto"/>
        <w:rPr>
          <w:color w:val="000000"/>
        </w:rPr>
      </w:pPr>
    </w:p>
    <w:p w:rsidR="00E1615E" w:rsidRDefault="00FB0354">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rsidR="00E1615E" w:rsidRDefault="00E1615E">
      <w:pPr>
        <w:spacing w:after="0" w:line="360" w:lineRule="auto"/>
        <w:rPr>
          <w:color w:val="000000"/>
        </w:rPr>
      </w:pPr>
    </w:p>
    <w:p w:rsidR="00E1615E" w:rsidRDefault="00FB0354">
      <w:pPr>
        <w:spacing w:after="0" w:line="360" w:lineRule="auto"/>
      </w:pPr>
      <w:r>
        <w:lastRenderedPageBreak/>
        <w:t xml:space="preserve">Por lo cual, se actualiza la causal de procedencia del Recurso de Revisión señalada en el artículo 179, fracción VI, de la Ley en cita, pues la persona Recurrente se inconformó de la entrega de información que no corresponde con lo solicitado. </w:t>
      </w:r>
    </w:p>
    <w:p w:rsidR="00E1615E" w:rsidRDefault="00E1615E">
      <w:pPr>
        <w:spacing w:after="0" w:line="360" w:lineRule="auto"/>
      </w:pPr>
    </w:p>
    <w:p w:rsidR="00E1615E" w:rsidRDefault="00FB0354">
      <w:pPr>
        <w:spacing w:after="0" w:line="360" w:lineRule="auto"/>
        <w:rPr>
          <w:b/>
          <w:bCs/>
          <w:color w:val="0D0D0D"/>
        </w:rPr>
      </w:pPr>
      <w:r>
        <w:rPr>
          <w:b/>
          <w:bCs/>
          <w:color w:val="0D0D0D"/>
        </w:rPr>
        <w:t>Causales de sobreseimiento</w:t>
      </w:r>
    </w:p>
    <w:p w:rsidR="00E1615E" w:rsidRDefault="00E1615E">
      <w:pPr>
        <w:spacing w:after="0" w:line="360" w:lineRule="auto"/>
        <w:rPr>
          <w:color w:val="0D0D0D"/>
        </w:rPr>
      </w:pPr>
    </w:p>
    <w:p w:rsidR="00E1615E" w:rsidRDefault="00FB0354">
      <w:pPr>
        <w:spacing w:after="0" w:line="360" w:lineRule="auto"/>
        <w:rPr>
          <w:color w:val="0D0D0D"/>
        </w:rPr>
      </w:pPr>
      <w:r>
        <w:rPr>
          <w:color w:val="0D0D0D"/>
        </w:rPr>
        <w:t>Por ser de previo y especial pronunciamiento, este Instituto analiza si se actualiza alguna causal de sobreseimiento.</w:t>
      </w:r>
    </w:p>
    <w:p w:rsidR="00E1615E" w:rsidRDefault="00E1615E">
      <w:pPr>
        <w:spacing w:after="0" w:line="360" w:lineRule="auto"/>
        <w:rPr>
          <w:color w:val="0D0D0D"/>
        </w:rPr>
      </w:pPr>
    </w:p>
    <w:p w:rsidR="00E1615E" w:rsidRDefault="00FB0354">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rsidR="00E1615E" w:rsidRDefault="00E1615E">
      <w:pPr>
        <w:spacing w:after="0" w:line="360" w:lineRule="auto"/>
        <w:rPr>
          <w:color w:val="000000"/>
        </w:rPr>
      </w:pPr>
    </w:p>
    <w:p w:rsidR="00E1615E" w:rsidRDefault="00FB0354">
      <w:pPr>
        <w:spacing w:after="0" w:line="360" w:lineRule="auto"/>
        <w:rPr>
          <w:color w:val="0D0D0D"/>
        </w:rPr>
      </w:pPr>
      <w:r>
        <w:rPr>
          <w:color w:val="0D0D0D"/>
        </w:rPr>
        <w:t xml:space="preserve">Por tales motivos, se considera procedente entrar al fondo del presente asunto. </w:t>
      </w:r>
    </w:p>
    <w:p w:rsidR="00E1615E" w:rsidRDefault="00E1615E">
      <w:pPr>
        <w:spacing w:after="0" w:line="360" w:lineRule="auto"/>
        <w:rPr>
          <w:b/>
          <w:bCs/>
          <w:color w:val="000000"/>
        </w:rPr>
      </w:pPr>
    </w:p>
    <w:p w:rsidR="00E1615E" w:rsidRDefault="00FB0354">
      <w:pPr>
        <w:pStyle w:val="Ttulo2"/>
        <w:spacing w:before="0" w:after="0" w:line="360" w:lineRule="auto"/>
        <w:rPr>
          <w:sz w:val="22"/>
          <w:szCs w:val="22"/>
        </w:rPr>
      </w:pPr>
      <w:bookmarkStart w:id="20" w:name="_heading=h.mez5sav047on" w:colFirst="0" w:colLast="0"/>
      <w:bookmarkStart w:id="21" w:name="_Toc221204374"/>
      <w:bookmarkEnd w:id="20"/>
      <w:r>
        <w:rPr>
          <w:sz w:val="22"/>
          <w:szCs w:val="22"/>
        </w:rPr>
        <w:t>TERCERO. Determinación de la Controversia</w:t>
      </w:r>
      <w:bookmarkEnd w:id="21"/>
    </w:p>
    <w:p w:rsidR="00E1615E" w:rsidRDefault="00E1615E">
      <w:pPr>
        <w:spacing w:after="0" w:line="360" w:lineRule="auto"/>
        <w:rPr>
          <w:b/>
          <w:bCs/>
          <w:color w:val="000000"/>
        </w:rPr>
      </w:pPr>
    </w:p>
    <w:p w:rsidR="00E1615E" w:rsidRDefault="00FB0354">
      <w:pPr>
        <w:spacing w:after="0" w:line="360" w:lineRule="auto"/>
      </w:pPr>
      <w:r>
        <w:t>Con el objetivo de ilustrar la controversia planteada, resulta conveniente precisar, que una vez realizado el estudio de las constancias que integran el expediente en el que se actúa, se desprende que el Particular requirió todas las facturas recibidas, del primero de enero al dieciocho de septiembre de dos mil veinticinco.</w:t>
      </w:r>
    </w:p>
    <w:p w:rsidR="00E1615E" w:rsidRDefault="00E1615E">
      <w:pPr>
        <w:spacing w:after="0" w:line="360" w:lineRule="auto"/>
      </w:pPr>
    </w:p>
    <w:p w:rsidR="00E1615E" w:rsidRDefault="00FB0354">
      <w:pPr>
        <w:spacing w:after="0" w:line="360" w:lineRule="auto"/>
        <w:rPr>
          <w:color w:val="000000"/>
        </w:rPr>
      </w:pPr>
      <w:r>
        <w:rPr>
          <w:color w:val="000000"/>
        </w:rPr>
        <w:t xml:space="preserve">En respuesta, el Sujeto Obligado, a través del Procurador de Protección de las niñas, niños y adolescentes, proporcionó una lista de las acciones en pro de los derechos de los niños; </w:t>
      </w:r>
      <w:r>
        <w:t>ante dicha circunstancia, el Particular se inconformó de la entrega de información que no corresponde con lo solicitado, al precisar que solicito requerimientos diversos a lo remitido, lo cual actualiza la causal de procedencia prevista en la fracción VI, del artículo 179 de la Ley de Transparencia y Acceso a la Información Pública del Estado de México y Municipios</w:t>
      </w:r>
      <w:r>
        <w:rPr>
          <w:color w:val="0D0D0D"/>
        </w:rPr>
        <w:t xml:space="preserve">. </w:t>
      </w:r>
      <w:r>
        <w:t xml:space="preserve">Así, las cosas, una vez admitido y notificado el Recurso de Revisión a las partes, fueron omisas en emitir alguna manifestación o alegato. </w:t>
      </w:r>
    </w:p>
    <w:p w:rsidR="00E1615E" w:rsidRDefault="00E1615E">
      <w:pPr>
        <w:spacing w:after="0" w:line="360" w:lineRule="auto"/>
        <w:ind w:right="567"/>
        <w:rPr>
          <w:i/>
          <w:iCs/>
          <w:sz w:val="20"/>
          <w:szCs w:val="20"/>
        </w:rPr>
      </w:pPr>
    </w:p>
    <w:p w:rsidR="00E1615E" w:rsidRDefault="00FB0354">
      <w:pPr>
        <w:tabs>
          <w:tab w:val="left" w:pos="4962"/>
        </w:tabs>
        <w:spacing w:after="0" w:line="360" w:lineRule="auto"/>
      </w:pPr>
      <w:r>
        <w:t xml:space="preserve">Lo anterior, se desprende de las documentales que obran en el expediente de referencia, materia de la presente resolución, consistente en: la solicitud de acceso a la información, la respuesta del Sujeto Obligado y el escrito </w:t>
      </w:r>
      <w:proofErr w:type="spellStart"/>
      <w:r>
        <w:t>recursal</w:t>
      </w:r>
      <w:proofErr w:type="spellEnd"/>
      <w:r>
        <w:t>; instrumentales que se toman en cuenta a efecto de resolver el presente medio de impugnación, conforme a lo dispuesto por el artículo 185, fracción IV, de la Ley de Transparencia y Acceso a la Información Pública del Estado de México y Municipios.</w:t>
      </w:r>
    </w:p>
    <w:p w:rsidR="00E1615E" w:rsidRDefault="00E1615E">
      <w:pPr>
        <w:spacing w:after="0" w:line="360" w:lineRule="auto"/>
        <w:rPr>
          <w:b/>
          <w:bCs/>
          <w:color w:val="000000"/>
        </w:rPr>
      </w:pPr>
    </w:p>
    <w:p w:rsidR="00E1615E" w:rsidRDefault="00FB0354">
      <w:pPr>
        <w:pStyle w:val="Ttulo2"/>
        <w:spacing w:before="0" w:after="0" w:line="360" w:lineRule="auto"/>
        <w:rPr>
          <w:sz w:val="22"/>
          <w:szCs w:val="22"/>
        </w:rPr>
      </w:pPr>
      <w:bookmarkStart w:id="22" w:name="_heading=h.xex7lk36zkq4" w:colFirst="0" w:colLast="0"/>
      <w:bookmarkStart w:id="23" w:name="_Toc221204375"/>
      <w:bookmarkEnd w:id="22"/>
      <w:r>
        <w:rPr>
          <w:sz w:val="22"/>
          <w:szCs w:val="22"/>
        </w:rPr>
        <w:t>CUARTO. Marco normativo aplicable en materia de transparencia y acceso a la información pública</w:t>
      </w:r>
      <w:bookmarkEnd w:id="23"/>
    </w:p>
    <w:p w:rsidR="00E1615E" w:rsidRDefault="00E1615E">
      <w:pPr>
        <w:spacing w:after="0" w:line="360" w:lineRule="auto"/>
        <w:rPr>
          <w:color w:val="000000"/>
        </w:rPr>
      </w:pPr>
    </w:p>
    <w:p w:rsidR="00E1615E" w:rsidRDefault="00FB0354">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E1615E" w:rsidRDefault="00E1615E">
      <w:pPr>
        <w:spacing w:after="0" w:line="360" w:lineRule="auto"/>
        <w:rPr>
          <w:color w:val="000000"/>
        </w:rPr>
      </w:pPr>
    </w:p>
    <w:p w:rsidR="00E1615E" w:rsidRDefault="00FB0354">
      <w:pPr>
        <w:spacing w:after="0" w:line="360" w:lineRule="auto"/>
        <w:rPr>
          <w:color w:val="000000"/>
        </w:rPr>
      </w:pPr>
      <w:r>
        <w:rPr>
          <w:color w:val="000000"/>
        </w:rPr>
        <w:t xml:space="preserve">En materia local, el artículo 5°, fracción I de la Constitución Política del Estado Libre y Soberano de México, es coincidente con la Constitución Federal, en el sentido de la </w:t>
      </w:r>
      <w:r>
        <w:rPr>
          <w:color w:val="000000"/>
        </w:rPr>
        <w:lastRenderedPageBreak/>
        <w:t>publicidad de toda la información, con la única restricción de proteger el interés público, así como la información referente a la intimidad de la vida privada y la imagen de las personas, con las excepciones que establezca la ley reglamentaria.</w:t>
      </w:r>
    </w:p>
    <w:p w:rsidR="00E1615E" w:rsidRDefault="00E1615E">
      <w:pPr>
        <w:spacing w:after="0" w:line="360" w:lineRule="auto"/>
        <w:rPr>
          <w:color w:val="000000"/>
        </w:rPr>
      </w:pPr>
    </w:p>
    <w:p w:rsidR="00E1615E" w:rsidRDefault="00FB0354">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rsidR="00E1615E" w:rsidRDefault="00E1615E">
      <w:pPr>
        <w:spacing w:after="0" w:line="360" w:lineRule="auto"/>
        <w:rPr>
          <w:color w:val="000000"/>
        </w:rPr>
      </w:pPr>
    </w:p>
    <w:p w:rsidR="00E1615E" w:rsidRDefault="00FB0354">
      <w:pPr>
        <w:spacing w:after="0" w:line="360" w:lineRule="auto"/>
        <w:rPr>
          <w:color w:val="000000"/>
        </w:rPr>
      </w:pPr>
      <w:r>
        <w:rPr>
          <w:color w:val="000000"/>
        </w:rPr>
        <w:t>El artículo 12, que, quienes generen, recopilen, administren, manejen, procesen, archiven o conserven información pública serán responsables de la misma.</w:t>
      </w:r>
    </w:p>
    <w:p w:rsidR="00E1615E" w:rsidRDefault="00E1615E">
      <w:pPr>
        <w:spacing w:after="0" w:line="360" w:lineRule="auto"/>
        <w:rPr>
          <w:color w:val="000000"/>
        </w:rPr>
      </w:pPr>
    </w:p>
    <w:p w:rsidR="00E1615E" w:rsidRDefault="00FB0354">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rsidR="00E1615E" w:rsidRDefault="00FB0354">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E1615E" w:rsidRDefault="00E1615E">
      <w:pPr>
        <w:spacing w:after="0" w:line="360" w:lineRule="auto"/>
      </w:pPr>
    </w:p>
    <w:p w:rsidR="00E1615E" w:rsidRDefault="00FB0354">
      <w:pPr>
        <w:pStyle w:val="Ttulo2"/>
        <w:spacing w:before="0" w:after="0" w:line="360" w:lineRule="auto"/>
        <w:rPr>
          <w:sz w:val="22"/>
          <w:szCs w:val="22"/>
        </w:rPr>
      </w:pPr>
      <w:bookmarkStart w:id="24" w:name="_heading=h.iruwv14p9yth" w:colFirst="0" w:colLast="0"/>
      <w:bookmarkStart w:id="25" w:name="_Toc221204376"/>
      <w:bookmarkEnd w:id="24"/>
      <w:r>
        <w:rPr>
          <w:sz w:val="22"/>
          <w:szCs w:val="22"/>
        </w:rPr>
        <w:t>QUINTO. Estudio de Fondo</w:t>
      </w:r>
      <w:bookmarkEnd w:id="25"/>
    </w:p>
    <w:p w:rsidR="00E1615E" w:rsidRDefault="00E1615E">
      <w:pPr>
        <w:spacing w:after="0" w:line="360" w:lineRule="auto"/>
        <w:rPr>
          <w:b/>
          <w:bCs/>
          <w:color w:val="000000"/>
        </w:rPr>
      </w:pPr>
    </w:p>
    <w:p w:rsidR="00E1615E" w:rsidRDefault="00FB0354">
      <w:pPr>
        <w:spacing w:after="0" w:line="360" w:lineRule="auto"/>
        <w:rPr>
          <w:color w:val="000000"/>
        </w:rPr>
      </w:pPr>
      <w:r>
        <w:rPr>
          <w:color w:val="000000"/>
        </w:rPr>
        <w:t>Expuestas las posturas de las partes, se procede al análisis de los agravios hechos valer por la persona Recurrente, por lo que, en principio es necesario contextualizar la solicitud de información.</w:t>
      </w:r>
    </w:p>
    <w:p w:rsidR="00E1615E" w:rsidRDefault="00E1615E">
      <w:pPr>
        <w:spacing w:after="0" w:line="360" w:lineRule="auto"/>
        <w:rPr>
          <w:color w:val="000000"/>
        </w:rPr>
      </w:pPr>
    </w:p>
    <w:p w:rsidR="00E1615E" w:rsidRDefault="00FB0354">
      <w:pPr>
        <w:spacing w:after="0" w:line="360" w:lineRule="auto"/>
      </w:pPr>
      <w:r>
        <w:t xml:space="preserve">Al respecto, el artículo 4°, fracción XVIII, de la Ley General de Contabilidad Gubernamental, establece que </w:t>
      </w:r>
      <w:r>
        <w:rPr>
          <w:b/>
          <w:bCs/>
        </w:rPr>
        <w:t xml:space="preserve">la información financiera consiste en información presupuestaria y contable </w:t>
      </w:r>
      <w:r>
        <w:rPr>
          <w:b/>
          <w:bCs/>
        </w:rPr>
        <w:lastRenderedPageBreak/>
        <w:t>que se expresa en unidades monetarias las transacciones que realiza un ente público y los eventos económicos identificables y cuantificable</w:t>
      </w:r>
      <w:r>
        <w:t xml:space="preserve"> la cual puede representarse por reportes, informes, estados y notas que expresan su situación financiera, los resultados de su operación y los cambios en su patrimonio.</w:t>
      </w:r>
    </w:p>
    <w:p w:rsidR="00E1615E" w:rsidRDefault="00FB0354">
      <w:pPr>
        <w:spacing w:after="0" w:line="360" w:lineRule="auto"/>
      </w:pPr>
      <w:r>
        <w:t>Además, el artículo 1º, de la Ley de Fiscalización Superior del Estado de México, el cual establece que el órgano Superior de Fiscalización del Estado de México contará con atribuciones en materia de revisión y fiscalización de los fondos y fideicomisos públicos, cuentas públicas, deuda pública, y de los actos relativos al ejercicio y aplicación de los recursos públicos de las entidades fiscalizables del estado de México.</w:t>
      </w:r>
    </w:p>
    <w:p w:rsidR="00E1615E" w:rsidRDefault="00E1615E">
      <w:pPr>
        <w:spacing w:after="0" w:line="360" w:lineRule="auto"/>
      </w:pPr>
    </w:p>
    <w:p w:rsidR="00E1615E" w:rsidRDefault="00FB0354">
      <w:pPr>
        <w:spacing w:after="0" w:line="360" w:lineRule="auto"/>
      </w:pPr>
      <w:r>
        <w:t xml:space="preserve">Por otra parte, los artículos 1°, fracción III, y 4°de la Ley de la de Contratación Pública del Estado de México y Municipios, especifica que los Ayuntamientos, serán los encargados de realizar los actos relativos a la planeación, programación, </w:t>
      </w:r>
      <w:proofErr w:type="spellStart"/>
      <w:r>
        <w:t>presupuestación</w:t>
      </w:r>
      <w:proofErr w:type="spellEnd"/>
      <w:r>
        <w:t xml:space="preserve">, ejecución y control de la adquisición (bienes muebles e inmuebles), arrendamiento (bienes muebles e inmuebles), y la contratación de servicios de cualquier naturaleza, que realicen los Organismos Descentralizados. </w:t>
      </w:r>
    </w:p>
    <w:p w:rsidR="00E1615E" w:rsidRDefault="00E1615E">
      <w:pPr>
        <w:spacing w:after="0" w:line="360" w:lineRule="auto"/>
      </w:pPr>
    </w:p>
    <w:p w:rsidR="00E1615E" w:rsidRDefault="00FB0354">
      <w:pPr>
        <w:spacing w:after="0" w:line="360" w:lineRule="auto"/>
      </w:pPr>
      <w:r>
        <w:t xml:space="preserve">Ahora bien, resulta necesario traer a colación, la Resolución Miscelánea Fiscal, establece que </w:t>
      </w:r>
      <w:r>
        <w:rPr>
          <w:b/>
          <w:bCs/>
          <w:u w:val="single"/>
        </w:rPr>
        <w:t>la factura</w:t>
      </w:r>
      <w:r>
        <w:t xml:space="preserve"> es lo mismo, que un Comprobante Fiscal Digital por Internet, por lo que, se puede considerar como el documento que comprueba la realización de una </w:t>
      </w:r>
      <w:r>
        <w:rPr>
          <w:b/>
          <w:bCs/>
        </w:rPr>
        <w:t xml:space="preserve">transacción </w:t>
      </w:r>
      <w:r>
        <w:t>comercial, entre un comprador y un vendedor, mediante el cual, el primero queda obligado a realizar un pago, mientras que el segundo, a entregar o brindar un producto o servicio.</w:t>
      </w:r>
    </w:p>
    <w:p w:rsidR="00E1615E" w:rsidRDefault="00E1615E">
      <w:pPr>
        <w:spacing w:after="0" w:line="360" w:lineRule="auto"/>
      </w:pPr>
    </w:p>
    <w:p w:rsidR="00E1615E" w:rsidRDefault="00FB0354">
      <w:pPr>
        <w:spacing w:after="0" w:line="360" w:lineRule="auto"/>
      </w:pPr>
      <w:r>
        <w:t xml:space="preserve">En ese sentido se tiene que los entes fiscalizables, tienen como obligación la de integrar y proporcionar los informes trimestrales, los cuales deberán atender los criterios generales que regirán la contabilidad gubernamental y la emisión de información financiera de los entes </w:t>
      </w:r>
      <w:r>
        <w:lastRenderedPageBreak/>
        <w:t>públicos, cabe mencionar que estos deberán presentarse dentro de los veinte días hábiles posteriores al término del trimestre que corresponda.</w:t>
      </w:r>
    </w:p>
    <w:p w:rsidR="00E1615E" w:rsidRDefault="00E1615E">
      <w:pPr>
        <w:spacing w:after="0" w:line="360" w:lineRule="auto"/>
      </w:pPr>
    </w:p>
    <w:p w:rsidR="00E1615E" w:rsidRDefault="00FB0354">
      <w:pPr>
        <w:spacing w:after="0" w:line="360" w:lineRule="auto"/>
      </w:pPr>
      <w:r>
        <w:t xml:space="preserve">En ese contexto, los Sujetos Obligados deben generar pólizas contables que corresponden a un documento en el que se asientan las operaciones desarrolladas, por el municipio y toda la información necesaria para su identificación, de esta manera se trae por analogía la Guía Técnica 8 “La Contabilidad y la Cuenta Pública Municipal”; además, dichas pólizas se dividen en las siguientes: </w:t>
      </w:r>
    </w:p>
    <w:p w:rsidR="00E1615E" w:rsidRDefault="00E1615E">
      <w:pPr>
        <w:spacing w:after="0" w:line="360" w:lineRule="auto"/>
      </w:pPr>
    </w:p>
    <w:p w:rsidR="00E1615E" w:rsidRDefault="00FB0354">
      <w:pPr>
        <w:numPr>
          <w:ilvl w:val="0"/>
          <w:numId w:val="4"/>
        </w:numPr>
        <w:spacing w:after="0" w:line="360" w:lineRule="auto"/>
      </w:pPr>
      <w:r>
        <w:rPr>
          <w:b/>
          <w:bCs/>
        </w:rPr>
        <w:t>Póliza de Ingresos:</w:t>
      </w:r>
      <w:r>
        <w:t xml:space="preserve"> Es aquella donde se anotan las operaciones que representan ingresos, esto es, entradas de dinero para el municipio. </w:t>
      </w:r>
    </w:p>
    <w:p w:rsidR="00E1615E" w:rsidRDefault="00E1615E">
      <w:pPr>
        <w:spacing w:after="0" w:line="360" w:lineRule="auto"/>
      </w:pPr>
    </w:p>
    <w:p w:rsidR="00E1615E" w:rsidRDefault="00FB0354">
      <w:pPr>
        <w:numPr>
          <w:ilvl w:val="0"/>
          <w:numId w:val="4"/>
        </w:numPr>
        <w:spacing w:after="0" w:line="360" w:lineRule="auto"/>
      </w:pPr>
      <w:r>
        <w:rPr>
          <w:b/>
          <w:bCs/>
        </w:rPr>
        <w:t>Póliza de Egresos:</w:t>
      </w:r>
      <w:r>
        <w:t xml:space="preserve"> Corresponde a aquella donde se anotan las operaciones que implique egresos, es decir, la salida de dinero, en efectivo o transferencia, para el municipio.</w:t>
      </w:r>
    </w:p>
    <w:p w:rsidR="00E1615E" w:rsidRDefault="00E1615E">
      <w:pPr>
        <w:spacing w:after="0" w:line="360" w:lineRule="auto"/>
        <w:ind w:left="720"/>
      </w:pPr>
    </w:p>
    <w:p w:rsidR="00E1615E" w:rsidRDefault="00FB0354">
      <w:pPr>
        <w:numPr>
          <w:ilvl w:val="0"/>
          <w:numId w:val="4"/>
        </w:numPr>
        <w:spacing w:after="0" w:line="360" w:lineRule="auto"/>
      </w:pPr>
      <w:r>
        <w:rPr>
          <w:b/>
          <w:bCs/>
        </w:rPr>
        <w:t>Póliza Cheque:</w:t>
      </w:r>
      <w:r>
        <w:t xml:space="preserve"> Es la que se elabora cuando la operación implique una salida de dinero del municipio, a través de un cheque.</w:t>
      </w:r>
    </w:p>
    <w:p w:rsidR="00E1615E" w:rsidRDefault="00E1615E">
      <w:pPr>
        <w:spacing w:after="0" w:line="360" w:lineRule="auto"/>
        <w:ind w:left="720"/>
      </w:pPr>
    </w:p>
    <w:p w:rsidR="00E1615E" w:rsidRDefault="00FB0354">
      <w:pPr>
        <w:numPr>
          <w:ilvl w:val="0"/>
          <w:numId w:val="4"/>
        </w:numPr>
        <w:spacing w:after="0" w:line="360" w:lineRule="auto"/>
      </w:pPr>
      <w:r>
        <w:rPr>
          <w:b/>
          <w:bCs/>
        </w:rPr>
        <w:t>Póliza de Diario:</w:t>
      </w:r>
      <w:r>
        <w:t xml:space="preserve"> Es la que se elabora cuando la operación que se está registrando no implica una entrada o una salida (ingreso o egreso) de dinero para el municipio.</w:t>
      </w:r>
    </w:p>
    <w:p w:rsidR="00E1615E" w:rsidRDefault="00E1615E">
      <w:pPr>
        <w:spacing w:after="0" w:line="360" w:lineRule="auto"/>
      </w:pPr>
    </w:p>
    <w:p w:rsidR="00E1615E" w:rsidRDefault="00FB0354">
      <w:pPr>
        <w:spacing w:after="0" w:line="360" w:lineRule="auto"/>
      </w:pPr>
      <w:r>
        <w:t xml:space="preserve">En ese orden de ideas, este Instituto revisó los Lineamientos para la Integración, Presentación y Envío de los Informes Trimestrales Municipales del Ejercicio Fiscal 2025, de los cuales se logra advertir que el Municipio debe entregar al Órgano Superior de Fiscalización, en el </w:t>
      </w:r>
      <w:r>
        <w:lastRenderedPageBreak/>
        <w:t xml:space="preserve">Módulo 1, entre otros documentos el Diario General de Pólizas, mismo que debe ser generado en formato “PDF” y “XLSX”; además, conforme al Instructivo de llenado de dicho formato, este tiene como finalidad concentrar </w:t>
      </w:r>
      <w:r>
        <w:rPr>
          <w:b/>
          <w:bCs/>
          <w:u w:val="single"/>
        </w:rPr>
        <w:t>el total de pólizas</w:t>
      </w:r>
      <w:r>
        <w:t xml:space="preserve"> que la enditad realizó en un determinado periodo.</w:t>
      </w:r>
    </w:p>
    <w:p w:rsidR="00E1615E" w:rsidRDefault="00FB0354">
      <w:pPr>
        <w:spacing w:after="0" w:line="360" w:lineRule="auto"/>
        <w:rPr>
          <w:color w:val="000000"/>
        </w:rPr>
      </w:pPr>
      <w:r>
        <w:rPr>
          <w:color w:val="000000"/>
        </w:rPr>
        <w:t xml:space="preserve">Ahora bien, el artículo 15, de la Ley que crea los organismos públicos descentralizados de asistencia social, denominados Sistemas Municipales para el Desarrollo Integral de la Familia, establece que la </w:t>
      </w:r>
      <w:r>
        <w:rPr>
          <w:b/>
          <w:bCs/>
          <w:color w:val="000000"/>
        </w:rPr>
        <w:t xml:space="preserve">Tesorería </w:t>
      </w:r>
      <w:r>
        <w:t>será el responsable del manejo del presupuesto del Sistema Municipal, y de la administración de los recursos que conforman el patrimonio del organismo, lo cual hará en coordinación con el Director, debiendo informar los estados financieros mensualmente a la Junta de Gobierno o cuando ésta y la presidencia lo soliciten.</w:t>
      </w:r>
    </w:p>
    <w:p w:rsidR="00E1615E" w:rsidRDefault="00E1615E">
      <w:pPr>
        <w:pBdr>
          <w:top w:val="nil"/>
          <w:left w:val="nil"/>
          <w:bottom w:val="nil"/>
          <w:right w:val="nil"/>
          <w:between w:val="nil"/>
        </w:pBdr>
        <w:spacing w:after="0" w:line="360" w:lineRule="auto"/>
        <w:ind w:left="720"/>
        <w:rPr>
          <w:color w:val="000000"/>
        </w:rPr>
      </w:pPr>
    </w:p>
    <w:p w:rsidR="00E1615E" w:rsidRDefault="00FB0354">
      <w:pPr>
        <w:spacing w:after="0" w:line="360" w:lineRule="auto"/>
      </w:pPr>
      <w:r>
        <w:rPr>
          <w:color w:val="000000"/>
        </w:rPr>
        <w:t>Esto sin dejar de lado que en conjunto con la Tesorería son los encargados de a</w:t>
      </w:r>
      <w:r>
        <w:t>dministrar la hacienda pública municipal, así como proponer y dirigir la política financiera y tributaria del Municipio</w:t>
      </w:r>
      <w:r>
        <w:rPr>
          <w:color w:val="000000"/>
        </w:rPr>
        <w:t xml:space="preserve">; al igual que </w:t>
      </w:r>
      <w:r>
        <w:t>llevar los registros presupuestales y contables requeridos, así como contestar oportunamente los pliegos de observaciones y responsabilidades que haga el Órgano Superior de Fiscalización del Estado de México, así como atender en tiempo y forma las solicitudes de información que éste requiera, informando al Consejo Directivo.</w:t>
      </w:r>
    </w:p>
    <w:p w:rsidR="00E1615E" w:rsidRDefault="00E1615E">
      <w:pPr>
        <w:spacing w:after="0" w:line="360" w:lineRule="auto"/>
        <w:rPr>
          <w:color w:val="000000"/>
        </w:rPr>
      </w:pPr>
    </w:p>
    <w:p w:rsidR="00E1615E" w:rsidRDefault="00FB0354">
      <w:pPr>
        <w:spacing w:after="0" w:line="360" w:lineRule="auto"/>
        <w:rPr>
          <w:color w:val="000000"/>
        </w:rPr>
      </w:pPr>
      <w:r>
        <w:rPr>
          <w:color w:val="000000"/>
        </w:rPr>
        <w:t>De tales circunstancias, se logra vislumbrar que la pretensión de la persona Recurrente, es obtener las facturas recibidas del primero de enero al dieciocho de septiembre de dos mil veinticinco.</w:t>
      </w:r>
    </w:p>
    <w:p w:rsidR="00E1615E" w:rsidRDefault="00E1615E">
      <w:pPr>
        <w:spacing w:after="0" w:line="360" w:lineRule="auto"/>
        <w:rPr>
          <w:color w:val="000000"/>
        </w:rPr>
      </w:pPr>
    </w:p>
    <w:p w:rsidR="00E1615E" w:rsidRDefault="00FB0354">
      <w:pPr>
        <w:spacing w:after="0" w:line="360" w:lineRule="auto"/>
        <w:ind w:right="-28"/>
        <w:rPr>
          <w:color w:val="000000"/>
        </w:rPr>
      </w:pPr>
      <w:r>
        <w:rPr>
          <w:color w:val="000000"/>
        </w:rPr>
        <w:t xml:space="preserve">Establecida dicha circunstancia, se procede analizar la respuesta entregada, para lo cual, es de señalar que de las constancias que de las constancias que obran en el expediente, se logra vislumbrar que quien dio atención a la solicitud de información fue el </w:t>
      </w:r>
      <w:r>
        <w:rPr>
          <w:b/>
          <w:bCs/>
          <w:color w:val="000000"/>
        </w:rPr>
        <w:t>Procurador de Protección de las niñas, niños y adolescentes</w:t>
      </w:r>
      <w:r>
        <w:rPr>
          <w:color w:val="000000"/>
        </w:rPr>
        <w:t xml:space="preserve">; es así, resulta necesario hacer referencia al </w:t>
      </w:r>
      <w:r>
        <w:rPr>
          <w:color w:val="000000"/>
        </w:rPr>
        <w:lastRenderedPageBreak/>
        <w:t>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rsidR="00E1615E" w:rsidRDefault="00E1615E">
      <w:pPr>
        <w:spacing w:after="0" w:line="360" w:lineRule="auto"/>
        <w:ind w:right="-28"/>
        <w:rPr>
          <w:color w:val="000000"/>
        </w:rPr>
      </w:pPr>
    </w:p>
    <w:p w:rsidR="00E1615E" w:rsidRDefault="00FB0354">
      <w:pPr>
        <w:spacing w:after="0" w:line="360" w:lineRule="auto"/>
        <w:ind w:right="-28"/>
        <w:rPr>
          <w:b/>
          <w:bCs/>
        </w:rPr>
      </w:pPr>
      <w:r>
        <w:rPr>
          <w:color w:val="000000"/>
        </w:rPr>
        <w:t>Conforme a lo expuesto en párrafos que anteceden, se advirtió que el Sujeto Obligado no cumplió con el procedimiento de búsqueda, pues omitió turnar la solicitud de información a la Tesorería Municipal, quien, se encarga de ver temas presupuestarios.</w:t>
      </w:r>
    </w:p>
    <w:p w:rsidR="00E1615E" w:rsidRDefault="00E1615E">
      <w:pPr>
        <w:spacing w:after="0" w:line="360" w:lineRule="auto"/>
        <w:ind w:right="-28"/>
        <w:rPr>
          <w:color w:val="000000"/>
        </w:rPr>
      </w:pPr>
    </w:p>
    <w:p w:rsidR="00E1615E" w:rsidRDefault="00FB0354">
      <w:pPr>
        <w:spacing w:after="0" w:line="360" w:lineRule="auto"/>
        <w:rPr>
          <w:color w:val="000000"/>
        </w:rPr>
      </w:pPr>
      <w:r>
        <w:rPr>
          <w:color w:val="000000"/>
        </w:rPr>
        <w:t xml:space="preserve">Ahora bien, en atención al requerimiento de información y los agravios hechos valer por la parte Recurrente, se advierte que la pretensión de la parte Recurrente es obtener </w:t>
      </w:r>
      <w:r>
        <w:rPr>
          <w:b/>
          <w:bCs/>
          <w:color w:val="000000"/>
        </w:rPr>
        <w:t>las facturas</w:t>
      </w:r>
      <w:r>
        <w:rPr>
          <w:color w:val="000000"/>
        </w:rPr>
        <w:t xml:space="preserve"> recibidas del primero de enero al dieciocho de septiembre de dos mil veinticinco.</w:t>
      </w:r>
    </w:p>
    <w:p w:rsidR="00E1615E" w:rsidRDefault="00E1615E">
      <w:pPr>
        <w:spacing w:after="0" w:line="360" w:lineRule="auto"/>
        <w:rPr>
          <w:color w:val="000000"/>
        </w:rPr>
      </w:pPr>
    </w:p>
    <w:p w:rsidR="00E1615E" w:rsidRDefault="00FB0354">
      <w:pPr>
        <w:spacing w:after="0" w:line="360" w:lineRule="auto"/>
        <w:rPr>
          <w:color w:val="000000"/>
        </w:rPr>
      </w:pPr>
      <w:r>
        <w:rPr>
          <w:color w:val="000000"/>
        </w:rPr>
        <w:t xml:space="preserve">En atención a ello, es de recordar que, en respuesta, el Sujeto Obligado adjuntó una lista de acciones en pro de los derechos de las niñas, niños y adolescentes, refiriéndose a otra solicitud tal como se muestra a continuación, a modo de ejemplo: </w:t>
      </w:r>
    </w:p>
    <w:p w:rsidR="00E1615E" w:rsidRDefault="00E1615E">
      <w:pPr>
        <w:spacing w:after="0" w:line="360" w:lineRule="auto"/>
        <w:rPr>
          <w:color w:val="000000"/>
        </w:rPr>
      </w:pPr>
    </w:p>
    <w:p w:rsidR="00E1615E" w:rsidRDefault="00FB0354">
      <w:pPr>
        <w:spacing w:after="0" w:line="360" w:lineRule="auto"/>
        <w:jc w:val="center"/>
        <w:rPr>
          <w:color w:val="000000"/>
        </w:rPr>
      </w:pPr>
      <w:r>
        <w:rPr>
          <w:noProof/>
          <w:color w:val="000000"/>
        </w:rPr>
        <w:lastRenderedPageBreak/>
        <w:drawing>
          <wp:inline distT="0" distB="0" distL="0" distR="0">
            <wp:extent cx="5068007" cy="2619741"/>
            <wp:effectExtent l="0" t="0" r="0" b="0"/>
            <wp:docPr id="14325137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068007" cy="2619741"/>
                    </a:xfrm>
                    <a:prstGeom prst="rect">
                      <a:avLst/>
                    </a:prstGeom>
                    <a:ln/>
                  </pic:spPr>
                </pic:pic>
              </a:graphicData>
            </a:graphic>
          </wp:inline>
        </w:drawing>
      </w:r>
    </w:p>
    <w:p w:rsidR="00E1615E" w:rsidRDefault="00FB0354">
      <w:pPr>
        <w:tabs>
          <w:tab w:val="center" w:pos="4522"/>
        </w:tabs>
        <w:spacing w:after="0" w:line="360" w:lineRule="auto"/>
        <w:rPr>
          <w:color w:val="000000"/>
        </w:rPr>
      </w:pPr>
      <w:r>
        <w:t xml:space="preserve">Conforme a lo expuesto, se logra vislumbrar que la respuesta del Sujeto Obligado carece de congruencia y exhaustividad, pues por una parte proporcionó información que no guarda relación y por la otra omitió pronunciarse sobre las facturas; </w:t>
      </w:r>
      <w:r>
        <w:rPr>
          <w:color w:val="000000"/>
        </w:rPr>
        <w:t>sobre el tema el artículo 1.8, fracciones IV y XIII, del Código Administrativo del Estado de México, establece que para que tenga validez, todo acto administrativo deberá resolver todos los puntos propuestos por los interesados, además deberá guardar congruencia con lo solicitado</w:t>
      </w:r>
    </w:p>
    <w:p w:rsidR="00E1615E" w:rsidRDefault="00E1615E">
      <w:pPr>
        <w:tabs>
          <w:tab w:val="center" w:pos="4522"/>
        </w:tabs>
        <w:spacing w:after="0" w:line="360" w:lineRule="auto"/>
        <w:rPr>
          <w:color w:val="000000"/>
        </w:rPr>
      </w:pPr>
    </w:p>
    <w:p w:rsidR="00E1615E" w:rsidRDefault="00FB0354">
      <w:pPr>
        <w:spacing w:after="0" w:line="360" w:lineRule="auto"/>
        <w:ind w:right="-28"/>
      </w:pPr>
      <w:r>
        <w:t xml:space="preserve">Sobre el tema, el artículo 1.8, fracciones IV y XIII, del Código Administrativo del Estado de México, establece que para que tenga validez, todo acto administrativo deberá resolver todos los puntos propuestos por los interesados, además deberá guardar congruencia con lo solicitado. Situación que se robustece, con el Criterio de Interpretación, con clave de control SO/002/2017, de la Segunda Época, emitido por el Instituto Nacional de Transparencia, Acceso a la Información y Protección de Datos Personales, que establece que todo acto administrativo debe apegarse al </w:t>
      </w:r>
      <w:r>
        <w:rPr>
          <w:b/>
          <w:bCs/>
        </w:rPr>
        <w:t>principio de congruencia y exhaustividad</w:t>
      </w:r>
      <w:r>
        <w:t xml:space="preserve">, entendiendo por éstos que se pronuncie expresamente sobre cada uno de los puntos requeridos y que existe concordancia entre el requerimiento formulado y la respuesta entregada, lo cual en materia </w:t>
      </w:r>
      <w:r>
        <w:lastRenderedPageBreak/>
        <w:t>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rsidR="00E1615E" w:rsidRDefault="00E1615E">
      <w:pPr>
        <w:spacing w:after="0" w:line="360" w:lineRule="auto"/>
        <w:ind w:right="-28"/>
      </w:pPr>
    </w:p>
    <w:p w:rsidR="00E1615E" w:rsidRDefault="00FB0354">
      <w:pPr>
        <w:spacing w:after="0" w:line="360" w:lineRule="auto"/>
        <w:ind w:right="-28"/>
        <w:rPr>
          <w:b/>
          <w:bCs/>
        </w:rPr>
      </w:pPr>
      <w:r>
        <w:t xml:space="preserve">Conforme a lo anterior, se logra vislumbrar, que el Sujeto Obligado no fue congruente al proporcionar información diversa a la solicitada y omitieron pronunciarse sobre la información referente a las facturas recibidas. Por lo que, se considera que, el Sujeto Obligado al haber proporcionado información que no guarda relación con lo solicitado; los agravios hechos valer por la parte Recurrente devienen </w:t>
      </w:r>
      <w:r>
        <w:rPr>
          <w:b/>
          <w:bCs/>
        </w:rPr>
        <w:t xml:space="preserve">FUNDADOS. </w:t>
      </w:r>
    </w:p>
    <w:p w:rsidR="00E1615E" w:rsidRDefault="00FB0354">
      <w:pPr>
        <w:spacing w:after="0" w:line="360" w:lineRule="auto"/>
      </w:pPr>
      <w:r>
        <w:t>Así, este Instituto considera que para atender el requerimiento de información, el Sujeto Obligado deberá realizar una búsqueda exhaustiva y razonable en todas las áreas competentes, entre las cuales no podrá omitir la Tesorería Municipal, en términos del artículo 162 de la Ley de Transparencia y Acceso a la Información Pública del Estado de México y Municipios, a efecto de que proporcione todas las facturas recibidas del primero de enero al dieciocho de septiembre de dos mil veinticinco.</w:t>
      </w:r>
    </w:p>
    <w:p w:rsidR="00E1615E" w:rsidRDefault="00E1615E">
      <w:pPr>
        <w:spacing w:after="0" w:line="360" w:lineRule="auto"/>
      </w:pPr>
    </w:p>
    <w:p w:rsidR="00E1615E" w:rsidRDefault="00FB0354">
      <w:pPr>
        <w:spacing w:after="0" w:line="360" w:lineRule="auto"/>
      </w:pPr>
      <w:r>
        <w:t>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00E1615E" w:rsidRDefault="00E1615E">
      <w:pPr>
        <w:spacing w:after="0" w:line="360" w:lineRule="auto"/>
        <w:rPr>
          <w:b/>
          <w:bCs/>
          <w:color w:val="000000"/>
        </w:rPr>
      </w:pPr>
    </w:p>
    <w:p w:rsidR="00E1615E" w:rsidRDefault="00FB0354">
      <w:pPr>
        <w:spacing w:after="0" w:line="360" w:lineRule="auto"/>
        <w:ind w:right="-28"/>
        <w:rPr>
          <w:color w:val="000000"/>
        </w:rPr>
      </w:pPr>
      <w:r>
        <w:rPr>
          <w:color w:val="000000"/>
        </w:rPr>
        <w:t xml:space="preserve">Finalmente, no pasa desapercibido para este Instituto que, en las facturas, de manera enunciativa mas no limitativa pudieran contener los siguientes datos resulta procedente </w:t>
      </w:r>
      <w:r>
        <w:rPr>
          <w:color w:val="000000"/>
        </w:rPr>
        <w:lastRenderedPageBreak/>
        <w:t>analizar si dichos datos son públicos o privados; para lo cual, el artículo 143, fracción I, de la Ley previamente citada, establece que la información privada y los datos personales, concernientes a una persona física o jurídica colectiva identificada o identificable son confidenciales.</w:t>
      </w:r>
    </w:p>
    <w:p w:rsidR="00E1615E" w:rsidRDefault="00E1615E">
      <w:pPr>
        <w:spacing w:after="0" w:line="360" w:lineRule="auto"/>
        <w:rPr>
          <w:color w:val="000000"/>
        </w:rPr>
      </w:pPr>
    </w:p>
    <w:p w:rsidR="00E1615E" w:rsidRDefault="00FB0354">
      <w:pPr>
        <w:numPr>
          <w:ilvl w:val="0"/>
          <w:numId w:val="6"/>
        </w:numPr>
        <w:spacing w:after="0" w:line="360" w:lineRule="auto"/>
        <w:ind w:left="993" w:hanging="426"/>
        <w:jc w:val="left"/>
        <w:rPr>
          <w:color w:val="000000"/>
        </w:rPr>
      </w:pPr>
      <w:r>
        <w:rPr>
          <w:color w:val="000000"/>
        </w:rPr>
        <w:t>Nombre del proveedor o contratista</w:t>
      </w:r>
    </w:p>
    <w:p w:rsidR="00E1615E" w:rsidRDefault="00FB0354">
      <w:pPr>
        <w:numPr>
          <w:ilvl w:val="0"/>
          <w:numId w:val="6"/>
        </w:numPr>
        <w:spacing w:after="0" w:line="360" w:lineRule="auto"/>
        <w:ind w:left="993" w:hanging="426"/>
        <w:jc w:val="left"/>
        <w:rPr>
          <w:color w:val="000000"/>
        </w:rPr>
      </w:pPr>
      <w:r>
        <w:rPr>
          <w:color w:val="000000"/>
        </w:rPr>
        <w:t>Registro Federal de Contribuyentes (RFC) de proveedores o contratista;</w:t>
      </w:r>
    </w:p>
    <w:p w:rsidR="00E1615E" w:rsidRDefault="00FB0354">
      <w:pPr>
        <w:numPr>
          <w:ilvl w:val="0"/>
          <w:numId w:val="6"/>
        </w:numPr>
        <w:spacing w:after="0" w:line="360" w:lineRule="auto"/>
        <w:ind w:left="993" w:hanging="426"/>
        <w:jc w:val="left"/>
        <w:rPr>
          <w:color w:val="000000"/>
        </w:rPr>
      </w:pPr>
      <w:r>
        <w:rPr>
          <w:color w:val="000000"/>
        </w:rPr>
        <w:t>Código Bidimensional o QR;</w:t>
      </w:r>
    </w:p>
    <w:p w:rsidR="00E1615E" w:rsidRDefault="00FB0354">
      <w:pPr>
        <w:numPr>
          <w:ilvl w:val="0"/>
          <w:numId w:val="6"/>
        </w:numPr>
        <w:spacing w:after="0" w:line="360" w:lineRule="auto"/>
        <w:ind w:left="993" w:hanging="426"/>
        <w:jc w:val="left"/>
        <w:rPr>
          <w:color w:val="000000"/>
        </w:rPr>
      </w:pPr>
      <w:r>
        <w:rPr>
          <w:color w:val="000000"/>
        </w:rPr>
        <w:t>Domicilio Fiscal del proveedor;</w:t>
      </w:r>
    </w:p>
    <w:p w:rsidR="00E1615E" w:rsidRDefault="00FB0354">
      <w:pPr>
        <w:numPr>
          <w:ilvl w:val="0"/>
          <w:numId w:val="6"/>
        </w:numPr>
        <w:spacing w:after="0" w:line="360" w:lineRule="auto"/>
        <w:ind w:left="993" w:hanging="426"/>
        <w:jc w:val="left"/>
        <w:rPr>
          <w:color w:val="000000"/>
        </w:rPr>
      </w:pPr>
      <w:r>
        <w:rPr>
          <w:color w:val="000000"/>
        </w:rPr>
        <w:t>Lugar de Expedición de la factura;</w:t>
      </w:r>
    </w:p>
    <w:p w:rsidR="00E1615E" w:rsidRDefault="00FB0354">
      <w:pPr>
        <w:numPr>
          <w:ilvl w:val="0"/>
          <w:numId w:val="6"/>
        </w:numPr>
        <w:spacing w:after="0" w:line="360" w:lineRule="auto"/>
        <w:ind w:left="993" w:hanging="426"/>
        <w:jc w:val="left"/>
        <w:rPr>
          <w:color w:val="000000"/>
        </w:rPr>
      </w:pPr>
      <w:r>
        <w:rPr>
          <w:color w:val="000000"/>
        </w:rPr>
        <w:t>Uso CFDI o efecto del comprobante;</w:t>
      </w:r>
    </w:p>
    <w:p w:rsidR="00E1615E" w:rsidRDefault="00FB0354">
      <w:pPr>
        <w:numPr>
          <w:ilvl w:val="0"/>
          <w:numId w:val="6"/>
        </w:numPr>
        <w:spacing w:after="0" w:line="360" w:lineRule="auto"/>
        <w:ind w:left="993" w:hanging="426"/>
        <w:jc w:val="left"/>
        <w:rPr>
          <w:color w:val="000000"/>
        </w:rPr>
      </w:pPr>
      <w:r>
        <w:rPr>
          <w:color w:val="000000"/>
        </w:rPr>
        <w:t>Sellos digitales del emisor y del Servicio de Administración Tributaria y cadena original del complemento de certificación digital del órgano previamente señalado; así como sus respectivos números de serie de los certificados de sellos digitales, folio fiscal, y la fecha y hora de certificación, y</w:t>
      </w:r>
    </w:p>
    <w:p w:rsidR="00E1615E" w:rsidRDefault="00FB0354">
      <w:pPr>
        <w:numPr>
          <w:ilvl w:val="0"/>
          <w:numId w:val="6"/>
        </w:numPr>
        <w:spacing w:after="0" w:line="360" w:lineRule="auto"/>
        <w:ind w:left="993" w:hanging="426"/>
        <w:jc w:val="left"/>
        <w:rPr>
          <w:color w:val="000000"/>
        </w:rPr>
      </w:pPr>
      <w:r>
        <w:rPr>
          <w:color w:val="000000"/>
        </w:rPr>
        <w:t>Folio del Comprobante Fiscal Digital por Internet</w:t>
      </w:r>
    </w:p>
    <w:p w:rsidR="00E1615E" w:rsidRDefault="00E1615E">
      <w:pPr>
        <w:spacing w:after="0" w:line="360" w:lineRule="auto"/>
        <w:rPr>
          <w:color w:val="000000"/>
        </w:rPr>
      </w:pPr>
    </w:p>
    <w:p w:rsidR="00E1615E" w:rsidRDefault="00FB0354">
      <w:pPr>
        <w:spacing w:after="0" w:line="360" w:lineRule="auto"/>
        <w:rPr>
          <w:color w:val="000000"/>
        </w:rPr>
      </w:pPr>
      <w:r>
        <w:rPr>
          <w:color w:val="000000"/>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E1615E" w:rsidRDefault="00E1615E">
      <w:pPr>
        <w:spacing w:after="0" w:line="360" w:lineRule="auto"/>
        <w:rPr>
          <w:color w:val="000000"/>
        </w:rPr>
      </w:pPr>
    </w:p>
    <w:p w:rsidR="00E1615E" w:rsidRDefault="00FB0354">
      <w:pPr>
        <w:spacing w:after="0" w:line="360" w:lineRule="auto"/>
        <w:rPr>
          <w:color w:val="000000"/>
        </w:rPr>
      </w:pPr>
      <w:r>
        <w:rPr>
          <w:color w:val="000000"/>
        </w:rPr>
        <w:lastRenderedPageBreak/>
        <w:t>En términos de lo expuesto, la documentación y aquellos datos que se consideren confidenciales, serán una limitante del derecho de acceso a la información, siempre y cuando:</w:t>
      </w:r>
    </w:p>
    <w:p w:rsidR="00E1615E" w:rsidRDefault="00E1615E">
      <w:pPr>
        <w:spacing w:after="0" w:line="360" w:lineRule="auto"/>
        <w:rPr>
          <w:color w:val="000000"/>
        </w:rPr>
      </w:pPr>
    </w:p>
    <w:p w:rsidR="00E1615E" w:rsidRDefault="00FB0354">
      <w:pPr>
        <w:numPr>
          <w:ilvl w:val="0"/>
          <w:numId w:val="7"/>
        </w:numPr>
        <w:pBdr>
          <w:top w:val="nil"/>
          <w:left w:val="nil"/>
          <w:bottom w:val="nil"/>
          <w:right w:val="nil"/>
          <w:between w:val="nil"/>
        </w:pBdr>
        <w:spacing w:after="0" w:line="360" w:lineRule="auto"/>
        <w:rPr>
          <w:color w:val="000000"/>
        </w:rPr>
      </w:pPr>
      <w:r>
        <w:rPr>
          <w:color w:val="000000"/>
        </w:rPr>
        <w:t xml:space="preserve">Se trate de datos personales o información privada; esto es, información concerniente a una persona física o jurídico colectiva y que esta sea identificada o identificable. </w:t>
      </w:r>
    </w:p>
    <w:p w:rsidR="00E1615E" w:rsidRDefault="00FB0354">
      <w:pPr>
        <w:numPr>
          <w:ilvl w:val="0"/>
          <w:numId w:val="7"/>
        </w:numPr>
        <w:pBdr>
          <w:top w:val="nil"/>
          <w:left w:val="nil"/>
          <w:bottom w:val="nil"/>
          <w:right w:val="nil"/>
          <w:between w:val="nil"/>
        </w:pBdr>
        <w:spacing w:after="0" w:line="360" w:lineRule="auto"/>
        <w:jc w:val="left"/>
        <w:rPr>
          <w:color w:val="000000"/>
        </w:rPr>
      </w:pPr>
      <w:r>
        <w:rPr>
          <w:color w:val="000000"/>
        </w:rPr>
        <w:t xml:space="preserve">Para la difusión de los datos, se requiera el consentimiento del titular. </w:t>
      </w:r>
    </w:p>
    <w:p w:rsidR="00E1615E" w:rsidRDefault="00E1615E">
      <w:pPr>
        <w:spacing w:after="0" w:line="360" w:lineRule="auto"/>
        <w:rPr>
          <w:color w:val="000000"/>
        </w:rPr>
      </w:pPr>
    </w:p>
    <w:p w:rsidR="00E1615E" w:rsidRDefault="00FB0354">
      <w:pPr>
        <w:spacing w:after="0" w:line="360" w:lineRule="auto"/>
        <w:rPr>
          <w:color w:val="000000"/>
        </w:rPr>
      </w:pPr>
      <w:r>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rsidR="00E1615E" w:rsidRDefault="00E1615E">
      <w:pPr>
        <w:spacing w:after="0" w:line="360" w:lineRule="auto"/>
        <w:rPr>
          <w:color w:val="000000"/>
        </w:rPr>
      </w:pPr>
    </w:p>
    <w:p w:rsidR="00E1615E" w:rsidRDefault="00FB0354">
      <w:pPr>
        <w:spacing w:after="0" w:line="360" w:lineRule="auto"/>
        <w:rPr>
          <w:color w:val="000000"/>
        </w:rPr>
      </w:pPr>
      <w:r>
        <w:rPr>
          <w:color w:val="000000"/>
        </w:rPr>
        <w:t>Además, en el artículo 5° de dicho ordenamiento jurídico, establece que es la Ley aplicable para todo tratamiento de datos personales.</w:t>
      </w:r>
    </w:p>
    <w:p w:rsidR="00E1615E" w:rsidRDefault="00E1615E">
      <w:pPr>
        <w:spacing w:after="0" w:line="360" w:lineRule="auto"/>
        <w:rPr>
          <w:color w:val="000000"/>
        </w:rPr>
      </w:pPr>
    </w:p>
    <w:p w:rsidR="00E1615E" w:rsidRDefault="00FB0354">
      <w:pPr>
        <w:spacing w:after="0" w:line="360" w:lineRule="auto"/>
        <w:rPr>
          <w:color w:val="000000"/>
        </w:rPr>
      </w:pPr>
      <w:r>
        <w:rPr>
          <w:color w:val="000000"/>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E1615E" w:rsidRDefault="00E1615E">
      <w:pPr>
        <w:spacing w:after="0" w:line="360" w:lineRule="auto"/>
        <w:rPr>
          <w:color w:val="000000"/>
        </w:rPr>
      </w:pPr>
    </w:p>
    <w:p w:rsidR="00E1615E" w:rsidRDefault="00FB0354">
      <w:pPr>
        <w:spacing w:after="0" w:line="360" w:lineRule="auto"/>
        <w:rPr>
          <w:color w:val="000000"/>
        </w:rPr>
      </w:pPr>
      <w:r>
        <w:rPr>
          <w:color w:val="000000"/>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rsidR="00E1615E" w:rsidRDefault="00E1615E">
      <w:pPr>
        <w:spacing w:after="0" w:line="360" w:lineRule="auto"/>
        <w:rPr>
          <w:b/>
          <w:bCs/>
          <w:color w:val="000000"/>
        </w:rPr>
      </w:pPr>
    </w:p>
    <w:p w:rsidR="00E1615E" w:rsidRDefault="00FB0354">
      <w:pPr>
        <w:numPr>
          <w:ilvl w:val="0"/>
          <w:numId w:val="3"/>
        </w:numPr>
        <w:spacing w:after="0" w:line="360" w:lineRule="auto"/>
        <w:jc w:val="left"/>
        <w:rPr>
          <w:b/>
          <w:bCs/>
        </w:rPr>
      </w:pPr>
      <w:r>
        <w:rPr>
          <w:b/>
          <w:bCs/>
        </w:rPr>
        <w:t>Nombre de personas físicas proveedores.</w:t>
      </w:r>
    </w:p>
    <w:p w:rsidR="00E1615E" w:rsidRDefault="00E1615E">
      <w:pPr>
        <w:spacing w:after="0" w:line="360" w:lineRule="auto"/>
        <w:rPr>
          <w:b/>
          <w:bCs/>
        </w:rPr>
      </w:pPr>
    </w:p>
    <w:p w:rsidR="00E1615E" w:rsidRDefault="00FB0354">
      <w:pPr>
        <w:spacing w:after="0" w:line="360" w:lineRule="auto"/>
        <w:ind w:right="-93"/>
      </w:pPr>
      <w:r>
        <w:t xml:space="preserve">Al respecto, cabe precisar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Pr>
          <w:i/>
          <w:iCs/>
        </w:rPr>
        <w:t>per se</w:t>
      </w:r>
      <w:r>
        <w:t xml:space="preserve"> es un elemento que hace a una persona física identificada o identificable.</w:t>
      </w:r>
    </w:p>
    <w:p w:rsidR="00E1615E" w:rsidRDefault="00E1615E">
      <w:pPr>
        <w:spacing w:after="0" w:line="360" w:lineRule="auto"/>
        <w:ind w:right="-93"/>
      </w:pPr>
    </w:p>
    <w:p w:rsidR="00E1615E" w:rsidRDefault="00FB0354">
      <w:pPr>
        <w:spacing w:after="0" w:line="360" w:lineRule="auto"/>
        <w:ind w:right="-93"/>
      </w:pPr>
      <w:r>
        <w:t xml:space="preserve">En ese contexto,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excepción tratándose de </w:t>
      </w:r>
      <w:r>
        <w:rPr>
          <w:b/>
          <w:bCs/>
        </w:rPr>
        <w:t>los nombres de aquellos que reciben recursos públicos (proveedores),</w:t>
      </w:r>
      <w:r>
        <w:t xml:space="preserve"> ya que la difusión de dicho dato constituye una obligación de transparencia por parte de los sujetos obligados.</w:t>
      </w:r>
    </w:p>
    <w:p w:rsidR="00E1615E" w:rsidRDefault="00E1615E">
      <w:pPr>
        <w:spacing w:after="0" w:line="360" w:lineRule="auto"/>
        <w:ind w:right="-93"/>
      </w:pPr>
    </w:p>
    <w:p w:rsidR="00E1615E" w:rsidRDefault="00FB0354">
      <w:pPr>
        <w:spacing w:after="0" w:line="360" w:lineRule="auto"/>
        <w:ind w:right="-93"/>
        <w:rPr>
          <w:b/>
          <w:bCs/>
        </w:rPr>
      </w:pPr>
      <w:r>
        <w:t xml:space="preserve">Toma sustento con el artículo 92, fracciones XXXI, de la Ley de la materia, el cual establece que los sujetos obligados tienen la obligación de poner a disposición del público y mantener </w:t>
      </w:r>
      <w:r>
        <w:lastRenderedPageBreak/>
        <w:t xml:space="preserve">actualizada de acuerdo con sus facultades, atribuciones, funciones u objeto social, según corresponda el </w:t>
      </w:r>
      <w:r>
        <w:rPr>
          <w:b/>
          <w:bCs/>
        </w:rPr>
        <w:t>Padrón de proveedores y contratistas.</w:t>
      </w:r>
    </w:p>
    <w:p w:rsidR="00E1615E" w:rsidRDefault="00E1615E">
      <w:pPr>
        <w:spacing w:after="0" w:line="360" w:lineRule="auto"/>
        <w:ind w:right="-93"/>
        <w:rPr>
          <w:b/>
          <w:bCs/>
        </w:rPr>
      </w:pPr>
    </w:p>
    <w:p w:rsidR="00E1615E" w:rsidRDefault="00FB0354">
      <w:pPr>
        <w:spacing w:after="0" w:line="360" w:lineRule="auto"/>
        <w:ind w:right="-93"/>
      </w:pPr>
      <w:r>
        <w:t>Además, se robustece con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rsidR="00E1615E" w:rsidRDefault="00E1615E">
      <w:pPr>
        <w:spacing w:after="0" w:line="360" w:lineRule="auto"/>
        <w:ind w:right="-93"/>
      </w:pPr>
    </w:p>
    <w:p w:rsidR="00E1615E" w:rsidRDefault="00FB0354">
      <w:pPr>
        <w:spacing w:after="0" w:line="240" w:lineRule="auto"/>
        <w:ind w:right="-93"/>
        <w:rPr>
          <w:b/>
          <w:bCs/>
        </w:rPr>
      </w:pPr>
      <w:r>
        <w:rPr>
          <w:rFonts w:ascii="Times New Roman" w:eastAsia="Times New Roman" w:hAnsi="Times New Roman" w:cs="Times New Roman"/>
          <w:noProof/>
          <w:sz w:val="20"/>
          <w:szCs w:val="20"/>
        </w:rPr>
        <w:drawing>
          <wp:inline distT="0" distB="0" distL="0" distR="0">
            <wp:extent cx="5743575" cy="752475"/>
            <wp:effectExtent l="0" t="0" r="0" b="0"/>
            <wp:docPr id="14325137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43575" cy="752475"/>
                    </a:xfrm>
                    <a:prstGeom prst="rect">
                      <a:avLst/>
                    </a:prstGeom>
                    <a:ln/>
                  </pic:spPr>
                </pic:pic>
              </a:graphicData>
            </a:graphic>
          </wp:inline>
        </w:drawing>
      </w:r>
    </w:p>
    <w:p w:rsidR="00E1615E" w:rsidRDefault="00FB0354">
      <w:pPr>
        <w:spacing w:after="0" w:line="360" w:lineRule="auto"/>
        <w:ind w:right="-93"/>
        <w:rPr>
          <w:b/>
          <w:bCs/>
        </w:rPr>
      </w:pPr>
      <w:r>
        <w:rPr>
          <w:rFonts w:ascii="Times New Roman" w:eastAsia="Times New Roman" w:hAnsi="Times New Roman" w:cs="Times New Roman"/>
          <w:noProof/>
          <w:sz w:val="20"/>
          <w:szCs w:val="20"/>
        </w:rPr>
        <w:drawing>
          <wp:inline distT="0" distB="0" distL="0" distR="0">
            <wp:extent cx="5743575" cy="495300"/>
            <wp:effectExtent l="0" t="0" r="0" b="0"/>
            <wp:docPr id="14325137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b="-374"/>
                    <a:stretch>
                      <a:fillRect/>
                    </a:stretch>
                  </pic:blipFill>
                  <pic:spPr>
                    <a:xfrm>
                      <a:off x="0" y="0"/>
                      <a:ext cx="5743575" cy="495300"/>
                    </a:xfrm>
                    <a:prstGeom prst="rect">
                      <a:avLst/>
                    </a:prstGeom>
                    <a:ln/>
                  </pic:spPr>
                </pic:pic>
              </a:graphicData>
            </a:graphic>
          </wp:inline>
        </w:drawing>
      </w:r>
    </w:p>
    <w:p w:rsidR="00E1615E" w:rsidRDefault="00E1615E">
      <w:pPr>
        <w:spacing w:after="0" w:line="360" w:lineRule="auto"/>
        <w:ind w:right="-93"/>
        <w:rPr>
          <w:b/>
          <w:bCs/>
        </w:rPr>
      </w:pPr>
    </w:p>
    <w:p w:rsidR="00E1615E" w:rsidRDefault="00FB0354">
      <w:pPr>
        <w:spacing w:after="0" w:line="360" w:lineRule="auto"/>
        <w:ind w:right="-93"/>
        <w:rPr>
          <w:b/>
          <w:bCs/>
        </w:rPr>
      </w:pPr>
      <w:r>
        <w:t xml:space="preserve">Por lo tanto, la Ley de Transparencia y Acceso a la Información Pública del Estado de México y Municipios, considera que </w:t>
      </w:r>
      <w:r>
        <w:rPr>
          <w:b/>
          <w:bCs/>
        </w:rPr>
        <w:t xml:space="preserve">los datos de aquellas personas que recibieron recursos públicos, por regla general, </w:t>
      </w:r>
      <w:r>
        <w:t xml:space="preserve">son de naturaleza pública, ya que su publicidad orienta a cumplir los objetivos que persigue la Ley; toda vez, </w:t>
      </w:r>
      <w:r>
        <w:rPr>
          <w:b/>
          <w:bCs/>
        </w:rPr>
        <w:t>que ayuda a transparentar a quienes se les han otorgado recursos públicos, así como, porque razones se les otorgaron dichos montos.</w:t>
      </w:r>
    </w:p>
    <w:p w:rsidR="00E1615E" w:rsidRDefault="00E1615E">
      <w:pPr>
        <w:spacing w:after="0" w:line="360" w:lineRule="auto"/>
        <w:rPr>
          <w:b/>
          <w:bCs/>
        </w:rPr>
      </w:pPr>
    </w:p>
    <w:p w:rsidR="00E1615E" w:rsidRDefault="00FB0354">
      <w:pPr>
        <w:spacing w:after="0" w:line="360" w:lineRule="auto"/>
      </w:pPr>
      <w:r>
        <w:t>Por lo que, se considera que no procede la clasificación del nombre de los proveedores, en términos del artículo 143, fracción I de la Ley de Transparencia y Acceso a la Información Pública del Estado de México y Municipios.</w:t>
      </w:r>
    </w:p>
    <w:p w:rsidR="00E1615E" w:rsidRDefault="00FB0354">
      <w:pPr>
        <w:numPr>
          <w:ilvl w:val="0"/>
          <w:numId w:val="3"/>
        </w:numPr>
        <w:spacing w:after="0" w:line="360" w:lineRule="auto"/>
        <w:jc w:val="left"/>
        <w:rPr>
          <w:b/>
          <w:bCs/>
        </w:rPr>
      </w:pPr>
      <w:r>
        <w:rPr>
          <w:b/>
          <w:bCs/>
        </w:rPr>
        <w:t>Denominación o razón Social de proveedores personas morales.</w:t>
      </w:r>
    </w:p>
    <w:p w:rsidR="00E1615E" w:rsidRDefault="00E1615E">
      <w:pPr>
        <w:spacing w:after="0" w:line="360" w:lineRule="auto"/>
        <w:rPr>
          <w:b/>
          <w:bCs/>
        </w:rPr>
      </w:pPr>
    </w:p>
    <w:p w:rsidR="00E1615E" w:rsidRDefault="00FB0354">
      <w:pPr>
        <w:spacing w:after="0" w:line="360" w:lineRule="auto"/>
      </w:pPr>
      <w:r>
        <w:t>Al respecto, se considera que la denominación o razón social de una persona moral, es pública, pues dichos datos se encuentran inscritos en el Registro Público del Comercio; lo anterior, toma sustento en el Criterio de Interpretación, de la Segunda Época, con número de registro SO/008/2019, emitido por el Instituto Nacional de Transparencia, Acceso a la Información y Protección de Datos Personales, que precisa lo siguiente:</w:t>
      </w:r>
    </w:p>
    <w:p w:rsidR="00E1615E" w:rsidRDefault="00E1615E">
      <w:pPr>
        <w:spacing w:after="0" w:line="360" w:lineRule="auto"/>
      </w:pPr>
    </w:p>
    <w:p w:rsidR="00E1615E" w:rsidRDefault="00FB0354">
      <w:pPr>
        <w:spacing w:after="0" w:line="360" w:lineRule="auto"/>
        <w:ind w:left="567" w:right="567"/>
        <w:rPr>
          <w:i/>
          <w:iCs/>
          <w:sz w:val="20"/>
          <w:szCs w:val="20"/>
        </w:rPr>
      </w:pPr>
      <w:r>
        <w:rPr>
          <w:b/>
          <w:bCs/>
          <w:i/>
          <w:iCs/>
          <w:sz w:val="20"/>
          <w:szCs w:val="20"/>
        </w:rPr>
        <w:t xml:space="preserve">“Razón social y RFC de personas morales. </w:t>
      </w:r>
      <w:r>
        <w:rPr>
          <w:i/>
          <w:iCs/>
          <w:sz w:val="20"/>
          <w:szCs w:val="20"/>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rsidR="00E1615E" w:rsidRDefault="00E1615E">
      <w:pPr>
        <w:spacing w:after="0" w:line="360" w:lineRule="auto"/>
        <w:rPr>
          <w:b/>
          <w:bCs/>
        </w:rPr>
      </w:pPr>
    </w:p>
    <w:p w:rsidR="00E1615E" w:rsidRDefault="00FB0354">
      <w:pPr>
        <w:spacing w:after="0" w:line="360" w:lineRule="auto"/>
      </w:pPr>
      <w:r>
        <w:t>Lo anterior, se robustece con el hecho de que el Ente Recurrido tiene como obligación común de transparencia, poner a disposición del público el padrón de proveedores y contratistas, que como se advirtió en párrafos anteriores debe incluir la denominación o razón social del proveedor o contratista, de conformidad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rsidR="00E1615E" w:rsidRDefault="00E1615E">
      <w:pPr>
        <w:spacing w:after="0" w:line="360" w:lineRule="auto"/>
      </w:pPr>
    </w:p>
    <w:p w:rsidR="00E1615E" w:rsidRDefault="00FB0354">
      <w:pPr>
        <w:spacing w:after="0" w:line="360" w:lineRule="auto"/>
      </w:pPr>
      <w:r>
        <w:t>Por lo tanto, no procede la clasificación de la denominación o razón social de los proveedores personas morales, en términos del artículo 143, fracción I de la Ley de Transparencia y Acceso a la Información Pública del Estado de México y Municipios.</w:t>
      </w:r>
    </w:p>
    <w:p w:rsidR="00E1615E" w:rsidRDefault="00E1615E">
      <w:pPr>
        <w:spacing w:after="0" w:line="360" w:lineRule="auto"/>
        <w:rPr>
          <w:b/>
          <w:bCs/>
          <w:color w:val="000000"/>
        </w:rPr>
      </w:pPr>
    </w:p>
    <w:p w:rsidR="00E1615E" w:rsidRDefault="00FB0354">
      <w:pPr>
        <w:numPr>
          <w:ilvl w:val="0"/>
          <w:numId w:val="8"/>
        </w:numPr>
        <w:pBdr>
          <w:top w:val="nil"/>
          <w:left w:val="nil"/>
          <w:bottom w:val="nil"/>
          <w:right w:val="nil"/>
          <w:between w:val="nil"/>
        </w:pBdr>
        <w:spacing w:after="0" w:line="360" w:lineRule="auto"/>
        <w:jc w:val="left"/>
        <w:rPr>
          <w:b/>
          <w:bCs/>
          <w:color w:val="000000"/>
        </w:rPr>
      </w:pPr>
      <w:r>
        <w:rPr>
          <w:b/>
          <w:bCs/>
          <w:color w:val="000000"/>
        </w:rPr>
        <w:lastRenderedPageBreak/>
        <w:t>Registro Federal de Contribuyentes del proveedor o contratista</w:t>
      </w:r>
    </w:p>
    <w:p w:rsidR="00E1615E" w:rsidRDefault="00E1615E">
      <w:pPr>
        <w:spacing w:after="0" w:line="360" w:lineRule="auto"/>
        <w:rPr>
          <w:color w:val="000000"/>
        </w:rPr>
      </w:pPr>
    </w:p>
    <w:p w:rsidR="00E1615E" w:rsidRDefault="00FB0354">
      <w:pPr>
        <w:spacing w:after="0" w:line="360" w:lineRule="auto"/>
        <w:rPr>
          <w:b/>
          <w:bCs/>
          <w:color w:val="000000"/>
        </w:rPr>
      </w:pPr>
      <w:r>
        <w:rPr>
          <w:b/>
          <w:bCs/>
          <w:color w:val="000000"/>
        </w:rPr>
        <w:t>Persona física</w:t>
      </w:r>
    </w:p>
    <w:p w:rsidR="00E1615E" w:rsidRDefault="00E1615E">
      <w:pPr>
        <w:spacing w:after="0" w:line="360" w:lineRule="auto"/>
        <w:rPr>
          <w:color w:val="000000"/>
        </w:rPr>
      </w:pPr>
    </w:p>
    <w:p w:rsidR="00E1615E" w:rsidRDefault="00FB0354">
      <w:pPr>
        <w:spacing w:after="0" w:line="360" w:lineRule="auto"/>
        <w:rPr>
          <w:color w:val="000000"/>
        </w:rPr>
      </w:pPr>
      <w:r>
        <w:rPr>
          <w:color w:val="000000"/>
        </w:rPr>
        <w:t>Al respecto, es necesario precisar que el proveedor de cualquier Sujeto Obligado de la Ley de la materia, que sea una persona física, debe cumplir con los requisitos establecidos en los artículos 29 y 32 del Reglamento de la Ley de Contratación Pública del Estado de México y Municipios; es decir, para que los individuos puedan participar en actos de adquisición o de contratación de servicios que requieran las dependencias, organismos auxiliares y tribunales administrativos, así como los Gobiernos Municipales, deberán presentar, entre otras cosas, la cédula de identificación fiscal (Registro Federal de Contribuyentes); por lo que la entrega de dicho dato permite verificar cumplimiento de esta disposición legal.</w:t>
      </w:r>
    </w:p>
    <w:p w:rsidR="00E1615E" w:rsidRDefault="00E1615E">
      <w:pPr>
        <w:spacing w:after="0" w:line="360" w:lineRule="auto"/>
        <w:rPr>
          <w:color w:val="000000"/>
        </w:rPr>
      </w:pPr>
    </w:p>
    <w:p w:rsidR="00E1615E" w:rsidRDefault="00FB0354">
      <w:pPr>
        <w:spacing w:after="0" w:line="360" w:lineRule="auto"/>
        <w:rPr>
          <w:color w:val="000000"/>
        </w:rPr>
      </w:pPr>
      <w:r>
        <w:rPr>
          <w:color w:val="000000"/>
        </w:rPr>
        <w:t>Por lo tanto, en el presente caso, si bien el Registro Federal de Contribuyentes de personas físicas es un dato personal, también lo es, que corresponde a un requisito indispensable para ser proveedor y poder llevar a cabo actividades comerciales con la Entidad, ya que, sin este, no se pueden realizar dichas acciones, por lo que su entrega es un elemento adicional que respalda la legalidad de los procesos adquisitivos.</w:t>
      </w:r>
    </w:p>
    <w:p w:rsidR="00E1615E" w:rsidRDefault="00E1615E">
      <w:pPr>
        <w:spacing w:after="0" w:line="360" w:lineRule="auto"/>
        <w:rPr>
          <w:color w:val="000000"/>
        </w:rPr>
      </w:pPr>
    </w:p>
    <w:p w:rsidR="00E1615E" w:rsidRDefault="00FB0354">
      <w:pPr>
        <w:spacing w:after="0" w:line="360" w:lineRule="auto"/>
        <w:rPr>
          <w:color w:val="000000"/>
        </w:rPr>
      </w:pPr>
      <w:r>
        <w:rPr>
          <w:color w:val="000000"/>
        </w:rPr>
        <w:t>En ese contexto, entregar el Registro Federal de Contribuyentes aún de personas físicas cuando son proveedores de instituciones públicas, propiciaría la rendición de cuentas,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rsidR="00E1615E" w:rsidRDefault="00E1615E">
      <w:pPr>
        <w:spacing w:after="0" w:line="360" w:lineRule="auto"/>
        <w:rPr>
          <w:color w:val="000000"/>
        </w:rPr>
      </w:pPr>
    </w:p>
    <w:p w:rsidR="00E1615E" w:rsidRDefault="00FB0354">
      <w:pPr>
        <w:tabs>
          <w:tab w:val="center" w:pos="4522"/>
        </w:tabs>
        <w:spacing w:after="0" w:line="360" w:lineRule="auto"/>
        <w:rPr>
          <w:color w:val="000000"/>
        </w:rPr>
      </w:pPr>
      <w:r>
        <w:rPr>
          <w:color w:val="000000"/>
        </w:rPr>
        <w:lastRenderedPageBreak/>
        <w:t>Lo anterior, se robustece con el Criterio Orientador, de la Segunda Época, con número de registro SO/004/2021, emitido por el entonces Instituto Nacional de Transparencia, Acceso a la Información y Protección de Datos Personales, vigente a la fecha de la solicitud, en el cual se señala lo siguiente:</w:t>
      </w:r>
    </w:p>
    <w:p w:rsidR="00E1615E" w:rsidRDefault="00E1615E">
      <w:pPr>
        <w:tabs>
          <w:tab w:val="center" w:pos="4522"/>
        </w:tabs>
        <w:spacing w:after="0" w:line="360" w:lineRule="auto"/>
        <w:rPr>
          <w:color w:val="000000"/>
        </w:rPr>
      </w:pPr>
    </w:p>
    <w:p w:rsidR="00E1615E" w:rsidRDefault="00FB0354">
      <w:pPr>
        <w:tabs>
          <w:tab w:val="center" w:pos="4522"/>
        </w:tabs>
        <w:spacing w:after="0" w:line="360" w:lineRule="auto"/>
        <w:ind w:left="567" w:right="567"/>
        <w:rPr>
          <w:i/>
          <w:iCs/>
          <w:color w:val="000000"/>
          <w:sz w:val="20"/>
          <w:szCs w:val="20"/>
        </w:rPr>
      </w:pPr>
      <w:r>
        <w:rPr>
          <w:b/>
          <w:bCs/>
          <w:i/>
          <w:iCs/>
          <w:color w:val="000000"/>
          <w:sz w:val="20"/>
          <w:szCs w:val="20"/>
        </w:rPr>
        <w:t xml:space="preserve">“Registro Federal de Contribuyentes (RFC) de personas físicas proveedores o contratistas. </w:t>
      </w:r>
      <w:r>
        <w:rPr>
          <w:i/>
          <w:iCs/>
          <w:color w:val="000000"/>
          <w:sz w:val="20"/>
          <w:szCs w:val="20"/>
        </w:rPr>
        <w:t>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rsidR="00E1615E" w:rsidRDefault="00E1615E">
      <w:pPr>
        <w:tabs>
          <w:tab w:val="center" w:pos="4522"/>
        </w:tabs>
        <w:spacing w:after="0" w:line="360" w:lineRule="auto"/>
        <w:rPr>
          <w:color w:val="000000"/>
        </w:rPr>
      </w:pPr>
    </w:p>
    <w:p w:rsidR="00E1615E" w:rsidRDefault="00FB0354">
      <w:pPr>
        <w:tabs>
          <w:tab w:val="center" w:pos="4522"/>
        </w:tabs>
        <w:spacing w:after="0" w:line="360" w:lineRule="auto"/>
        <w:rPr>
          <w:b/>
          <w:bCs/>
          <w:color w:val="000000"/>
          <w:u w:val="single"/>
        </w:rPr>
      </w:pPr>
      <w:r>
        <w:rPr>
          <w:color w:val="000000"/>
        </w:rPr>
        <w:t>En conclusión, toda vez, que el Registro Federal de Contribuyentes de proveedores o contratistas, es un requisito indispensable, para poder participar en adquisiciones públicas y contracción de servicios y que abona a la transparencia con la que deben administrarse los recursos públicos, no actualiza la causal de clasificación prevista en el artículo 143, fracción I de la Ley de Transparencia y Acceso a la Información Pública del Estado de México y Municipios.</w:t>
      </w:r>
    </w:p>
    <w:p w:rsidR="00E1615E" w:rsidRDefault="00E1615E">
      <w:pPr>
        <w:tabs>
          <w:tab w:val="center" w:pos="4522"/>
        </w:tabs>
        <w:spacing w:after="0" w:line="360" w:lineRule="auto"/>
        <w:rPr>
          <w:b/>
          <w:bCs/>
          <w:color w:val="000000"/>
        </w:rPr>
      </w:pPr>
    </w:p>
    <w:p w:rsidR="00E1615E" w:rsidRDefault="00FB0354">
      <w:pPr>
        <w:tabs>
          <w:tab w:val="center" w:pos="4522"/>
        </w:tabs>
        <w:spacing w:after="0" w:line="360" w:lineRule="auto"/>
        <w:rPr>
          <w:b/>
          <w:bCs/>
          <w:color w:val="000000"/>
        </w:rPr>
      </w:pPr>
      <w:r>
        <w:rPr>
          <w:b/>
          <w:bCs/>
          <w:color w:val="000000"/>
        </w:rPr>
        <w:t>Persona Moral</w:t>
      </w:r>
    </w:p>
    <w:p w:rsidR="00E1615E" w:rsidRDefault="00E1615E">
      <w:pPr>
        <w:tabs>
          <w:tab w:val="center" w:pos="4522"/>
        </w:tabs>
        <w:spacing w:after="0" w:line="360" w:lineRule="auto"/>
        <w:rPr>
          <w:color w:val="000000"/>
        </w:rPr>
      </w:pPr>
    </w:p>
    <w:p w:rsidR="00E1615E" w:rsidRDefault="00FB0354">
      <w:pPr>
        <w:tabs>
          <w:tab w:val="center" w:pos="4522"/>
        </w:tabs>
        <w:spacing w:after="0" w:line="360" w:lineRule="auto"/>
        <w:rPr>
          <w:color w:val="000000"/>
        </w:rPr>
      </w:pPr>
      <w:r>
        <w:rPr>
          <w:color w:val="000000"/>
        </w:rPr>
        <w:t xml:space="preserve">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w:t>
      </w:r>
      <w:r>
        <w:rPr>
          <w:color w:val="000000"/>
        </w:rPr>
        <w:lastRenderedPageBreak/>
        <w:t>de 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cédula de identificación fiscal o constancia de registro.</w:t>
      </w:r>
    </w:p>
    <w:p w:rsidR="00E1615E" w:rsidRDefault="00E1615E">
      <w:pPr>
        <w:tabs>
          <w:tab w:val="center" w:pos="4522"/>
        </w:tabs>
        <w:spacing w:after="0" w:line="360" w:lineRule="auto"/>
        <w:rPr>
          <w:color w:val="000000"/>
        </w:rPr>
      </w:pPr>
    </w:p>
    <w:p w:rsidR="00E1615E" w:rsidRDefault="00FB0354">
      <w:pPr>
        <w:tabs>
          <w:tab w:val="center" w:pos="4522"/>
        </w:tabs>
        <w:spacing w:after="0" w:line="360" w:lineRule="auto"/>
        <w:rPr>
          <w:color w:val="000000"/>
        </w:rPr>
      </w:pPr>
      <w:r>
        <w:rPr>
          <w:color w:val="000000"/>
        </w:rPr>
        <w:t>Por ende, la información correspondiente al Registro Federal de Contribuyentes de una persona moral da cuenta del cumplimiento o no en sus obligaciones fiscales; por tanto, no se actualiza su clasificación como confidencial.</w:t>
      </w:r>
    </w:p>
    <w:p w:rsidR="00E1615E" w:rsidRDefault="00E1615E">
      <w:pPr>
        <w:tabs>
          <w:tab w:val="center" w:pos="4522"/>
        </w:tabs>
        <w:spacing w:after="0" w:line="360" w:lineRule="auto"/>
        <w:rPr>
          <w:color w:val="000000"/>
        </w:rPr>
      </w:pPr>
    </w:p>
    <w:p w:rsidR="00E1615E" w:rsidRDefault="00FB0354">
      <w:pPr>
        <w:tabs>
          <w:tab w:val="center" w:pos="4522"/>
        </w:tabs>
        <w:spacing w:after="0" w:line="360" w:lineRule="auto"/>
        <w:rPr>
          <w:color w:val="000000"/>
        </w:rPr>
      </w:pPr>
      <w:r>
        <w:rPr>
          <w:color w:val="000000"/>
        </w:rPr>
        <w:t>Además, resulta aplicable por analogía el Criterio Orientador, de la Segunda Época, con número de registro SO/008/2019, emitido por el entonces Instituto Nacional de Transparencia, Acceso a la Información y Protección de Datos Personales, vigente a la fecha de la solicitud, que precisa que el Registro Federal de Contribuyentes de personas morales, es público, al no referir a hechos o actos de carácter económico, contable, jurídico o administrativo que sean útiles o representen una ventaja a sus competidores.</w:t>
      </w:r>
    </w:p>
    <w:p w:rsidR="00E1615E" w:rsidRDefault="00FB0354">
      <w:pPr>
        <w:tabs>
          <w:tab w:val="center" w:pos="4522"/>
        </w:tabs>
        <w:spacing w:after="0" w:line="360" w:lineRule="auto"/>
        <w:rPr>
          <w:color w:val="000000"/>
        </w:rPr>
      </w:pPr>
      <w:r>
        <w:rPr>
          <w:color w:val="000000"/>
        </w:rPr>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rsidR="00E1615E" w:rsidRDefault="00E1615E">
      <w:pPr>
        <w:spacing w:after="0" w:line="360" w:lineRule="auto"/>
        <w:jc w:val="left"/>
        <w:rPr>
          <w:b/>
          <w:bCs/>
          <w:color w:val="000000"/>
        </w:rPr>
      </w:pPr>
    </w:p>
    <w:p w:rsidR="00E1615E" w:rsidRDefault="00FB0354">
      <w:pPr>
        <w:numPr>
          <w:ilvl w:val="0"/>
          <w:numId w:val="8"/>
        </w:numPr>
        <w:pBdr>
          <w:top w:val="nil"/>
          <w:left w:val="nil"/>
          <w:bottom w:val="nil"/>
          <w:right w:val="nil"/>
          <w:between w:val="nil"/>
        </w:pBdr>
        <w:spacing w:after="0" w:line="360" w:lineRule="auto"/>
        <w:jc w:val="left"/>
        <w:rPr>
          <w:b/>
          <w:bCs/>
          <w:color w:val="000000"/>
        </w:rPr>
      </w:pPr>
      <w:r>
        <w:rPr>
          <w:b/>
          <w:bCs/>
          <w:color w:val="000000"/>
        </w:rPr>
        <w:t>Código Bidimensional o QR</w:t>
      </w:r>
    </w:p>
    <w:p w:rsidR="00E1615E" w:rsidRDefault="00E1615E">
      <w:pPr>
        <w:spacing w:after="0" w:line="360" w:lineRule="auto"/>
        <w:jc w:val="left"/>
        <w:rPr>
          <w:b/>
          <w:bCs/>
          <w:color w:val="000000"/>
        </w:rPr>
      </w:pPr>
    </w:p>
    <w:p w:rsidR="00E1615E" w:rsidRDefault="00FB0354">
      <w:pPr>
        <w:spacing w:after="0" w:line="360" w:lineRule="auto"/>
        <w:rPr>
          <w:color w:val="000000"/>
        </w:rPr>
      </w:pPr>
      <w:r>
        <w:rPr>
          <w:color w:val="000000"/>
        </w:rPr>
        <w:t>En principio, resulta necesario señalar que los comprobantes fiscales digitales por Internet,</w:t>
      </w:r>
    </w:p>
    <w:p w:rsidR="00E1615E" w:rsidRDefault="00FB0354">
      <w:pPr>
        <w:spacing w:after="0" w:line="360" w:lineRule="auto"/>
        <w:rPr>
          <w:color w:val="000000"/>
        </w:rPr>
      </w:pPr>
      <w:proofErr w:type="gramStart"/>
      <w:r>
        <w:rPr>
          <w:color w:val="000000"/>
        </w:rPr>
        <w:t>deben</w:t>
      </w:r>
      <w:proofErr w:type="gramEnd"/>
      <w:r>
        <w:rPr>
          <w:color w:val="000000"/>
        </w:rPr>
        <w:t xml:space="preserve"> de incluir un código bidimensional conforme al formato QR </w:t>
      </w:r>
      <w:proofErr w:type="spellStart"/>
      <w:r>
        <w:rPr>
          <w:color w:val="000000"/>
        </w:rPr>
        <w:t>Code</w:t>
      </w:r>
      <w:proofErr w:type="spellEnd"/>
      <w:r>
        <w:rPr>
          <w:color w:val="000000"/>
        </w:rPr>
        <w:t xml:space="preserve"> (Quick Response</w:t>
      </w:r>
    </w:p>
    <w:p w:rsidR="00E1615E" w:rsidRDefault="00FB0354">
      <w:pPr>
        <w:spacing w:after="0" w:line="360" w:lineRule="auto"/>
        <w:rPr>
          <w:color w:val="000000"/>
        </w:rPr>
      </w:pPr>
      <w:proofErr w:type="spellStart"/>
      <w:r>
        <w:rPr>
          <w:color w:val="000000"/>
        </w:rPr>
        <w:t>Code</w:t>
      </w:r>
      <w:proofErr w:type="spellEnd"/>
      <w:r>
        <w:rPr>
          <w:color w:val="000000"/>
        </w:rPr>
        <w:t xml:space="preserve">), el cual contiene el Registro Federal de Contribuyentes del receptor, del emisor, o de ambos; lo anterior, conforme al Anexo 20 de la Segunda Resolución de modificación a la </w:t>
      </w:r>
      <w:r>
        <w:rPr>
          <w:color w:val="000000"/>
        </w:rPr>
        <w:lastRenderedPageBreak/>
        <w:t>Resolución Miscelánea Fiscal. Incluso con la captura de dicho código, a través de la aplicación móvil del Servicio de Administración Tributaria, permite el acceso al Registro Federal de Contribuyentes, como del Sujeto Obligado, como del proveedor, persona física o moral. En ese orden de ideas, toda vez que el código bidimensional sólo permite el acceso al Registro Federal de Contribuyentes del proveedor y del Sujeto Obligado, los cuales guardan la naturaleza pública, se considera que no se actualiza la causal de clasificación prevista en el artículo 143, fracción I de la Ley de la materia, toda vez que únicamente da cuenta de datos que como se analizó en párrafos anteriores, no son susceptibles a testar.</w:t>
      </w:r>
    </w:p>
    <w:p w:rsidR="00E1615E" w:rsidRDefault="00E1615E">
      <w:pPr>
        <w:spacing w:after="0" w:line="360" w:lineRule="auto"/>
        <w:jc w:val="left"/>
        <w:rPr>
          <w:b/>
          <w:bCs/>
          <w:color w:val="000000"/>
        </w:rPr>
      </w:pPr>
    </w:p>
    <w:p w:rsidR="00E1615E" w:rsidRDefault="00FB0354">
      <w:pPr>
        <w:numPr>
          <w:ilvl w:val="0"/>
          <w:numId w:val="8"/>
        </w:numPr>
        <w:pBdr>
          <w:top w:val="nil"/>
          <w:left w:val="nil"/>
          <w:bottom w:val="nil"/>
          <w:right w:val="nil"/>
          <w:between w:val="nil"/>
        </w:pBdr>
        <w:spacing w:after="0" w:line="360" w:lineRule="auto"/>
        <w:jc w:val="left"/>
        <w:rPr>
          <w:b/>
          <w:bCs/>
          <w:color w:val="000000"/>
        </w:rPr>
      </w:pPr>
      <w:r>
        <w:rPr>
          <w:b/>
          <w:bCs/>
          <w:color w:val="000000"/>
        </w:rPr>
        <w:t>Domicilio Fiscal o legal para recibir y oír notificaciones (proveedor o contratista persona física o moral).</w:t>
      </w:r>
    </w:p>
    <w:p w:rsidR="00E1615E" w:rsidRDefault="00E1615E">
      <w:pPr>
        <w:tabs>
          <w:tab w:val="center" w:pos="4522"/>
        </w:tabs>
        <w:spacing w:after="0" w:line="360" w:lineRule="auto"/>
        <w:rPr>
          <w:color w:val="000000"/>
        </w:rPr>
      </w:pPr>
    </w:p>
    <w:p w:rsidR="00E1615E" w:rsidRDefault="00FB0354">
      <w:pPr>
        <w:tabs>
          <w:tab w:val="center" w:pos="4522"/>
        </w:tabs>
        <w:spacing w:after="0" w:line="360" w:lineRule="auto"/>
        <w:rPr>
          <w:color w:val="000000"/>
        </w:rPr>
      </w:pPr>
      <w:r>
        <w:rPr>
          <w:color w:val="000000"/>
        </w:rPr>
        <w:t>De acuerdo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w:t>
      </w:r>
    </w:p>
    <w:p w:rsidR="00E1615E" w:rsidRDefault="00E1615E">
      <w:pPr>
        <w:tabs>
          <w:tab w:val="center" w:pos="4522"/>
        </w:tabs>
        <w:spacing w:after="0" w:line="360" w:lineRule="auto"/>
        <w:rPr>
          <w:color w:val="000000"/>
        </w:rPr>
      </w:pPr>
    </w:p>
    <w:p w:rsidR="00E1615E" w:rsidRDefault="00FB0354">
      <w:pPr>
        <w:tabs>
          <w:tab w:val="center" w:pos="4522"/>
        </w:tabs>
        <w:spacing w:after="0" w:line="360" w:lineRule="auto"/>
        <w:rPr>
          <w:color w:val="000000"/>
        </w:rPr>
      </w:pPr>
      <w:r>
        <w:rPr>
          <w:color w:val="000000"/>
        </w:rPr>
        <w:t>De la misma manera, lo establece los diversos 29 y 33 del Código Civil Federal, al precisar que el domicilio de personas físicas</w:t>
      </w:r>
      <w:r>
        <w:rPr>
          <w:b/>
          <w:bCs/>
          <w:color w:val="000000"/>
        </w:rPr>
        <w:t xml:space="preserve">, es el lugar donde residen habitualmente, el lugar del centro principal de sus negocios, donde residan o el lugar donde se encuentren; </w:t>
      </w:r>
      <w:r>
        <w:rPr>
          <w:color w:val="000000"/>
        </w:rPr>
        <w:t>mientras que, de las personas morales, aquel donde se halle su administración.</w:t>
      </w:r>
    </w:p>
    <w:p w:rsidR="00E1615E" w:rsidRDefault="00E1615E">
      <w:pPr>
        <w:tabs>
          <w:tab w:val="center" w:pos="4522"/>
        </w:tabs>
        <w:spacing w:after="0" w:line="360" w:lineRule="auto"/>
        <w:rPr>
          <w:b/>
          <w:bCs/>
          <w:color w:val="000000"/>
        </w:rPr>
      </w:pPr>
    </w:p>
    <w:p w:rsidR="00E1615E" w:rsidRDefault="00FB0354">
      <w:pPr>
        <w:tabs>
          <w:tab w:val="center" w:pos="4522"/>
        </w:tabs>
        <w:spacing w:after="0" w:line="360" w:lineRule="auto"/>
        <w:rPr>
          <w:color w:val="000000"/>
        </w:rPr>
      </w:pPr>
      <w:r>
        <w:rPr>
          <w:color w:val="000000"/>
        </w:rPr>
        <w:t>Además, respecto al domicilio fiscal, resulta necesario traer el artículo 10 del Código Fiscal de la Federación, que establece que, tratándose de personas físicas, corresponderá dicho dato:</w:t>
      </w:r>
    </w:p>
    <w:p w:rsidR="00E1615E" w:rsidRDefault="00E1615E">
      <w:pPr>
        <w:tabs>
          <w:tab w:val="center" w:pos="4522"/>
        </w:tabs>
        <w:spacing w:after="0" w:line="360" w:lineRule="auto"/>
        <w:rPr>
          <w:color w:val="000000"/>
        </w:rPr>
      </w:pPr>
    </w:p>
    <w:p w:rsidR="00E1615E" w:rsidRDefault="00FB0354">
      <w:pPr>
        <w:numPr>
          <w:ilvl w:val="0"/>
          <w:numId w:val="1"/>
        </w:numPr>
        <w:pBdr>
          <w:top w:val="nil"/>
          <w:left w:val="nil"/>
          <w:bottom w:val="nil"/>
          <w:right w:val="nil"/>
          <w:between w:val="nil"/>
        </w:pBdr>
        <w:tabs>
          <w:tab w:val="center" w:pos="4522"/>
        </w:tabs>
        <w:spacing w:after="0" w:line="360" w:lineRule="auto"/>
        <w:jc w:val="left"/>
        <w:rPr>
          <w:color w:val="000000"/>
        </w:rPr>
      </w:pPr>
      <w:r>
        <w:rPr>
          <w:color w:val="000000"/>
        </w:rPr>
        <w:lastRenderedPageBreak/>
        <w:t>El lugar donde realizan actividades empresariales, el local, en que se encuentre el principal asiente de sus negocios, y</w:t>
      </w:r>
    </w:p>
    <w:p w:rsidR="00E1615E" w:rsidRDefault="00E1615E">
      <w:pPr>
        <w:tabs>
          <w:tab w:val="center" w:pos="4522"/>
        </w:tabs>
        <w:spacing w:after="0" w:line="360" w:lineRule="auto"/>
        <w:rPr>
          <w:color w:val="000000"/>
        </w:rPr>
      </w:pPr>
    </w:p>
    <w:p w:rsidR="00E1615E" w:rsidRDefault="00FB0354">
      <w:pPr>
        <w:numPr>
          <w:ilvl w:val="0"/>
          <w:numId w:val="1"/>
        </w:numPr>
        <w:pBdr>
          <w:top w:val="nil"/>
          <w:left w:val="nil"/>
          <w:bottom w:val="nil"/>
          <w:right w:val="nil"/>
          <w:between w:val="nil"/>
        </w:pBdr>
        <w:tabs>
          <w:tab w:val="center" w:pos="4522"/>
        </w:tabs>
        <w:spacing w:after="0" w:line="360" w:lineRule="auto"/>
        <w:jc w:val="left"/>
        <w:rPr>
          <w:color w:val="000000"/>
        </w:rPr>
      </w:pPr>
      <w:r>
        <w:rPr>
          <w:color w:val="000000"/>
        </w:rPr>
        <w:t>La casa habitación, cuando no cuenta con un local o lugar donde realice las acciones previamente señaladas.</w:t>
      </w:r>
    </w:p>
    <w:p w:rsidR="00E1615E" w:rsidRDefault="00E1615E">
      <w:pPr>
        <w:tabs>
          <w:tab w:val="center" w:pos="4522"/>
        </w:tabs>
        <w:spacing w:after="0" w:line="360" w:lineRule="auto"/>
        <w:rPr>
          <w:color w:val="000000"/>
        </w:rPr>
      </w:pPr>
    </w:p>
    <w:p w:rsidR="00E1615E" w:rsidRDefault="00FB0354">
      <w:pPr>
        <w:tabs>
          <w:tab w:val="center" w:pos="4522"/>
        </w:tabs>
        <w:spacing w:after="0" w:line="360" w:lineRule="auto"/>
        <w:rPr>
          <w:color w:val="000000"/>
        </w:rPr>
      </w:pPr>
      <w:r>
        <w:rPr>
          <w:color w:val="000000"/>
        </w:rPr>
        <w:t>Mientras que, en el caso de personas morales, el domicilio fiscal, corresponderá al local donde se encuentra la administración principal del negocio. Como se logra observar, el domicilio fiscal de los proveedores personas físicas, se encuentra en dos supuestos, por lo que, se procede a su análisis.</w:t>
      </w:r>
    </w:p>
    <w:p w:rsidR="00E1615E" w:rsidRDefault="00E1615E">
      <w:pPr>
        <w:tabs>
          <w:tab w:val="center" w:pos="4522"/>
        </w:tabs>
        <w:spacing w:after="0" w:line="360" w:lineRule="auto"/>
        <w:rPr>
          <w:color w:val="000000"/>
        </w:rPr>
      </w:pPr>
    </w:p>
    <w:p w:rsidR="00E1615E" w:rsidRDefault="00FB0354">
      <w:pPr>
        <w:tabs>
          <w:tab w:val="center" w:pos="4522"/>
        </w:tabs>
        <w:spacing w:after="0" w:line="360" w:lineRule="auto"/>
        <w:rPr>
          <w:color w:val="000000"/>
        </w:rPr>
      </w:pPr>
      <w:r>
        <w:rPr>
          <w:color w:val="000000"/>
        </w:rPr>
        <w:t>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susceptible de clasificarse como confidencial, ya que incide directamente en la vida privada del individuo identificado, no debe dejarse de lado que, aquellas personas que deciden tener relaciones comerciales con las instituciones públicas, tienen una expectativa de privacidad menor, respecto del resto de las personas, en razón de obtener el beneficio de vender sus productos o servicios y recibir por ellos dinero del erario, situación que debe ser transparentada.</w:t>
      </w:r>
    </w:p>
    <w:p w:rsidR="00E1615E" w:rsidRDefault="00E1615E">
      <w:pPr>
        <w:tabs>
          <w:tab w:val="center" w:pos="4522"/>
        </w:tabs>
        <w:spacing w:after="0" w:line="360" w:lineRule="auto"/>
        <w:rPr>
          <w:color w:val="000000"/>
        </w:rPr>
      </w:pPr>
    </w:p>
    <w:p w:rsidR="00E1615E" w:rsidRDefault="00FB0354">
      <w:pPr>
        <w:tabs>
          <w:tab w:val="center" w:pos="4522"/>
        </w:tabs>
        <w:spacing w:after="0" w:line="360" w:lineRule="auto"/>
        <w:rPr>
          <w:color w:val="000000"/>
        </w:rPr>
      </w:pPr>
      <w:r>
        <w:rPr>
          <w:color w:val="000000"/>
        </w:rPr>
        <w:t>Como se logra observar, es obligación de transparencia proporcionar el domicilio fiscal de los proveedores, por lo que, se considera que, en el caso, de que dicho dato, corresponda a un local o lugar donde realice sus actividades empresariales, se debe entregar.</w:t>
      </w:r>
    </w:p>
    <w:p w:rsidR="00E1615E" w:rsidRDefault="00E1615E">
      <w:pPr>
        <w:tabs>
          <w:tab w:val="center" w:pos="4522"/>
        </w:tabs>
        <w:spacing w:after="0" w:line="360" w:lineRule="auto"/>
        <w:rPr>
          <w:color w:val="000000"/>
        </w:rPr>
      </w:pPr>
    </w:p>
    <w:p w:rsidR="00E1615E" w:rsidRDefault="00FB0354">
      <w:pPr>
        <w:tabs>
          <w:tab w:val="center" w:pos="4522"/>
        </w:tabs>
        <w:spacing w:after="0" w:line="360" w:lineRule="auto"/>
        <w:rPr>
          <w:color w:val="000000"/>
        </w:rPr>
      </w:pPr>
      <w:r>
        <w:rPr>
          <w:color w:val="000000"/>
        </w:rPr>
        <w:lastRenderedPageBreak/>
        <w:t>De tal suerte que, tratándose de proveedores (personas físicas o jurídico-colectivas), el domicilio fiscal, no actualiza la causal de clasificación, establecida en el artículo 143, fracción I de la Ley de Transparencia y Acceso a la Información Pública del Estado de México y Municipios.</w:t>
      </w:r>
    </w:p>
    <w:p w:rsidR="00E1615E" w:rsidRDefault="00E1615E">
      <w:pPr>
        <w:tabs>
          <w:tab w:val="center" w:pos="4522"/>
        </w:tabs>
        <w:spacing w:after="0" w:line="360" w:lineRule="auto"/>
        <w:rPr>
          <w:color w:val="000000"/>
        </w:rPr>
      </w:pPr>
    </w:p>
    <w:p w:rsidR="00E1615E" w:rsidRDefault="00FB0354">
      <w:pPr>
        <w:numPr>
          <w:ilvl w:val="0"/>
          <w:numId w:val="5"/>
        </w:numPr>
        <w:pBdr>
          <w:top w:val="nil"/>
          <w:left w:val="nil"/>
          <w:bottom w:val="nil"/>
          <w:right w:val="nil"/>
          <w:between w:val="nil"/>
        </w:pBdr>
        <w:tabs>
          <w:tab w:val="center" w:pos="4522"/>
        </w:tabs>
        <w:spacing w:after="0" w:line="360" w:lineRule="auto"/>
        <w:jc w:val="left"/>
        <w:rPr>
          <w:b/>
          <w:bCs/>
          <w:color w:val="000000"/>
        </w:rPr>
      </w:pPr>
      <w:r>
        <w:rPr>
          <w:b/>
          <w:bCs/>
          <w:color w:val="000000"/>
        </w:rPr>
        <w:t>Cuenta bancaria y clave interbancaria del proveedor</w:t>
      </w:r>
    </w:p>
    <w:p w:rsidR="00E1615E" w:rsidRDefault="00E1615E">
      <w:pPr>
        <w:tabs>
          <w:tab w:val="center" w:pos="4522"/>
        </w:tabs>
        <w:spacing w:after="0" w:line="360" w:lineRule="auto"/>
        <w:rPr>
          <w:b/>
          <w:bCs/>
          <w:color w:val="000000"/>
        </w:rPr>
      </w:pPr>
    </w:p>
    <w:p w:rsidR="00E1615E" w:rsidRDefault="00FB0354">
      <w:pPr>
        <w:tabs>
          <w:tab w:val="center" w:pos="4522"/>
        </w:tabs>
        <w:spacing w:after="0" w:line="360" w:lineRule="auto"/>
        <w:rPr>
          <w:color w:val="000000"/>
        </w:rPr>
      </w:pPr>
      <w:r>
        <w:rPr>
          <w:color w:val="000000"/>
        </w:rPr>
        <w:t>Al respecto, se estima que dichos datos se relacionan con hechos y actos de carácter económico, pues los mismos darían cuenta, de la relación que tiene una institución financiero con un particular, ya sea persona física o moral; además, que con dicha información se podría obtener los recursos enviados a las órdenes de cargo, pago o a las transferencias electrónicas de fondos interbancarios, entre otros movimientos que sean utilizados exclusivamente en la cuenta señalada por el cliente y, por lo tanto, los datos bancarios corresponden a información que se encuentra relacionada con el patrimonio de la persona titular de la cuenta.</w:t>
      </w:r>
    </w:p>
    <w:p w:rsidR="00E1615E" w:rsidRDefault="00FB0354">
      <w:pPr>
        <w:tabs>
          <w:tab w:val="center" w:pos="4522"/>
        </w:tabs>
        <w:spacing w:after="0" w:line="360" w:lineRule="auto"/>
        <w:rPr>
          <w:color w:val="000000"/>
        </w:rPr>
      </w:pPr>
      <w:r>
        <w:rPr>
          <w:color w:val="000000"/>
        </w:rPr>
        <w:t> </w:t>
      </w:r>
    </w:p>
    <w:p w:rsidR="00E1615E" w:rsidRDefault="00FB0354">
      <w:pPr>
        <w:tabs>
          <w:tab w:val="center" w:pos="4522"/>
        </w:tabs>
        <w:spacing w:after="0" w:line="360" w:lineRule="auto"/>
        <w:rPr>
          <w:color w:val="000000"/>
        </w:rPr>
      </w:pPr>
      <w:r>
        <w:rPr>
          <w:color w:val="000000"/>
        </w:rPr>
        <w:t>A mayor abundamiento, resulta necesario traer a colación el Criterio Orientador, de la Segunda Época, con número de registro SO/010/2017, emitido por el entonces Instituto Nacional de Transparencia, Acceso a la Información y Protección de Datos Personales, mismo que establece lo siguiente:</w:t>
      </w:r>
    </w:p>
    <w:p w:rsidR="00E1615E" w:rsidRDefault="00FB0354">
      <w:pPr>
        <w:tabs>
          <w:tab w:val="center" w:pos="4522"/>
        </w:tabs>
        <w:spacing w:after="0" w:line="360" w:lineRule="auto"/>
        <w:rPr>
          <w:color w:val="000000"/>
        </w:rPr>
      </w:pPr>
      <w:r>
        <w:rPr>
          <w:color w:val="000000"/>
        </w:rPr>
        <w:t> </w:t>
      </w:r>
    </w:p>
    <w:p w:rsidR="00E1615E" w:rsidRDefault="00FB0354">
      <w:pPr>
        <w:tabs>
          <w:tab w:val="center" w:pos="4522"/>
        </w:tabs>
        <w:spacing w:after="0" w:line="360" w:lineRule="auto"/>
        <w:ind w:left="567" w:right="567"/>
        <w:rPr>
          <w:i/>
          <w:iCs/>
          <w:color w:val="000000"/>
          <w:sz w:val="20"/>
          <w:szCs w:val="20"/>
        </w:rPr>
      </w:pPr>
      <w:r>
        <w:rPr>
          <w:i/>
          <w:iCs/>
          <w:color w:val="000000"/>
          <w:sz w:val="20"/>
          <w:szCs w:val="20"/>
        </w:rPr>
        <w:t>“</w:t>
      </w:r>
      <w:r>
        <w:rPr>
          <w:b/>
          <w:bCs/>
          <w:i/>
          <w:iCs/>
          <w:color w:val="000000"/>
          <w:sz w:val="20"/>
          <w:szCs w:val="20"/>
        </w:rPr>
        <w:t>Cuentas bancarias y/o CLABE interbancaria de personas físicas y morales privadas.</w:t>
      </w:r>
      <w:r>
        <w:rPr>
          <w:i/>
          <w:iCs/>
          <w:color w:val="000000"/>
          <w:sz w:val="20"/>
          <w:szCs w:val="2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w:t>
      </w:r>
      <w:r>
        <w:rPr>
          <w:i/>
          <w:iCs/>
          <w:color w:val="000000"/>
          <w:sz w:val="20"/>
          <w:szCs w:val="20"/>
        </w:rPr>
        <w:lastRenderedPageBreak/>
        <w:t>clasificada con fundamento en los artículos 116 de la Ley General de Transparencia y Acceso a la Información Pública y 113 de la Ley Federal de Transparencia y Acceso a la Información Pública.”</w:t>
      </w:r>
    </w:p>
    <w:p w:rsidR="00E1615E" w:rsidRDefault="00FB0354">
      <w:pPr>
        <w:tabs>
          <w:tab w:val="center" w:pos="4522"/>
        </w:tabs>
        <w:spacing w:after="0" w:line="360" w:lineRule="auto"/>
        <w:rPr>
          <w:color w:val="000000"/>
        </w:rPr>
      </w:pPr>
      <w:r>
        <w:rPr>
          <w:color w:val="000000"/>
        </w:rPr>
        <w:t> </w:t>
      </w:r>
    </w:p>
    <w:p w:rsidR="00E1615E" w:rsidRDefault="00FB0354">
      <w:pPr>
        <w:tabs>
          <w:tab w:val="center" w:pos="4522"/>
        </w:tabs>
        <w:spacing w:after="0" w:line="360" w:lineRule="auto"/>
        <w:rPr>
          <w:color w:val="000000"/>
        </w:rPr>
      </w:pPr>
      <w:r>
        <w:rPr>
          <w:color w:val="000000"/>
        </w:rPr>
        <w:t xml:space="preserve">Por lo cual, se puede colegir que dichos datos no guardan relación con el servicio público ni con los recursos públicos, pues sólo corresponde a información, que le atañe a la institución financiera y al cliente; por lo que este número constituye información confidencial al pertenecer exclusivamente al ámbito de la vida privada del proveedor y procede su eliminación de conformidad con el artículo 143, fracción I, de la Ley de Transparencia y Acceso a la Información Pública del Estado de México y Municipios.  </w:t>
      </w:r>
    </w:p>
    <w:p w:rsidR="00E1615E" w:rsidRDefault="00E1615E">
      <w:pPr>
        <w:tabs>
          <w:tab w:val="center" w:pos="4522"/>
        </w:tabs>
        <w:spacing w:after="0" w:line="360" w:lineRule="auto"/>
        <w:rPr>
          <w:color w:val="000000"/>
        </w:rPr>
      </w:pPr>
    </w:p>
    <w:p w:rsidR="00E1615E" w:rsidRDefault="00FB0354">
      <w:pPr>
        <w:numPr>
          <w:ilvl w:val="0"/>
          <w:numId w:val="5"/>
        </w:numPr>
        <w:pBdr>
          <w:top w:val="nil"/>
          <w:left w:val="nil"/>
          <w:bottom w:val="nil"/>
          <w:right w:val="nil"/>
          <w:between w:val="nil"/>
        </w:pBdr>
        <w:tabs>
          <w:tab w:val="center" w:pos="4522"/>
        </w:tabs>
        <w:spacing w:after="0" w:line="360" w:lineRule="auto"/>
        <w:jc w:val="left"/>
        <w:rPr>
          <w:b/>
          <w:bCs/>
          <w:color w:val="000000"/>
        </w:rPr>
      </w:pPr>
      <w:r>
        <w:rPr>
          <w:b/>
          <w:bCs/>
          <w:color w:val="000000"/>
        </w:rPr>
        <w:t>Nombre de institución bancaria</w:t>
      </w:r>
    </w:p>
    <w:p w:rsidR="00E1615E" w:rsidRDefault="00E1615E">
      <w:pPr>
        <w:tabs>
          <w:tab w:val="center" w:pos="4522"/>
        </w:tabs>
        <w:spacing w:after="0" w:line="360" w:lineRule="auto"/>
        <w:rPr>
          <w:color w:val="000000"/>
        </w:rPr>
      </w:pPr>
    </w:p>
    <w:p w:rsidR="00E1615E" w:rsidRDefault="00FB0354">
      <w:pPr>
        <w:tabs>
          <w:tab w:val="center" w:pos="4522"/>
        </w:tabs>
        <w:spacing w:after="0" w:line="360" w:lineRule="auto"/>
        <w:rPr>
          <w:color w:val="000000"/>
        </w:rPr>
      </w:pPr>
      <w:r>
        <w:rPr>
          <w:color w:val="000000"/>
        </w:rPr>
        <w:t>En principio, es necesario señalar que conforme al artículo 2°, fracción IV  de la Ley de Protección y Defensa al Usuario de Servicios Financieros, establece que una institución financiera, se le denomina a las sociedades controladoras, instituciones de crédito, sociedades financieras de objeto múltiple, sociedades de información crediticia, casas de bolsa, especialistas bursátiles,  fondos de inversión, almacenes generales de depósito, uniones de crédito, casas de cambio, instituciones de seguros, sociedades mutualistas de seguros, instituciones de fianzas, administradoras de fondos para el retiro, PENSIONISSSTE, empresas operadoras de la base de datos nacional del sistema de ahorro para el retiro, Instituto del Fondo Nacional para el Consumo de los Trabajadores, sociedades cooperativas de ahorro y préstamo, sociedades financieras populares, sociedades financieras comunitarias, y cualquiera otra sociedad que requiera de la autorización de la Secretaría de Hacienda y Crédito Público o de cualesquiera de las Comisiones Nacionales para constituirse y funcionar como tales y ofrecer un producto o servicio financiero a los usuarios. </w:t>
      </w:r>
    </w:p>
    <w:p w:rsidR="00E1615E" w:rsidRDefault="00E1615E">
      <w:pPr>
        <w:tabs>
          <w:tab w:val="center" w:pos="4522"/>
        </w:tabs>
        <w:spacing w:after="0" w:line="360" w:lineRule="auto"/>
        <w:rPr>
          <w:color w:val="000000"/>
        </w:rPr>
      </w:pPr>
    </w:p>
    <w:p w:rsidR="00E1615E" w:rsidRDefault="00FB0354">
      <w:pPr>
        <w:tabs>
          <w:tab w:val="center" w:pos="4522"/>
        </w:tabs>
        <w:spacing w:after="0" w:line="360" w:lineRule="auto"/>
        <w:rPr>
          <w:color w:val="000000"/>
        </w:rPr>
      </w:pPr>
      <w:r>
        <w:rPr>
          <w:color w:val="000000"/>
        </w:rPr>
        <w:lastRenderedPageBreak/>
        <w:t xml:space="preserve">En ese orden de ideas, en el portal de la Comisión Nacional para la Protección y Defensa de los Usuarios de Servicios Financieros (consultadas el dieciocho de enero de dos mil veintitrés), en </w:t>
      </w:r>
      <w:hyperlink r:id="rId12">
        <w:r>
          <w:rPr>
            <w:color w:val="0000FF"/>
            <w:u w:val="single"/>
          </w:rPr>
          <w:t>https://www.condusef.gob.mx/Revista/index.php/usuario-inteligente/condusef-responde/777-la-condusef-te-puede-ayudar</w:t>
        </w:r>
      </w:hyperlink>
      <w:r>
        <w:rPr>
          <w:color w:val="000000"/>
        </w:rPr>
        <w:t>), se establece que los bancos son instituciones financieras; conforme a lo anterior, se puede advertir que las instituciones bancarias, son personas morales.</w:t>
      </w:r>
    </w:p>
    <w:p w:rsidR="00E1615E" w:rsidRDefault="00E1615E">
      <w:pPr>
        <w:tabs>
          <w:tab w:val="center" w:pos="4522"/>
        </w:tabs>
        <w:spacing w:after="0" w:line="360" w:lineRule="auto"/>
        <w:rPr>
          <w:color w:val="000000"/>
        </w:rPr>
      </w:pPr>
    </w:p>
    <w:p w:rsidR="00E1615E" w:rsidRDefault="00FB0354">
      <w:pPr>
        <w:tabs>
          <w:tab w:val="center" w:pos="4522"/>
        </w:tabs>
        <w:spacing w:after="0" w:line="360" w:lineRule="auto"/>
        <w:rPr>
          <w:color w:val="000000"/>
        </w:rPr>
      </w:pPr>
      <w:r>
        <w:rPr>
          <w:color w:val="000000"/>
        </w:rPr>
        <w:t>En ese orden de ideas, se considera que la denominación o razón social de una persona moral, es pública, pues dichos datos se encuentran inscritos en el Registro Público del Comercio; lo anterior, toma sustento en el Criterio Orientador, de la Segunda Época, con número de registro SO/008/2019, emitido por el entonces Instituto Nacional de Transparencia, Acceso a la Información y Protección de Datos Personales, previamente referido.</w:t>
      </w:r>
    </w:p>
    <w:p w:rsidR="00E1615E" w:rsidRDefault="00E1615E">
      <w:pPr>
        <w:tabs>
          <w:tab w:val="center" w:pos="4522"/>
        </w:tabs>
        <w:spacing w:after="0" w:line="360" w:lineRule="auto"/>
        <w:rPr>
          <w:color w:val="000000"/>
        </w:rPr>
      </w:pPr>
    </w:p>
    <w:p w:rsidR="00E1615E" w:rsidRDefault="00FB0354">
      <w:pPr>
        <w:tabs>
          <w:tab w:val="center" w:pos="4522"/>
        </w:tabs>
        <w:spacing w:after="0" w:line="360" w:lineRule="auto"/>
        <w:rPr>
          <w:color w:val="000000"/>
        </w:rPr>
      </w:pPr>
      <w:r>
        <w:rPr>
          <w:color w:val="000000"/>
        </w:rPr>
        <w:t xml:space="preserve">Lo anterior, se robustece con el hecho de que existe el Sistema de Registro de Prestadores de Servicios Financieros (consultadas el dieciocho de enero de dos mil veintitrés), a las trece horas, en la liga </w:t>
      </w:r>
      <w:hyperlink r:id="rId13">
        <w:r>
          <w:rPr>
            <w:color w:val="0000FF"/>
            <w:u w:val="single"/>
          </w:rPr>
          <w:t>https://webapps.condusef.gob.mx/SIPRES/jsp/pub/index.jsp</w:t>
        </w:r>
      </w:hyperlink>
      <w:r>
        <w:rPr>
          <w:color w:val="000000"/>
        </w:rPr>
        <w:t xml:space="preserve">), que es un registro de </w:t>
      </w:r>
      <w:r>
        <w:rPr>
          <w:b/>
          <w:bCs/>
          <w:color w:val="000000"/>
        </w:rPr>
        <w:t xml:space="preserve">carácter público, </w:t>
      </w:r>
      <w:r>
        <w:rPr>
          <w:color w:val="000000"/>
        </w:rPr>
        <w:t>cuyo objetivo principal, consiste en proporcionar información corporativa y general de las instituciones financieras</w:t>
      </w:r>
      <w:r>
        <w:rPr>
          <w:b/>
          <w:bCs/>
          <w:color w:val="000000"/>
        </w:rPr>
        <w:t xml:space="preserve">; además, que permite conocer al público general, información de dichos entes, </w:t>
      </w:r>
      <w:r>
        <w:rPr>
          <w:color w:val="000000"/>
        </w:rPr>
        <w:t xml:space="preserve">se muestra un ejemplo a continuación: </w:t>
      </w:r>
    </w:p>
    <w:p w:rsidR="00E1615E" w:rsidRDefault="00E1615E">
      <w:pPr>
        <w:tabs>
          <w:tab w:val="center" w:pos="4522"/>
        </w:tabs>
        <w:spacing w:after="0" w:line="360" w:lineRule="auto"/>
        <w:rPr>
          <w:color w:val="000000"/>
        </w:rPr>
      </w:pPr>
    </w:p>
    <w:p w:rsidR="00E1615E" w:rsidRDefault="00FB0354">
      <w:pPr>
        <w:tabs>
          <w:tab w:val="center" w:pos="4522"/>
        </w:tabs>
        <w:spacing w:after="0" w:line="360" w:lineRule="auto"/>
        <w:jc w:val="center"/>
        <w:rPr>
          <w:color w:val="000000"/>
        </w:rPr>
      </w:pPr>
      <w:r>
        <w:rPr>
          <w:noProof/>
          <w:color w:val="000000"/>
        </w:rPr>
        <w:lastRenderedPageBreak/>
        <w:drawing>
          <wp:inline distT="0" distB="0" distL="0" distR="0">
            <wp:extent cx="4777740" cy="2476500"/>
            <wp:effectExtent l="0" t="0" r="0" b="0"/>
            <wp:docPr id="1432513724" name="image3.png"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magen que contiene Escala de tiempo&#10;&#10;Descripción generada automáticamente"/>
                    <pic:cNvPicPr preferRelativeResize="0"/>
                  </pic:nvPicPr>
                  <pic:blipFill>
                    <a:blip r:embed="rId14"/>
                    <a:srcRect/>
                    <a:stretch>
                      <a:fillRect/>
                    </a:stretch>
                  </pic:blipFill>
                  <pic:spPr>
                    <a:xfrm>
                      <a:off x="0" y="0"/>
                      <a:ext cx="4777740" cy="2476500"/>
                    </a:xfrm>
                    <a:prstGeom prst="rect">
                      <a:avLst/>
                    </a:prstGeom>
                    <a:ln/>
                  </pic:spPr>
                </pic:pic>
              </a:graphicData>
            </a:graphic>
          </wp:inline>
        </w:drawing>
      </w:r>
    </w:p>
    <w:p w:rsidR="00E1615E" w:rsidRDefault="00E1615E">
      <w:pPr>
        <w:tabs>
          <w:tab w:val="center" w:pos="4522"/>
        </w:tabs>
        <w:spacing w:after="0" w:line="360" w:lineRule="auto"/>
        <w:rPr>
          <w:color w:val="000000"/>
        </w:rPr>
      </w:pPr>
    </w:p>
    <w:p w:rsidR="00E1615E" w:rsidRDefault="00FB0354">
      <w:pPr>
        <w:tabs>
          <w:tab w:val="center" w:pos="4522"/>
        </w:tabs>
        <w:spacing w:after="0" w:line="360" w:lineRule="auto"/>
        <w:rPr>
          <w:color w:val="000000"/>
        </w:rPr>
      </w:pPr>
      <w:r>
        <w:rPr>
          <w:color w:val="000000"/>
        </w:rPr>
        <w:t>Conforme a lo anterior, se logra vislumbrar que el nombre de las instituciones bancarias en primera instancia es de naturaleza pública; sin embargo, en el presente caso, se relacionada con el hecho de que corresponde al banco en el cual un proveedor o contratista decidió recibir el pago de sus servicios; es decir, daría cuenta de la decisión voluntaria de recibir el pago de sus servicios en una determinada institución; lo cual se relaciona con la cuenta y clave interbancaria, mismos que son confidenciales.</w:t>
      </w:r>
    </w:p>
    <w:p w:rsidR="00E1615E" w:rsidRDefault="00E1615E">
      <w:pPr>
        <w:tabs>
          <w:tab w:val="center" w:pos="4522"/>
        </w:tabs>
        <w:spacing w:after="0" w:line="360" w:lineRule="auto"/>
        <w:rPr>
          <w:color w:val="000000"/>
        </w:rPr>
      </w:pPr>
    </w:p>
    <w:p w:rsidR="00E1615E" w:rsidRDefault="00FB0354">
      <w:pPr>
        <w:tabs>
          <w:tab w:val="center" w:pos="4522"/>
        </w:tabs>
        <w:spacing w:after="0" w:line="360" w:lineRule="auto"/>
        <w:rPr>
          <w:color w:val="000000"/>
        </w:rPr>
      </w:pPr>
      <w:r>
        <w:rPr>
          <w:color w:val="000000"/>
        </w:rPr>
        <w:t>Además, revelaría el lugar en donde el proveedor recibió los recursos por prestar sus servicios, lo cual únicamente está relacionado a su vida íntima o privada de la persona moral; por lo que, este Instituto considera que el nombre de la institución bancaria, actualiza la causal de clasificación prevista en el artículo 143, fracción I, de la Ley de Transparencia y Acceso a la Información Pública del Estado de México y Municipios.</w:t>
      </w:r>
    </w:p>
    <w:p w:rsidR="00E1615E" w:rsidRDefault="00E1615E">
      <w:pPr>
        <w:tabs>
          <w:tab w:val="center" w:pos="4522"/>
        </w:tabs>
        <w:spacing w:after="0" w:line="360" w:lineRule="auto"/>
        <w:rPr>
          <w:color w:val="000000"/>
        </w:rPr>
      </w:pPr>
    </w:p>
    <w:p w:rsidR="00E1615E" w:rsidRDefault="00FB0354">
      <w:pPr>
        <w:numPr>
          <w:ilvl w:val="0"/>
          <w:numId w:val="2"/>
        </w:numPr>
        <w:pBdr>
          <w:top w:val="nil"/>
          <w:left w:val="nil"/>
          <w:bottom w:val="nil"/>
          <w:right w:val="nil"/>
          <w:between w:val="nil"/>
        </w:pBdr>
        <w:tabs>
          <w:tab w:val="center" w:pos="4522"/>
        </w:tabs>
        <w:spacing w:after="0" w:line="360" w:lineRule="auto"/>
        <w:rPr>
          <w:b/>
          <w:bCs/>
          <w:color w:val="000000"/>
        </w:rPr>
      </w:pPr>
      <w:r>
        <w:rPr>
          <w:b/>
          <w:bCs/>
          <w:color w:val="000000"/>
        </w:rPr>
        <w:t xml:space="preserve">Folio del Comprobante Fiscal Digital por Internet </w:t>
      </w:r>
    </w:p>
    <w:p w:rsidR="00E1615E" w:rsidRDefault="00E1615E">
      <w:pPr>
        <w:tabs>
          <w:tab w:val="center" w:pos="4522"/>
        </w:tabs>
        <w:spacing w:after="0" w:line="360" w:lineRule="auto"/>
        <w:rPr>
          <w:color w:val="000000"/>
        </w:rPr>
      </w:pPr>
    </w:p>
    <w:p w:rsidR="00E1615E" w:rsidRDefault="00FB0354">
      <w:pPr>
        <w:tabs>
          <w:tab w:val="center" w:pos="4522"/>
        </w:tabs>
        <w:spacing w:after="0" w:line="360" w:lineRule="auto"/>
        <w:rPr>
          <w:color w:val="000000"/>
        </w:rPr>
      </w:pPr>
      <w:r>
        <w:rPr>
          <w:color w:val="000000"/>
        </w:rPr>
        <w:lastRenderedPageBreak/>
        <w:t xml:space="preserve">Dicho dato, es una clave o </w:t>
      </w:r>
      <w:r>
        <w:t>dígito</w:t>
      </w:r>
      <w:r>
        <w:rPr>
          <w:color w:val="000000"/>
        </w:rPr>
        <w:t>, para identificar a la factura, compuesto de una serie de números, y algunos casos, letras o separaciones por guiones, por lo que, no es un dato que contenga información confidencial, o bien, que revele hechos o actos de carácter económico, contable, jurídico o administrativo que sean útiles o representen una ventaja a sus competidores. Conforme a lo anterior, dicho dato, lo único que hace identificable, es a la factura de que se trate, pues son datos meramente de control e identificación, por lo que, no se consideran datos clasificados en términos del artículo 143, fracción I de la Ley de Transparencia y Acceso a la Información Pública del Estado de México y Municipios, al no ser datos confidenciales; lo anterior toma sustento, en que los nombres de las partes, en las facturas, en el presente caso son de naturaleza pública.</w:t>
      </w:r>
    </w:p>
    <w:p w:rsidR="00E1615E" w:rsidRDefault="00E1615E">
      <w:pPr>
        <w:tabs>
          <w:tab w:val="center" w:pos="4522"/>
        </w:tabs>
        <w:spacing w:after="0" w:line="360" w:lineRule="auto"/>
        <w:rPr>
          <w:color w:val="000000"/>
        </w:rPr>
      </w:pPr>
    </w:p>
    <w:p w:rsidR="00E1615E" w:rsidRDefault="00FB0354">
      <w:pPr>
        <w:numPr>
          <w:ilvl w:val="0"/>
          <w:numId w:val="2"/>
        </w:numPr>
        <w:pBdr>
          <w:top w:val="nil"/>
          <w:left w:val="nil"/>
          <w:bottom w:val="nil"/>
          <w:right w:val="nil"/>
          <w:between w:val="nil"/>
        </w:pBdr>
        <w:tabs>
          <w:tab w:val="center" w:pos="4522"/>
        </w:tabs>
        <w:spacing w:after="0" w:line="360" w:lineRule="auto"/>
        <w:rPr>
          <w:b/>
          <w:bCs/>
          <w:color w:val="000000"/>
        </w:rPr>
      </w:pPr>
      <w:r>
        <w:rPr>
          <w:b/>
          <w:bCs/>
          <w:color w:val="000000"/>
        </w:rPr>
        <w:t xml:space="preserve">Lugar de Expedición de la factura </w:t>
      </w:r>
    </w:p>
    <w:p w:rsidR="00E1615E" w:rsidRDefault="00E1615E">
      <w:pPr>
        <w:tabs>
          <w:tab w:val="center" w:pos="4522"/>
        </w:tabs>
        <w:spacing w:after="0" w:line="360" w:lineRule="auto"/>
        <w:rPr>
          <w:color w:val="000000"/>
        </w:rPr>
      </w:pPr>
    </w:p>
    <w:p w:rsidR="00E1615E" w:rsidRDefault="00FB0354">
      <w:pPr>
        <w:tabs>
          <w:tab w:val="center" w:pos="4522"/>
        </w:tabs>
        <w:spacing w:after="0" w:line="360" w:lineRule="auto"/>
        <w:rPr>
          <w:color w:val="000000"/>
        </w:rPr>
      </w:pPr>
      <w:r>
        <w:rPr>
          <w:color w:val="000000"/>
        </w:rPr>
        <w:t>El lugar de expedición es un dato que se debe llenar dentro de las facturas y que corresponde al código postal del lugar de expedición del comprobante digital fiscal por internet (domicilio de la matriz o de la sucursal), mismo que debe concordar con el domicilio fiscal o de expedición de la factura, que tal como se señaló previamente, dichos datos son de naturaleza pública. Por tal circunstancia, el dato en análisis ayuda a verificar que este coincida con el domicilio de la empresa, el cual es público, corre los mismos efectos y, por lo tanto, no actualiza la causal de clasificación establecida en el artículo 143, fracción I, de la Ley de Transparencia y Acceso a la Información Pública del Estado de México y Municipios.</w:t>
      </w:r>
    </w:p>
    <w:p w:rsidR="00E1615E" w:rsidRDefault="00E1615E">
      <w:pPr>
        <w:tabs>
          <w:tab w:val="center" w:pos="4522"/>
        </w:tabs>
        <w:spacing w:after="0" w:line="360" w:lineRule="auto"/>
        <w:rPr>
          <w:color w:val="000000"/>
        </w:rPr>
      </w:pPr>
    </w:p>
    <w:p w:rsidR="00E1615E" w:rsidRDefault="00FB0354">
      <w:pPr>
        <w:spacing w:after="0" w:line="360" w:lineRule="auto"/>
        <w:rPr>
          <w:color w:val="000000"/>
        </w:rPr>
      </w:pPr>
      <w:r>
        <w:rPr>
          <w:color w:val="000000"/>
        </w:rPr>
        <w:t xml:space="preserve">Finalmente, el Sujeto Obligado, deberá elaborar la versión pública respectiva, tomando en consideración los datos analizados; al respecto, conforme al artículo 3°, fracción XLV, relacionado con el 137, ambos de la Ley de Transparencia y Acceso a la Información Pública del Estado de México y Municipios, cuando un documento contenga información pública y </w:t>
      </w:r>
      <w:r>
        <w:rPr>
          <w:color w:val="000000"/>
        </w:rPr>
        <w:lastRenderedPageBreak/>
        <w:t xml:space="preserve">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rsidR="00E1615E" w:rsidRDefault="00E1615E">
      <w:pPr>
        <w:spacing w:after="0" w:line="360" w:lineRule="auto"/>
        <w:rPr>
          <w:color w:val="000000"/>
        </w:rPr>
      </w:pPr>
    </w:p>
    <w:p w:rsidR="00E1615E" w:rsidRDefault="00FB0354">
      <w:pPr>
        <w:spacing w:after="0" w:line="360" w:lineRule="auto"/>
        <w:rPr>
          <w:color w:val="000000"/>
        </w:rPr>
      </w:pPr>
      <w:r>
        <w:rPr>
          <w:color w:val="000000"/>
        </w:rPr>
        <w:t xml:space="preserve">Para el caso de que no haya contratado algún servicio </w:t>
      </w:r>
      <w:r>
        <w:t>deberá hacerlo del conocimiento de la parte Recurrente, de manera clara y precisa.</w:t>
      </w:r>
    </w:p>
    <w:p w:rsidR="00E1615E" w:rsidRDefault="00E1615E">
      <w:pPr>
        <w:spacing w:after="0" w:line="360" w:lineRule="auto"/>
        <w:rPr>
          <w:color w:val="000000"/>
        </w:rPr>
      </w:pPr>
    </w:p>
    <w:p w:rsidR="00E1615E" w:rsidRDefault="00FB0354">
      <w:pPr>
        <w:spacing w:after="0" w:line="360" w:lineRule="auto"/>
        <w:rPr>
          <w:color w:val="000000"/>
        </w:rPr>
      </w:pPr>
      <w:r>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E1615E" w:rsidRDefault="00E1615E">
      <w:pPr>
        <w:spacing w:after="0" w:line="360" w:lineRule="auto"/>
        <w:ind w:right="-28"/>
        <w:rPr>
          <w:color w:val="000000"/>
        </w:rPr>
      </w:pPr>
    </w:p>
    <w:p w:rsidR="00E1615E" w:rsidRDefault="00FB0354">
      <w:pPr>
        <w:pStyle w:val="Ttulo2"/>
        <w:spacing w:before="0" w:after="0" w:line="360" w:lineRule="auto"/>
        <w:rPr>
          <w:sz w:val="22"/>
          <w:szCs w:val="22"/>
        </w:rPr>
      </w:pPr>
      <w:bookmarkStart w:id="26" w:name="_heading=h.jydj8yynqalo" w:colFirst="0" w:colLast="0"/>
      <w:bookmarkStart w:id="27" w:name="_Toc221204377"/>
      <w:bookmarkEnd w:id="26"/>
      <w:r>
        <w:rPr>
          <w:sz w:val="22"/>
          <w:szCs w:val="22"/>
        </w:rPr>
        <w:t>SEXTO. Decisión</w:t>
      </w:r>
      <w:bookmarkEnd w:id="27"/>
    </w:p>
    <w:p w:rsidR="00E1615E" w:rsidRDefault="00E1615E">
      <w:pPr>
        <w:spacing w:after="0" w:line="360" w:lineRule="auto"/>
        <w:rPr>
          <w:b/>
          <w:bCs/>
        </w:rPr>
      </w:pPr>
    </w:p>
    <w:p w:rsidR="00E1615E" w:rsidRDefault="00FB0354">
      <w:pPr>
        <w:spacing w:after="0" w:line="360" w:lineRule="auto"/>
        <w:rPr>
          <w:color w:val="000000"/>
        </w:rPr>
      </w:pPr>
      <w:r>
        <w:rPr>
          <w:color w:val="000000"/>
        </w:rPr>
        <w:t xml:space="preserve">De acuerdo con lo expuesto y, con fundamento en el artículo 186, fracción III, de la Ley de Transparencia y Acceso a la Información Pública del Estado de México y Municipios, este Instituto considera procedente </w:t>
      </w:r>
      <w:r>
        <w:rPr>
          <w:b/>
          <w:bCs/>
          <w:color w:val="000000"/>
        </w:rPr>
        <w:t xml:space="preserve">REVOCAR </w:t>
      </w:r>
      <w:r>
        <w:rPr>
          <w:color w:val="000000"/>
        </w:rPr>
        <w:t>la respuesta del Ayuntamiento de Amecameca</w:t>
      </w:r>
      <w:r>
        <w:rPr>
          <w:b/>
          <w:bCs/>
          <w:color w:val="000000"/>
        </w:rPr>
        <w:t xml:space="preserve">, </w:t>
      </w:r>
      <w:r>
        <w:rPr>
          <w:color w:val="000000"/>
        </w:rPr>
        <w:t>a efecto de que entregue, de ser el caso, en versión pública, la información faltante.</w:t>
      </w:r>
    </w:p>
    <w:p w:rsidR="00E1615E" w:rsidRDefault="00E1615E">
      <w:pPr>
        <w:spacing w:after="0" w:line="360" w:lineRule="auto"/>
      </w:pPr>
    </w:p>
    <w:p w:rsidR="00E1615E" w:rsidRDefault="00FB0354">
      <w:pPr>
        <w:spacing w:after="0" w:line="360" w:lineRule="auto"/>
        <w:rPr>
          <w:b/>
          <w:bCs/>
        </w:rPr>
      </w:pPr>
      <w:r>
        <w:rPr>
          <w:b/>
          <w:bCs/>
        </w:rPr>
        <w:t>Términos de la Resolución para conocimiento del Particular</w:t>
      </w:r>
    </w:p>
    <w:p w:rsidR="00E1615E" w:rsidRDefault="00E1615E">
      <w:pPr>
        <w:spacing w:after="0" w:line="360" w:lineRule="auto"/>
        <w:rPr>
          <w:b/>
          <w:bCs/>
        </w:rPr>
      </w:pPr>
    </w:p>
    <w:p w:rsidR="00E1615E" w:rsidRDefault="00FB0354">
      <w:pPr>
        <w:spacing w:after="0" w:line="360" w:lineRule="auto"/>
        <w:rPr>
          <w:color w:val="000000"/>
        </w:rPr>
      </w:pPr>
      <w:r>
        <w:rPr>
          <w:color w:val="000000"/>
        </w:rPr>
        <w:t xml:space="preserve">Se le hace del conocimiento a la persona Recurrente que, en el presente asunto, se le da la razón, pues el Sujeto Obligado, omitió entregar la información solicitada de manera congruente, por lo que, deberá entregarla. </w:t>
      </w:r>
    </w:p>
    <w:p w:rsidR="00E1615E" w:rsidRDefault="00E1615E">
      <w:pPr>
        <w:spacing w:after="0" w:line="360" w:lineRule="auto"/>
        <w:rPr>
          <w:color w:val="000000"/>
        </w:rPr>
      </w:pPr>
    </w:p>
    <w:p w:rsidR="00E1615E" w:rsidRDefault="00FB0354">
      <w:pPr>
        <w:spacing w:after="0" w:line="360" w:lineRule="auto"/>
        <w:rPr>
          <w:color w:val="000000"/>
        </w:rPr>
      </w:pPr>
      <w:r>
        <w:rPr>
          <w:color w:val="000000"/>
        </w:rPr>
        <w:lastRenderedPageBreak/>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rsidR="00E1615E" w:rsidRDefault="00E1615E">
      <w:pPr>
        <w:spacing w:after="0" w:line="360" w:lineRule="auto"/>
      </w:pPr>
    </w:p>
    <w:p w:rsidR="00E1615E" w:rsidRDefault="00FB0354">
      <w:pPr>
        <w:spacing w:after="0" w:line="360" w:lineRule="auto"/>
      </w:pPr>
      <w:r>
        <w:t>Por lo expuesto y fundado, este Pleno:</w:t>
      </w:r>
    </w:p>
    <w:p w:rsidR="00E1615E" w:rsidRDefault="00E1615E">
      <w:pPr>
        <w:spacing w:after="0" w:line="360" w:lineRule="auto"/>
      </w:pPr>
    </w:p>
    <w:p w:rsidR="00E1615E" w:rsidRDefault="00FB0354">
      <w:pPr>
        <w:pStyle w:val="Ttulo1"/>
        <w:spacing w:before="0" w:after="0" w:line="360" w:lineRule="auto"/>
        <w:jc w:val="center"/>
        <w:rPr>
          <w:sz w:val="22"/>
          <w:szCs w:val="22"/>
        </w:rPr>
      </w:pPr>
      <w:bookmarkStart w:id="28" w:name="_heading=h.5cr5tyfvqif2" w:colFirst="0" w:colLast="0"/>
      <w:bookmarkStart w:id="29" w:name="_Toc221204378"/>
      <w:bookmarkEnd w:id="28"/>
      <w:r>
        <w:rPr>
          <w:sz w:val="22"/>
          <w:szCs w:val="22"/>
        </w:rPr>
        <w:t>R E S U E L V E</w:t>
      </w:r>
      <w:bookmarkEnd w:id="29"/>
    </w:p>
    <w:p w:rsidR="00E1615E" w:rsidRDefault="00E1615E">
      <w:pPr>
        <w:spacing w:after="0" w:line="360" w:lineRule="auto"/>
      </w:pPr>
    </w:p>
    <w:p w:rsidR="00E1615E" w:rsidRDefault="00FB0354">
      <w:pPr>
        <w:spacing w:after="0" w:line="360" w:lineRule="auto"/>
        <w:rPr>
          <w:color w:val="000000"/>
        </w:rPr>
      </w:pPr>
      <w:r>
        <w:rPr>
          <w:b/>
          <w:bCs/>
          <w:color w:val="000000"/>
        </w:rPr>
        <w:t xml:space="preserve">PRIMERO. </w:t>
      </w:r>
      <w:r>
        <w:rPr>
          <w:color w:val="000000"/>
        </w:rPr>
        <w:t xml:space="preserve">Se </w:t>
      </w:r>
      <w:r>
        <w:rPr>
          <w:b/>
          <w:bCs/>
          <w:color w:val="000000"/>
        </w:rPr>
        <w:t xml:space="preserve">REVOCA </w:t>
      </w:r>
      <w:r>
        <w:rPr>
          <w:color w:val="000000"/>
        </w:rPr>
        <w:t xml:space="preserve">la respuesta entregada por el </w:t>
      </w:r>
      <w:r>
        <w:t>Sistema Municipal Para el Desarrollo Integral de la Familia de Huehuetoca</w:t>
      </w:r>
      <w:r>
        <w:rPr>
          <w:color w:val="000000"/>
        </w:rPr>
        <w:t xml:space="preserve">, a la solicitud de información 00228/DIFHUEHUET/IP/2025, por resultar </w:t>
      </w:r>
      <w:r>
        <w:rPr>
          <w:b/>
          <w:bCs/>
          <w:color w:val="000000"/>
        </w:rPr>
        <w:t xml:space="preserve">FUNDADAS </w:t>
      </w:r>
      <w:r>
        <w:rPr>
          <w:color w:val="000000"/>
        </w:rPr>
        <w:t>las razones o motivos de inconformidad hechos valer por el Recurrente, en términos de los considerandos QUINTO y SEXTO de la presente Resolución.</w:t>
      </w:r>
    </w:p>
    <w:p w:rsidR="00E1615E" w:rsidRDefault="00E1615E">
      <w:pPr>
        <w:spacing w:after="0" w:line="360" w:lineRule="auto"/>
        <w:rPr>
          <w:color w:val="000000"/>
        </w:rPr>
      </w:pPr>
    </w:p>
    <w:p w:rsidR="00E1615E" w:rsidRDefault="00FB0354">
      <w:pPr>
        <w:spacing w:after="0" w:line="360" w:lineRule="auto"/>
        <w:rPr>
          <w:color w:val="000000"/>
        </w:rPr>
      </w:pPr>
      <w:r>
        <w:rPr>
          <w:b/>
          <w:bCs/>
          <w:color w:val="000000"/>
        </w:rPr>
        <w:t xml:space="preserve">SEGUNDO. </w:t>
      </w:r>
      <w:r>
        <w:rPr>
          <w:color w:val="000000"/>
        </w:rPr>
        <w:t xml:space="preserve">Se </w:t>
      </w:r>
      <w:r>
        <w:rPr>
          <w:b/>
          <w:bCs/>
          <w:color w:val="000000"/>
        </w:rPr>
        <w:t>ORDENA</w:t>
      </w:r>
      <w:r>
        <w:rPr>
          <w:color w:val="000000"/>
        </w:rPr>
        <w:t xml:space="preserve"> al Ente Recurrido</w:t>
      </w:r>
      <w:r>
        <w:rPr>
          <w:b/>
          <w:bCs/>
          <w:color w:val="000000"/>
        </w:rPr>
        <w:t xml:space="preserve">, </w:t>
      </w:r>
      <w:r>
        <w:rPr>
          <w:color w:val="000000"/>
        </w:rPr>
        <w:t>a efecto de que previa búsqueda exhaustiva o razonable en los archivos de las unidades administrativas competentes, entregue a través del Sistema de Acceso a la Información Mexiquense (SAIMEX), en su caso, en versión pública, lo siguiente:</w:t>
      </w:r>
    </w:p>
    <w:p w:rsidR="00E1615E" w:rsidRDefault="00E1615E">
      <w:pPr>
        <w:spacing w:after="0" w:line="360" w:lineRule="auto"/>
        <w:rPr>
          <w:color w:val="000000"/>
        </w:rPr>
      </w:pPr>
    </w:p>
    <w:p w:rsidR="00E1615E" w:rsidRDefault="00FB0354">
      <w:pPr>
        <w:numPr>
          <w:ilvl w:val="0"/>
          <w:numId w:val="2"/>
        </w:numPr>
        <w:pBdr>
          <w:top w:val="nil"/>
          <w:left w:val="nil"/>
          <w:bottom w:val="nil"/>
          <w:right w:val="nil"/>
          <w:between w:val="nil"/>
        </w:pBdr>
        <w:spacing w:after="0" w:line="360" w:lineRule="auto"/>
        <w:jc w:val="left"/>
        <w:rPr>
          <w:color w:val="000000"/>
        </w:rPr>
      </w:pPr>
      <w:r>
        <w:rPr>
          <w:color w:val="000000"/>
        </w:rPr>
        <w:t>Las facturas recibidas del primero de enero al dieciocho de septiembre de dos mil veinticinco.</w:t>
      </w:r>
    </w:p>
    <w:p w:rsidR="00E1615E" w:rsidRDefault="00E1615E">
      <w:pPr>
        <w:pBdr>
          <w:top w:val="nil"/>
          <w:left w:val="nil"/>
          <w:bottom w:val="nil"/>
          <w:right w:val="nil"/>
          <w:between w:val="nil"/>
        </w:pBdr>
        <w:spacing w:after="0" w:line="360" w:lineRule="auto"/>
        <w:ind w:left="720"/>
        <w:jc w:val="left"/>
        <w:rPr>
          <w:color w:val="000000"/>
        </w:rPr>
      </w:pPr>
    </w:p>
    <w:p w:rsidR="00E1615E" w:rsidRDefault="00FB0354">
      <w:pPr>
        <w:spacing w:after="0" w:line="360" w:lineRule="auto"/>
        <w:rPr>
          <w:color w:val="000000"/>
        </w:rPr>
      </w:pPr>
      <w:r>
        <w:rPr>
          <w:color w:val="000000"/>
        </w:rPr>
        <w:t xml:space="preserve">Además, de ser necesario, deberá proporcionar el Acuerdo de Clasificación donde el Comité de Transparencia, confirme la eliminación de los datos o información clasificada, en la versión pública, en términos del Considerando QUINTO, de conformidad con los artículos </w:t>
      </w:r>
      <w:r>
        <w:rPr>
          <w:color w:val="000000"/>
        </w:rPr>
        <w:lastRenderedPageBreak/>
        <w:t>49, fracciones II y VIII, y 132, fracción II, de la Ley de Transparencia y Acceso a la Información Pública del Estado de México y Municipios.</w:t>
      </w:r>
    </w:p>
    <w:p w:rsidR="00E1615E" w:rsidRDefault="00E1615E">
      <w:pPr>
        <w:spacing w:after="0" w:line="360" w:lineRule="auto"/>
        <w:rPr>
          <w:color w:val="000000"/>
        </w:rPr>
      </w:pPr>
    </w:p>
    <w:p w:rsidR="00E1615E" w:rsidRDefault="00FB0354">
      <w:pPr>
        <w:spacing w:after="0" w:line="360" w:lineRule="auto"/>
        <w:ind w:right="-28"/>
        <w:rPr>
          <w:color w:val="000000"/>
        </w:rPr>
      </w:pPr>
      <w:r>
        <w:rPr>
          <w:b/>
          <w:bCs/>
          <w:color w:val="000000"/>
        </w:rPr>
        <w:t xml:space="preserve">TERCERO. NOTIFÍQUESE POR SAIMEX </w:t>
      </w:r>
      <w:r>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E1615E" w:rsidRDefault="00E1615E">
      <w:pPr>
        <w:spacing w:after="0" w:line="360" w:lineRule="auto"/>
        <w:ind w:right="-28"/>
        <w:rPr>
          <w:color w:val="000000"/>
        </w:rPr>
      </w:pPr>
    </w:p>
    <w:p w:rsidR="00E1615E" w:rsidRDefault="00FB0354">
      <w:pPr>
        <w:spacing w:after="0" w:line="360" w:lineRule="auto"/>
        <w:ind w:right="-28"/>
        <w:rPr>
          <w:color w:val="000000"/>
        </w:rPr>
      </w:pPr>
      <w:r>
        <w:rPr>
          <w:color w:val="000000"/>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E1615E" w:rsidRDefault="00E1615E">
      <w:pPr>
        <w:spacing w:after="0" w:line="360" w:lineRule="auto"/>
        <w:rPr>
          <w:color w:val="000000"/>
        </w:rPr>
      </w:pPr>
    </w:p>
    <w:p w:rsidR="00E1615E" w:rsidRDefault="00FB0354">
      <w:pPr>
        <w:spacing w:after="0" w:line="360" w:lineRule="auto"/>
        <w:rPr>
          <w:color w:val="000000"/>
        </w:rPr>
      </w:pPr>
      <w:r>
        <w:rPr>
          <w:b/>
          <w:bCs/>
          <w:color w:val="000000"/>
        </w:rPr>
        <w:t>CUARTO. NOTIFÍQUESE POR SAIMEX</w:t>
      </w:r>
      <w:r>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E1615E" w:rsidRDefault="00E1615E">
      <w:pPr>
        <w:spacing w:after="0" w:line="360" w:lineRule="auto"/>
        <w:rPr>
          <w:b/>
          <w:bCs/>
          <w:color w:val="000000"/>
        </w:rPr>
      </w:pPr>
    </w:p>
    <w:p w:rsidR="00E1615E" w:rsidRDefault="00FB0354">
      <w:pPr>
        <w:spacing w:after="0" w:line="360" w:lineRule="auto"/>
        <w:rPr>
          <w:b/>
          <w:bCs/>
          <w:color w:val="000000"/>
        </w:rPr>
      </w:pPr>
      <w:r>
        <w:rPr>
          <w:color w:val="000000"/>
        </w:rPr>
        <w:t xml:space="preserve">ASÍ LO RESUELVE, POR </w:t>
      </w:r>
      <w:r>
        <w:rPr>
          <w:b/>
          <w:bCs/>
          <w:color w:val="000000"/>
        </w:rPr>
        <w:t>UNANIMIDAD</w:t>
      </w:r>
      <w:r>
        <w:rPr>
          <w:color w:val="000000"/>
        </w:rPr>
        <w:t xml:space="preserve"> DE VOTOS EL PLENO DEL INSTITUTO DE TRANSPARENCIA, ACCESO A LA INFORMACIÓN PÚBLICA Y PROTECCIÓN DE DATOS PERSONALES DEL ESTADO DE MÉXICO Y MUNICIPIOS, CONFORMADO POR </w:t>
      </w:r>
      <w:r>
        <w:rPr>
          <w:color w:val="000000"/>
        </w:rPr>
        <w:lastRenderedPageBreak/>
        <w:t>LOS COMISIONADOS JOSÉ MARTÍNEZ VILCHIS, MARÍA DEL ROSARIO MEJÍA AYALA, SHARON CRISTINA MORALES MARTÍNEZ, LUIS GUSTAVO PARRA NORIEGA Y GUADALUPE RAMÍREZ PEÑA, EN LA CUARTA SESIÓN ORDINARIA, CELEBRADA EL C</w:t>
      </w:r>
      <w:r w:rsidR="00705379">
        <w:rPr>
          <w:color w:val="000000"/>
        </w:rPr>
        <w:t>INCO</w:t>
      </w:r>
      <w:r>
        <w:rPr>
          <w:color w:val="000000"/>
        </w:rPr>
        <w:t xml:space="preserve"> DE FEBRERO DE DOS MIL </w:t>
      </w:r>
      <w:r>
        <w:t>VEINTISÉIS</w:t>
      </w:r>
      <w:r>
        <w:rPr>
          <w:color w:val="000000"/>
        </w:rPr>
        <w:t>, ANTE EL SECRETARIO TÉCNICO DEL PLENO, ALEXIS TAPIA RAMÍREZ.</w:t>
      </w:r>
    </w:p>
    <w:p w:rsidR="00E1615E" w:rsidRDefault="00E1615E">
      <w:pPr>
        <w:spacing w:after="0" w:line="360" w:lineRule="auto"/>
        <w:ind w:right="-28"/>
        <w:rPr>
          <w:color w:val="000000"/>
        </w:rPr>
      </w:pPr>
    </w:p>
    <w:p w:rsidR="00E1615E" w:rsidRDefault="00E1615E">
      <w:pPr>
        <w:spacing w:after="0" w:line="360" w:lineRule="auto"/>
        <w:rPr>
          <w:b/>
          <w:bCs/>
        </w:rPr>
      </w:pPr>
    </w:p>
    <w:p w:rsidR="00E1615E" w:rsidRDefault="00E1615E">
      <w:pPr>
        <w:spacing w:after="0" w:line="360" w:lineRule="auto"/>
        <w:rPr>
          <w:b/>
          <w:bCs/>
        </w:rPr>
      </w:pPr>
    </w:p>
    <w:p w:rsidR="00E1615E" w:rsidRDefault="00E1615E">
      <w:pPr>
        <w:spacing w:after="0" w:line="360" w:lineRule="auto"/>
        <w:rPr>
          <w:color w:val="000000"/>
        </w:rPr>
      </w:pPr>
    </w:p>
    <w:p w:rsidR="00E1615E" w:rsidRDefault="00E1615E">
      <w:pPr>
        <w:spacing w:after="0" w:line="360" w:lineRule="auto"/>
      </w:pPr>
    </w:p>
    <w:p w:rsidR="00E1615E" w:rsidRDefault="00E1615E">
      <w:pPr>
        <w:spacing w:after="0" w:line="360" w:lineRule="auto"/>
        <w:rPr>
          <w:color w:val="000000"/>
        </w:rPr>
      </w:pPr>
    </w:p>
    <w:p w:rsidR="00E1615E" w:rsidRDefault="00E1615E">
      <w:pPr>
        <w:spacing w:after="0" w:line="360" w:lineRule="auto"/>
        <w:rPr>
          <w:color w:val="000000"/>
        </w:rPr>
      </w:pPr>
    </w:p>
    <w:p w:rsidR="00E1615E" w:rsidRDefault="00E1615E">
      <w:pPr>
        <w:tabs>
          <w:tab w:val="right" w:pos="8931"/>
        </w:tabs>
        <w:spacing w:after="0" w:line="360" w:lineRule="auto"/>
      </w:pPr>
    </w:p>
    <w:p w:rsidR="00E1615E" w:rsidRDefault="00E1615E">
      <w:pPr>
        <w:tabs>
          <w:tab w:val="right" w:pos="8931"/>
        </w:tabs>
        <w:spacing w:after="0" w:line="360" w:lineRule="auto"/>
      </w:pPr>
    </w:p>
    <w:p w:rsidR="00E1615E" w:rsidRDefault="00E1615E">
      <w:pPr>
        <w:spacing w:after="0" w:line="360" w:lineRule="auto"/>
      </w:pPr>
    </w:p>
    <w:p w:rsidR="00E1615E" w:rsidRDefault="00E1615E">
      <w:pPr>
        <w:spacing w:after="0" w:line="360" w:lineRule="auto"/>
      </w:pPr>
    </w:p>
    <w:p w:rsidR="00E1615E" w:rsidRDefault="00E1615E">
      <w:pPr>
        <w:spacing w:after="0" w:line="360" w:lineRule="auto"/>
      </w:pPr>
    </w:p>
    <w:p w:rsidR="00E1615E" w:rsidRDefault="00E1615E">
      <w:pPr>
        <w:spacing w:after="0" w:line="360" w:lineRule="auto"/>
      </w:pPr>
    </w:p>
    <w:p w:rsidR="00E1615E" w:rsidRDefault="00E1615E">
      <w:pPr>
        <w:spacing w:after="0" w:line="360" w:lineRule="auto"/>
      </w:pPr>
    </w:p>
    <w:p w:rsidR="00E1615E" w:rsidRDefault="00E1615E">
      <w:pPr>
        <w:spacing w:after="0" w:line="360" w:lineRule="auto"/>
      </w:pPr>
    </w:p>
    <w:p w:rsidR="00E1615E" w:rsidRDefault="00E1615E">
      <w:pPr>
        <w:spacing w:after="0" w:line="360" w:lineRule="auto"/>
      </w:pPr>
    </w:p>
    <w:p w:rsidR="00E1615E" w:rsidRDefault="00E1615E">
      <w:pPr>
        <w:spacing w:after="0" w:line="360" w:lineRule="auto"/>
      </w:pPr>
    </w:p>
    <w:p w:rsidR="00E1615E" w:rsidRDefault="00E1615E">
      <w:pPr>
        <w:spacing w:after="0" w:line="360" w:lineRule="auto"/>
      </w:pPr>
    </w:p>
    <w:p w:rsidR="00E1615E" w:rsidRDefault="00E1615E">
      <w:pPr>
        <w:spacing w:after="0" w:line="360" w:lineRule="auto"/>
      </w:pPr>
    </w:p>
    <w:p w:rsidR="00E1615E" w:rsidRDefault="00E1615E">
      <w:pPr>
        <w:spacing w:after="0" w:line="360" w:lineRule="auto"/>
      </w:pPr>
    </w:p>
    <w:p w:rsidR="00E1615E" w:rsidRDefault="00E1615E">
      <w:pPr>
        <w:spacing w:after="0" w:line="360" w:lineRule="auto"/>
      </w:pPr>
    </w:p>
    <w:p w:rsidR="00E1615E" w:rsidRDefault="00E1615E">
      <w:pPr>
        <w:spacing w:after="0" w:line="360" w:lineRule="auto"/>
      </w:pPr>
    </w:p>
    <w:p w:rsidR="00E1615E" w:rsidRDefault="00E1615E">
      <w:pPr>
        <w:spacing w:after="0" w:line="360" w:lineRule="auto"/>
      </w:pPr>
    </w:p>
    <w:p w:rsidR="00E1615E" w:rsidRDefault="00E1615E">
      <w:pPr>
        <w:spacing w:after="0" w:line="360" w:lineRule="auto"/>
      </w:pPr>
    </w:p>
    <w:sectPr w:rsidR="00E1615E">
      <w:headerReference w:type="even" r:id="rId15"/>
      <w:headerReference w:type="default" r:id="rId16"/>
      <w:footerReference w:type="even" r:id="rId17"/>
      <w:footerReference w:type="default" r:id="rId18"/>
      <w:headerReference w:type="first" r:id="rId19"/>
      <w:footerReference w:type="first" r:id="rId20"/>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501" w:rsidRDefault="00174501">
      <w:pPr>
        <w:spacing w:after="0" w:line="240" w:lineRule="auto"/>
      </w:pPr>
      <w:r>
        <w:separator/>
      </w:r>
    </w:p>
  </w:endnote>
  <w:endnote w:type="continuationSeparator" w:id="0">
    <w:p w:rsidR="00174501" w:rsidRDefault="00174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565FD1A5-47F6-49E1-947E-BDC1B22F2A88}"/>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132DB108-CB66-422C-A240-1DF3E72AAB41}"/>
    <w:embedBold r:id="rId3" w:fontKey="{32063739-241E-45F3-847E-E74A4E2584BF}"/>
    <w:embedItalic r:id="rId4" w:fontKey="{BF4845F0-8E76-4ADB-8005-A4459C039581}"/>
    <w:embedBoldItalic r:id="rId5" w:fontKey="{8A22322C-F968-4F92-88AE-CABC9DEF83CD}"/>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9A8DE4BF-D980-4E42-AC6D-8FC5E747FA40}"/>
  </w:font>
  <w:font w:name="Calibri">
    <w:panose1 w:val="020F0502020204030204"/>
    <w:charset w:val="00"/>
    <w:family w:val="swiss"/>
    <w:pitch w:val="variable"/>
    <w:sig w:usb0="E4002EFF" w:usb1="C200247B" w:usb2="00000009" w:usb3="00000000" w:csb0="000001FF" w:csb1="00000000"/>
    <w:embedRegular r:id="rId7" w:fontKey="{3B744F09-723E-4F1E-A8FC-82623D4DE185}"/>
  </w:font>
  <w:font w:name="Georgia">
    <w:panose1 w:val="02040502050405020303"/>
    <w:charset w:val="00"/>
    <w:family w:val="roman"/>
    <w:pitch w:val="variable"/>
    <w:sig w:usb0="00000287" w:usb1="00000000" w:usb2="00000000" w:usb3="00000000" w:csb0="0000009F" w:csb1="00000000"/>
    <w:embedItalic r:id="rId8" w:fontKey="{6A85531C-D611-46DE-9309-0F463EFEDB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15E" w:rsidRDefault="00FB035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2C4979">
      <w:rPr>
        <w:b/>
        <w:bCs/>
        <w:color w:val="000000"/>
        <w:sz w:val="24"/>
        <w:szCs w:val="24"/>
      </w:rPr>
      <w:fldChar w:fldCharType="separate"/>
    </w:r>
    <w:r w:rsidR="002C4979">
      <w:rPr>
        <w:b/>
        <w:bCs/>
        <w:noProof/>
        <w:color w:val="000000"/>
        <w:sz w:val="24"/>
        <w:szCs w:val="24"/>
      </w:rPr>
      <w:t>35</w:t>
    </w:r>
    <w:r>
      <w:rPr>
        <w:b/>
        <w:bCs/>
        <w:color w:val="000000"/>
        <w:sz w:val="24"/>
        <w:szCs w:val="24"/>
      </w:rPr>
      <w:fldChar w:fldCharType="end"/>
    </w:r>
  </w:p>
  <w:p w:rsidR="00E1615E" w:rsidRDefault="00E1615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15E" w:rsidRDefault="00FB035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2C4979">
      <w:rPr>
        <w:b/>
        <w:bCs/>
        <w:noProof/>
        <w:color w:val="000000"/>
        <w:sz w:val="24"/>
        <w:szCs w:val="24"/>
      </w:rPr>
      <w:t>34</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C4979">
      <w:rPr>
        <w:b/>
        <w:bCs/>
        <w:noProof/>
        <w:color w:val="000000"/>
        <w:sz w:val="24"/>
        <w:szCs w:val="24"/>
      </w:rPr>
      <w:t>35</w:t>
    </w:r>
    <w:r>
      <w:rPr>
        <w:b/>
        <w:bCs/>
        <w:color w:val="000000"/>
        <w:sz w:val="24"/>
        <w:szCs w:val="24"/>
      </w:rPr>
      <w:fldChar w:fldCharType="end"/>
    </w:r>
  </w:p>
  <w:p w:rsidR="00E1615E" w:rsidRDefault="00E1615E">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15E" w:rsidRDefault="00FB035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2C4979">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C4979">
      <w:rPr>
        <w:b/>
        <w:bCs/>
        <w:noProof/>
        <w:color w:val="000000"/>
        <w:sz w:val="24"/>
        <w:szCs w:val="24"/>
      </w:rPr>
      <w:t>35</w:t>
    </w:r>
    <w:r>
      <w:rPr>
        <w:b/>
        <w:bCs/>
        <w:color w:val="000000"/>
        <w:sz w:val="24"/>
        <w:szCs w:val="24"/>
      </w:rPr>
      <w:fldChar w:fldCharType="end"/>
    </w:r>
  </w:p>
  <w:p w:rsidR="00E1615E" w:rsidRDefault="00E1615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501" w:rsidRDefault="00174501">
      <w:pPr>
        <w:spacing w:after="0" w:line="240" w:lineRule="auto"/>
      </w:pPr>
      <w:r>
        <w:separator/>
      </w:r>
    </w:p>
  </w:footnote>
  <w:footnote w:type="continuationSeparator" w:id="0">
    <w:p w:rsidR="00174501" w:rsidRDefault="001745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15E" w:rsidRDefault="00E1615E">
    <w:pPr>
      <w:widowControl w:val="0"/>
      <w:pBdr>
        <w:top w:val="nil"/>
        <w:left w:val="nil"/>
        <w:bottom w:val="nil"/>
        <w:right w:val="nil"/>
        <w:between w:val="nil"/>
      </w:pBdr>
      <w:spacing w:after="0" w:line="276" w:lineRule="auto"/>
      <w:jc w:val="left"/>
      <w:rPr>
        <w:color w:val="000000"/>
      </w:rPr>
    </w:pPr>
  </w:p>
  <w:tbl>
    <w:tblPr>
      <w:tblStyle w:val="a5"/>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E1615E">
      <w:trPr>
        <w:trHeight w:val="132"/>
      </w:trPr>
      <w:tc>
        <w:tcPr>
          <w:tcW w:w="0" w:type="auto"/>
        </w:tcPr>
        <w:p w:rsidR="00E1615E" w:rsidRDefault="00FB0354">
          <w:pPr>
            <w:tabs>
              <w:tab w:val="right" w:pos="8838"/>
            </w:tabs>
            <w:ind w:right="-105"/>
            <w:rPr>
              <w:b/>
              <w:bCs/>
            </w:rPr>
          </w:pPr>
          <w:r>
            <w:rPr>
              <w:b/>
              <w:bCs/>
            </w:rPr>
            <w:t>Recurso de Revisión:</w:t>
          </w:r>
        </w:p>
      </w:tc>
      <w:tc>
        <w:tcPr>
          <w:tcW w:w="0" w:type="auto"/>
        </w:tcPr>
        <w:p w:rsidR="00E1615E" w:rsidRDefault="00FB0354">
          <w:pPr>
            <w:tabs>
              <w:tab w:val="right" w:pos="8838"/>
            </w:tabs>
            <w:ind w:left="-28" w:right="-32"/>
          </w:pPr>
          <w:r>
            <w:t>03846/INFOEM/IP/RR/2020</w:t>
          </w:r>
        </w:p>
      </w:tc>
    </w:tr>
    <w:tr w:rsidR="00E1615E">
      <w:trPr>
        <w:trHeight w:val="261"/>
      </w:trPr>
      <w:tc>
        <w:tcPr>
          <w:tcW w:w="0" w:type="auto"/>
        </w:tcPr>
        <w:p w:rsidR="00E1615E" w:rsidRDefault="00FB0354">
          <w:pPr>
            <w:tabs>
              <w:tab w:val="right" w:pos="8838"/>
            </w:tabs>
            <w:ind w:right="-105"/>
            <w:rPr>
              <w:b/>
              <w:bCs/>
            </w:rPr>
          </w:pPr>
          <w:r>
            <w:rPr>
              <w:b/>
              <w:bCs/>
            </w:rPr>
            <w:t>Sujeto Obligado:</w:t>
          </w:r>
        </w:p>
      </w:tc>
      <w:tc>
        <w:tcPr>
          <w:tcW w:w="0" w:type="auto"/>
        </w:tcPr>
        <w:p w:rsidR="00E1615E" w:rsidRDefault="00FB0354">
          <w:pPr>
            <w:tabs>
              <w:tab w:val="right" w:pos="8838"/>
            </w:tabs>
            <w:ind w:right="-32"/>
          </w:pPr>
          <w:r>
            <w:t xml:space="preserve">Ayuntamiento de </w:t>
          </w:r>
          <w:proofErr w:type="spellStart"/>
          <w:r>
            <w:t>Temascalcingo</w:t>
          </w:r>
          <w:proofErr w:type="spellEnd"/>
        </w:p>
      </w:tc>
    </w:tr>
    <w:tr w:rsidR="00E1615E">
      <w:trPr>
        <w:trHeight w:val="261"/>
      </w:trPr>
      <w:tc>
        <w:tcPr>
          <w:tcW w:w="0" w:type="auto"/>
        </w:tcPr>
        <w:p w:rsidR="00E1615E" w:rsidRDefault="00FB0354">
          <w:pPr>
            <w:tabs>
              <w:tab w:val="right" w:pos="8838"/>
            </w:tabs>
            <w:ind w:right="-105"/>
            <w:rPr>
              <w:b/>
              <w:bCs/>
            </w:rPr>
          </w:pPr>
          <w:r>
            <w:rPr>
              <w:b/>
              <w:bCs/>
            </w:rPr>
            <w:t>Comisionado Ponente:</w:t>
          </w:r>
        </w:p>
      </w:tc>
      <w:tc>
        <w:tcPr>
          <w:tcW w:w="0" w:type="auto"/>
        </w:tcPr>
        <w:p w:rsidR="00E1615E" w:rsidRDefault="00FB0354">
          <w:pPr>
            <w:tabs>
              <w:tab w:val="right" w:pos="8838"/>
            </w:tabs>
            <w:ind w:right="-32"/>
            <w:rPr>
              <w:b/>
              <w:bCs/>
            </w:rPr>
          </w:pPr>
          <w:r>
            <w:t>Luis Gustavo Parra Noriega</w:t>
          </w:r>
        </w:p>
      </w:tc>
    </w:tr>
  </w:tbl>
  <w:p w:rsidR="00E1615E" w:rsidRDefault="00174501">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15E" w:rsidRDefault="00174501">
    <w:pPr>
      <w:widowControl w:val="0"/>
      <w:pBdr>
        <w:top w:val="nil"/>
        <w:left w:val="nil"/>
        <w:bottom w:val="nil"/>
        <w:right w:val="nil"/>
        <w:between w:val="nil"/>
      </w:pBdr>
      <w:spacing w:after="0" w:line="276" w:lineRule="auto"/>
      <w:jc w:val="left"/>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5"/>
          <w10:wrap anchorx="margin" anchory="margin"/>
        </v:shape>
      </w:pict>
    </w:r>
  </w:p>
  <w:tbl>
    <w:tblPr>
      <w:tblStyle w:val="a6"/>
      <w:tblW w:w="6662"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E1615E">
      <w:trPr>
        <w:trHeight w:val="138"/>
      </w:trPr>
      <w:tc>
        <w:tcPr>
          <w:tcW w:w="2693" w:type="dxa"/>
          <w:vAlign w:val="center"/>
        </w:tcPr>
        <w:p w:rsidR="00E1615E" w:rsidRDefault="00E1615E">
          <w:pPr>
            <w:tabs>
              <w:tab w:val="right" w:pos="8838"/>
            </w:tabs>
            <w:ind w:left="-108" w:right="-105"/>
            <w:jc w:val="left"/>
            <w:rPr>
              <w:b/>
              <w:bCs/>
            </w:rPr>
          </w:pPr>
        </w:p>
        <w:p w:rsidR="00E1615E" w:rsidRDefault="00FB0354">
          <w:pPr>
            <w:tabs>
              <w:tab w:val="right" w:pos="8838"/>
            </w:tabs>
            <w:ind w:left="-108" w:right="-105"/>
            <w:jc w:val="left"/>
            <w:rPr>
              <w:b/>
              <w:bCs/>
            </w:rPr>
          </w:pPr>
          <w:r>
            <w:rPr>
              <w:b/>
              <w:bCs/>
            </w:rPr>
            <w:t>Recurso de Revisión:</w:t>
          </w:r>
        </w:p>
      </w:tc>
      <w:tc>
        <w:tcPr>
          <w:tcW w:w="3969" w:type="dxa"/>
        </w:tcPr>
        <w:p w:rsidR="00E1615E" w:rsidRDefault="00E1615E">
          <w:pPr>
            <w:tabs>
              <w:tab w:val="right" w:pos="8838"/>
            </w:tabs>
            <w:ind w:right="57"/>
          </w:pPr>
        </w:p>
        <w:p w:rsidR="00E1615E" w:rsidRDefault="00FB0354">
          <w:pPr>
            <w:tabs>
              <w:tab w:val="right" w:pos="8838"/>
            </w:tabs>
            <w:ind w:right="57"/>
          </w:pPr>
          <w:r>
            <w:t>11691/INFOEM/IP/RR/2025</w:t>
          </w:r>
        </w:p>
      </w:tc>
    </w:tr>
    <w:tr w:rsidR="00E1615E">
      <w:trPr>
        <w:trHeight w:val="273"/>
      </w:trPr>
      <w:tc>
        <w:tcPr>
          <w:tcW w:w="2693" w:type="dxa"/>
        </w:tcPr>
        <w:p w:rsidR="00E1615E" w:rsidRDefault="00FB0354">
          <w:pPr>
            <w:tabs>
              <w:tab w:val="right" w:pos="8838"/>
            </w:tabs>
            <w:ind w:left="-108" w:right="-105"/>
            <w:rPr>
              <w:b/>
              <w:bCs/>
            </w:rPr>
          </w:pPr>
          <w:r>
            <w:rPr>
              <w:b/>
              <w:bCs/>
            </w:rPr>
            <w:t>Sujeto Obligado:</w:t>
          </w:r>
        </w:p>
      </w:tc>
      <w:tc>
        <w:tcPr>
          <w:tcW w:w="3969" w:type="dxa"/>
        </w:tcPr>
        <w:p w:rsidR="00E1615E" w:rsidRDefault="00FB0354">
          <w:pPr>
            <w:tabs>
              <w:tab w:val="right" w:pos="8838"/>
            </w:tabs>
            <w:ind w:right="180"/>
          </w:pPr>
          <w:r>
            <w:t>Sistema Municipal Para el Desarrollo Integral de la Familia de Huehuetoca</w:t>
          </w:r>
        </w:p>
      </w:tc>
    </w:tr>
    <w:tr w:rsidR="00E1615E">
      <w:trPr>
        <w:trHeight w:val="273"/>
      </w:trPr>
      <w:tc>
        <w:tcPr>
          <w:tcW w:w="2693" w:type="dxa"/>
        </w:tcPr>
        <w:p w:rsidR="00E1615E" w:rsidRDefault="00FB0354">
          <w:pPr>
            <w:tabs>
              <w:tab w:val="right" w:pos="8838"/>
            </w:tabs>
            <w:ind w:left="-108" w:right="-105"/>
            <w:rPr>
              <w:b/>
              <w:bCs/>
            </w:rPr>
          </w:pPr>
          <w:r>
            <w:rPr>
              <w:b/>
              <w:bCs/>
            </w:rPr>
            <w:t>Comisionado Ponente:</w:t>
          </w:r>
        </w:p>
      </w:tc>
      <w:tc>
        <w:tcPr>
          <w:tcW w:w="3969" w:type="dxa"/>
        </w:tcPr>
        <w:p w:rsidR="00E1615E" w:rsidRDefault="00FB0354">
          <w:pPr>
            <w:tabs>
              <w:tab w:val="right" w:pos="8838"/>
            </w:tabs>
            <w:ind w:right="-170"/>
          </w:pPr>
          <w:r>
            <w:t>Luis Gustavo Parra Noriega</w:t>
          </w:r>
        </w:p>
        <w:p w:rsidR="00E1615E" w:rsidRDefault="00E1615E">
          <w:pPr>
            <w:tabs>
              <w:tab w:val="right" w:pos="8838"/>
            </w:tabs>
            <w:ind w:right="-170"/>
            <w:rPr>
              <w:b/>
              <w:bCs/>
            </w:rPr>
          </w:pPr>
        </w:p>
      </w:tc>
    </w:tr>
  </w:tbl>
  <w:p w:rsidR="00E1615E" w:rsidRDefault="00E1615E">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15E" w:rsidRDefault="00E1615E">
    <w:pPr>
      <w:widowControl w:val="0"/>
      <w:pBdr>
        <w:top w:val="nil"/>
        <w:left w:val="nil"/>
        <w:bottom w:val="nil"/>
        <w:right w:val="nil"/>
        <w:between w:val="nil"/>
      </w:pBdr>
      <w:spacing w:after="0" w:line="276" w:lineRule="auto"/>
      <w:jc w:val="left"/>
      <w:rPr>
        <w:color w:val="000000"/>
      </w:rPr>
    </w:pPr>
  </w:p>
  <w:tbl>
    <w:tblPr>
      <w:tblStyle w:val="a7"/>
      <w:tblW w:w="6804"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E1615E">
      <w:trPr>
        <w:trHeight w:val="132"/>
      </w:trPr>
      <w:tc>
        <w:tcPr>
          <w:tcW w:w="2551" w:type="dxa"/>
        </w:tcPr>
        <w:p w:rsidR="00E1615E" w:rsidRDefault="00E1615E">
          <w:pPr>
            <w:tabs>
              <w:tab w:val="right" w:pos="8838"/>
            </w:tabs>
            <w:ind w:right="-105"/>
            <w:rPr>
              <w:b/>
              <w:bCs/>
            </w:rPr>
          </w:pPr>
        </w:p>
        <w:p w:rsidR="00E1615E" w:rsidRDefault="00FB0354">
          <w:pPr>
            <w:tabs>
              <w:tab w:val="right" w:pos="8838"/>
            </w:tabs>
            <w:ind w:right="-105"/>
            <w:rPr>
              <w:b/>
              <w:bCs/>
            </w:rPr>
          </w:pPr>
          <w:r>
            <w:rPr>
              <w:b/>
              <w:bCs/>
            </w:rPr>
            <w:t>Recurso de Revisión:</w:t>
          </w:r>
        </w:p>
      </w:tc>
      <w:tc>
        <w:tcPr>
          <w:tcW w:w="4253" w:type="dxa"/>
        </w:tcPr>
        <w:p w:rsidR="00E1615E" w:rsidRDefault="00E1615E"/>
        <w:p w:rsidR="00E1615E" w:rsidRDefault="00FB0354">
          <w:r>
            <w:t>11691/INFOEM/IP/RR/2025</w:t>
          </w:r>
        </w:p>
      </w:tc>
    </w:tr>
    <w:tr w:rsidR="00E1615E">
      <w:trPr>
        <w:trHeight w:val="132"/>
      </w:trPr>
      <w:tc>
        <w:tcPr>
          <w:tcW w:w="2551" w:type="dxa"/>
        </w:tcPr>
        <w:p w:rsidR="00E1615E" w:rsidRDefault="00FB0354">
          <w:pPr>
            <w:tabs>
              <w:tab w:val="left" w:pos="1875"/>
            </w:tabs>
            <w:ind w:right="-105"/>
            <w:rPr>
              <w:b/>
              <w:bCs/>
            </w:rPr>
          </w:pPr>
          <w:r>
            <w:rPr>
              <w:b/>
              <w:bCs/>
            </w:rPr>
            <w:t>Recurrente:</w:t>
          </w:r>
          <w:r>
            <w:rPr>
              <w:b/>
              <w:bCs/>
            </w:rPr>
            <w:tab/>
          </w:r>
        </w:p>
      </w:tc>
      <w:tc>
        <w:tcPr>
          <w:tcW w:w="4253" w:type="dxa"/>
        </w:tcPr>
        <w:p w:rsidR="00E1615E" w:rsidRDefault="00E1615E">
          <w:pPr>
            <w:tabs>
              <w:tab w:val="right" w:pos="8838"/>
            </w:tabs>
            <w:ind w:right="-250"/>
          </w:pPr>
        </w:p>
      </w:tc>
    </w:tr>
    <w:tr w:rsidR="00E1615E">
      <w:trPr>
        <w:trHeight w:val="261"/>
      </w:trPr>
      <w:tc>
        <w:tcPr>
          <w:tcW w:w="2551" w:type="dxa"/>
        </w:tcPr>
        <w:p w:rsidR="00E1615E" w:rsidRDefault="00FB0354">
          <w:pPr>
            <w:tabs>
              <w:tab w:val="right" w:pos="8838"/>
            </w:tabs>
            <w:ind w:right="-105"/>
            <w:rPr>
              <w:b/>
              <w:bCs/>
            </w:rPr>
          </w:pPr>
          <w:r>
            <w:rPr>
              <w:b/>
              <w:bCs/>
            </w:rPr>
            <w:t>Sujeto Obligado:</w:t>
          </w:r>
        </w:p>
      </w:tc>
      <w:tc>
        <w:tcPr>
          <w:tcW w:w="4253" w:type="dxa"/>
        </w:tcPr>
        <w:p w:rsidR="00E1615E" w:rsidRDefault="00FB0354">
          <w:r>
            <w:t>Sistema Municipal Para el Desarrollo Integral de la Familia de Huehuetoca</w:t>
          </w:r>
        </w:p>
      </w:tc>
    </w:tr>
    <w:tr w:rsidR="00E1615E">
      <w:trPr>
        <w:trHeight w:val="261"/>
      </w:trPr>
      <w:tc>
        <w:tcPr>
          <w:tcW w:w="2551" w:type="dxa"/>
        </w:tcPr>
        <w:p w:rsidR="00E1615E" w:rsidRDefault="00FB0354">
          <w:pPr>
            <w:tabs>
              <w:tab w:val="right" w:pos="8838"/>
            </w:tabs>
            <w:ind w:right="-105"/>
            <w:rPr>
              <w:b/>
              <w:bCs/>
            </w:rPr>
          </w:pPr>
          <w:r>
            <w:rPr>
              <w:b/>
              <w:bCs/>
            </w:rPr>
            <w:t>Comisionado Ponente:</w:t>
          </w:r>
        </w:p>
      </w:tc>
      <w:tc>
        <w:tcPr>
          <w:tcW w:w="4253" w:type="dxa"/>
        </w:tcPr>
        <w:p w:rsidR="00E1615E" w:rsidRDefault="00FB0354">
          <w:pPr>
            <w:tabs>
              <w:tab w:val="right" w:pos="8838"/>
            </w:tabs>
            <w:ind w:right="-32"/>
            <w:rPr>
              <w:b/>
              <w:bCs/>
            </w:rPr>
          </w:pPr>
          <w:r>
            <w:t>Luis Gustavo Parra Noriega</w:t>
          </w:r>
        </w:p>
      </w:tc>
    </w:tr>
  </w:tbl>
  <w:p w:rsidR="00E1615E" w:rsidRDefault="00174501">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D96A51"/>
    <w:multiLevelType w:val="multilevel"/>
    <w:tmpl w:val="D7CE8B9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784317"/>
    <w:multiLevelType w:val="multilevel"/>
    <w:tmpl w:val="F4CE14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117C02"/>
    <w:multiLevelType w:val="multilevel"/>
    <w:tmpl w:val="34646EEE"/>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724423B"/>
    <w:multiLevelType w:val="multilevel"/>
    <w:tmpl w:val="2C947878"/>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D11053E"/>
    <w:multiLevelType w:val="multilevel"/>
    <w:tmpl w:val="7ED04E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2B82A2F"/>
    <w:multiLevelType w:val="multilevel"/>
    <w:tmpl w:val="1820E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2662ABE"/>
    <w:multiLevelType w:val="multilevel"/>
    <w:tmpl w:val="E1202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FFC2C15"/>
    <w:multiLevelType w:val="multilevel"/>
    <w:tmpl w:val="D654E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6"/>
  </w:num>
  <w:num w:numId="3">
    <w:abstractNumId w:val="3"/>
  </w:num>
  <w:num w:numId="4">
    <w:abstractNumId w:val="7"/>
  </w:num>
  <w:num w:numId="5">
    <w:abstractNumId w:val="4"/>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15E"/>
    <w:rsid w:val="00162598"/>
    <w:rsid w:val="00174501"/>
    <w:rsid w:val="002C4979"/>
    <w:rsid w:val="00705379"/>
    <w:rsid w:val="00A11FDB"/>
    <w:rsid w:val="00AD79BC"/>
    <w:rsid w:val="00E1615E"/>
    <w:rsid w:val="00FB0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AE9BFFB-CCA3-4BFC-B243-72EB4BA45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4">
    <w:name w:val="4"/>
    <w:basedOn w:val="TableNormal2"/>
    <w:pPr>
      <w:spacing w:after="0" w:line="240" w:lineRule="auto"/>
    </w:pPr>
    <w:tblPr>
      <w:tblStyleRowBandSize w:val="1"/>
      <w:tblStyleColBandSize w:val="1"/>
      <w:tblCellMar>
        <w:left w:w="108" w:type="dxa"/>
        <w:right w:w="108" w:type="dxa"/>
      </w:tblCellMar>
    </w:tblPr>
  </w:style>
  <w:style w:type="table" w:customStyle="1" w:styleId="3">
    <w:name w:val="3"/>
    <w:basedOn w:val="TableNormal2"/>
    <w:pPr>
      <w:spacing w:after="0" w:line="240" w:lineRule="auto"/>
    </w:pPr>
    <w:tblPr>
      <w:tblStyleRowBandSize w:val="1"/>
      <w:tblStyleColBandSize w:val="1"/>
      <w:tblCellMar>
        <w:left w:w="108" w:type="dxa"/>
        <w:right w:w="108" w:type="dxa"/>
      </w:tblCellMar>
    </w:tblPr>
  </w:style>
  <w:style w:type="table" w:customStyle="1" w:styleId="2">
    <w:name w:val="2"/>
    <w:basedOn w:val="TableNormal2"/>
    <w:pPr>
      <w:spacing w:after="0" w:line="240" w:lineRule="auto"/>
    </w:pPr>
    <w:tblPr>
      <w:tblStyleRowBandSize w:val="1"/>
      <w:tblStyleColBandSize w:val="1"/>
      <w:tblCellMar>
        <w:left w:w="108" w:type="dxa"/>
        <w:right w:w="108" w:type="dxa"/>
      </w:tblCellMar>
    </w:tblPr>
  </w:style>
  <w:style w:type="table" w:customStyle="1" w:styleId="1">
    <w:name w:val="1"/>
    <w:basedOn w:val="TableNormal2"/>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6A5775"/>
    <w:pPr>
      <w:tabs>
        <w:tab w:val="right" w:leader="dot" w:pos="8921"/>
      </w:tabs>
      <w:spacing w:after="0" w:line="360" w:lineRule="auto"/>
      <w:ind w:left="220"/>
    </w:p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pPr>
      <w:spacing w:after="0" w:line="240" w:lineRule="auto"/>
    </w:pPr>
    <w:tblPr>
      <w:tblStyleRowBandSize w:val="1"/>
      <w:tblStyleColBandSize w:val="1"/>
      <w:tblCellMar>
        <w:left w:w="108" w:type="dxa"/>
        <w:right w:w="108" w:type="dxa"/>
      </w:tblCellMar>
    </w:tblPr>
  </w:style>
  <w:style w:type="table" w:customStyle="1" w:styleId="a1">
    <w:basedOn w:val="TableNormal2"/>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0D3924"/>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ebapps.condusef.gob.mx/SIPRES/jsp/pub/index.jsp"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condusef.gob.mx/Revista/index.php/usuario-inteligente/condusef-responde/777-la-condusef-te-puede-ayuda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DSVUlDiZBP0jolTJQ6zSBTPvtQ==">CgMxLjAyDmguOHhiYW41emczMDRvMg5oLnlkcmh0bW52djhpdjIOaC4xdjhsajVhMXR4aDkyDmguZ29rcG9meXN3dWk5Mg5oLjMwN3E1ZzN0MzlmcjIOaC4zN2l5eDhia2RieXcyDWguYm5sNDNyMTRhNDQyDmguZGQxdzQ4cDBvcmU0Mg5oLm8yM2NmcXQ4Z2IxZzIJaC4zMGowemxsMg5oLnEyazNpN2dnN2F6dzIOaC5tZXo1c2F2MDQ3b24yDmgueGV4N2xrMzZ6a3E0Mg5oLmlydXd2MTRwOXl0aDIOaC5qeWRqOHl5bnFhbG8yDmguNWNyNXR5ZnZxaWYyOAByITFpU2ZiT1F5N3gwZGFGVG5Odm1ZZGo1dmhsb0Vwano2S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B98F752-0008-48FF-8BF3-E8538AAED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8234</Words>
  <Characters>45292</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53420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2026-02-09T15:41:00Z</cp:lastPrinted>
  <dcterms:created xsi:type="dcterms:W3CDTF">2026-02-09T15:40:00Z</dcterms:created>
  <dcterms:modified xsi:type="dcterms:W3CDTF">2026-02-09T15:41:00Z</dcterms:modified>
</cp:coreProperties>
</file>