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0FA9B" w14:textId="4DCBBC19" w:rsidR="008C7BF9" w:rsidRDefault="00E07E6A">
      <w:pPr>
        <w:tabs>
          <w:tab w:val="left" w:pos="3465"/>
        </w:tabs>
        <w:spacing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C97EDB">
        <w:rPr>
          <w:rFonts w:ascii="Palatino Linotype" w:eastAsia="Palatino Linotype" w:hAnsi="Palatino Linotype" w:cs="Palatino Linotype"/>
        </w:rPr>
        <w:t>Estado de México; de fecha ocho de abril</w:t>
      </w:r>
      <w:r>
        <w:rPr>
          <w:rFonts w:ascii="Palatino Linotype" w:eastAsia="Palatino Linotype" w:hAnsi="Palatino Linotype" w:cs="Palatino Linotype"/>
        </w:rPr>
        <w:t xml:space="preserve"> de dos mil veintiséis.</w:t>
      </w:r>
    </w:p>
    <w:p w14:paraId="36FADB82" w14:textId="77777777" w:rsidR="008C7BF9" w:rsidRDefault="008C7BF9">
      <w:pPr>
        <w:tabs>
          <w:tab w:val="left" w:pos="3465"/>
        </w:tabs>
        <w:spacing w:line="360" w:lineRule="auto"/>
        <w:jc w:val="both"/>
        <w:rPr>
          <w:rFonts w:ascii="Palatino Linotype" w:eastAsia="Palatino Linotype" w:hAnsi="Palatino Linotype" w:cs="Palatino Linotype"/>
        </w:rPr>
      </w:pPr>
    </w:p>
    <w:p w14:paraId="50C3E3D7" w14:textId="2597CF49" w:rsidR="008C7BF9" w:rsidRDefault="00E07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bCs/>
        </w:rPr>
        <w:t xml:space="preserve">10793/INFOEM/IP/RR/2025, </w:t>
      </w:r>
      <w:r>
        <w:rPr>
          <w:rFonts w:ascii="Palatino Linotype" w:eastAsia="Palatino Linotype" w:hAnsi="Palatino Linotype" w:cs="Palatino Linotype"/>
        </w:rPr>
        <w:t>promovido por</w:t>
      </w:r>
      <w:r>
        <w:rPr>
          <w:rFonts w:ascii="Palatino Linotype" w:eastAsia="Palatino Linotype" w:hAnsi="Palatino Linotype" w:cs="Palatino Linotype"/>
          <w:b/>
          <w:bCs/>
        </w:rPr>
        <w:t xml:space="preserve"> </w:t>
      </w:r>
      <w:r w:rsidR="00C20164">
        <w:rPr>
          <w:rFonts w:ascii="Palatino Linotype" w:eastAsia="Palatino Linotype" w:hAnsi="Palatino Linotype" w:cs="Palatino Linotype"/>
          <w:b/>
          <w:szCs w:val="22"/>
        </w:rPr>
        <w:t>XXXX</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Ayuntamiento de Aculco, </w:t>
      </w:r>
      <w:r>
        <w:rPr>
          <w:rFonts w:ascii="Palatino Linotype" w:eastAsia="Palatino Linotype" w:hAnsi="Palatino Linotype" w:cs="Palatino Linotype"/>
        </w:rPr>
        <w:t>en adelante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se procede a dictar la presente Resolución, con base en los siguientes:</w:t>
      </w:r>
    </w:p>
    <w:p w14:paraId="0608923D" w14:textId="77777777" w:rsidR="008C7BF9" w:rsidRDefault="008C7BF9">
      <w:pPr>
        <w:spacing w:line="360" w:lineRule="auto"/>
        <w:jc w:val="both"/>
        <w:rPr>
          <w:rFonts w:ascii="Palatino Linotype" w:eastAsia="Palatino Linotype" w:hAnsi="Palatino Linotype" w:cs="Palatino Linotype"/>
          <w:b/>
          <w:bCs/>
        </w:rPr>
      </w:pPr>
    </w:p>
    <w:p w14:paraId="11DEED8D" w14:textId="77777777" w:rsidR="008C7BF9" w:rsidRDefault="00E07E6A">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14:paraId="304C0753" w14:textId="77777777" w:rsidR="008C7BF9" w:rsidRDefault="008C7BF9">
      <w:pPr>
        <w:spacing w:line="360" w:lineRule="auto"/>
        <w:rPr>
          <w:rFonts w:ascii="Palatino Linotype" w:eastAsia="Palatino Linotype" w:hAnsi="Palatino Linotype" w:cs="Palatino Linotype"/>
        </w:rPr>
      </w:pPr>
    </w:p>
    <w:p w14:paraId="6FC1D178"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bCs/>
          <w:color w:val="000000"/>
        </w:rPr>
        <w:t xml:space="preserve"> ocho de julio dos mil veinticinco,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Pr>
          <w:rFonts w:ascii="Palatino Linotype" w:eastAsia="Palatino Linotype" w:hAnsi="Palatino Linotype" w:cs="Palatino Linotype"/>
          <w:b/>
          <w:bCs/>
          <w:color w:val="000000"/>
        </w:rPr>
        <w:t xml:space="preserve">  00130/ACULCO/IP/2025;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798DCC05" w14:textId="77777777" w:rsidR="008C7BF9" w:rsidRDefault="008C7BF9">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4FD8DD84" w14:textId="77777777" w:rsidR="008C7BF9" w:rsidRDefault="00E07E6A">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“solicito atentamente la siguiente información relacionada con el ciudadano José Eduardo Ontiveros Callejas: Copia certificada de todos los cargos que haya ocupado José Eduardo Ontiveros Callejas en el Ayuntamiento de Aculco entre el 1 de enero de 2021 y el 07 de julio de 2025, incluyendo su puesto, área o adscripción, periodo y documento de nombramiento o designación correspondiente. En caso de que haya desempeñado funciones en el Sistema Municipal DIF de Aculco antes de junio de </w:t>
      </w:r>
      <w:r>
        <w:rPr>
          <w:rFonts w:ascii="Palatino Linotype" w:eastAsia="Palatino Linotype" w:hAnsi="Palatino Linotype" w:cs="Palatino Linotype"/>
          <w:i/>
          <w:iCs/>
          <w:color w:val="000000"/>
        </w:rPr>
        <w:lastRenderedPageBreak/>
        <w:t>2025, solicito copia certificada del nombramiento, inicio de responsabilidades y, en su caso, copia certificada del acta o minuta de la Junta de Gobierno del DIF donde se aprobó su nombramiento, especialmente la sesión extraordinaria celebrada el 8 de enero de 2025. En caso de que no exista registro alguno de cargo, nombramiento o desempeño de funciones de José Eduardo Ontiveros Callejas en el DIF Municipal de Aculco o cualquier otra área del Ayuntamiento durante el periodo señalado, solicito se me expida constancia de inexistencia correspondiente. Copia del documento, reglamento o normativa interna del Ayuntamiento de Aculco o del Sistema Municipal DIF que establezca las normas, procedimientos y requisitos para la designación, nombramiento y toma de protesta de Procuradores o cargos equivalentes dentro del DIF. Copia del padrón completo del personal adscrito al Sistema Municipal DIF Aculco para el periodo comprendido entre el 1 de enero de 2019 y el 07 de julio de 2025, para verificar la existencia o inexistencia de la persona mencionada en cualquier cargo o función dentro de dicho organismo. Solicito que la información sea proporcionada en formato digital y, en caso de que existan costos por reproducción, se me informe previamente para su autorización. Declaro que la información solicitada es de interés ciudadano y no tiene fines comerciales ni de lucro.”</w:t>
      </w:r>
    </w:p>
    <w:p w14:paraId="4DB6FAFA" w14:textId="77777777" w:rsidR="008C7BF9" w:rsidRDefault="008C7BF9">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p>
    <w:p w14:paraId="7FC7237B" w14:textId="77777777" w:rsidR="008C7BF9" w:rsidRDefault="00E07E6A">
      <w:pPr>
        <w:numPr>
          <w:ilvl w:val="0"/>
          <w:numId w:val="9"/>
        </w:numPr>
        <w:pBdr>
          <w:top w:val="nil"/>
          <w:left w:val="nil"/>
          <w:bottom w:val="nil"/>
          <w:right w:val="nil"/>
          <w:between w:val="nil"/>
        </w:pBdr>
        <w:spacing w:line="360" w:lineRule="auto"/>
        <w:ind w:left="851" w:right="34"/>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Se eligió como modalidad de entrega: </w:t>
      </w:r>
      <w:r>
        <w:rPr>
          <w:rFonts w:ascii="Palatino Linotype" w:eastAsia="Palatino Linotype" w:hAnsi="Palatino Linotype" w:cs="Palatino Linotype"/>
          <w:b/>
          <w:bCs/>
          <w:color w:val="000000"/>
        </w:rPr>
        <w:t>SAIMEX</w:t>
      </w:r>
    </w:p>
    <w:p w14:paraId="15A91DA6" w14:textId="77777777" w:rsidR="008C7BF9" w:rsidRDefault="008C7BF9">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14:paraId="13E31571" w14:textId="77777777" w:rsidR="008C7BF9" w:rsidRDefault="00E07E6A">
      <w:pPr>
        <w:numPr>
          <w:ilvl w:val="0"/>
          <w:numId w:val="4"/>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doce de agosto de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solicitó una prórroga de siete días hábiles adicionales al plazo de quince días hábiles ordinarios para dar respuesta a la solicitud de información.</w:t>
      </w:r>
    </w:p>
    <w:p w14:paraId="09BA4301" w14:textId="77777777" w:rsidR="008C7BF9" w:rsidRDefault="008C7BF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49A9449F" w14:textId="77777777" w:rsidR="008C7BF9" w:rsidRDefault="00E07E6A">
      <w:pPr>
        <w:numPr>
          <w:ilvl w:val="0"/>
          <w:numId w:val="4"/>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veintidós de agosto de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respuesta a través de dos archivos denominados </w:t>
      </w:r>
      <w:r>
        <w:rPr>
          <w:rFonts w:ascii="Palatino Linotype" w:eastAsia="Palatino Linotype" w:hAnsi="Palatino Linotype" w:cs="Palatino Linotype"/>
          <w:b/>
          <w:bCs/>
          <w:i/>
          <w:iCs/>
          <w:color w:val="000000"/>
        </w:rPr>
        <w:t xml:space="preserve">SOL1302025.pdf </w:t>
      </w:r>
      <w:r>
        <w:rPr>
          <w:rFonts w:ascii="Palatino Linotype" w:eastAsia="Palatino Linotype" w:hAnsi="Palatino Linotype" w:cs="Palatino Linotype"/>
          <w:color w:val="000000"/>
        </w:rPr>
        <w:t>y</w:t>
      </w:r>
      <w:r>
        <w:rPr>
          <w:rFonts w:ascii="Palatino Linotype" w:eastAsia="Palatino Linotype" w:hAnsi="Palatino Linotype" w:cs="Palatino Linotype"/>
          <w:b/>
          <w:bCs/>
          <w:i/>
          <w:iCs/>
          <w:color w:val="000000"/>
        </w:rPr>
        <w:t xml:space="preserve"> turno 130.pdf</w:t>
      </w:r>
      <w:r>
        <w:rPr>
          <w:rFonts w:ascii="Palatino Linotype" w:eastAsia="Palatino Linotype" w:hAnsi="Palatino Linotype" w:cs="Palatino Linotype"/>
          <w:color w:val="000000"/>
        </w:rPr>
        <w:t>, cuyo contenido corresponde de manera general, que corresponde a dos oficios, el primero signado por el Secretario de Ayuntamiento, a través del cual informa que dentro de sus facultades  y obligaciones, no se cuenta con lo solicitado; y oficio signado por la Directora del Sistema Municipal para el Desarrollo Integral de la Familia de Aculco, mediante el cual informa que no cuenta con información del Ayuntamiento en el periodo comprendido del 01 de enero de 2021 al 31 de diciembre de 2024, y que del periodo del 01 de enero de 2025 al 07 de julio 2025.</w:t>
      </w:r>
    </w:p>
    <w:p w14:paraId="7DBA57A2" w14:textId="77777777" w:rsidR="008C7BF9" w:rsidRDefault="008C7BF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70C0D3D1" w14:textId="77777777" w:rsidR="008C7BF9" w:rsidRDefault="00E07E6A">
      <w:pPr>
        <w:numPr>
          <w:ilvl w:val="0"/>
          <w:numId w:val="4"/>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respuesta el </w:t>
      </w:r>
      <w:r>
        <w:rPr>
          <w:rFonts w:ascii="Palatino Linotype" w:eastAsia="Palatino Linotype" w:hAnsi="Palatino Linotype" w:cs="Palatino Linotype"/>
          <w:b/>
          <w:bCs/>
          <w:color w:val="000000"/>
        </w:rPr>
        <w:t>doce de septiembre de dos mil veinticinco</w:t>
      </w:r>
      <w:r>
        <w:rPr>
          <w:rFonts w:ascii="Palatino Linotype" w:eastAsia="Palatino Linotype" w:hAnsi="Palatino Linotype" w:cs="Palatino Linotype"/>
          <w:color w:val="000000"/>
        </w:rPr>
        <w:t>, se interpuso el recurso de revisión en contra de la respuesta, manifestando las siguientes razones o motivos de inconformidad:</w:t>
      </w:r>
    </w:p>
    <w:p w14:paraId="308ADD68" w14:textId="77777777" w:rsidR="008C7BF9" w:rsidRDefault="008C7BF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A5CA896" w14:textId="77777777" w:rsidR="008C7BF9" w:rsidRDefault="00E07E6A">
      <w:pPr>
        <w:numPr>
          <w:ilvl w:val="0"/>
          <w:numId w:val="9"/>
        </w:numPr>
        <w:pBdr>
          <w:top w:val="nil"/>
          <w:left w:val="nil"/>
          <w:bottom w:val="nil"/>
          <w:right w:val="nil"/>
          <w:between w:val="nil"/>
        </w:pBdr>
        <w:spacing w:line="360" w:lineRule="auto"/>
        <w:ind w:left="567" w:right="426"/>
        <w:jc w:val="both"/>
        <w:rPr>
          <w:rFonts w:ascii="Palatino Linotype" w:eastAsia="Palatino Linotype" w:hAnsi="Palatino Linotype" w:cs="Palatino Linotype"/>
          <w:i/>
          <w:iCs/>
          <w:color w:val="000000"/>
        </w:rPr>
      </w:pPr>
      <w:bookmarkStart w:id="2" w:name="_heading=h.30j0zll" w:colFirst="0" w:colLast="0"/>
      <w:bookmarkEnd w:id="2"/>
      <w:r>
        <w:rPr>
          <w:rFonts w:ascii="Palatino Linotype" w:eastAsia="Palatino Linotype" w:hAnsi="Palatino Linotype" w:cs="Palatino Linotype"/>
          <w:b/>
          <w:bCs/>
          <w:color w:val="000000"/>
        </w:rPr>
        <w:t xml:space="preserve">Acto impugnado: </w:t>
      </w:r>
      <w:r>
        <w:rPr>
          <w:rFonts w:ascii="Palatino Linotype" w:eastAsia="Palatino Linotype" w:hAnsi="Palatino Linotype" w:cs="Palatino Linotype"/>
          <w:i/>
          <w:iCs/>
          <w:color w:val="000000"/>
        </w:rPr>
        <w:t xml:space="preserve">“Negativa y omisión. El sujeto obligado, a través de su Secretario del Ayuntamiento, negó la entrega de la información solicitada argumentando que “no se encuentra dentro de las facultades, atribuciones y/o obligaciones de este sujeto obligado” (Art. 91 de la Ley Orgánica Municipal del Estado de México). Adicionalmente, la solicitud fue indebidamente canalizada al </w:t>
      </w:r>
      <w:r>
        <w:rPr>
          <w:rFonts w:ascii="Palatino Linotype" w:eastAsia="Palatino Linotype" w:hAnsi="Palatino Linotype" w:cs="Palatino Linotype"/>
          <w:i/>
          <w:iCs/>
          <w:color w:val="000000"/>
        </w:rPr>
        <w:lastRenderedPageBreak/>
        <w:t>Sistema Municipal DIF, el cual no es sujeto obligado en materia de transparencia. En consecuencia, la Unidad de Transparencia del Ayuntamiento debió remitir la petición a la dependencia municipal competente para responder sobre los cargos desempeñados por el C. José Eduardo Ontiveros Callejas, en el ayuntamiento, lo cual no ocurrió. Esta actuación generó tanto la negativa de acceso como la omisión en el trámite correspondiente, dejando sin respuesta efectiva la solicitud y vulnerando el derecho de acceso a la información pública.”</w:t>
      </w:r>
    </w:p>
    <w:p w14:paraId="2FBC591C" w14:textId="77777777" w:rsidR="008C7BF9" w:rsidRDefault="008C7BF9">
      <w:pPr>
        <w:pBdr>
          <w:top w:val="nil"/>
          <w:left w:val="nil"/>
          <w:bottom w:val="nil"/>
          <w:right w:val="nil"/>
          <w:between w:val="nil"/>
        </w:pBdr>
        <w:spacing w:line="360" w:lineRule="auto"/>
        <w:ind w:left="567" w:right="426"/>
        <w:jc w:val="both"/>
        <w:rPr>
          <w:rFonts w:ascii="Palatino Linotype" w:eastAsia="Palatino Linotype" w:hAnsi="Palatino Linotype" w:cs="Palatino Linotype"/>
          <w:i/>
          <w:iCs/>
          <w:color w:val="000000"/>
        </w:rPr>
      </w:pPr>
    </w:p>
    <w:p w14:paraId="67B3601C" w14:textId="77777777" w:rsidR="008C7BF9" w:rsidRDefault="00E07E6A">
      <w:pPr>
        <w:numPr>
          <w:ilvl w:val="0"/>
          <w:numId w:val="9"/>
        </w:numPr>
        <w:pBdr>
          <w:top w:val="nil"/>
          <w:left w:val="nil"/>
          <w:bottom w:val="nil"/>
          <w:right w:val="nil"/>
          <w:between w:val="nil"/>
        </w:pBd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Razones o Motivos de Inconformidad:</w:t>
      </w:r>
      <w:r>
        <w:rPr>
          <w:rFonts w:ascii="Palatino Linotype" w:eastAsia="Palatino Linotype" w:hAnsi="Palatino Linotype" w:cs="Palatino Linotype"/>
          <w:i/>
          <w:iCs/>
          <w:color w:val="000000"/>
        </w:rPr>
        <w:t xml:space="preserve"> “II. Fundamento legal y fracciones del Artículo 179 de la Ley de Transparencia y Acceso a la Información Pública del Estado de México y Municipios aplicables: Con base en el Artículo 178 de la Ley de Transparencia y Acceso a la Información Pública del Estado de México y Municipios, interpongo este recurso en contra del acto reclamado, considerando las siguientes causales del Artículo 179 de la Ley citada: 1. I. Negativa a la información solicitada: El sujeto obligado negó toda entrega de información, aunque parte de ella (cargos desempeñados dentro del Ayuntamiento) sí podía ser proporcionada. 2. IV. Declaración de incompetencia por el sujeto obligado: El Ayuntamiento, a través del Secretario, declaró que no era competente para entregar la información relativa al DIF de Aculco, señalando que debía solicitarse directamente a dicho organismo. Sin embargo, conforme al Memorándum número INFOEM/DGTAIPGA/063/2025 del Director General de Transparencia, Acceso a la Información Pública y Gobierno Abierto (8 de agosto 2025), el Sistema Municipal para el Desarrollo Integral de la Familia DIF de Aculco no se encuentra en el padrón de sujetos obligados y, en </w:t>
      </w:r>
      <w:r>
        <w:rPr>
          <w:rFonts w:ascii="Palatino Linotype" w:eastAsia="Palatino Linotype" w:hAnsi="Palatino Linotype" w:cs="Palatino Linotype"/>
          <w:i/>
          <w:iCs/>
          <w:color w:val="000000"/>
        </w:rPr>
        <w:lastRenderedPageBreak/>
        <w:t xml:space="preserve">consecuencia, es el propio Ayuntamiento de Aculco, como sujeto obligado en materia de transparencia, quien debe atender los requerimientos vinculados al Sistema Municipal DIF Aculco y proporcionar la información disponible o, en su caso, canalizar la solicitud a la unidad administrativa competente dentro del mismo Ayuntamiento, de conformidad con lo dispuesto en el artículo 149 de la Ley de Transparencia estatal. La respuesta dada, entonces, constituye una indebida declaración de incompetencia que vulnera el derecho de acceso a la información al dejar al solicitante en estado de indefensión. 3. V. Entrega de información incompleta: No se entregó información sobre los cargos del C. José Eduardo Ontiveros Callejas dentro del Ayuntamiento, dejando sin efecto parte de la solicitud. 4. VIII. Notificación, entrega o puesta a disposición en modalidad distinta: La solicitud fue presentada dentro de la Plataforma Nacional de Transparencia, sin embargo, la respuesta se notificó por correo electrónico por medio de la dirección notificaciones.saim@itaipem.org.mx y se indicó que estaba disponible en SAIMEX, un medio distinto al solicitado en una cuenta que yo no abrí, enviando el usuario y contraseña. Incumpliendo el artículo 156 de la Ley de Transparencia estatal que establece que cuando la solicitud se haga a través de la PNT las notificaciones deben hacerse a través de esa vía, así como el artículo 164 que obliga a respetar la modalidad de entrega elegida por el solicitante y, en caso de imposibilidad, debe fundar y motivar la necesidad de ofrecer otra. 5. X. Costos o tiempos de entrega: La respuesta se notificó el 22 de agosto, excediendo el plazo legal de 15 días hábiles más la prórroga de 7 días otorgada el 12 de agosto. 6. XI. Falta de trámite a una solicitud: La Unidad de Transparencia no dirigió la solicitud a la dependencia adecuada del </w:t>
      </w:r>
      <w:r>
        <w:rPr>
          <w:rFonts w:ascii="Palatino Linotype" w:eastAsia="Palatino Linotype" w:hAnsi="Palatino Linotype" w:cs="Palatino Linotype"/>
          <w:i/>
          <w:iCs/>
          <w:color w:val="000000"/>
        </w:rPr>
        <w:lastRenderedPageBreak/>
        <w:t xml:space="preserve">Ayuntamiento que podría entregar la información sobre los cargos del C. José Eduardo Ontiveros Callejas en el Ayuntamiento de Aculco, obstaculizando el acceso a la información. 7. XIII. Falta, deficiencia o insuficiencia de fundamentación y motivación: La negativa se sustentó únicamente en el Art. 91 de la Ley Orgánica Municipal, sin explicar quién debía entregar la información disponible dentro del Ayuntamiento ni por qué no se podía remitir a la dependencia competente. III. Motivos de inconformidad 1. La información solicitada es de interés ciudadano y debe ser accesible conforme al principio de máxima publicidad y transparencia. 2. La negativa y omisión afecta mi derecho a acceder a información pública sobre la administración municipal y la gestión de recursos humanos en el Ayuntamiento de Aculco, Estado de México. 3. La modalidad de entrega señalada en la Plataforma Nacional de Transparencia no fue respetada, y el retraso en la entrega impide un seguimiento oportuno de la solicitud, máxime que el Oficio número 0124 con expediente: PMA/SA/CI/2025 con el que el secretario del ayuntamiento dio respuesta a la titular de la unidad de información, planeación, programación, evaluación y transparencia de Aculco lleva fecha del 05 de agosto de 2025. 4. La entrega por SAIMEX a cuenta no autorizada ni abierta por el suscrito constituyen un acto equiparable a “entregar por la puerta trasera”, al dejar fuera el control y trazabilidad pública que otorga la Plataforma Nacional de Transparencia (PNT), medio que garantiza publicidad, verificabilidad, transparencia y acceso para cualquier persona interesada, principios esenciales del derecho de acceso a la información 5. La Unidad de Transparencia del Ayuntamiento de Aculco, Estado de México no remitió la solicitud a la dependencia correcta, dado que el secretario </w:t>
      </w:r>
      <w:r>
        <w:rPr>
          <w:rFonts w:ascii="Palatino Linotype" w:eastAsia="Palatino Linotype" w:hAnsi="Palatino Linotype" w:cs="Palatino Linotype"/>
          <w:i/>
          <w:iCs/>
          <w:color w:val="000000"/>
        </w:rPr>
        <w:lastRenderedPageBreak/>
        <w:t xml:space="preserve">del ayuntamiento señala que responder a esa solicitud no está en sus facultades según el artículo 91 de la Ley Orgánica Municipal del Estado de México, limitando el acceso a información que podía estar disponible.” </w:t>
      </w:r>
    </w:p>
    <w:p w14:paraId="677B0350" w14:textId="77777777" w:rsidR="008C7BF9" w:rsidRDefault="008C7BF9">
      <w:pPr>
        <w:pBdr>
          <w:top w:val="nil"/>
          <w:left w:val="nil"/>
          <w:bottom w:val="nil"/>
          <w:right w:val="nil"/>
          <w:between w:val="nil"/>
        </w:pBdr>
        <w:spacing w:line="360" w:lineRule="auto"/>
        <w:ind w:left="567" w:right="426"/>
        <w:jc w:val="both"/>
        <w:rPr>
          <w:rFonts w:ascii="Palatino Linotype" w:eastAsia="Palatino Linotype" w:hAnsi="Palatino Linotype" w:cs="Palatino Linotype"/>
          <w:i/>
          <w:iCs/>
          <w:color w:val="000000"/>
        </w:rPr>
      </w:pPr>
    </w:p>
    <w:p w14:paraId="753AF88A" w14:textId="77777777" w:rsidR="008C7BF9" w:rsidRDefault="00E07E6A">
      <w:pPr>
        <w:numPr>
          <w:ilvl w:val="0"/>
          <w:numId w:val="9"/>
        </w:numPr>
        <w:pBdr>
          <w:top w:val="nil"/>
          <w:left w:val="nil"/>
          <w:bottom w:val="nil"/>
          <w:right w:val="nil"/>
          <w:between w:val="nil"/>
        </w:pBdr>
        <w:spacing w:line="360" w:lineRule="auto"/>
        <w:ind w:left="567" w:righ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adjuntó el archivo denominado </w:t>
      </w:r>
      <w:r>
        <w:rPr>
          <w:rFonts w:ascii="Palatino Linotype" w:eastAsia="Palatino Linotype" w:hAnsi="Palatino Linotype" w:cs="Palatino Linotype"/>
          <w:b/>
          <w:bCs/>
          <w:color w:val="000000"/>
        </w:rPr>
        <w:t>REVISION_ACULCO_00130.pdf</w:t>
      </w:r>
      <w:r>
        <w:rPr>
          <w:rFonts w:ascii="Palatino Linotype" w:eastAsia="Palatino Linotype" w:hAnsi="Palatino Linotype" w:cs="Palatino Linotype"/>
          <w:color w:val="000000"/>
        </w:rPr>
        <w:t>, cuyo contenido corresponde a un escrito en el que amplía su acto reclamado en los siguientes términos:</w:t>
      </w:r>
    </w:p>
    <w:p w14:paraId="725DB639" w14:textId="2DCAF4D6" w:rsidR="008C7BF9" w:rsidRDefault="00C20164">
      <w:pPr>
        <w:spacing w:line="360" w:lineRule="auto"/>
        <w:jc w:val="center"/>
        <w:rPr>
          <w:rFonts w:ascii="Palatino Linotype" w:eastAsia="Palatino Linotype" w:hAnsi="Palatino Linotype" w:cs="Palatino Linotype"/>
          <w:i/>
          <w:iCs/>
          <w:color w:val="000000"/>
        </w:rPr>
      </w:pPr>
      <w:r w:rsidRPr="00C20164">
        <w:rPr>
          <w:rFonts w:ascii="Palatino Linotype" w:eastAsia="Palatino Linotype" w:hAnsi="Palatino Linotype" w:cs="Palatino Linotype"/>
          <w:i/>
          <w:iCs/>
          <w:color w:val="000000"/>
        </w:rPr>
        <w:lastRenderedPageBreak/>
        <w:drawing>
          <wp:inline distT="0" distB="0" distL="0" distR="0" wp14:anchorId="5E1F9247" wp14:editId="7C3B9424">
            <wp:extent cx="4229690" cy="524900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9690" cy="5249008"/>
                    </a:xfrm>
                    <a:prstGeom prst="rect">
                      <a:avLst/>
                    </a:prstGeom>
                  </pic:spPr>
                </pic:pic>
              </a:graphicData>
            </a:graphic>
          </wp:inline>
        </w:drawing>
      </w:r>
    </w:p>
    <w:p w14:paraId="10249EB9" w14:textId="77777777" w:rsidR="008C7BF9" w:rsidRDefault="00E07E6A">
      <w:pPr>
        <w:spacing w:line="360" w:lineRule="auto"/>
        <w:jc w:val="center"/>
        <w:rPr>
          <w:rFonts w:ascii="Palatino Linotype" w:eastAsia="Palatino Linotype" w:hAnsi="Palatino Linotype" w:cs="Palatino Linotype"/>
          <w:i/>
          <w:iCs/>
          <w:color w:val="000000"/>
        </w:rPr>
      </w:pPr>
      <w:r>
        <w:rPr>
          <w:rFonts w:ascii="Palatino Linotype" w:eastAsia="Palatino Linotype" w:hAnsi="Palatino Linotype" w:cs="Palatino Linotype"/>
          <w:i/>
          <w:iCs/>
          <w:noProof/>
          <w:color w:val="000000"/>
          <w:lang w:val="es-MX"/>
        </w:rPr>
        <w:lastRenderedPageBreak/>
        <w:drawing>
          <wp:inline distT="0" distB="0" distL="0" distR="0" wp14:anchorId="279BF35A" wp14:editId="24D38077">
            <wp:extent cx="4802700" cy="6197587"/>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802700" cy="6197587"/>
                    </a:xfrm>
                    <a:prstGeom prst="rect">
                      <a:avLst/>
                    </a:prstGeom>
                    <a:ln/>
                  </pic:spPr>
                </pic:pic>
              </a:graphicData>
            </a:graphic>
          </wp:inline>
        </w:drawing>
      </w:r>
    </w:p>
    <w:p w14:paraId="67E9D5FA" w14:textId="77777777" w:rsidR="008C7BF9" w:rsidRDefault="00E07E6A">
      <w:pPr>
        <w:spacing w:line="360" w:lineRule="auto"/>
        <w:jc w:val="center"/>
        <w:rPr>
          <w:rFonts w:ascii="Palatino Linotype" w:eastAsia="Palatino Linotype" w:hAnsi="Palatino Linotype" w:cs="Palatino Linotype"/>
          <w:i/>
          <w:iCs/>
          <w:color w:val="000000"/>
        </w:rPr>
      </w:pPr>
      <w:r>
        <w:rPr>
          <w:rFonts w:ascii="Palatino Linotype" w:eastAsia="Palatino Linotype" w:hAnsi="Palatino Linotype" w:cs="Palatino Linotype"/>
          <w:i/>
          <w:iCs/>
          <w:noProof/>
          <w:color w:val="000000"/>
          <w:lang w:val="es-MX"/>
        </w:rPr>
        <w:lastRenderedPageBreak/>
        <w:drawing>
          <wp:inline distT="0" distB="0" distL="0" distR="0" wp14:anchorId="60F4149E" wp14:editId="0EC7E4DE">
            <wp:extent cx="4882972" cy="659632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2972" cy="6596327"/>
                    </a:xfrm>
                    <a:prstGeom prst="rect">
                      <a:avLst/>
                    </a:prstGeom>
                    <a:ln/>
                  </pic:spPr>
                </pic:pic>
              </a:graphicData>
            </a:graphic>
          </wp:inline>
        </w:drawing>
      </w:r>
    </w:p>
    <w:p w14:paraId="10C2CF8F" w14:textId="68762F83" w:rsidR="008C7BF9" w:rsidRDefault="00C20164">
      <w:pPr>
        <w:spacing w:line="360" w:lineRule="auto"/>
        <w:jc w:val="center"/>
        <w:rPr>
          <w:rFonts w:ascii="Palatino Linotype" w:eastAsia="Palatino Linotype" w:hAnsi="Palatino Linotype" w:cs="Palatino Linotype"/>
          <w:i/>
          <w:iCs/>
          <w:color w:val="000000"/>
        </w:rPr>
      </w:pPr>
      <w:r w:rsidRPr="00C20164">
        <w:rPr>
          <w:rFonts w:ascii="Palatino Linotype" w:eastAsia="Palatino Linotype" w:hAnsi="Palatino Linotype" w:cs="Palatino Linotype"/>
          <w:i/>
          <w:iCs/>
          <w:color w:val="000000"/>
        </w:rPr>
        <w:lastRenderedPageBreak/>
        <w:drawing>
          <wp:inline distT="0" distB="0" distL="0" distR="0" wp14:anchorId="1909A5E2" wp14:editId="222D9B28">
            <wp:extent cx="4944165" cy="34866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4165" cy="3486637"/>
                    </a:xfrm>
                    <a:prstGeom prst="rect">
                      <a:avLst/>
                    </a:prstGeom>
                  </pic:spPr>
                </pic:pic>
              </a:graphicData>
            </a:graphic>
          </wp:inline>
        </w:drawing>
      </w:r>
    </w:p>
    <w:p w14:paraId="1CA15E78" w14:textId="77777777" w:rsidR="008C7BF9" w:rsidRDefault="008C7BF9">
      <w:pPr>
        <w:spacing w:line="360" w:lineRule="auto"/>
        <w:jc w:val="center"/>
        <w:rPr>
          <w:rFonts w:ascii="Palatino Linotype" w:eastAsia="Palatino Linotype" w:hAnsi="Palatino Linotype" w:cs="Palatino Linotype"/>
          <w:i/>
          <w:iCs/>
          <w:color w:val="000000"/>
        </w:rPr>
      </w:pPr>
    </w:p>
    <w:p w14:paraId="75B1D9F0"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bCs/>
          <w:color w:val="000000"/>
        </w:rPr>
        <w:t>diecisiete de septiembre de dos mil veinticinco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bCs/>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presentará el Informe Justificado procedente.</w:t>
      </w:r>
    </w:p>
    <w:p w14:paraId="4302BCCE" w14:textId="77777777" w:rsidR="008C7BF9" w:rsidRDefault="008C7B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1204F9"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anterior,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fue omiso en realizar manifestaciones que a su derecho conviniera y asistiera. Por su parte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dejó de rendir el informe justificado correspondiente.</w:t>
      </w:r>
    </w:p>
    <w:p w14:paraId="4AA60F05" w14:textId="77777777" w:rsidR="00C20164" w:rsidRDefault="00C20164" w:rsidP="00C2016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55B200"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1fob9te" w:colFirst="0" w:colLast="0"/>
      <w:bookmarkEnd w:id="3"/>
      <w:r>
        <w:rPr>
          <w:rFonts w:ascii="Palatino Linotype" w:eastAsia="Palatino Linotype" w:hAnsi="Palatino Linotype" w:cs="Palatino Linotype"/>
          <w:color w:val="000000"/>
        </w:rPr>
        <w:t xml:space="preserve">Seguidamente, mediante Acuerdo de fecha </w:t>
      </w:r>
      <w:r>
        <w:rPr>
          <w:rFonts w:ascii="Palatino Linotype" w:eastAsia="Palatino Linotype" w:hAnsi="Palatino Linotype" w:cs="Palatino Linotype"/>
          <w:b/>
          <w:bCs/>
          <w:color w:val="000000"/>
        </w:rPr>
        <w:t xml:space="preserve">veintitrés de marzo de dos mil veintiséis, </w:t>
      </w:r>
      <w:r>
        <w:rPr>
          <w:rFonts w:ascii="Palatino Linotype" w:eastAsia="Palatino Linotype" w:hAnsi="Palatino Linotype" w:cs="Palatino Linotype"/>
          <w:color w:val="000000"/>
        </w:rPr>
        <w:t>se amplió el termino para resolver, consecutivamente se decretó el cierre de instrucción mediante Acuerdo de misma fecha, por lo que no habiendo más que hacer constar, y-------------------------------------------------------------------------------------------</w:t>
      </w:r>
    </w:p>
    <w:p w14:paraId="3B9A9945"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14:paraId="34F6BBCB" w14:textId="77777777" w:rsidR="008C7BF9" w:rsidRDefault="00E07E6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 O N S I D E R A N D O</w:t>
      </w:r>
    </w:p>
    <w:p w14:paraId="788F1869" w14:textId="77777777" w:rsidR="008C7BF9" w:rsidRDefault="008C7BF9">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14:paraId="24A860CB" w14:textId="77777777" w:rsidR="008C7BF9" w:rsidRDefault="00E07E6A">
      <w:pPr>
        <w:pStyle w:val="Ttulo2"/>
        <w:spacing w:before="0" w:line="360" w:lineRule="auto"/>
        <w:rPr>
          <w:rFonts w:ascii="Palatino Linotype" w:eastAsia="Palatino Linotype" w:hAnsi="Palatino Linotype" w:cs="Palatino Linotype"/>
          <w:b/>
          <w:bCs/>
          <w:color w:val="000000"/>
          <w:sz w:val="24"/>
          <w:szCs w:val="24"/>
        </w:rPr>
      </w:pPr>
      <w:bookmarkStart w:id="4" w:name="_heading=h.3znysh7" w:colFirst="0" w:colLast="0"/>
      <w:bookmarkEnd w:id="4"/>
      <w:r>
        <w:rPr>
          <w:rFonts w:ascii="Palatino Linotype" w:eastAsia="Palatino Linotype" w:hAnsi="Palatino Linotype" w:cs="Palatino Linotype"/>
          <w:b/>
          <w:bCs/>
          <w:color w:val="000000"/>
          <w:sz w:val="24"/>
          <w:szCs w:val="24"/>
        </w:rPr>
        <w:t>PRIMERO. De la competencia</w:t>
      </w:r>
    </w:p>
    <w:p w14:paraId="19A06609"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w:t>
      </w:r>
      <w:r>
        <w:rPr>
          <w:rFonts w:ascii="Palatino Linotype" w:eastAsia="Palatino Linotype" w:hAnsi="Palatino Linotype" w:cs="Palatino Linotype"/>
        </w:rPr>
        <w:t>r</w:t>
      </w:r>
      <w:r>
        <w:rPr>
          <w:rFonts w:ascii="Palatino Linotype" w:eastAsia="Palatino Linotype" w:hAnsi="Palatino Linotype" w:cs="Palatino Linotype"/>
          <w:color w:val="000000"/>
        </w:rPr>
        <w:t>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9771833" w14:textId="77777777" w:rsidR="008C7BF9" w:rsidRDefault="008C7BF9">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14:paraId="28E82775" w14:textId="77777777" w:rsidR="008C7BF9" w:rsidRDefault="00E07E6A">
      <w:pPr>
        <w:pStyle w:val="Ttulo2"/>
        <w:spacing w:before="0" w:line="360" w:lineRule="auto"/>
        <w:rPr>
          <w:rFonts w:ascii="Palatino Linotype" w:eastAsia="Palatino Linotype" w:hAnsi="Palatino Linotype" w:cs="Palatino Linotype"/>
          <w:b/>
          <w:bCs/>
          <w:color w:val="000000"/>
          <w:sz w:val="24"/>
          <w:szCs w:val="24"/>
        </w:rPr>
      </w:pPr>
      <w:bookmarkStart w:id="5" w:name="_heading=h.2et92p0" w:colFirst="0" w:colLast="0"/>
      <w:bookmarkEnd w:id="5"/>
      <w:r>
        <w:rPr>
          <w:rFonts w:ascii="Palatino Linotype" w:eastAsia="Palatino Linotype" w:hAnsi="Palatino Linotype" w:cs="Palatino Linotype"/>
          <w:b/>
          <w:bCs/>
          <w:color w:val="000000"/>
          <w:sz w:val="24"/>
          <w:szCs w:val="24"/>
        </w:rPr>
        <w:lastRenderedPageBreak/>
        <w:t>SEGUNDO. De la oportunidad y procedencia.</w:t>
      </w:r>
    </w:p>
    <w:p w14:paraId="11B05271"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Este Órgano Garante considera que el medio de impugnación reúne los requisitos de procedencia </w:t>
      </w:r>
      <w:r>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3457633D" w14:textId="77777777" w:rsidR="008C7BF9" w:rsidRDefault="008C7BF9">
      <w:pPr>
        <w:pBdr>
          <w:top w:val="nil"/>
          <w:left w:val="nil"/>
          <w:bottom w:val="nil"/>
          <w:right w:val="nil"/>
          <w:between w:val="nil"/>
        </w:pBdr>
        <w:spacing w:line="360" w:lineRule="auto"/>
        <w:jc w:val="both"/>
        <w:rPr>
          <w:rFonts w:ascii="Palatino Linotype" w:eastAsia="Palatino Linotype" w:hAnsi="Palatino Linotype" w:cs="Palatino Linotype"/>
        </w:rPr>
      </w:pPr>
    </w:p>
    <w:p w14:paraId="1786D8C1"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suma importancia señalar que la parte recurrente no proporciona un nombre o datos de </w:t>
      </w:r>
      <w:r>
        <w:rPr>
          <w:rFonts w:ascii="Palatino Linotype" w:eastAsia="Palatino Linotype" w:hAnsi="Palatino Linotype" w:cs="Palatino Linotype"/>
          <w:color w:val="000000"/>
        </w:rPr>
        <w:t>identificación</w:t>
      </w:r>
      <w:r>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B36236E"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6F9F918" w14:textId="77777777" w:rsidR="008C7BF9" w:rsidRDefault="00E07E6A">
      <w:pPr>
        <w:spacing w:line="360" w:lineRule="auto"/>
        <w:ind w:left="567" w:right="42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Las solicitudes anónimas</w:t>
      </w:r>
      <w:r>
        <w:rPr>
          <w:rFonts w:ascii="Palatino Linotype" w:eastAsia="Palatino Linotype" w:hAnsi="Palatino Linotype" w:cs="Palatino Linotype"/>
          <w:i/>
          <w:iCs/>
        </w:rPr>
        <w:t xml:space="preserve">, con nombre incompleto o seudónimo </w:t>
      </w:r>
      <w:r>
        <w:rPr>
          <w:rFonts w:ascii="Palatino Linotype" w:eastAsia="Palatino Linotype" w:hAnsi="Palatino Linotype" w:cs="Palatino Linotype"/>
          <w:b/>
          <w:bCs/>
          <w:i/>
          <w:iCs/>
        </w:rPr>
        <w:t>serán procedentes para su trámite por parte del sujeto obligado ante quien se presente</w:t>
      </w:r>
      <w:r>
        <w:rPr>
          <w:rFonts w:ascii="Palatino Linotype" w:eastAsia="Palatino Linotype" w:hAnsi="Palatino Linotype" w:cs="Palatino Linotype"/>
          <w:i/>
          <w:iCs/>
        </w:rPr>
        <w:t>. No podrá requerirse información adicional con motivo del nombre proporcionado por el solicitante."</w:t>
      </w:r>
    </w:p>
    <w:p w14:paraId="4ED5E828" w14:textId="77777777" w:rsidR="008C7BF9" w:rsidRDefault="008C7BF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F382995"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Consecuencia de lo anterior, este Órgano Garante advierte que el escrito contiene las </w:t>
      </w:r>
      <w:r>
        <w:rPr>
          <w:rFonts w:ascii="Palatino Linotype" w:eastAsia="Palatino Linotype" w:hAnsi="Palatino Linotype" w:cs="Palatino Linotype"/>
        </w:rPr>
        <w:t>formalidades</w:t>
      </w:r>
      <w:r>
        <w:rPr>
          <w:rFonts w:ascii="Palatino Linotype" w:eastAsia="Palatino Linotype" w:hAnsi="Palatino Linotype" w:cs="Palatino Linotype"/>
          <w:color w:val="000000"/>
        </w:rPr>
        <w:t xml:space="preserve"> previstas por el artículo 180 último párrafo de la Ley de </w:t>
      </w:r>
      <w:r>
        <w:rPr>
          <w:rFonts w:ascii="Palatino Linotype" w:eastAsia="Palatino Linotype" w:hAnsi="Palatino Linotype" w:cs="Palatino Linotype"/>
        </w:rPr>
        <w:lastRenderedPageBreak/>
        <w:t>Transparencia</w:t>
      </w:r>
      <w:r>
        <w:rPr>
          <w:rFonts w:ascii="Palatino Linotype" w:eastAsia="Palatino Linotype" w:hAnsi="Palatino Linotype" w:cs="Palatino Linotype"/>
          <w:color w:val="000000"/>
        </w:rPr>
        <w:t xml:space="preserve"> y Acceso a la </w:t>
      </w:r>
      <w:r>
        <w:rPr>
          <w:rFonts w:ascii="Palatino Linotype" w:eastAsia="Palatino Linotype" w:hAnsi="Palatino Linotype" w:cs="Palatino Linotype"/>
        </w:rPr>
        <w:t>Información</w:t>
      </w:r>
      <w:r>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14:paraId="28A03E47" w14:textId="77777777" w:rsidR="008C7BF9" w:rsidRDefault="008C7B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681FB18"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14:paraId="638A7E44" w14:textId="77777777" w:rsidR="008C7BF9" w:rsidRDefault="008C7BF9">
      <w:pPr>
        <w:spacing w:line="360" w:lineRule="auto"/>
        <w:rPr>
          <w:rFonts w:ascii="Palatino Linotype" w:eastAsia="Palatino Linotype" w:hAnsi="Palatino Linotype" w:cs="Palatino Linotype"/>
        </w:rPr>
      </w:pPr>
    </w:p>
    <w:p w14:paraId="531AD988" w14:textId="77777777" w:rsidR="008C7BF9" w:rsidRDefault="00E07E6A">
      <w:pPr>
        <w:pStyle w:val="Ttulo1"/>
        <w:spacing w:before="0" w:line="360" w:lineRule="auto"/>
        <w:rPr>
          <w:rFonts w:ascii="Palatino Linotype" w:eastAsia="Palatino Linotype" w:hAnsi="Palatino Linotype" w:cs="Palatino Linotype"/>
          <w:b/>
          <w:bCs/>
          <w:color w:val="000000"/>
          <w:sz w:val="24"/>
          <w:szCs w:val="24"/>
        </w:rPr>
      </w:pPr>
      <w:bookmarkStart w:id="6" w:name="_heading=h.tyjcwt" w:colFirst="0" w:colLast="0"/>
      <w:bookmarkEnd w:id="6"/>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14:paraId="618F8BE3"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14:paraId="5AF67EA5" w14:textId="77777777" w:rsidR="008C7BF9" w:rsidRDefault="008C7B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657175" w14:textId="77777777" w:rsidR="008C7BF9" w:rsidRDefault="00E07E6A">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Del C. José Eduardo Ontiveros Callejas:</w:t>
      </w:r>
    </w:p>
    <w:p w14:paraId="77BE7675" w14:textId="77777777" w:rsidR="008C7BF9" w:rsidRDefault="00E07E6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Todos los cargos que haya ocupado en el Ayuntamiento de Aculco entre el 1 de enero de 2021 y el 07 de julio de 2025, incluyendo su puesto y área de adscripción, periodo y documento de nombramiento o designación;</w:t>
      </w:r>
    </w:p>
    <w:p w14:paraId="60D3685A" w14:textId="77777777" w:rsidR="008C7BF9" w:rsidRDefault="00E07E6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En caso de que haya desempeñado funciones en el Sistema Municipal DIF de Aculco antes de junio de 2025: copia certificada del nombramiento, inicio de responsabilidades y, en su caso, copia certificada del acta o minuta de la Junta de Gobierno del DIF donde se aprobó su nombramiento, especialmente la sesión extraordinaria celebrada el 8 de enero de 2025;</w:t>
      </w:r>
    </w:p>
    <w:p w14:paraId="29573CA8" w14:textId="77777777" w:rsidR="008C7BF9" w:rsidRDefault="00E07E6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En caso de que no exista registro alguno de cargo, nombramiento o desempeño de funciones en el DIF Municipal de Aculco o cualquier otra área del Ayuntamiento durante el periodo señalado, se expida constancia de inexistencia;</w:t>
      </w:r>
    </w:p>
    <w:p w14:paraId="12BECB75" w14:textId="77777777" w:rsidR="008C7BF9" w:rsidRDefault="00E07E6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Documento, reglamento o normativa interna del Ayuntamiento de Aculco o del Sistema Municipal DIF que establezca las normas, procedimientos y requisitos para la designación, nombramiento y toma de protesta de Procuradores o cargos equivalentes dentro del DIF; y </w:t>
      </w:r>
    </w:p>
    <w:p w14:paraId="3C8FF37D" w14:textId="77777777" w:rsidR="008C7BF9" w:rsidRDefault="00E07E6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Padrón completo del personal adscrito al Sistema Municipal DIF Aculco para el periodo comprendido entre el 1 de enero de 2019 y el 07 de julio de 2025.</w:t>
      </w:r>
    </w:p>
    <w:p w14:paraId="797CCDC9" w14:textId="77777777" w:rsidR="008C7BF9" w:rsidRDefault="008C7BF9">
      <w:pPr>
        <w:spacing w:line="360" w:lineRule="auto"/>
        <w:jc w:val="both"/>
        <w:rPr>
          <w:rFonts w:ascii="Palatino Linotype" w:eastAsia="Palatino Linotype" w:hAnsi="Palatino Linotype" w:cs="Palatino Linotype"/>
          <w:color w:val="000000"/>
        </w:rPr>
      </w:pPr>
    </w:p>
    <w:p w14:paraId="43EF8DE2"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remitió la información ya descrita en el párrafo 2. Inconforme con la misma, se interpuso recurso de revisión de manera general en contra de la negativa a la entrega de la información.</w:t>
      </w:r>
    </w:p>
    <w:p w14:paraId="5822E64D" w14:textId="77777777" w:rsidR="008C7BF9" w:rsidRDefault="008C7BF9">
      <w:pPr>
        <w:tabs>
          <w:tab w:val="left" w:pos="933"/>
        </w:tabs>
        <w:spacing w:line="360" w:lineRule="auto"/>
        <w:jc w:val="both"/>
        <w:rPr>
          <w:rFonts w:ascii="Palatino Linotype" w:eastAsia="Palatino Linotype" w:hAnsi="Palatino Linotype" w:cs="Palatino Linotype"/>
        </w:rPr>
      </w:pPr>
    </w:p>
    <w:p w14:paraId="4DE9F196"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bCs/>
        </w:rPr>
        <w:t xml:space="preserve">fracción I </w:t>
      </w:r>
      <w:r>
        <w:rPr>
          <w:rFonts w:ascii="Palatino Linotype" w:eastAsia="Palatino Linotype" w:hAnsi="Palatino Linotype" w:cs="Palatino Linotype"/>
        </w:rPr>
        <w:t xml:space="preserve">de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fracción que determina la hipótesis jurídica relativa a la negativa de la entrega de la información; contexto del cual se dolió </w:t>
      </w:r>
      <w:r>
        <w:rPr>
          <w:rFonts w:ascii="Palatino Linotype" w:eastAsia="Palatino Linotype" w:hAnsi="Palatino Linotype" w:cs="Palatino Linotype"/>
          <w:b/>
          <w:bCs/>
        </w:rPr>
        <w:t xml:space="preserve">EL </w:t>
      </w:r>
      <w:r>
        <w:rPr>
          <w:rFonts w:ascii="Palatino Linotype" w:eastAsia="Palatino Linotype" w:hAnsi="Palatino Linotype" w:cs="Palatino Linotype"/>
          <w:b/>
          <w:bCs/>
        </w:rPr>
        <w:lastRenderedPageBreak/>
        <w:t xml:space="preserve">RECURRENTE </w:t>
      </w:r>
      <w:r>
        <w:rPr>
          <w:rFonts w:ascii="Palatino Linotype" w:eastAsia="Palatino Linotype" w:hAnsi="Palatino Linotype" w:cs="Palatino Linotype"/>
        </w:rPr>
        <w:t>al momento de interponer su inconformidad, a través de su escrito adjunto.</w:t>
      </w:r>
    </w:p>
    <w:p w14:paraId="22E5EAA0" w14:textId="77777777" w:rsidR="008C7BF9" w:rsidRDefault="008C7BF9">
      <w:pPr>
        <w:spacing w:line="360" w:lineRule="auto"/>
        <w:rPr>
          <w:rFonts w:ascii="Palatino Linotype" w:eastAsia="Palatino Linotype" w:hAnsi="Palatino Linotype" w:cs="Palatino Linotype"/>
        </w:rPr>
      </w:pPr>
    </w:p>
    <w:p w14:paraId="6966BB83"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bCs/>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señalada. </w:t>
      </w:r>
    </w:p>
    <w:p w14:paraId="2534840E" w14:textId="77777777" w:rsidR="008C7BF9" w:rsidRDefault="008C7BF9">
      <w:pPr>
        <w:spacing w:line="360" w:lineRule="auto"/>
        <w:rPr>
          <w:rFonts w:ascii="Palatino Linotype" w:eastAsia="Palatino Linotype" w:hAnsi="Palatino Linotype" w:cs="Palatino Linotype"/>
        </w:rPr>
      </w:pPr>
    </w:p>
    <w:p w14:paraId="6ABAE367" w14:textId="77777777" w:rsidR="008C7BF9" w:rsidRDefault="00E07E6A">
      <w:pPr>
        <w:pStyle w:val="Ttulo2"/>
        <w:spacing w:before="0" w:line="360" w:lineRule="auto"/>
        <w:rPr>
          <w:rFonts w:ascii="Palatino Linotype" w:eastAsia="Palatino Linotype" w:hAnsi="Palatino Linotype" w:cs="Palatino Linotype"/>
          <w:b/>
          <w:bCs/>
          <w:color w:val="000000"/>
          <w:sz w:val="24"/>
          <w:szCs w:val="24"/>
        </w:rPr>
      </w:pPr>
      <w:bookmarkStart w:id="7" w:name="_heading=h.3dy6vkm" w:colFirst="0" w:colLast="0"/>
      <w:bookmarkEnd w:id="7"/>
      <w:r>
        <w:rPr>
          <w:rFonts w:ascii="Palatino Linotype" w:eastAsia="Palatino Linotype" w:hAnsi="Palatino Linotype" w:cs="Palatino Linotype"/>
          <w:b/>
          <w:bCs/>
          <w:color w:val="000000"/>
          <w:sz w:val="24"/>
          <w:szCs w:val="24"/>
        </w:rPr>
        <w:t>CUARTO. Del estudio y resolución del asunto.</w:t>
      </w:r>
    </w:p>
    <w:p w14:paraId="4BF66518"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Pr>
          <w:rFonts w:ascii="Palatino Linotype" w:eastAsia="Palatino Linotype" w:hAnsi="Palatino Linotype" w:cs="Palatino Linotype"/>
          <w:color w:val="000000"/>
        </w:rPr>
        <w:t>determina</w:t>
      </w:r>
      <w:r>
        <w:rPr>
          <w:rFonts w:ascii="Palatino Linotype" w:eastAsia="Palatino Linotype" w:hAnsi="Palatino Linotype" w:cs="Palatino Linotype"/>
        </w:rPr>
        <w:t>,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46912CB3" w14:textId="77777777" w:rsidR="008C7BF9" w:rsidRDefault="008C7BF9">
      <w:pPr>
        <w:spacing w:line="360" w:lineRule="auto"/>
        <w:ind w:right="-929"/>
        <w:jc w:val="both"/>
        <w:rPr>
          <w:rFonts w:ascii="Palatino Linotype" w:eastAsia="Palatino Linotype" w:hAnsi="Palatino Linotype" w:cs="Palatino Linotype"/>
        </w:rPr>
      </w:pPr>
    </w:p>
    <w:p w14:paraId="4A6CA6D8"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w:t>
      </w:r>
      <w:r>
        <w:rPr>
          <w:rFonts w:ascii="Palatino Linotype" w:eastAsia="Palatino Linotype" w:hAnsi="Palatino Linotype" w:cs="Palatino Linotype"/>
        </w:rPr>
        <w:lastRenderedPageBreak/>
        <w:t>ejercido, se deberá motivar la respuesta en función de las causas que motivaron tal circunstancia.</w:t>
      </w:r>
    </w:p>
    <w:p w14:paraId="454981D0"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005DE22"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6C278276"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2C4C6FA"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Una vez sentado lo anterior, resulta oportuno traer a contexto los motivos de inconformidad, en los que se el ahora RECURRENTE impugna la negativa a la entrega de la información solicitada relacionada con el C. José Eduardo Ontiveros Callejas, así como de los pronunciamientos emitidos por el SUJETO OBLIGADO en calidad de respuesta (también relacionados con los requerimientos del C. José Eduardo Ontiveros Callejas), luego entonces se concluye con claridad que se dejó de impugnar los rubros relacionado con el documento, reglamento o normativa interna del Ayuntamiento de Aculco o del Sistema Municipal DIF que establezca las normas, procedimientos y requisitos para la designación, nombramiento y toma de protesta </w:t>
      </w:r>
      <w:r>
        <w:rPr>
          <w:rFonts w:ascii="Palatino Linotype" w:eastAsia="Palatino Linotype" w:hAnsi="Palatino Linotype" w:cs="Palatino Linotype"/>
        </w:rPr>
        <w:lastRenderedPageBreak/>
        <w:t>de Procuradores o cargos equivalentes dentro del DIF; y el padrón completo del personal adscrito al Sistema Municipal DIF Aculco para el periodo comprendido entre el 1 de enero de 2019 y el 07 de julio de 2025; así como acta o minuta de la Junta de Gobierno del DIF de la sesión extraordinaria celebrada el 8 de enero de 2025.</w:t>
      </w:r>
    </w:p>
    <w:p w14:paraId="1212440F"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61C9A1C1"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0F4F4CB2" w14:textId="77777777" w:rsidR="008C7BF9" w:rsidRDefault="008C7BF9">
      <w:pPr>
        <w:spacing w:line="360" w:lineRule="auto"/>
        <w:jc w:val="both"/>
        <w:rPr>
          <w:rFonts w:ascii="Palatino Linotype" w:eastAsia="Palatino Linotype" w:hAnsi="Palatino Linotype" w:cs="Palatino Linotype"/>
        </w:rPr>
      </w:pPr>
    </w:p>
    <w:p w14:paraId="703E0B7F"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174C083E"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5AE4E4CD" w14:textId="77777777" w:rsidR="008C7BF9" w:rsidRDefault="00E07E6A">
      <w:pPr>
        <w:pBdr>
          <w:top w:val="nil"/>
          <w:left w:val="nil"/>
          <w:bottom w:val="nil"/>
          <w:right w:val="nil"/>
          <w:between w:val="nil"/>
        </w:pBdr>
        <w:tabs>
          <w:tab w:val="left" w:pos="851"/>
        </w:tabs>
        <w:ind w:left="502" w:right="616"/>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“ACTOS CONSENTIDOS. SON LOS QUE NO SE IMPUGNAN MEDIANTE EL RECURSO IDÓNEO. </w:t>
      </w:r>
      <w:r>
        <w:rPr>
          <w:rFonts w:ascii="Palatino Linotype" w:eastAsia="Palatino Linotype" w:hAnsi="Palatino Linotype" w:cs="Palatino Linotype"/>
          <w:i/>
          <w:iCs/>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A2A61BE" w14:textId="77777777" w:rsidR="008C7BF9" w:rsidRDefault="008C7BF9">
      <w:pPr>
        <w:pBdr>
          <w:top w:val="nil"/>
          <w:left w:val="nil"/>
          <w:bottom w:val="nil"/>
          <w:right w:val="nil"/>
          <w:between w:val="nil"/>
        </w:pBdr>
        <w:tabs>
          <w:tab w:val="left" w:pos="851"/>
        </w:tabs>
        <w:ind w:left="502" w:right="616"/>
        <w:jc w:val="both"/>
        <w:rPr>
          <w:rFonts w:ascii="Palatino Linotype" w:eastAsia="Palatino Linotype" w:hAnsi="Palatino Linotype" w:cs="Palatino Linotype"/>
          <w:i/>
          <w:iCs/>
          <w:color w:val="000000"/>
          <w:sz w:val="22"/>
          <w:szCs w:val="22"/>
        </w:rPr>
      </w:pPr>
    </w:p>
    <w:p w14:paraId="66F4849F" w14:textId="77777777" w:rsidR="008C7BF9" w:rsidRDefault="008C7BF9">
      <w:pPr>
        <w:pBdr>
          <w:top w:val="nil"/>
          <w:left w:val="nil"/>
          <w:bottom w:val="nil"/>
          <w:right w:val="nil"/>
          <w:between w:val="nil"/>
        </w:pBdr>
        <w:tabs>
          <w:tab w:val="left" w:pos="851"/>
        </w:tabs>
        <w:ind w:left="502" w:right="616"/>
        <w:jc w:val="both"/>
        <w:rPr>
          <w:rFonts w:ascii="Palatino Linotype" w:eastAsia="Palatino Linotype" w:hAnsi="Palatino Linotype" w:cs="Palatino Linotype"/>
          <w:i/>
          <w:iCs/>
          <w:color w:val="000000"/>
          <w:sz w:val="22"/>
          <w:szCs w:val="22"/>
        </w:rPr>
      </w:pPr>
    </w:p>
    <w:p w14:paraId="4D90B65B"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del criterio antes citado, se advierte que cuando el particular impugnó la respuesta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está conforme </w:t>
      </w:r>
      <w:r>
        <w:rPr>
          <w:rFonts w:ascii="Palatino Linotype" w:eastAsia="Palatino Linotype" w:hAnsi="Palatino Linotype" w:cs="Palatino Linotype"/>
        </w:rPr>
        <w:lastRenderedPageBreak/>
        <w:t xml:space="preserve">con la respuesta proporcionada por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al no contravenir la misma. </w:t>
      </w:r>
    </w:p>
    <w:p w14:paraId="43B09ECB" w14:textId="77777777" w:rsidR="008C7BF9" w:rsidRDefault="008C7BF9">
      <w:pPr>
        <w:spacing w:line="360" w:lineRule="auto"/>
        <w:jc w:val="both"/>
        <w:rPr>
          <w:rFonts w:ascii="Palatino Linotype" w:eastAsia="Palatino Linotype" w:hAnsi="Palatino Linotype" w:cs="Palatino Linotype"/>
        </w:rPr>
      </w:pPr>
    </w:p>
    <w:p w14:paraId="69C8B480"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53C17BC6" w14:textId="77777777" w:rsidR="008C7BF9" w:rsidRDefault="00E07E6A">
      <w:pPr>
        <w:pBdr>
          <w:top w:val="nil"/>
          <w:left w:val="nil"/>
          <w:bottom w:val="nil"/>
          <w:right w:val="nil"/>
          <w:between w:val="nil"/>
        </w:pBdr>
        <w:tabs>
          <w:tab w:val="left" w:pos="7937"/>
          <w:tab w:val="left" w:pos="8222"/>
        </w:tabs>
        <w:ind w:left="502" w:right="90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“REVISIÓN EN AMPARO. LOS RESOLUTIVOS NO COMBATIDOS DEBEN DECLARARSE FIRMES. </w:t>
      </w:r>
      <w:r>
        <w:rPr>
          <w:rFonts w:ascii="Palatino Linotype" w:eastAsia="Palatino Linotype" w:hAnsi="Palatino Linotype" w:cs="Palatino Linotype"/>
          <w:i/>
          <w:iCs/>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0B63CA3" w14:textId="77777777" w:rsidR="008C7BF9" w:rsidRDefault="008C7BF9">
      <w:pPr>
        <w:pBdr>
          <w:top w:val="nil"/>
          <w:left w:val="nil"/>
          <w:bottom w:val="nil"/>
          <w:right w:val="nil"/>
          <w:between w:val="nil"/>
        </w:pBdr>
        <w:tabs>
          <w:tab w:val="left" w:pos="7937"/>
          <w:tab w:val="left" w:pos="8222"/>
        </w:tabs>
        <w:ind w:left="502" w:right="901"/>
        <w:jc w:val="both"/>
        <w:rPr>
          <w:rFonts w:ascii="Palatino Linotype" w:eastAsia="Palatino Linotype" w:hAnsi="Palatino Linotype" w:cs="Palatino Linotype"/>
          <w:i/>
          <w:iCs/>
          <w:color w:val="000000"/>
          <w:sz w:val="22"/>
          <w:szCs w:val="22"/>
        </w:rPr>
      </w:pPr>
    </w:p>
    <w:p w14:paraId="2A410DA9"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del mismo por las razones hasta aquí expuestas. </w:t>
      </w:r>
    </w:p>
    <w:p w14:paraId="1CB5DB12" w14:textId="77777777" w:rsidR="008C7BF9" w:rsidRDefault="008C7BF9">
      <w:pPr>
        <w:spacing w:line="360" w:lineRule="auto"/>
        <w:jc w:val="both"/>
        <w:rPr>
          <w:rFonts w:ascii="Palatino Linotype" w:eastAsia="Palatino Linotype" w:hAnsi="Palatino Linotype" w:cs="Palatino Linotype"/>
        </w:rPr>
      </w:pPr>
    </w:p>
    <w:p w14:paraId="07A210BE"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respecto del soporte documental relacionado con el </w:t>
      </w:r>
      <w:r>
        <w:rPr>
          <w:rFonts w:ascii="Palatino Linotype" w:eastAsia="Palatino Linotype" w:hAnsi="Palatino Linotype" w:cs="Palatino Linotype"/>
        </w:rPr>
        <w:t>C. José Eduardo Ontiveros Callejas, la respuesta emitida no resulta suficiente para tener por colmado el derecho de acceso a la información pública; toda vez que el Secretario del Ayuntamiento únicamente se limita a señalar que de acuerdo a sus funciones y atribuciones no es el servidor público habilitado de dar atención a la solicitud de información.</w:t>
      </w:r>
    </w:p>
    <w:p w14:paraId="6F68FC46"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29A2EC90"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anterior se concluye con claridad que ciertamente como refiere el ahora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no fue debidamente turnada la solicitud de información; toda vez que por cuanto hace al Ayuntamiento de Aculco, no se turnó a mas áreas competentes, como lo es de manera enunciativa mas no limitativa</w:t>
      </w:r>
      <w:r>
        <w:t xml:space="preserve"> la </w:t>
      </w:r>
      <w:r>
        <w:rPr>
          <w:rFonts w:ascii="Palatino Linotype" w:eastAsia="Palatino Linotype" w:hAnsi="Palatino Linotype" w:cs="Palatino Linotype"/>
          <w:color w:val="000000"/>
        </w:rPr>
        <w:t>Dirección de Administración, quien de acuerdo al Reglamento Interno de dicha área administrativa, detenta al caso concreto las siguientes funciones y atribuciones:</w:t>
      </w:r>
    </w:p>
    <w:p w14:paraId="6A5A0FC6"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1C1C195D"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2.- A fin de sintetizar términos y para efectos del actual reglamento se entenderán por:</w:t>
      </w:r>
    </w:p>
    <w:p w14:paraId="7D05D6FA"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Ayuntamiento o municipio, municipio de Aculco, estado de México</w:t>
      </w:r>
    </w:p>
    <w:p w14:paraId="64153EFC"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 Dirección, dirección de administración del municipio de Aculco</w:t>
      </w:r>
    </w:p>
    <w:p w14:paraId="1E1E47A7"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Por servidor público, toda persona física que preste a una institución publica un trabajo personal subordinado de carácter material o intelectual, o de ambos géneros, mediante el pago de un sueldo;</w:t>
      </w:r>
    </w:p>
    <w:p w14:paraId="0AAFA00C"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IV.- Por trabajador, la persona física que presta sus servicios, en forma subordinada, para el ayuntamiento, mediante el pago de un sueldo o salario;</w:t>
      </w:r>
    </w:p>
    <w:p w14:paraId="0E9B9FB0"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 Por dependencia, la unidad administrativa prevista en los ordenamientos legales respectivos que, estando subordinada jerárquicamente a una institución pública, tenga un sistema propio de administración interna. </w:t>
      </w:r>
    </w:p>
    <w:p w14:paraId="0349E6AD" w14:textId="77777777" w:rsidR="008C7BF9" w:rsidRDefault="008C7BF9">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p>
    <w:p w14:paraId="4523361E"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7.- La Dirección de Administración del municipio estará a cargo de:</w:t>
      </w:r>
    </w:p>
    <w:p w14:paraId="72DFEA60"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 Un director de administración en el cual también tendrá a su cargo el departamento de recursos humanos y recursos materiales. </w:t>
      </w:r>
    </w:p>
    <w:p w14:paraId="132F4EAD"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w:t>
      </w:r>
    </w:p>
    <w:p w14:paraId="18EA089C" w14:textId="77777777" w:rsidR="008C7BF9" w:rsidRDefault="008C7BF9">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p>
    <w:p w14:paraId="65590044" w14:textId="77777777" w:rsidR="008C7BF9" w:rsidRDefault="008C7BF9">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p>
    <w:p w14:paraId="226C285E"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“CAPÍTULO III</w:t>
      </w:r>
    </w:p>
    <w:p w14:paraId="2A5554B3"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DEL PERSONAL</w:t>
      </w:r>
    </w:p>
    <w:p w14:paraId="269F137F"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13.- Los trabajadores del Ayuntamiento se clasificarán, como se cita a continuación.</w:t>
      </w:r>
    </w:p>
    <w:p w14:paraId="3FBBB904"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 De Confianza: De acuerdo con el Artículo 8 de la ley de trabajo de los Servidores Públicos del Estado y Municipios.</w:t>
      </w:r>
    </w:p>
    <w:p w14:paraId="1FB5AC0A"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B).- Eventuales o por Tiempo Determinado: El Ayuntamiento podrá contratar libremente trabajadores para la ejecución temporal o eventual, sujetándose a los que establecen los Artículos 13 y 14 de la Ley de Trabajo de los Servidores Públicos del Estado y Municipios; al desaparecer o modificarse las circunstancias que originaron la celebración del contrato, quedara sin efecto el contrato sin responsabilidades para el patrón ni para el trabajador.”</w:t>
      </w:r>
    </w:p>
    <w:p w14:paraId="1795D074" w14:textId="77777777" w:rsidR="008C7BF9" w:rsidRDefault="008C7BF9">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p>
    <w:p w14:paraId="696ABD4B"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14.- El trabajador temporal o eventual se regirá en cuanto sus derechos y obligaciones por las estipulaciones de los contratos respectivos y por las disposiciones legales aplicables.”</w:t>
      </w:r>
    </w:p>
    <w:p w14:paraId="3EECC734" w14:textId="77777777" w:rsidR="008C7BF9" w:rsidRDefault="008C7BF9">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p>
    <w:p w14:paraId="1CA2F161"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15.- Los trabajadores de confianza o temporales tendrán derecho a las prestaciones que establece el presente reglamento, en base a su cargo y de acuerdo </w:t>
      </w:r>
      <w:r>
        <w:rPr>
          <w:rFonts w:ascii="Palatino Linotype" w:eastAsia="Palatino Linotype" w:hAnsi="Palatino Linotype" w:cs="Palatino Linotype"/>
          <w:i/>
          <w:iCs/>
          <w:color w:val="000000"/>
        </w:rPr>
        <w:lastRenderedPageBreak/>
        <w:t>con los principios establecidos por la Ley de Trabajo de los Servidores Públicos del Estado y Municipios.”</w:t>
      </w:r>
    </w:p>
    <w:p w14:paraId="3212E7C3" w14:textId="77777777" w:rsidR="008C7BF9" w:rsidRDefault="00E07E6A">
      <w:pPr>
        <w:pBdr>
          <w:top w:val="nil"/>
          <w:left w:val="nil"/>
          <w:bottom w:val="nil"/>
          <w:right w:val="nil"/>
          <w:between w:val="nil"/>
        </w:pBdr>
        <w:spacing w:line="360" w:lineRule="auto"/>
        <w:ind w:left="426" w:right="426"/>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16.- Los trabajadores adscritos a estas dependencias se sujetarán a la organización, e indicaciones de la dirección para cumplir con todas y cada una de las funciones de la dirección.”</w:t>
      </w:r>
    </w:p>
    <w:p w14:paraId="1A51EF4C" w14:textId="77777777" w:rsidR="008C7BF9" w:rsidRDefault="008C7BF9">
      <w:pPr>
        <w:spacing w:line="360" w:lineRule="auto"/>
        <w:ind w:right="426"/>
        <w:rPr>
          <w:rFonts w:ascii="Palatino Linotype" w:eastAsia="Palatino Linotype" w:hAnsi="Palatino Linotype" w:cs="Palatino Linotype"/>
          <w:i/>
          <w:iCs/>
        </w:rPr>
      </w:pPr>
    </w:p>
    <w:p w14:paraId="5455E6B6"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en términos generales, la Dirección de Administración es el área encargada de gestionar los </w:t>
      </w:r>
      <w:r>
        <w:rPr>
          <w:rFonts w:ascii="Palatino Linotype" w:eastAsia="Palatino Linotype" w:hAnsi="Palatino Linotype" w:cs="Palatino Linotype"/>
        </w:rPr>
        <w:t>recursos</w:t>
      </w:r>
      <w:r>
        <w:rPr>
          <w:rFonts w:ascii="Palatino Linotype" w:eastAsia="Palatino Linotype" w:hAnsi="Palatino Linotype" w:cs="Palatino Linotype"/>
          <w:color w:val="000000"/>
        </w:rPr>
        <w:t xml:space="preserve"> internos del municipio, incluidos los humanos, siendo su función principal garantizar que el ayuntamiento cuente con los recursos materiales, financieros y humanos necesarios para operar de manera eficiente; luego entonces, siendo el área encargada de gestionar la nómina de los trabajadores del Ayuntamiento, las contrataciones, las plazas, las licencias y permisos y expedientes laborales, a través del Departamento de Recursos Humanos que prevé el Bando Municipal 2025, a saber</w:t>
      </w:r>
    </w:p>
    <w:p w14:paraId="7E80C57B" w14:textId="77777777" w:rsidR="008C7BF9" w:rsidRDefault="008C7BF9">
      <w:pPr>
        <w:spacing w:line="360" w:lineRule="auto"/>
        <w:jc w:val="both"/>
        <w:rPr>
          <w:rFonts w:ascii="Palatino Linotype" w:eastAsia="Palatino Linotype" w:hAnsi="Palatino Linotype" w:cs="Palatino Linotype"/>
          <w:color w:val="000000"/>
        </w:rPr>
      </w:pPr>
    </w:p>
    <w:p w14:paraId="2D24F912" w14:textId="77777777" w:rsidR="008C7BF9" w:rsidRDefault="00E07E6A">
      <w:pP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62.- Son autoridades del Municipio:</w:t>
      </w:r>
    </w:p>
    <w:p w14:paraId="7E73E4E7" w14:textId="77777777" w:rsidR="008C7BF9" w:rsidRDefault="00E07E6A">
      <w:pP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3F21690E" w14:textId="77777777" w:rsidR="008C7BF9" w:rsidRDefault="00E07E6A">
      <w:pP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 Dirección de Administración</w:t>
      </w:r>
    </w:p>
    <w:p w14:paraId="7FC810BA" w14:textId="77777777" w:rsidR="008C7BF9" w:rsidRDefault="00E07E6A">
      <w:pP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a) Departamento de Recursos Materiales y Adquisiciones</w:t>
      </w:r>
    </w:p>
    <w:p w14:paraId="3936BD2F" w14:textId="77777777" w:rsidR="008C7BF9" w:rsidRDefault="00E07E6A">
      <w:pP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b) Departamento de Recursos Humanos</w:t>
      </w:r>
    </w:p>
    <w:p w14:paraId="0404999B" w14:textId="77777777" w:rsidR="008C7BF9" w:rsidRDefault="00E07E6A">
      <w:pP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3F858781" w14:textId="77777777" w:rsidR="008C7BF9" w:rsidRDefault="008C7BF9">
      <w:pPr>
        <w:spacing w:line="360" w:lineRule="auto"/>
        <w:jc w:val="both"/>
        <w:rPr>
          <w:rFonts w:ascii="Palatino Linotype" w:eastAsia="Palatino Linotype" w:hAnsi="Palatino Linotype" w:cs="Palatino Linotype"/>
          <w:color w:val="000000"/>
        </w:rPr>
      </w:pPr>
    </w:p>
    <w:p w14:paraId="00AC428C" w14:textId="77777777" w:rsidR="008C7BF9" w:rsidRDefault="00E07E6A">
      <w:pPr>
        <w:numPr>
          <w:ilvl w:val="0"/>
          <w:numId w:val="4"/>
        </w:numPr>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lastRenderedPageBreak/>
        <w:t xml:space="preserve">Es que se insiste que no se turnó debidamente la solicitud de información a todas las áreas competentes. </w:t>
      </w:r>
      <w:r>
        <w:rPr>
          <w:rFonts w:ascii="Palatino Linotype" w:eastAsia="Palatino Linotype" w:hAnsi="Palatino Linotype" w:cs="Palatino Linotype"/>
        </w:rPr>
        <w:t xml:space="preserve">Al respecto, el procedimiento de acceso a la información pública, descrito en el Título </w:t>
      </w:r>
      <w:r>
        <w:rPr>
          <w:rFonts w:ascii="Palatino Linotype" w:eastAsia="Palatino Linotype" w:hAnsi="Palatino Linotype" w:cs="Palatino Linotype"/>
          <w:color w:val="000000"/>
        </w:rPr>
        <w:t>Séptimo</w:t>
      </w:r>
      <w:r>
        <w:rPr>
          <w:rFonts w:ascii="Palatino Linotype" w:eastAsia="Palatino Linotype" w:hAnsi="Palatino Linotype" w:cs="Palatino Linotype"/>
        </w:rPr>
        <w:t xml:space="preserve">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6B81B0CD" w14:textId="77777777" w:rsidR="008C7BF9" w:rsidRDefault="008C7BF9">
      <w:pPr>
        <w:spacing w:line="360" w:lineRule="auto"/>
        <w:ind w:right="49"/>
        <w:jc w:val="both"/>
        <w:rPr>
          <w:rFonts w:ascii="Palatino Linotype" w:eastAsia="Palatino Linotype" w:hAnsi="Palatino Linotype" w:cs="Palatino Linotype"/>
          <w:b/>
          <w:bCs/>
        </w:rPr>
      </w:pPr>
    </w:p>
    <w:p w14:paraId="69688E4D" w14:textId="77777777" w:rsidR="008C7BF9" w:rsidRDefault="00E07E6A">
      <w:pPr>
        <w:spacing w:line="360" w:lineRule="auto"/>
        <w:ind w:left="567" w:right="616"/>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rPr>
        <w:t>“Artículo 162.</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B27FFA7" w14:textId="77777777" w:rsidR="008C7BF9" w:rsidRDefault="008C7BF9">
      <w:pPr>
        <w:spacing w:line="360" w:lineRule="auto"/>
        <w:ind w:left="567" w:right="616"/>
        <w:jc w:val="both"/>
        <w:rPr>
          <w:rFonts w:ascii="Palatino Linotype" w:eastAsia="Palatino Linotype" w:hAnsi="Palatino Linotype" w:cs="Palatino Linotype"/>
          <w:i/>
          <w:iCs/>
        </w:rPr>
      </w:pPr>
    </w:p>
    <w:p w14:paraId="7887A825" w14:textId="77777777" w:rsidR="008C7BF9" w:rsidRDefault="00E07E6A">
      <w:pPr>
        <w:numPr>
          <w:ilvl w:val="0"/>
          <w:numId w:val="4"/>
        </w:numP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w:t>
      </w:r>
    </w:p>
    <w:p w14:paraId="074A84A9" w14:textId="77777777" w:rsidR="008C7BF9" w:rsidRDefault="008C7BF9">
      <w:pPr>
        <w:spacing w:line="360" w:lineRule="auto"/>
        <w:jc w:val="both"/>
        <w:rPr>
          <w:rFonts w:ascii="Palatino Linotype" w:eastAsia="Palatino Linotype" w:hAnsi="Palatino Linotype" w:cs="Palatino Linotype"/>
          <w:b/>
          <w:bCs/>
          <w:color w:val="000000"/>
        </w:rPr>
      </w:pPr>
    </w:p>
    <w:p w14:paraId="50D00C8D"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si luego de la búsqueda exhaustiva y razonable, no se localizara de manera enunciativa mas no limitativa, algún canal de video, sitio web, red social </w:t>
      </w:r>
      <w:r>
        <w:rPr>
          <w:rFonts w:ascii="Palatino Linotype" w:eastAsia="Palatino Linotype" w:hAnsi="Palatino Linotype" w:cs="Palatino Linotype"/>
          <w:color w:val="000000"/>
        </w:rPr>
        <w:lastRenderedPageBreak/>
        <w:t xml:space="preserve">o, hipervínculo, donde se puedan ver las sesiones de los comités que conforman el gobierno municipal de Toluca, bastará que así lo haga del conocimiento del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al momento de dar cumplimiento al presente proveído en términos del artículo 19 párrafo segundo de la Ley de la materia local.</w:t>
      </w:r>
    </w:p>
    <w:p w14:paraId="587E7029"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05A1C72A"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no pasa desapercibido que de lo solicitado, esta Ponencia que resuelve se aboco a la búsqueda de indicios, localizando que la persona de referencia, si ha ocupado cargos en la administración municipal, como e muestra en las siguientes imágenes:</w:t>
      </w:r>
    </w:p>
    <w:p w14:paraId="2A6249CF" w14:textId="77777777" w:rsidR="008C7BF9" w:rsidRDefault="00E07E6A">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7E160122" wp14:editId="2D367EB2">
            <wp:extent cx="4471637" cy="223782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471637" cy="2237821"/>
                    </a:xfrm>
                    <a:prstGeom prst="rect">
                      <a:avLst/>
                    </a:prstGeom>
                    <a:ln/>
                  </pic:spPr>
                </pic:pic>
              </a:graphicData>
            </a:graphic>
          </wp:inline>
        </w:drawing>
      </w:r>
    </w:p>
    <w:p w14:paraId="17B662D8" w14:textId="77777777" w:rsidR="008C7BF9" w:rsidRDefault="008C7BF9">
      <w:pPr>
        <w:spacing w:line="360" w:lineRule="auto"/>
        <w:jc w:val="center"/>
        <w:rPr>
          <w:rFonts w:ascii="Palatino Linotype" w:eastAsia="Palatino Linotype" w:hAnsi="Palatino Linotype" w:cs="Palatino Linotype"/>
          <w:color w:val="000000"/>
        </w:rPr>
      </w:pPr>
    </w:p>
    <w:p w14:paraId="4AFAA760" w14:textId="77777777" w:rsidR="008C7BF9" w:rsidRDefault="00E07E6A">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1EA74A8F" wp14:editId="12E405E7">
            <wp:extent cx="4276528" cy="226934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76528" cy="2269345"/>
                    </a:xfrm>
                    <a:prstGeom prst="rect">
                      <a:avLst/>
                    </a:prstGeom>
                    <a:ln/>
                  </pic:spPr>
                </pic:pic>
              </a:graphicData>
            </a:graphic>
          </wp:inline>
        </w:drawing>
      </w:r>
    </w:p>
    <w:p w14:paraId="0CF3DC7A" w14:textId="77777777" w:rsidR="008C7BF9" w:rsidRDefault="00E07E6A">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50C31A00" wp14:editId="67C95CD8">
            <wp:extent cx="5666105" cy="333248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66105" cy="3332480"/>
                    </a:xfrm>
                    <a:prstGeom prst="rect">
                      <a:avLst/>
                    </a:prstGeom>
                    <a:ln/>
                  </pic:spPr>
                </pic:pic>
              </a:graphicData>
            </a:graphic>
          </wp:inline>
        </w:drawing>
      </w:r>
    </w:p>
    <w:p w14:paraId="025DFC8E" w14:textId="77777777" w:rsidR="008C7BF9" w:rsidRDefault="008C7BF9">
      <w:pPr>
        <w:spacing w:line="360" w:lineRule="auto"/>
        <w:jc w:val="both"/>
        <w:rPr>
          <w:rFonts w:ascii="Palatino Linotype" w:eastAsia="Palatino Linotype" w:hAnsi="Palatino Linotype" w:cs="Palatino Linotype"/>
          <w:color w:val="000000"/>
        </w:rPr>
      </w:pPr>
    </w:p>
    <w:p w14:paraId="6AAE8AF5" w14:textId="77777777" w:rsidR="008C7BF9" w:rsidRDefault="00E07E6A">
      <w:pPr>
        <w:numPr>
          <w:ilvl w:val="0"/>
          <w:numId w:val="4"/>
        </w:numPr>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 xml:space="preserve">De lo anterior, se desprende con claridad el hecho notorio que la persona de referencia ha laborado en la administración pública municipal con diversos cargos. </w:t>
      </w:r>
      <w:r>
        <w:rPr>
          <w:rFonts w:ascii="Palatino Linotype" w:eastAsia="Palatino Linotype" w:hAnsi="Palatino Linotype" w:cs="Palatino Linotype"/>
        </w:rPr>
        <w:t xml:space="preserve">La Jurisprudencia en materia civil I.3o.C35K (10a.), de la Décima Época, con número </w:t>
      </w:r>
      <w:r>
        <w:rPr>
          <w:rFonts w:ascii="Palatino Linotype" w:eastAsia="Palatino Linotype" w:hAnsi="Palatino Linotype" w:cs="Palatino Linotype"/>
        </w:rPr>
        <w:lastRenderedPageBreak/>
        <w:t>de identificación 2004949, emitido por el Tercer Tribunal Colegiado en Materia Civil del Primer Circuito  refiere lo siguiente:</w:t>
      </w:r>
    </w:p>
    <w:p w14:paraId="4515BBC3" w14:textId="77777777" w:rsidR="008C7BF9" w:rsidRDefault="00E07E6A">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PÁGINAS WEB O ELECTRÓNICAS. SU CONTENIDO ES UN HECHO NOTORIO Y SUSCEPTIBLE DE SER VALORADO EN UNA DECISIÓN JUDICIAL.</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rPr>
        <w:t>Los datos publicados en documentos o páginas situados en redes informáticas constituyen un hecho notorio por formar parte del conocimiento público a través de tales medios al momento en que se dicta una resolución judicial</w:t>
      </w:r>
      <w:r>
        <w:rPr>
          <w:rFonts w:ascii="Palatino Linotype" w:eastAsia="Palatino Linotype" w:hAnsi="Palatino Linotype" w:cs="Palatino Linotype"/>
          <w:i/>
          <w:iCs/>
          <w:color w:val="000000"/>
        </w:rPr>
        <w:t>, de conformidad con el artículo </w:t>
      </w:r>
      <w:r>
        <w:rPr>
          <w:rFonts w:ascii="Palatino Linotype" w:eastAsia="Palatino Linotype" w:hAnsi="Palatino Linotype" w:cs="Palatino Linotype"/>
          <w:i/>
          <w:iCs/>
          <w:color w:val="0563C1"/>
          <w:u w:val="single"/>
        </w:rPr>
        <w:t>88 del Código Federal de Procedimientos Civiles</w:t>
      </w:r>
      <w:r>
        <w:rPr>
          <w:rFonts w:ascii="Palatino Linotype" w:eastAsia="Palatino Linotype" w:hAnsi="Palatino Linotype" w:cs="Palatino Linotype"/>
          <w:i/>
          <w:iCs/>
        </w:rPr>
        <w:t xml:space="preserve">. </w:t>
      </w:r>
      <w:r>
        <w:rPr>
          <w:rFonts w:ascii="Palatino Linotype" w:eastAsia="Palatino Linotype" w:hAnsi="Palatino Linotype" w:cs="Palatino Linotype"/>
          <w:i/>
          <w:iCs/>
          <w:color w:val="000000"/>
        </w:rPr>
        <w:t xml:space="preserve">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Pr>
          <w:rFonts w:ascii="Palatino Linotype" w:eastAsia="Palatino Linotype" w:hAnsi="Palatino Linotype" w:cs="Palatino Linotype"/>
          <w:b/>
          <w:bCs/>
          <w:i/>
          <w:iCs/>
          <w:color w:val="000000"/>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Pr>
          <w:rFonts w:ascii="Palatino Linotype" w:eastAsia="Palatino Linotype" w:hAnsi="Palatino Linotype" w:cs="Palatino Linotype"/>
          <w:i/>
          <w:iCs/>
          <w:color w:val="000000"/>
        </w:rPr>
        <w:t xml:space="preserv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w:t>
      </w:r>
      <w:r>
        <w:rPr>
          <w:rFonts w:ascii="Palatino Linotype" w:eastAsia="Palatino Linotype" w:hAnsi="Palatino Linotype" w:cs="Palatino Linotype"/>
          <w:i/>
          <w:iCs/>
          <w:color w:val="000000"/>
        </w:rPr>
        <w:lastRenderedPageBreak/>
        <w:t>en contrario que no fue creada por orden del interesado, ya que se le reputará autor y podrá perjudicarle lo que ofrezca en sus términos.”</w:t>
      </w:r>
    </w:p>
    <w:p w14:paraId="6DD101C0" w14:textId="77777777" w:rsidR="008C7BF9" w:rsidRDefault="008C7BF9">
      <w:pPr>
        <w:spacing w:line="360" w:lineRule="auto"/>
        <w:ind w:left="567" w:right="567"/>
        <w:jc w:val="both"/>
        <w:rPr>
          <w:rFonts w:ascii="Palatino Linotype" w:eastAsia="Palatino Linotype" w:hAnsi="Palatino Linotype" w:cs="Palatino Linotype"/>
          <w:i/>
          <w:iCs/>
          <w:color w:val="000000"/>
        </w:rPr>
      </w:pPr>
    </w:p>
    <w:p w14:paraId="063D21C2"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Luego entonces, es dable ordenar una nueva búsqueda exhaustiva y razonable en las áreas competentes a efecto de localizar y entregar el soporte donde conste o se adviertan los cargos que haya ocupado en el Ayuntamiento de Aculco entre el 1 de enero de 2021 y el 07 de julio de 2025, incluyendo su puesto y área de adscripción, periodo y documento de nombramiento o designación, de ser el caso en versión pública.</w:t>
      </w:r>
    </w:p>
    <w:p w14:paraId="580C9640" w14:textId="77777777" w:rsidR="00973E04" w:rsidRDefault="00973E04" w:rsidP="00973E04">
      <w:pPr>
        <w:spacing w:line="360" w:lineRule="auto"/>
        <w:jc w:val="both"/>
        <w:rPr>
          <w:rFonts w:ascii="Palatino Linotype" w:eastAsia="Palatino Linotype" w:hAnsi="Palatino Linotype" w:cs="Palatino Linotype"/>
        </w:rPr>
      </w:pPr>
    </w:p>
    <w:p w14:paraId="7244BE74"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otro lado, también se solicitó conocer si la persona de referencia se había encontrado laborando en el Sistema Municipal para el Desarrollo Integral de la Familia de Aculco, en caso de que haya desempeñado funciones en el Sistema Municipal DIF de Aculco antes de junio de 2025: copia certificada del nombramiento, inicio de responsabilidades, al respecto se emitió un pronunciamiento que contrario a lo aducido por el solicitante no se declinó incompetencia.</w:t>
      </w:r>
    </w:p>
    <w:p w14:paraId="524B6412"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314AF12A"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el contrario, el servidor público aceptó de manera expresa que la persona de referencia ocupó cargos en dicho Sistema cuando menciona que si se encontró un nombramiento otorgado a su nombre como Procurador de Protección de Niñas, Niños y Adolescentes del Sistema Municipal para el Desarrollo Integral de la Familia de Aculco, mismo que fue designado y nombrado conforme lo establecido en el artículo 94 Bis de la Ley de los Derechos de las Niñas, Niños y Adolescentes del </w:t>
      </w:r>
      <w:r>
        <w:rPr>
          <w:rFonts w:ascii="Palatino Linotype" w:eastAsia="Palatino Linotype" w:hAnsi="Palatino Linotype" w:cs="Palatino Linotype"/>
        </w:rPr>
        <w:lastRenderedPageBreak/>
        <w:t xml:space="preserve">Estado de México, no obstante no se entrega soporte documental alguno, siendo que lo solicitado versó en entregar el donde se aprobó su nombramiento, soporte documental que cuenta con el deber de documentar </w:t>
      </w:r>
      <w:r>
        <w:rPr>
          <w:rFonts w:ascii="Palatino Linotype" w:eastAsia="Palatino Linotype" w:hAnsi="Palatino Linotype" w:cs="Palatino Linotype"/>
          <w:color w:val="000000"/>
        </w:rPr>
        <w:t>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23129DF1" w14:textId="77777777" w:rsidR="008C7BF9" w:rsidRDefault="008C7BF9">
      <w:pPr>
        <w:spacing w:line="360" w:lineRule="auto"/>
        <w:ind w:right="49"/>
        <w:jc w:val="both"/>
        <w:rPr>
          <w:rFonts w:ascii="Palatino Linotype" w:eastAsia="Palatino Linotype" w:hAnsi="Palatino Linotype" w:cs="Palatino Linotype"/>
          <w:color w:val="000000"/>
        </w:rPr>
      </w:pPr>
    </w:p>
    <w:p w14:paraId="1C41FD8C"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debemos tomar en cuenta los artículos 4 y 12, de la Ley de Transparencia y </w:t>
      </w:r>
      <w:r>
        <w:rPr>
          <w:rFonts w:ascii="Palatino Linotype" w:eastAsia="Palatino Linotype" w:hAnsi="Palatino Linotype" w:cs="Palatino Linotype"/>
        </w:rPr>
        <w:t>Acceso</w:t>
      </w:r>
      <w:r>
        <w:rPr>
          <w:rFonts w:ascii="Palatino Linotype" w:eastAsia="Palatino Linotype" w:hAnsi="Palatino Linotype" w:cs="Palatino Linotype"/>
          <w:color w:val="000000"/>
        </w:rPr>
        <w:t xml:space="preserve"> a la Información Pública del Estado de México y Municipios, los cuales establecen lo siguiente:</w:t>
      </w:r>
    </w:p>
    <w:p w14:paraId="2AA892EA" w14:textId="77777777" w:rsidR="008C7BF9" w:rsidRDefault="00E07E6A">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4.</w:t>
      </w:r>
      <w:r>
        <w:rPr>
          <w:rFonts w:ascii="Palatino Linotype" w:eastAsia="Palatino Linotype" w:hAnsi="Palatino Linotype" w:cs="Palatino Linotype"/>
          <w:i/>
          <w:iCs/>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018F78C" w14:textId="77777777" w:rsidR="008C7BF9" w:rsidRDefault="008C7BF9">
      <w:pPr>
        <w:spacing w:line="360" w:lineRule="auto"/>
        <w:ind w:left="426" w:right="426"/>
        <w:jc w:val="both"/>
        <w:rPr>
          <w:rFonts w:ascii="Palatino Linotype" w:eastAsia="Palatino Linotype" w:hAnsi="Palatino Linotype" w:cs="Palatino Linotype"/>
          <w:i/>
          <w:iCs/>
          <w:color w:val="000000"/>
        </w:rPr>
      </w:pPr>
    </w:p>
    <w:p w14:paraId="78DD75D8" w14:textId="77777777" w:rsidR="008C7BF9" w:rsidRDefault="00E07E6A">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Pr>
          <w:rFonts w:ascii="Palatino Linotype" w:eastAsia="Palatino Linotype" w:hAnsi="Palatino Linotype" w:cs="Palatino Linotype"/>
          <w:i/>
          <w:iCs/>
          <w:color w:val="000000"/>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2FEE451" w14:textId="77777777" w:rsidR="008C7BF9" w:rsidRDefault="008C7BF9">
      <w:pPr>
        <w:spacing w:line="360" w:lineRule="auto"/>
        <w:ind w:left="426" w:right="426"/>
        <w:jc w:val="both"/>
        <w:rPr>
          <w:rFonts w:ascii="Palatino Linotype" w:eastAsia="Palatino Linotype" w:hAnsi="Palatino Linotype" w:cs="Palatino Linotype"/>
          <w:i/>
          <w:iCs/>
          <w:color w:val="000000"/>
        </w:rPr>
      </w:pPr>
    </w:p>
    <w:p w14:paraId="6789D336" w14:textId="77777777" w:rsidR="008C7BF9" w:rsidRDefault="00E07E6A">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14:paraId="2D78AC04" w14:textId="77777777" w:rsidR="008C7BF9" w:rsidRDefault="008C7BF9">
      <w:pPr>
        <w:spacing w:line="360" w:lineRule="auto"/>
        <w:ind w:left="426" w:right="426"/>
        <w:jc w:val="both"/>
        <w:rPr>
          <w:rFonts w:ascii="Palatino Linotype" w:eastAsia="Palatino Linotype" w:hAnsi="Palatino Linotype" w:cs="Palatino Linotype"/>
          <w:i/>
          <w:iCs/>
          <w:color w:val="000000"/>
        </w:rPr>
      </w:pPr>
    </w:p>
    <w:p w14:paraId="096BD06D" w14:textId="77777777" w:rsidR="008C7BF9" w:rsidRDefault="00E07E6A">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12.</w:t>
      </w:r>
      <w:r>
        <w:rPr>
          <w:rFonts w:ascii="Palatino Linotype" w:eastAsia="Palatino Linotype" w:hAnsi="Palatino Linotype" w:cs="Palatino Linotype"/>
          <w:i/>
          <w:iCs/>
          <w:color w:val="000000"/>
        </w:rPr>
        <w:t xml:space="preserve"> Quienes generen, recopilen, administren, manejen, procesen, archiven o conserven información pública serán responsables de la misma en los términos de las disposiciones jurídicas aplicables. </w:t>
      </w:r>
    </w:p>
    <w:p w14:paraId="08279734" w14:textId="77777777" w:rsidR="008C7BF9" w:rsidRDefault="008C7BF9">
      <w:pPr>
        <w:spacing w:line="360" w:lineRule="auto"/>
        <w:ind w:left="426" w:right="426"/>
        <w:jc w:val="both"/>
        <w:rPr>
          <w:rFonts w:ascii="Palatino Linotype" w:eastAsia="Palatino Linotype" w:hAnsi="Palatino Linotype" w:cs="Palatino Linotype"/>
          <w:i/>
          <w:iCs/>
          <w:color w:val="000000"/>
        </w:rPr>
      </w:pPr>
    </w:p>
    <w:p w14:paraId="71E062CE" w14:textId="77777777" w:rsidR="008C7BF9" w:rsidRDefault="00E07E6A">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83B6C86" w14:textId="77777777" w:rsidR="008C7BF9" w:rsidRDefault="008C7BF9">
      <w:pPr>
        <w:spacing w:line="360" w:lineRule="auto"/>
        <w:ind w:right="49"/>
        <w:jc w:val="both"/>
        <w:rPr>
          <w:rFonts w:ascii="Palatino Linotype" w:eastAsia="Palatino Linotype" w:hAnsi="Palatino Linotype" w:cs="Palatino Linotype"/>
          <w:color w:val="000000"/>
        </w:rPr>
      </w:pPr>
    </w:p>
    <w:p w14:paraId="2ABF3BE7"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w:t>
      </w:r>
      <w:r>
        <w:rPr>
          <w:rFonts w:ascii="Palatino Linotype" w:eastAsia="Palatino Linotype" w:hAnsi="Palatino Linotype" w:cs="Palatino Linotype"/>
          <w:color w:val="000000"/>
        </w:rPr>
        <w:lastRenderedPageBreak/>
        <w:t>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569E3FD" w14:textId="77777777" w:rsidR="008C7BF9" w:rsidRDefault="008C7BF9">
      <w:pPr>
        <w:spacing w:line="360" w:lineRule="auto"/>
        <w:ind w:right="49"/>
        <w:jc w:val="both"/>
        <w:rPr>
          <w:rFonts w:ascii="Palatino Linotype" w:eastAsia="Palatino Linotype" w:hAnsi="Palatino Linotype" w:cs="Palatino Linotype"/>
          <w:color w:val="000000"/>
        </w:rPr>
      </w:pPr>
    </w:p>
    <w:p w14:paraId="4A5C16EF"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9E8A73D" w14:textId="77777777" w:rsidR="008C7BF9" w:rsidRDefault="00E07E6A">
      <w:pPr>
        <w:pBdr>
          <w:top w:val="nil"/>
          <w:left w:val="nil"/>
          <w:bottom w:val="nil"/>
          <w:right w:val="nil"/>
          <w:between w:val="nil"/>
        </w:pBdr>
        <w:spacing w:line="360" w:lineRule="auto"/>
        <w:ind w:left="567"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ACCESO A LA INFORMACIÓN. IMPLICACIÓN DEL PRINCIPIO DE MÁXIMA PUBLICIDAD EN EL DERECHO FUNDAMENTAL RELATIVO.</w:t>
      </w:r>
      <w:r>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w:t>
      </w:r>
      <w:r>
        <w:rPr>
          <w:rFonts w:ascii="Palatino Linotype" w:eastAsia="Palatino Linotype" w:hAnsi="Palatino Linotype" w:cs="Palatino Linotype"/>
          <w:i/>
          <w:iCs/>
          <w:color w:val="000000"/>
        </w:rPr>
        <w:lastRenderedPageBreak/>
        <w:t xml:space="preserve">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D64B5E2" w14:textId="77777777" w:rsidR="008C7BF9" w:rsidRDefault="008C7BF9">
      <w:pPr>
        <w:pBdr>
          <w:top w:val="nil"/>
          <w:left w:val="nil"/>
          <w:bottom w:val="nil"/>
          <w:right w:val="nil"/>
          <w:between w:val="nil"/>
        </w:pBdr>
        <w:spacing w:line="360" w:lineRule="auto"/>
        <w:ind w:left="567" w:right="426"/>
        <w:jc w:val="both"/>
        <w:rPr>
          <w:rFonts w:ascii="Palatino Linotype" w:eastAsia="Palatino Linotype" w:hAnsi="Palatino Linotype" w:cs="Palatino Linotype"/>
          <w:i/>
          <w:iCs/>
          <w:color w:val="000000"/>
        </w:rPr>
      </w:pPr>
    </w:p>
    <w:p w14:paraId="1BA2A06E"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48F16338" w14:textId="77777777" w:rsidR="008C7BF9" w:rsidRDefault="008C7BF9">
      <w:pPr>
        <w:spacing w:line="360" w:lineRule="auto"/>
        <w:ind w:right="49"/>
        <w:jc w:val="both"/>
        <w:rPr>
          <w:rFonts w:ascii="Palatino Linotype" w:eastAsia="Palatino Linotype" w:hAnsi="Palatino Linotype" w:cs="Palatino Linotype"/>
          <w:color w:val="000000"/>
        </w:rPr>
      </w:pPr>
    </w:p>
    <w:p w14:paraId="6F782B37"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14:paraId="701ECEF2"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6o.</w:t>
      </w:r>
      <w:r>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Pr>
          <w:rFonts w:ascii="Palatino Linotype" w:eastAsia="Palatino Linotype" w:hAnsi="Palatino Linotype" w:cs="Palatino Linotype"/>
          <w:i/>
          <w:iCs/>
          <w:color w:val="000000"/>
        </w:rPr>
        <w:lastRenderedPageBreak/>
        <w:t xml:space="preserve">de réplica será ejercido en los términos dispuestos por la ley. El derecho a la información será garantizado por el Estado. </w:t>
      </w:r>
    </w:p>
    <w:p w14:paraId="68F5FE64"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402D327F"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 persona tiene derecho al libre acceso a información plural y oportuna, así como a buscar, recibir y difundir información e ideas de toda índole por cualquier medio de expresión.</w:t>
      </w:r>
    </w:p>
    <w:p w14:paraId="20F708C2"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4017AD0E"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Para efectos de lo dispuesto en el presente artículo se observará lo siguiente:</w:t>
      </w:r>
    </w:p>
    <w:p w14:paraId="6756BCDD"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05984EC5" w14:textId="77777777" w:rsidR="008C7BF9" w:rsidRDefault="00E07E6A">
      <w:pPr>
        <w:numPr>
          <w:ilvl w:val="4"/>
          <w:numId w:val="2"/>
        </w:numPr>
        <w:pBdr>
          <w:top w:val="nil"/>
          <w:left w:val="nil"/>
          <w:bottom w:val="nil"/>
          <w:right w:val="nil"/>
          <w:between w:val="nil"/>
        </w:pBdr>
        <w:spacing w:line="360" w:lineRule="auto"/>
        <w:ind w:left="567" w:right="284"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Para el ejercicio del derecho de acceso a la información, la Federación, los Estados y el Distrito Federal, en el ámbito de sus respectivas competencias, se regirán por los siguientes principios y bases:</w:t>
      </w:r>
    </w:p>
    <w:p w14:paraId="3F127EEF"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439C6679"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Pr>
          <w:rFonts w:ascii="Palatino Linotype" w:eastAsia="Palatino Linotype" w:hAnsi="Palatino Linotype" w:cs="Palatino Linotype"/>
          <w:i/>
          <w:iCs/>
          <w:color w:val="000000"/>
        </w:rPr>
        <w:lastRenderedPageBreak/>
        <w:t>supuestos específicos bajo los cuales procederá la declaración de inexistencia de la información.</w:t>
      </w:r>
    </w:p>
    <w:p w14:paraId="62140D04"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36444339"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información que se refiere a la vida privada y los datos personales será protegida en los términos y con las excepciones que fijen las leyes.</w:t>
      </w:r>
    </w:p>
    <w:p w14:paraId="73D3A357"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 persona, sin necesidad de acreditar interés alguno o justificar su utilización, tendrá acceso gratuito a la información pública, a sus datos personales o a la rectificación de éstos.</w:t>
      </w:r>
    </w:p>
    <w:p w14:paraId="192E454E"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1F258F30"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 establecerán mecanismos de acceso a la información y procedimientos de revisión expeditos que se sustanciarán ante los organismos autónomos especializados e imparciales que establece esta Constitución.</w:t>
      </w:r>
    </w:p>
    <w:p w14:paraId="7EF2F3B5"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497C6DB3"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5894B1D"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3F135E45"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Las leyes determinarán la manera en que los sujetos obligados deberán hacer pública la información relativa a los recursos públicos que entreguen a personas físicas o morales.</w:t>
      </w:r>
    </w:p>
    <w:p w14:paraId="65144286" w14:textId="77777777" w:rsidR="008C7BF9" w:rsidRDefault="008C7BF9">
      <w:pPr>
        <w:spacing w:line="360" w:lineRule="auto"/>
        <w:ind w:left="567" w:right="284"/>
        <w:jc w:val="both"/>
        <w:rPr>
          <w:rFonts w:ascii="Palatino Linotype" w:eastAsia="Palatino Linotype" w:hAnsi="Palatino Linotype" w:cs="Palatino Linotype"/>
          <w:i/>
          <w:iCs/>
          <w:color w:val="000000"/>
        </w:rPr>
      </w:pPr>
    </w:p>
    <w:p w14:paraId="5548F721"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La inobservancia a las disposiciones en materia de acceso a la información pública será sancionada en los términos que dispongan las leyes.</w:t>
      </w:r>
    </w:p>
    <w:p w14:paraId="6B3D8EC4"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39AF6FB"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5B01C5BC" w14:textId="77777777" w:rsidR="008C7BF9" w:rsidRDefault="00E07E6A">
      <w:pPr>
        <w:pBdr>
          <w:top w:val="nil"/>
          <w:left w:val="nil"/>
          <w:bottom w:val="nil"/>
          <w:right w:val="nil"/>
          <w:between w:val="nil"/>
        </w:pBdr>
        <w:spacing w:line="360" w:lineRule="auto"/>
        <w:ind w:left="567" w:right="28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ley establecerá aquella información que se considere reservada o confidencial.”</w:t>
      </w:r>
    </w:p>
    <w:p w14:paraId="6E0BB33B" w14:textId="77777777" w:rsidR="008C7BF9" w:rsidRDefault="008C7BF9">
      <w:pPr>
        <w:spacing w:line="360" w:lineRule="auto"/>
        <w:ind w:right="49"/>
        <w:jc w:val="both"/>
        <w:rPr>
          <w:rFonts w:ascii="Palatino Linotype" w:eastAsia="Palatino Linotype" w:hAnsi="Palatino Linotype" w:cs="Palatino Linotype"/>
          <w:color w:val="000000"/>
        </w:rPr>
      </w:pPr>
    </w:p>
    <w:p w14:paraId="51E7DAE4"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46C52B6E" w14:textId="77777777" w:rsidR="008C7BF9" w:rsidRDefault="00E07E6A">
      <w:pPr>
        <w:pBdr>
          <w:top w:val="nil"/>
          <w:left w:val="nil"/>
          <w:bottom w:val="nil"/>
          <w:right w:val="nil"/>
          <w:between w:val="nil"/>
        </w:pBdr>
        <w:spacing w:line="360" w:lineRule="auto"/>
        <w:ind w:left="567" w:right="4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“Artículo 5. … </w:t>
      </w:r>
    </w:p>
    <w:p w14:paraId="151FE332" w14:textId="77777777" w:rsidR="008C7BF9" w:rsidRDefault="00E07E6A">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El derecho a la información será garantizado por el Estado</w:t>
      </w:r>
      <w:r>
        <w:rPr>
          <w:rFonts w:ascii="Palatino Linotype" w:eastAsia="Palatino Linotype" w:hAnsi="Palatino Linotype" w:cs="Palatino Linotype"/>
          <w:i/>
          <w:iCs/>
          <w:color w:val="000000"/>
        </w:rPr>
        <w:t xml:space="preserve">. La ley establecerá las previsiones que permitan asegurar la protección, el respeto y la difusión de este derecho. </w:t>
      </w:r>
    </w:p>
    <w:p w14:paraId="035BAC8A" w14:textId="77777777" w:rsidR="008C7BF9" w:rsidRDefault="00E07E6A">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EF6E686" w14:textId="77777777" w:rsidR="008C7BF9" w:rsidRDefault="008C7BF9">
      <w:pPr>
        <w:spacing w:line="360" w:lineRule="auto"/>
        <w:ind w:left="567" w:right="49"/>
        <w:jc w:val="both"/>
        <w:rPr>
          <w:rFonts w:ascii="Palatino Linotype" w:eastAsia="Palatino Linotype" w:hAnsi="Palatino Linotype" w:cs="Palatino Linotype"/>
          <w:i/>
          <w:iCs/>
          <w:color w:val="000000"/>
        </w:rPr>
      </w:pPr>
    </w:p>
    <w:p w14:paraId="10F68BF5" w14:textId="77777777" w:rsidR="008C7BF9" w:rsidRDefault="00E07E6A">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Este derecho se regirá por los principios y bases siguientes:</w:t>
      </w:r>
    </w:p>
    <w:p w14:paraId="5D63F16C" w14:textId="77777777" w:rsidR="008C7BF9" w:rsidRDefault="008C7BF9">
      <w:pPr>
        <w:spacing w:line="360" w:lineRule="auto"/>
        <w:ind w:left="567" w:right="49"/>
        <w:jc w:val="both"/>
        <w:rPr>
          <w:rFonts w:ascii="Palatino Linotype" w:eastAsia="Palatino Linotype" w:hAnsi="Palatino Linotype" w:cs="Palatino Linotype"/>
          <w:i/>
          <w:iCs/>
          <w:color w:val="000000"/>
        </w:rPr>
      </w:pPr>
    </w:p>
    <w:p w14:paraId="5E3197A5"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Toda la información en posesión de cualquier autoridad</w:t>
      </w:r>
      <w:r>
        <w:rPr>
          <w:rFonts w:ascii="Palatino Linotype" w:eastAsia="Palatino Linotype" w:hAnsi="Palatino Linotype" w:cs="Palatino Linotype"/>
          <w:i/>
          <w:iCs/>
          <w:color w:val="000000"/>
        </w:rPr>
        <w:t xml:space="preserve">, entidad, órgano y organismos de los Poderes Ejecutivo, Legislativo y Judicial, órganos autónomos, partidos políticos, fideicomisos y fondos públicos estatales y municipales, </w:t>
      </w:r>
      <w:r>
        <w:rPr>
          <w:rFonts w:ascii="Palatino Linotype" w:eastAsia="Palatino Linotype" w:hAnsi="Palatino Linotype" w:cs="Palatino Linotype"/>
          <w:b/>
          <w:bCs/>
          <w:i/>
          <w:iCs/>
          <w:color w:val="000000"/>
        </w:rPr>
        <w:t>así como del gobierno y de la administración pública municipal y sus organismos descentralizados</w:t>
      </w:r>
      <w:r>
        <w:rPr>
          <w:rFonts w:ascii="Palatino Linotype" w:eastAsia="Palatino Linotype" w:hAnsi="Palatino Linotype" w:cs="Palatino Linotype"/>
          <w:i/>
          <w:iCs/>
          <w:color w:val="000000"/>
        </w:rPr>
        <w:t xml:space="preserve">,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color w:val="000000"/>
        </w:rPr>
        <w:t>es pública</w:t>
      </w:r>
      <w:r>
        <w:rPr>
          <w:rFonts w:ascii="Palatino Linotype" w:eastAsia="Palatino Linotype" w:hAnsi="Palatino Linotype" w:cs="Palatino Linotype"/>
          <w:i/>
          <w:iCs/>
          <w:color w:val="000000"/>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F9385DC"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información referente a la intimidad de la vida privada y la imagen de las personas será protegida a través de un marco jurídico rígido de tratamiento y manejo de datos personales, con las excepciones que establezca la ley reglamentaria.</w:t>
      </w:r>
    </w:p>
    <w:p w14:paraId="4983187F"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 persona, sin necesidad de acreditar interés alguno o justificar su utilización, tendrá acceso gratuito a la información pública, a sus datos personales o a la rectificación de éstos.</w:t>
      </w:r>
    </w:p>
    <w:p w14:paraId="454F963B"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 establecerán mecanismos de acceso a la información y procedimientos de revisión expeditos que se sustanciarán ante el organismo autónomo especializado e imparcial que establece esta Constitución.</w:t>
      </w:r>
    </w:p>
    <w:p w14:paraId="194323F6"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C755A1"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Los sujetos obligados deberán preservar sus documentos en archivos administrativos actualizados y publicarán, a través de los medios electrónicos disponibles, la información completa y actualizada sobre el ejercicio de los recursos públicos</w:t>
      </w:r>
      <w:r>
        <w:rPr>
          <w:rFonts w:ascii="Palatino Linotype" w:eastAsia="Palatino Linotype" w:hAnsi="Palatino Linotype" w:cs="Palatino Linotype"/>
          <w:i/>
          <w:iCs/>
          <w:color w:val="000000"/>
        </w:rPr>
        <w:t xml:space="preserve"> y los indicadores que permitan rendir cuenta del cumplimiento de sus objetivos y los resultados obtenidos.</w:t>
      </w:r>
    </w:p>
    <w:p w14:paraId="5D2CE358" w14:textId="77777777" w:rsidR="008C7BF9" w:rsidRDefault="00E07E6A">
      <w:pPr>
        <w:numPr>
          <w:ilvl w:val="3"/>
          <w:numId w:val="2"/>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ley reglamentaria, determinará la manera en que los sujetos obligados deberán hacer pública la información relativa a los recursos públicos que entreguen a personas físicas o jurídicas colectivas.”</w:t>
      </w:r>
    </w:p>
    <w:p w14:paraId="1E1A895A" w14:textId="77777777" w:rsidR="008C7BF9" w:rsidRDefault="008C7BF9">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p>
    <w:p w14:paraId="7B140820"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14:paraId="4A88A9F0" w14:textId="77777777" w:rsidR="008C7BF9" w:rsidRDefault="00E07E6A">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23.</w:t>
      </w:r>
      <w:r>
        <w:rPr>
          <w:rFonts w:ascii="Palatino Linotype" w:eastAsia="Palatino Linotype" w:hAnsi="Palatino Linotype" w:cs="Palatino Linotype"/>
          <w:i/>
          <w:iCs/>
          <w:color w:val="000000"/>
        </w:rPr>
        <w:t xml:space="preserve"> Son sujetos obligados a transparentar y permitir el acceso a su información y proteger los datos personales que obren en su poder:</w:t>
      </w:r>
    </w:p>
    <w:p w14:paraId="77EC2ED5" w14:textId="77777777" w:rsidR="008C7BF9" w:rsidRDefault="00E07E6A">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3ACD88A1" w14:textId="77777777" w:rsidR="008C7BF9" w:rsidRDefault="00E07E6A">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I. El Poder Ejecutivo del Estado de México, las dependencias, organismos auxiliares, órganos, entidades, fideicomisos y fondos públicos, así como la Fiscalía General de Justicia del Estado de México; </w:t>
      </w:r>
    </w:p>
    <w:p w14:paraId="79FF6E03" w14:textId="77777777" w:rsidR="008C7BF9" w:rsidRDefault="00E07E6A">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572C6E03" w14:textId="77777777" w:rsidR="008C7BF9" w:rsidRDefault="00E07E6A">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E854BEB" w14:textId="77777777" w:rsidR="008C7BF9" w:rsidRDefault="008C7BF9">
      <w:pPr>
        <w:spacing w:line="360" w:lineRule="auto"/>
        <w:ind w:left="567" w:right="567"/>
        <w:jc w:val="both"/>
        <w:rPr>
          <w:rFonts w:ascii="Palatino Linotype" w:eastAsia="Palatino Linotype" w:hAnsi="Palatino Linotype" w:cs="Palatino Linotype"/>
          <w:i/>
          <w:iCs/>
          <w:color w:val="000000"/>
        </w:rPr>
      </w:pPr>
    </w:p>
    <w:p w14:paraId="3ABE669D" w14:textId="77777777" w:rsidR="008C7BF9" w:rsidRDefault="00E07E6A">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servidores públicos deberán transparentar sus acciones así como garantizar y respetar el derecho de acceso a la información pública.”</w:t>
      </w:r>
    </w:p>
    <w:p w14:paraId="75ED05B7" w14:textId="77777777" w:rsidR="00973E04" w:rsidRDefault="00973E0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14:paraId="3573729F"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9011295" w14:textId="77777777" w:rsidR="008C7BF9" w:rsidRDefault="008C7BF9">
      <w:pPr>
        <w:spacing w:line="360" w:lineRule="auto"/>
        <w:jc w:val="both"/>
        <w:rPr>
          <w:rFonts w:ascii="Palatino Linotype" w:eastAsia="Palatino Linotype" w:hAnsi="Palatino Linotype" w:cs="Palatino Linotype"/>
          <w:color w:val="000000"/>
        </w:rPr>
      </w:pPr>
    </w:p>
    <w:p w14:paraId="2932A949"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de referir que, el </w:t>
      </w:r>
      <w:r>
        <w:rPr>
          <w:rFonts w:ascii="Palatino Linotype" w:eastAsia="Palatino Linotype" w:hAnsi="Palatino Linotype" w:cs="Palatino Linotype"/>
          <w:b/>
          <w:bCs/>
          <w:color w:val="000000"/>
        </w:rPr>
        <w:t>Ayuntamiento de Aculco</w:t>
      </w:r>
      <w:r>
        <w:rPr>
          <w:rFonts w:ascii="Palatino Linotype" w:eastAsia="Palatino Linotype" w:hAnsi="Palatino Linotype" w:cs="Palatino Linotype"/>
          <w:color w:val="000000"/>
        </w:rPr>
        <w:t>, al ser un Sujeto Obligado comprendido por la Legislación Local en materia de Transparencia, se encuentra obligado a hacer pública toda aquella información que genere, administre o posea.</w:t>
      </w:r>
    </w:p>
    <w:p w14:paraId="1795101E"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4C980406"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el documento del nombramiento si bien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ya asumió de manera expresa que localizó un nombramiento, no sobra decir (para el resto de cargos que se localice) que la relación laboral no necesariamente se formaliza por medio de un nombramiento, para ello resulta necesario traer a colación lo que establece la Ley de Trabajo de los Servidores Públicos, la cual en su cuerpo normativo precisa que: </w:t>
      </w:r>
    </w:p>
    <w:p w14:paraId="7EDF2BB3" w14:textId="77777777" w:rsidR="008C7BF9" w:rsidRDefault="008C7BF9">
      <w:pPr>
        <w:spacing w:line="360" w:lineRule="auto"/>
        <w:jc w:val="both"/>
        <w:rPr>
          <w:rFonts w:ascii="Palatino Linotype" w:eastAsia="Palatino Linotype" w:hAnsi="Palatino Linotype" w:cs="Palatino Linotype"/>
          <w:color w:val="000000"/>
        </w:rPr>
      </w:pPr>
    </w:p>
    <w:p w14:paraId="529C63D8" w14:textId="77777777" w:rsidR="008C7BF9" w:rsidRDefault="00E07E6A">
      <w:pPr>
        <w:spacing w:line="276" w:lineRule="auto"/>
        <w:ind w:lef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Para efectos de esta ley se entiende</w:t>
      </w:r>
    </w:p>
    <w:p w14:paraId="54AF2C03" w14:textId="77777777" w:rsidR="008C7BF9" w:rsidRDefault="00E07E6A">
      <w:pPr>
        <w:spacing w:line="276" w:lineRule="auto"/>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sz w:val="22"/>
          <w:szCs w:val="22"/>
        </w:rPr>
        <w:t>…</w:t>
      </w:r>
    </w:p>
    <w:p w14:paraId="5F38410F" w14:textId="77777777" w:rsidR="008C7BF9" w:rsidRDefault="00E07E6A">
      <w:pPr>
        <w:spacing w:line="276" w:lineRule="auto"/>
        <w:ind w:lef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 Servidor Público: A toda persona física que preste a una institución pública un trabajo personal subordinado de carácter material o intelectual, o de ambos géneros, mediante el pago de un sueldo.</w:t>
      </w:r>
    </w:p>
    <w:p w14:paraId="0C24D1B7" w14:textId="77777777" w:rsidR="008C7BF9" w:rsidRDefault="00E07E6A">
      <w:pPr>
        <w:spacing w:line="276" w:lineRule="auto"/>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sz w:val="22"/>
          <w:szCs w:val="22"/>
        </w:rPr>
        <w:t>…</w:t>
      </w:r>
    </w:p>
    <w:p w14:paraId="7B8E1738" w14:textId="77777777" w:rsidR="008C7BF9" w:rsidRDefault="008C7BF9">
      <w:pPr>
        <w:spacing w:line="276" w:lineRule="auto"/>
        <w:ind w:left="567"/>
        <w:jc w:val="both"/>
        <w:rPr>
          <w:rFonts w:ascii="Palatino Linotype" w:eastAsia="Palatino Linotype" w:hAnsi="Palatino Linotype" w:cs="Palatino Linotype"/>
          <w:i/>
          <w:iCs/>
          <w:color w:val="000000"/>
          <w:sz w:val="22"/>
          <w:szCs w:val="22"/>
        </w:rPr>
      </w:pPr>
    </w:p>
    <w:p w14:paraId="151DB2F6" w14:textId="77777777" w:rsidR="008C7BF9" w:rsidRDefault="00E07E6A">
      <w:pPr>
        <w:spacing w:line="276" w:lineRule="auto"/>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14:paraId="2F674556" w14:textId="77777777" w:rsidR="008C7BF9" w:rsidRDefault="008C7BF9">
      <w:pPr>
        <w:spacing w:line="360" w:lineRule="auto"/>
        <w:jc w:val="both"/>
        <w:rPr>
          <w:rFonts w:ascii="Palatino Linotype" w:eastAsia="Palatino Linotype" w:hAnsi="Palatino Linotype" w:cs="Palatino Linotype"/>
          <w:color w:val="000000"/>
        </w:rPr>
      </w:pPr>
    </w:p>
    <w:p w14:paraId="27DBB009"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49.-</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Los nombramientos, contratos o formato único de Movimientos de Personal de los servidores públicos</w:t>
      </w:r>
      <w:r>
        <w:rPr>
          <w:rFonts w:ascii="Palatino Linotype" w:eastAsia="Palatino Linotype" w:hAnsi="Palatino Linotype" w:cs="Palatino Linotype"/>
          <w:i/>
          <w:iCs/>
          <w:sz w:val="22"/>
          <w:szCs w:val="22"/>
        </w:rPr>
        <w:t xml:space="preserve"> deberán contener:</w:t>
      </w:r>
    </w:p>
    <w:p w14:paraId="31FD2129"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Nombre completo del servidor público;</w:t>
      </w:r>
    </w:p>
    <w:p w14:paraId="56EDFE35"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Cargo para el que es designado, fecha de inicio de sus servicios y lugar de adscripción; </w:t>
      </w:r>
    </w:p>
    <w:p w14:paraId="033E08B4"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Carácter del nombramiento, ya sea de servidores públicos generales o de confianza, así como la temporalidad del mismo; </w:t>
      </w:r>
    </w:p>
    <w:p w14:paraId="7DE0A5DF"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IV. Remuneración correspondiente al puesto; </w:t>
      </w:r>
    </w:p>
    <w:p w14:paraId="2E485CF8"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 Jornadade trabajo; </w:t>
      </w:r>
    </w:p>
    <w:p w14:paraId="2923515D"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 Derogada; </w:t>
      </w:r>
    </w:p>
    <w:p w14:paraId="4AF52A43" w14:textId="77777777" w:rsidR="008C7BF9" w:rsidRDefault="00E07E6A">
      <w:pPr>
        <w:pBdr>
          <w:top w:val="nil"/>
          <w:left w:val="nil"/>
          <w:bottom w:val="nil"/>
          <w:right w:val="nil"/>
          <w:between w:val="nil"/>
        </w:pBdr>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sz w:val="22"/>
          <w:szCs w:val="22"/>
        </w:rPr>
        <w:lastRenderedPageBreak/>
        <w:t>VII. Firma del servidor público autorizado para emitir el nombramiento, contrato o formato único de Movimientos de Personal, así como el fundamento legal de esa atribución.</w:t>
      </w:r>
    </w:p>
    <w:p w14:paraId="3A631F23" w14:textId="77777777" w:rsidR="008C7BF9" w:rsidRDefault="008C7BF9">
      <w:pPr>
        <w:spacing w:line="360" w:lineRule="auto"/>
        <w:jc w:val="both"/>
        <w:rPr>
          <w:rFonts w:ascii="Palatino Linotype" w:eastAsia="Palatino Linotype" w:hAnsi="Palatino Linotype" w:cs="Palatino Linotype"/>
        </w:rPr>
      </w:pPr>
    </w:p>
    <w:p w14:paraId="07AE508B" w14:textId="77777777" w:rsidR="008C7BF9" w:rsidRDefault="00E07E6A">
      <w:pPr>
        <w:numPr>
          <w:ilvl w:val="0"/>
          <w:numId w:val="4"/>
        </w:numPr>
        <w:spacing w:line="360" w:lineRule="auto"/>
        <w:ind w:left="0" w:firstLine="0"/>
        <w:jc w:val="both"/>
        <w:rPr>
          <w:rFonts w:ascii="Palatino Linotype" w:eastAsia="Palatino Linotype" w:hAnsi="Palatino Linotype" w:cs="Palatino Linotype"/>
          <w:b/>
          <w:bCs/>
          <w:u w:val="single"/>
        </w:rPr>
      </w:pPr>
      <w:r>
        <w:rPr>
          <w:rFonts w:ascii="Palatino Linotype" w:eastAsia="Palatino Linotype" w:hAnsi="Palatino Linotype" w:cs="Palatino Linotype"/>
        </w:rPr>
        <w:t xml:space="preserve">Luego entonces de conformidad con la Ley de Trabajo de los Servidores Públicos del Estado de México y Municipios, </w:t>
      </w:r>
      <w:r>
        <w:rPr>
          <w:rFonts w:ascii="Palatino Linotype" w:eastAsia="Palatino Linotype" w:hAnsi="Palatino Linotype" w:cs="Palatino Linotype"/>
          <w:b/>
          <w:bCs/>
        </w:rPr>
        <w:t xml:space="preserve">la relación de trabajo puede ser establecida por </w:t>
      </w:r>
      <w:r>
        <w:rPr>
          <w:rFonts w:ascii="Palatino Linotype" w:eastAsia="Palatino Linotype" w:hAnsi="Palatino Linotype" w:cs="Palatino Linotype"/>
          <w:b/>
          <w:bCs/>
          <w:u w:val="single"/>
        </w:rPr>
        <w:t xml:space="preserve">nombramiento, formato único de movimiento de personal, contrato o por cualquier otro que tenga como consecuencia la prestación personal subordinada del servicio y percepción de un sueldo. </w:t>
      </w:r>
    </w:p>
    <w:p w14:paraId="45549B45" w14:textId="77777777" w:rsidR="008C7BF9" w:rsidRDefault="008C7BF9">
      <w:pPr>
        <w:spacing w:line="360" w:lineRule="auto"/>
        <w:ind w:right="49"/>
        <w:jc w:val="both"/>
        <w:rPr>
          <w:rFonts w:ascii="Palatino Linotype" w:eastAsia="Palatino Linotype" w:hAnsi="Palatino Linotype" w:cs="Palatino Linotype"/>
          <w:b/>
          <w:bCs/>
          <w:u w:val="single"/>
        </w:rPr>
      </w:pPr>
    </w:p>
    <w:p w14:paraId="59D57770"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tal forma que, en el presente asunto, se colige que </w:t>
      </w:r>
      <w:r>
        <w:rPr>
          <w:rFonts w:ascii="Palatino Linotype" w:eastAsia="Palatino Linotype" w:hAnsi="Palatino Linotype" w:cs="Palatino Linotype"/>
          <w:b/>
          <w:bCs/>
          <w:u w:val="single"/>
        </w:rPr>
        <w:t xml:space="preserve">la pretensión de la parte Recurrente era obtener el documento que diera cuenta de la relación de trabajo entre el servidor público y el Sujeto Obligado. </w:t>
      </w:r>
    </w:p>
    <w:p w14:paraId="6D53E791" w14:textId="77777777" w:rsidR="008C7BF9" w:rsidRDefault="008C7BF9">
      <w:pPr>
        <w:spacing w:line="360" w:lineRule="auto"/>
        <w:ind w:right="49"/>
        <w:jc w:val="both"/>
        <w:rPr>
          <w:rFonts w:ascii="Palatino Linotype" w:eastAsia="Palatino Linotype" w:hAnsi="Palatino Linotype" w:cs="Palatino Linotype"/>
        </w:rPr>
      </w:pPr>
    </w:p>
    <w:p w14:paraId="46E78463"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del </w:t>
      </w:r>
      <w:r>
        <w:rPr>
          <w:rFonts w:ascii="Palatino Linotype" w:eastAsia="Palatino Linotype" w:hAnsi="Palatino Linotype" w:cs="Palatino Linotype"/>
          <w:b/>
          <w:bCs/>
          <w:color w:val="000000"/>
        </w:rPr>
        <w:t>nombramiento, formato único de movimiento de personal o contrato, naturalmente obra e</w:t>
      </w:r>
      <w:r>
        <w:rPr>
          <w:rFonts w:ascii="Palatino Linotype" w:eastAsia="Palatino Linotype" w:hAnsi="Palatino Linotype" w:cs="Palatino Linotype"/>
          <w:b/>
          <w:bCs/>
          <w:color w:val="000000"/>
          <w:u w:val="single"/>
        </w:rPr>
        <w:t>l cargo y el inicio de las responsabilidades</w:t>
      </w:r>
      <w:r>
        <w:rPr>
          <w:rFonts w:ascii="Palatino Linotype" w:eastAsia="Palatino Linotype" w:hAnsi="Palatino Linotype" w:cs="Palatino Linotype"/>
          <w:b/>
          <w:bCs/>
          <w:color w:val="000000"/>
        </w:rPr>
        <w:t>, siendo procedente en obvio de repeticiones innecesarias ordenar el documento en que conteste o se advierta el cargo</w:t>
      </w:r>
      <w:r>
        <w:rPr>
          <w:rFonts w:ascii="Palatino Linotype" w:eastAsia="Palatino Linotype" w:hAnsi="Palatino Linotype" w:cs="Palatino Linotype"/>
          <w:color w:val="000000"/>
        </w:rPr>
        <w:t>; ahora bien</w:t>
      </w:r>
      <w:r>
        <w:rPr>
          <w:rFonts w:ascii="Palatino Linotype" w:eastAsia="Palatino Linotype" w:hAnsi="Palatino Linotype" w:cs="Palatino Linotype"/>
        </w:rPr>
        <w:t xml:space="preserve">, se procede a realizar el estudio de los datos que eventualmente pudieran ser clasificados para determinar si estos actualizar la causal de clasificación prevista en la fracción I del artículo 143 de la Ley de Transparencia y Acceso a la Información Pública del Estado de México, al tenor de lo siguiente: </w:t>
      </w:r>
    </w:p>
    <w:p w14:paraId="3ACE9438" w14:textId="77777777" w:rsidR="008C7BF9" w:rsidRDefault="008C7BF9">
      <w:pPr>
        <w:spacing w:line="276" w:lineRule="auto"/>
        <w:ind w:left="567" w:right="49"/>
        <w:jc w:val="both"/>
        <w:rPr>
          <w:rFonts w:ascii="Palatino Linotype" w:eastAsia="Palatino Linotype" w:hAnsi="Palatino Linotype" w:cs="Palatino Linotype"/>
          <w:sz w:val="22"/>
          <w:szCs w:val="22"/>
        </w:rPr>
      </w:pPr>
    </w:p>
    <w:p w14:paraId="22190269" w14:textId="77777777" w:rsidR="008C7BF9" w:rsidRDefault="00E07E6A">
      <w:pPr>
        <w:numPr>
          <w:ilvl w:val="0"/>
          <w:numId w:val="6"/>
        </w:numPr>
        <w:pBdr>
          <w:top w:val="nil"/>
          <w:left w:val="nil"/>
          <w:bottom w:val="nil"/>
          <w:right w:val="nil"/>
          <w:between w:val="nil"/>
        </w:pBdr>
        <w:tabs>
          <w:tab w:val="left" w:pos="993"/>
        </w:tabs>
        <w:spacing w:line="276" w:lineRule="auto"/>
        <w:ind w:left="56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 xml:space="preserve">Edad. </w:t>
      </w:r>
      <w:r>
        <w:rPr>
          <w:rFonts w:ascii="Palatino Linotype" w:eastAsia="Palatino Linotype" w:hAnsi="Palatino Linotype" w:cs="Palatino Linotype"/>
          <w:color w:val="000000"/>
          <w:sz w:val="22"/>
          <w:szCs w:val="22"/>
        </w:rPr>
        <w:t>En cuanto a la edad, este Instituto advierte que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la materia.</w:t>
      </w:r>
    </w:p>
    <w:p w14:paraId="347E365C" w14:textId="77777777" w:rsidR="008C7BF9" w:rsidRDefault="008C7BF9">
      <w:pPr>
        <w:pBdr>
          <w:top w:val="nil"/>
          <w:left w:val="nil"/>
          <w:bottom w:val="nil"/>
          <w:right w:val="nil"/>
          <w:between w:val="nil"/>
        </w:pBdr>
        <w:tabs>
          <w:tab w:val="left" w:pos="993"/>
        </w:tabs>
        <w:spacing w:line="276" w:lineRule="auto"/>
        <w:ind w:left="567"/>
        <w:jc w:val="both"/>
        <w:rPr>
          <w:rFonts w:ascii="Palatino Linotype" w:eastAsia="Palatino Linotype" w:hAnsi="Palatino Linotype" w:cs="Palatino Linotype"/>
          <w:b/>
          <w:bCs/>
          <w:color w:val="000000"/>
          <w:sz w:val="22"/>
          <w:szCs w:val="22"/>
        </w:rPr>
      </w:pPr>
    </w:p>
    <w:p w14:paraId="68F83472" w14:textId="77777777" w:rsidR="008C7BF9" w:rsidRDefault="00E07E6A">
      <w:pPr>
        <w:numPr>
          <w:ilvl w:val="0"/>
          <w:numId w:val="6"/>
        </w:numPr>
        <w:pBdr>
          <w:top w:val="nil"/>
          <w:left w:val="nil"/>
          <w:bottom w:val="nil"/>
          <w:right w:val="nil"/>
          <w:between w:val="nil"/>
        </w:pBdr>
        <w:tabs>
          <w:tab w:val="left" w:pos="993"/>
        </w:tabs>
        <w:spacing w:line="276" w:lineRule="auto"/>
        <w:ind w:left="56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Sexo</w:t>
      </w:r>
      <w:r>
        <w:rPr>
          <w:rFonts w:ascii="Palatino Linotype" w:eastAsia="Palatino Linotype" w:hAnsi="Palatino Linotype" w:cs="Palatino Linotype"/>
          <w:color w:val="000000"/>
          <w:sz w:val="22"/>
          <w:szCs w:val="22"/>
        </w:rPr>
        <w:t xml:space="preserve">. El sexo es un dato personal con el que se distinguen las características biológicas y fisiológicas de una persona y que la hacen identificada o identificable; no obstante </w:t>
      </w:r>
      <w:r>
        <w:rPr>
          <w:rFonts w:ascii="Palatino Linotype" w:eastAsia="Palatino Linotype" w:hAnsi="Palatino Linotype" w:cs="Palatino Linotype"/>
          <w:b/>
          <w:bCs/>
          <w:color w:val="000000"/>
          <w:sz w:val="22"/>
          <w:szCs w:val="22"/>
          <w:u w:val="single"/>
        </w:rPr>
        <w:t>atendiendo que las personas de quienes se requiere dicha información es de servidores públicos,</w:t>
      </w:r>
      <w:r>
        <w:rPr>
          <w:rFonts w:ascii="Palatino Linotype" w:eastAsia="Palatino Linotype" w:hAnsi="Palatino Linotype" w:cs="Palatino Linotype"/>
          <w:color w:val="000000"/>
          <w:sz w:val="22"/>
          <w:szCs w:val="22"/>
        </w:rPr>
        <w:t xml:space="preserve"> la misma es de naturaleza pública; conforme los criterios sustantivos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Pr>
          <w:rFonts w:ascii="Palatino Linotype" w:eastAsia="Palatino Linotype" w:hAnsi="Palatino Linotype" w:cs="Palatino Linotype"/>
          <w:b/>
          <w:bCs/>
          <w:color w:val="000000"/>
          <w:sz w:val="22"/>
          <w:szCs w:val="22"/>
        </w:rPr>
        <w:t>dicho dato se encuentra relacionado con una obligación de transparencia común, pues debe encontrarse contenido en el directorio de todos los servidores públicos, establecido en la fracción VII de dichos lineamientos, como se citó anteriormente.</w:t>
      </w:r>
    </w:p>
    <w:p w14:paraId="1500EF21"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5FE2862D" w14:textId="77777777" w:rsidR="008C7BF9" w:rsidRDefault="00E07E6A">
      <w:pPr>
        <w:pBdr>
          <w:top w:val="nil"/>
          <w:left w:val="nil"/>
          <w:bottom w:val="nil"/>
          <w:right w:val="nil"/>
          <w:between w:val="nil"/>
        </w:pBdr>
        <w:tabs>
          <w:tab w:val="left" w:pos="993"/>
        </w:tabs>
        <w:spacing w:line="276" w:lineRule="auto"/>
        <w:ind w:left="567"/>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Por lo que, atendiendo que los Lineamientos de referencia, son de observancia obligatoria tanto para el INAI, como para los organismos garantes y sujetos obligados de todo el país en sus diferentes ámbitos de competencia, los cuales se encuentran en vigor; </w:t>
      </w:r>
      <w:r>
        <w:rPr>
          <w:rFonts w:ascii="Palatino Linotype" w:eastAsia="Palatino Linotype" w:hAnsi="Palatino Linotype" w:cs="Palatino Linotype"/>
          <w:b/>
          <w:bCs/>
          <w:color w:val="000000"/>
          <w:sz w:val="22"/>
          <w:szCs w:val="22"/>
        </w:rPr>
        <w:t xml:space="preserve">por tanto, el criterio que debe prevalecer, es el relativo a que el sexo (mujer/hombre) </w:t>
      </w:r>
      <w:r>
        <w:rPr>
          <w:rFonts w:ascii="Palatino Linotype" w:eastAsia="Palatino Linotype" w:hAnsi="Palatino Linotype" w:cs="Palatino Linotype"/>
          <w:b/>
          <w:bCs/>
          <w:color w:val="000000"/>
          <w:sz w:val="22"/>
          <w:szCs w:val="22"/>
          <w:u w:val="single"/>
        </w:rPr>
        <w:t>de servidores públicos,</w:t>
      </w:r>
      <w:r>
        <w:rPr>
          <w:rFonts w:ascii="Palatino Linotype" w:eastAsia="Palatino Linotype" w:hAnsi="Palatino Linotype" w:cs="Palatino Linotype"/>
          <w:b/>
          <w:bCs/>
          <w:color w:val="000000"/>
          <w:sz w:val="22"/>
          <w:szCs w:val="22"/>
        </w:rPr>
        <w:t xml:space="preserve"> es información de carácter público.</w:t>
      </w:r>
    </w:p>
    <w:p w14:paraId="1042473D" w14:textId="77777777" w:rsidR="008C7BF9" w:rsidRDefault="008C7BF9">
      <w:pPr>
        <w:spacing w:line="276" w:lineRule="auto"/>
        <w:jc w:val="both"/>
        <w:rPr>
          <w:rFonts w:ascii="Palatino Linotype" w:eastAsia="Palatino Linotype" w:hAnsi="Palatino Linotype" w:cs="Palatino Linotype"/>
          <w:sz w:val="22"/>
          <w:szCs w:val="22"/>
        </w:rPr>
      </w:pPr>
    </w:p>
    <w:p w14:paraId="59B3AF4C" w14:textId="77777777" w:rsidR="008C7BF9" w:rsidRDefault="00E07E6A">
      <w:pPr>
        <w:numPr>
          <w:ilvl w:val="0"/>
          <w:numId w:val="6"/>
        </w:numPr>
        <w:pBdr>
          <w:top w:val="nil"/>
          <w:left w:val="nil"/>
          <w:bottom w:val="nil"/>
          <w:right w:val="nil"/>
          <w:between w:val="nil"/>
        </w:pBdr>
        <w:tabs>
          <w:tab w:val="left" w:pos="993"/>
          <w:tab w:val="left" w:pos="2325"/>
        </w:tabs>
        <w:spacing w:line="276" w:lineRule="auto"/>
        <w:ind w:left="56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Estado civil. </w:t>
      </w:r>
      <w:r>
        <w:rPr>
          <w:rFonts w:ascii="Palatino Linotype" w:eastAsia="Palatino Linotype" w:hAnsi="Palatino Linotype" w:cs="Palatino Linotype"/>
          <w:color w:val="000000"/>
          <w:sz w:val="22"/>
          <w:szCs w:val="22"/>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5D58E307" w14:textId="77777777" w:rsidR="008C7BF9" w:rsidRDefault="008C7BF9">
      <w:pPr>
        <w:spacing w:line="276" w:lineRule="auto"/>
        <w:ind w:left="567"/>
        <w:jc w:val="both"/>
        <w:rPr>
          <w:rFonts w:ascii="Palatino Linotype" w:eastAsia="Palatino Linotype" w:hAnsi="Palatino Linotype" w:cs="Palatino Linotype"/>
          <w:sz w:val="22"/>
          <w:szCs w:val="22"/>
        </w:rPr>
      </w:pPr>
    </w:p>
    <w:p w14:paraId="360A7D61" w14:textId="77777777" w:rsidR="008C7BF9" w:rsidRDefault="00E07E6A">
      <w:pPr>
        <w:numPr>
          <w:ilvl w:val="0"/>
          <w:numId w:val="7"/>
        </w:numPr>
        <w:pBdr>
          <w:top w:val="nil"/>
          <w:left w:val="nil"/>
          <w:bottom w:val="nil"/>
          <w:right w:val="nil"/>
          <w:between w:val="nil"/>
        </w:pBdr>
        <w:tabs>
          <w:tab w:val="left" w:pos="851"/>
        </w:tabs>
        <w:spacing w:line="276" w:lineRule="auto"/>
        <w:ind w:left="56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 xml:space="preserve">RFC de personas físicas. </w:t>
      </w:r>
      <w:r>
        <w:rPr>
          <w:rFonts w:ascii="Palatino Linotype" w:eastAsia="Palatino Linotype" w:hAnsi="Palatino Linotype" w:cs="Palatino Linotype"/>
          <w:color w:val="000000"/>
          <w:sz w:val="22"/>
          <w:szCs w:val="22"/>
        </w:rPr>
        <w:t>Conforme a lo señalado por la Comisión Nacional para la Protección y Defensa de los Usuarios de Servicios Financieros (</w:t>
      </w:r>
      <w:r>
        <w:rPr>
          <w:color w:val="000000"/>
          <w:sz w:val="22"/>
          <w:szCs w:val="22"/>
        </w:rPr>
        <w:t xml:space="preserve">Ver: </w:t>
      </w:r>
      <w:hyperlink r:id="rId15">
        <w:r>
          <w:rPr>
            <w:color w:val="0563C1"/>
            <w:sz w:val="22"/>
            <w:szCs w:val="22"/>
            <w:u w:val="single"/>
          </w:rPr>
          <w:t>https://www.condusef.gob.mx/Revista/index.php/usuario-inteligente/servicios-financieros/392-registro-federal-de-contribuyentes</w:t>
        </w:r>
      </w:hyperlink>
      <w:r>
        <w:rPr>
          <w:color w:val="0563C1"/>
          <w:sz w:val="22"/>
          <w:szCs w:val="22"/>
          <w:u w:val="single"/>
        </w:rPr>
        <w:t>)</w:t>
      </w:r>
      <w:r>
        <w:rPr>
          <w:rFonts w:ascii="Palatino Linotype" w:eastAsia="Palatino Linotype" w:hAnsi="Palatino Linotype" w:cs="Palatino Linotype"/>
          <w:color w:val="000000"/>
          <w:sz w:val="22"/>
          <w:szCs w:val="22"/>
        </w:rPr>
        <w:t xml:space="preserve">, el Registro Federal de Contribuyentes (RFC) es una clave alfanumérica que se compone de 13 caracteres. Para el caso de </w:t>
      </w:r>
      <w:r>
        <w:rPr>
          <w:rFonts w:ascii="Palatino Linotype" w:eastAsia="Palatino Linotype" w:hAnsi="Palatino Linotype" w:cs="Palatino Linotype"/>
          <w:b/>
          <w:bCs/>
          <w:color w:val="000000"/>
          <w:sz w:val="22"/>
          <w:szCs w:val="22"/>
        </w:rPr>
        <w:t>personas físicas</w:t>
      </w:r>
      <w:r>
        <w:rPr>
          <w:rFonts w:ascii="Palatino Linotype" w:eastAsia="Palatino Linotype" w:hAnsi="Palatino Linotype" w:cs="Palatino Linotype"/>
          <w:color w:val="000000"/>
          <w:sz w:val="22"/>
          <w:szCs w:val="22"/>
        </w:rPr>
        <w:t xml:space="preserve">, los dos primeros, generalmente corresponden al apellido paterno, el tercero a la inicial del apellido materno y el cuarto al primer nombre. Le sigue el año de nacimiento, mes y día; los tres últimos dígitos son la homoclave que es asignada por el Servicio de Administración Tributaria (SAT). Éste sirve para evitar claves duplicadas y homónimos. </w:t>
      </w:r>
    </w:p>
    <w:p w14:paraId="4B78B30D" w14:textId="77777777" w:rsidR="008C7BF9" w:rsidRDefault="00E07E6A">
      <w:pPr>
        <w:pBdr>
          <w:top w:val="nil"/>
          <w:left w:val="nil"/>
          <w:bottom w:val="nil"/>
          <w:right w:val="nil"/>
          <w:between w:val="nil"/>
        </w:pBdr>
        <w:tabs>
          <w:tab w:val="left" w:pos="851"/>
        </w:tabs>
        <w:spacing w:line="276" w:lineRule="auto"/>
        <w:ind w:left="567"/>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El RFC de personas físicas es susceptible de clasificarse como confidencial, en términos de la fracción I del artículo 143 de la Ley de Transparencia y Acceso a la Información Pública del Estado de México y Municipios. </w:t>
      </w:r>
    </w:p>
    <w:p w14:paraId="7079D821" w14:textId="77777777" w:rsidR="008C7BF9" w:rsidRDefault="008C7BF9">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p>
    <w:p w14:paraId="0D656519" w14:textId="77777777" w:rsidR="008C7BF9" w:rsidRDefault="00E07E6A">
      <w:pPr>
        <w:numPr>
          <w:ilvl w:val="0"/>
          <w:numId w:val="8"/>
        </w:numPr>
        <w:pBdr>
          <w:top w:val="nil"/>
          <w:left w:val="nil"/>
          <w:bottom w:val="nil"/>
          <w:right w:val="nil"/>
          <w:between w:val="nil"/>
        </w:pBdr>
        <w:tabs>
          <w:tab w:val="left" w:pos="851"/>
        </w:tabs>
        <w:spacing w:line="276" w:lineRule="auto"/>
        <w:ind w:left="56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Clave de Registro o Folio de credencial de elector. </w:t>
      </w:r>
      <w:r>
        <w:rPr>
          <w:rFonts w:ascii="Palatino Linotype" w:eastAsia="Palatino Linotype" w:hAnsi="Palatino Linotype" w:cs="Palatino Linotype"/>
          <w:color w:val="000000"/>
          <w:sz w:val="22"/>
          <w:szCs w:val="22"/>
        </w:rPr>
        <w:t>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14:paraId="05E43458"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1EB8D9A8"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otra parte, debe precisarse que, en el reverso de la credencial de elector, se advierte la incorporación de un número de control denominado OCR -Reconocimiento Óptico de Caracteres-, el cual se integra por 12 o 13 dígitos de la siguiente manera: los 4 </w:t>
      </w:r>
      <w:r>
        <w:rPr>
          <w:rFonts w:ascii="Palatino Linotype" w:eastAsia="Palatino Linotype" w:hAnsi="Palatino Linotype" w:cs="Palatino Linotype"/>
          <w:color w:val="000000"/>
          <w:sz w:val="22"/>
          <w:szCs w:val="22"/>
        </w:rPr>
        <w:lastRenderedPageBreak/>
        <w:t xml:space="preserve">primeros deben coincidir con la clave de la sección de la residencia del ciudadano, los restantes corresponden a un número consecutivo único asignado al momento de conformar la clave de elector correspondiente. </w:t>
      </w:r>
    </w:p>
    <w:p w14:paraId="3482B2A9"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w:t>
      </w:r>
    </w:p>
    <w:p w14:paraId="150CD2D1"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sz w:val="22"/>
          <w:szCs w:val="22"/>
        </w:rPr>
        <w:t>Por lo tanto, se determina que la Clave de Registro o Folio de credencial de elector debe ser considerado como confidencial, por configurarse la hipótesis prevista en el artículo 143, fracción I de la Ley de la materia.</w:t>
      </w:r>
    </w:p>
    <w:p w14:paraId="2800521A" w14:textId="77777777" w:rsidR="008C7BF9" w:rsidRDefault="008C7BF9">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p>
    <w:p w14:paraId="2F5A6F6F" w14:textId="77777777" w:rsidR="008C7BF9" w:rsidRDefault="00E07E6A">
      <w:pPr>
        <w:numPr>
          <w:ilvl w:val="0"/>
          <w:numId w:val="6"/>
        </w:numPr>
        <w:pBdr>
          <w:top w:val="nil"/>
          <w:left w:val="nil"/>
          <w:bottom w:val="nil"/>
          <w:right w:val="nil"/>
          <w:between w:val="nil"/>
        </w:pBdr>
        <w:tabs>
          <w:tab w:val="left" w:pos="851"/>
        </w:tabs>
        <w:spacing w:line="276" w:lineRule="auto"/>
        <w:ind w:left="56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Domicilio particular. </w:t>
      </w:r>
      <w:r>
        <w:rPr>
          <w:rFonts w:ascii="Palatino Linotype" w:eastAsia="Palatino Linotype" w:hAnsi="Palatino Linotype" w:cs="Palatino Linotype"/>
          <w:color w:val="000000"/>
          <w:sz w:val="22"/>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B71D3CF"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De la misma manera, lo establece el artículo 29 del Código Civil Federal, al precisar que el domicilio de personas físicas</w:t>
      </w:r>
      <w:r>
        <w:rPr>
          <w:rFonts w:ascii="Palatino Linotype" w:eastAsia="Palatino Linotype" w:hAnsi="Palatino Linotype" w:cs="Palatino Linotype"/>
          <w:b/>
          <w:bCs/>
          <w:color w:val="000000"/>
          <w:sz w:val="22"/>
          <w:szCs w:val="22"/>
        </w:rPr>
        <w:t>, es el lugar donde residen habitualmente, el lugar del centro principal de sus negocios, donde residan o el lugar donde se encuentren.</w:t>
      </w:r>
    </w:p>
    <w:p w14:paraId="18D787EA"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1F85DC13" w14:textId="77777777" w:rsidR="008C7BF9" w:rsidRDefault="008C7BF9">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p>
    <w:p w14:paraId="6D5883FD" w14:textId="77777777" w:rsidR="008C7BF9" w:rsidRDefault="00E07E6A">
      <w:pPr>
        <w:numPr>
          <w:ilvl w:val="0"/>
          <w:numId w:val="6"/>
        </w:numPr>
        <w:pBdr>
          <w:top w:val="nil"/>
          <w:left w:val="nil"/>
          <w:bottom w:val="nil"/>
          <w:right w:val="nil"/>
          <w:between w:val="nil"/>
        </w:pBdr>
        <w:spacing w:line="276" w:lineRule="auto"/>
        <w:ind w:left="56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 xml:space="preserve">Fecha de nacimiento. </w:t>
      </w:r>
      <w:r>
        <w:rPr>
          <w:rFonts w:ascii="Palatino Linotype" w:eastAsia="Palatino Linotype" w:hAnsi="Palatino Linotype" w:cs="Palatino Linotype"/>
          <w:color w:val="000000"/>
          <w:sz w:val="22"/>
          <w:szCs w:val="22"/>
        </w:rP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77CC7EDD"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se colige que se trate de un dato concerniente a la vida privada de la persona, en virtud de que darlo a conocer se afectaría la intimidad de esta; por lo tanto, es considerado un dato de carácter confidencial, en términos de lo dispuesto en el artículo 143, fracción I de la Ley de Transparencia y Acceso a la Información Pública del Estado de México y Municipios.</w:t>
      </w:r>
    </w:p>
    <w:p w14:paraId="7B2BCB29" w14:textId="77777777" w:rsidR="008C7BF9" w:rsidRDefault="00E07E6A">
      <w:pPr>
        <w:pBdr>
          <w:top w:val="nil"/>
          <w:left w:val="nil"/>
          <w:bottom w:val="nil"/>
          <w:right w:val="nil"/>
          <w:between w:val="nil"/>
        </w:pBdr>
        <w:spacing w:line="276" w:lineRule="auto"/>
        <w:ind w:left="567"/>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5A1DCCDE" w14:textId="77777777" w:rsidR="008C7BF9" w:rsidRDefault="008C7BF9">
      <w:pPr>
        <w:spacing w:line="276" w:lineRule="auto"/>
        <w:jc w:val="both"/>
        <w:rPr>
          <w:rFonts w:ascii="Palatino Linotype" w:eastAsia="Palatino Linotype" w:hAnsi="Palatino Linotype" w:cs="Palatino Linotype"/>
          <w:sz w:val="22"/>
          <w:szCs w:val="22"/>
        </w:rPr>
      </w:pPr>
    </w:p>
    <w:p w14:paraId="44494CEB"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último, en el asunto que nos ocupa, el recurrente eligió como modalidad de entrega, copias certificadas con costo, por lo que bajo la tesitura legal de referencia, se deberá respetar de ésta manera, aunado a que en el presente asunto no se hizo valer alguna imposibilidad de entregarlo por tal vía, siendo procedente que se requiera previamente el cobro y el pago correspondiente por el recurrente, para estar en aptitud de certificar dicho documento y en su momento entregarlo al particular, para así satisfacer la solicitud de información.</w:t>
      </w:r>
    </w:p>
    <w:p w14:paraId="4B18BF44" w14:textId="77777777" w:rsidR="008C7BF9" w:rsidRDefault="008C7BF9">
      <w:pPr>
        <w:spacing w:line="360" w:lineRule="auto"/>
        <w:jc w:val="both"/>
        <w:rPr>
          <w:rFonts w:ascii="Palatino Linotype" w:eastAsia="Palatino Linotype" w:hAnsi="Palatino Linotype" w:cs="Palatino Linotype"/>
        </w:rPr>
      </w:pPr>
    </w:p>
    <w:p w14:paraId="0F6E8320" w14:textId="77777777" w:rsidR="008C7BF9" w:rsidRDefault="00E07E6A">
      <w:pPr>
        <w:numPr>
          <w:ilvl w:val="0"/>
          <w:numId w:val="4"/>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los artículos 174 y 175 de la Ley de Transparencia y Acceso a la Información Pública del Estado de México y Municipios, en lo que nos interesa señalan:</w:t>
      </w:r>
    </w:p>
    <w:p w14:paraId="1DA919ED"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lastRenderedPageBreak/>
        <w:t xml:space="preserve">Artículo 174. </w:t>
      </w:r>
      <w:r>
        <w:rPr>
          <w:rFonts w:ascii="Palatino Linotype" w:eastAsia="Palatino Linotype" w:hAnsi="Palatino Linotype" w:cs="Palatino Linotype"/>
          <w:b/>
          <w:bCs/>
          <w:i/>
          <w:iCs/>
          <w:color w:val="000000"/>
        </w:rPr>
        <w:t>En caso de existir costos para obtener la información deberán cubrirse de manera previa a la entrega y no podrán ser superiores a la suma de:</w:t>
      </w:r>
    </w:p>
    <w:p w14:paraId="7B544E85"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6C5531B6"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El pago de la certificación de los documentos, cuando proceda.</w:t>
      </w:r>
    </w:p>
    <w:p w14:paraId="1B60F474"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Las cuotas de los derechos aplicables deberán establecerse, en su caso, en el Código Financiero del Estado de México y Municipios</w:t>
      </w:r>
      <w:r>
        <w:rPr>
          <w:rFonts w:ascii="Palatino Linotype" w:eastAsia="Palatino Linotype" w:hAnsi="Palatino Linotype" w:cs="Palatino Linotype"/>
          <w:i/>
          <w:iCs/>
          <w:color w:val="000000"/>
        </w:rPr>
        <w:t xml:space="preserve"> y demás disposiciones jurídicas aplicables, las cuales se publicarán en los sitios de internet de los sujetos obligados. En su determinación se deberá considerar que los montos permitan o faciliten el ejercicio del derecho de acceso a la información.</w:t>
      </w:r>
    </w:p>
    <w:p w14:paraId="718EB7D1"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a los que no les sea aplicable el Código Financiero del Estado de México y Municipios deberán establecer cuotas que no sean mayores a las dispuestas en dicho ordenamiento.</w:t>
      </w:r>
    </w:p>
    <w:p w14:paraId="0B2EB72D"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1A3602B5"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175. […]</w:t>
      </w:r>
    </w:p>
    <w:p w14:paraId="25128690" w14:textId="77777777" w:rsidR="008C7BF9" w:rsidRDefault="00E07E6A">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En ningún caso, el pago de derechos deberá exceder el costo de reproducción de la información en el material solicitado.</w:t>
      </w:r>
      <w:r>
        <w:rPr>
          <w:rFonts w:ascii="Palatino Linotype" w:eastAsia="Palatino Linotype" w:hAnsi="Palatino Linotype" w:cs="Palatino Linotype"/>
          <w:i/>
          <w:iCs/>
          <w:color w:val="000000"/>
        </w:rPr>
        <w:t xml:space="preserve"> Los ajustes razonables que se realicen para el acceso de la información de solicitantes con discapacidad serán sin costo para los mismos</w:t>
      </w:r>
    </w:p>
    <w:p w14:paraId="52C10D9D" w14:textId="77777777" w:rsidR="008C7BF9" w:rsidRDefault="008C7BF9">
      <w:pPr>
        <w:pBdr>
          <w:top w:val="nil"/>
          <w:left w:val="nil"/>
          <w:bottom w:val="nil"/>
          <w:right w:val="nil"/>
          <w:between w:val="nil"/>
        </w:pBdr>
        <w:tabs>
          <w:tab w:val="left" w:pos="709"/>
        </w:tabs>
        <w:spacing w:line="360" w:lineRule="auto"/>
        <w:ind w:left="502" w:right="567"/>
        <w:jc w:val="both"/>
        <w:rPr>
          <w:rFonts w:ascii="Palatino Linotype" w:eastAsia="Palatino Linotype" w:hAnsi="Palatino Linotype" w:cs="Palatino Linotype"/>
          <w:i/>
          <w:iCs/>
          <w:color w:val="000000"/>
        </w:rPr>
      </w:pPr>
    </w:p>
    <w:p w14:paraId="53342EEE" w14:textId="77777777" w:rsidR="008C7BF9" w:rsidRDefault="00E07E6A">
      <w:pPr>
        <w:numPr>
          <w:ilvl w:val="0"/>
          <w:numId w:val="4"/>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Asimismo, resulta aplicable al presente asunto, el criterio de interpretación identificado por el número 96/17, de la Segunda Época, emitido por el Instituto Nacional de Transparencia, Acceso a la Información y Protección de Datos Personales, cuyo rubro y texto esgrime:</w:t>
      </w:r>
    </w:p>
    <w:p w14:paraId="13F933B6" w14:textId="77777777" w:rsidR="008C7BF9" w:rsidRDefault="00E07E6A">
      <w:pPr>
        <w:pBdr>
          <w:top w:val="nil"/>
          <w:left w:val="nil"/>
          <w:bottom w:val="nil"/>
          <w:right w:val="nil"/>
          <w:between w:val="nil"/>
        </w:pBdr>
        <w:spacing w:line="360" w:lineRule="auto"/>
        <w:ind w:left="502"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“Copias certificadas, como modalidad de entrega en la Ley Federal de Transparencia y Acceso a la Información Pública corrobora que el documento es una copia fiel del que obra en los archivos del sujeto obligado. </w:t>
      </w:r>
      <w:r>
        <w:rPr>
          <w:rFonts w:ascii="Palatino Linotype" w:eastAsia="Palatino Linotype" w:hAnsi="Palatino Linotype" w:cs="Palatino Linotype"/>
          <w:i/>
          <w:iCs/>
          <w:color w:val="000000"/>
        </w:rPr>
        <w:t>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5A417906" w14:textId="77777777" w:rsidR="008C7BF9" w:rsidRDefault="008C7BF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1CCCC5F4" w14:textId="77777777" w:rsidR="008C7BF9" w:rsidRDefault="00E07E6A">
      <w:pPr>
        <w:numPr>
          <w:ilvl w:val="0"/>
          <w:numId w:val="4"/>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último, en el asunto que nos ocupa, el recurrente eligió como modalidad de entrega, copias certificadas con costo, por lo que bajo la tesitura legal de referencia, </w:t>
      </w:r>
      <w:r>
        <w:rPr>
          <w:rFonts w:ascii="Palatino Linotype" w:eastAsia="Palatino Linotype" w:hAnsi="Palatino Linotype" w:cs="Palatino Linotype"/>
          <w:color w:val="000000"/>
        </w:rPr>
        <w:lastRenderedPageBreak/>
        <w:t>se deberá respetar de ésta manera, aunado a que en el presente asunto no se hizo valer alguna imposibilidad de entregarlo por tal vía, siendo procedente que se requiera previamente el cobro y el pago correspondiente por el recurrente, para estar en aptitud de certificar dicho documento y en su momento entregarlo al particular, para así satisfacer la solicitud de información.</w:t>
      </w:r>
    </w:p>
    <w:p w14:paraId="76D2F542" w14:textId="77777777" w:rsidR="008C7BF9" w:rsidRDefault="008C7BF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1617DA18" w14:textId="77777777" w:rsidR="008C7BF9" w:rsidRDefault="00E07E6A">
      <w:pPr>
        <w:numPr>
          <w:ilvl w:val="0"/>
          <w:numId w:val="4"/>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efectos de lo anterior, los artículos 174 y 175 de la Ley de Transparencia y Acceso a la Información Pública del Estado de México y Municipios, en lo que nos interesa señalan:</w:t>
      </w:r>
    </w:p>
    <w:p w14:paraId="2C167A99" w14:textId="77777777" w:rsidR="008C7BF9" w:rsidRDefault="00E07E6A">
      <w:pPr>
        <w:tabs>
          <w:tab w:val="left" w:pos="709"/>
        </w:tabs>
        <w:spacing w:line="360" w:lineRule="auto"/>
        <w:ind w:left="851" w:right="567"/>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Artículo 174. </w:t>
      </w:r>
      <w:r>
        <w:rPr>
          <w:rFonts w:ascii="Palatino Linotype" w:eastAsia="Palatino Linotype" w:hAnsi="Palatino Linotype" w:cs="Palatino Linotype"/>
          <w:b/>
          <w:bCs/>
          <w:i/>
          <w:iCs/>
        </w:rPr>
        <w:t>En caso de existir costos para obtener la información deberán cubrirse de manera previa a la entrega y no podrán ser superiores a la suma de:</w:t>
      </w:r>
    </w:p>
    <w:p w14:paraId="756A1C0A"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02C2B162"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i/>
          <w:iCs/>
        </w:rPr>
        <w:t>III. El pago de la certificación de los documentos, cuando proceda.</w:t>
      </w:r>
    </w:p>
    <w:p w14:paraId="021BB8EC"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Las cuotas de los derechos aplicables deberán establecerse, en su caso, en el Código Financiero del Estado de México y Municipios</w:t>
      </w:r>
      <w:r>
        <w:rPr>
          <w:rFonts w:ascii="Palatino Linotype" w:eastAsia="Palatino Linotype" w:hAnsi="Palatino Linotype" w:cs="Palatino Linotype"/>
          <w:i/>
          <w:iCs/>
        </w:rPr>
        <w:t xml:space="preserve"> y demás disposiciones jurídicas aplicables, las cuales se publicarán en los sitios de internet de los sujetos obligados. En su determinación se deberá considerar que los montos permitan o faciliten el ejercicio del derecho de acceso a la información.</w:t>
      </w:r>
    </w:p>
    <w:p w14:paraId="7C91F1AD"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a los que no les sea aplicable el Código Financiero del Estado de México y Municipios deberán establecer cuotas que no sean mayores a las dispuestas en dicho ordenamiento.</w:t>
      </w:r>
    </w:p>
    <w:p w14:paraId="05F176AD"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1B628E5C"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i/>
          <w:iCs/>
        </w:rPr>
        <w:t>Artículo 175. […]</w:t>
      </w:r>
    </w:p>
    <w:p w14:paraId="2EFC2C26" w14:textId="77777777" w:rsidR="008C7BF9" w:rsidRDefault="00E07E6A">
      <w:pPr>
        <w:tabs>
          <w:tab w:val="left" w:pos="709"/>
        </w:tabs>
        <w:spacing w:line="360" w:lineRule="auto"/>
        <w:ind w:left="851"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En ningún caso, el pago de derechos deberá exceder el costo de reproducción de la información en el material solicitado.</w:t>
      </w:r>
      <w:r>
        <w:rPr>
          <w:rFonts w:ascii="Palatino Linotype" w:eastAsia="Palatino Linotype" w:hAnsi="Palatino Linotype" w:cs="Palatino Linotype"/>
          <w:i/>
          <w:iCs/>
        </w:rPr>
        <w:t xml:space="preserve"> Los ajustes razonables que se realicen para el acceso de la información de solicitantes con discapacidad serán sin costo para los mismos”</w:t>
      </w:r>
    </w:p>
    <w:p w14:paraId="1B3687A5" w14:textId="77777777" w:rsidR="008C7BF9" w:rsidRDefault="008C7BF9">
      <w:pPr>
        <w:tabs>
          <w:tab w:val="left" w:pos="709"/>
        </w:tabs>
        <w:spacing w:line="360" w:lineRule="auto"/>
        <w:ind w:left="851" w:right="567"/>
        <w:jc w:val="both"/>
        <w:rPr>
          <w:rFonts w:ascii="Palatino Linotype" w:eastAsia="Palatino Linotype" w:hAnsi="Palatino Linotype" w:cs="Palatino Linotype"/>
          <w:i/>
          <w:iCs/>
        </w:rPr>
      </w:pPr>
    </w:p>
    <w:p w14:paraId="15FE969E" w14:textId="77777777" w:rsidR="008C7BF9" w:rsidRDefault="00E07E6A">
      <w:pPr>
        <w:numPr>
          <w:ilvl w:val="0"/>
          <w:numId w:val="4"/>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resulta aplicable al presente asunto, el Criterio de interpretación identificado por el número 96/17, de la Segunda Época, emitido por el Instituto Nacional de Transparencia, Acceso a la Información y Protección de Datos Personales, cuyo rubro y texto esgrime:</w:t>
      </w:r>
    </w:p>
    <w:p w14:paraId="62E4DE6C" w14:textId="77777777" w:rsidR="008C7BF9" w:rsidRDefault="00E07E6A">
      <w:pPr>
        <w:spacing w:before="240" w:line="360" w:lineRule="auto"/>
        <w:ind w:left="426"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“Copias certificadas, como modalidad de entrega en la Ley Federal de Transparencia y Acceso a la Información Pública corrobora que el documento es una copia fiel del que obra en los archivos del sujeto obligado. </w:t>
      </w:r>
      <w:r>
        <w:rPr>
          <w:rFonts w:ascii="Palatino Linotype" w:eastAsia="Palatino Linotype" w:hAnsi="Palatino Linotype" w:cs="Palatino Linotype"/>
          <w:i/>
          <w:iCs/>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w:t>
      </w:r>
      <w:r>
        <w:rPr>
          <w:rFonts w:ascii="Palatino Linotype" w:eastAsia="Palatino Linotype" w:hAnsi="Palatino Linotype" w:cs="Palatino Linotype"/>
          <w:i/>
          <w:iCs/>
        </w:rPr>
        <w:lastRenderedPageBreak/>
        <w:t>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0135C9D4" w14:textId="77777777" w:rsidR="008C7BF9" w:rsidRDefault="008C7BF9">
      <w:pPr>
        <w:spacing w:before="240" w:line="360" w:lineRule="auto"/>
        <w:ind w:left="426" w:right="567"/>
        <w:jc w:val="both"/>
        <w:rPr>
          <w:rFonts w:ascii="Palatino Linotype" w:eastAsia="Palatino Linotype" w:hAnsi="Palatino Linotype" w:cs="Palatino Linotype"/>
          <w:i/>
          <w:iCs/>
        </w:rPr>
      </w:pPr>
    </w:p>
    <w:p w14:paraId="078C6F69" w14:textId="77777777" w:rsidR="008C7BF9" w:rsidRDefault="00E07E6A">
      <w:pPr>
        <w:numPr>
          <w:ilvl w:val="0"/>
          <w:numId w:val="4"/>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todo lo anterior, el sujeto obligado deberá indicar al particular el procedimiento a seguir para realizar el pago correspondiente por la copia certificada del documento solicitado.</w:t>
      </w:r>
    </w:p>
    <w:p w14:paraId="319AB4C3" w14:textId="77777777" w:rsidR="008C7BF9" w:rsidRDefault="008C7BF9">
      <w:pPr>
        <w:spacing w:line="360" w:lineRule="auto"/>
        <w:jc w:val="both"/>
        <w:rPr>
          <w:rFonts w:ascii="Palatino Linotype" w:eastAsia="Palatino Linotype" w:hAnsi="Palatino Linotype" w:cs="Palatino Linotype"/>
          <w:color w:val="000000"/>
        </w:rPr>
      </w:pPr>
    </w:p>
    <w:p w14:paraId="171562DD"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la </w:t>
      </w:r>
      <w:r>
        <w:rPr>
          <w:rFonts w:ascii="Palatino Linotype" w:eastAsia="Palatino Linotype" w:hAnsi="Palatino Linotype" w:cs="Palatino Linotype"/>
        </w:rPr>
        <w:t>determinación</w:t>
      </w:r>
      <w:r>
        <w:rPr>
          <w:rFonts w:ascii="Palatino Linotype" w:eastAsia="Palatino Linotype" w:hAnsi="Palatino Linotype" w:cs="Palatino Linotype"/>
          <w:color w:val="000000"/>
        </w:rPr>
        <w:t xml:space="preserve"> anterior quedará por colmado el derecho de acceso a la información del ahora Recurrente; toda vez que el Derecho que tutela este Órgano Garante </w:t>
      </w:r>
      <w:r>
        <w:rPr>
          <w:rFonts w:ascii="Palatino Linotype" w:eastAsia="Palatino Linotype" w:hAnsi="Palatino Linotype" w:cs="Palatino Linotype"/>
        </w:rPr>
        <w:t>corresponde</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i/>
          <w:iCs/>
          <w:color w:val="000000"/>
        </w:rPr>
        <w:t>igualdad de oportunidades para recibir, buscar e impartir información</w:t>
      </w:r>
      <w:r>
        <w:rPr>
          <w:rFonts w:ascii="Palatino Linotype" w:eastAsia="Palatino Linotype" w:hAnsi="Palatino Linotype" w:cs="Palatino Linotype"/>
          <w:i/>
          <w:iCs/>
          <w:color w:val="000000"/>
          <w:vertAlign w:val="superscript"/>
        </w:rPr>
        <w:footnoteReference w:id="1"/>
      </w:r>
      <w:r>
        <w:rPr>
          <w:rFonts w:ascii="Palatino Linotype" w:eastAsia="Palatino Linotype" w:hAnsi="Palatino Linotype" w:cs="Palatino Linotype"/>
          <w:i/>
          <w:iCs/>
          <w:color w:val="000000"/>
        </w:rPr>
        <w:t xml:space="preserve"> en posesión de cualquier autoridad, entidad, órgano y organismo de los </w:t>
      </w:r>
      <w:r>
        <w:rPr>
          <w:rFonts w:ascii="Palatino Linotype" w:eastAsia="Palatino Linotype" w:hAnsi="Palatino Linotype" w:cs="Palatino Linotype"/>
          <w:color w:val="000000"/>
        </w:rPr>
        <w:t>poderes</w:t>
      </w:r>
      <w:r>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w:t>
      </w:r>
      <w:r>
        <w:rPr>
          <w:rFonts w:ascii="Palatino Linotype" w:eastAsia="Palatino Linotype" w:hAnsi="Palatino Linotype" w:cs="Palatino Linotype"/>
          <w:i/>
          <w:iCs/>
          <w:color w:val="000000"/>
        </w:rPr>
        <w:lastRenderedPageBreak/>
        <w:t>públicos o realice actos de autoridad en el ámbito federal, estatal y municipal</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 xml:space="preserve">que se constituye como una herramienta fundamental para </w:t>
      </w:r>
      <w:r>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Pr>
          <w:rFonts w:ascii="Palatino Linotype" w:eastAsia="Palatino Linotype" w:hAnsi="Palatino Linotype" w:cs="Palatino Linotype"/>
          <w:i/>
          <w:iCs/>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w:t>
      </w:r>
      <w:r>
        <w:rPr>
          <w:rFonts w:ascii="Palatino Linotype" w:eastAsia="Palatino Linotype" w:hAnsi="Palatino Linotype" w:cs="Palatino Linotype"/>
          <w:color w:val="000000"/>
        </w:rPr>
        <w:t xml:space="preserve"> promoviendo</w:t>
      </w:r>
      <w:r>
        <w:rPr>
          <w:rFonts w:ascii="Palatino Linotype" w:eastAsia="Palatino Linotype" w:hAnsi="Palatino Linotype" w:cs="Palatino Linotype"/>
          <w:i/>
          <w:iCs/>
          <w:color w:val="000000"/>
        </w:rPr>
        <w:t xml:space="preserve"> la responsabilidad de los funcionarios sobre su gestión pública</w:t>
      </w:r>
      <w:r>
        <w:rPr>
          <w:rFonts w:ascii="Palatino Linotype" w:eastAsia="Palatino Linotype" w:hAnsi="Palatino Linotype" w:cs="Palatino Linotype"/>
          <w:i/>
          <w:iCs/>
          <w:color w:val="000000"/>
          <w:vertAlign w:val="superscript"/>
        </w:rPr>
        <w:footnoteReference w:id="4"/>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Pr>
          <w:rFonts w:ascii="Palatino Linotype" w:eastAsia="Palatino Linotype" w:hAnsi="Palatino Linotype" w:cs="Palatino Linotype"/>
          <w:i/>
          <w:iCs/>
          <w:color w:val="000000"/>
          <w:vertAlign w:val="superscript"/>
        </w:rPr>
        <w:footnoteReference w:id="5"/>
      </w:r>
      <w:r>
        <w:rPr>
          <w:rFonts w:ascii="Palatino Linotype" w:eastAsia="Palatino Linotype" w:hAnsi="Palatino Linotype" w:cs="Palatino Linotype"/>
          <w:color w:val="000000"/>
        </w:rPr>
        <w:t xml:space="preserve"> ”</w:t>
      </w:r>
    </w:p>
    <w:p w14:paraId="21012FF9" w14:textId="77777777" w:rsidR="00973E04" w:rsidRDefault="00973E04" w:rsidP="00973E04">
      <w:pPr>
        <w:spacing w:line="360" w:lineRule="auto"/>
        <w:jc w:val="both"/>
        <w:rPr>
          <w:rFonts w:ascii="Palatino Linotype" w:eastAsia="Palatino Linotype" w:hAnsi="Palatino Linotype" w:cs="Palatino Linotype"/>
          <w:color w:val="000000"/>
        </w:rPr>
      </w:pPr>
    </w:p>
    <w:p w14:paraId="2A7E7517" w14:textId="77777777" w:rsidR="008C7BF9" w:rsidRDefault="00E07E6A">
      <w:pPr>
        <w:numPr>
          <w:ilvl w:val="0"/>
          <w:numId w:val="4"/>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05EC969"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14:paraId="5F619F5E" w14:textId="77777777" w:rsidR="008C7BF9" w:rsidRDefault="00E07E6A">
      <w:pPr>
        <w:spacing w:line="360" w:lineRule="auto"/>
        <w:ind w:left="426" w:right="474"/>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“CRITERIO 0002-11</w:t>
      </w:r>
    </w:p>
    <w:p w14:paraId="3F2BAF9E" w14:textId="77777777" w:rsidR="008C7BF9" w:rsidRDefault="00E07E6A">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INFORMACIÓN PÚBLICA, CONCEPTO DE, EN MATERIA DE TRANSPARENCIA. INTERPRETACIÓN TEMÁTICA DE LOS ARTÍCULOS 2, FRACCIÓN V, XV, Y XVI, 3, 4,11 Y 41.</w:t>
      </w:r>
      <w:r>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D0B68" w14:textId="77777777" w:rsidR="008C7BF9" w:rsidRDefault="00E07E6A">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En consecuencia el acceso a la información se refiere a que se cumplan cualquiera de los siguientes tres supuestos:</w:t>
      </w:r>
    </w:p>
    <w:p w14:paraId="4BAB4170" w14:textId="77777777" w:rsidR="008C7BF9" w:rsidRDefault="00E07E6A">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14:paraId="03FA496C" w14:textId="77777777" w:rsidR="008C7BF9" w:rsidRDefault="00E07E6A">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14:paraId="33DF5EA5" w14:textId="77777777" w:rsidR="008C7BF9" w:rsidRDefault="00E07E6A">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14:paraId="1B3EB271" w14:textId="77777777" w:rsidR="008C7BF9" w:rsidRDefault="008C7BF9">
      <w:pPr>
        <w:spacing w:line="360" w:lineRule="auto"/>
        <w:ind w:left="567" w:right="567"/>
        <w:jc w:val="both"/>
        <w:rPr>
          <w:rFonts w:ascii="Palatino Linotype" w:eastAsia="Palatino Linotype" w:hAnsi="Palatino Linotype" w:cs="Palatino Linotype"/>
          <w:i/>
          <w:iCs/>
          <w:color w:val="000000"/>
        </w:rPr>
      </w:pPr>
    </w:p>
    <w:p w14:paraId="4F504C00"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5680899E" w14:textId="77777777" w:rsidR="008C7BF9" w:rsidRDefault="008C7BF9">
      <w:pPr>
        <w:spacing w:line="360" w:lineRule="auto"/>
        <w:jc w:val="both"/>
        <w:rPr>
          <w:rFonts w:ascii="Palatino Linotype" w:eastAsia="Palatino Linotype" w:hAnsi="Palatino Linotype" w:cs="Palatino Linotype"/>
          <w:color w:val="000000"/>
        </w:rPr>
      </w:pPr>
    </w:p>
    <w:p w14:paraId="1C2C68A3" w14:textId="77777777" w:rsidR="008C7BF9" w:rsidRDefault="00E07E6A">
      <w:pP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 xml:space="preserve">XI. Documento: </w:t>
      </w:r>
      <w:r>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bCs/>
          <w:i/>
          <w:iCs/>
          <w:color w:val="000000"/>
        </w:rPr>
        <w:t>cualquier otro registro</w:t>
      </w:r>
      <w:r>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EB700D1" w14:textId="77777777" w:rsidR="008C7BF9" w:rsidRDefault="008C7BF9">
      <w:pPr>
        <w:spacing w:line="360" w:lineRule="auto"/>
        <w:ind w:left="567" w:right="567"/>
        <w:jc w:val="both"/>
        <w:rPr>
          <w:rFonts w:ascii="Palatino Linotype" w:eastAsia="Palatino Linotype" w:hAnsi="Palatino Linotype" w:cs="Palatino Linotype"/>
          <w:i/>
          <w:iCs/>
          <w:color w:val="000000"/>
        </w:rPr>
      </w:pPr>
    </w:p>
    <w:p w14:paraId="7DA73654"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todos los actos de autoridad que realicen los Sujetos Obligados </w:t>
      </w:r>
      <w:r>
        <w:rPr>
          <w:rFonts w:ascii="Palatino Linotype" w:eastAsia="Palatino Linotype" w:hAnsi="Palatino Linotype" w:cs="Palatino Linotype"/>
          <w:b/>
          <w:bCs/>
          <w:color w:val="000000"/>
        </w:rPr>
        <w:t xml:space="preserve">deben estar </w:t>
      </w:r>
      <w:r>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12DC1DA5" w14:textId="77777777" w:rsidR="008C7BF9" w:rsidRDefault="008C7BF9">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2169F06D" w14:textId="77777777" w:rsidR="008C7BF9" w:rsidRDefault="00E07E6A">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debemos tomar en cuenta los artículos 4 y 12 (antes transcritos), de la Ley de Transparencia y Acceso a la Información Pública del Estado de México y Municipios. </w:t>
      </w:r>
    </w:p>
    <w:p w14:paraId="783942E3" w14:textId="77777777" w:rsidR="008C7BF9" w:rsidRDefault="008C7BF9">
      <w:pPr>
        <w:pBdr>
          <w:top w:val="nil"/>
          <w:left w:val="nil"/>
          <w:bottom w:val="nil"/>
          <w:right w:val="nil"/>
          <w:between w:val="nil"/>
        </w:pBdr>
        <w:ind w:left="720"/>
        <w:rPr>
          <w:rFonts w:ascii="Palatino Linotype" w:eastAsia="Palatino Linotype" w:hAnsi="Palatino Linotype" w:cs="Palatino Linotype"/>
          <w:color w:val="000000"/>
        </w:rPr>
      </w:pPr>
    </w:p>
    <w:p w14:paraId="47C7EEA2" w14:textId="77777777" w:rsidR="008C7BF9" w:rsidRDefault="00E07E6A">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14:paraId="5C1A938B" w14:textId="785DEC6B" w:rsidR="008C7BF9" w:rsidRPr="00973E04" w:rsidRDefault="00E07E6A" w:rsidP="00973E04">
      <w:pPr>
        <w:pStyle w:val="Prrafodelista"/>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73E04">
        <w:rPr>
          <w:rFonts w:ascii="Palatino Linotype" w:eastAsia="Palatino Linotype" w:hAnsi="Palatino Linotype" w:cs="Palatino Linotype"/>
          <w:color w:val="000000"/>
        </w:rPr>
        <w:t xml:space="preserve">Finalmente, debe señalarse que dada la propia y especial naturaleza de lo solicitado, eventualmente pudiera contener datos personales de particulares; luego entonces, para dar cumplimiento a la presente resolución, contengan datos que deban ser clasificados, el </w:t>
      </w:r>
      <w:r w:rsidRPr="00973E04">
        <w:rPr>
          <w:rFonts w:ascii="Palatino Linotype" w:eastAsia="Palatino Linotype" w:hAnsi="Palatino Linotype" w:cs="Palatino Linotype"/>
          <w:b/>
          <w:bCs/>
          <w:color w:val="000000"/>
        </w:rPr>
        <w:t>SUJETO OBLIGADO</w:t>
      </w:r>
      <w:r w:rsidRPr="00973E04">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w:t>
      </w:r>
      <w:r w:rsidRPr="00973E04">
        <w:rPr>
          <w:rFonts w:ascii="Palatino Linotype" w:eastAsia="Palatino Linotype" w:hAnsi="Palatino Linotype" w:cs="Palatino Linotype"/>
          <w:color w:val="000000"/>
        </w:rPr>
        <w:lastRenderedPageBreak/>
        <w:t>pública del recurrente sin menoscabo al derecho a la protección de los datos personales de terceros.</w:t>
      </w:r>
    </w:p>
    <w:p w14:paraId="029B1B69" w14:textId="77777777" w:rsidR="008C7BF9" w:rsidRDefault="008C7B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772B71"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DCA4C8B"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4E74DB5" w14:textId="77777777" w:rsidR="008C7BF9" w:rsidRDefault="00E07E6A">
      <w:pPr>
        <w:spacing w:line="360" w:lineRule="auto"/>
        <w:ind w:left="993" w:right="104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 “Artículo 3. Para los efectos de la presente Ley se entenderá por:</w:t>
      </w:r>
    </w:p>
    <w:p w14:paraId="289CF119"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IX. Datos personales:</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La información concerniente a una persona, identificada o identificable</w:t>
      </w:r>
      <w:r>
        <w:rPr>
          <w:rFonts w:ascii="Palatino Linotype" w:eastAsia="Palatino Linotype" w:hAnsi="Palatino Linotype" w:cs="Palatino Linotype"/>
          <w:i/>
          <w:iCs/>
        </w:rPr>
        <w:t xml:space="preserve"> según lo dispuesto por la Ley de Protección de Datos Personales del Estado de México;</w:t>
      </w:r>
    </w:p>
    <w:p w14:paraId="27DA057B"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XX. Información clasificada:</w:t>
      </w:r>
      <w:r>
        <w:rPr>
          <w:rFonts w:ascii="Palatino Linotype" w:eastAsia="Palatino Linotype" w:hAnsi="Palatino Linotype" w:cs="Palatino Linotype"/>
          <w:i/>
          <w:iCs/>
        </w:rPr>
        <w:t xml:space="preserve"> Aquella considerada por la presente Ley como reservada o confidencial;</w:t>
      </w:r>
    </w:p>
    <w:p w14:paraId="7210F867"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XXXII. Protección de Datos Personales:</w:t>
      </w:r>
      <w:r>
        <w:rPr>
          <w:rFonts w:ascii="Palatino Linotype" w:eastAsia="Palatino Linotype" w:hAnsi="Palatino Linotype" w:cs="Palatino Linotype"/>
          <w:i/>
          <w:iCs/>
        </w:rPr>
        <w:t xml:space="preserve"> Derecho humano que tutela la privacidad de datos personales en poder de los sujetos obligados y sujetos particulares;</w:t>
      </w:r>
    </w:p>
    <w:p w14:paraId="10167484"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XLV. Versión pública</w:t>
      </w:r>
      <w:r>
        <w:rPr>
          <w:rFonts w:ascii="Palatino Linotype" w:eastAsia="Palatino Linotype" w:hAnsi="Palatino Linotype" w:cs="Palatino Linotype"/>
          <w:i/>
          <w:iCs/>
        </w:rPr>
        <w:t>: Documento en el que se elimine, suprime o borra la información clasificada como reservada o confidencial para permitir su acceso.”</w:t>
      </w:r>
    </w:p>
    <w:p w14:paraId="4880B169" w14:textId="77777777" w:rsidR="008C7BF9" w:rsidRDefault="008C7BF9">
      <w:pPr>
        <w:spacing w:line="360" w:lineRule="auto"/>
        <w:ind w:left="993" w:right="1041"/>
        <w:jc w:val="both"/>
        <w:rPr>
          <w:rFonts w:ascii="Palatino Linotype" w:eastAsia="Palatino Linotype" w:hAnsi="Palatino Linotype" w:cs="Palatino Linotype"/>
          <w:i/>
          <w:iCs/>
        </w:rPr>
      </w:pPr>
    </w:p>
    <w:p w14:paraId="0C22F199"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6.</w:t>
      </w:r>
      <w:r>
        <w:rPr>
          <w:rFonts w:ascii="Palatino Linotype" w:eastAsia="Palatino Linotype" w:hAnsi="Palatino Linotype" w:cs="Palatino Linotype"/>
          <w:i/>
          <w:iCs/>
        </w:rPr>
        <w:t xml:space="preserve"> Los datos personales son irrenunciables, intransferibles e indelegables, por lo que los sujetos obligados no deberán proporcionar o </w:t>
      </w:r>
      <w:r>
        <w:rPr>
          <w:rFonts w:ascii="Palatino Linotype" w:eastAsia="Palatino Linotype" w:hAnsi="Palatino Linotype" w:cs="Palatino Linotype"/>
          <w:i/>
          <w:iCs/>
        </w:rPr>
        <w:lastRenderedPageBreak/>
        <w:t>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39B3600" w14:textId="77777777" w:rsidR="008C7BF9" w:rsidRDefault="008C7BF9">
      <w:pPr>
        <w:spacing w:line="360" w:lineRule="auto"/>
        <w:ind w:left="993" w:right="1041"/>
        <w:jc w:val="both"/>
        <w:rPr>
          <w:rFonts w:ascii="Palatino Linotype" w:eastAsia="Palatino Linotype" w:hAnsi="Palatino Linotype" w:cs="Palatino Linotype"/>
          <w:i/>
          <w:iCs/>
        </w:rPr>
      </w:pPr>
    </w:p>
    <w:p w14:paraId="64737969"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 </w:t>
      </w: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Los Comités de Transparencia tendrán las siguientes atribuciones:</w:t>
      </w:r>
    </w:p>
    <w:p w14:paraId="3D05A210"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1C270F64"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w:t>
      </w:r>
      <w:r>
        <w:rPr>
          <w:rFonts w:ascii="Palatino Linotype" w:eastAsia="Palatino Linotype" w:hAnsi="Palatino Linotype" w:cs="Palatino Linotype"/>
          <w:i/>
          <w:iCs/>
        </w:rPr>
        <w:t>. Aprobar, modificar o revocar la clasificación de la información;</w:t>
      </w:r>
    </w:p>
    <w:p w14:paraId="21861F0F"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316250FA"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91. </w:t>
      </w:r>
      <w:r>
        <w:rPr>
          <w:rFonts w:ascii="Palatino Linotype" w:eastAsia="Palatino Linotype" w:hAnsi="Palatino Linotype" w:cs="Palatino Linotype"/>
          <w:i/>
          <w:iCs/>
        </w:rPr>
        <w:t>El acceso a la información pública será restringido excepcionalmente, cuando ésta sea clasificada como reservada o confidencial.</w:t>
      </w:r>
    </w:p>
    <w:p w14:paraId="23C94816" w14:textId="77777777" w:rsidR="008C7BF9" w:rsidRDefault="008C7BF9">
      <w:pPr>
        <w:spacing w:line="360" w:lineRule="auto"/>
        <w:ind w:left="993" w:right="1041"/>
        <w:jc w:val="both"/>
        <w:rPr>
          <w:rFonts w:ascii="Palatino Linotype" w:eastAsia="Palatino Linotype" w:hAnsi="Palatino Linotype" w:cs="Palatino Linotype"/>
          <w:i/>
          <w:iCs/>
        </w:rPr>
      </w:pPr>
    </w:p>
    <w:p w14:paraId="7BDF2F7B" w14:textId="77777777" w:rsidR="008C7BF9" w:rsidRDefault="00E07E6A">
      <w:pPr>
        <w:spacing w:line="360" w:lineRule="auto"/>
        <w:ind w:left="993" w:right="104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“Artículo 137.</w:t>
      </w:r>
      <w:r>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C2D8A6E" w14:textId="77777777" w:rsidR="008C7BF9" w:rsidRDefault="008C7BF9">
      <w:pPr>
        <w:spacing w:line="360" w:lineRule="auto"/>
        <w:ind w:left="993" w:right="1041"/>
        <w:jc w:val="both"/>
        <w:rPr>
          <w:rFonts w:ascii="Palatino Linotype" w:eastAsia="Palatino Linotype" w:hAnsi="Palatino Linotype" w:cs="Palatino Linotype"/>
          <w:b/>
          <w:bCs/>
          <w:i/>
          <w:iCs/>
        </w:rPr>
      </w:pPr>
    </w:p>
    <w:p w14:paraId="3A246478"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“Artículo 143</w:t>
      </w:r>
      <w:r>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212F2683"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14:paraId="28E53E0B"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7D89E649"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14:paraId="54D8F2E0" w14:textId="77777777" w:rsidR="00C20164" w:rsidRDefault="00C20164">
      <w:pPr>
        <w:spacing w:line="360" w:lineRule="auto"/>
        <w:ind w:left="993" w:right="1041"/>
        <w:jc w:val="both"/>
        <w:rPr>
          <w:rFonts w:ascii="Palatino Linotype" w:eastAsia="Palatino Linotype" w:hAnsi="Palatino Linotype" w:cs="Palatino Linotype"/>
          <w:i/>
          <w:iCs/>
        </w:rPr>
      </w:pPr>
    </w:p>
    <w:p w14:paraId="2E548ADD"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w:t>
      </w:r>
      <w:r>
        <w:rPr>
          <w:rFonts w:ascii="Palatino Linotype" w:eastAsia="Palatino Linotype" w:hAnsi="Palatino Linotype" w:cs="Palatino Linotype"/>
          <w:color w:val="000000"/>
        </w:rPr>
        <w:lastRenderedPageBreak/>
        <w:t>de acuerdo a lo que señala la fracción XII del artículo 4 de la Ley de Protección de Datos Personales en Posesión de Sujetos Obligados del Estado de México.</w:t>
      </w:r>
    </w:p>
    <w:p w14:paraId="7C5FFC00" w14:textId="77777777" w:rsidR="008C7BF9" w:rsidRDefault="008C7BF9">
      <w:pPr>
        <w:spacing w:line="360" w:lineRule="auto"/>
        <w:ind w:right="51"/>
        <w:jc w:val="both"/>
        <w:rPr>
          <w:rFonts w:ascii="Palatino Linotype" w:eastAsia="Palatino Linotype" w:hAnsi="Palatino Linotype" w:cs="Palatino Linotype"/>
        </w:rPr>
      </w:pPr>
    </w:p>
    <w:p w14:paraId="0953834A"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3E067F3" w14:textId="77777777" w:rsidR="008C7BF9" w:rsidRDefault="008C7BF9">
      <w:pPr>
        <w:spacing w:line="360" w:lineRule="auto"/>
        <w:ind w:right="50"/>
        <w:jc w:val="both"/>
        <w:rPr>
          <w:rFonts w:ascii="Palatino Linotype" w:eastAsia="Palatino Linotype" w:hAnsi="Palatino Linotype" w:cs="Palatino Linotype"/>
        </w:rPr>
      </w:pPr>
    </w:p>
    <w:p w14:paraId="3300CCB7"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0BA507D" w14:textId="77777777" w:rsidR="008C7BF9" w:rsidRDefault="00E07E6A">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Los Comités de Transparencia</w:t>
      </w:r>
      <w:r>
        <w:rPr>
          <w:rFonts w:ascii="Palatino Linotype" w:eastAsia="Palatino Linotype" w:hAnsi="Palatino Linotype" w:cs="Palatino Linotype"/>
          <w:i/>
          <w:iCs/>
        </w:rPr>
        <w:t xml:space="preserve"> tendrán las siguientes atribuciones:</w:t>
      </w:r>
    </w:p>
    <w:p w14:paraId="46AE943E" w14:textId="77777777" w:rsidR="008C7BF9" w:rsidRDefault="00E07E6A">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 Aprobar, modificar o revocar la clasificación de la información</w:t>
      </w:r>
      <w:r>
        <w:rPr>
          <w:rFonts w:ascii="Palatino Linotype" w:eastAsia="Palatino Linotype" w:hAnsi="Palatino Linotype" w:cs="Palatino Linotype"/>
          <w:i/>
          <w:iCs/>
        </w:rPr>
        <w:t>…”</w:t>
      </w:r>
    </w:p>
    <w:p w14:paraId="3279D748" w14:textId="77777777" w:rsidR="008C7BF9" w:rsidRDefault="00E07E6A">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53.</w:t>
      </w:r>
      <w:r>
        <w:rPr>
          <w:rFonts w:ascii="Palatino Linotype" w:eastAsia="Palatino Linotype" w:hAnsi="Palatino Linotype" w:cs="Palatino Linotype"/>
          <w:i/>
          <w:iCs/>
        </w:rPr>
        <w:t xml:space="preserve"> Las </w:t>
      </w:r>
      <w:r>
        <w:rPr>
          <w:rFonts w:ascii="Palatino Linotype" w:eastAsia="Palatino Linotype" w:hAnsi="Palatino Linotype" w:cs="Palatino Linotype"/>
          <w:b/>
          <w:bCs/>
          <w:i/>
          <w:iCs/>
        </w:rPr>
        <w:t>Unidades de Transparencia</w:t>
      </w:r>
      <w:r>
        <w:rPr>
          <w:rFonts w:ascii="Palatino Linotype" w:eastAsia="Palatino Linotype" w:hAnsi="Palatino Linotype" w:cs="Palatino Linotype"/>
          <w:i/>
          <w:iCs/>
        </w:rPr>
        <w:t xml:space="preserve"> tendrán las siguientes </w:t>
      </w:r>
      <w:r>
        <w:rPr>
          <w:rFonts w:ascii="Palatino Linotype" w:eastAsia="Palatino Linotype" w:hAnsi="Palatino Linotype" w:cs="Palatino Linotype"/>
          <w:b/>
          <w:bCs/>
          <w:i/>
          <w:iCs/>
        </w:rPr>
        <w:t>funciones</w:t>
      </w:r>
      <w:r>
        <w:rPr>
          <w:rFonts w:ascii="Palatino Linotype" w:eastAsia="Palatino Linotype" w:hAnsi="Palatino Linotype" w:cs="Palatino Linotype"/>
          <w:i/>
          <w:iCs/>
        </w:rPr>
        <w:t>:</w:t>
      </w:r>
    </w:p>
    <w:p w14:paraId="0744A6F2" w14:textId="77777777" w:rsidR="008C7BF9" w:rsidRDefault="00E07E6A">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X. Presentar ante el Comité, el proyecto de clasificación de información</w:t>
      </w:r>
      <w:r>
        <w:rPr>
          <w:rFonts w:ascii="Palatino Linotype" w:eastAsia="Palatino Linotype" w:hAnsi="Palatino Linotype" w:cs="Palatino Linotype"/>
          <w:i/>
          <w:iCs/>
        </w:rPr>
        <w:t xml:space="preserve">…” </w:t>
      </w:r>
    </w:p>
    <w:p w14:paraId="6FC557D2" w14:textId="77777777" w:rsidR="008C7BF9" w:rsidRDefault="00E07E6A">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“Artículo 59.</w:t>
      </w:r>
      <w:r>
        <w:rPr>
          <w:rFonts w:ascii="Palatino Linotype" w:eastAsia="Palatino Linotype" w:hAnsi="Palatino Linotype" w:cs="Palatino Linotype"/>
          <w:i/>
          <w:iCs/>
        </w:rPr>
        <w:t xml:space="preserve"> Los </w:t>
      </w:r>
      <w:r>
        <w:rPr>
          <w:rFonts w:ascii="Palatino Linotype" w:eastAsia="Palatino Linotype" w:hAnsi="Palatino Linotype" w:cs="Palatino Linotype"/>
          <w:b/>
          <w:bCs/>
          <w:i/>
          <w:iCs/>
        </w:rPr>
        <w:t>servidores públicos habilitados</w:t>
      </w:r>
      <w:r>
        <w:rPr>
          <w:rFonts w:ascii="Palatino Linotype" w:eastAsia="Palatino Linotype" w:hAnsi="Palatino Linotype" w:cs="Palatino Linotype"/>
          <w:i/>
          <w:iCs/>
        </w:rPr>
        <w:t xml:space="preserve"> tendrán las </w:t>
      </w:r>
      <w:r>
        <w:rPr>
          <w:rFonts w:ascii="Palatino Linotype" w:eastAsia="Palatino Linotype" w:hAnsi="Palatino Linotype" w:cs="Palatino Linotype"/>
          <w:b/>
          <w:bCs/>
          <w:i/>
          <w:iCs/>
        </w:rPr>
        <w:t>funciones</w:t>
      </w:r>
      <w:r>
        <w:rPr>
          <w:rFonts w:ascii="Palatino Linotype" w:eastAsia="Palatino Linotype" w:hAnsi="Palatino Linotype" w:cs="Palatino Linotype"/>
          <w:i/>
          <w:iCs/>
        </w:rPr>
        <w:t xml:space="preserve"> siguientes:</w:t>
      </w:r>
    </w:p>
    <w:p w14:paraId="00C6FF31" w14:textId="77777777" w:rsidR="008C7BF9" w:rsidRDefault="00E07E6A">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V. Integrar y presentar al responsable de la Unidad de Transparencia la propuesta de clasificación de información</w:t>
      </w:r>
      <w:r>
        <w:rPr>
          <w:rFonts w:ascii="Palatino Linotype" w:eastAsia="Palatino Linotype" w:hAnsi="Palatino Linotype" w:cs="Palatino Linotype"/>
          <w:i/>
          <w:iCs/>
        </w:rPr>
        <w:t>, la cual tendrá los fundamentos y argumentos en que se basa dicha propuesta…”</w:t>
      </w:r>
    </w:p>
    <w:p w14:paraId="6D389D7D" w14:textId="77777777" w:rsidR="008C7BF9" w:rsidRDefault="008C7BF9">
      <w:pPr>
        <w:spacing w:line="360" w:lineRule="auto"/>
        <w:ind w:left="851" w:right="1043"/>
        <w:jc w:val="both"/>
        <w:rPr>
          <w:rFonts w:ascii="Palatino Linotype" w:eastAsia="Palatino Linotype" w:hAnsi="Palatino Linotype" w:cs="Palatino Linotype"/>
          <w:i/>
          <w:iCs/>
        </w:rPr>
      </w:pPr>
    </w:p>
    <w:p w14:paraId="2FFEC870"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C5C31A6" w14:textId="77777777" w:rsidR="008C7BF9" w:rsidRDefault="008C7BF9">
      <w:pPr>
        <w:spacing w:line="360" w:lineRule="auto"/>
        <w:jc w:val="both"/>
        <w:rPr>
          <w:rFonts w:ascii="Palatino Linotype" w:eastAsia="Palatino Linotype" w:hAnsi="Palatino Linotype" w:cs="Palatino Linotype"/>
        </w:rPr>
      </w:pPr>
    </w:p>
    <w:p w14:paraId="57E999A6"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14:paraId="37B8682C" w14:textId="77777777" w:rsidR="008C7BF9" w:rsidRDefault="00E07E6A">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149.</w:t>
      </w:r>
      <w:r>
        <w:rPr>
          <w:rFonts w:ascii="Palatino Linotype" w:eastAsia="Palatino Linotype" w:hAnsi="Palatino Linotype" w:cs="Palatino Linotype"/>
          <w:i/>
          <w:iCs/>
        </w:rPr>
        <w:t xml:space="preserve"> El </w:t>
      </w:r>
      <w:r>
        <w:rPr>
          <w:rFonts w:ascii="Palatino Linotype" w:eastAsia="Palatino Linotype" w:hAnsi="Palatino Linotype" w:cs="Palatino Linotype"/>
          <w:b/>
          <w:bCs/>
          <w:i/>
          <w:iCs/>
        </w:rPr>
        <w:t>acuerdo que clasifique la información como confidencial</w:t>
      </w:r>
      <w:r>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14:paraId="4D722968"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FAB530C" w14:textId="77777777" w:rsidR="008C7BF9" w:rsidRDefault="008C7BF9">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5A9DCC26"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bCs/>
          <w:color w:val="000000"/>
        </w:rPr>
        <w:t>únicamente inciden en su vida privada</w:t>
      </w:r>
      <w:r>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14:paraId="72ADB102" w14:textId="77777777" w:rsidR="008C7BF9" w:rsidRDefault="008C7BF9">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0C6C8673"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43CF730A"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Sirven de sustento a lo anterior, las tesis jurisprudenciales </w:t>
      </w:r>
      <w:r>
        <w:rPr>
          <w:rFonts w:ascii="Palatino Linotype" w:eastAsia="Palatino Linotype" w:hAnsi="Palatino Linotype" w:cs="Palatino Linotype"/>
          <w:i/>
          <w:iCs/>
          <w:color w:val="000000"/>
        </w:rPr>
        <w:t xml:space="preserve">P. LX/2000 </w:t>
      </w:r>
      <w:r>
        <w:rPr>
          <w:rFonts w:ascii="Palatino Linotype" w:eastAsia="Palatino Linotype" w:hAnsi="Palatino Linotype" w:cs="Palatino Linotype"/>
          <w:color w:val="000000"/>
        </w:rPr>
        <w:t xml:space="preserve">y </w:t>
      </w:r>
      <w:r>
        <w:rPr>
          <w:rFonts w:ascii="Palatino Linotype" w:eastAsia="Palatino Linotype" w:hAnsi="Palatino Linotype" w:cs="Palatino Linotype"/>
          <w:i/>
          <w:iCs/>
          <w:color w:val="000000"/>
        </w:rPr>
        <w:t>2a. XLIII/2008</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14:paraId="087D226C" w14:textId="77777777" w:rsidR="008C7BF9" w:rsidRDefault="00E07E6A">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iCs/>
        </w:rPr>
        <w:t xml:space="preserve">; por lo que hace al interés </w:t>
      </w:r>
      <w:r>
        <w:rPr>
          <w:rFonts w:ascii="Palatino Linotype" w:eastAsia="Palatino Linotype" w:hAnsi="Palatino Linotype" w:cs="Palatino Linotype"/>
          <w:i/>
          <w:iCs/>
        </w:rPr>
        <w:lastRenderedPageBreak/>
        <w:t xml:space="preserve">social, se cuenta con normas que tienden a proteger la averiguación de los delitos, la salud y la moral públicas, </w:t>
      </w:r>
      <w:r>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Pr>
          <w:rFonts w:ascii="Palatino Linotype" w:eastAsia="Palatino Linotype" w:hAnsi="Palatino Linotype" w:cs="Palatino Linotype"/>
          <w:i/>
          <w:iCs/>
        </w:rPr>
        <w:t>.”</w:t>
      </w:r>
    </w:p>
    <w:p w14:paraId="439E5044" w14:textId="77777777" w:rsidR="008C7BF9" w:rsidRDefault="008C7BF9">
      <w:pPr>
        <w:spacing w:line="360" w:lineRule="auto"/>
        <w:ind w:left="851" w:right="851"/>
        <w:jc w:val="both"/>
        <w:rPr>
          <w:rFonts w:ascii="Palatino Linotype" w:eastAsia="Palatino Linotype" w:hAnsi="Palatino Linotype" w:cs="Palatino Linotype"/>
          <w:i/>
          <w:iCs/>
        </w:rPr>
      </w:pPr>
    </w:p>
    <w:p w14:paraId="2B7A2209" w14:textId="77777777" w:rsidR="008C7BF9" w:rsidRDefault="00E07E6A">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bCs/>
          <w:i/>
          <w:iCs/>
        </w:rPr>
        <w:t xml:space="preserve">el </w:t>
      </w:r>
      <w:r>
        <w:rPr>
          <w:rFonts w:ascii="Palatino Linotype" w:eastAsia="Palatino Linotype" w:hAnsi="Palatino Linotype" w:cs="Palatino Linotype"/>
          <w:b/>
          <w:bCs/>
          <w:i/>
          <w:iCs/>
        </w:rPr>
        <w:lastRenderedPageBreak/>
        <w:t>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7788B3D" w14:textId="77777777" w:rsidR="008C7BF9" w:rsidRDefault="008C7BF9">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highlight w:val="white"/>
        </w:rPr>
      </w:pPr>
    </w:p>
    <w:p w14:paraId="36826014"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14:paraId="42ACAC97"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5660813"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Pr>
          <w:rFonts w:ascii="Palatino Linotype" w:eastAsia="Palatino Linotype" w:hAnsi="Palatino Linotype" w:cs="Palatino Linotype"/>
          <w:color w:val="000000"/>
        </w:rPr>
        <w:lastRenderedPageBreak/>
        <w:t>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bCs/>
          <w:color w:val="000000"/>
        </w:rPr>
        <w:t>RECURRENTE.</w:t>
      </w:r>
    </w:p>
    <w:p w14:paraId="6650BE55"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2A29F6A"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73CA8BDB"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645568"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2D5291" w14:textId="77777777" w:rsidR="008C7BF9" w:rsidRDefault="008C7BF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5C57213"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Entorno a lo que aquí nos interesa, los Lineamientos Quincuagésimo sexto, Quincuagésimo séptimo y Quincuagésimo octavo, establecen lo siguiente:</w:t>
      </w:r>
    </w:p>
    <w:p w14:paraId="52B5FDDF"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“Quincuagésimo sexto</w:t>
      </w:r>
      <w:r>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AD92BFB"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14:paraId="6878F919"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03F927C6"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14:paraId="08779BCB"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14:paraId="6FA06B72"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14:paraId="7846F729" w14:textId="77777777" w:rsidR="008C7BF9" w:rsidRDefault="00E07E6A">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Quincuagésimo octavo. Los sujetos obligados garantizarán que los sistemas o medios empleados para eliminar la información en las versiones públicas no permitan la recuperación o visualización de la misma.”</w:t>
      </w:r>
    </w:p>
    <w:p w14:paraId="5584DEBF" w14:textId="77777777" w:rsidR="008C7BF9" w:rsidRDefault="008C7BF9">
      <w:pPr>
        <w:spacing w:line="360" w:lineRule="auto"/>
        <w:ind w:left="851" w:right="902"/>
        <w:jc w:val="both"/>
        <w:rPr>
          <w:rFonts w:ascii="Palatino Linotype" w:eastAsia="Palatino Linotype" w:hAnsi="Palatino Linotype" w:cs="Palatino Linotype"/>
          <w:i/>
          <w:iCs/>
        </w:rPr>
      </w:pPr>
    </w:p>
    <w:p w14:paraId="65623328"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w:t>
      </w:r>
      <w:r>
        <w:rPr>
          <w:rFonts w:ascii="Palatino Linotype" w:eastAsia="Palatino Linotype" w:hAnsi="Palatino Linotype" w:cs="Palatino Linotype"/>
          <w:b/>
          <w:bCs/>
          <w:color w:val="000000"/>
        </w:rPr>
        <w:t xml:space="preserve">la entrega de documentos en su versión pública debe </w:t>
      </w:r>
      <w:r>
        <w:rPr>
          <w:rFonts w:ascii="Palatino Linotype" w:eastAsia="Palatino Linotype" w:hAnsi="Palatino Linotype" w:cs="Palatino Linotype"/>
          <w:color w:val="000000"/>
        </w:rPr>
        <w:t>acompañarse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necesariamente</w:t>
      </w:r>
      <w:r>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3516358" w14:textId="77777777" w:rsidR="008C7BF9" w:rsidRDefault="008C7BF9">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14:paraId="645CEA54"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B967DAB" w14:textId="77777777" w:rsidR="008C7BF9" w:rsidRDefault="008C7BF9">
      <w:pPr>
        <w:tabs>
          <w:tab w:val="left" w:pos="284"/>
        </w:tabs>
        <w:spacing w:line="360" w:lineRule="auto"/>
        <w:ind w:right="49"/>
        <w:jc w:val="both"/>
        <w:rPr>
          <w:rFonts w:ascii="Palatino Linotype" w:eastAsia="Palatino Linotype" w:hAnsi="Palatino Linotype" w:cs="Palatino Linotype"/>
          <w:color w:val="000000"/>
        </w:rPr>
      </w:pPr>
    </w:p>
    <w:tbl>
      <w:tblPr>
        <w:tblStyle w:val="a2"/>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8C7BF9" w14:paraId="71CBB315" w14:textId="77777777" w:rsidTr="00973E04">
        <w:tc>
          <w:tcPr>
            <w:tcW w:w="2689" w:type="dxa"/>
          </w:tcPr>
          <w:p w14:paraId="37600235" w14:textId="77777777" w:rsidR="008C7BF9" w:rsidRDefault="00E07E6A">
            <w:pPr>
              <w:tabs>
                <w:tab w:val="left" w:pos="284"/>
              </w:tabs>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520" w:type="dxa"/>
          </w:tcPr>
          <w:p w14:paraId="7941731B"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w:t>
            </w:r>
            <w:r>
              <w:rPr>
                <w:rFonts w:ascii="Palatino Linotype" w:eastAsia="Palatino Linotype" w:hAnsi="Palatino Linotype" w:cs="Palatino Linotype"/>
                <w:color w:val="000000"/>
              </w:rPr>
              <w:lastRenderedPageBreak/>
              <w:t xml:space="preserve">determinan que la información actualiza alguno de los supuestos de clasificación, es deber de los titulares de las áreas proponer su clasificación y no del Comité de Transparencia. </w:t>
            </w:r>
          </w:p>
          <w:p w14:paraId="5EE9DA6D"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4C6D7F1C"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FB22426" w14:textId="77777777" w:rsidR="008C7BF9" w:rsidRDefault="00E07E6A">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10218A84" w14:textId="77777777" w:rsidR="008C7BF9" w:rsidRDefault="008C7BF9">
            <w:pPr>
              <w:tabs>
                <w:tab w:val="left" w:pos="284"/>
              </w:tabs>
              <w:jc w:val="both"/>
              <w:rPr>
                <w:rFonts w:ascii="Palatino Linotype" w:eastAsia="Palatino Linotype" w:hAnsi="Palatino Linotype" w:cs="Palatino Linotype"/>
              </w:rPr>
            </w:pPr>
          </w:p>
        </w:tc>
      </w:tr>
      <w:tr w:rsidR="008C7BF9" w14:paraId="23D28BFF" w14:textId="77777777" w:rsidTr="00973E04">
        <w:tc>
          <w:tcPr>
            <w:tcW w:w="2689" w:type="dxa"/>
          </w:tcPr>
          <w:p w14:paraId="2EA21142" w14:textId="77777777" w:rsidR="008C7BF9" w:rsidRDefault="00E07E6A">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b) Supuestos de clasificación.</w:t>
            </w:r>
          </w:p>
        </w:tc>
        <w:tc>
          <w:tcPr>
            <w:tcW w:w="6520" w:type="dxa"/>
          </w:tcPr>
          <w:p w14:paraId="1A7CE8B8"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4F8A938"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280A309" w14:textId="77777777" w:rsidR="008C7BF9" w:rsidRDefault="00E07E6A">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w:t>
            </w:r>
            <w:r>
              <w:rPr>
                <w:rFonts w:ascii="Palatino Linotype" w:eastAsia="Palatino Linotype" w:hAnsi="Palatino Linotype" w:cs="Palatino Linotype"/>
                <w:color w:val="000000"/>
              </w:rPr>
              <w:lastRenderedPageBreak/>
              <w:t>acreditar que el supuesto de hecho corresponde estrictamente con la hipótesis jurídica. Esto también lo debe de realizar el servidor público habilitado y el titular del área que administra la información.</w:t>
            </w:r>
          </w:p>
          <w:p w14:paraId="6BFB5401" w14:textId="77777777" w:rsidR="008C7BF9" w:rsidRDefault="008C7BF9">
            <w:pPr>
              <w:tabs>
                <w:tab w:val="left" w:pos="284"/>
              </w:tabs>
              <w:jc w:val="both"/>
              <w:rPr>
                <w:rFonts w:ascii="Palatino Linotype" w:eastAsia="Palatino Linotype" w:hAnsi="Palatino Linotype" w:cs="Palatino Linotype"/>
              </w:rPr>
            </w:pPr>
          </w:p>
        </w:tc>
      </w:tr>
      <w:tr w:rsidR="008C7BF9" w14:paraId="1EA4844C" w14:textId="77777777" w:rsidTr="00973E04">
        <w:tc>
          <w:tcPr>
            <w:tcW w:w="2689" w:type="dxa"/>
          </w:tcPr>
          <w:p w14:paraId="5F518330" w14:textId="77777777" w:rsidR="008C7BF9" w:rsidRDefault="00E07E6A">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c) Formalidades para emitir el acuerdo de clasificación.</w:t>
            </w:r>
          </w:p>
        </w:tc>
        <w:tc>
          <w:tcPr>
            <w:tcW w:w="6520" w:type="dxa"/>
          </w:tcPr>
          <w:p w14:paraId="5522A233"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2CB56F98"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14:paraId="4786F7BB" w14:textId="77777777" w:rsidR="008C7BF9" w:rsidRDefault="00E07E6A">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FDA8EC9" w14:textId="77777777" w:rsidR="008C7BF9" w:rsidRDefault="008C7BF9">
            <w:pPr>
              <w:tabs>
                <w:tab w:val="left" w:pos="284"/>
              </w:tabs>
              <w:jc w:val="both"/>
              <w:rPr>
                <w:rFonts w:ascii="Palatino Linotype" w:eastAsia="Palatino Linotype" w:hAnsi="Palatino Linotype" w:cs="Palatino Linotype"/>
              </w:rPr>
            </w:pPr>
          </w:p>
        </w:tc>
      </w:tr>
      <w:tr w:rsidR="008C7BF9" w14:paraId="5DAF1737" w14:textId="77777777" w:rsidTr="00973E04">
        <w:tc>
          <w:tcPr>
            <w:tcW w:w="2689" w:type="dxa"/>
          </w:tcPr>
          <w:p w14:paraId="287411D5" w14:textId="77777777" w:rsidR="008C7BF9" w:rsidRDefault="008C7BF9">
            <w:pPr>
              <w:tabs>
                <w:tab w:val="left" w:pos="284"/>
              </w:tabs>
              <w:rPr>
                <w:rFonts w:ascii="Palatino Linotype" w:eastAsia="Palatino Linotype" w:hAnsi="Palatino Linotype" w:cs="Palatino Linotype"/>
              </w:rPr>
            </w:pPr>
          </w:p>
          <w:p w14:paraId="07DCD107" w14:textId="77777777" w:rsidR="008C7BF9" w:rsidRDefault="00E07E6A">
            <w:pPr>
              <w:tabs>
                <w:tab w:val="left" w:pos="284"/>
              </w:tabs>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 Requisitos de fondo del acuerdo de clasificación. </w:t>
            </w:r>
          </w:p>
        </w:tc>
        <w:tc>
          <w:tcPr>
            <w:tcW w:w="6520" w:type="dxa"/>
          </w:tcPr>
          <w:p w14:paraId="3D4BB94F"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14:paraId="1D10D548"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bCs/>
                <w:color w:val="000000"/>
              </w:rPr>
              <w:t>clasificación total o parcial</w:t>
            </w:r>
            <w:r>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w:t>
            </w:r>
            <w:r>
              <w:rPr>
                <w:rFonts w:ascii="Palatino Linotype" w:eastAsia="Palatino Linotype" w:hAnsi="Palatino Linotype" w:cs="Palatino Linotype"/>
                <w:color w:val="000000"/>
              </w:rPr>
              <w:lastRenderedPageBreak/>
              <w:t>considerando que todo acto que la autoridad pronuncie en el ejercicio de sus atribuciones, debe expresar los fundamentos legales que le dieron origen y las razones por las que se deben aplicar al caso concreto.</w:t>
            </w:r>
          </w:p>
          <w:p w14:paraId="29D2ECDF"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BD5E5F4"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77E38B4B"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bCs/>
                <w:color w:val="000000"/>
                <w:u w:val="single"/>
              </w:rPr>
              <w:t>para cada caso además de fundar y motivar</w:t>
            </w:r>
            <w:r>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6F63AB4A" w14:textId="77777777" w:rsidR="008C7BF9" w:rsidRDefault="008C7BF9">
            <w:pPr>
              <w:tabs>
                <w:tab w:val="left" w:pos="284"/>
              </w:tabs>
              <w:ind w:right="49"/>
              <w:jc w:val="both"/>
              <w:rPr>
                <w:rFonts w:ascii="Palatino Linotype" w:eastAsia="Palatino Linotype" w:hAnsi="Palatino Linotype" w:cs="Palatino Linotype"/>
                <w:color w:val="000000"/>
              </w:rPr>
            </w:pPr>
          </w:p>
        </w:tc>
      </w:tr>
      <w:tr w:rsidR="008C7BF9" w14:paraId="025033AB" w14:textId="77777777" w:rsidTr="00973E04">
        <w:tc>
          <w:tcPr>
            <w:tcW w:w="2689" w:type="dxa"/>
          </w:tcPr>
          <w:p w14:paraId="211A7106" w14:textId="77777777" w:rsidR="008C7BF9" w:rsidRDefault="00E07E6A">
            <w:pPr>
              <w:tabs>
                <w:tab w:val="left" w:pos="284"/>
              </w:tabs>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14:paraId="0E6EB711"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4871D061" w14:textId="77777777" w:rsidR="008C7BF9" w:rsidRDefault="00E07E6A">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w:t>
            </w:r>
            <w:r>
              <w:rPr>
                <w:rFonts w:ascii="Palatino Linotype" w:eastAsia="Palatino Linotype" w:hAnsi="Palatino Linotype" w:cs="Palatino Linotype"/>
                <w:color w:val="000000"/>
              </w:rPr>
              <w:lastRenderedPageBreak/>
              <w:t xml:space="preserve">servidores públicos nos encontramos sujetos a un régimen menor de protección. </w:t>
            </w:r>
          </w:p>
          <w:p w14:paraId="515404D6" w14:textId="77777777" w:rsidR="008C7BF9" w:rsidRDefault="00E07E6A">
            <w:pPr>
              <w:tabs>
                <w:tab w:val="left" w:pos="284"/>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1F4A594A" w14:textId="77777777" w:rsidR="008C7BF9" w:rsidRDefault="008C7BF9">
            <w:pPr>
              <w:tabs>
                <w:tab w:val="left" w:pos="284"/>
              </w:tabs>
              <w:rPr>
                <w:rFonts w:ascii="Palatino Linotype" w:eastAsia="Palatino Linotype" w:hAnsi="Palatino Linotype" w:cs="Palatino Linotype"/>
              </w:rPr>
            </w:pPr>
          </w:p>
        </w:tc>
      </w:tr>
    </w:tbl>
    <w:p w14:paraId="59DADB0C" w14:textId="77777777" w:rsidR="008C7BF9" w:rsidRDefault="008C7BF9">
      <w:pPr>
        <w:tabs>
          <w:tab w:val="left" w:pos="284"/>
        </w:tabs>
        <w:spacing w:line="360" w:lineRule="auto"/>
        <w:rPr>
          <w:rFonts w:ascii="Palatino Linotype" w:eastAsia="Palatino Linotype" w:hAnsi="Palatino Linotype" w:cs="Palatino Linotype"/>
          <w:color w:val="000000"/>
        </w:rPr>
      </w:pPr>
    </w:p>
    <w:p w14:paraId="3C12307B" w14:textId="77777777" w:rsidR="008C7BF9" w:rsidRDefault="00E07E6A" w:rsidP="00973E0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0DAB65A" w14:textId="77777777" w:rsidR="008C7BF9" w:rsidRDefault="008C7BF9">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i/>
          <w:iCs/>
          <w:color w:val="000000"/>
        </w:rPr>
      </w:pPr>
    </w:p>
    <w:p w14:paraId="0192621B" w14:textId="77777777" w:rsidR="008C7BF9" w:rsidRDefault="00E07E6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Por lo </w:t>
      </w:r>
      <w:r>
        <w:rPr>
          <w:rFonts w:ascii="Palatino Linotype" w:eastAsia="Palatino Linotype" w:hAnsi="Palatino Linotype" w:cs="Palatino Linotype"/>
        </w:rPr>
        <w:t>anteriormente</w:t>
      </w:r>
      <w:r>
        <w:rPr>
          <w:rFonts w:ascii="Palatino Linotype" w:eastAsia="Palatino Linotype" w:hAnsi="Palatino Linotype" w:cs="Palatino Linotype"/>
          <w:color w:val="222222"/>
        </w:rPr>
        <w:t xml:space="preserve"> expuesto y fundado, este </w:t>
      </w:r>
      <w:r>
        <w:rPr>
          <w:rFonts w:ascii="Palatino Linotype" w:eastAsia="Palatino Linotype" w:hAnsi="Palatino Linotype" w:cs="Palatino Linotype"/>
          <w:b/>
          <w:bCs/>
          <w:color w:val="222222"/>
        </w:rPr>
        <w:t>ÓRGANO GARANTE</w:t>
      </w:r>
      <w:r>
        <w:rPr>
          <w:rFonts w:ascii="Palatino Linotype" w:eastAsia="Palatino Linotype" w:hAnsi="Palatino Linotype" w:cs="Palatino Linotype"/>
          <w:color w:val="222222"/>
        </w:rPr>
        <w:t xml:space="preserve"> emite los </w:t>
      </w:r>
      <w:r>
        <w:rPr>
          <w:rFonts w:ascii="Palatino Linotype" w:eastAsia="Palatino Linotype" w:hAnsi="Palatino Linotype" w:cs="Palatino Linotype"/>
        </w:rPr>
        <w:t>siguientes</w:t>
      </w:r>
      <w:r>
        <w:rPr>
          <w:rFonts w:ascii="Palatino Linotype" w:eastAsia="Palatino Linotype" w:hAnsi="Palatino Linotype" w:cs="Palatino Linotype"/>
          <w:color w:val="222222"/>
        </w:rPr>
        <w:t>:</w:t>
      </w:r>
    </w:p>
    <w:p w14:paraId="67CA5D41" w14:textId="77777777" w:rsidR="008C7BF9" w:rsidRDefault="00E07E6A">
      <w:pPr>
        <w:keepNext/>
        <w:keepLines/>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 E S O L U T I V O S</w:t>
      </w:r>
    </w:p>
    <w:p w14:paraId="59687056" w14:textId="77777777" w:rsidR="008C7BF9" w:rsidRDefault="00E07E6A">
      <w:pPr>
        <w:spacing w:line="360" w:lineRule="auto"/>
        <w:ind w:right="-929"/>
        <w:jc w:val="both"/>
        <w:rPr>
          <w:rFonts w:ascii="Palatino Linotype" w:eastAsia="Palatino Linotype" w:hAnsi="Palatino Linotype" w:cs="Palatino Linotype"/>
          <w:b/>
          <w:bCs/>
        </w:rPr>
      </w:pPr>
      <w:r>
        <w:rPr>
          <w:rFonts w:ascii="Palatino Linotype" w:eastAsia="Palatino Linotype" w:hAnsi="Palatino Linotype" w:cs="Palatino Linotype"/>
          <w:b/>
          <w:bCs/>
        </w:rPr>
        <w:tab/>
      </w:r>
    </w:p>
    <w:p w14:paraId="16AA83DD" w14:textId="77777777" w:rsidR="008C7BF9" w:rsidRDefault="00E07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parcialmente fundadas las razones o motivos de inconformidad hechos valer en el Recurso de Revisión </w:t>
      </w:r>
      <w:r>
        <w:rPr>
          <w:rFonts w:ascii="Palatino Linotype" w:eastAsia="Palatino Linotype" w:hAnsi="Palatino Linotype" w:cs="Palatino Linotype"/>
          <w:b/>
          <w:bCs/>
        </w:rPr>
        <w:t xml:space="preserve">10793/INFOEM/IP/RR/2025,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bCs/>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de la presente Resolución.</w:t>
      </w:r>
    </w:p>
    <w:p w14:paraId="269168FD" w14:textId="77777777" w:rsidR="008C7BF9" w:rsidRDefault="008C7BF9">
      <w:pPr>
        <w:spacing w:line="360" w:lineRule="auto"/>
        <w:jc w:val="both"/>
        <w:rPr>
          <w:rFonts w:ascii="Palatino Linotype" w:eastAsia="Palatino Linotype" w:hAnsi="Palatino Linotype" w:cs="Palatino Linotype"/>
        </w:rPr>
      </w:pPr>
    </w:p>
    <w:p w14:paraId="33757220" w14:textId="77777777" w:rsidR="008C7BF9" w:rsidRDefault="00E07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bCs/>
          <w:color w:val="000000"/>
        </w:rPr>
        <w:t>Ayuntamiento de Aculco</w:t>
      </w:r>
      <w:r>
        <w:rPr>
          <w:rFonts w:ascii="Palatino Linotype" w:eastAsia="Palatino Linotype" w:hAnsi="Palatino Linotype" w:cs="Palatino Linotype"/>
          <w:b/>
          <w:bCs/>
        </w:rPr>
        <w:t>;</w:t>
      </w:r>
      <w:r>
        <w:rPr>
          <w:rFonts w:ascii="Palatino Linotype" w:eastAsia="Palatino Linotype" w:hAnsi="Palatino Linotype" w:cs="Palatino Linotype"/>
        </w:rPr>
        <w:t xml:space="preserve"> por lo que</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bCs/>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color w:val="000000"/>
        </w:rPr>
        <w:lastRenderedPageBreak/>
        <w:t>(</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correo electrónico y en copias certificadas con costo, la siguiente información</w:t>
      </w:r>
      <w:r>
        <w:rPr>
          <w:rFonts w:ascii="Palatino Linotype" w:eastAsia="Palatino Linotype" w:hAnsi="Palatino Linotype" w:cs="Palatino Linotype"/>
        </w:rPr>
        <w:t>:</w:t>
      </w:r>
    </w:p>
    <w:p w14:paraId="3BA802A7" w14:textId="77777777" w:rsidR="008C7BF9" w:rsidRDefault="008C7BF9">
      <w:pPr>
        <w:spacing w:line="360" w:lineRule="auto"/>
        <w:jc w:val="both"/>
        <w:rPr>
          <w:rFonts w:ascii="Palatino Linotype" w:eastAsia="Palatino Linotype" w:hAnsi="Palatino Linotype" w:cs="Palatino Linotype"/>
        </w:rPr>
      </w:pPr>
    </w:p>
    <w:p w14:paraId="377A9005" w14:textId="77777777" w:rsidR="008C7BF9" w:rsidRDefault="00E07E6A">
      <w:pPr>
        <w:pBdr>
          <w:top w:val="nil"/>
          <w:left w:val="nil"/>
          <w:bottom w:val="nil"/>
          <w:right w:val="nil"/>
          <w:between w:val="nil"/>
        </w:pBdr>
        <w:spacing w:line="360" w:lineRule="auto"/>
        <w:ind w:left="778"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Soporte documental en que conste o se advierta la siguiente información de la persona referida en la Solicitud de Información 00130/ACULCO/IP/2025:</w:t>
      </w:r>
    </w:p>
    <w:p w14:paraId="73F3D100" w14:textId="77777777" w:rsidR="008C7BF9" w:rsidRDefault="008C7BF9">
      <w:pPr>
        <w:pBdr>
          <w:top w:val="nil"/>
          <w:left w:val="nil"/>
          <w:bottom w:val="nil"/>
          <w:right w:val="nil"/>
          <w:between w:val="nil"/>
        </w:pBdr>
        <w:spacing w:line="360" w:lineRule="auto"/>
        <w:ind w:left="778" w:right="567"/>
        <w:jc w:val="both"/>
        <w:rPr>
          <w:rFonts w:ascii="Palatino Linotype" w:eastAsia="Palatino Linotype" w:hAnsi="Palatino Linotype" w:cs="Palatino Linotype"/>
          <w:b/>
          <w:bCs/>
          <w:color w:val="000000"/>
        </w:rPr>
      </w:pPr>
    </w:p>
    <w:p w14:paraId="6BA5EE40" w14:textId="77777777" w:rsidR="008C7BF9" w:rsidRDefault="00E07E6A">
      <w:pPr>
        <w:numPr>
          <w:ilvl w:val="0"/>
          <w:numId w:val="1"/>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 los cargos ocupados en el Ayuntamiento de Aculco y en el Sistema Municipal para el Desarrollo Integral de la Familia de Aculco, del 1 de enero de 2021 al 07 de julio de 2025: área de adscripción, periodo; así como su nombramiento, formato único de movimiento de personal o contrato.</w:t>
      </w:r>
    </w:p>
    <w:p w14:paraId="57B1F3D3" w14:textId="77777777" w:rsidR="008C7BF9" w:rsidRDefault="008C7BF9">
      <w:pPr>
        <w:pBdr>
          <w:top w:val="nil"/>
          <w:left w:val="nil"/>
          <w:bottom w:val="nil"/>
          <w:right w:val="nil"/>
          <w:between w:val="nil"/>
        </w:pBdr>
        <w:spacing w:line="360" w:lineRule="auto"/>
        <w:ind w:left="778" w:right="567"/>
        <w:jc w:val="both"/>
        <w:rPr>
          <w:rFonts w:ascii="Palatino Linotype" w:eastAsia="Palatino Linotype" w:hAnsi="Palatino Linotype" w:cs="Palatino Linotype"/>
          <w:b/>
          <w:bCs/>
          <w:color w:val="000000"/>
        </w:rPr>
      </w:pPr>
    </w:p>
    <w:p w14:paraId="60E3D91D" w14:textId="77777777" w:rsidR="008C7BF9" w:rsidRDefault="00E07E6A">
      <w:pPr>
        <w:spacing w:line="360" w:lineRule="auto"/>
        <w:jc w:val="both"/>
        <w:rPr>
          <w:rFonts w:ascii="Palatino Linotype" w:eastAsia="Palatino Linotype" w:hAnsi="Palatino Linotype" w:cs="Palatino Linotype"/>
        </w:rPr>
      </w:pPr>
      <w:bookmarkStart w:id="8" w:name="_heading=h.5ja6rbk24csc" w:colFirst="0" w:colLast="0"/>
      <w:bookmarkEnd w:id="8"/>
      <w:r w:rsidRPr="001A289F">
        <w:rPr>
          <w:rFonts w:ascii="Palatino Linotype" w:eastAsia="Palatino Linotype" w:hAnsi="Palatino Linotype" w:cs="Palatino Linotype"/>
        </w:rPr>
        <w:t xml:space="preserve">Asimismo, el </w:t>
      </w:r>
      <w:r w:rsidRPr="001A289F">
        <w:rPr>
          <w:rFonts w:ascii="Palatino Linotype" w:eastAsia="Palatino Linotype" w:hAnsi="Palatino Linotype" w:cs="Palatino Linotype"/>
          <w:b/>
          <w:bCs/>
        </w:rPr>
        <w:t>SUJETO OBLIGADO</w:t>
      </w:r>
      <w:r w:rsidRPr="001A289F">
        <w:rPr>
          <w:rFonts w:ascii="Palatino Linotype" w:eastAsia="Palatino Linotype" w:hAnsi="Palatino Linotype" w:cs="Palatino Linotype"/>
        </w:rPr>
        <w:t xml:space="preserve"> deberá informar vía </w:t>
      </w:r>
      <w:r w:rsidRPr="001A289F">
        <w:rPr>
          <w:rFonts w:ascii="Palatino Linotype" w:eastAsia="Palatino Linotype" w:hAnsi="Palatino Linotype" w:cs="Palatino Linotype"/>
          <w:b/>
          <w:bCs/>
        </w:rPr>
        <w:t>SAIMEX</w:t>
      </w:r>
      <w:r w:rsidR="00327CE9" w:rsidRPr="001A289F">
        <w:rPr>
          <w:rFonts w:ascii="Palatino Linotype" w:eastAsia="Palatino Linotype" w:hAnsi="Palatino Linotype" w:cs="Palatino Linotype"/>
          <w:b/>
          <w:bCs/>
        </w:rPr>
        <w:t xml:space="preserve"> y correo electrónico </w:t>
      </w:r>
      <w:r w:rsidRPr="001A289F">
        <w:rPr>
          <w:rFonts w:ascii="Palatino Linotype" w:eastAsia="Palatino Linotype" w:hAnsi="Palatino Linotype" w:cs="Palatino Linotype"/>
        </w:rPr>
        <w:t xml:space="preserve">al </w:t>
      </w:r>
      <w:r w:rsidRPr="001A289F">
        <w:rPr>
          <w:rFonts w:ascii="Palatino Linotype" w:eastAsia="Palatino Linotype" w:hAnsi="Palatino Linotype" w:cs="Palatino Linotype"/>
          <w:b/>
          <w:bCs/>
        </w:rPr>
        <w:t>RECURRENTE</w:t>
      </w:r>
      <w:r w:rsidRPr="001A289F">
        <w:rPr>
          <w:rFonts w:ascii="Palatino Linotype" w:eastAsia="Palatino Linotype" w:hAnsi="Palatino Linotype" w:cs="Palatino Linotype"/>
        </w:rPr>
        <w:t xml:space="preserve"> el procedimiento que deberá de seguir para la entrega de la información en donde se le señale el domicilio para entregar la información o la posibilidad de envió por correo certificado, previo del pago correspondiente, así como los días y horarios de atención, junto con el nombre de la persona servidora pública que le atenderá, el procedimiento de pago, el costo, lugar, fecha y hora para</w:t>
      </w:r>
      <w:r>
        <w:rPr>
          <w:rFonts w:ascii="Palatino Linotype" w:eastAsia="Palatino Linotype" w:hAnsi="Palatino Linotype" w:cs="Palatino Linotype"/>
        </w:rPr>
        <w:t xml:space="preserve"> poder obtener los documentos en la modalidad de copia certificada. </w:t>
      </w:r>
    </w:p>
    <w:p w14:paraId="5D8712E5" w14:textId="77777777" w:rsidR="00E80051" w:rsidRDefault="00E80051">
      <w:pPr>
        <w:spacing w:line="360" w:lineRule="auto"/>
        <w:jc w:val="both"/>
        <w:rPr>
          <w:rFonts w:ascii="Palatino Linotype" w:eastAsia="Palatino Linotype" w:hAnsi="Palatino Linotype" w:cs="Palatino Linotype"/>
          <w:sz w:val="28"/>
          <w:szCs w:val="28"/>
        </w:rPr>
      </w:pPr>
    </w:p>
    <w:p w14:paraId="200D2A38" w14:textId="77777777" w:rsidR="008C7BF9" w:rsidRDefault="00E07E6A">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w:t>
      </w:r>
      <w:r>
        <w:rPr>
          <w:rFonts w:ascii="Palatino Linotype" w:eastAsia="Palatino Linotype" w:hAnsi="Palatino Linotype" w:cs="Palatino Linotype"/>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Pr>
          <w:rFonts w:ascii="Palatino Linotype" w:eastAsia="Palatino Linotype" w:hAnsi="Palatino Linotype" w:cs="Palatino Linotype"/>
          <w:b/>
          <w:bCs/>
        </w:rPr>
        <w:t>RECURRENTE.</w:t>
      </w:r>
    </w:p>
    <w:p w14:paraId="34196369" w14:textId="77777777" w:rsidR="008C7BF9" w:rsidRDefault="008C7BF9">
      <w:pPr>
        <w:spacing w:line="360" w:lineRule="auto"/>
        <w:jc w:val="both"/>
        <w:rPr>
          <w:rFonts w:ascii="Palatino Linotype" w:eastAsia="Palatino Linotype" w:hAnsi="Palatino Linotype" w:cs="Palatino Linotype"/>
        </w:rPr>
      </w:pPr>
    </w:p>
    <w:p w14:paraId="4D078E68" w14:textId="77777777" w:rsidR="008C7BF9" w:rsidRDefault="00E07E6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EF0EC3" w14:textId="77777777" w:rsidR="008C7BF9" w:rsidRDefault="008C7BF9">
      <w:pPr>
        <w:spacing w:line="360" w:lineRule="auto"/>
        <w:ind w:right="51"/>
        <w:jc w:val="both"/>
        <w:rPr>
          <w:rFonts w:ascii="Palatino Linotype" w:eastAsia="Palatino Linotype" w:hAnsi="Palatino Linotype" w:cs="Palatino Linotype"/>
        </w:rPr>
      </w:pPr>
    </w:p>
    <w:p w14:paraId="2F1626A8" w14:textId="77777777" w:rsidR="008C7BF9" w:rsidRDefault="00E07E6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FD5D05F" w14:textId="77777777" w:rsidR="008C7BF9" w:rsidRDefault="008C7BF9">
      <w:pPr>
        <w:spacing w:line="360" w:lineRule="auto"/>
        <w:ind w:right="51"/>
        <w:jc w:val="both"/>
        <w:rPr>
          <w:rFonts w:ascii="Palatino Linotype" w:eastAsia="Palatino Linotype" w:hAnsi="Palatino Linotype" w:cs="Palatino Linotype"/>
        </w:rPr>
      </w:pPr>
    </w:p>
    <w:p w14:paraId="48A7C871" w14:textId="77777777" w:rsidR="008C7BF9" w:rsidRDefault="00E07E6A">
      <w:pPr>
        <w:tabs>
          <w:tab w:val="left" w:pos="8080"/>
        </w:tabs>
        <w:spacing w:line="360" w:lineRule="auto"/>
        <w:ind w:right="51"/>
        <w:jc w:val="both"/>
        <w:rPr>
          <w:rFonts w:ascii="Palatino Linotype" w:eastAsia="Palatino Linotype" w:hAnsi="Palatino Linotype" w:cs="Palatino Linotype"/>
        </w:rPr>
      </w:pPr>
      <w:bookmarkStart w:id="9" w:name="_heading=h.lnxbz9" w:colFirst="0" w:colLast="0"/>
      <w:bookmarkEnd w:id="9"/>
      <w:r w:rsidRPr="001A289F">
        <w:rPr>
          <w:rFonts w:ascii="Palatino Linotype" w:eastAsia="Palatino Linotype" w:hAnsi="Palatino Linotype" w:cs="Palatino Linotype"/>
          <w:b/>
          <w:bCs/>
        </w:rPr>
        <w:t xml:space="preserve">QUINTO. </w:t>
      </w:r>
      <w:r w:rsidRPr="001A289F">
        <w:rPr>
          <w:rFonts w:ascii="Palatino Linotype" w:eastAsia="Palatino Linotype" w:hAnsi="Palatino Linotype" w:cs="Palatino Linotype"/>
        </w:rPr>
        <w:t xml:space="preserve">Notifíquese al </w:t>
      </w:r>
      <w:r w:rsidRPr="001A289F">
        <w:rPr>
          <w:rFonts w:ascii="Palatino Linotype" w:eastAsia="Palatino Linotype" w:hAnsi="Palatino Linotype" w:cs="Palatino Linotype"/>
          <w:b/>
          <w:bCs/>
        </w:rPr>
        <w:t>RECURRENTE</w:t>
      </w:r>
      <w:r w:rsidRPr="001A289F">
        <w:rPr>
          <w:rFonts w:ascii="Palatino Linotype" w:eastAsia="Palatino Linotype" w:hAnsi="Palatino Linotype" w:cs="Palatino Linotype"/>
        </w:rPr>
        <w:t xml:space="preserve"> la presente Resolución, vía </w:t>
      </w:r>
      <w:r w:rsidRPr="001A289F">
        <w:rPr>
          <w:rFonts w:ascii="Palatino Linotype" w:eastAsia="Palatino Linotype" w:hAnsi="Palatino Linotype" w:cs="Palatino Linotype"/>
          <w:b/>
          <w:bCs/>
        </w:rPr>
        <w:t>SAIMEX</w:t>
      </w:r>
      <w:r w:rsidR="00327CE9" w:rsidRPr="001A289F">
        <w:rPr>
          <w:rFonts w:ascii="Palatino Linotype" w:eastAsia="Palatino Linotype" w:hAnsi="Palatino Linotype" w:cs="Palatino Linotype"/>
          <w:b/>
          <w:bCs/>
        </w:rPr>
        <w:t xml:space="preserve"> y correo electrónico</w:t>
      </w:r>
      <w:r w:rsidRPr="001A289F">
        <w:rPr>
          <w:rFonts w:ascii="Palatino Linotype" w:eastAsia="Palatino Linotype" w:hAnsi="Palatino Linotype" w:cs="Palatino Linotype"/>
        </w:rPr>
        <w:t>.</w:t>
      </w:r>
    </w:p>
    <w:p w14:paraId="05988F89" w14:textId="77777777" w:rsidR="008C7BF9" w:rsidRDefault="00E07E6A">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SEXTO. </w:t>
      </w:r>
      <w:r>
        <w:rPr>
          <w:rFonts w:ascii="Palatino Linotype" w:eastAsia="Palatino Linotype" w:hAnsi="Palatino Linotype" w:cs="Palatino Linotype"/>
        </w:rPr>
        <w:t>Se hace del conocimiento del</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8C72B66" w14:textId="77777777" w:rsidR="008C7BF9" w:rsidRDefault="008C7BF9">
      <w:pPr>
        <w:shd w:val="clear" w:color="auto" w:fill="FFFFFF"/>
        <w:spacing w:line="360" w:lineRule="auto"/>
        <w:ind w:right="51"/>
        <w:jc w:val="both"/>
        <w:rPr>
          <w:rFonts w:ascii="Palatino Linotype" w:eastAsia="Palatino Linotype" w:hAnsi="Palatino Linotype" w:cs="Palatino Linotype"/>
        </w:rPr>
      </w:pPr>
    </w:p>
    <w:p w14:paraId="69A6ED11" w14:textId="71F775E8" w:rsidR="00C97EDB" w:rsidRPr="00EE28DE" w:rsidRDefault="00C97EDB" w:rsidP="00C97EDB">
      <w:pPr>
        <w:spacing w:before="240" w:after="240" w:line="360" w:lineRule="auto"/>
        <w:ind w:firstLine="1"/>
        <w:jc w:val="both"/>
        <w:rPr>
          <w:rFonts w:ascii="Palatino Linotype" w:hAnsi="Palatino Linotype"/>
        </w:rPr>
      </w:pPr>
      <w:bookmarkStart w:id="10" w:name="_Hlk99014733"/>
      <w:r w:rsidRPr="00EE28DE">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E28DE" w:rsidRPr="00EE28DE">
        <w:rPr>
          <w:rFonts w:ascii="Palatino Linotype" w:hAnsi="Palatino Linotype" w:cs="Palatino Linotype"/>
        </w:rPr>
        <w:t xml:space="preserve"> EMITIENDO VOTO PARTICULAR CONCURRENTE</w:t>
      </w:r>
      <w:r w:rsidRPr="00EE28DE">
        <w:rPr>
          <w:rFonts w:ascii="Palatino Linotype" w:hAnsi="Palatino Linotype" w:cs="Palatino Linotype"/>
        </w:rPr>
        <w:t>, SHARON CRISTINA MORALES MARTÍNEZ, LUIS GUSTAVO PARRA NORIEGA</w:t>
      </w:r>
      <w:r w:rsidR="00EE28DE" w:rsidRPr="00EE28DE">
        <w:rPr>
          <w:rFonts w:ascii="Palatino Linotype" w:hAnsi="Palatino Linotype" w:cs="Palatino Linotype"/>
        </w:rPr>
        <w:t xml:space="preserve"> EMITIENDO VOTO PARTICULAR CONCURRENTE</w:t>
      </w:r>
      <w:r w:rsidRPr="00EE28DE">
        <w:rPr>
          <w:rFonts w:ascii="Palatino Linotype" w:hAnsi="Palatino Linotype" w:cs="Palatino Linotype"/>
        </w:rPr>
        <w:t xml:space="preserve"> Y GUADALUPE RAMÍREZ PEÑA; EN LA DÉCIMA SEGUNDA SESIÓN ORDINARIA, CELEBRADA EL OCHO (08) DE ABRIL DE DOS MIL VEINTISÉIS, ANTE EL SECRETARIO TÉCNICO DEL PLENO </w:t>
      </w:r>
      <w:r w:rsidRPr="00EE28DE">
        <w:rPr>
          <w:rFonts w:ascii="Palatino Linotype" w:hAnsi="Palatino Linotype" w:cs="Palatino Linotype"/>
          <w:color w:val="000000" w:themeColor="text1"/>
        </w:rPr>
        <w:t>ALEXIS TAPIA RAMÍREZ.</w:t>
      </w:r>
    </w:p>
    <w:bookmarkEnd w:id="10"/>
    <w:p w14:paraId="325C1AF6" w14:textId="77777777" w:rsidR="008C7BF9" w:rsidRPr="00EE28DE" w:rsidRDefault="008C7BF9">
      <w:pPr>
        <w:spacing w:line="360" w:lineRule="auto"/>
        <w:jc w:val="both"/>
        <w:rPr>
          <w:rFonts w:ascii="Palatino Linotype" w:eastAsia="Palatino Linotype" w:hAnsi="Palatino Linotype" w:cs="Palatino Linotype"/>
        </w:rPr>
      </w:pPr>
    </w:p>
    <w:p w14:paraId="12831668" w14:textId="77777777" w:rsidR="008C7BF9" w:rsidRDefault="008C7BF9">
      <w:pPr>
        <w:spacing w:line="360" w:lineRule="auto"/>
        <w:jc w:val="both"/>
        <w:rPr>
          <w:rFonts w:ascii="Palatino Linotype" w:eastAsia="Palatino Linotype" w:hAnsi="Palatino Linotype" w:cs="Palatino Linotype"/>
        </w:rPr>
      </w:pPr>
    </w:p>
    <w:p w14:paraId="49FF3F64" w14:textId="77777777" w:rsidR="008C7BF9" w:rsidRDefault="008C7BF9">
      <w:pPr>
        <w:spacing w:line="360" w:lineRule="auto"/>
        <w:jc w:val="both"/>
        <w:rPr>
          <w:rFonts w:ascii="Palatino Linotype" w:eastAsia="Palatino Linotype" w:hAnsi="Palatino Linotype" w:cs="Palatino Linotype"/>
        </w:rPr>
      </w:pPr>
    </w:p>
    <w:p w14:paraId="602FAE3A" w14:textId="77777777" w:rsidR="008C7BF9" w:rsidRDefault="008C7BF9">
      <w:pPr>
        <w:spacing w:line="360" w:lineRule="auto"/>
        <w:jc w:val="both"/>
        <w:rPr>
          <w:rFonts w:ascii="Palatino Linotype" w:eastAsia="Palatino Linotype" w:hAnsi="Palatino Linotype" w:cs="Palatino Linotype"/>
        </w:rPr>
      </w:pPr>
    </w:p>
    <w:p w14:paraId="203BCB2D" w14:textId="77777777" w:rsidR="008C7BF9" w:rsidRDefault="008C7BF9">
      <w:pPr>
        <w:spacing w:line="360" w:lineRule="auto"/>
        <w:jc w:val="both"/>
        <w:rPr>
          <w:rFonts w:ascii="Palatino Linotype" w:eastAsia="Palatino Linotype" w:hAnsi="Palatino Linotype" w:cs="Palatino Linotype"/>
        </w:rPr>
      </w:pPr>
    </w:p>
    <w:p w14:paraId="30EE4A9A" w14:textId="77777777" w:rsidR="008C7BF9" w:rsidRDefault="008C7BF9">
      <w:pPr>
        <w:spacing w:line="360" w:lineRule="auto"/>
        <w:jc w:val="both"/>
        <w:rPr>
          <w:rFonts w:ascii="Palatino Linotype" w:eastAsia="Palatino Linotype" w:hAnsi="Palatino Linotype" w:cs="Palatino Linotype"/>
        </w:rPr>
      </w:pPr>
    </w:p>
    <w:p w14:paraId="40B0B3D6" w14:textId="77777777" w:rsidR="008C7BF9" w:rsidRDefault="008C7BF9">
      <w:pPr>
        <w:spacing w:line="360" w:lineRule="auto"/>
        <w:jc w:val="both"/>
        <w:rPr>
          <w:rFonts w:ascii="Palatino Linotype" w:eastAsia="Palatino Linotype" w:hAnsi="Palatino Linotype" w:cs="Palatino Linotype"/>
        </w:rPr>
      </w:pPr>
    </w:p>
    <w:p w14:paraId="55EFF3EE" w14:textId="77777777" w:rsidR="008C7BF9" w:rsidRDefault="008C7BF9">
      <w:pPr>
        <w:spacing w:line="360" w:lineRule="auto"/>
        <w:rPr>
          <w:rFonts w:ascii="Palatino Linotype" w:eastAsia="Palatino Linotype" w:hAnsi="Palatino Linotype" w:cs="Palatino Linotype"/>
        </w:rPr>
      </w:pPr>
    </w:p>
    <w:p w14:paraId="716DCD78" w14:textId="77777777" w:rsidR="008C7BF9" w:rsidRDefault="008C7BF9">
      <w:pPr>
        <w:spacing w:line="360" w:lineRule="auto"/>
        <w:rPr>
          <w:rFonts w:ascii="Palatino Linotype" w:eastAsia="Palatino Linotype" w:hAnsi="Palatino Linotype" w:cs="Palatino Linotype"/>
        </w:rPr>
      </w:pPr>
    </w:p>
    <w:p w14:paraId="1C7076E6" w14:textId="77777777" w:rsidR="008C7BF9" w:rsidRDefault="008C7BF9">
      <w:pPr>
        <w:spacing w:line="360" w:lineRule="auto"/>
        <w:rPr>
          <w:rFonts w:ascii="Palatino Linotype" w:eastAsia="Palatino Linotype" w:hAnsi="Palatino Linotype" w:cs="Palatino Linotype"/>
        </w:rPr>
      </w:pPr>
    </w:p>
    <w:p w14:paraId="218E043D" w14:textId="77777777" w:rsidR="008C7BF9" w:rsidRDefault="008C7BF9">
      <w:pPr>
        <w:spacing w:line="360" w:lineRule="auto"/>
        <w:rPr>
          <w:rFonts w:ascii="Palatino Linotype" w:eastAsia="Palatino Linotype" w:hAnsi="Palatino Linotype" w:cs="Palatino Linotype"/>
        </w:rPr>
      </w:pPr>
    </w:p>
    <w:p w14:paraId="604551DA" w14:textId="77777777" w:rsidR="008C7BF9" w:rsidRDefault="008C7BF9">
      <w:pPr>
        <w:spacing w:line="360" w:lineRule="auto"/>
        <w:rPr>
          <w:rFonts w:ascii="Palatino Linotype" w:eastAsia="Palatino Linotype" w:hAnsi="Palatino Linotype" w:cs="Palatino Linotype"/>
        </w:rPr>
      </w:pPr>
    </w:p>
    <w:p w14:paraId="5E621327" w14:textId="77777777" w:rsidR="008C7BF9" w:rsidRDefault="008C7BF9">
      <w:pPr>
        <w:spacing w:line="360" w:lineRule="auto"/>
        <w:rPr>
          <w:rFonts w:ascii="Palatino Linotype" w:eastAsia="Palatino Linotype" w:hAnsi="Palatino Linotype" w:cs="Palatino Linotype"/>
        </w:rPr>
      </w:pPr>
    </w:p>
    <w:p w14:paraId="73859BC7" w14:textId="77777777" w:rsidR="008C7BF9" w:rsidRDefault="008C7BF9">
      <w:pPr>
        <w:spacing w:line="360" w:lineRule="auto"/>
        <w:rPr>
          <w:rFonts w:ascii="Palatino Linotype" w:eastAsia="Palatino Linotype" w:hAnsi="Palatino Linotype" w:cs="Palatino Linotype"/>
        </w:rPr>
      </w:pPr>
    </w:p>
    <w:p w14:paraId="67B60E9C" w14:textId="77777777" w:rsidR="008C7BF9" w:rsidRDefault="00E07E6A">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4E5B7779" w14:textId="77777777" w:rsidR="008C7BF9" w:rsidRDefault="008C7BF9">
      <w:pPr>
        <w:tabs>
          <w:tab w:val="left" w:pos="3374"/>
        </w:tabs>
        <w:spacing w:line="360" w:lineRule="auto"/>
        <w:rPr>
          <w:rFonts w:ascii="Palatino Linotype" w:eastAsia="Palatino Linotype" w:hAnsi="Palatino Linotype" w:cs="Palatino Linotype"/>
        </w:rPr>
      </w:pPr>
    </w:p>
    <w:p w14:paraId="26034004" w14:textId="77777777" w:rsidR="008C7BF9" w:rsidRDefault="008C7BF9">
      <w:pPr>
        <w:tabs>
          <w:tab w:val="left" w:pos="3374"/>
        </w:tabs>
        <w:spacing w:line="360" w:lineRule="auto"/>
        <w:rPr>
          <w:rFonts w:ascii="Palatino Linotype" w:eastAsia="Palatino Linotype" w:hAnsi="Palatino Linotype" w:cs="Palatino Linotype"/>
        </w:rPr>
      </w:pPr>
    </w:p>
    <w:p w14:paraId="65BB91DF" w14:textId="77777777" w:rsidR="008C7BF9" w:rsidRDefault="008C7BF9">
      <w:pPr>
        <w:tabs>
          <w:tab w:val="left" w:pos="3374"/>
        </w:tabs>
        <w:spacing w:line="360" w:lineRule="auto"/>
        <w:rPr>
          <w:rFonts w:ascii="Palatino Linotype" w:eastAsia="Palatino Linotype" w:hAnsi="Palatino Linotype" w:cs="Palatino Linotype"/>
        </w:rPr>
      </w:pPr>
    </w:p>
    <w:p w14:paraId="67D80F98" w14:textId="77777777" w:rsidR="008C7BF9" w:rsidRDefault="008C7BF9">
      <w:pPr>
        <w:tabs>
          <w:tab w:val="left" w:pos="3374"/>
        </w:tabs>
        <w:spacing w:line="360" w:lineRule="auto"/>
        <w:rPr>
          <w:rFonts w:ascii="Palatino Linotype" w:eastAsia="Palatino Linotype" w:hAnsi="Palatino Linotype" w:cs="Palatino Linotype"/>
        </w:rPr>
      </w:pPr>
    </w:p>
    <w:p w14:paraId="66DB3686" w14:textId="77777777" w:rsidR="008C7BF9" w:rsidRDefault="008C7BF9">
      <w:pPr>
        <w:tabs>
          <w:tab w:val="left" w:pos="3374"/>
        </w:tabs>
        <w:spacing w:line="360" w:lineRule="auto"/>
        <w:rPr>
          <w:rFonts w:ascii="Palatino Linotype" w:eastAsia="Palatino Linotype" w:hAnsi="Palatino Linotype" w:cs="Palatino Linotype"/>
        </w:rPr>
      </w:pPr>
    </w:p>
    <w:p w14:paraId="02C799A3" w14:textId="77777777" w:rsidR="008C7BF9" w:rsidRDefault="008C7BF9">
      <w:pPr>
        <w:tabs>
          <w:tab w:val="left" w:pos="3374"/>
        </w:tabs>
        <w:spacing w:line="360" w:lineRule="auto"/>
        <w:rPr>
          <w:rFonts w:ascii="Palatino Linotype" w:eastAsia="Palatino Linotype" w:hAnsi="Palatino Linotype" w:cs="Palatino Linotype"/>
        </w:rPr>
      </w:pPr>
    </w:p>
    <w:p w14:paraId="3E5DA55B" w14:textId="77777777" w:rsidR="008C7BF9" w:rsidRDefault="008C7BF9">
      <w:pPr>
        <w:tabs>
          <w:tab w:val="left" w:pos="3374"/>
        </w:tabs>
        <w:spacing w:line="360" w:lineRule="auto"/>
        <w:rPr>
          <w:rFonts w:ascii="Palatino Linotype" w:eastAsia="Palatino Linotype" w:hAnsi="Palatino Linotype" w:cs="Palatino Linotype"/>
        </w:rPr>
      </w:pPr>
    </w:p>
    <w:p w14:paraId="299D752B" w14:textId="77777777" w:rsidR="008C7BF9" w:rsidRDefault="008C7BF9">
      <w:pPr>
        <w:tabs>
          <w:tab w:val="left" w:pos="3374"/>
        </w:tabs>
        <w:spacing w:line="360" w:lineRule="auto"/>
        <w:rPr>
          <w:rFonts w:ascii="Palatino Linotype" w:eastAsia="Palatino Linotype" w:hAnsi="Palatino Linotype" w:cs="Palatino Linotype"/>
        </w:rPr>
      </w:pPr>
    </w:p>
    <w:p w14:paraId="400E73E0" w14:textId="77777777" w:rsidR="008C7BF9" w:rsidRDefault="008C7BF9">
      <w:pPr>
        <w:spacing w:line="360" w:lineRule="auto"/>
        <w:rPr>
          <w:rFonts w:ascii="Palatino Linotype" w:eastAsia="Palatino Linotype" w:hAnsi="Palatino Linotype" w:cs="Palatino Linotype"/>
        </w:rPr>
      </w:pPr>
    </w:p>
    <w:sectPr w:rsidR="008C7BF9">
      <w:headerReference w:type="even" r:id="rId16"/>
      <w:headerReference w:type="default" r:id="rId17"/>
      <w:footerReference w:type="default" r:id="rId18"/>
      <w:headerReference w:type="first" r:id="rId19"/>
      <w:footerReference w:type="first" r:id="rId20"/>
      <w:pgSz w:w="12240" w:h="15840"/>
      <w:pgMar w:top="2694" w:right="160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96E3E" w14:textId="77777777" w:rsidR="00004362" w:rsidRDefault="00004362">
      <w:r>
        <w:separator/>
      </w:r>
    </w:p>
  </w:endnote>
  <w:endnote w:type="continuationSeparator" w:id="0">
    <w:p w14:paraId="2F404B50" w14:textId="77777777" w:rsidR="00004362" w:rsidRDefault="00004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F7DC8B4-1FF2-4D93-A565-7BB4B8E5E8F5}"/>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0EF9D6F4-ECB7-4F6F-A7F9-FE9514F5F77E}"/>
    <w:embedBold r:id="rId3" w:fontKey="{EB83DEA3-D1E4-48A1-89D5-ABBB313BE554}"/>
    <w:embedItalic r:id="rId4" w:fontKey="{104D53CB-C6DD-4BC7-A687-938390DFD17E}"/>
    <w:embedBoldItalic r:id="rId5" w:fontKey="{B02DB581-4683-489C-9C83-7B37C4140EB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955870B-E593-492E-8306-C1939C9E9780}"/>
    <w:embedBold r:id="rId7" w:fontKey="{6B589CBC-F4A1-46F2-911D-F48C179E8475}"/>
  </w:font>
  <w:font w:name="Calibri Light">
    <w:panose1 w:val="020F0302020204030204"/>
    <w:charset w:val="00"/>
    <w:family w:val="swiss"/>
    <w:pitch w:val="variable"/>
    <w:sig w:usb0="E4002EFF" w:usb1="C200247B" w:usb2="00000009" w:usb3="00000000" w:csb0="000001FF" w:csb1="00000000"/>
    <w:embedRegular r:id="rId8" w:fontKey="{DB74CD57-44FF-43E0-B4B0-6F09CE3641F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AD1B216A-BC39-49EC-BE91-C910CAD40B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CAE7B" w14:textId="77777777" w:rsidR="008C7BF9" w:rsidRDefault="00E07E6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20164">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20164">
      <w:rPr>
        <w:rFonts w:ascii="Palatino Linotype" w:eastAsia="Palatino Linotype" w:hAnsi="Palatino Linotype" w:cs="Palatino Linotype"/>
        <w:noProof/>
        <w:color w:val="000000"/>
        <w:sz w:val="20"/>
        <w:szCs w:val="20"/>
      </w:rPr>
      <w:t>71</w:t>
    </w:r>
    <w:r>
      <w:rPr>
        <w:rFonts w:ascii="Palatino Linotype" w:eastAsia="Palatino Linotype" w:hAnsi="Palatino Linotype" w:cs="Palatino Linotype"/>
        <w:color w:val="000000"/>
        <w:sz w:val="20"/>
        <w:szCs w:val="20"/>
      </w:rPr>
      <w:fldChar w:fldCharType="end"/>
    </w:r>
  </w:p>
  <w:p w14:paraId="7EEE81BE" w14:textId="77777777" w:rsidR="008C7BF9" w:rsidRDefault="008C7BF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D5C3E" w14:textId="77777777" w:rsidR="008C7BF9" w:rsidRDefault="00E07E6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2016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20164">
      <w:rPr>
        <w:rFonts w:ascii="Palatino Linotype" w:eastAsia="Palatino Linotype" w:hAnsi="Palatino Linotype" w:cs="Palatino Linotype"/>
        <w:noProof/>
        <w:color w:val="000000"/>
        <w:sz w:val="20"/>
        <w:szCs w:val="20"/>
      </w:rPr>
      <w:t>71</w:t>
    </w:r>
    <w:r>
      <w:rPr>
        <w:rFonts w:ascii="Palatino Linotype" w:eastAsia="Palatino Linotype" w:hAnsi="Palatino Linotype" w:cs="Palatino Linotype"/>
        <w:color w:val="000000"/>
        <w:sz w:val="20"/>
        <w:szCs w:val="20"/>
      </w:rPr>
      <w:fldChar w:fldCharType="end"/>
    </w:r>
  </w:p>
  <w:p w14:paraId="1DE882CE" w14:textId="77777777" w:rsidR="008C7BF9" w:rsidRDefault="008C7BF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49FEE" w14:textId="77777777" w:rsidR="00004362" w:rsidRDefault="00004362">
      <w:r>
        <w:separator/>
      </w:r>
    </w:p>
  </w:footnote>
  <w:footnote w:type="continuationSeparator" w:id="0">
    <w:p w14:paraId="6583A41D" w14:textId="77777777" w:rsidR="00004362" w:rsidRDefault="00004362">
      <w:r>
        <w:continuationSeparator/>
      </w:r>
    </w:p>
  </w:footnote>
  <w:footnote w:id="1">
    <w:p w14:paraId="2379D55F" w14:textId="77777777" w:rsidR="008C7BF9" w:rsidRDefault="00E07E6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3FB74F5" w14:textId="77777777" w:rsidR="008C7BF9" w:rsidRDefault="00E07E6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30C28D82" w14:textId="77777777" w:rsidR="008C7BF9" w:rsidRDefault="00E07E6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32BB780A" w14:textId="77777777" w:rsidR="008C7BF9" w:rsidRDefault="00E07E6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5CF8D9DE" w14:textId="77777777" w:rsidR="008C7BF9" w:rsidRDefault="00E07E6A">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1F14F" w14:textId="77777777" w:rsidR="008C7BF9" w:rsidRDefault="00004362">
    <w:pPr>
      <w:pBdr>
        <w:top w:val="nil"/>
        <w:left w:val="nil"/>
        <w:bottom w:val="nil"/>
        <w:right w:val="nil"/>
        <w:between w:val="nil"/>
      </w:pBdr>
      <w:tabs>
        <w:tab w:val="center" w:pos="4419"/>
        <w:tab w:val="right" w:pos="8838"/>
      </w:tabs>
      <w:rPr>
        <w:color w:val="000000"/>
      </w:rPr>
    </w:pPr>
    <w:r>
      <w:rPr>
        <w:color w:val="000000"/>
      </w:rPr>
      <w:pict w14:anchorId="20330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C90C" w14:textId="77777777" w:rsidR="008C7BF9" w:rsidRDefault="00004362">
    <w:pPr>
      <w:widowControl w:val="0"/>
      <w:pBdr>
        <w:top w:val="nil"/>
        <w:left w:val="nil"/>
        <w:bottom w:val="nil"/>
        <w:right w:val="nil"/>
        <w:between w:val="nil"/>
      </w:pBdr>
      <w:spacing w:line="276" w:lineRule="auto"/>
      <w:rPr>
        <w:color w:val="000000"/>
      </w:rPr>
    </w:pPr>
    <w:r>
      <w:rPr>
        <w:color w:val="000000"/>
        <w:sz w:val="14"/>
        <w:szCs w:val="14"/>
      </w:rPr>
      <w:pict w14:anchorId="5FAF4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29.6pt;width:609.4pt;height:793.75pt;z-index:-251659776;mso-position-horizontal:absolute;mso-position-horizontal-relative:margin;mso-position-vertical:absolute;mso-position-vertical-relative:margin">
          <v:imagedata r:id="rId1" o:title="image1"/>
          <w10:wrap anchorx="margin" anchory="margin"/>
        </v:shape>
      </w:pict>
    </w:r>
  </w:p>
  <w:tbl>
    <w:tblPr>
      <w:tblStyle w:val="a3"/>
      <w:tblW w:w="6519" w:type="dxa"/>
      <w:tblInd w:w="2694" w:type="dxa"/>
      <w:tblLayout w:type="fixed"/>
      <w:tblLook w:val="0400" w:firstRow="0" w:lastRow="0" w:firstColumn="0" w:lastColumn="0" w:noHBand="0" w:noVBand="1"/>
    </w:tblPr>
    <w:tblGrid>
      <w:gridCol w:w="2976"/>
      <w:gridCol w:w="3543"/>
    </w:tblGrid>
    <w:tr w:rsidR="008C7BF9" w14:paraId="2A4AD347" w14:textId="77777777">
      <w:trPr>
        <w:trHeight w:val="227"/>
      </w:trPr>
      <w:tc>
        <w:tcPr>
          <w:tcW w:w="2976" w:type="dxa"/>
          <w:vAlign w:val="center"/>
        </w:tcPr>
        <w:p w14:paraId="516EAC52" w14:textId="77777777" w:rsidR="008C7BF9" w:rsidRDefault="00E07E6A">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543" w:type="dxa"/>
          <w:vAlign w:val="center"/>
        </w:tcPr>
        <w:p w14:paraId="1DD5B343" w14:textId="77777777" w:rsidR="008C7BF9" w:rsidRDefault="00E07E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10793/INFOEM/IP/RR/2025</w:t>
          </w:r>
        </w:p>
      </w:tc>
    </w:tr>
    <w:tr w:rsidR="008C7BF9" w14:paraId="1431D2D2" w14:textId="77777777">
      <w:trPr>
        <w:trHeight w:val="242"/>
      </w:trPr>
      <w:tc>
        <w:tcPr>
          <w:tcW w:w="2976" w:type="dxa"/>
          <w:vAlign w:val="center"/>
        </w:tcPr>
        <w:p w14:paraId="13981EA4" w14:textId="77777777" w:rsidR="008C7BF9" w:rsidRDefault="00E07E6A">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543" w:type="dxa"/>
          <w:vAlign w:val="center"/>
        </w:tcPr>
        <w:p w14:paraId="4DDC36DE" w14:textId="77777777" w:rsidR="008C7BF9" w:rsidRDefault="00E07E6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Aculco</w:t>
          </w:r>
        </w:p>
      </w:tc>
    </w:tr>
    <w:tr w:rsidR="008C7BF9" w14:paraId="2443EE78" w14:textId="77777777">
      <w:trPr>
        <w:trHeight w:val="342"/>
      </w:trPr>
      <w:tc>
        <w:tcPr>
          <w:tcW w:w="2976" w:type="dxa"/>
          <w:vAlign w:val="center"/>
        </w:tcPr>
        <w:p w14:paraId="5671728B" w14:textId="77777777" w:rsidR="008C7BF9" w:rsidRDefault="00E07E6A">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543" w:type="dxa"/>
          <w:vAlign w:val="center"/>
        </w:tcPr>
        <w:p w14:paraId="5944176F" w14:textId="77777777" w:rsidR="008C7BF9" w:rsidRDefault="00E07E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D202FB5" w14:textId="77777777" w:rsidR="008C7BF9" w:rsidRDefault="008C7BF9">
    <w:pPr>
      <w:pBdr>
        <w:top w:val="nil"/>
        <w:left w:val="nil"/>
        <w:bottom w:val="nil"/>
        <w:right w:val="nil"/>
        <w:between w:val="nil"/>
      </w:pBdr>
      <w:tabs>
        <w:tab w:val="center" w:pos="4419"/>
        <w:tab w:val="right" w:pos="8838"/>
        <w:tab w:val="left" w:pos="6005"/>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9B76" w14:textId="77777777" w:rsidR="008C7BF9" w:rsidRDefault="00004362">
    <w:pPr>
      <w:widowControl w:val="0"/>
      <w:pBdr>
        <w:top w:val="nil"/>
        <w:left w:val="nil"/>
        <w:bottom w:val="nil"/>
        <w:right w:val="nil"/>
        <w:between w:val="nil"/>
      </w:pBdr>
      <w:spacing w:line="276" w:lineRule="auto"/>
      <w:rPr>
        <w:color w:val="000000"/>
        <w:sz w:val="14"/>
        <w:szCs w:val="14"/>
      </w:rPr>
    </w:pPr>
    <w:r>
      <w:rPr>
        <w:color w:val="000000"/>
        <w:sz w:val="16"/>
        <w:szCs w:val="16"/>
      </w:rPr>
      <w:pict w14:anchorId="63969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5.2pt;width:609.4pt;height:793.75pt;z-index:-251658752;mso-position-horizontal:absolute;mso-position-horizontal-relative:margin;mso-position-vertical:absolute;mso-position-vertical-relative:margin">
          <v:imagedata r:id="rId1" o:title="image1"/>
          <w10:wrap anchorx="margin" anchory="margin"/>
        </v:shape>
      </w:pict>
    </w:r>
  </w:p>
  <w:tbl>
    <w:tblPr>
      <w:tblStyle w:val="a4"/>
      <w:tblW w:w="6660" w:type="dxa"/>
      <w:tblInd w:w="2552" w:type="dxa"/>
      <w:tblLayout w:type="fixed"/>
      <w:tblLook w:val="0400" w:firstRow="0" w:lastRow="0" w:firstColumn="0" w:lastColumn="0" w:noHBand="0" w:noVBand="1"/>
    </w:tblPr>
    <w:tblGrid>
      <w:gridCol w:w="2977"/>
      <w:gridCol w:w="3683"/>
    </w:tblGrid>
    <w:tr w:rsidR="008C7BF9" w14:paraId="369F0C3D" w14:textId="77777777">
      <w:trPr>
        <w:trHeight w:val="227"/>
      </w:trPr>
      <w:tc>
        <w:tcPr>
          <w:tcW w:w="2977" w:type="dxa"/>
          <w:vAlign w:val="center"/>
        </w:tcPr>
        <w:p w14:paraId="41F4BCCF" w14:textId="77777777" w:rsidR="008C7BF9" w:rsidRDefault="00E07E6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3" w:type="dxa"/>
          <w:vAlign w:val="center"/>
        </w:tcPr>
        <w:p w14:paraId="64FC1ADA" w14:textId="77777777" w:rsidR="008C7BF9" w:rsidRDefault="00E07E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10793/INFOEM/IP/RR/2025</w:t>
          </w:r>
        </w:p>
      </w:tc>
    </w:tr>
    <w:tr w:rsidR="008C7BF9" w14:paraId="460EC029" w14:textId="77777777">
      <w:trPr>
        <w:trHeight w:val="242"/>
      </w:trPr>
      <w:tc>
        <w:tcPr>
          <w:tcW w:w="2977" w:type="dxa"/>
          <w:vAlign w:val="center"/>
        </w:tcPr>
        <w:p w14:paraId="0EA56158" w14:textId="77777777" w:rsidR="008C7BF9" w:rsidRDefault="00E07E6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83" w:type="dxa"/>
        </w:tcPr>
        <w:p w14:paraId="799436FF" w14:textId="48637CC9" w:rsidR="008C7BF9" w:rsidRDefault="00C20164">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XXXX</w:t>
          </w:r>
        </w:p>
      </w:tc>
    </w:tr>
    <w:tr w:rsidR="008C7BF9" w14:paraId="2BF44DBA" w14:textId="77777777">
      <w:trPr>
        <w:trHeight w:val="342"/>
      </w:trPr>
      <w:tc>
        <w:tcPr>
          <w:tcW w:w="2977" w:type="dxa"/>
          <w:vAlign w:val="center"/>
        </w:tcPr>
        <w:p w14:paraId="3EEEB18C" w14:textId="77777777" w:rsidR="008C7BF9" w:rsidRDefault="00E07E6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3" w:type="dxa"/>
          <w:vAlign w:val="center"/>
        </w:tcPr>
        <w:p w14:paraId="661E1ABA" w14:textId="77777777" w:rsidR="008C7BF9" w:rsidRDefault="00E07E6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Aculco</w:t>
          </w:r>
        </w:p>
      </w:tc>
    </w:tr>
    <w:tr w:rsidR="008C7BF9" w14:paraId="0DEE9985" w14:textId="77777777">
      <w:trPr>
        <w:trHeight w:val="342"/>
      </w:trPr>
      <w:tc>
        <w:tcPr>
          <w:tcW w:w="2977" w:type="dxa"/>
          <w:vAlign w:val="center"/>
        </w:tcPr>
        <w:p w14:paraId="5656B196" w14:textId="77777777" w:rsidR="008C7BF9" w:rsidRDefault="00E07E6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3" w:type="dxa"/>
          <w:vAlign w:val="center"/>
        </w:tcPr>
        <w:p w14:paraId="56E7993D" w14:textId="77777777" w:rsidR="008C7BF9" w:rsidRDefault="00E07E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15844D6C" w14:textId="77777777" w:rsidR="008C7BF9" w:rsidRDefault="008C7BF9">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4F6A"/>
    <w:multiLevelType w:val="multilevel"/>
    <w:tmpl w:val="CCDCB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B540B"/>
    <w:multiLevelType w:val="multilevel"/>
    <w:tmpl w:val="FF805D48"/>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2" w15:restartNumberingAfterBreak="0">
    <w:nsid w:val="0D035C73"/>
    <w:multiLevelType w:val="multilevel"/>
    <w:tmpl w:val="FDAC576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15:restartNumberingAfterBreak="0">
    <w:nsid w:val="0E284953"/>
    <w:multiLevelType w:val="multilevel"/>
    <w:tmpl w:val="8F8C6B3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114B8A"/>
    <w:multiLevelType w:val="multilevel"/>
    <w:tmpl w:val="777E7A7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6F82DEA"/>
    <w:multiLevelType w:val="multilevel"/>
    <w:tmpl w:val="3F588F9C"/>
    <w:lvl w:ilvl="0">
      <w:start w:val="1"/>
      <w:numFmt w:val="decimal"/>
      <w:lvlText w:val="%1."/>
      <w:lvlJc w:val="left"/>
      <w:pPr>
        <w:ind w:left="720" w:hanging="360"/>
      </w:pPr>
      <w:rPr>
        <w:b/>
        <w:bCs/>
        <w:i w:val="0"/>
        <w:iCs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DC76B5"/>
    <w:multiLevelType w:val="multilevel"/>
    <w:tmpl w:val="92648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425CDB"/>
    <w:multiLevelType w:val="multilevel"/>
    <w:tmpl w:val="1474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B83FC0"/>
    <w:multiLevelType w:val="multilevel"/>
    <w:tmpl w:val="C82A7C40"/>
    <w:lvl w:ilvl="0">
      <w:start w:val="24"/>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747FA5"/>
    <w:multiLevelType w:val="multilevel"/>
    <w:tmpl w:val="66C85C24"/>
    <w:lvl w:ilvl="0">
      <w:start w:val="1"/>
      <w:numFmt w:val="lowerLetter"/>
      <w:lvlText w:val="%1)"/>
      <w:lvlJc w:val="left"/>
      <w:pPr>
        <w:ind w:left="778"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5"/>
  </w:num>
  <w:num w:numId="3">
    <w:abstractNumId w:val="8"/>
  </w:num>
  <w:num w:numId="4">
    <w:abstractNumId w:val="3"/>
  </w:num>
  <w:num w:numId="5">
    <w:abstractNumId w:val="7"/>
  </w:num>
  <w:num w:numId="6">
    <w:abstractNumId w:val="0"/>
  </w:num>
  <w:num w:numId="7">
    <w:abstractNumId w:val="6"/>
  </w:num>
  <w:num w:numId="8">
    <w:abstractNumId w:val="1"/>
  </w:num>
  <w:num w:numId="9">
    <w:abstractNumId w:val="2"/>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BF9"/>
    <w:rsid w:val="00004362"/>
    <w:rsid w:val="00024575"/>
    <w:rsid w:val="00116BEA"/>
    <w:rsid w:val="00117CCD"/>
    <w:rsid w:val="001A289F"/>
    <w:rsid w:val="00327CE9"/>
    <w:rsid w:val="004743DC"/>
    <w:rsid w:val="0055234D"/>
    <w:rsid w:val="008C7BF9"/>
    <w:rsid w:val="008E22B4"/>
    <w:rsid w:val="00973E04"/>
    <w:rsid w:val="00BA2360"/>
    <w:rsid w:val="00C20164"/>
    <w:rsid w:val="00C97EDB"/>
    <w:rsid w:val="00E07E6A"/>
    <w:rsid w:val="00E73C69"/>
    <w:rsid w:val="00E80051"/>
    <w:rsid w:val="00EE28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4CB18"/>
  <w15:docId w15:val="{01D5EF13-6C21-4FCC-855F-487A64F4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BF46D9"/>
    <w:pPr>
      <w:spacing w:before="100" w:beforeAutospacing="1" w:after="100" w:afterAutospacing="1"/>
    </w:pPr>
    <w:rPr>
      <w:rFonts w:ascii="Times New Roman" w:eastAsia="Times New Roman" w:hAnsi="Times New Roman" w:cs="Times New Roman"/>
      <w:lang w:val="es-MX"/>
    </w:rPr>
  </w:style>
  <w:style w:type="paragraph" w:styleId="Listaconvietas2">
    <w:name w:val="List Bullet 2"/>
    <w:basedOn w:val="Normal"/>
    <w:uiPriority w:val="99"/>
    <w:unhideWhenUsed/>
    <w:rsid w:val="00C45B65"/>
    <w:pPr>
      <w:numPr>
        <w:numId w:val="10"/>
      </w:numPr>
      <w:contextualSpacing/>
    </w:pPr>
    <w:rPr>
      <w:rFonts w:ascii="Times New Roman" w:eastAsia="Times New Roman" w:hAnsi="Times New Roman" w:cs="Times New Roman"/>
      <w:sz w:val="20"/>
      <w:szCs w:val="20"/>
      <w:lang w:val="es-MX"/>
    </w:rPr>
  </w:style>
  <w:style w:type="numbering" w:customStyle="1" w:styleId="Estiloimportado22">
    <w:name w:val="Estilo importado 22"/>
    <w:rsid w:val="003C3C97"/>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dusef.gob.mx/Revista/index.php/usuario-inteligente/servicios-financieros/392-registro-federal-de-contribuyentes"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ox+RyDEvMfaFEB+BO1ihlT7Og==">CgMxLjAyCGguZ2pkZ3hzMgloLjMwajB6bGwyCWguMWZvYjl0ZTIJaC4zem55c2g3MgloLjJldDkycDAyCGgudHlqY3d0MgloLjNkeTZ2a20yDmguNWphNnJiazI0Y3NjMghoLmxueGJ6OTgAciExekdQQUt4amxOM1I2LWs2Vjk2Y2FBWDVsczZ6OGhXVjE=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71</Pages>
  <Words>14691</Words>
  <Characters>80806</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11</cp:revision>
  <cp:lastPrinted>2026-04-10T16:18:00Z</cp:lastPrinted>
  <dcterms:created xsi:type="dcterms:W3CDTF">2026-03-24T21:34:00Z</dcterms:created>
  <dcterms:modified xsi:type="dcterms:W3CDTF">2026-04-17T20:29:00Z</dcterms:modified>
</cp:coreProperties>
</file>