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5F94B" w14:textId="7869A17C"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F765DE" w:rsidRPr="00B52138">
        <w:rPr>
          <w:rFonts w:ascii="Palatino Linotype" w:eastAsia="Palatino Linotype" w:hAnsi="Palatino Linotype" w:cs="Palatino Linotype"/>
          <w:sz w:val="22"/>
          <w:szCs w:val="22"/>
        </w:rPr>
        <w:t>ocho de abril</w:t>
      </w:r>
      <w:r w:rsidR="002705E1" w:rsidRPr="00B52138">
        <w:rPr>
          <w:rFonts w:ascii="Palatino Linotype" w:eastAsia="Palatino Linotype" w:hAnsi="Palatino Linotype" w:cs="Palatino Linotype"/>
          <w:sz w:val="22"/>
          <w:szCs w:val="22"/>
        </w:rPr>
        <w:t xml:space="preserve"> </w:t>
      </w:r>
      <w:r w:rsidRPr="00B52138">
        <w:rPr>
          <w:rFonts w:ascii="Palatino Linotype" w:eastAsia="Palatino Linotype" w:hAnsi="Palatino Linotype" w:cs="Palatino Linotype"/>
          <w:sz w:val="22"/>
          <w:szCs w:val="22"/>
        </w:rPr>
        <w:t xml:space="preserve">de dos mil </w:t>
      </w:r>
      <w:r w:rsidR="002705E1" w:rsidRPr="00B52138">
        <w:rPr>
          <w:rFonts w:ascii="Palatino Linotype" w:eastAsia="Palatino Linotype" w:hAnsi="Palatino Linotype" w:cs="Palatino Linotype"/>
          <w:sz w:val="22"/>
          <w:szCs w:val="22"/>
        </w:rPr>
        <w:t>veintiséis</w:t>
      </w:r>
      <w:r w:rsidRPr="00B52138">
        <w:rPr>
          <w:rFonts w:ascii="Palatino Linotype" w:eastAsia="Palatino Linotype" w:hAnsi="Palatino Linotype" w:cs="Palatino Linotype"/>
          <w:sz w:val="22"/>
          <w:szCs w:val="22"/>
        </w:rPr>
        <w:t xml:space="preserve">. </w:t>
      </w:r>
    </w:p>
    <w:p w14:paraId="4ED9AAE1" w14:textId="351DFF45" w:rsidR="009D5719" w:rsidRPr="00B52138" w:rsidRDefault="00377B0B">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B52138">
        <w:rPr>
          <w:rFonts w:ascii="Palatino Linotype" w:eastAsia="Palatino Linotype" w:hAnsi="Palatino Linotype" w:cs="Palatino Linotype"/>
          <w:b/>
          <w:bCs/>
          <w:sz w:val="22"/>
          <w:szCs w:val="22"/>
        </w:rPr>
        <w:t>VISTO</w:t>
      </w:r>
      <w:r w:rsidRPr="00B52138">
        <w:rPr>
          <w:rFonts w:ascii="Palatino Linotype" w:eastAsia="Palatino Linotype" w:hAnsi="Palatino Linotype" w:cs="Palatino Linotype"/>
          <w:sz w:val="22"/>
          <w:szCs w:val="22"/>
        </w:rPr>
        <w:t xml:space="preserve"> el expediente formado con motivo del recurso de revisión </w:t>
      </w:r>
      <w:r w:rsidR="00F76877" w:rsidRPr="00B52138">
        <w:rPr>
          <w:rFonts w:ascii="Palatino Linotype" w:eastAsia="Palatino Linotype" w:hAnsi="Palatino Linotype" w:cs="Palatino Linotype"/>
          <w:b/>
          <w:bCs/>
          <w:sz w:val="22"/>
          <w:szCs w:val="22"/>
        </w:rPr>
        <w:t>14114</w:t>
      </w:r>
      <w:r w:rsidRPr="00B52138">
        <w:rPr>
          <w:rFonts w:ascii="Palatino Linotype" w:eastAsia="Palatino Linotype" w:hAnsi="Palatino Linotype" w:cs="Palatino Linotype"/>
          <w:b/>
          <w:bCs/>
          <w:sz w:val="22"/>
          <w:szCs w:val="22"/>
        </w:rPr>
        <w:t>/INFOEM/IP/RR/2025</w:t>
      </w:r>
      <w:r w:rsidRPr="00B52138">
        <w:rPr>
          <w:rFonts w:ascii="Palatino Linotype" w:eastAsia="Palatino Linotype" w:hAnsi="Palatino Linotype" w:cs="Palatino Linotype"/>
          <w:sz w:val="22"/>
          <w:szCs w:val="22"/>
        </w:rPr>
        <w:t>, interpuesto por</w:t>
      </w:r>
      <w:r w:rsidRPr="00B52138">
        <w:rPr>
          <w:rFonts w:ascii="Palatino Linotype" w:eastAsia="Palatino Linotype" w:hAnsi="Palatino Linotype" w:cs="Palatino Linotype"/>
          <w:b/>
          <w:bCs/>
          <w:sz w:val="22"/>
          <w:szCs w:val="22"/>
        </w:rPr>
        <w:t xml:space="preserve"> una persona que no proporcionó su nombre,</w:t>
      </w:r>
      <w:r w:rsidRPr="00B52138">
        <w:rPr>
          <w:rFonts w:ascii="Palatino Linotype" w:eastAsia="Palatino Linotype" w:hAnsi="Palatino Linotype" w:cs="Palatino Linotype"/>
          <w:sz w:val="22"/>
          <w:szCs w:val="22"/>
        </w:rPr>
        <w:t xml:space="preserve"> en lo sucesivo</w:t>
      </w:r>
      <w:r w:rsidRPr="00B52138">
        <w:rPr>
          <w:rFonts w:ascii="Palatino Linotype" w:eastAsia="Palatino Linotype" w:hAnsi="Palatino Linotype" w:cs="Palatino Linotype"/>
          <w:b/>
          <w:bCs/>
          <w:sz w:val="22"/>
          <w:szCs w:val="22"/>
        </w:rPr>
        <w:t xml:space="preserve"> </w:t>
      </w:r>
      <w:r w:rsidRPr="00B52138">
        <w:rPr>
          <w:rFonts w:ascii="Palatino Linotype" w:eastAsia="Palatino Linotype" w:hAnsi="Palatino Linotype" w:cs="Palatino Linotype"/>
          <w:sz w:val="22"/>
          <w:szCs w:val="22"/>
        </w:rPr>
        <w:t xml:space="preserve">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xml:space="preserve"> en contra de la respuesta a la solicitud de información con número de folio</w:t>
      </w:r>
      <w:r w:rsidRPr="00B52138">
        <w:rPr>
          <w:rFonts w:ascii="Palatino Linotype" w:eastAsia="Palatino Linotype" w:hAnsi="Palatino Linotype" w:cs="Palatino Linotype"/>
          <w:b/>
          <w:bCs/>
          <w:sz w:val="22"/>
          <w:szCs w:val="22"/>
        </w:rPr>
        <w:t xml:space="preserve"> </w:t>
      </w:r>
      <w:r w:rsidR="00F76877" w:rsidRPr="00B52138">
        <w:rPr>
          <w:rFonts w:ascii="Palatino Linotype" w:eastAsia="Palatino Linotype" w:hAnsi="Palatino Linotype" w:cs="Palatino Linotype"/>
          <w:b/>
          <w:bCs/>
          <w:sz w:val="22"/>
          <w:szCs w:val="22"/>
        </w:rPr>
        <w:t>05455</w:t>
      </w:r>
      <w:r w:rsidR="002705E1" w:rsidRPr="00B52138">
        <w:rPr>
          <w:rFonts w:ascii="Palatino Linotype" w:eastAsia="Palatino Linotype" w:hAnsi="Palatino Linotype" w:cs="Palatino Linotype"/>
          <w:b/>
          <w:bCs/>
          <w:sz w:val="22"/>
          <w:szCs w:val="22"/>
        </w:rPr>
        <w:t>/TOLUCA/IP/2025</w:t>
      </w:r>
      <w:r w:rsidRPr="00B52138">
        <w:rPr>
          <w:rFonts w:ascii="Palatino Linotype" w:eastAsia="Palatino Linotype" w:hAnsi="Palatino Linotype" w:cs="Palatino Linotype"/>
          <w:b/>
          <w:bCs/>
          <w:sz w:val="22"/>
          <w:szCs w:val="22"/>
        </w:rPr>
        <w:t xml:space="preserve">, </w:t>
      </w:r>
      <w:r w:rsidRPr="00B52138">
        <w:rPr>
          <w:rFonts w:ascii="Palatino Linotype" w:eastAsia="Palatino Linotype" w:hAnsi="Palatino Linotype" w:cs="Palatino Linotype"/>
          <w:sz w:val="22"/>
          <w:szCs w:val="22"/>
        </w:rPr>
        <w:t xml:space="preserve">por parte del </w:t>
      </w:r>
      <w:r w:rsidRPr="00B52138">
        <w:rPr>
          <w:rFonts w:ascii="Palatino Linotype" w:eastAsia="Palatino Linotype" w:hAnsi="Palatino Linotype" w:cs="Palatino Linotype"/>
          <w:b/>
          <w:bCs/>
          <w:sz w:val="22"/>
          <w:szCs w:val="22"/>
        </w:rPr>
        <w:t xml:space="preserve">Ayuntamiento de Toluca, </w:t>
      </w:r>
      <w:r w:rsidRPr="00B52138">
        <w:rPr>
          <w:rFonts w:ascii="Palatino Linotype" w:eastAsia="Palatino Linotype" w:hAnsi="Palatino Linotype" w:cs="Palatino Linotype"/>
          <w:sz w:val="22"/>
          <w:szCs w:val="22"/>
        </w:rPr>
        <w:t xml:space="preserve">en lo sucesivo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 xml:space="preserve">se procede a dictar la presente resolución con base en los siguientes: </w:t>
      </w:r>
    </w:p>
    <w:p w14:paraId="0F7D6484" w14:textId="77777777" w:rsidR="009D5719" w:rsidRPr="00B52138" w:rsidRDefault="00377B0B">
      <w:pPr>
        <w:spacing w:before="240" w:after="240" w:line="360" w:lineRule="auto"/>
        <w:jc w:val="center"/>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I. A N T E C E D E N T E S</w:t>
      </w:r>
    </w:p>
    <w:p w14:paraId="5885C935" w14:textId="16F31ADD"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1" w:name="_heading=h.gjdgxs" w:colFirst="0" w:colLast="0"/>
      <w:bookmarkEnd w:id="1"/>
      <w:r w:rsidRPr="00B52138">
        <w:rPr>
          <w:rFonts w:ascii="Palatino Linotype" w:eastAsia="Palatino Linotype" w:hAnsi="Palatino Linotype" w:cs="Palatino Linotype"/>
          <w:b/>
          <w:bCs/>
          <w:sz w:val="22"/>
          <w:szCs w:val="22"/>
        </w:rPr>
        <w:t>1. Solicitud de acceso a la información.</w:t>
      </w:r>
      <w:r w:rsidRPr="00B52138">
        <w:rPr>
          <w:rFonts w:ascii="Palatino Linotype" w:eastAsia="Palatino Linotype" w:hAnsi="Palatino Linotype" w:cs="Palatino Linotype"/>
          <w:sz w:val="22"/>
          <w:szCs w:val="22"/>
        </w:rPr>
        <w:t xml:space="preserve"> El </w:t>
      </w:r>
      <w:r w:rsidR="002705E1" w:rsidRPr="00B52138">
        <w:rPr>
          <w:rFonts w:ascii="Palatino Linotype" w:eastAsia="Palatino Linotype" w:hAnsi="Palatino Linotype" w:cs="Palatino Linotype"/>
          <w:b/>
          <w:bCs/>
          <w:sz w:val="22"/>
          <w:szCs w:val="22"/>
        </w:rPr>
        <w:t>veinti</w:t>
      </w:r>
      <w:r w:rsidR="00BE511F" w:rsidRPr="00B52138">
        <w:rPr>
          <w:rFonts w:ascii="Palatino Linotype" w:eastAsia="Palatino Linotype" w:hAnsi="Palatino Linotype" w:cs="Palatino Linotype"/>
          <w:b/>
          <w:bCs/>
          <w:sz w:val="22"/>
          <w:szCs w:val="22"/>
        </w:rPr>
        <w:t>ocho</w:t>
      </w:r>
      <w:r w:rsidR="002705E1" w:rsidRPr="00B52138">
        <w:rPr>
          <w:rFonts w:ascii="Palatino Linotype" w:eastAsia="Palatino Linotype" w:hAnsi="Palatino Linotype" w:cs="Palatino Linotype"/>
          <w:b/>
          <w:bCs/>
          <w:sz w:val="22"/>
          <w:szCs w:val="22"/>
        </w:rPr>
        <w:t xml:space="preserve"> de </w:t>
      </w:r>
      <w:r w:rsidR="00BE511F" w:rsidRPr="00B52138">
        <w:rPr>
          <w:rFonts w:ascii="Palatino Linotype" w:eastAsia="Palatino Linotype" w:hAnsi="Palatino Linotype" w:cs="Palatino Linotype"/>
          <w:b/>
          <w:bCs/>
          <w:sz w:val="22"/>
          <w:szCs w:val="22"/>
        </w:rPr>
        <w:t xml:space="preserve">octubre </w:t>
      </w:r>
      <w:r w:rsidRPr="00B52138">
        <w:rPr>
          <w:rFonts w:ascii="Palatino Linotype" w:eastAsia="Palatino Linotype" w:hAnsi="Palatino Linotype" w:cs="Palatino Linotype"/>
          <w:b/>
          <w:bCs/>
          <w:sz w:val="22"/>
          <w:szCs w:val="22"/>
        </w:rPr>
        <w:t>de dos mil veinticinco,</w:t>
      </w:r>
      <w:r w:rsidRPr="00B52138">
        <w:rPr>
          <w:rFonts w:ascii="Palatino Linotype" w:eastAsia="Palatino Linotype" w:hAnsi="Palatino Linotype" w:cs="Palatino Linotype"/>
          <w:sz w:val="22"/>
          <w:szCs w:val="22"/>
        </w:rPr>
        <w:t xml:space="preserve"> la parte </w:t>
      </w:r>
      <w:r w:rsidRPr="00B52138">
        <w:rPr>
          <w:rFonts w:ascii="Palatino Linotype" w:eastAsia="Palatino Linotype" w:hAnsi="Palatino Linotype" w:cs="Palatino Linotype"/>
          <w:b/>
          <w:bCs/>
          <w:sz w:val="22"/>
          <w:szCs w:val="22"/>
        </w:rPr>
        <w:t xml:space="preserve">Recurrente </w:t>
      </w:r>
      <w:r w:rsidRPr="00B52138">
        <w:rPr>
          <w:rFonts w:ascii="Palatino Linotype" w:eastAsia="Palatino Linotype" w:hAnsi="Palatino Linotype" w:cs="Palatino Linotype"/>
          <w:sz w:val="22"/>
          <w:szCs w:val="22"/>
        </w:rPr>
        <w:t xml:space="preserve">presentó la solicitud de acceso a la información pública ante el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a través del Sistema de Acceso a la Información Mexiquense, en lo subsecuente el </w:t>
      </w:r>
      <w:r w:rsidRPr="00B52138">
        <w:rPr>
          <w:rFonts w:ascii="Palatino Linotype" w:eastAsia="Palatino Linotype" w:hAnsi="Palatino Linotype" w:cs="Palatino Linotype"/>
          <w:b/>
          <w:bCs/>
          <w:sz w:val="22"/>
          <w:szCs w:val="22"/>
        </w:rPr>
        <w:t>SAIMEX,</w:t>
      </w:r>
      <w:r w:rsidRPr="00B52138">
        <w:rPr>
          <w:rFonts w:ascii="Palatino Linotype" w:eastAsia="Palatino Linotype" w:hAnsi="Palatino Linotype" w:cs="Palatino Linotype"/>
          <w:sz w:val="22"/>
          <w:szCs w:val="22"/>
        </w:rPr>
        <w:t xml:space="preserve"> mediante la cual requirió lo siguiente:</w:t>
      </w:r>
    </w:p>
    <w:p w14:paraId="1F84EB5E" w14:textId="25A5418B" w:rsidR="009D5719" w:rsidRPr="00B52138" w:rsidRDefault="00377B0B">
      <w:pPr>
        <w:spacing w:before="120" w:after="120"/>
        <w:ind w:left="851" w:right="902"/>
        <w:jc w:val="both"/>
        <w:rPr>
          <w:rFonts w:ascii="Palatino Linotype" w:eastAsia="Palatino Linotype" w:hAnsi="Palatino Linotype" w:cs="Palatino Linotype"/>
          <w:b/>
          <w:bCs/>
          <w:i/>
          <w:iCs/>
          <w:sz w:val="22"/>
          <w:szCs w:val="22"/>
        </w:rPr>
      </w:pPr>
      <w:r w:rsidRPr="00B52138">
        <w:rPr>
          <w:rFonts w:ascii="Palatino Linotype" w:eastAsia="Palatino Linotype" w:hAnsi="Palatino Linotype" w:cs="Palatino Linotype"/>
          <w:i/>
          <w:iCs/>
          <w:sz w:val="22"/>
          <w:szCs w:val="22"/>
        </w:rPr>
        <w:t xml:space="preserve"> “</w:t>
      </w:r>
      <w:r w:rsidR="00BE511F" w:rsidRPr="00B52138">
        <w:rPr>
          <w:rFonts w:ascii="Palatino Linotype" w:eastAsia="Palatino Linotype" w:hAnsi="Palatino Linotype" w:cs="Palatino Linotype"/>
          <w:i/>
          <w:iCs/>
          <w:sz w:val="22"/>
          <w:szCs w:val="22"/>
        </w:rPr>
        <w:t>Se solicita el número de elementos operativos adscritos a la Dirección de Seguridad Pública Municipal, así como el número de patrullas, motocicletas y radios de comunicación en operación durante 2025</w:t>
      </w:r>
      <w:r w:rsidR="007F77E2" w:rsidRPr="00B52138">
        <w:rPr>
          <w:rFonts w:ascii="Palatino Linotype" w:eastAsia="Palatino Linotype" w:hAnsi="Palatino Linotype" w:cs="Palatino Linotype"/>
          <w:i/>
          <w:iCs/>
          <w:sz w:val="22"/>
          <w:szCs w:val="22"/>
        </w:rPr>
        <w:t>.</w:t>
      </w:r>
      <w:r w:rsidRPr="00B52138">
        <w:rPr>
          <w:rFonts w:ascii="Palatino Linotype" w:eastAsia="Palatino Linotype" w:hAnsi="Palatino Linotype" w:cs="Palatino Linotype"/>
          <w:b/>
          <w:bCs/>
          <w:i/>
          <w:iCs/>
          <w:sz w:val="22"/>
          <w:szCs w:val="22"/>
        </w:rPr>
        <w:t>”</w:t>
      </w:r>
      <w:r w:rsidRPr="00B52138">
        <w:rPr>
          <w:rFonts w:ascii="Palatino Linotype" w:eastAsia="Palatino Linotype" w:hAnsi="Palatino Linotype" w:cs="Palatino Linotype"/>
          <w:i/>
          <w:iCs/>
          <w:sz w:val="22"/>
          <w:szCs w:val="22"/>
        </w:rPr>
        <w:t xml:space="preserve"> (sic) </w:t>
      </w:r>
    </w:p>
    <w:p w14:paraId="49464B51"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B52138">
        <w:rPr>
          <w:rFonts w:ascii="Palatino Linotype" w:eastAsia="Palatino Linotype" w:hAnsi="Palatino Linotype" w:cs="Palatino Linotype"/>
          <w:b/>
          <w:bCs/>
          <w:sz w:val="22"/>
          <w:szCs w:val="22"/>
        </w:rPr>
        <w:t>Modalidad de Entrega:</w:t>
      </w:r>
      <w:r w:rsidRPr="00B52138">
        <w:rPr>
          <w:rFonts w:ascii="Palatino Linotype" w:eastAsia="Palatino Linotype" w:hAnsi="Palatino Linotype" w:cs="Palatino Linotype"/>
          <w:sz w:val="22"/>
          <w:szCs w:val="22"/>
        </w:rPr>
        <w:t xml:space="preserve"> a través del</w:t>
      </w:r>
      <w:r w:rsidRPr="00B52138">
        <w:rPr>
          <w:rFonts w:ascii="Palatino Linotype" w:eastAsia="Palatino Linotype" w:hAnsi="Palatino Linotype" w:cs="Palatino Linotype"/>
          <w:b/>
          <w:bCs/>
          <w:sz w:val="22"/>
          <w:szCs w:val="22"/>
        </w:rPr>
        <w:t xml:space="preserve"> SAIMEX.</w:t>
      </w:r>
    </w:p>
    <w:p w14:paraId="28C437EC" w14:textId="3D460459"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 xml:space="preserve">2. Respuesta. </w:t>
      </w:r>
      <w:r w:rsidRPr="00B52138">
        <w:rPr>
          <w:rFonts w:ascii="Palatino Linotype" w:eastAsia="Palatino Linotype" w:hAnsi="Palatino Linotype" w:cs="Palatino Linotype"/>
          <w:sz w:val="22"/>
          <w:szCs w:val="22"/>
        </w:rPr>
        <w:t xml:space="preserve">El </w:t>
      </w:r>
      <w:r w:rsidR="007B60C6" w:rsidRPr="00B52138">
        <w:rPr>
          <w:rFonts w:ascii="Palatino Linotype" w:eastAsia="Palatino Linotype" w:hAnsi="Palatino Linotype" w:cs="Palatino Linotype"/>
          <w:b/>
          <w:bCs/>
          <w:sz w:val="22"/>
          <w:szCs w:val="22"/>
        </w:rPr>
        <w:t xml:space="preserve">diecinueve de noviembre </w:t>
      </w:r>
      <w:r w:rsidRPr="00B52138">
        <w:rPr>
          <w:rFonts w:ascii="Palatino Linotype" w:eastAsia="Palatino Linotype" w:hAnsi="Palatino Linotype" w:cs="Palatino Linotype"/>
          <w:b/>
          <w:bCs/>
          <w:sz w:val="22"/>
          <w:szCs w:val="22"/>
        </w:rPr>
        <w:t>de dos mil veinticinco,</w:t>
      </w:r>
      <w:r w:rsidRPr="00B52138">
        <w:rPr>
          <w:rFonts w:ascii="Palatino Linotype" w:eastAsia="Palatino Linotype" w:hAnsi="Palatino Linotype" w:cs="Palatino Linotype"/>
          <w:sz w:val="22"/>
          <w:szCs w:val="22"/>
        </w:rPr>
        <w:t xml:space="preserve">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AA215E1" w14:textId="489BF852" w:rsidR="009D5719" w:rsidRPr="00B52138" w:rsidRDefault="00377B0B">
      <w:pPr>
        <w:spacing w:before="240" w:after="24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007B60C6" w:rsidRPr="00B52138">
        <w:rPr>
          <w:rFonts w:ascii="Palatino Linotype" w:eastAsia="Palatino Linotype" w:hAnsi="Palatino Linotype" w:cs="Palatino Linotype"/>
          <w:i/>
          <w:iCs/>
          <w:sz w:val="22"/>
          <w:szCs w:val="22"/>
        </w:rPr>
        <w:t>En atención a la solicitud con folio 05455/TOLUCA/IP/2025, me permito adjuntar al presente la respuesta correspondiente, Sin más por el momento, reciba un saludo.</w:t>
      </w:r>
      <w:r w:rsidRPr="00B52138">
        <w:rPr>
          <w:rFonts w:ascii="Palatino Linotype" w:eastAsia="Palatino Linotype" w:hAnsi="Palatino Linotype" w:cs="Palatino Linotype"/>
          <w:i/>
          <w:iCs/>
          <w:sz w:val="22"/>
          <w:szCs w:val="22"/>
        </w:rPr>
        <w:t>..” (sic)</w:t>
      </w:r>
    </w:p>
    <w:p w14:paraId="072E149C" w14:textId="77777777" w:rsidR="009D5719" w:rsidRPr="00B52138" w:rsidRDefault="00377B0B">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lastRenderedPageBreak/>
        <w:t xml:space="preserve">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adjuntó lo siguiente:</w:t>
      </w:r>
    </w:p>
    <w:p w14:paraId="0E36C1F5" w14:textId="5DF7AB2B" w:rsidR="001E1569" w:rsidRPr="00B52138" w:rsidRDefault="00377B0B" w:rsidP="00825AF4">
      <w:pPr>
        <w:spacing w:before="240" w:after="240" w:line="360" w:lineRule="auto"/>
        <w:ind w:left="284"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Oficio número </w:t>
      </w:r>
      <w:r w:rsidR="001E1569" w:rsidRPr="00B52138">
        <w:rPr>
          <w:rFonts w:ascii="Palatino Linotype" w:hAnsi="Palatino Linotype"/>
          <w:sz w:val="22"/>
          <w:szCs w:val="22"/>
        </w:rPr>
        <w:t>206010000/6729/2025</w:t>
      </w:r>
      <w:r w:rsidRPr="00B52138">
        <w:rPr>
          <w:rFonts w:ascii="Palatino Linotype" w:hAnsi="Palatino Linotype"/>
          <w:sz w:val="22"/>
          <w:szCs w:val="22"/>
        </w:rPr>
        <w:t xml:space="preserve">, mediante el cual la Directora General de Administración </w:t>
      </w:r>
      <w:r w:rsidR="001E1569" w:rsidRPr="00B52138">
        <w:rPr>
          <w:rFonts w:ascii="Palatino Linotype" w:eastAsia="Palatino Linotype" w:hAnsi="Palatino Linotype" w:cs="Palatino Linotype"/>
          <w:sz w:val="22"/>
          <w:szCs w:val="22"/>
        </w:rPr>
        <w:t xml:space="preserve">proporcionó </w:t>
      </w:r>
      <w:r w:rsidR="000D6308" w:rsidRPr="00B52138">
        <w:rPr>
          <w:rFonts w:ascii="Palatino Linotype" w:eastAsia="Palatino Linotype" w:hAnsi="Palatino Linotype" w:cs="Palatino Linotype"/>
          <w:sz w:val="22"/>
          <w:szCs w:val="22"/>
        </w:rPr>
        <w:t>l</w:t>
      </w:r>
      <w:r w:rsidR="001E1569" w:rsidRPr="00B52138">
        <w:rPr>
          <w:rFonts w:ascii="Palatino Linotype" w:eastAsia="Palatino Linotype" w:hAnsi="Palatino Linotype" w:cs="Palatino Linotype"/>
          <w:sz w:val="22"/>
          <w:szCs w:val="22"/>
        </w:rPr>
        <w:t xml:space="preserve">a dirección electrónica </w:t>
      </w:r>
      <w:r w:rsidR="000D6308" w:rsidRPr="00B52138">
        <w:rPr>
          <w:rFonts w:ascii="Palatino Linotype" w:eastAsia="Palatino Linotype" w:hAnsi="Palatino Linotype" w:cs="Palatino Linotype"/>
          <w:sz w:val="22"/>
          <w:szCs w:val="22"/>
        </w:rPr>
        <w:t xml:space="preserve">del portal de Información Pública de Oficio Mexiquense, IPOMEX, </w:t>
      </w:r>
      <w:r w:rsidR="009A32B1" w:rsidRPr="00B52138">
        <w:rPr>
          <w:rFonts w:ascii="Palatino Linotype" w:eastAsia="Palatino Linotype" w:hAnsi="Palatino Linotype" w:cs="Palatino Linotype"/>
          <w:sz w:val="22"/>
          <w:szCs w:val="22"/>
        </w:rPr>
        <w:t>del apartado inventario de bienes muebles, en formato cerrado</w:t>
      </w:r>
      <w:r w:rsidR="000D6308" w:rsidRPr="00B52138">
        <w:rPr>
          <w:rFonts w:ascii="Palatino Linotype" w:eastAsia="Palatino Linotype" w:hAnsi="Palatino Linotype" w:cs="Palatino Linotype"/>
          <w:sz w:val="22"/>
          <w:szCs w:val="22"/>
        </w:rPr>
        <w:t xml:space="preserve"> para </w:t>
      </w:r>
      <w:r w:rsidR="009A32B1" w:rsidRPr="00B52138">
        <w:rPr>
          <w:rFonts w:ascii="Palatino Linotype" w:eastAsia="Palatino Linotype" w:hAnsi="Palatino Linotype" w:cs="Palatino Linotype"/>
          <w:sz w:val="22"/>
          <w:szCs w:val="22"/>
        </w:rPr>
        <w:t xml:space="preserve">efectos de </w:t>
      </w:r>
      <w:r w:rsidR="000D6308" w:rsidRPr="00B52138">
        <w:rPr>
          <w:rFonts w:ascii="Palatino Linotype" w:eastAsia="Palatino Linotype" w:hAnsi="Palatino Linotype" w:cs="Palatino Linotype"/>
          <w:sz w:val="22"/>
          <w:szCs w:val="22"/>
        </w:rPr>
        <w:t>la consulta de la i</w:t>
      </w:r>
      <w:r w:rsidR="009A32B1" w:rsidRPr="00B52138">
        <w:rPr>
          <w:rFonts w:ascii="Palatino Linotype" w:eastAsia="Palatino Linotype" w:hAnsi="Palatino Linotype" w:cs="Palatino Linotype"/>
          <w:sz w:val="22"/>
          <w:szCs w:val="22"/>
        </w:rPr>
        <w:t>nformación.</w:t>
      </w:r>
    </w:p>
    <w:p w14:paraId="1576B24C" w14:textId="27289ECF" w:rsidR="00CA63CB" w:rsidRPr="00B52138" w:rsidRDefault="00CE6615" w:rsidP="00825AF4">
      <w:pPr>
        <w:spacing w:before="240" w:after="240" w:line="360" w:lineRule="auto"/>
        <w:ind w:left="284"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w:t>
      </w:r>
      <w:r w:rsidR="00E916B3" w:rsidRPr="00B52138">
        <w:rPr>
          <w:rFonts w:ascii="Palatino Linotype" w:eastAsia="Palatino Linotype" w:hAnsi="Palatino Linotype" w:cs="Palatino Linotype"/>
          <w:sz w:val="22"/>
          <w:szCs w:val="22"/>
        </w:rPr>
        <w:t xml:space="preserve">Oficio número 205010200/2400/2025, mediante el cual el Delegado Administrativo de la Dirección General de Seguridad y Protección </w:t>
      </w:r>
      <w:r w:rsidR="00CA63CB" w:rsidRPr="00B52138">
        <w:rPr>
          <w:rFonts w:ascii="Palatino Linotype" w:eastAsia="Palatino Linotype" w:hAnsi="Palatino Linotype" w:cs="Palatino Linotype"/>
          <w:sz w:val="22"/>
          <w:szCs w:val="22"/>
        </w:rPr>
        <w:t>proporcionó el numero de elementos operativos al 10 de noviembre de 2025, así como el número de patrullas y motocicletas que conforman el parque vehicular de la Dirección General de Seguridad y Protección, y por lo que se refiere a los radios de comunicación en operación en el año 2025, señaló que no realiza la gestión ni control de los mismos.</w:t>
      </w:r>
    </w:p>
    <w:p w14:paraId="4514ED72" w14:textId="03C23A82" w:rsidR="009D5719" w:rsidRPr="00B52138" w:rsidRDefault="00377B0B" w:rsidP="00655D9C">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 xml:space="preserve">3. Interposición del recurso de revisión. </w:t>
      </w:r>
      <w:r w:rsidRPr="00B52138">
        <w:rPr>
          <w:rFonts w:ascii="Palatino Linotype" w:eastAsia="Palatino Linotype" w:hAnsi="Palatino Linotype" w:cs="Palatino Linotype"/>
          <w:sz w:val="22"/>
          <w:szCs w:val="22"/>
        </w:rPr>
        <w:t xml:space="preserve">Inconforme con los términos de la respuesta emitida por parte del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el </w:t>
      </w:r>
      <w:r w:rsidRPr="00B52138">
        <w:rPr>
          <w:rFonts w:ascii="Palatino Linotype" w:eastAsia="Palatino Linotype" w:hAnsi="Palatino Linotype" w:cs="Palatino Linotype"/>
          <w:b/>
          <w:bCs/>
          <w:sz w:val="22"/>
          <w:szCs w:val="22"/>
        </w:rPr>
        <w:t xml:space="preserve">diecinueve de </w:t>
      </w:r>
      <w:r w:rsidR="00AC4AE9" w:rsidRPr="00B52138">
        <w:rPr>
          <w:rFonts w:ascii="Palatino Linotype" w:eastAsia="Palatino Linotype" w:hAnsi="Palatino Linotype" w:cs="Palatino Linotype"/>
          <w:b/>
          <w:bCs/>
          <w:sz w:val="22"/>
          <w:szCs w:val="22"/>
        </w:rPr>
        <w:t>noviembre</w:t>
      </w:r>
      <w:r w:rsidRPr="00B52138">
        <w:rPr>
          <w:rFonts w:ascii="Palatino Linotype" w:eastAsia="Palatino Linotype" w:hAnsi="Palatino Linotype" w:cs="Palatino Linotype"/>
          <w:b/>
          <w:bCs/>
          <w:sz w:val="22"/>
          <w:szCs w:val="22"/>
        </w:rPr>
        <w:t xml:space="preserve"> de dos mil veinticinco,</w:t>
      </w:r>
      <w:r w:rsidRPr="00B52138">
        <w:rPr>
          <w:rFonts w:ascii="Palatino Linotype" w:eastAsia="Palatino Linotype" w:hAnsi="Palatino Linotype" w:cs="Palatino Linotype"/>
          <w:sz w:val="22"/>
          <w:szCs w:val="22"/>
        </w:rPr>
        <w:t xml:space="preserve"> 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xml:space="preserve"> interpuso el recurso de revisión a través de </w:t>
      </w:r>
      <w:r w:rsidRPr="00B52138">
        <w:rPr>
          <w:rFonts w:ascii="Palatino Linotype" w:eastAsia="Palatino Linotype" w:hAnsi="Palatino Linotype" w:cs="Palatino Linotype"/>
          <w:b/>
          <w:bCs/>
          <w:sz w:val="22"/>
          <w:szCs w:val="22"/>
        </w:rPr>
        <w:t xml:space="preserve">SAIMEX, </w:t>
      </w:r>
      <w:r w:rsidRPr="00B52138">
        <w:rPr>
          <w:rFonts w:ascii="Palatino Linotype" w:eastAsia="Palatino Linotype" w:hAnsi="Palatino Linotype" w:cs="Palatino Linotype"/>
          <w:sz w:val="22"/>
          <w:szCs w:val="22"/>
        </w:rPr>
        <w:t>en donde se manifestó de la siguiente manera:</w:t>
      </w:r>
    </w:p>
    <w:p w14:paraId="4EE5FAEA" w14:textId="77777777" w:rsidR="009D5719" w:rsidRPr="00B52138" w:rsidRDefault="00377B0B">
      <w:pPr>
        <w:spacing w:before="240" w:after="240" w:line="360" w:lineRule="auto"/>
        <w:ind w:right="49"/>
        <w:jc w:val="both"/>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 xml:space="preserve">Acto impugnado: </w:t>
      </w:r>
    </w:p>
    <w:p w14:paraId="67D7CE4E" w14:textId="63681339" w:rsidR="009D5719" w:rsidRPr="00B52138" w:rsidRDefault="00377B0B">
      <w:pPr>
        <w:ind w:left="851" w:right="900"/>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00AC4AE9" w:rsidRPr="00B52138">
        <w:rPr>
          <w:rFonts w:ascii="Palatino Linotype" w:eastAsia="Palatino Linotype" w:hAnsi="Palatino Linotype" w:cs="Palatino Linotype"/>
          <w:i/>
          <w:iCs/>
          <w:sz w:val="22"/>
          <w:szCs w:val="22"/>
        </w:rPr>
        <w:t>No cumplen con el derecho de saber niega la información</w:t>
      </w:r>
      <w:r w:rsidRPr="00B52138">
        <w:rPr>
          <w:rFonts w:ascii="Palatino Linotype" w:eastAsia="Palatino Linotype" w:hAnsi="Palatino Linotype" w:cs="Palatino Linotype"/>
          <w:i/>
          <w:iCs/>
          <w:sz w:val="22"/>
          <w:szCs w:val="22"/>
        </w:rPr>
        <w:t>” (sic)</w:t>
      </w:r>
    </w:p>
    <w:p w14:paraId="5D12645F" w14:textId="77777777" w:rsidR="009D5719" w:rsidRPr="00B52138" w:rsidRDefault="00377B0B">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B52138">
        <w:rPr>
          <w:rFonts w:ascii="Palatino Linotype" w:eastAsia="Palatino Linotype" w:hAnsi="Palatino Linotype" w:cs="Palatino Linotype"/>
          <w:b/>
          <w:bCs/>
          <w:sz w:val="22"/>
          <w:szCs w:val="22"/>
        </w:rPr>
        <w:t>Y, Razones o motivos de inconformidad</w:t>
      </w:r>
      <w:r w:rsidRPr="00B52138">
        <w:rPr>
          <w:rFonts w:ascii="Palatino Linotype" w:eastAsia="Palatino Linotype" w:hAnsi="Palatino Linotype" w:cs="Palatino Linotype"/>
          <w:sz w:val="22"/>
          <w:szCs w:val="22"/>
        </w:rPr>
        <w:t>:</w:t>
      </w:r>
    </w:p>
    <w:p w14:paraId="25A168C7" w14:textId="1CC55517" w:rsidR="009D5719" w:rsidRPr="00B52138" w:rsidRDefault="00377B0B">
      <w:pPr>
        <w:tabs>
          <w:tab w:val="left" w:pos="2745"/>
        </w:tabs>
        <w:spacing w:before="240" w:after="240"/>
        <w:ind w:left="851" w:right="900"/>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00AC4AE9" w:rsidRPr="00B52138">
        <w:rPr>
          <w:rFonts w:ascii="Palatino Linotype" w:eastAsia="Palatino Linotype" w:hAnsi="Palatino Linotype" w:cs="Palatino Linotype"/>
          <w:i/>
          <w:iCs/>
          <w:sz w:val="22"/>
          <w:szCs w:val="22"/>
        </w:rPr>
        <w:t>No cumplen con el derecho de saber niega la información</w:t>
      </w:r>
      <w:r w:rsidRPr="00B52138">
        <w:rPr>
          <w:rFonts w:ascii="Palatino Linotype" w:eastAsia="Palatino Linotype" w:hAnsi="Palatino Linotype" w:cs="Palatino Linotype"/>
          <w:i/>
          <w:iCs/>
          <w:sz w:val="22"/>
          <w:szCs w:val="22"/>
        </w:rPr>
        <w:t>” (sic)</w:t>
      </w:r>
    </w:p>
    <w:p w14:paraId="3C3D7315" w14:textId="77777777" w:rsidR="009D5719" w:rsidRPr="00B52138" w:rsidRDefault="00377B0B">
      <w:pPr>
        <w:spacing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 xml:space="preserve">4. Turno. </w:t>
      </w:r>
      <w:r w:rsidRPr="00B5213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B52138">
        <w:rPr>
          <w:rFonts w:ascii="Palatino Linotype" w:eastAsia="Palatino Linotype" w:hAnsi="Palatino Linotype" w:cs="Palatino Linotype"/>
          <w:sz w:val="22"/>
          <w:szCs w:val="22"/>
        </w:rPr>
        <w:lastRenderedPageBreak/>
        <w:t xml:space="preserve">a la Comisionada </w:t>
      </w:r>
      <w:r w:rsidRPr="00B52138">
        <w:rPr>
          <w:rFonts w:ascii="Palatino Linotype" w:eastAsia="Palatino Linotype" w:hAnsi="Palatino Linotype" w:cs="Palatino Linotype"/>
          <w:b/>
          <w:bCs/>
          <w:sz w:val="22"/>
          <w:szCs w:val="22"/>
        </w:rPr>
        <w:t xml:space="preserve">Guadalupe Ramírez Peña, </w:t>
      </w:r>
      <w:r w:rsidRPr="00B52138">
        <w:rPr>
          <w:rFonts w:ascii="Palatino Linotype" w:eastAsia="Palatino Linotype" w:hAnsi="Palatino Linotype" w:cs="Palatino Linotype"/>
          <w:sz w:val="22"/>
          <w:szCs w:val="22"/>
        </w:rPr>
        <w:t>a efecto de que analizara sobre su admisión o su desechamiento.</w:t>
      </w:r>
    </w:p>
    <w:p w14:paraId="1C74CFD6" w14:textId="05781D01" w:rsidR="009D5719" w:rsidRPr="00B52138" w:rsidRDefault="00377B0B">
      <w:pPr>
        <w:spacing w:before="240" w:after="240" w:line="360" w:lineRule="auto"/>
        <w:jc w:val="both"/>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5. Admisión del Recurso de revisión.</w:t>
      </w:r>
      <w:r w:rsidRPr="00B52138">
        <w:rPr>
          <w:rFonts w:ascii="Palatino Linotype" w:eastAsia="Palatino Linotype" w:hAnsi="Palatino Linotype" w:cs="Palatino Linotype"/>
          <w:sz w:val="22"/>
          <w:szCs w:val="22"/>
        </w:rPr>
        <w:t xml:space="preserve"> El</w:t>
      </w:r>
      <w:r w:rsidRPr="00B52138">
        <w:rPr>
          <w:rFonts w:ascii="Palatino Linotype" w:eastAsia="Palatino Linotype" w:hAnsi="Palatino Linotype" w:cs="Palatino Linotype"/>
          <w:b/>
          <w:bCs/>
          <w:sz w:val="22"/>
          <w:szCs w:val="22"/>
        </w:rPr>
        <w:t xml:space="preserve"> </w:t>
      </w:r>
      <w:r w:rsidR="00AC4AE9" w:rsidRPr="00B52138">
        <w:rPr>
          <w:rFonts w:ascii="Palatino Linotype" w:eastAsia="Palatino Linotype" w:hAnsi="Palatino Linotype" w:cs="Palatino Linotype"/>
          <w:b/>
          <w:bCs/>
          <w:sz w:val="22"/>
          <w:szCs w:val="22"/>
        </w:rPr>
        <w:t>quince de diciembre</w:t>
      </w:r>
      <w:r w:rsidRPr="00B52138">
        <w:rPr>
          <w:rFonts w:ascii="Palatino Linotype" w:eastAsia="Palatino Linotype" w:hAnsi="Palatino Linotype" w:cs="Palatino Linotype"/>
          <w:b/>
          <w:bCs/>
          <w:sz w:val="22"/>
          <w:szCs w:val="22"/>
        </w:rPr>
        <w:t xml:space="preserve"> de dos mil veinticinco, </w:t>
      </w:r>
      <w:r w:rsidRPr="00B5213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presentara su informe justificado.</w:t>
      </w:r>
    </w:p>
    <w:p w14:paraId="48560B1A" w14:textId="5E24783E" w:rsidR="009D5719" w:rsidRPr="00B52138" w:rsidRDefault="00377B0B" w:rsidP="00AC4AE9">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B52138">
        <w:rPr>
          <w:rFonts w:ascii="Palatino Linotype" w:eastAsia="Palatino Linotype" w:hAnsi="Palatino Linotype" w:cs="Palatino Linotype"/>
          <w:b/>
          <w:bCs/>
          <w:sz w:val="22"/>
          <w:szCs w:val="22"/>
        </w:rPr>
        <w:t>6. Manifestaciones</w:t>
      </w:r>
      <w:r w:rsidRPr="00B52138">
        <w:rPr>
          <w:rFonts w:ascii="Palatino Linotype" w:eastAsia="Palatino Linotype" w:hAnsi="Palatino Linotype" w:cs="Palatino Linotype"/>
          <w:sz w:val="22"/>
          <w:szCs w:val="22"/>
        </w:rPr>
        <w:t xml:space="preserve">. El </w:t>
      </w:r>
      <w:r w:rsidR="00AC4AE9" w:rsidRPr="00B52138">
        <w:rPr>
          <w:rFonts w:ascii="Palatino Linotype" w:eastAsia="Palatino Linotype" w:hAnsi="Palatino Linotype" w:cs="Palatino Linotype"/>
          <w:b/>
          <w:bCs/>
          <w:sz w:val="22"/>
          <w:szCs w:val="22"/>
        </w:rPr>
        <w:t>diecinueve de diciembre de dos mil veinticinco, siete y ocho d</w:t>
      </w:r>
      <w:r w:rsidR="002B1D2F" w:rsidRPr="00B52138">
        <w:rPr>
          <w:rFonts w:ascii="Palatino Linotype" w:eastAsia="Palatino Linotype" w:hAnsi="Palatino Linotype" w:cs="Palatino Linotype"/>
          <w:b/>
          <w:bCs/>
          <w:sz w:val="22"/>
          <w:szCs w:val="22"/>
        </w:rPr>
        <w:t>e</w:t>
      </w:r>
      <w:r w:rsidR="00AC4AE9" w:rsidRPr="00B52138">
        <w:rPr>
          <w:rFonts w:ascii="Palatino Linotype" w:eastAsia="Palatino Linotype" w:hAnsi="Palatino Linotype" w:cs="Palatino Linotype"/>
          <w:b/>
          <w:bCs/>
          <w:sz w:val="22"/>
          <w:szCs w:val="22"/>
        </w:rPr>
        <w:t xml:space="preserve"> enero de dos mil veintiséis, </w:t>
      </w:r>
      <w:r w:rsidRPr="00B52138">
        <w:rPr>
          <w:rFonts w:ascii="Palatino Linotype" w:eastAsia="Palatino Linotype" w:hAnsi="Palatino Linotype" w:cs="Palatino Linotype"/>
          <w:sz w:val="22"/>
          <w:szCs w:val="22"/>
        </w:rPr>
        <w:t xml:space="preserve">el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remitió, a través del SAIMEX lo siguiente:</w:t>
      </w:r>
    </w:p>
    <w:p w14:paraId="27F4AD6D" w14:textId="7DDB2E69"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Escrito mediante el cual el titular de la Unidad de Transparencia, por conducto de la Dirección General de Administración </w:t>
      </w:r>
      <w:r w:rsidR="00AC4AE9" w:rsidRPr="00B52138">
        <w:rPr>
          <w:rFonts w:ascii="Palatino Linotype" w:eastAsia="Palatino Linotype" w:hAnsi="Palatino Linotype" w:cs="Palatino Linotype"/>
          <w:sz w:val="22"/>
          <w:szCs w:val="22"/>
        </w:rPr>
        <w:t xml:space="preserve">y la Dirección General de Seguridad y Protección </w:t>
      </w:r>
      <w:r w:rsidRPr="00B52138">
        <w:rPr>
          <w:rFonts w:ascii="Palatino Linotype" w:eastAsia="Palatino Linotype" w:hAnsi="Palatino Linotype" w:cs="Palatino Linotype"/>
          <w:sz w:val="22"/>
          <w:szCs w:val="22"/>
        </w:rPr>
        <w:t>ratificó la respuesta proporcionada en primera instancia.</w:t>
      </w:r>
    </w:p>
    <w:p w14:paraId="70AE0549" w14:textId="72E1DB28"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Oficio número </w:t>
      </w:r>
      <w:r w:rsidR="00F92665" w:rsidRPr="00B52138">
        <w:rPr>
          <w:rFonts w:ascii="Palatino Linotype" w:eastAsia="Palatino Linotype" w:hAnsi="Palatino Linotype" w:cs="Palatino Linotype"/>
          <w:sz w:val="22"/>
          <w:szCs w:val="22"/>
        </w:rPr>
        <w:t>206010000/7415/2025</w:t>
      </w:r>
      <w:r w:rsidRPr="00B52138">
        <w:rPr>
          <w:rFonts w:ascii="Palatino Linotype" w:eastAsia="Palatino Linotype" w:hAnsi="Palatino Linotype" w:cs="Palatino Linotype"/>
          <w:sz w:val="22"/>
          <w:szCs w:val="22"/>
        </w:rPr>
        <w:t>, mediante el cual la Directora General de Administración ratificó la respuesta proporcionada en primera instancia.</w:t>
      </w:r>
    </w:p>
    <w:p w14:paraId="3448069E" w14:textId="68CE2B4B" w:rsidR="00F92665" w:rsidRPr="00B52138" w:rsidRDefault="00F92665" w:rsidP="00F92665">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Oficio número 205017000/19798/2025, mediante el cual la Directora General de Seguridad y Protección ratificó la respuesta proporcionada en primera instancia.</w:t>
      </w:r>
    </w:p>
    <w:p w14:paraId="5F0DC7CA"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29F5BD46" w14:textId="29847BEA" w:rsidR="009D5719" w:rsidRPr="00B52138" w:rsidRDefault="00377B0B">
      <w:pPr>
        <w:widowControl w:val="0"/>
        <w:spacing w:before="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7. Ampliación del término para resolver</w:t>
      </w:r>
      <w:r w:rsidRPr="00B52138">
        <w:rPr>
          <w:rFonts w:ascii="Palatino Linotype" w:eastAsia="Palatino Linotype" w:hAnsi="Palatino Linotype" w:cs="Palatino Linotype"/>
          <w:sz w:val="22"/>
          <w:szCs w:val="22"/>
        </w:rPr>
        <w:t xml:space="preserve">. El </w:t>
      </w:r>
      <w:r w:rsidR="003717F6" w:rsidRPr="00B52138">
        <w:rPr>
          <w:rFonts w:ascii="Palatino Linotype" w:eastAsia="Palatino Linotype" w:hAnsi="Palatino Linotype" w:cs="Palatino Linotype"/>
          <w:b/>
          <w:bCs/>
          <w:sz w:val="22"/>
          <w:szCs w:val="22"/>
        </w:rPr>
        <w:t>veinticuatro</w:t>
      </w:r>
      <w:r w:rsidR="00F83250" w:rsidRPr="00B52138">
        <w:rPr>
          <w:rFonts w:ascii="Palatino Linotype" w:eastAsia="Palatino Linotype" w:hAnsi="Palatino Linotype" w:cs="Palatino Linotype"/>
          <w:b/>
          <w:bCs/>
          <w:sz w:val="22"/>
          <w:szCs w:val="22"/>
        </w:rPr>
        <w:t xml:space="preserve"> de marzo</w:t>
      </w:r>
      <w:r w:rsidRPr="00B52138">
        <w:rPr>
          <w:rFonts w:ascii="Palatino Linotype" w:eastAsia="Palatino Linotype" w:hAnsi="Palatino Linotype" w:cs="Palatino Linotype"/>
          <w:b/>
          <w:bCs/>
          <w:sz w:val="22"/>
          <w:szCs w:val="22"/>
        </w:rPr>
        <w:t xml:space="preserve"> de dos mil </w:t>
      </w:r>
      <w:r w:rsidR="00F83250" w:rsidRPr="00B52138">
        <w:rPr>
          <w:rFonts w:ascii="Palatino Linotype" w:eastAsia="Palatino Linotype" w:hAnsi="Palatino Linotype" w:cs="Palatino Linotype"/>
          <w:b/>
          <w:bCs/>
          <w:sz w:val="22"/>
          <w:szCs w:val="22"/>
        </w:rPr>
        <w:t>veintiséis</w:t>
      </w:r>
      <w:r w:rsidRPr="00B5213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36AECA3"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8050A9F"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7554B3"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3F0FD3"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4EDF5B" w14:textId="77777777" w:rsidR="00687D36" w:rsidRPr="00B52138" w:rsidRDefault="00687D36" w:rsidP="00687D36">
      <w:pPr>
        <w:spacing w:before="240" w:after="240" w:line="360" w:lineRule="auto"/>
        <w:jc w:val="both"/>
        <w:rPr>
          <w:rFonts w:ascii="Palatino Linotype" w:eastAsia="Palatino Linotype" w:hAnsi="Palatino Linotype" w:cs="Palatino Linotype"/>
          <w:strike/>
          <w:sz w:val="22"/>
          <w:szCs w:val="22"/>
        </w:rPr>
      </w:pPr>
      <w:r w:rsidRPr="00B5213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6DB6765" w14:textId="77777777" w:rsidR="00687D36" w:rsidRPr="00B52138"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A1A7684" w14:textId="77777777" w:rsidR="00687D36" w:rsidRPr="00B52138"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Actividad Procesal del interesado. Acciones u omisiones del interesado.</w:t>
      </w:r>
    </w:p>
    <w:p w14:paraId="14418437" w14:textId="77777777" w:rsidR="00687D36" w:rsidRPr="00B52138"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3079F8CA" w14:textId="77777777" w:rsidR="00687D36" w:rsidRPr="00B52138" w:rsidRDefault="00687D36" w:rsidP="00687D36">
      <w:pPr>
        <w:tabs>
          <w:tab w:val="left" w:pos="567"/>
        </w:tabs>
        <w:spacing w:before="240" w:after="24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24A29CF"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2CE88" w14:textId="77777777" w:rsidR="00687D36" w:rsidRPr="00B52138" w:rsidRDefault="00687D36" w:rsidP="00687D36">
      <w:pPr>
        <w:spacing w:before="240" w:after="240" w:line="360" w:lineRule="auto"/>
        <w:jc w:val="both"/>
        <w:rPr>
          <w:rFonts w:ascii="Palatino Linotype" w:eastAsia="Palatino Linotype" w:hAnsi="Palatino Linotype" w:cs="Palatino Linotype"/>
          <w:b/>
          <w:sz w:val="22"/>
          <w:szCs w:val="22"/>
        </w:rPr>
      </w:pPr>
      <w:r w:rsidRPr="00B5213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5213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52138">
        <w:rPr>
          <w:rFonts w:ascii="Palatino Linotype" w:eastAsia="Palatino Linotype" w:hAnsi="Palatino Linotype" w:cs="Palatino Linotype"/>
          <w:sz w:val="22"/>
          <w:szCs w:val="22"/>
        </w:rPr>
        <w:t>, visible en la Gaceta del Seminario Judicial de la Federación con el registro digital 205635.</w:t>
      </w:r>
    </w:p>
    <w:p w14:paraId="7229F332"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63C36C" w14:textId="77777777" w:rsidR="00687D36" w:rsidRPr="00B52138" w:rsidRDefault="00687D36" w:rsidP="00687D36">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44CD32F" w14:textId="77777777" w:rsidR="00687D36" w:rsidRPr="00B52138" w:rsidRDefault="00687D36" w:rsidP="00687D36">
      <w:pPr>
        <w:spacing w:before="120" w:after="120"/>
        <w:ind w:left="851" w:right="902"/>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w:t>
      </w: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PLAZO RAZONABLE PARA RESOLVER. DIMENSIÓN Y EFECTOS DE ESTE CONCEPTO CUANDO SE ADUCE EXCESIVA CARGA DE TRABAJO</w:t>
      </w: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4EA0D1" w14:textId="77777777" w:rsidR="00687D36" w:rsidRPr="00B52138" w:rsidRDefault="00687D36" w:rsidP="00687D36">
      <w:pPr>
        <w:spacing w:before="120" w:after="120"/>
        <w:ind w:left="851" w:right="902"/>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sz w:val="22"/>
          <w:szCs w:val="22"/>
        </w:rPr>
        <w:t>, visible en el Seminario Judicial de la Federación y su gaceta, con el registro digital 2002350.</w:t>
      </w:r>
    </w:p>
    <w:p w14:paraId="4D7C5D99" w14:textId="77777777" w:rsidR="00687D36" w:rsidRPr="00B52138" w:rsidRDefault="00687D36" w:rsidP="00687D36">
      <w:pPr>
        <w:widowControl w:val="0"/>
        <w:spacing w:before="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2284DE8" w14:textId="6AFF1F51" w:rsidR="003717F6" w:rsidRPr="00B52138" w:rsidRDefault="003717F6" w:rsidP="00687D36">
      <w:pPr>
        <w:widowControl w:val="0"/>
        <w:spacing w:before="240" w:line="360" w:lineRule="auto"/>
        <w:jc w:val="both"/>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 xml:space="preserve">8. Cierre de instrucción. </w:t>
      </w:r>
      <w:r w:rsidRPr="00B5213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B714E4" w:rsidRPr="00B52138">
        <w:rPr>
          <w:rFonts w:ascii="Palatino Linotype" w:eastAsia="Palatino Linotype" w:hAnsi="Palatino Linotype" w:cs="Palatino Linotype"/>
          <w:b/>
          <w:bCs/>
          <w:sz w:val="22"/>
          <w:szCs w:val="22"/>
        </w:rPr>
        <w:t>seis de abril</w:t>
      </w:r>
      <w:r w:rsidRPr="00B52138">
        <w:rPr>
          <w:rFonts w:ascii="Palatino Linotype" w:eastAsia="Palatino Linotype" w:hAnsi="Palatino Linotype" w:cs="Palatino Linotype"/>
          <w:b/>
          <w:bCs/>
          <w:sz w:val="22"/>
          <w:szCs w:val="22"/>
        </w:rPr>
        <w:t xml:space="preserve"> de dos mil veintiséis</w:t>
      </w:r>
      <w:r w:rsidRPr="00B5213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71F912C"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D1A2B34" w14:textId="77777777" w:rsidR="00857157" w:rsidRPr="00B52138" w:rsidRDefault="00857157">
      <w:pPr>
        <w:spacing w:before="240" w:after="240" w:line="360" w:lineRule="auto"/>
        <w:jc w:val="both"/>
        <w:rPr>
          <w:rFonts w:ascii="Palatino Linotype" w:eastAsia="Palatino Linotype" w:hAnsi="Palatino Linotype" w:cs="Palatino Linotype"/>
          <w:sz w:val="22"/>
          <w:szCs w:val="22"/>
        </w:rPr>
      </w:pPr>
    </w:p>
    <w:p w14:paraId="51110F9D" w14:textId="77777777" w:rsidR="009D5719" w:rsidRPr="00B52138" w:rsidRDefault="00377B0B">
      <w:pPr>
        <w:widowControl w:val="0"/>
        <w:spacing w:before="240" w:after="240" w:line="360" w:lineRule="auto"/>
        <w:jc w:val="center"/>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II. C O N S I D E R A N D O S</w:t>
      </w:r>
    </w:p>
    <w:p w14:paraId="1690D095"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Primero. Competencia.</w:t>
      </w:r>
      <w:r w:rsidRPr="00B5213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9E8FBD"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B52138">
        <w:rPr>
          <w:rFonts w:ascii="Palatino Linotype" w:eastAsia="Palatino Linotype" w:hAnsi="Palatino Linotype" w:cs="Palatino Linotype"/>
          <w:b/>
          <w:bCs/>
          <w:sz w:val="22"/>
          <w:szCs w:val="22"/>
        </w:rPr>
        <w:t>Segundo. Oportunidad y Procedibilidad del Recurso de Revisión</w:t>
      </w:r>
      <w:r w:rsidRPr="00B5213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9FD148E" w14:textId="0B0C9B40"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 xml:space="preserve">remitió la respuesta a la solicitud de información el día </w:t>
      </w:r>
      <w:r w:rsidR="00FF07DA" w:rsidRPr="00B52138">
        <w:rPr>
          <w:rFonts w:ascii="Palatino Linotype" w:eastAsia="Palatino Linotype" w:hAnsi="Palatino Linotype" w:cs="Palatino Linotype"/>
          <w:b/>
          <w:bCs/>
          <w:sz w:val="22"/>
          <w:szCs w:val="22"/>
        </w:rPr>
        <w:t xml:space="preserve">diecinueve de noviembre </w:t>
      </w:r>
      <w:r w:rsidRPr="00B52138">
        <w:rPr>
          <w:rFonts w:ascii="Palatino Linotype" w:eastAsia="Palatino Linotype" w:hAnsi="Palatino Linotype" w:cs="Palatino Linotype"/>
          <w:b/>
          <w:bCs/>
          <w:sz w:val="22"/>
          <w:szCs w:val="22"/>
        </w:rPr>
        <w:t xml:space="preserve">de dos mil veinticinco, </w:t>
      </w:r>
      <w:r w:rsidRPr="00B52138">
        <w:rPr>
          <w:rFonts w:ascii="Palatino Linotype" w:eastAsia="Palatino Linotype" w:hAnsi="Palatino Linotype" w:cs="Palatino Linotype"/>
          <w:sz w:val="22"/>
          <w:szCs w:val="22"/>
        </w:rPr>
        <w:t xml:space="preserve">mientras que el recurso de revisión interpuesto por la parte </w:t>
      </w:r>
      <w:r w:rsidRPr="00B52138">
        <w:rPr>
          <w:rFonts w:ascii="Palatino Linotype" w:eastAsia="Palatino Linotype" w:hAnsi="Palatino Linotype" w:cs="Palatino Linotype"/>
          <w:b/>
          <w:bCs/>
          <w:sz w:val="22"/>
          <w:szCs w:val="22"/>
        </w:rPr>
        <w:t xml:space="preserve">Recurrente, </w:t>
      </w:r>
      <w:r w:rsidRPr="00B52138">
        <w:rPr>
          <w:rFonts w:ascii="Palatino Linotype" w:eastAsia="Palatino Linotype" w:hAnsi="Palatino Linotype" w:cs="Palatino Linotype"/>
          <w:sz w:val="22"/>
          <w:szCs w:val="22"/>
        </w:rPr>
        <w:t>se tuvo por presentado el día</w:t>
      </w:r>
      <w:r w:rsidRPr="00B52138">
        <w:rPr>
          <w:rFonts w:ascii="Palatino Linotype" w:eastAsia="Palatino Linotype" w:hAnsi="Palatino Linotype" w:cs="Palatino Linotype"/>
          <w:b/>
          <w:bCs/>
          <w:sz w:val="22"/>
          <w:szCs w:val="22"/>
        </w:rPr>
        <w:t xml:space="preserve"> </w:t>
      </w:r>
      <w:r w:rsidR="00FF07DA" w:rsidRPr="00B52138">
        <w:rPr>
          <w:rFonts w:ascii="Palatino Linotype" w:eastAsia="Palatino Linotype" w:hAnsi="Palatino Linotype" w:cs="Palatino Linotype"/>
          <w:b/>
          <w:bCs/>
          <w:sz w:val="22"/>
          <w:szCs w:val="22"/>
        </w:rPr>
        <w:t>diecinueve de noviembre</w:t>
      </w:r>
      <w:r w:rsidRPr="00B52138">
        <w:rPr>
          <w:rFonts w:ascii="Palatino Linotype" w:eastAsia="Palatino Linotype" w:hAnsi="Palatino Linotype" w:cs="Palatino Linotype"/>
          <w:b/>
          <w:bCs/>
          <w:sz w:val="22"/>
          <w:szCs w:val="22"/>
        </w:rPr>
        <w:t xml:space="preserve"> de dos mil veinticinco, </w:t>
      </w:r>
      <w:r w:rsidR="008771BA" w:rsidRPr="00B52138">
        <w:rPr>
          <w:rFonts w:ascii="Palatino Linotype" w:eastAsia="Palatino Linotype" w:hAnsi="Palatino Linotype" w:cs="Palatino Linotype"/>
          <w:sz w:val="22"/>
          <w:szCs w:val="22"/>
        </w:rPr>
        <w:t>esto es</w:t>
      </w:r>
      <w:r w:rsidR="00FF07DA" w:rsidRPr="00B52138">
        <w:rPr>
          <w:rFonts w:ascii="Palatino Linotype" w:eastAsia="Palatino Linotype" w:hAnsi="Palatino Linotype" w:cs="Palatino Linotype"/>
          <w:sz w:val="22"/>
          <w:szCs w:val="22"/>
        </w:rPr>
        <w:t xml:space="preserve"> el mismo</w:t>
      </w:r>
      <w:r w:rsidR="008771BA" w:rsidRPr="00B52138">
        <w:rPr>
          <w:rFonts w:ascii="Palatino Linotype" w:eastAsia="Palatino Linotype" w:hAnsi="Palatino Linotype" w:cs="Palatino Linotype"/>
          <w:sz w:val="22"/>
          <w:szCs w:val="22"/>
        </w:rPr>
        <w:t xml:space="preserve"> </w:t>
      </w:r>
      <w:r w:rsidRPr="00B52138">
        <w:rPr>
          <w:rFonts w:ascii="Palatino Linotype" w:eastAsia="Palatino Linotype" w:hAnsi="Palatino Linotype" w:cs="Palatino Linotype"/>
          <w:sz w:val="22"/>
          <w:szCs w:val="22"/>
        </w:rPr>
        <w:t xml:space="preserve">día hábil </w:t>
      </w:r>
      <w:r w:rsidR="00FF07DA" w:rsidRPr="00B52138">
        <w:rPr>
          <w:rFonts w:ascii="Palatino Linotype" w:eastAsia="Palatino Linotype" w:hAnsi="Palatino Linotype" w:cs="Palatino Linotype"/>
          <w:sz w:val="22"/>
          <w:szCs w:val="22"/>
        </w:rPr>
        <w:t xml:space="preserve">en el </w:t>
      </w:r>
      <w:r w:rsidRPr="00B52138">
        <w:rPr>
          <w:rFonts w:ascii="Palatino Linotype" w:eastAsia="Palatino Linotype" w:hAnsi="Palatino Linotype" w:cs="Palatino Linotype"/>
          <w:sz w:val="22"/>
          <w:szCs w:val="22"/>
        </w:rPr>
        <w:t>que tuvo conocimiento de la respuesta impugnada. En este sentido, se concluye que el presente recurso de revisión se encuentra dentro de los márgenes temporales previstos en las disposiciones legales referidas.</w:t>
      </w:r>
    </w:p>
    <w:p w14:paraId="62318900" w14:textId="77777777" w:rsidR="00CD66EC" w:rsidRPr="00B52138" w:rsidRDefault="00CD66EC" w:rsidP="00CD66EC">
      <w:pPr>
        <w:spacing w:before="240" w:after="240" w:line="360" w:lineRule="auto"/>
        <w:jc w:val="both"/>
        <w:rPr>
          <w:rFonts w:ascii="Palatino Linotype" w:hAnsi="Palatino Linotype"/>
          <w:sz w:val="22"/>
          <w:szCs w:val="22"/>
        </w:rPr>
      </w:pPr>
      <w:r w:rsidRPr="00B52138">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161A6EF" w14:textId="77777777" w:rsidR="00CD66EC" w:rsidRPr="00B52138" w:rsidRDefault="00CD66EC" w:rsidP="00CD66EC">
      <w:pPr>
        <w:spacing w:before="120" w:after="120"/>
        <w:ind w:left="851" w:right="902"/>
        <w:jc w:val="both"/>
        <w:rPr>
          <w:rFonts w:ascii="Palatino Linotype" w:hAnsi="Palatino Linotype"/>
          <w:i/>
          <w:sz w:val="22"/>
          <w:szCs w:val="22"/>
        </w:rPr>
      </w:pPr>
      <w:r w:rsidRPr="00B52138">
        <w:rPr>
          <w:rFonts w:ascii="Palatino Linotype" w:hAnsi="Palatino Linotype"/>
          <w:b/>
          <w:i/>
          <w:sz w:val="22"/>
          <w:szCs w:val="22"/>
        </w:rPr>
        <w:t>“RECURSO DE RECLAMACIÓN. SU INTERPOSICIÓN NO ES EXTEMPORÁNEA SI SE REALIZA ANTES DE QUE INICIE EL PLAZO PARA HACERLO</w:t>
      </w:r>
      <w:r w:rsidRPr="00B52138">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A4DE1D0" w14:textId="77777777" w:rsidR="00CD66EC" w:rsidRPr="00B52138" w:rsidRDefault="00CD66EC" w:rsidP="00CD66EC"/>
    <w:p w14:paraId="7D0A960D" w14:textId="77777777" w:rsidR="006A5C31" w:rsidRPr="00B52138" w:rsidRDefault="006A5C31" w:rsidP="006A5C31">
      <w:pPr>
        <w:spacing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Además, por cuanto hace a la procedibilidad del recurso de revisión, es de suma importancia señalar que </w:t>
      </w:r>
      <w:r w:rsidRPr="00B52138">
        <w:rPr>
          <w:rFonts w:ascii="Palatino Linotype" w:eastAsia="Palatino Linotype" w:hAnsi="Palatino Linotype" w:cs="Palatino Linotype"/>
          <w:bCs/>
          <w:sz w:val="22"/>
          <w:szCs w:val="22"/>
        </w:rPr>
        <w:t>la parte</w:t>
      </w:r>
      <w:r w:rsidRPr="00B52138">
        <w:rPr>
          <w:rFonts w:ascii="Palatino Linotype" w:eastAsia="Palatino Linotype" w:hAnsi="Palatino Linotype" w:cs="Palatino Linotype"/>
          <w:b/>
          <w:sz w:val="22"/>
          <w:szCs w:val="22"/>
        </w:rPr>
        <w:t xml:space="preserve"> Recurrente</w:t>
      </w:r>
      <w:r w:rsidRPr="00B52138">
        <w:rPr>
          <w:rFonts w:ascii="Palatino Linotype" w:eastAsia="Palatino Linotype" w:hAnsi="Palatino Linotype" w:cs="Palatino Linotype"/>
          <w:sz w:val="22"/>
          <w:szCs w:val="22"/>
        </w:rPr>
        <w:t xml:space="preserve">, no señaló un </w:t>
      </w:r>
      <w:r w:rsidRPr="00B52138">
        <w:rPr>
          <w:rFonts w:ascii="Palatino Linotype" w:eastAsia="Palatino Linotype" w:hAnsi="Palatino Linotype" w:cs="Palatino Linotype"/>
          <w:b/>
          <w:bCs/>
          <w:sz w:val="22"/>
          <w:szCs w:val="22"/>
        </w:rPr>
        <w:t>nombre</w:t>
      </w:r>
      <w:r w:rsidRPr="00B52138">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2B6457" w14:textId="77777777" w:rsidR="006A5C31" w:rsidRPr="00B52138" w:rsidRDefault="006A5C31" w:rsidP="006A5C31">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Las solicitudes anónimas</w:t>
      </w:r>
      <w:r w:rsidRPr="00B52138">
        <w:rPr>
          <w:rFonts w:ascii="Palatino Linotype" w:eastAsia="Palatino Linotype" w:hAnsi="Palatino Linotype" w:cs="Palatino Linotype"/>
          <w:i/>
          <w:sz w:val="22"/>
          <w:szCs w:val="22"/>
        </w:rPr>
        <w:t xml:space="preserve">, con nombre incompleto o </w:t>
      </w:r>
      <w:r w:rsidRPr="00B52138">
        <w:rPr>
          <w:rFonts w:ascii="Palatino Linotype" w:eastAsia="Palatino Linotype" w:hAnsi="Palatino Linotype" w:cs="Palatino Linotype"/>
          <w:b/>
          <w:i/>
          <w:sz w:val="22"/>
          <w:szCs w:val="22"/>
        </w:rPr>
        <w:t>seudónimo</w:t>
      </w:r>
      <w:r w:rsidRPr="00B52138">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0DB51B93" w14:textId="77777777" w:rsidR="006A5C31" w:rsidRPr="00B52138" w:rsidRDefault="006A5C31" w:rsidP="006A5C31">
      <w:pPr>
        <w:spacing w:before="240" w:after="240" w:line="360" w:lineRule="auto"/>
        <w:jc w:val="both"/>
        <w:rPr>
          <w:rFonts w:ascii="Palatino Linotype" w:eastAsia="Palatino Linotype" w:hAnsi="Palatino Linotype" w:cs="Palatino Linotype"/>
          <w:b/>
          <w:sz w:val="22"/>
          <w:szCs w:val="22"/>
        </w:rPr>
      </w:pPr>
      <w:r w:rsidRPr="00B52138">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B52138">
        <w:rPr>
          <w:rFonts w:ascii="Palatino Linotype" w:eastAsia="Palatino Linotype" w:hAnsi="Palatino Linotype" w:cs="Palatino Linotype"/>
          <w:bCs/>
          <w:sz w:val="22"/>
          <w:szCs w:val="22"/>
        </w:rPr>
        <w:t>el</w:t>
      </w:r>
      <w:r w:rsidRPr="00B52138">
        <w:rPr>
          <w:rFonts w:ascii="Palatino Linotype" w:eastAsia="Palatino Linotype" w:hAnsi="Palatino Linotype" w:cs="Palatino Linotype"/>
          <w:b/>
          <w:sz w:val="22"/>
          <w:szCs w:val="22"/>
        </w:rPr>
        <w:t xml:space="preserve"> SAIMEX.</w:t>
      </w:r>
    </w:p>
    <w:p w14:paraId="77EF9231"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3CC8600E" w14:textId="77777777" w:rsidR="009D5719" w:rsidRPr="00B52138" w:rsidRDefault="00377B0B">
      <w:pPr>
        <w:tabs>
          <w:tab w:val="left" w:pos="7938"/>
        </w:tabs>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Pr="00B52138">
        <w:rPr>
          <w:rFonts w:ascii="Palatino Linotype" w:eastAsia="Palatino Linotype" w:hAnsi="Palatino Linotype" w:cs="Palatino Linotype"/>
          <w:b/>
          <w:bCs/>
          <w:i/>
          <w:iCs/>
          <w:sz w:val="22"/>
          <w:szCs w:val="22"/>
        </w:rPr>
        <w:t>Artículo 179.</w:t>
      </w:r>
      <w:r w:rsidRPr="00B52138">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E19D578" w14:textId="77777777" w:rsidR="009D5719" w:rsidRPr="00B52138" w:rsidRDefault="00377B0B">
      <w:pPr>
        <w:tabs>
          <w:tab w:val="left" w:pos="7938"/>
        </w:tabs>
        <w:spacing w:before="120" w:after="120"/>
        <w:ind w:left="851" w:right="900"/>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I</w:t>
      </w:r>
      <w:r w:rsidRPr="00B52138">
        <w:rPr>
          <w:rFonts w:ascii="Palatino Linotype" w:eastAsia="Palatino Linotype" w:hAnsi="Palatino Linotype" w:cs="Palatino Linotype"/>
          <w:i/>
          <w:iCs/>
          <w:sz w:val="22"/>
          <w:szCs w:val="22"/>
        </w:rPr>
        <w:t>. La negativa a la información solicitada;”</w:t>
      </w:r>
    </w:p>
    <w:p w14:paraId="701F5B5F" w14:textId="77777777" w:rsidR="009D5719" w:rsidRPr="00B52138" w:rsidRDefault="00377B0B">
      <w:pPr>
        <w:spacing w:before="240" w:after="240" w:line="360" w:lineRule="auto"/>
        <w:jc w:val="both"/>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 xml:space="preserve">Tercero. Materia de la revisión. </w:t>
      </w:r>
      <w:r w:rsidRPr="00B5213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52138">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B52138">
        <w:rPr>
          <w:rFonts w:ascii="Palatino Linotype" w:eastAsia="Palatino Linotype" w:hAnsi="Palatino Linotype" w:cs="Palatino Linotype"/>
          <w:sz w:val="22"/>
          <w:szCs w:val="22"/>
        </w:rPr>
        <w:t xml:space="preserve">de 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o en su defecto, en caso de ser procedente, ordenar la entrega de información.</w:t>
      </w:r>
    </w:p>
    <w:p w14:paraId="7E01323C"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6" w:name="_heading=h.2et92p0" w:colFirst="0" w:colLast="0"/>
      <w:bookmarkEnd w:id="6"/>
      <w:r w:rsidRPr="00B52138">
        <w:rPr>
          <w:rFonts w:ascii="Palatino Linotype" w:eastAsia="Palatino Linotype" w:hAnsi="Palatino Linotype" w:cs="Palatino Linotype"/>
          <w:b/>
          <w:bCs/>
          <w:sz w:val="22"/>
          <w:szCs w:val="22"/>
        </w:rPr>
        <w:t xml:space="preserve">Cuarto. Estudio del asunto. </w:t>
      </w:r>
      <w:r w:rsidRPr="00B52138">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F12934"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Pr="00B52138">
        <w:rPr>
          <w:rFonts w:ascii="Palatino Linotype" w:eastAsia="Palatino Linotype" w:hAnsi="Palatino Linotype" w:cs="Palatino Linotype"/>
          <w:b/>
          <w:bCs/>
          <w:i/>
          <w:iCs/>
          <w:sz w:val="22"/>
          <w:szCs w:val="22"/>
        </w:rPr>
        <w:t>Artículo 4</w:t>
      </w:r>
      <w:r w:rsidRPr="00B52138">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4C657AD"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52138">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1E72FE"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52138">
        <w:rPr>
          <w:rFonts w:ascii="Palatino Linotype" w:eastAsia="Palatino Linotype" w:hAnsi="Palatino Linotype" w:cs="Palatino Linotype"/>
          <w:i/>
          <w:iCs/>
          <w:sz w:val="22"/>
          <w:szCs w:val="22"/>
        </w:rPr>
        <w:t>.”</w:t>
      </w:r>
    </w:p>
    <w:p w14:paraId="232E70BD"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7A7BCCE"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“Artículo 12.-</w:t>
      </w:r>
      <w:r w:rsidRPr="00B52138">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90302E1"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52138">
        <w:rPr>
          <w:rFonts w:ascii="Palatino Linotype" w:eastAsia="Palatino Linotype" w:hAnsi="Palatino Linotype" w:cs="Palatino Linotype"/>
          <w:i/>
          <w:iCs/>
          <w:sz w:val="22"/>
          <w:szCs w:val="22"/>
        </w:rPr>
        <w:t xml:space="preserve">. </w:t>
      </w:r>
      <w:r w:rsidRPr="00B52138">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392359F" w14:textId="77777777" w:rsidR="009D5719" w:rsidRPr="00B52138" w:rsidRDefault="00377B0B">
      <w:pPr>
        <w:spacing w:before="240" w:after="240" w:line="360" w:lineRule="auto"/>
        <w:ind w:right="-93"/>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B200455" w14:textId="77777777" w:rsidR="009D5719" w:rsidRPr="00B52138" w:rsidRDefault="00377B0B">
      <w:pPr>
        <w:spacing w:before="240" w:after="240" w:line="360" w:lineRule="auto"/>
        <w:jc w:val="both"/>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B52138">
        <w:rPr>
          <w:rFonts w:ascii="Palatino Linotype" w:eastAsia="Palatino Linotype" w:hAnsi="Palatino Linotype" w:cs="Palatino Linotype"/>
          <w:b/>
          <w:bCs/>
          <w:sz w:val="22"/>
          <w:szCs w:val="22"/>
        </w:rPr>
        <w:t xml:space="preserve"> </w:t>
      </w:r>
    </w:p>
    <w:p w14:paraId="0652F61E" w14:textId="77777777" w:rsidR="009D5719" w:rsidRPr="00B52138" w:rsidRDefault="00377B0B">
      <w:pPr>
        <w:spacing w:before="120" w:after="120"/>
        <w:ind w:left="1134"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 xml:space="preserve"> “</w:t>
      </w:r>
      <w:r w:rsidRPr="00B52138">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52138">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7B88A15" w14:textId="77777777" w:rsidR="009D5719" w:rsidRPr="00B52138" w:rsidRDefault="00377B0B">
      <w:pPr>
        <w:spacing w:before="120" w:after="12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960F69" w14:textId="77777777" w:rsidR="009D5719" w:rsidRPr="00B52138" w:rsidRDefault="00377B0B">
      <w:pPr>
        <w:spacing w:before="120" w:after="12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0DA096F"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r w:rsidRPr="00B52138">
        <w:rPr>
          <w:rFonts w:ascii="Palatino Linotype" w:eastAsia="Palatino Linotype" w:hAnsi="Palatino Linotype" w:cs="Palatino Linotype"/>
          <w:b/>
          <w:bCs/>
          <w:i/>
          <w:iCs/>
          <w:sz w:val="22"/>
          <w:szCs w:val="22"/>
        </w:rPr>
        <w:t xml:space="preserve">Artículo 3. </w:t>
      </w:r>
      <w:r w:rsidRPr="00B52138">
        <w:rPr>
          <w:rFonts w:ascii="Palatino Linotype" w:eastAsia="Palatino Linotype" w:hAnsi="Palatino Linotype" w:cs="Palatino Linotype"/>
          <w:i/>
          <w:iCs/>
          <w:sz w:val="22"/>
          <w:szCs w:val="22"/>
        </w:rPr>
        <w:t>Para los efectos de la presente Ley se entenderá por:</w:t>
      </w:r>
    </w:p>
    <w:p w14:paraId="07A8BC72"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w:t>
      </w:r>
    </w:p>
    <w:p w14:paraId="6F522213"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i/>
          <w:iCs/>
          <w:sz w:val="22"/>
          <w:szCs w:val="22"/>
        </w:rPr>
        <w:t>XI. Documento:</w:t>
      </w:r>
      <w:r w:rsidRPr="00B52138">
        <w:rPr>
          <w:rFonts w:ascii="Palatino Linotype" w:eastAsia="Palatino Linotype" w:hAnsi="Palatino Linotype" w:cs="Palatino Linotype"/>
          <w:i/>
          <w:iCs/>
          <w:sz w:val="22"/>
          <w:szCs w:val="22"/>
        </w:rPr>
        <w:t xml:space="preserve"> Los expedientes, reportes, estudios, actas</w:t>
      </w:r>
      <w:r w:rsidRPr="00B52138">
        <w:rPr>
          <w:rFonts w:ascii="Palatino Linotype" w:eastAsia="Palatino Linotype" w:hAnsi="Palatino Linotype" w:cs="Palatino Linotype"/>
          <w:b/>
          <w:bCs/>
          <w:i/>
          <w:iCs/>
          <w:sz w:val="22"/>
          <w:szCs w:val="22"/>
        </w:rPr>
        <w:t>,</w:t>
      </w:r>
      <w:r w:rsidRPr="00B52138">
        <w:rPr>
          <w:rFonts w:ascii="Palatino Linotype" w:eastAsia="Palatino Linotype" w:hAnsi="Palatino Linotype" w:cs="Palatino Linotype"/>
          <w:i/>
          <w:iCs/>
          <w:sz w:val="22"/>
          <w:szCs w:val="22"/>
        </w:rPr>
        <w:t xml:space="preserve"> resoluciones, oficios, correspondencia, acuerdos, d</w:t>
      </w:r>
      <w:bookmarkStart w:id="7" w:name="_GoBack"/>
      <w:bookmarkEnd w:id="7"/>
      <w:r w:rsidRPr="00B52138">
        <w:rPr>
          <w:rFonts w:ascii="Palatino Linotype" w:eastAsia="Palatino Linotype" w:hAnsi="Palatino Linotype" w:cs="Palatino Linotype"/>
          <w:i/>
          <w:iCs/>
          <w:sz w:val="22"/>
          <w:szCs w:val="22"/>
        </w:rPr>
        <w:t xml:space="preserve">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CF229BD"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3814CC"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b/>
          <w:bCs/>
          <w:sz w:val="22"/>
          <w:szCs w:val="22"/>
        </w:rPr>
        <w:t>“</w:t>
      </w:r>
      <w:r w:rsidRPr="00B52138">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B52138">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82A77B"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25FFD90"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78F5C06"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71CA1C6E" w14:textId="77777777" w:rsidR="009D5719" w:rsidRPr="00B52138" w:rsidRDefault="00377B0B">
      <w:pPr>
        <w:spacing w:before="120" w:after="120"/>
        <w:ind w:left="851" w:right="902"/>
        <w:jc w:val="both"/>
        <w:rPr>
          <w:rFonts w:ascii="Palatino Linotype" w:eastAsia="Palatino Linotype" w:hAnsi="Palatino Linotype" w:cs="Palatino Linotype"/>
          <w:i/>
          <w:iCs/>
          <w:sz w:val="22"/>
          <w:szCs w:val="22"/>
        </w:rPr>
      </w:pPr>
      <w:r w:rsidRPr="00B52138">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71B1A863" w14:textId="77777777" w:rsidR="009D5719" w:rsidRPr="00B52138" w:rsidRDefault="00377B0B">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95C4B1"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7A79556" w14:textId="77777777" w:rsidR="009D5719" w:rsidRPr="00B52138" w:rsidRDefault="00377B0B">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xml:space="preserve"> requirió al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le proporcione, información consistente en lo siguiente:</w:t>
      </w:r>
    </w:p>
    <w:p w14:paraId="5318F8AE" w14:textId="2BD5F1B4" w:rsidR="00AA409C" w:rsidRPr="00B52138" w:rsidRDefault="00377B0B">
      <w:pPr>
        <w:spacing w:before="240" w:after="240" w:line="360" w:lineRule="auto"/>
        <w:ind w:left="284" w:right="51"/>
        <w:jc w:val="both"/>
        <w:rPr>
          <w:rFonts w:ascii="Palatino Linotype" w:eastAsia="Palatino Linotype" w:hAnsi="Palatino Linotype" w:cs="Palatino Linotype"/>
          <w:sz w:val="22"/>
          <w:szCs w:val="22"/>
          <w:u w:val="single"/>
        </w:rPr>
      </w:pPr>
      <w:r w:rsidRPr="00B52138">
        <w:rPr>
          <w:rFonts w:ascii="Palatino Linotype" w:eastAsia="Palatino Linotype" w:hAnsi="Palatino Linotype" w:cs="Palatino Linotype"/>
          <w:sz w:val="22"/>
          <w:szCs w:val="22"/>
        </w:rPr>
        <w:t>1.</w:t>
      </w:r>
      <w:r w:rsidR="00313789" w:rsidRPr="00B52138">
        <w:t xml:space="preserve"> N</w:t>
      </w:r>
      <w:r w:rsidR="00313789" w:rsidRPr="00B52138">
        <w:rPr>
          <w:rFonts w:ascii="Palatino Linotype" w:eastAsia="Palatino Linotype" w:hAnsi="Palatino Linotype" w:cs="Palatino Linotype"/>
          <w:sz w:val="22"/>
          <w:szCs w:val="22"/>
        </w:rPr>
        <w:t>úmero de elementos operativos adscritos a la Dirección General de Seguridad y Protección, así como el número de patrullas, motocicletas y radios de comunicación en operación durante 2025.</w:t>
      </w:r>
    </w:p>
    <w:p w14:paraId="3D9BCAA4" w14:textId="77777777" w:rsidR="009D5719" w:rsidRPr="00B52138" w:rsidRDefault="00377B0B">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CB9D111"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F964AB3" w14:textId="77777777" w:rsidR="009D5719" w:rsidRPr="00B52138" w:rsidRDefault="00377B0B">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63BC807A"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199C526" w14:textId="49DF9006" w:rsidR="009D5719" w:rsidRPr="00B52138" w:rsidRDefault="00377B0B">
      <w:pPr>
        <w:spacing w:before="280" w:after="28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En el caso particular, es de recordar que la Unidad de Transparencia turnó la solicitud a la Dirección General de Administración</w:t>
      </w:r>
      <w:r w:rsidR="00457697" w:rsidRPr="00B52138">
        <w:rPr>
          <w:rFonts w:ascii="Palatino Linotype" w:eastAsia="Palatino Linotype" w:hAnsi="Palatino Linotype" w:cs="Palatino Linotype"/>
          <w:sz w:val="22"/>
          <w:szCs w:val="22"/>
        </w:rPr>
        <w:t xml:space="preserve"> y a la Dirección General de Seguridad y Protección</w:t>
      </w:r>
      <w:r w:rsidRPr="00B52138">
        <w:rPr>
          <w:rFonts w:ascii="Palatino Linotype" w:eastAsia="Palatino Linotype" w:hAnsi="Palatino Linotype" w:cs="Palatino Linotype"/>
          <w:sz w:val="22"/>
          <w:szCs w:val="22"/>
        </w:rPr>
        <w:t xml:space="preserve"> como la</w:t>
      </w:r>
      <w:r w:rsidR="00457697"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dependencia</w:t>
      </w:r>
      <w:r w:rsidR="00457697"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competente</w:t>
      </w:r>
      <w:r w:rsidR="00457697"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para co</w:t>
      </w:r>
      <w:r w:rsidR="00457697" w:rsidRPr="00B52138">
        <w:rPr>
          <w:rFonts w:ascii="Palatino Linotype" w:eastAsia="Palatino Linotype" w:hAnsi="Palatino Linotype" w:cs="Palatino Linotype"/>
          <w:sz w:val="22"/>
          <w:szCs w:val="22"/>
        </w:rPr>
        <w:t>n</w:t>
      </w:r>
      <w:r w:rsidRPr="00B52138">
        <w:rPr>
          <w:rFonts w:ascii="Palatino Linotype" w:eastAsia="Palatino Linotype" w:hAnsi="Palatino Linotype" w:cs="Palatino Linotype"/>
          <w:sz w:val="22"/>
          <w:szCs w:val="22"/>
        </w:rPr>
        <w:t>tar con la información que es del interés de la persona solicitante.</w:t>
      </w:r>
    </w:p>
    <w:p w14:paraId="132D342D" w14:textId="59627F3A" w:rsidR="009D5719" w:rsidRPr="00B52138" w:rsidRDefault="00377B0B" w:rsidP="00457697">
      <w:pPr>
        <w:spacing w:before="280" w:after="28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La Dirección General de Administración, la cual, de conformidad con el artículo 3.32 del Código Reglamentario de Toluca vigente, se auxilia de diversas unidades administrativas, para el cumplimiento de sus atribuciones, entre las que se encuentra</w:t>
      </w:r>
      <w:r w:rsidR="00457697" w:rsidRPr="00B52138">
        <w:rPr>
          <w:rFonts w:ascii="Palatino Linotype" w:eastAsia="Palatino Linotype" w:hAnsi="Palatino Linotype" w:cs="Palatino Linotype"/>
          <w:sz w:val="22"/>
          <w:szCs w:val="22"/>
        </w:rPr>
        <w:t>n</w:t>
      </w:r>
      <w:r w:rsidRPr="00B52138">
        <w:rPr>
          <w:rFonts w:ascii="Palatino Linotype" w:eastAsia="Palatino Linotype" w:hAnsi="Palatino Linotype" w:cs="Palatino Linotype"/>
          <w:sz w:val="22"/>
          <w:szCs w:val="22"/>
        </w:rPr>
        <w:t xml:space="preserve"> la</w:t>
      </w:r>
      <w:r w:rsidR="00457697" w:rsidRPr="00B52138">
        <w:rPr>
          <w:rFonts w:ascii="Palatino Linotype" w:eastAsia="Palatino Linotype" w:hAnsi="Palatino Linotype" w:cs="Palatino Linotype"/>
          <w:sz w:val="22"/>
          <w:szCs w:val="22"/>
        </w:rPr>
        <w:t xml:space="preserve"> Dirección de</w:t>
      </w:r>
      <w:r w:rsidR="00B335D7" w:rsidRPr="00B52138">
        <w:rPr>
          <w:rFonts w:ascii="Palatino Linotype" w:eastAsia="Palatino Linotype" w:hAnsi="Palatino Linotype" w:cs="Palatino Linotype"/>
          <w:sz w:val="22"/>
          <w:szCs w:val="22"/>
        </w:rPr>
        <w:t xml:space="preserve"> </w:t>
      </w:r>
      <w:r w:rsidR="00457697" w:rsidRPr="00B52138">
        <w:rPr>
          <w:rFonts w:ascii="Palatino Linotype" w:eastAsia="Palatino Linotype" w:hAnsi="Palatino Linotype" w:cs="Palatino Linotype"/>
          <w:sz w:val="22"/>
          <w:szCs w:val="22"/>
        </w:rPr>
        <w:t>Recursos Materiales, la</w:t>
      </w:r>
      <w:r w:rsidRPr="00B52138">
        <w:rPr>
          <w:rFonts w:ascii="Palatino Linotype" w:eastAsia="Palatino Linotype" w:hAnsi="Palatino Linotype" w:cs="Palatino Linotype"/>
          <w:sz w:val="22"/>
          <w:szCs w:val="22"/>
        </w:rPr>
        <w:t xml:space="preserve"> Dirección</w:t>
      </w:r>
      <w:r w:rsidR="00457697" w:rsidRPr="00B52138">
        <w:rPr>
          <w:rFonts w:ascii="Palatino Linotype" w:eastAsia="Palatino Linotype" w:hAnsi="Palatino Linotype" w:cs="Palatino Linotype"/>
          <w:sz w:val="22"/>
          <w:szCs w:val="22"/>
        </w:rPr>
        <w:t xml:space="preserve"> </w:t>
      </w:r>
      <w:r w:rsidRPr="00B52138">
        <w:rPr>
          <w:rFonts w:ascii="Palatino Linotype" w:eastAsia="Palatino Linotype" w:hAnsi="Palatino Linotype" w:cs="Palatino Linotype"/>
          <w:sz w:val="22"/>
          <w:szCs w:val="22"/>
        </w:rPr>
        <w:t>de Recursos Humanos</w:t>
      </w:r>
      <w:r w:rsidR="00457697" w:rsidRPr="00B52138">
        <w:rPr>
          <w:rFonts w:ascii="Palatino Linotype" w:eastAsia="Palatino Linotype" w:hAnsi="Palatino Linotype" w:cs="Palatino Linotype"/>
          <w:sz w:val="22"/>
          <w:szCs w:val="22"/>
        </w:rPr>
        <w:t xml:space="preserve"> y la Dirección de Servicios Generales</w:t>
      </w:r>
      <w:r w:rsidR="00BA3ADD" w:rsidRPr="00B52138">
        <w:rPr>
          <w:rFonts w:ascii="Palatino Linotype" w:eastAsia="Palatino Linotype" w:hAnsi="Palatino Linotype" w:cs="Palatino Linotype"/>
          <w:sz w:val="22"/>
          <w:szCs w:val="22"/>
        </w:rPr>
        <w:t>, entre cuyas atribuciones se encuentran las siguientes:</w:t>
      </w:r>
    </w:p>
    <w:p w14:paraId="6E16D090" w14:textId="77777777" w:rsidR="00FB5886" w:rsidRPr="00B52138" w:rsidRDefault="00FB5886"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Regular las relaciones laborales de las y los servidores públicos y el Ayuntamiento, verificando que se cumpla con lo establecido por las leyes federales, estatales y la reglamentación municipal en la materia;</w:t>
      </w:r>
    </w:p>
    <w:p w14:paraId="7967CBBD" w14:textId="201B4391" w:rsidR="00FB5886" w:rsidRPr="00B52138" w:rsidRDefault="00FB5886"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w:t>
      </w:r>
      <w:r w:rsidR="0083182A" w:rsidRPr="00B52138">
        <w:rPr>
          <w:rFonts w:ascii="Palatino Linotype" w:eastAsia="Palatino Linotype" w:hAnsi="Palatino Linotype" w:cs="Palatino Linotype"/>
          <w:sz w:val="22"/>
          <w:szCs w:val="22"/>
        </w:rPr>
        <w:t>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1A2FA128" w14:textId="27D8A3F1" w:rsidR="0083182A" w:rsidRPr="00B52138" w:rsidRDefault="0083182A"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w:t>
      </w:r>
      <w:r w:rsidR="00A75715" w:rsidRPr="00B52138">
        <w:rPr>
          <w:rFonts w:ascii="Palatino Linotype" w:eastAsia="Palatino Linotype" w:hAnsi="Palatino Linotype" w:cs="Palatino Linotype"/>
          <w:sz w:val="22"/>
          <w:szCs w:val="22"/>
        </w:rPr>
        <w:t xml:space="preserve"> Coordinar la elaboración del programa anual de adquisiciones del Ayuntamiento, con base en los montos establecidos para cada partida por objeto de gasto en el presupuesto, con el fin de ponerlo a disposición de los comités para su debida aprobación;</w:t>
      </w:r>
    </w:p>
    <w:p w14:paraId="12F6926E" w14:textId="1CC8203D" w:rsidR="00A75715" w:rsidRPr="00B52138" w:rsidRDefault="00A75715"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w:t>
      </w:r>
    </w:p>
    <w:p w14:paraId="69BF4E60" w14:textId="1ABB9447" w:rsidR="00A75715" w:rsidRPr="00B52138" w:rsidRDefault="00A75715"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Establecer los mecanismos y procesos administrativos necesarios para el diagnóstico, mantenimiento preventivo y correctivo, del parque vehicular del Ayuntamiento, definir los requisitos para ingresar los vehículos al taller municipal o en su caso canalizarlos a talleres externos;</w:t>
      </w:r>
    </w:p>
    <w:p w14:paraId="4FE72DA6" w14:textId="7BDE6EA2" w:rsidR="00A75715" w:rsidRPr="00B52138" w:rsidRDefault="009D36F7" w:rsidP="00FB5886">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Implementar las medidas necesarias para la actualización y resguardo del inventario general de bienes muebles y vehículos del Ayuntamiento;</w:t>
      </w:r>
    </w:p>
    <w:p w14:paraId="3CE1AA20" w14:textId="469FD342" w:rsidR="00BA3ADD" w:rsidRPr="00B52138" w:rsidRDefault="00BA3ADD" w:rsidP="00457697">
      <w:pPr>
        <w:spacing w:before="280" w:after="28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Por otro lado, la Dirección General de Seguridad y Protección</w:t>
      </w:r>
      <w:r w:rsidR="00B335D7" w:rsidRPr="00B52138">
        <w:rPr>
          <w:rFonts w:ascii="Palatino Linotype" w:eastAsia="Palatino Linotype" w:hAnsi="Palatino Linotype" w:cs="Palatino Linotype"/>
          <w:sz w:val="22"/>
          <w:szCs w:val="22"/>
        </w:rPr>
        <w:t xml:space="preserve"> se auxilia </w:t>
      </w:r>
      <w:r w:rsidR="005A33F5" w:rsidRPr="00B52138">
        <w:rPr>
          <w:rFonts w:ascii="Palatino Linotype" w:eastAsia="Palatino Linotype" w:hAnsi="Palatino Linotype" w:cs="Palatino Linotype"/>
          <w:sz w:val="22"/>
          <w:szCs w:val="22"/>
        </w:rPr>
        <w:t>de la una Delegación Administrativa, entre otras áreas, de conformidad con el artículo 3.30 del Código Reglamentario de Toluca, entre cuyas atribuciones se encuentran las siguientes:</w:t>
      </w:r>
    </w:p>
    <w:p w14:paraId="362B853B" w14:textId="2B07AEE2" w:rsidR="00B14DF3" w:rsidRPr="00B52138" w:rsidRDefault="00377B0B">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 </w:t>
      </w:r>
      <w:r w:rsidR="00B14DF3" w:rsidRPr="00B52138">
        <w:rPr>
          <w:rFonts w:ascii="Palatino Linotype" w:eastAsia="Palatino Linotype" w:hAnsi="Palatino Linotype" w:cs="Palatino Linotype"/>
          <w:sz w:val="22"/>
          <w:szCs w:val="22"/>
        </w:rPr>
        <w:t>Salvaguardar la integridad y derechos de las personas, así́</w:t>
      </w:r>
      <w:r w:rsidR="00474985" w:rsidRPr="00B52138">
        <w:rPr>
          <w:rFonts w:ascii="Palatino Linotype" w:eastAsia="Palatino Linotype" w:hAnsi="Palatino Linotype" w:cs="Palatino Linotype"/>
          <w:sz w:val="22"/>
          <w:szCs w:val="22"/>
        </w:rPr>
        <w:t xml:space="preserve"> </w:t>
      </w:r>
      <w:r w:rsidR="00B14DF3" w:rsidRPr="00B52138">
        <w:rPr>
          <w:rFonts w:ascii="Palatino Linotype" w:eastAsia="Palatino Linotype" w:hAnsi="Palatino Linotype" w:cs="Palatino Linotype"/>
          <w:sz w:val="22"/>
          <w:szCs w:val="22"/>
        </w:rPr>
        <w:t>como preservar las libertades, el orden y la paz públicos;</w:t>
      </w:r>
    </w:p>
    <w:p w14:paraId="4651BA57" w14:textId="50D2B29B" w:rsidR="00B14DF3" w:rsidRPr="00B52138" w:rsidRDefault="00B14DF3">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Organizar, operar, supervisar y controlar el cuerpo de seguridad pública municipal;</w:t>
      </w:r>
    </w:p>
    <w:p w14:paraId="6182E4DA" w14:textId="5DB8B462" w:rsidR="00B14DF3" w:rsidRPr="00B52138" w:rsidRDefault="00B14DF3">
      <w:pPr>
        <w:spacing w:before="280" w:after="280" w:line="360" w:lineRule="auto"/>
        <w:ind w:left="284"/>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Otorgar la seguridad pública en el Municipio;</w:t>
      </w:r>
    </w:p>
    <w:p w14:paraId="07AD94DD" w14:textId="2EDA8D66" w:rsidR="009D5719" w:rsidRPr="00B52138" w:rsidRDefault="00377B0B">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Cómo logra vislumbrarse</w:t>
      </w:r>
      <w:r w:rsidR="00FD5818" w:rsidRPr="00B52138">
        <w:rPr>
          <w:rFonts w:ascii="Palatino Linotype" w:eastAsia="Palatino Linotype" w:hAnsi="Palatino Linotype" w:cs="Palatino Linotype"/>
          <w:sz w:val="22"/>
          <w:szCs w:val="22"/>
        </w:rPr>
        <w:t>,</w:t>
      </w:r>
      <w:r w:rsidR="00844CFA" w:rsidRPr="00B52138">
        <w:rPr>
          <w:rFonts w:ascii="Palatino Linotype" w:eastAsia="Palatino Linotype" w:hAnsi="Palatino Linotype" w:cs="Palatino Linotype"/>
          <w:sz w:val="22"/>
          <w:szCs w:val="22"/>
        </w:rPr>
        <w:t xml:space="preserve"> </w:t>
      </w:r>
      <w:r w:rsidR="00FD5818" w:rsidRPr="00B52138">
        <w:rPr>
          <w:rFonts w:ascii="Palatino Linotype" w:eastAsia="Calibri" w:hAnsi="Palatino Linotype" w:cs="Tahoma"/>
          <w:bCs/>
          <w:iCs/>
          <w:sz w:val="22"/>
          <w:szCs w:val="22"/>
          <w:lang w:eastAsia="es-ES_tradnl"/>
        </w:rPr>
        <w:t xml:space="preserve">la Unidad de Transparencia cumplió el </w:t>
      </w:r>
      <w:r w:rsidR="00FD5818" w:rsidRPr="00B52138">
        <w:rPr>
          <w:rFonts w:ascii="Palatino Linotype" w:eastAsia="Palatino Linotype" w:hAnsi="Palatino Linotype" w:cs="Palatino Linotype"/>
          <w:sz w:val="22"/>
          <w:szCs w:val="22"/>
        </w:rPr>
        <w:t>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1143A062" w14:textId="60186A44" w:rsidR="00A678F5" w:rsidRPr="00B52138" w:rsidRDefault="004C3E91">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Ahora bien, en respuesta, la</w:t>
      </w:r>
      <w:r w:rsidR="000F6221"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persona</w:t>
      </w:r>
      <w:r w:rsidR="00A678F5" w:rsidRPr="00B52138">
        <w:rPr>
          <w:rFonts w:ascii="Palatino Linotype" w:eastAsia="Palatino Linotype" w:hAnsi="Palatino Linotype" w:cs="Palatino Linotype"/>
          <w:sz w:val="22"/>
          <w:szCs w:val="22"/>
        </w:rPr>
        <w:t>s</w:t>
      </w:r>
      <w:r w:rsidR="00377B0B" w:rsidRPr="00B52138">
        <w:rPr>
          <w:rFonts w:ascii="Palatino Linotype" w:eastAsia="Palatino Linotype" w:hAnsi="Palatino Linotype" w:cs="Palatino Linotype"/>
          <w:sz w:val="22"/>
          <w:szCs w:val="22"/>
        </w:rPr>
        <w:t xml:space="preserve"> servidor</w:t>
      </w:r>
      <w:r w:rsidRPr="00B52138">
        <w:rPr>
          <w:rFonts w:ascii="Palatino Linotype" w:eastAsia="Palatino Linotype" w:hAnsi="Palatino Linotype" w:cs="Palatino Linotype"/>
          <w:sz w:val="22"/>
          <w:szCs w:val="22"/>
        </w:rPr>
        <w:t>a</w:t>
      </w:r>
      <w:r w:rsidR="00A678F5"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pública</w:t>
      </w:r>
      <w:r w:rsidR="00A678F5" w:rsidRPr="00B52138">
        <w:rPr>
          <w:rFonts w:ascii="Palatino Linotype" w:eastAsia="Palatino Linotype" w:hAnsi="Palatino Linotype" w:cs="Palatino Linotype"/>
          <w:sz w:val="22"/>
          <w:szCs w:val="22"/>
        </w:rPr>
        <w:t>s</w:t>
      </w:r>
      <w:r w:rsidRPr="00B52138">
        <w:rPr>
          <w:rFonts w:ascii="Palatino Linotype" w:eastAsia="Palatino Linotype" w:hAnsi="Palatino Linotype" w:cs="Palatino Linotype"/>
          <w:sz w:val="22"/>
          <w:szCs w:val="22"/>
        </w:rPr>
        <w:t xml:space="preserve"> habilitada</w:t>
      </w:r>
      <w:r w:rsidR="00A678F5" w:rsidRPr="00B52138">
        <w:rPr>
          <w:rFonts w:ascii="Palatino Linotype" w:eastAsia="Palatino Linotype" w:hAnsi="Palatino Linotype" w:cs="Palatino Linotype"/>
          <w:sz w:val="22"/>
          <w:szCs w:val="22"/>
        </w:rPr>
        <w:t>s</w:t>
      </w:r>
      <w:r w:rsidR="00377B0B" w:rsidRPr="00B52138">
        <w:rPr>
          <w:rFonts w:ascii="Palatino Linotype" w:eastAsia="Palatino Linotype" w:hAnsi="Palatino Linotype" w:cs="Palatino Linotype"/>
          <w:sz w:val="22"/>
          <w:szCs w:val="22"/>
        </w:rPr>
        <w:t xml:space="preserve"> </w:t>
      </w:r>
      <w:r w:rsidR="00A678F5" w:rsidRPr="00B52138">
        <w:rPr>
          <w:rFonts w:ascii="Palatino Linotype" w:eastAsia="Palatino Linotype" w:hAnsi="Palatino Linotype" w:cs="Palatino Linotype"/>
          <w:sz w:val="22"/>
          <w:szCs w:val="22"/>
        </w:rPr>
        <w:t xml:space="preserve">atendieron la solicitud en ámbito de sus competencias, sin embargo, al no estar conforme con los términos de la misma </w:t>
      </w:r>
      <w:r w:rsidR="00ED16EA" w:rsidRPr="00B52138">
        <w:rPr>
          <w:rFonts w:ascii="Palatino Linotype" w:eastAsia="Palatino Linotype" w:hAnsi="Palatino Linotype" w:cs="Palatino Linotype"/>
          <w:sz w:val="22"/>
          <w:szCs w:val="22"/>
        </w:rPr>
        <w:t xml:space="preserve">la parte </w:t>
      </w:r>
      <w:r w:rsidR="00ED16EA" w:rsidRPr="00B52138">
        <w:rPr>
          <w:rFonts w:ascii="Palatino Linotype" w:eastAsia="Palatino Linotype" w:hAnsi="Palatino Linotype" w:cs="Palatino Linotype"/>
          <w:b/>
          <w:bCs/>
          <w:sz w:val="22"/>
          <w:szCs w:val="22"/>
        </w:rPr>
        <w:t xml:space="preserve">Recurrente </w:t>
      </w:r>
      <w:r w:rsidR="00ED16EA" w:rsidRPr="00B52138">
        <w:rPr>
          <w:rFonts w:ascii="Palatino Linotype" w:eastAsia="Palatino Linotype" w:hAnsi="Palatino Linotype" w:cs="Palatino Linotype"/>
          <w:sz w:val="22"/>
          <w:szCs w:val="22"/>
        </w:rPr>
        <w:t xml:space="preserve">interpuso el recurso de revisión que nos ocupa, mediante el cual señaló </w:t>
      </w:r>
      <w:r w:rsidR="001B6E4E" w:rsidRPr="00B52138">
        <w:rPr>
          <w:rFonts w:ascii="Palatino Linotype" w:eastAsia="Palatino Linotype" w:hAnsi="Palatino Linotype" w:cs="Palatino Linotype"/>
          <w:sz w:val="22"/>
          <w:szCs w:val="22"/>
        </w:rPr>
        <w:t xml:space="preserve">como motivo de inconformidad </w:t>
      </w:r>
      <w:r w:rsidR="00D537D8" w:rsidRPr="00B52138">
        <w:rPr>
          <w:rFonts w:ascii="Palatino Linotype" w:eastAsia="Palatino Linotype" w:hAnsi="Palatino Linotype" w:cs="Palatino Linotype"/>
          <w:sz w:val="22"/>
          <w:szCs w:val="22"/>
        </w:rPr>
        <w:t>que no se cumplió con el Derecho de acceso, al haberse negado la información.</w:t>
      </w:r>
    </w:p>
    <w:p w14:paraId="43971685" w14:textId="6909A1E6" w:rsidR="009D5719" w:rsidRPr="00B52138" w:rsidRDefault="00643747">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la etapa de manifestaciones </w:t>
      </w:r>
      <w:r w:rsidR="00EF6A51" w:rsidRPr="00B52138">
        <w:rPr>
          <w:rFonts w:ascii="Palatino Linotype" w:eastAsia="Palatino Linotype" w:hAnsi="Palatino Linotype" w:cs="Palatino Linotype"/>
          <w:sz w:val="22"/>
          <w:szCs w:val="22"/>
        </w:rPr>
        <w:t xml:space="preserve">el </w:t>
      </w:r>
      <w:r w:rsidR="00EF6A51" w:rsidRPr="00B52138">
        <w:rPr>
          <w:rFonts w:ascii="Palatino Linotype" w:eastAsia="Palatino Linotype" w:hAnsi="Palatino Linotype" w:cs="Palatino Linotype"/>
          <w:b/>
          <w:bCs/>
          <w:sz w:val="22"/>
          <w:szCs w:val="22"/>
        </w:rPr>
        <w:t xml:space="preserve">Sujeto Obligado </w:t>
      </w:r>
      <w:r w:rsidR="00A97754" w:rsidRPr="00B52138">
        <w:rPr>
          <w:rFonts w:ascii="Palatino Linotype" w:eastAsia="Palatino Linotype" w:hAnsi="Palatino Linotype" w:cs="Palatino Linotype"/>
          <w:sz w:val="22"/>
          <w:szCs w:val="22"/>
        </w:rPr>
        <w:t>ratificó en lo sustancial la respuesta proporcionada en primera instancia</w:t>
      </w:r>
      <w:r w:rsidR="00264BBA" w:rsidRPr="00B52138">
        <w:rPr>
          <w:rFonts w:ascii="Palatino Linotype" w:eastAsia="Palatino Linotype" w:hAnsi="Palatino Linotype" w:cs="Palatino Linotype"/>
          <w:sz w:val="22"/>
          <w:szCs w:val="22"/>
        </w:rPr>
        <w:t xml:space="preserve">, </w:t>
      </w:r>
      <w:r w:rsidR="00377B0B" w:rsidRPr="00B52138">
        <w:rPr>
          <w:rFonts w:ascii="Palatino Linotype" w:eastAsia="Palatino Linotype" w:hAnsi="Palatino Linotype" w:cs="Palatino Linotype"/>
          <w:sz w:val="22"/>
          <w:szCs w:val="22"/>
        </w:rPr>
        <w:t xml:space="preserve">mientras que la parte </w:t>
      </w:r>
      <w:r w:rsidR="00377B0B" w:rsidRPr="00B52138">
        <w:rPr>
          <w:rFonts w:ascii="Palatino Linotype" w:eastAsia="Palatino Linotype" w:hAnsi="Palatino Linotype" w:cs="Palatino Linotype"/>
          <w:b/>
          <w:bCs/>
          <w:sz w:val="22"/>
          <w:szCs w:val="22"/>
        </w:rPr>
        <w:t xml:space="preserve">Recurrente, </w:t>
      </w:r>
      <w:r w:rsidR="00377B0B" w:rsidRPr="00B52138">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1647D572" w14:textId="77777777" w:rsidR="009D5719" w:rsidRPr="00B52138" w:rsidRDefault="00377B0B">
      <w:pPr>
        <w:spacing w:before="280" w:after="28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 xml:space="preserve">en contraposición con el motivo de inconformidad alegado por la parte </w:t>
      </w:r>
      <w:r w:rsidRPr="00B52138">
        <w:rPr>
          <w:rFonts w:ascii="Palatino Linotype" w:eastAsia="Palatino Linotype" w:hAnsi="Palatino Linotype" w:cs="Palatino Linotype"/>
          <w:b/>
          <w:bCs/>
          <w:sz w:val="22"/>
          <w:szCs w:val="22"/>
        </w:rPr>
        <w:t xml:space="preserve">Recurrente, </w:t>
      </w:r>
      <w:r w:rsidRPr="00B52138">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FB9E9D5" w14:textId="580FF46E" w:rsidR="000B6B31" w:rsidRPr="00B52138" w:rsidRDefault="00377B0B">
      <w:pPr>
        <w:tabs>
          <w:tab w:val="left" w:pos="3544"/>
        </w:tabs>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este tenor, </w:t>
      </w:r>
      <w:r w:rsidR="0083669C" w:rsidRPr="00B52138">
        <w:rPr>
          <w:rFonts w:ascii="Palatino Linotype" w:eastAsia="Palatino Linotype" w:hAnsi="Palatino Linotype" w:cs="Palatino Linotype"/>
          <w:sz w:val="22"/>
          <w:szCs w:val="22"/>
        </w:rPr>
        <w:t xml:space="preserve">tomando en consideración la respuesta proporcionada por el </w:t>
      </w:r>
      <w:r w:rsidR="0083669C" w:rsidRPr="00B52138">
        <w:rPr>
          <w:rFonts w:ascii="Palatino Linotype" w:eastAsia="Palatino Linotype" w:hAnsi="Palatino Linotype" w:cs="Palatino Linotype"/>
          <w:b/>
          <w:bCs/>
          <w:sz w:val="22"/>
          <w:szCs w:val="22"/>
        </w:rPr>
        <w:t>Sujeto Obligado</w:t>
      </w:r>
      <w:r w:rsidR="00747C61" w:rsidRPr="00B52138">
        <w:rPr>
          <w:rFonts w:ascii="Palatino Linotype" w:eastAsia="Palatino Linotype" w:hAnsi="Palatino Linotype" w:cs="Palatino Linotype"/>
          <w:b/>
          <w:bCs/>
          <w:sz w:val="22"/>
          <w:szCs w:val="22"/>
        </w:rPr>
        <w:t xml:space="preserve">, </w:t>
      </w:r>
      <w:r w:rsidR="00747C61" w:rsidRPr="00B52138">
        <w:rPr>
          <w:rFonts w:ascii="Palatino Linotype" w:eastAsia="Palatino Linotype" w:hAnsi="Palatino Linotype" w:cs="Palatino Linotype"/>
          <w:sz w:val="22"/>
          <w:szCs w:val="22"/>
        </w:rPr>
        <w:t xml:space="preserve">se </w:t>
      </w:r>
      <w:r w:rsidR="00B31F84" w:rsidRPr="00B52138">
        <w:rPr>
          <w:rFonts w:ascii="Palatino Linotype" w:eastAsia="Palatino Linotype" w:hAnsi="Palatino Linotype" w:cs="Palatino Linotype"/>
          <w:sz w:val="22"/>
          <w:szCs w:val="22"/>
        </w:rPr>
        <w:t xml:space="preserve">concluye que </w:t>
      </w:r>
      <w:r w:rsidR="004A68B7" w:rsidRPr="00B52138">
        <w:rPr>
          <w:rFonts w:ascii="Palatino Linotype" w:eastAsia="Palatino Linotype" w:hAnsi="Palatino Linotype" w:cs="Palatino Linotype"/>
          <w:sz w:val="22"/>
          <w:szCs w:val="22"/>
        </w:rPr>
        <w:t xml:space="preserve">los motivos de inconformidad alegados por la parte </w:t>
      </w:r>
      <w:r w:rsidR="004A68B7" w:rsidRPr="00B52138">
        <w:rPr>
          <w:rFonts w:ascii="Palatino Linotype" w:eastAsia="Palatino Linotype" w:hAnsi="Palatino Linotype" w:cs="Palatino Linotype"/>
          <w:b/>
          <w:bCs/>
          <w:sz w:val="22"/>
          <w:szCs w:val="22"/>
        </w:rPr>
        <w:t xml:space="preserve">Recurrente </w:t>
      </w:r>
      <w:r w:rsidR="004A68B7" w:rsidRPr="00B52138">
        <w:rPr>
          <w:rFonts w:ascii="Palatino Linotype" w:eastAsia="Palatino Linotype" w:hAnsi="Palatino Linotype" w:cs="Palatino Linotype"/>
          <w:sz w:val="22"/>
          <w:szCs w:val="22"/>
        </w:rPr>
        <w:t xml:space="preserve">devienen parcialmente fundados, ello en virtud de que a través de la </w:t>
      </w:r>
      <w:r w:rsidR="000B6B31" w:rsidRPr="00B52138">
        <w:rPr>
          <w:rFonts w:ascii="Palatino Linotype" w:eastAsia="Palatino Linotype" w:hAnsi="Palatino Linotype" w:cs="Palatino Linotype"/>
          <w:sz w:val="22"/>
          <w:szCs w:val="22"/>
        </w:rPr>
        <w:t>Dirección General de Seguridad y Protección</w:t>
      </w:r>
      <w:r w:rsidR="00095304" w:rsidRPr="00B52138">
        <w:rPr>
          <w:rFonts w:ascii="Palatino Linotype" w:eastAsia="Palatino Linotype" w:hAnsi="Palatino Linotype" w:cs="Palatino Linotype"/>
          <w:sz w:val="22"/>
          <w:szCs w:val="22"/>
        </w:rPr>
        <w:t>, se informó sobre el número de elementos operativos en funciones al 10 de noviembre de 2025, así como el número de patrullas y motocicletas operativas en 2025, como se ilustra a continuación:</w:t>
      </w:r>
    </w:p>
    <w:p w14:paraId="49CDE01B" w14:textId="6D14979B" w:rsidR="00095304" w:rsidRPr="00B52138" w:rsidRDefault="00095304" w:rsidP="00095304">
      <w:pPr>
        <w:tabs>
          <w:tab w:val="left" w:pos="3544"/>
        </w:tabs>
        <w:spacing w:before="240" w:after="240" w:line="360" w:lineRule="auto"/>
        <w:ind w:right="49"/>
        <w:jc w:val="center"/>
        <w:rPr>
          <w:rFonts w:ascii="Palatino Linotype" w:eastAsia="Palatino Linotype" w:hAnsi="Palatino Linotype" w:cs="Palatino Linotype"/>
          <w:sz w:val="22"/>
          <w:szCs w:val="22"/>
        </w:rPr>
      </w:pPr>
      <w:r w:rsidRPr="00B52138">
        <w:rPr>
          <w:noProof/>
        </w:rPr>
        <w:drawing>
          <wp:inline distT="0" distB="0" distL="0" distR="0" wp14:anchorId="4A08F42B" wp14:editId="548BEDF6">
            <wp:extent cx="5038725" cy="381000"/>
            <wp:effectExtent l="0" t="0" r="9525" b="0"/>
            <wp:docPr id="895622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22797" name=""/>
                    <pic:cNvPicPr/>
                  </pic:nvPicPr>
                  <pic:blipFill>
                    <a:blip r:embed="rId8"/>
                    <a:stretch>
                      <a:fillRect/>
                    </a:stretch>
                  </pic:blipFill>
                  <pic:spPr>
                    <a:xfrm>
                      <a:off x="0" y="0"/>
                      <a:ext cx="5038725" cy="381000"/>
                    </a:xfrm>
                    <a:prstGeom prst="rect">
                      <a:avLst/>
                    </a:prstGeom>
                  </pic:spPr>
                </pic:pic>
              </a:graphicData>
            </a:graphic>
          </wp:inline>
        </w:drawing>
      </w:r>
    </w:p>
    <w:p w14:paraId="1904B285" w14:textId="5A14F59F" w:rsidR="00095304" w:rsidRPr="00B52138" w:rsidRDefault="00095304" w:rsidP="00095304">
      <w:pPr>
        <w:tabs>
          <w:tab w:val="left" w:pos="3544"/>
        </w:tabs>
        <w:spacing w:before="240" w:after="240" w:line="360" w:lineRule="auto"/>
        <w:ind w:left="3544" w:right="49" w:hanging="3544"/>
        <w:jc w:val="center"/>
        <w:rPr>
          <w:rFonts w:ascii="Palatino Linotype" w:eastAsia="Palatino Linotype" w:hAnsi="Palatino Linotype" w:cs="Palatino Linotype"/>
          <w:sz w:val="22"/>
          <w:szCs w:val="22"/>
        </w:rPr>
      </w:pPr>
      <w:r w:rsidRPr="00B52138">
        <w:rPr>
          <w:noProof/>
        </w:rPr>
        <w:drawing>
          <wp:inline distT="0" distB="0" distL="0" distR="0" wp14:anchorId="711FA8E7" wp14:editId="669FA572">
            <wp:extent cx="5067300" cy="1066800"/>
            <wp:effectExtent l="0" t="0" r="0" b="0"/>
            <wp:docPr id="2061918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8769" name=""/>
                    <pic:cNvPicPr/>
                  </pic:nvPicPr>
                  <pic:blipFill>
                    <a:blip r:embed="rId9"/>
                    <a:stretch>
                      <a:fillRect/>
                    </a:stretch>
                  </pic:blipFill>
                  <pic:spPr>
                    <a:xfrm>
                      <a:off x="0" y="0"/>
                      <a:ext cx="5067300" cy="1066800"/>
                    </a:xfrm>
                    <a:prstGeom prst="rect">
                      <a:avLst/>
                    </a:prstGeom>
                  </pic:spPr>
                </pic:pic>
              </a:graphicData>
            </a:graphic>
          </wp:inline>
        </w:drawing>
      </w:r>
    </w:p>
    <w:p w14:paraId="61E79FEE" w14:textId="4E1E0631" w:rsidR="00095304" w:rsidRPr="00B52138" w:rsidRDefault="00095304" w:rsidP="00436EB4">
      <w:pPr>
        <w:tabs>
          <w:tab w:val="left" w:pos="284"/>
        </w:tabs>
        <w:spacing w:before="240" w:after="240" w:line="360" w:lineRule="auto"/>
        <w:ind w:right="49"/>
        <w:jc w:val="both"/>
        <w:rPr>
          <w:sz w:val="22"/>
          <w:szCs w:val="22"/>
        </w:rPr>
      </w:pPr>
      <w:r w:rsidRPr="00B52138">
        <w:rPr>
          <w:rFonts w:ascii="Palatino Linotype" w:eastAsia="Palatino Linotype" w:hAnsi="Palatino Linotype" w:cs="Palatino Linotype"/>
          <w:sz w:val="22"/>
          <w:szCs w:val="22"/>
        </w:rPr>
        <w:t>Información que satisface la primera parte de la solicitud, al haber sido proporcionada por el área competente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49156CA5" w14:textId="6EA2F0FF" w:rsidR="009D5719" w:rsidRPr="00B52138" w:rsidRDefault="00651618" w:rsidP="00651618">
      <w:pPr>
        <w:tabs>
          <w:tab w:val="left" w:pos="709"/>
        </w:tabs>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No obstante, </w:t>
      </w:r>
      <w:r w:rsidR="0088276F" w:rsidRPr="00B52138">
        <w:rPr>
          <w:rFonts w:ascii="Palatino Linotype" w:eastAsia="Palatino Linotype" w:hAnsi="Palatino Linotype" w:cs="Palatino Linotype"/>
          <w:sz w:val="22"/>
          <w:szCs w:val="22"/>
        </w:rPr>
        <w:t xml:space="preserve">por lo que se refiere al número de radios de comunicación </w:t>
      </w:r>
      <w:r w:rsidR="00C73918" w:rsidRPr="00B52138">
        <w:rPr>
          <w:rFonts w:ascii="Palatino Linotype" w:eastAsia="Palatino Linotype" w:hAnsi="Palatino Linotype" w:cs="Palatino Linotype"/>
          <w:sz w:val="22"/>
          <w:szCs w:val="22"/>
        </w:rPr>
        <w:t xml:space="preserve">en operación en el año 2025, </w:t>
      </w:r>
      <w:r w:rsidR="002F311C" w:rsidRPr="00B52138">
        <w:rPr>
          <w:rFonts w:ascii="Palatino Linotype" w:eastAsia="Palatino Linotype" w:hAnsi="Palatino Linotype" w:cs="Palatino Linotype"/>
          <w:sz w:val="22"/>
          <w:szCs w:val="22"/>
        </w:rPr>
        <w:t xml:space="preserve">la </w:t>
      </w:r>
      <w:r w:rsidR="008D76AF" w:rsidRPr="00B52138">
        <w:rPr>
          <w:rFonts w:ascii="Palatino Linotype" w:eastAsia="Palatino Linotype" w:hAnsi="Palatino Linotype" w:cs="Palatino Linotype"/>
          <w:sz w:val="22"/>
          <w:szCs w:val="22"/>
        </w:rPr>
        <w:t>Dirección General de Seguridad y Protección refirió que no realiza la gestión ni control de los mismos.</w:t>
      </w:r>
    </w:p>
    <w:p w14:paraId="09633A72" w14:textId="37714B68" w:rsidR="00C31E74" w:rsidRPr="00B52138" w:rsidRDefault="00530185" w:rsidP="00C31E74">
      <w:pPr>
        <w:tabs>
          <w:tab w:val="left" w:pos="709"/>
        </w:tabs>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Y, por otro lado, la </w:t>
      </w:r>
      <w:r w:rsidRPr="00B52138">
        <w:rPr>
          <w:rFonts w:ascii="Palatino Linotype" w:hAnsi="Palatino Linotype"/>
          <w:sz w:val="22"/>
          <w:szCs w:val="22"/>
        </w:rPr>
        <w:t xml:space="preserve">Dirección General de Administración </w:t>
      </w:r>
      <w:r w:rsidR="001435EB" w:rsidRPr="00B52138">
        <w:rPr>
          <w:rFonts w:ascii="Palatino Linotype" w:hAnsi="Palatino Linotype"/>
          <w:sz w:val="22"/>
          <w:szCs w:val="22"/>
        </w:rPr>
        <w:t xml:space="preserve">manifestó que la </w:t>
      </w:r>
      <w:r w:rsidR="00640CA1" w:rsidRPr="00B52138">
        <w:rPr>
          <w:rFonts w:ascii="Palatino Linotype" w:hAnsi="Palatino Linotype"/>
          <w:sz w:val="22"/>
          <w:szCs w:val="22"/>
        </w:rPr>
        <w:t xml:space="preserve">información se encontraba disponible para su consulta en el apartado del </w:t>
      </w:r>
      <w:r w:rsidR="00640CA1" w:rsidRPr="00B52138">
        <w:rPr>
          <w:rFonts w:ascii="Palatino Linotype" w:eastAsia="Palatino Linotype" w:hAnsi="Palatino Linotype" w:cs="Palatino Linotype"/>
          <w:sz w:val="22"/>
          <w:szCs w:val="22"/>
        </w:rPr>
        <w:t>inventario de bienes muebles en el portal de Información Pública de Oficio Mexiquense, IPOMEX,</w:t>
      </w:r>
      <w:r w:rsidR="00C31E74" w:rsidRPr="00B52138">
        <w:rPr>
          <w:rFonts w:ascii="Palatino Linotype" w:eastAsia="Palatino Linotype" w:hAnsi="Palatino Linotype" w:cs="Palatino Linotype"/>
          <w:sz w:val="22"/>
          <w:szCs w:val="22"/>
        </w:rPr>
        <w:t xml:space="preserve"> proporcionando la dirección electrónica del mismo, sin embargo, es necesario puntualizar que dicha información se proporcionó a través de un documento digitalizado que al no permitir editar, modificar o procesar su contenido, requiere que dicha liga sea capturada carácter por carácter, tarea que se dificulta en gran medida ya que al componerse de diversos caracteres, mayúsculas y minúsculas, existe una gran probabilidad de cometer errores en la captura, lo cual implicaría invariablemente la imposibilidad de acceder a la información, razón por la cual no puede tenerse por válida la dirección electrónica proporcionada.</w:t>
      </w:r>
    </w:p>
    <w:p w14:paraId="3EC5D8A4" w14:textId="77777777" w:rsidR="00C31E74" w:rsidRPr="00B52138" w:rsidRDefault="00C31E74" w:rsidP="00C31E74">
      <w:pPr>
        <w:tabs>
          <w:tab w:val="left" w:pos="1140"/>
        </w:tabs>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Para sustentar dicha determinación es oportuno referir que de conformidad con el artículo 24, fracción V de la Ley de Transparencia y Acceso a la Información Pública del Estado de México y Municipios, los entes públicos se encuentran obligados </w:t>
      </w:r>
      <w:r w:rsidRPr="00B52138">
        <w:rPr>
          <w:rFonts w:ascii="Palatino Linotype" w:eastAsia="Palatino Linotype" w:hAnsi="Palatino Linotype" w:cs="Palatino Linotype"/>
          <w:b/>
          <w:sz w:val="22"/>
          <w:szCs w:val="22"/>
          <w:u w:val="single"/>
        </w:rPr>
        <w:t>a promover</w:t>
      </w:r>
      <w:r w:rsidRPr="00B52138">
        <w:rPr>
          <w:rFonts w:ascii="Palatino Linotype" w:eastAsia="Palatino Linotype" w:hAnsi="Palatino Linotype" w:cs="Palatino Linotype"/>
          <w:sz w:val="22"/>
          <w:szCs w:val="22"/>
        </w:rPr>
        <w:t xml:space="preserve"> la generación, documentación y publicación de la información </w:t>
      </w:r>
      <w:r w:rsidRPr="00B52138">
        <w:rPr>
          <w:rFonts w:ascii="Palatino Linotype" w:eastAsia="Palatino Linotype" w:hAnsi="Palatino Linotype" w:cs="Palatino Linotype"/>
          <w:b/>
          <w:sz w:val="22"/>
          <w:szCs w:val="22"/>
          <w:u w:val="single"/>
        </w:rPr>
        <w:t>en formatos abiertos y accesibles</w:t>
      </w:r>
      <w:r w:rsidRPr="00B52138">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4714F261" w14:textId="77777777" w:rsidR="00C31E74" w:rsidRPr="00B52138" w:rsidRDefault="00C31E74" w:rsidP="00C31E74">
      <w:pPr>
        <w:tabs>
          <w:tab w:val="left" w:pos="1140"/>
        </w:tabs>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Atento a lo anterior se insta al </w:t>
      </w:r>
      <w:r w:rsidRPr="00B52138">
        <w:rPr>
          <w:rFonts w:ascii="Palatino Linotype" w:eastAsia="Palatino Linotype" w:hAnsi="Palatino Linotype" w:cs="Palatino Linotype"/>
          <w:b/>
          <w:sz w:val="22"/>
          <w:szCs w:val="22"/>
        </w:rPr>
        <w:t xml:space="preserve">Sujeto Obligado, </w:t>
      </w:r>
      <w:r w:rsidRPr="00B52138">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595ABF21" w14:textId="318AE8AF" w:rsidR="00C31E74" w:rsidRPr="00B52138" w:rsidRDefault="000543C3" w:rsidP="00651618">
      <w:pPr>
        <w:tabs>
          <w:tab w:val="left" w:pos="709"/>
        </w:tabs>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las relatadas circunstancias, </w:t>
      </w:r>
      <w:r w:rsidR="00A34640" w:rsidRPr="00B52138">
        <w:rPr>
          <w:rFonts w:ascii="Palatino Linotype" w:eastAsia="Palatino Linotype" w:hAnsi="Palatino Linotype" w:cs="Palatino Linotype"/>
          <w:sz w:val="22"/>
          <w:szCs w:val="22"/>
        </w:rPr>
        <w:t xml:space="preserve">se estima que para tener por satisfecho el Derecho de acceso a la información de la parte </w:t>
      </w:r>
      <w:r w:rsidR="00A34640" w:rsidRPr="00B52138">
        <w:rPr>
          <w:rFonts w:ascii="Palatino Linotype" w:eastAsia="Palatino Linotype" w:hAnsi="Palatino Linotype" w:cs="Palatino Linotype"/>
          <w:b/>
          <w:bCs/>
          <w:sz w:val="22"/>
          <w:szCs w:val="22"/>
        </w:rPr>
        <w:t xml:space="preserve">Recurrente, </w:t>
      </w:r>
      <w:r w:rsidR="00A34640" w:rsidRPr="00B52138">
        <w:rPr>
          <w:rFonts w:ascii="Palatino Linotype" w:eastAsia="Palatino Linotype" w:hAnsi="Palatino Linotype" w:cs="Palatino Linotype"/>
          <w:sz w:val="22"/>
          <w:szCs w:val="22"/>
        </w:rPr>
        <w:t xml:space="preserve">es necesario que previa búsqueda exhaustiva y razonable se haga entrega del soporte documental que </w:t>
      </w:r>
      <w:r w:rsidR="001B0AEC" w:rsidRPr="00B52138">
        <w:rPr>
          <w:rFonts w:ascii="Palatino Linotype" w:eastAsia="Palatino Linotype" w:hAnsi="Palatino Linotype" w:cs="Palatino Linotype"/>
          <w:sz w:val="22"/>
          <w:szCs w:val="22"/>
        </w:rPr>
        <w:t>de cuenta del número de radios de comunicación</w:t>
      </w:r>
      <w:r w:rsidR="00A921CE" w:rsidRPr="00B52138">
        <w:rPr>
          <w:rFonts w:ascii="Palatino Linotype" w:eastAsia="Palatino Linotype" w:hAnsi="Palatino Linotype" w:cs="Palatino Linotype"/>
          <w:sz w:val="22"/>
          <w:szCs w:val="22"/>
        </w:rPr>
        <w:t xml:space="preserve"> de la Dirección General de Seguridad y Protección</w:t>
      </w:r>
      <w:r w:rsidR="001B0AEC" w:rsidRPr="00B52138">
        <w:rPr>
          <w:rFonts w:ascii="Palatino Linotype" w:eastAsia="Palatino Linotype" w:hAnsi="Palatino Linotype" w:cs="Palatino Linotype"/>
          <w:sz w:val="22"/>
          <w:szCs w:val="22"/>
        </w:rPr>
        <w:t xml:space="preserve"> en operación del uno de enero al veintiocho de octubre de dos mil veinticinco</w:t>
      </w:r>
      <w:r w:rsidR="009B472E" w:rsidRPr="00B52138">
        <w:rPr>
          <w:rFonts w:ascii="Palatino Linotype" w:eastAsia="Palatino Linotype" w:hAnsi="Palatino Linotype" w:cs="Palatino Linotype"/>
          <w:sz w:val="22"/>
          <w:szCs w:val="22"/>
        </w:rPr>
        <w:t>, en versión pública de ser procedente, de conformidad con el considerando siguiente.</w:t>
      </w:r>
    </w:p>
    <w:p w14:paraId="52545986" w14:textId="77777777" w:rsidR="003D1BE3" w:rsidRPr="00B52138" w:rsidRDefault="003D1BE3" w:rsidP="003D1BE3">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Respecto de la información estadística, sirve de apoyo el Criterio orientador con clave de control SO/008/2023, emitido por el entonces Instituto Nacional de Transparencia y Acceso a la Información y Protección de Datos Personales, INAI, de rubro y texto siguientes:</w:t>
      </w:r>
    </w:p>
    <w:p w14:paraId="08FB42A0" w14:textId="77777777" w:rsidR="003D1BE3" w:rsidRPr="00B52138" w:rsidRDefault="003D1BE3" w:rsidP="003D1BE3">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 xml:space="preserve">Ejercicio del derecho de Acceso a la Información Pública. La información estadística es de naturaleza pública, independientemente de la materia con la que se encuentre vinculada. </w:t>
      </w:r>
      <w:r w:rsidRPr="00B52138">
        <w:rPr>
          <w:rFonts w:ascii="Palatino Linotype" w:eastAsia="Palatino Linotype" w:hAnsi="Palatino Linotype" w:cs="Palatino Linotype"/>
          <w:i/>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B52138">
        <w:rPr>
          <w:rFonts w:ascii="Palatino Linotype" w:eastAsia="Palatino Linotype" w:hAnsi="Palatino Linotype" w:cs="Palatino Linotype"/>
          <w:b/>
          <w:i/>
          <w:sz w:val="22"/>
          <w:szCs w:val="22"/>
        </w:rPr>
        <w:t>los sujetos obligados deberán poner a disposición del público, entre otra, la relativa a la que con base en la información estadística</w:t>
      </w:r>
      <w:r w:rsidRPr="00B52138">
        <w:rPr>
          <w:rFonts w:ascii="Palatino Linotype" w:eastAsia="Palatino Linotype" w:hAnsi="Palatino Linotype" w:cs="Palatino Linotype"/>
          <w:i/>
          <w:sz w:val="22"/>
          <w:szCs w:val="22"/>
        </w:rPr>
        <w:t xml:space="preserve">, responda a las preguntas hechas con más frecuencia por el público, por lo que es posible afirmar que la información estadística es de naturaleza pública, </w:t>
      </w:r>
      <w:r w:rsidRPr="00B52138">
        <w:rPr>
          <w:rFonts w:ascii="Palatino Linotype" w:eastAsia="Palatino Linotype" w:hAnsi="Palatino Linotype" w:cs="Palatino Linotype"/>
          <w:b/>
          <w:i/>
          <w:sz w:val="22"/>
          <w:szCs w:val="22"/>
        </w:rPr>
        <w:t>siempre y cuando los datos estadísticos no se encuentren individualizados o personalizados a casos o situaciones específicas,</w:t>
      </w:r>
      <w:r w:rsidRPr="00B52138">
        <w:rPr>
          <w:rFonts w:ascii="Palatino Linotype" w:eastAsia="Palatino Linotype" w:hAnsi="Palatino Linotype" w:cs="Palatino Linotype"/>
          <w:i/>
          <w:sz w:val="22"/>
          <w:szCs w:val="22"/>
        </w:rPr>
        <w:t xml:space="preserve"> que pudieran llegar a justificar su clasificación.”</w:t>
      </w:r>
    </w:p>
    <w:p w14:paraId="77E9FE65"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8" w:name="_heading=h.e128ywxvyudv" w:colFirst="0" w:colLast="0"/>
      <w:bookmarkEnd w:id="8"/>
      <w:r w:rsidRPr="00B52138">
        <w:rPr>
          <w:rFonts w:ascii="Palatino Linotype" w:eastAsia="Palatino Linotype" w:hAnsi="Palatino Linotype" w:cs="Palatino Linotype"/>
          <w:sz w:val="22"/>
          <w:szCs w:val="22"/>
        </w:rPr>
        <w:t xml:space="preserve">De lo hasta aquí expuesto, se concluye que los motivos de inconformidad de la parte </w:t>
      </w:r>
      <w:r w:rsidRPr="00B52138">
        <w:rPr>
          <w:rFonts w:ascii="Palatino Linotype" w:eastAsia="Palatino Linotype" w:hAnsi="Palatino Linotype" w:cs="Palatino Linotype"/>
          <w:b/>
          <w:bCs/>
          <w:sz w:val="22"/>
          <w:szCs w:val="22"/>
        </w:rPr>
        <w:t xml:space="preserve">Recurrente </w:t>
      </w:r>
      <w:r w:rsidRPr="00B52138">
        <w:rPr>
          <w:rFonts w:ascii="Palatino Linotype" w:eastAsia="Palatino Linotype" w:hAnsi="Palatino Linotype" w:cs="Palatino Linotype"/>
          <w:sz w:val="22"/>
          <w:szCs w:val="22"/>
        </w:rPr>
        <w:t xml:space="preserve">devienen parcialmente fundados, siendo procedente </w:t>
      </w:r>
      <w:r w:rsidRPr="00B52138">
        <w:rPr>
          <w:rFonts w:ascii="Palatino Linotype" w:eastAsia="Palatino Linotype" w:hAnsi="Palatino Linotype" w:cs="Palatino Linotype"/>
          <w:i/>
          <w:iCs/>
          <w:sz w:val="22"/>
          <w:szCs w:val="22"/>
        </w:rPr>
        <w:t xml:space="preserve">Modificar </w:t>
      </w:r>
      <w:r w:rsidRPr="00B52138">
        <w:rPr>
          <w:rFonts w:ascii="Palatino Linotype" w:eastAsia="Palatino Linotype" w:hAnsi="Palatino Linotype" w:cs="Palatino Linotype"/>
          <w:sz w:val="22"/>
          <w:szCs w:val="22"/>
        </w:rPr>
        <w:t xml:space="preserve">la respuesta proporcionada por el </w:t>
      </w:r>
      <w:r w:rsidRPr="00B52138">
        <w:rPr>
          <w:rFonts w:ascii="Palatino Linotype" w:eastAsia="Palatino Linotype" w:hAnsi="Palatino Linotype" w:cs="Palatino Linotype"/>
          <w:b/>
          <w:bCs/>
          <w:sz w:val="22"/>
          <w:szCs w:val="22"/>
        </w:rPr>
        <w:t xml:space="preserve">Sujeto Obligado </w:t>
      </w:r>
      <w:r w:rsidRPr="00B52138">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C2DA648" w14:textId="77777777" w:rsidR="004A5A8C" w:rsidRPr="00B52138" w:rsidRDefault="004A5A8C" w:rsidP="004A5A8C">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sz w:val="22"/>
          <w:szCs w:val="22"/>
        </w:rPr>
        <w:t xml:space="preserve">Quinto. Versión Pública. </w:t>
      </w:r>
      <w:r w:rsidRPr="00B52138">
        <w:rPr>
          <w:rFonts w:ascii="Palatino Linotype" w:eastAsia="Palatino Linotype" w:hAnsi="Palatino Linotype" w:cs="Palatino Linotype"/>
          <w:sz w:val="22"/>
          <w:szCs w:val="22"/>
        </w:rPr>
        <w:t>Como fue debidamente apuntado, el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E50F18B" w14:textId="77777777" w:rsidR="004A5A8C" w:rsidRPr="00B52138" w:rsidRDefault="004A5A8C" w:rsidP="004A5A8C">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24F5615" w14:textId="77777777" w:rsidR="004A5A8C" w:rsidRPr="00B52138" w:rsidRDefault="004A5A8C" w:rsidP="004A5A8C">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8A655BF" w14:textId="77777777" w:rsidR="004A5A8C" w:rsidRPr="00B52138" w:rsidRDefault="004A5A8C" w:rsidP="004A5A8C">
      <w:pPr>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40344C5D"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sz w:val="22"/>
          <w:szCs w:val="22"/>
        </w:rPr>
        <w:t> </w:t>
      </w: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Artículo 3.</w:t>
      </w:r>
      <w:r w:rsidRPr="00B52138">
        <w:rPr>
          <w:rFonts w:ascii="Palatino Linotype" w:eastAsia="Palatino Linotype" w:hAnsi="Palatino Linotype" w:cs="Palatino Linotype"/>
          <w:i/>
          <w:sz w:val="22"/>
          <w:szCs w:val="22"/>
        </w:rPr>
        <w:t xml:space="preserve"> Para los efectos de la presente Ley se entenderá por:</w:t>
      </w:r>
    </w:p>
    <w:p w14:paraId="31626CAB"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27EFB0A4"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IX. Datos personales</w:t>
      </w:r>
      <w:r w:rsidRPr="00B5213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1585939"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2563AACA"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XX. Información clasificada</w:t>
      </w:r>
      <w:r w:rsidRPr="00B52138">
        <w:rPr>
          <w:rFonts w:ascii="Palatino Linotype" w:eastAsia="Palatino Linotype" w:hAnsi="Palatino Linotype" w:cs="Palatino Linotype"/>
          <w:i/>
          <w:sz w:val="22"/>
          <w:szCs w:val="22"/>
        </w:rPr>
        <w:t>: Aquella considerada por la presente Ley como reservada o confidencial;</w:t>
      </w:r>
    </w:p>
    <w:p w14:paraId="7B9BBB01"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XXI. Información confidencial</w:t>
      </w:r>
      <w:r w:rsidRPr="00B5213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621B56"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6EBF8363"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XXXII. Protección de Datos Personales</w:t>
      </w:r>
      <w:r w:rsidRPr="00B5213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420624D"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29680F32" w14:textId="77777777" w:rsidR="004A5A8C" w:rsidRPr="00B52138" w:rsidRDefault="004A5A8C" w:rsidP="004A5A8C">
      <w:pPr>
        <w:tabs>
          <w:tab w:val="left" w:pos="1276"/>
        </w:tabs>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XLV. Versión pública</w:t>
      </w:r>
      <w:r w:rsidRPr="00B5213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81BC83C"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 Artículo 6</w:t>
      </w:r>
      <w:r w:rsidRPr="00B5213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DD5BD1"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53185FB4"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Artículo 91.</w:t>
      </w:r>
      <w:r w:rsidRPr="00B5213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B52138">
        <w:rPr>
          <w:rFonts w:ascii="Palatino Linotype" w:eastAsia="Palatino Linotype" w:hAnsi="Palatino Linotype" w:cs="Palatino Linotype"/>
          <w:i/>
          <w:sz w:val="22"/>
          <w:szCs w:val="22"/>
        </w:rPr>
        <w:br/>
        <w:t>…</w:t>
      </w:r>
    </w:p>
    <w:p w14:paraId="691C631D"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Artículo 132.</w:t>
      </w:r>
      <w:r w:rsidRPr="00B52138">
        <w:rPr>
          <w:rFonts w:ascii="Palatino Linotype" w:eastAsia="Palatino Linotype" w:hAnsi="Palatino Linotype" w:cs="Palatino Linotype"/>
          <w:i/>
          <w:sz w:val="22"/>
          <w:szCs w:val="22"/>
        </w:rPr>
        <w:t xml:space="preserve"> La clasificación de la información se llevará a cabo en el momento en que:</w:t>
      </w:r>
    </w:p>
    <w:p w14:paraId="011350DE"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Se reciba una solicitud de acceso a la información;</w:t>
      </w:r>
    </w:p>
    <w:p w14:paraId="5D11F564"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w:t>
      </w:r>
      <w:r w:rsidRPr="00B52138">
        <w:rPr>
          <w:rFonts w:ascii="Palatino Linotype" w:eastAsia="Palatino Linotype" w:hAnsi="Palatino Linotype" w:cs="Palatino Linotype"/>
          <w:i/>
          <w:sz w:val="22"/>
          <w:szCs w:val="22"/>
        </w:rPr>
        <w:t xml:space="preserve"> Se determine mediante resolución de autoridad competente; o</w:t>
      </w:r>
    </w:p>
    <w:p w14:paraId="14FFE5A2"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III.</w:t>
      </w:r>
      <w:r w:rsidRPr="00B5213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81930CC"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w:t>
      </w:r>
    </w:p>
    <w:p w14:paraId="3971DDBF"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Artículo 137.</w:t>
      </w:r>
      <w:r w:rsidRPr="00B5213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54C7D8"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 Artículo 143.</w:t>
      </w:r>
      <w:r w:rsidRPr="00B5213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F83930B"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5ACE436" w14:textId="77777777" w:rsidR="004A5A8C" w:rsidRPr="00B52138" w:rsidRDefault="004A5A8C" w:rsidP="004A5A8C">
      <w:pPr>
        <w:spacing w:before="240" w:after="240" w:line="360" w:lineRule="auto"/>
        <w:ind w:right="5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BBD5F1" w14:textId="77777777" w:rsidR="004A5A8C" w:rsidRPr="00B52138" w:rsidRDefault="004A5A8C" w:rsidP="004A5A8C">
      <w:pPr>
        <w:spacing w:before="240" w:after="240" w:line="360" w:lineRule="auto"/>
        <w:ind w:right="5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9B2DBD" w14:textId="5433841D"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Por cuanto hace a los radios de comunicación de la Dirección General de Seguridad y Protección,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para el caso de que el soporte documental mediante el cual se dará cumplimiento a la presente resolución incluya </w:t>
      </w:r>
      <w:r w:rsidRPr="00B52138">
        <w:rPr>
          <w:rFonts w:ascii="Palatino Linotype" w:eastAsia="Palatino Linotype" w:hAnsi="Palatino Linotype"/>
          <w:b/>
          <w:sz w:val="22"/>
          <w:szCs w:val="22"/>
          <w:u w:val="single"/>
        </w:rPr>
        <w:t xml:space="preserve">las </w:t>
      </w:r>
      <w:r w:rsidRPr="00B52138">
        <w:rPr>
          <w:rFonts w:ascii="Palatino Linotype" w:eastAsia="Palatino Linotype" w:hAnsi="Palatino Linotype" w:cs="Palatino Linotype"/>
          <w:b/>
          <w:sz w:val="22"/>
          <w:szCs w:val="22"/>
          <w:u w:val="single"/>
        </w:rPr>
        <w:t>especificaciones técnicas y equipamiento,</w:t>
      </w:r>
      <w:r w:rsidRPr="00B52138">
        <w:rPr>
          <w:rFonts w:ascii="Palatino Linotype" w:eastAsia="Palatino Linotype" w:hAnsi="Palatino Linotype" w:cs="Palatino Linotype"/>
          <w:sz w:val="22"/>
          <w:szCs w:val="22"/>
        </w:rPr>
        <w:t xml:space="preserve"> a través de la versión pública que entregue.</w:t>
      </w:r>
    </w:p>
    <w:p w14:paraId="7A3682A6"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Lo anterior, sin perder de vista que la Constitución Política de los Estados Unidos Mexicanos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183F1617"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Asimismo, es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473F2687"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5CB5EF65" w14:textId="77777777" w:rsidR="004A5A8C" w:rsidRPr="00B52138" w:rsidRDefault="004A5A8C" w:rsidP="004A5A8C">
      <w:pPr>
        <w:tabs>
          <w:tab w:val="left" w:pos="7938"/>
        </w:tabs>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B52138">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AADD42D"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Por todo lo anterior, la reserva de la información implica una clasificación, la cual debe entenderse como el proceso mediante el cual el</w:t>
      </w:r>
      <w:r w:rsidRPr="00B52138">
        <w:rPr>
          <w:rFonts w:ascii="Palatino Linotype" w:eastAsia="Palatino Linotype" w:hAnsi="Palatino Linotype" w:cs="Palatino Linotype"/>
          <w:b/>
          <w:sz w:val="22"/>
          <w:szCs w:val="22"/>
        </w:rPr>
        <w:t xml:space="preserve"> Sujeto Obligado</w:t>
      </w:r>
      <w:r w:rsidRPr="00B52138">
        <w:rPr>
          <w:rFonts w:ascii="Palatino Linotype" w:eastAsia="Palatino Linotype" w:hAnsi="Palatino Linotype" w:cs="Palatino Linotype"/>
          <w:sz w:val="22"/>
          <w:szCs w:val="22"/>
        </w:rPr>
        <w:t xml:space="preserve"> determina que la información en su poder actualiza alguno de los supuestos conforme a las normas aplicables.</w:t>
      </w:r>
    </w:p>
    <w:p w14:paraId="09B19E10"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el</w:t>
      </w:r>
      <w:r w:rsidRPr="00B52138">
        <w:rPr>
          <w:rFonts w:ascii="Palatino Linotype" w:eastAsia="Palatino Linotype" w:hAnsi="Palatino Linotype" w:cs="Palatino Linotype"/>
          <w:b/>
          <w:sz w:val="22"/>
          <w:szCs w:val="22"/>
        </w:rPr>
        <w:t xml:space="preserve"> Sujeto Obligado</w:t>
      </w:r>
      <w:r w:rsidRPr="00B52138">
        <w:rPr>
          <w:rFonts w:ascii="Palatino Linotype" w:eastAsia="Palatino Linotype" w:hAnsi="Palatino Linotype" w:cs="Palatino Linotype"/>
          <w:sz w:val="22"/>
          <w:szCs w:val="22"/>
        </w:rPr>
        <w:t xml:space="preserve"> debe, en todo momento, aplicar una prueba de daño.</w:t>
      </w:r>
    </w:p>
    <w:p w14:paraId="7E098BDF"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F47F5D4"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6AE9DC2" w14:textId="77777777" w:rsidR="004A5A8C" w:rsidRPr="00B52138" w:rsidRDefault="004A5A8C" w:rsidP="004A5A8C">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Se reciba una solicitud de acceso a la información;</w:t>
      </w:r>
    </w:p>
    <w:p w14:paraId="43E6E9DA" w14:textId="77777777" w:rsidR="004A5A8C" w:rsidRPr="00B52138" w:rsidRDefault="004A5A8C" w:rsidP="004A5A8C">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Se determine mediante resolución de autoridad competente; y/o</w:t>
      </w:r>
    </w:p>
    <w:p w14:paraId="0CA629E3" w14:textId="77777777" w:rsidR="004A5A8C" w:rsidRPr="00B52138" w:rsidRDefault="004A5A8C" w:rsidP="004A5A8C">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Se generen versiones públicas para dar cumplimiento a las obligaciones de transparencia previstas en la Ley.</w:t>
      </w:r>
    </w:p>
    <w:p w14:paraId="5DA1AD33"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1E7E5F29"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115755E" w14:textId="77777777" w:rsidR="004A5A8C" w:rsidRPr="00B52138" w:rsidRDefault="004A5A8C" w:rsidP="004A5A8C">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La divulgación de la información representa un </w:t>
      </w:r>
      <w:r w:rsidRPr="00B52138">
        <w:rPr>
          <w:rFonts w:ascii="Palatino Linotype" w:eastAsia="Palatino Linotype" w:hAnsi="Palatino Linotype" w:cs="Palatino Linotype"/>
          <w:b/>
          <w:sz w:val="22"/>
          <w:szCs w:val="22"/>
        </w:rPr>
        <w:t>riesgo real, demostrable e identificable del perjuicio significativo al interés público o a la seguridad pública</w:t>
      </w:r>
      <w:r w:rsidRPr="00B52138">
        <w:rPr>
          <w:rFonts w:ascii="Palatino Linotype" w:eastAsia="Palatino Linotype" w:hAnsi="Palatino Linotype" w:cs="Palatino Linotype"/>
          <w:sz w:val="22"/>
          <w:szCs w:val="22"/>
        </w:rPr>
        <w:t>;</w:t>
      </w:r>
    </w:p>
    <w:p w14:paraId="5F44904E" w14:textId="77777777" w:rsidR="004A5A8C" w:rsidRPr="00B52138" w:rsidRDefault="004A5A8C" w:rsidP="004A5A8C">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El riesgo de perjuicio que supondría la divulgación supera el interés público general de que se difunda; y,</w:t>
      </w:r>
    </w:p>
    <w:p w14:paraId="6460F599" w14:textId="77777777" w:rsidR="004A5A8C" w:rsidRPr="00B52138" w:rsidRDefault="004A5A8C" w:rsidP="004A5A8C">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6BAD2AF" w14:textId="77777777" w:rsidR="004A5A8C" w:rsidRPr="00B52138" w:rsidRDefault="004A5A8C" w:rsidP="004A5A8C">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7831772F" w14:textId="77777777" w:rsidR="004A5A8C" w:rsidRPr="00B52138" w:rsidRDefault="004A5A8C" w:rsidP="004A5A8C">
      <w:pPr>
        <w:spacing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1CB650C5" w14:textId="77777777" w:rsidR="004A5A8C" w:rsidRPr="00B52138" w:rsidRDefault="004A5A8C" w:rsidP="004A5A8C">
      <w:pPr>
        <w:ind w:left="851" w:right="567"/>
        <w:jc w:val="both"/>
        <w:rPr>
          <w:rFonts w:ascii="Palatino Linotype" w:eastAsia="Palatino Linotype" w:hAnsi="Palatino Linotype" w:cs="Palatino Linotype"/>
          <w:b/>
          <w:i/>
          <w:sz w:val="22"/>
          <w:szCs w:val="22"/>
        </w:rPr>
      </w:pPr>
      <w:r w:rsidRPr="00B52138">
        <w:rPr>
          <w:rFonts w:ascii="Palatino Linotype" w:eastAsia="Palatino Linotype" w:hAnsi="Palatino Linotype" w:cs="Palatino Linotype"/>
          <w:b/>
          <w:i/>
          <w:sz w:val="22"/>
          <w:szCs w:val="22"/>
        </w:rPr>
        <w:t>“…</w:t>
      </w:r>
    </w:p>
    <w:p w14:paraId="19455170" w14:textId="77777777" w:rsidR="004A5A8C" w:rsidRPr="00B52138" w:rsidRDefault="004A5A8C" w:rsidP="004A5A8C">
      <w:pPr>
        <w:ind w:left="851" w:right="567"/>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XXIV. Información reservada:</w:t>
      </w:r>
      <w:r w:rsidRPr="00B52138">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1351EE30"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sidRPr="00B52138">
        <w:rPr>
          <w:rFonts w:ascii="Palatino Linotype" w:eastAsia="Palatino Linotype" w:hAnsi="Palatino Linotype" w:cs="Palatino Linotype"/>
          <w:b/>
          <w:sz w:val="22"/>
          <w:szCs w:val="22"/>
        </w:rPr>
        <w:t>la obligación de proteger los datos personales contenidos en la información en su poder</w:t>
      </w:r>
      <w:r w:rsidRPr="00B52138">
        <w:rPr>
          <w:rFonts w:ascii="Palatino Linotype" w:eastAsia="Palatino Linotype" w:hAnsi="Palatino Linotype" w:cs="Palatino Linotype"/>
          <w:sz w:val="22"/>
          <w:szCs w:val="22"/>
        </w:rPr>
        <w:t xml:space="preserve">, así como </w:t>
      </w:r>
      <w:r w:rsidRPr="00B52138">
        <w:rPr>
          <w:rFonts w:ascii="Palatino Linotype" w:eastAsia="Palatino Linotype" w:hAnsi="Palatino Linotype" w:cs="Palatino Linotype"/>
          <w:b/>
          <w:sz w:val="22"/>
          <w:szCs w:val="22"/>
        </w:rPr>
        <w:t>aquella que recaiga en alguna causal de reserva que señale la Ley</w:t>
      </w:r>
      <w:r w:rsidRPr="00B52138">
        <w:rPr>
          <w:rFonts w:ascii="Palatino Linotype" w:eastAsia="Palatino Linotype" w:hAnsi="Palatino Linotype" w:cs="Palatino Linotype"/>
          <w:sz w:val="22"/>
          <w:szCs w:val="22"/>
        </w:rPr>
        <w:t>.</w:t>
      </w:r>
    </w:p>
    <w:p w14:paraId="492B5944"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1F0C5787"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Asimismo, se destaca que la versión pública que elabore el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52138">
        <w:rPr>
          <w:rFonts w:ascii="Palatino Linotype" w:eastAsia="Palatino Linotype" w:hAnsi="Palatino Linotype" w:cs="Palatino Linotype"/>
          <w:b/>
          <w:sz w:val="22"/>
          <w:szCs w:val="22"/>
        </w:rPr>
        <w:t>Recurrente</w:t>
      </w:r>
      <w:r w:rsidRPr="00B52138">
        <w:rPr>
          <w:rFonts w:ascii="Palatino Linotype" w:eastAsia="Palatino Linotype" w:hAnsi="Palatino Linotype" w:cs="Palatino Linotype"/>
          <w:sz w:val="22"/>
          <w:szCs w:val="22"/>
        </w:rPr>
        <w:t>.</w:t>
      </w:r>
    </w:p>
    <w:p w14:paraId="415BEDB6" w14:textId="77777777" w:rsidR="004A5A8C" w:rsidRPr="00B52138" w:rsidRDefault="004A5A8C" w:rsidP="004A5A8C">
      <w:pPr>
        <w:spacing w:before="240" w:after="240" w:line="360" w:lineRule="auto"/>
        <w:ind w:right="50"/>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EBB2B9E"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“Artículo 49.</w:t>
      </w:r>
      <w:r w:rsidRPr="00B52138">
        <w:rPr>
          <w:rFonts w:ascii="Palatino Linotype" w:eastAsia="Palatino Linotype" w:hAnsi="Palatino Linotype" w:cs="Palatino Linotype"/>
          <w:i/>
          <w:sz w:val="22"/>
          <w:szCs w:val="22"/>
        </w:rPr>
        <w:t xml:space="preserve"> </w:t>
      </w:r>
      <w:r w:rsidRPr="00B52138">
        <w:rPr>
          <w:rFonts w:ascii="Palatino Linotype" w:eastAsia="Palatino Linotype" w:hAnsi="Palatino Linotype" w:cs="Palatino Linotype"/>
          <w:b/>
          <w:i/>
          <w:sz w:val="22"/>
          <w:szCs w:val="22"/>
        </w:rPr>
        <w:t>Los Comités de Transparencia</w:t>
      </w:r>
      <w:r w:rsidRPr="00B52138">
        <w:rPr>
          <w:rFonts w:ascii="Palatino Linotype" w:eastAsia="Palatino Linotype" w:hAnsi="Palatino Linotype" w:cs="Palatino Linotype"/>
          <w:i/>
          <w:sz w:val="22"/>
          <w:szCs w:val="22"/>
        </w:rPr>
        <w:t xml:space="preserve"> tendrán las siguientes atribuciones:</w:t>
      </w:r>
    </w:p>
    <w:p w14:paraId="6D8537B1"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VIII. Aprobar, modificar o revocar la clasificación de la información</w:t>
      </w:r>
      <w:r w:rsidRPr="00B52138">
        <w:rPr>
          <w:rFonts w:ascii="Palatino Linotype" w:eastAsia="Palatino Linotype" w:hAnsi="Palatino Linotype" w:cs="Palatino Linotype"/>
          <w:i/>
          <w:sz w:val="22"/>
          <w:szCs w:val="22"/>
        </w:rPr>
        <w:t>…”</w:t>
      </w:r>
    </w:p>
    <w:p w14:paraId="2AB685B3"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Artículo 53.</w:t>
      </w:r>
      <w:r w:rsidRPr="00B52138">
        <w:rPr>
          <w:rFonts w:ascii="Palatino Linotype" w:eastAsia="Palatino Linotype" w:hAnsi="Palatino Linotype" w:cs="Palatino Linotype"/>
          <w:i/>
          <w:sz w:val="22"/>
          <w:szCs w:val="22"/>
        </w:rPr>
        <w:t xml:space="preserve"> Las </w:t>
      </w:r>
      <w:r w:rsidRPr="00B52138">
        <w:rPr>
          <w:rFonts w:ascii="Palatino Linotype" w:eastAsia="Palatino Linotype" w:hAnsi="Palatino Linotype" w:cs="Palatino Linotype"/>
          <w:b/>
          <w:i/>
          <w:sz w:val="22"/>
          <w:szCs w:val="22"/>
        </w:rPr>
        <w:t>Unidades de Transparencia</w:t>
      </w:r>
      <w:r w:rsidRPr="00B52138">
        <w:rPr>
          <w:rFonts w:ascii="Palatino Linotype" w:eastAsia="Palatino Linotype" w:hAnsi="Palatino Linotype" w:cs="Palatino Linotype"/>
          <w:i/>
          <w:sz w:val="22"/>
          <w:szCs w:val="22"/>
        </w:rPr>
        <w:t xml:space="preserve"> tendrán las siguientes </w:t>
      </w:r>
      <w:r w:rsidRPr="00B52138">
        <w:rPr>
          <w:rFonts w:ascii="Palatino Linotype" w:eastAsia="Palatino Linotype" w:hAnsi="Palatino Linotype" w:cs="Palatino Linotype"/>
          <w:b/>
          <w:i/>
          <w:sz w:val="22"/>
          <w:szCs w:val="22"/>
        </w:rPr>
        <w:t>funciones</w:t>
      </w:r>
      <w:r w:rsidRPr="00B52138">
        <w:rPr>
          <w:rFonts w:ascii="Palatino Linotype" w:eastAsia="Palatino Linotype" w:hAnsi="Palatino Linotype" w:cs="Palatino Linotype"/>
          <w:i/>
          <w:sz w:val="22"/>
          <w:szCs w:val="22"/>
        </w:rPr>
        <w:t>:</w:t>
      </w:r>
    </w:p>
    <w:p w14:paraId="3733FC5E"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X. Presentar ante el Comité, el proyecto de clasificación de información</w:t>
      </w:r>
      <w:r w:rsidRPr="00B52138">
        <w:rPr>
          <w:rFonts w:ascii="Palatino Linotype" w:eastAsia="Palatino Linotype" w:hAnsi="Palatino Linotype" w:cs="Palatino Linotype"/>
          <w:i/>
          <w:sz w:val="22"/>
          <w:szCs w:val="22"/>
        </w:rPr>
        <w:t xml:space="preserve">…” </w:t>
      </w:r>
    </w:p>
    <w:p w14:paraId="606581E8"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“Artículo 59.</w:t>
      </w:r>
      <w:r w:rsidRPr="00B52138">
        <w:rPr>
          <w:rFonts w:ascii="Palatino Linotype" w:eastAsia="Palatino Linotype" w:hAnsi="Palatino Linotype" w:cs="Palatino Linotype"/>
          <w:i/>
          <w:sz w:val="22"/>
          <w:szCs w:val="22"/>
        </w:rPr>
        <w:t xml:space="preserve"> Los </w:t>
      </w:r>
      <w:r w:rsidRPr="00B52138">
        <w:rPr>
          <w:rFonts w:ascii="Palatino Linotype" w:eastAsia="Palatino Linotype" w:hAnsi="Palatino Linotype" w:cs="Palatino Linotype"/>
          <w:b/>
          <w:i/>
          <w:sz w:val="22"/>
          <w:szCs w:val="22"/>
        </w:rPr>
        <w:t>servidores públicos habilitados</w:t>
      </w:r>
      <w:r w:rsidRPr="00B52138">
        <w:rPr>
          <w:rFonts w:ascii="Palatino Linotype" w:eastAsia="Palatino Linotype" w:hAnsi="Palatino Linotype" w:cs="Palatino Linotype"/>
          <w:i/>
          <w:sz w:val="22"/>
          <w:szCs w:val="22"/>
        </w:rPr>
        <w:t xml:space="preserve"> tendrán las </w:t>
      </w:r>
      <w:r w:rsidRPr="00B52138">
        <w:rPr>
          <w:rFonts w:ascii="Palatino Linotype" w:eastAsia="Palatino Linotype" w:hAnsi="Palatino Linotype" w:cs="Palatino Linotype"/>
          <w:b/>
          <w:i/>
          <w:sz w:val="22"/>
          <w:szCs w:val="22"/>
        </w:rPr>
        <w:t>funciones</w:t>
      </w:r>
      <w:r w:rsidRPr="00B52138">
        <w:rPr>
          <w:rFonts w:ascii="Palatino Linotype" w:eastAsia="Palatino Linotype" w:hAnsi="Palatino Linotype" w:cs="Palatino Linotype"/>
          <w:i/>
          <w:sz w:val="22"/>
          <w:szCs w:val="22"/>
        </w:rPr>
        <w:t xml:space="preserve"> siguientes:</w:t>
      </w:r>
    </w:p>
    <w:p w14:paraId="3135805E"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52138">
        <w:rPr>
          <w:rFonts w:ascii="Palatino Linotype" w:eastAsia="Palatino Linotype" w:hAnsi="Palatino Linotype" w:cs="Palatino Linotype"/>
          <w:i/>
          <w:sz w:val="22"/>
          <w:szCs w:val="22"/>
        </w:rPr>
        <w:t>, la cual tendrá los fundamentos y argumentos en que se basa dicha propuesta…”</w:t>
      </w:r>
    </w:p>
    <w:p w14:paraId="6C8A5CE1"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31A0F90"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9D3C979"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Artículo 149.</w:t>
      </w:r>
      <w:r w:rsidRPr="00B52138">
        <w:rPr>
          <w:rFonts w:ascii="Palatino Linotype" w:eastAsia="Palatino Linotype" w:hAnsi="Palatino Linotype" w:cs="Palatino Linotype"/>
          <w:i/>
          <w:sz w:val="22"/>
          <w:szCs w:val="22"/>
        </w:rPr>
        <w:t xml:space="preserve"> El </w:t>
      </w:r>
      <w:r w:rsidRPr="00B52138">
        <w:rPr>
          <w:rFonts w:ascii="Palatino Linotype" w:eastAsia="Palatino Linotype" w:hAnsi="Palatino Linotype" w:cs="Palatino Linotype"/>
          <w:b/>
          <w:i/>
          <w:sz w:val="22"/>
          <w:szCs w:val="22"/>
        </w:rPr>
        <w:t>acuerdo que clasifique la información como confidencial</w:t>
      </w:r>
      <w:r w:rsidRPr="00B5213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CE50FB4" w14:textId="77777777" w:rsidR="004A5A8C" w:rsidRPr="00B52138" w:rsidRDefault="004A5A8C" w:rsidP="004A5A8C">
      <w:pP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Es decir, el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A986A0B" w14:textId="77777777" w:rsidR="004A5A8C" w:rsidRPr="00B52138" w:rsidRDefault="004A5A8C" w:rsidP="004A5A8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B52138">
        <w:rPr>
          <w:rFonts w:ascii="Palatino Linotype" w:eastAsia="Palatino Linotype" w:hAnsi="Palatino Linotype" w:cs="Palatino Linotype"/>
          <w:b/>
          <w:sz w:val="22"/>
          <w:szCs w:val="22"/>
        </w:rPr>
        <w:t>Sujeto Obligado</w:t>
      </w:r>
      <w:r w:rsidRPr="00B52138">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4429195D"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 xml:space="preserve"> “Quincuagésimo. </w:t>
      </w:r>
      <w:r w:rsidRPr="00B5213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7BED7E1"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 xml:space="preserve">Quincuagésimo primero. </w:t>
      </w:r>
      <w:r w:rsidRPr="00B52138">
        <w:rPr>
          <w:rFonts w:ascii="Palatino Linotype" w:eastAsia="Palatino Linotype" w:hAnsi="Palatino Linotype" w:cs="Palatino Linotype"/>
          <w:i/>
          <w:sz w:val="22"/>
          <w:szCs w:val="22"/>
        </w:rPr>
        <w:t xml:space="preserve">Toda acta del Comité de Transparencia deberá contener: </w:t>
      </w:r>
    </w:p>
    <w:p w14:paraId="6F6CBD6F"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xml:space="preserve"> El número de sesión y fecha; </w:t>
      </w:r>
    </w:p>
    <w:p w14:paraId="39AC3E57"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w:t>
      </w:r>
      <w:r w:rsidRPr="00B52138">
        <w:rPr>
          <w:rFonts w:ascii="Palatino Linotype" w:eastAsia="Palatino Linotype" w:hAnsi="Palatino Linotype" w:cs="Palatino Linotype"/>
          <w:i/>
          <w:sz w:val="22"/>
          <w:szCs w:val="22"/>
        </w:rPr>
        <w:t xml:space="preserve">. El nombre del área que solicitó la clasificación de información; </w:t>
      </w:r>
    </w:p>
    <w:p w14:paraId="1FE0628E"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III</w:t>
      </w:r>
      <w:r w:rsidRPr="00B52138">
        <w:rPr>
          <w:rFonts w:ascii="Palatino Linotype" w:eastAsia="Palatino Linotype" w:hAnsi="Palatino Linotype" w:cs="Palatino Linotype"/>
          <w:i/>
          <w:sz w:val="22"/>
          <w:szCs w:val="22"/>
        </w:rPr>
        <w:t xml:space="preserve">. La fundamentación legal y motivación correspondiente; </w:t>
      </w:r>
    </w:p>
    <w:p w14:paraId="7E3197FB"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IV</w:t>
      </w:r>
      <w:r w:rsidRPr="00B52138">
        <w:rPr>
          <w:rFonts w:ascii="Palatino Linotype" w:eastAsia="Palatino Linotype" w:hAnsi="Palatino Linotype" w:cs="Palatino Linotype"/>
          <w:i/>
          <w:sz w:val="22"/>
          <w:szCs w:val="22"/>
        </w:rPr>
        <w:t xml:space="preserve">. La resolución o resoluciones aprobadas; y </w:t>
      </w:r>
    </w:p>
    <w:p w14:paraId="4FA07371"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V</w:t>
      </w:r>
      <w:r w:rsidRPr="00B52138">
        <w:rPr>
          <w:rFonts w:ascii="Palatino Linotype" w:eastAsia="Palatino Linotype" w:hAnsi="Palatino Linotype" w:cs="Palatino Linotype"/>
          <w:i/>
          <w:sz w:val="22"/>
          <w:szCs w:val="22"/>
        </w:rPr>
        <w:t xml:space="preserve">. La rúbrica o firma digital de cada integrante del Comité de Transparencia. </w:t>
      </w:r>
    </w:p>
    <w:p w14:paraId="5979883F"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66CBCB1"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48FAA0B"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B52138">
        <w:rPr>
          <w:rFonts w:ascii="Palatino Linotype" w:eastAsia="Palatino Linotype" w:hAnsi="Palatino Linotype" w:cs="Palatino Linotype"/>
          <w:b/>
          <w:i/>
          <w:sz w:val="22"/>
          <w:szCs w:val="22"/>
        </w:rPr>
        <w:t>II</w:t>
      </w:r>
      <w:r w:rsidRPr="00B52138">
        <w:rPr>
          <w:rFonts w:ascii="Palatino Linotype" w:eastAsia="Palatino Linotype" w:hAnsi="Palatino Linotype" w:cs="Palatino Linotype"/>
          <w:i/>
          <w:sz w:val="22"/>
          <w:szCs w:val="22"/>
        </w:rPr>
        <w:t>. Descripción de las partes o secciones reservadas, en caso de clasificación parcial</w:t>
      </w:r>
      <w:r w:rsidRPr="00B52138">
        <w:rPr>
          <w:rFonts w:ascii="Palatino Linotype" w:eastAsia="Palatino Linotype" w:hAnsi="Palatino Linotype" w:cs="Palatino Linotype"/>
          <w:b/>
          <w:i/>
          <w:sz w:val="22"/>
          <w:szCs w:val="22"/>
        </w:rPr>
        <w:t xml:space="preserve">; </w:t>
      </w:r>
    </w:p>
    <w:p w14:paraId="067B3660"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III.</w:t>
      </w:r>
      <w:r w:rsidRPr="00B52138">
        <w:rPr>
          <w:rFonts w:ascii="Palatino Linotype" w:eastAsia="Palatino Linotype" w:hAnsi="Palatino Linotype" w:cs="Palatino Linotype"/>
          <w:i/>
          <w:sz w:val="22"/>
          <w:szCs w:val="22"/>
        </w:rPr>
        <w:t xml:space="preserve"> El periodo por el que mantendrá su clasificación y fecha de expiración; y </w:t>
      </w:r>
    </w:p>
    <w:p w14:paraId="3FE1B434"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IV.</w:t>
      </w:r>
      <w:r w:rsidRPr="00B5213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0CAF2A0"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4CAC5C2" w14:textId="77777777" w:rsidR="004A5A8C" w:rsidRPr="00B52138" w:rsidRDefault="004A5A8C" w:rsidP="004A5A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21170F4" w14:textId="77777777" w:rsidR="004A5A8C" w:rsidRPr="00B52138" w:rsidRDefault="004A5A8C" w:rsidP="004A5A8C">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2271370"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r w:rsidRPr="00B52138">
        <w:rPr>
          <w:rFonts w:ascii="Palatino Linotype" w:eastAsia="Palatino Linotype" w:hAnsi="Palatino Linotype" w:cs="Palatino Linotype"/>
          <w:b/>
          <w:i/>
          <w:sz w:val="22"/>
          <w:szCs w:val="22"/>
        </w:rPr>
        <w:t>Quincuagésimo segundo</w:t>
      </w:r>
      <w:r w:rsidRPr="00B5213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0217E84"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FFF44BA"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EFC64F1"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w:t>
      </w:r>
      <w:r w:rsidRPr="00B5213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3B9556D"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III.</w:t>
      </w:r>
      <w:r w:rsidRPr="00B52138">
        <w:rPr>
          <w:rFonts w:ascii="Palatino Linotype" w:eastAsia="Palatino Linotype" w:hAnsi="Palatino Linotype" w:cs="Palatino Linotype"/>
          <w:i/>
          <w:sz w:val="22"/>
          <w:szCs w:val="22"/>
        </w:rPr>
        <w:t xml:space="preserve"> Señalar las personas o instancias autorizadas a acceder a la información clasificada.</w:t>
      </w:r>
    </w:p>
    <w:p w14:paraId="280F3BAC" w14:textId="77777777" w:rsidR="004A5A8C" w:rsidRPr="00B52138" w:rsidRDefault="004A5A8C" w:rsidP="004A5A8C">
      <w:pP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B70FFBC" w14:textId="77777777" w:rsidR="004A5A8C" w:rsidRPr="00B52138" w:rsidRDefault="004A5A8C" w:rsidP="004A5A8C">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w:t>
      </w:r>
    </w:p>
    <w:p w14:paraId="690FCFB9" w14:textId="77777777" w:rsidR="004A5A8C" w:rsidRPr="00B52138" w:rsidRDefault="004A5A8C" w:rsidP="004A5A8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B52138">
        <w:rPr>
          <w:rFonts w:ascii="Palatino Linotype" w:eastAsia="Palatino Linotype" w:hAnsi="Palatino Linotype" w:cs="Palatino Linotype"/>
          <w:b/>
          <w:i/>
          <w:sz w:val="22"/>
          <w:szCs w:val="22"/>
        </w:rPr>
        <w:t xml:space="preserve">Quincuagésimo cuarto. </w:t>
      </w:r>
      <w:r w:rsidRPr="00B5213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52138">
        <w:rPr>
          <w:rFonts w:ascii="Palatino Linotype" w:eastAsia="Palatino Linotype" w:hAnsi="Palatino Linotype" w:cs="Palatino Linotype"/>
          <w:b/>
          <w:i/>
          <w:sz w:val="22"/>
          <w:szCs w:val="22"/>
        </w:rPr>
        <w:t xml:space="preserve"> </w:t>
      </w:r>
    </w:p>
    <w:p w14:paraId="1EA0D2F0"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 xml:space="preserve">Quincuagésimo quinto. </w:t>
      </w:r>
      <w:r w:rsidRPr="00B52138">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AC8F5CA" w14:textId="77777777" w:rsidR="004A5A8C" w:rsidRPr="00B52138" w:rsidRDefault="004A5A8C" w:rsidP="004A5A8C">
      <w:pPr>
        <w:spacing w:before="120" w:after="120"/>
        <w:ind w:left="851" w:right="902"/>
        <w:jc w:val="both"/>
        <w:rPr>
          <w:rFonts w:ascii="Palatino Linotype" w:eastAsia="Palatino Linotype" w:hAnsi="Palatino Linotype" w:cs="Palatino Linotype"/>
          <w:b/>
          <w:i/>
          <w:sz w:val="22"/>
          <w:szCs w:val="22"/>
        </w:rPr>
      </w:pPr>
      <w:r w:rsidRPr="00B52138">
        <w:rPr>
          <w:rFonts w:ascii="Palatino Linotype" w:eastAsia="Palatino Linotype" w:hAnsi="Palatino Linotype" w:cs="Palatino Linotype"/>
          <w:b/>
          <w:i/>
          <w:sz w:val="22"/>
          <w:szCs w:val="22"/>
        </w:rPr>
        <w:t>...</w:t>
      </w:r>
    </w:p>
    <w:p w14:paraId="2A8A0D7E"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Quincuagésimo séptimo</w:t>
      </w:r>
      <w:r w:rsidRPr="00B5213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D345CB7"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w:t>
      </w:r>
      <w:r w:rsidRPr="00B5213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CD585F7"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w:t>
      </w:r>
      <w:r w:rsidRPr="00B5213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6811206"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III</w:t>
      </w:r>
      <w:r w:rsidRPr="00B5213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09D39FB"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AC64F2A" w14:textId="77777777" w:rsidR="004A5A8C" w:rsidRPr="00B52138" w:rsidRDefault="004A5A8C" w:rsidP="004A5A8C">
      <w:pPr>
        <w:spacing w:before="120" w:after="120"/>
        <w:ind w:left="851" w:right="902"/>
        <w:jc w:val="both"/>
        <w:rPr>
          <w:rFonts w:ascii="Palatino Linotype" w:eastAsia="Palatino Linotype" w:hAnsi="Palatino Linotype" w:cs="Palatino Linotype"/>
          <w:i/>
          <w:sz w:val="22"/>
          <w:szCs w:val="22"/>
        </w:rPr>
      </w:pPr>
      <w:r w:rsidRPr="00B52138">
        <w:rPr>
          <w:rFonts w:ascii="Palatino Linotype" w:eastAsia="Palatino Linotype" w:hAnsi="Palatino Linotype" w:cs="Palatino Linotype"/>
          <w:b/>
          <w:i/>
          <w:sz w:val="22"/>
          <w:szCs w:val="22"/>
        </w:rPr>
        <w:t>Quincuagésimo octavo</w:t>
      </w:r>
      <w:r w:rsidRPr="00B5213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00F9A71" w14:textId="40EA7CFD"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21A4D976" w14:textId="77777777" w:rsidR="009D5719" w:rsidRPr="00B52138" w:rsidRDefault="00377B0B">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B52138">
        <w:rPr>
          <w:rFonts w:ascii="Palatino Linotype" w:eastAsia="Palatino Linotype" w:hAnsi="Palatino Linotype" w:cs="Palatino Linotype"/>
          <w:b/>
          <w:bCs/>
          <w:sz w:val="22"/>
          <w:szCs w:val="22"/>
        </w:rPr>
        <w:t>III. R E S U E L V E</w:t>
      </w:r>
    </w:p>
    <w:p w14:paraId="4C3759CF" w14:textId="3068C152"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B52138">
        <w:rPr>
          <w:rFonts w:ascii="Palatino Linotype" w:eastAsia="Palatino Linotype" w:hAnsi="Palatino Linotype" w:cs="Palatino Linotype"/>
          <w:b/>
          <w:bCs/>
          <w:sz w:val="22"/>
          <w:szCs w:val="22"/>
        </w:rPr>
        <w:t xml:space="preserve">Primero. </w:t>
      </w:r>
      <w:r w:rsidRPr="00B52138">
        <w:rPr>
          <w:rFonts w:ascii="Palatino Linotype" w:eastAsia="Palatino Linotype" w:hAnsi="Palatino Linotype" w:cs="Palatino Linotype"/>
          <w:sz w:val="22"/>
          <w:szCs w:val="22"/>
        </w:rPr>
        <w:t>Resultan</w:t>
      </w:r>
      <w:r w:rsidRPr="00B52138">
        <w:rPr>
          <w:rFonts w:ascii="Palatino Linotype" w:eastAsia="Palatino Linotype" w:hAnsi="Palatino Linotype" w:cs="Palatino Linotype"/>
          <w:b/>
          <w:bCs/>
          <w:sz w:val="22"/>
          <w:szCs w:val="22"/>
        </w:rPr>
        <w:t xml:space="preserve"> parcialmente fundadas</w:t>
      </w:r>
      <w:r w:rsidRPr="00B52138">
        <w:rPr>
          <w:rFonts w:ascii="Palatino Linotype" w:eastAsia="Palatino Linotype" w:hAnsi="Palatino Linotype" w:cs="Palatino Linotype"/>
          <w:sz w:val="22"/>
          <w:szCs w:val="22"/>
        </w:rPr>
        <w:t xml:space="preserve"> las razones o motivos de inconformidad hechos valer por la parte</w:t>
      </w:r>
      <w:r w:rsidRPr="00B52138">
        <w:rPr>
          <w:rFonts w:ascii="Palatino Linotype" w:eastAsia="Palatino Linotype" w:hAnsi="Palatino Linotype" w:cs="Palatino Linotype"/>
          <w:b/>
          <w:bCs/>
          <w:sz w:val="22"/>
          <w:szCs w:val="22"/>
        </w:rPr>
        <w:t xml:space="preserve"> Recurrente</w:t>
      </w:r>
      <w:r w:rsidRPr="00B52138">
        <w:rPr>
          <w:rFonts w:ascii="Palatino Linotype" w:eastAsia="Palatino Linotype" w:hAnsi="Palatino Linotype" w:cs="Palatino Linotype"/>
          <w:sz w:val="22"/>
          <w:szCs w:val="22"/>
        </w:rPr>
        <w:t xml:space="preserve"> en el recurso de revisión </w:t>
      </w:r>
      <w:r w:rsidR="00A921CE" w:rsidRPr="00B52138">
        <w:rPr>
          <w:rFonts w:ascii="Palatino Linotype" w:eastAsia="Palatino Linotype" w:hAnsi="Palatino Linotype" w:cs="Palatino Linotype"/>
          <w:b/>
          <w:bCs/>
          <w:sz w:val="22"/>
          <w:szCs w:val="22"/>
        </w:rPr>
        <w:t>14114</w:t>
      </w:r>
      <w:r w:rsidRPr="00B52138">
        <w:rPr>
          <w:rFonts w:ascii="Palatino Linotype" w:eastAsia="Palatino Linotype" w:hAnsi="Palatino Linotype" w:cs="Palatino Linotype"/>
          <w:b/>
          <w:bCs/>
          <w:sz w:val="22"/>
          <w:szCs w:val="22"/>
        </w:rPr>
        <w:t>/INFOEM/IP/RR/2025</w:t>
      </w:r>
      <w:r w:rsidRPr="00B52138">
        <w:rPr>
          <w:rFonts w:ascii="Palatino Linotype" w:eastAsia="Palatino Linotype" w:hAnsi="Palatino Linotype" w:cs="Palatino Linotype"/>
          <w:sz w:val="22"/>
          <w:szCs w:val="22"/>
        </w:rPr>
        <w:t xml:space="preserve">; por lo que, en términos del </w:t>
      </w:r>
      <w:r w:rsidRPr="00B52138">
        <w:rPr>
          <w:rFonts w:ascii="Palatino Linotype" w:eastAsia="Palatino Linotype" w:hAnsi="Palatino Linotype" w:cs="Palatino Linotype"/>
          <w:b/>
          <w:bCs/>
          <w:sz w:val="22"/>
          <w:szCs w:val="22"/>
        </w:rPr>
        <w:t>Considerando</w:t>
      </w:r>
      <w:r w:rsidRPr="00B52138">
        <w:rPr>
          <w:rFonts w:ascii="Palatino Linotype" w:eastAsia="Palatino Linotype" w:hAnsi="Palatino Linotype" w:cs="Palatino Linotype"/>
          <w:sz w:val="22"/>
          <w:szCs w:val="22"/>
        </w:rPr>
        <w:t xml:space="preserve"> </w:t>
      </w:r>
      <w:r w:rsidRPr="00B52138">
        <w:rPr>
          <w:rFonts w:ascii="Palatino Linotype" w:eastAsia="Palatino Linotype" w:hAnsi="Palatino Linotype" w:cs="Palatino Linotype"/>
          <w:b/>
          <w:bCs/>
          <w:sz w:val="22"/>
          <w:szCs w:val="22"/>
        </w:rPr>
        <w:t xml:space="preserve">Cuarto </w:t>
      </w:r>
      <w:r w:rsidRPr="00B52138">
        <w:rPr>
          <w:rFonts w:ascii="Palatino Linotype" w:eastAsia="Palatino Linotype" w:hAnsi="Palatino Linotype" w:cs="Palatino Linotype"/>
          <w:sz w:val="22"/>
          <w:szCs w:val="22"/>
        </w:rPr>
        <w:t xml:space="preserve">de esta resolución, se </w:t>
      </w:r>
      <w:r w:rsidRPr="00B52138">
        <w:rPr>
          <w:rFonts w:ascii="Palatino Linotype" w:eastAsia="Palatino Linotype" w:hAnsi="Palatino Linotype" w:cs="Palatino Linotype"/>
          <w:b/>
          <w:bCs/>
          <w:sz w:val="22"/>
          <w:szCs w:val="22"/>
        </w:rPr>
        <w:t xml:space="preserve">Modifica </w:t>
      </w:r>
      <w:r w:rsidRPr="00B52138">
        <w:rPr>
          <w:rFonts w:ascii="Palatino Linotype" w:eastAsia="Palatino Linotype" w:hAnsi="Palatino Linotype" w:cs="Palatino Linotype"/>
          <w:sz w:val="22"/>
          <w:szCs w:val="22"/>
        </w:rPr>
        <w:t xml:space="preserve">la respuesta emitida por el </w:t>
      </w:r>
      <w:r w:rsidRPr="00B52138">
        <w:rPr>
          <w:rFonts w:ascii="Palatino Linotype" w:eastAsia="Palatino Linotype" w:hAnsi="Palatino Linotype" w:cs="Palatino Linotype"/>
          <w:b/>
          <w:bCs/>
          <w:sz w:val="22"/>
          <w:szCs w:val="22"/>
        </w:rPr>
        <w:t xml:space="preserve">Sujeto Obligado. </w:t>
      </w:r>
    </w:p>
    <w:p w14:paraId="027D4128" w14:textId="4CDF417A" w:rsidR="009D5719" w:rsidRPr="00B52138" w:rsidRDefault="00377B0B">
      <w:pPr>
        <w:spacing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 xml:space="preserve">Segundo. </w:t>
      </w:r>
      <w:r w:rsidRPr="00B52138">
        <w:rPr>
          <w:rFonts w:ascii="Palatino Linotype" w:eastAsia="Palatino Linotype" w:hAnsi="Palatino Linotype" w:cs="Palatino Linotype"/>
          <w:sz w:val="22"/>
          <w:szCs w:val="22"/>
        </w:rPr>
        <w:t xml:space="preserve">Se </w:t>
      </w:r>
      <w:r w:rsidRPr="00B52138">
        <w:rPr>
          <w:rFonts w:ascii="Palatino Linotype" w:eastAsia="Palatino Linotype" w:hAnsi="Palatino Linotype" w:cs="Palatino Linotype"/>
          <w:b/>
          <w:bCs/>
          <w:sz w:val="22"/>
          <w:szCs w:val="22"/>
        </w:rPr>
        <w:t>Ordena</w:t>
      </w:r>
      <w:r w:rsidRPr="00B52138">
        <w:rPr>
          <w:rFonts w:ascii="Palatino Linotype" w:eastAsia="Palatino Linotype" w:hAnsi="Palatino Linotype" w:cs="Palatino Linotype"/>
          <w:sz w:val="22"/>
          <w:szCs w:val="22"/>
        </w:rPr>
        <w:t xml:space="preserve"> al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en términos de los Considerandos </w:t>
      </w:r>
      <w:r w:rsidRPr="00B52138">
        <w:rPr>
          <w:rFonts w:ascii="Palatino Linotype" w:eastAsia="Palatino Linotype" w:hAnsi="Palatino Linotype" w:cs="Palatino Linotype"/>
          <w:b/>
          <w:bCs/>
          <w:sz w:val="22"/>
          <w:szCs w:val="22"/>
        </w:rPr>
        <w:t xml:space="preserve">Cuarto </w:t>
      </w:r>
      <w:r w:rsidRPr="00B52138">
        <w:rPr>
          <w:rFonts w:ascii="Palatino Linotype" w:eastAsia="Palatino Linotype" w:hAnsi="Palatino Linotype" w:cs="Palatino Linotype"/>
          <w:sz w:val="22"/>
          <w:szCs w:val="22"/>
        </w:rPr>
        <w:t xml:space="preserve">y </w:t>
      </w:r>
      <w:r w:rsidRPr="00B52138">
        <w:rPr>
          <w:rFonts w:ascii="Palatino Linotype" w:eastAsia="Palatino Linotype" w:hAnsi="Palatino Linotype" w:cs="Palatino Linotype"/>
          <w:b/>
          <w:bCs/>
          <w:sz w:val="22"/>
          <w:szCs w:val="22"/>
        </w:rPr>
        <w:t xml:space="preserve">Quinto </w:t>
      </w:r>
      <w:r w:rsidRPr="00B52138">
        <w:rPr>
          <w:rFonts w:ascii="Palatino Linotype" w:eastAsia="Palatino Linotype" w:hAnsi="Palatino Linotype" w:cs="Palatino Linotype"/>
          <w:sz w:val="22"/>
          <w:szCs w:val="22"/>
        </w:rPr>
        <w:t xml:space="preserve">de esta resolución, haga entrega, vía </w:t>
      </w:r>
      <w:r w:rsidRPr="00B52138">
        <w:rPr>
          <w:rFonts w:ascii="Palatino Linotype" w:eastAsia="Palatino Linotype" w:hAnsi="Palatino Linotype" w:cs="Palatino Linotype"/>
          <w:b/>
          <w:bCs/>
          <w:sz w:val="22"/>
          <w:szCs w:val="22"/>
        </w:rPr>
        <w:t>SAIMEX</w:t>
      </w:r>
      <w:r w:rsidRPr="00B52138">
        <w:rPr>
          <w:rFonts w:ascii="Palatino Linotype" w:eastAsia="Palatino Linotype" w:hAnsi="Palatino Linotype" w:cs="Palatino Linotype"/>
          <w:sz w:val="22"/>
          <w:szCs w:val="22"/>
        </w:rPr>
        <w:t>,</w:t>
      </w:r>
      <w:r w:rsidR="00A921CE" w:rsidRPr="00B52138">
        <w:rPr>
          <w:rFonts w:ascii="Palatino Linotype" w:eastAsia="Palatino Linotype" w:hAnsi="Palatino Linotype" w:cs="Palatino Linotype"/>
          <w:sz w:val="22"/>
          <w:szCs w:val="22"/>
        </w:rPr>
        <w:t xml:space="preserve"> previa búsqueda exhaustiva y razonable, </w:t>
      </w:r>
      <w:r w:rsidRPr="00B52138">
        <w:rPr>
          <w:rFonts w:ascii="Palatino Linotype" w:eastAsia="Palatino Linotype" w:hAnsi="Palatino Linotype" w:cs="Palatino Linotype"/>
          <w:sz w:val="22"/>
          <w:szCs w:val="22"/>
        </w:rPr>
        <w:t>en versión pública de</w:t>
      </w:r>
      <w:r w:rsidR="00A921CE" w:rsidRPr="00B52138">
        <w:rPr>
          <w:rFonts w:ascii="Palatino Linotype" w:eastAsia="Palatino Linotype" w:hAnsi="Palatino Linotype" w:cs="Palatino Linotype"/>
          <w:sz w:val="22"/>
          <w:szCs w:val="22"/>
        </w:rPr>
        <w:t xml:space="preserve"> ser necesario,</w:t>
      </w:r>
      <w:r w:rsidRPr="00B52138">
        <w:rPr>
          <w:rFonts w:ascii="Palatino Linotype" w:eastAsia="Palatino Linotype" w:hAnsi="Palatino Linotype" w:cs="Palatino Linotype"/>
          <w:sz w:val="22"/>
          <w:szCs w:val="22"/>
        </w:rPr>
        <w:t xml:space="preserve"> lo siguiente:</w:t>
      </w:r>
    </w:p>
    <w:p w14:paraId="21262D99" w14:textId="3CA8C609" w:rsidR="009D5719" w:rsidRPr="00B52138" w:rsidRDefault="00377B0B" w:rsidP="00A921CE">
      <w:pPr>
        <w:tabs>
          <w:tab w:val="left" w:pos="5040"/>
        </w:tabs>
        <w:spacing w:before="240" w:after="240" w:line="360" w:lineRule="auto"/>
        <w:ind w:left="284" w:right="49"/>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1. </w:t>
      </w:r>
      <w:r w:rsidR="00A921CE" w:rsidRPr="00B52138">
        <w:rPr>
          <w:rFonts w:ascii="Palatino Linotype" w:eastAsia="Palatino Linotype" w:hAnsi="Palatino Linotype" w:cs="Palatino Linotype"/>
          <w:sz w:val="22"/>
          <w:szCs w:val="22"/>
        </w:rPr>
        <w:t>El o los documentos en los que conste el número de radios de comunicación de la Dirección General de Seguridad y Protección en operación del uno de enero al veintiocho de octubre de dos mil veinticinco.</w:t>
      </w:r>
    </w:p>
    <w:p w14:paraId="50AFFA48" w14:textId="77777777" w:rsidR="00AD78F0" w:rsidRPr="00B52138" w:rsidRDefault="00AD78F0" w:rsidP="00AD78F0">
      <w:pPr>
        <w:spacing w:before="120" w:after="120"/>
        <w:ind w:left="284"/>
        <w:jc w:val="both"/>
        <w:rPr>
          <w:rFonts w:ascii="Palatino Linotype" w:eastAsia="Palatino Linotype" w:hAnsi="Palatino Linotype" w:cs="Palatino Linotype"/>
          <w:i/>
          <w:sz w:val="20"/>
          <w:szCs w:val="22"/>
        </w:rPr>
      </w:pPr>
      <w:r w:rsidRPr="00B52138">
        <w:rPr>
          <w:rFonts w:ascii="Palatino Linotype" w:eastAsia="Palatino Linotype" w:hAnsi="Palatino Linotype" w:cs="Palatino Linotype"/>
          <w:i/>
          <w:sz w:val="20"/>
          <w:szCs w:val="22"/>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parte </w:t>
      </w:r>
      <w:r w:rsidRPr="00B52138">
        <w:rPr>
          <w:rFonts w:ascii="Palatino Linotype" w:eastAsia="Palatino Linotype" w:hAnsi="Palatino Linotype" w:cs="Palatino Linotype"/>
          <w:b/>
          <w:bCs/>
          <w:i/>
          <w:sz w:val="20"/>
          <w:szCs w:val="22"/>
        </w:rPr>
        <w:t>Recurrente.</w:t>
      </w:r>
    </w:p>
    <w:p w14:paraId="0A2182BD"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b/>
          <w:bCs/>
          <w:sz w:val="22"/>
          <w:szCs w:val="22"/>
        </w:rPr>
        <w:t xml:space="preserve">Tercero. Notifíquese, </w:t>
      </w:r>
      <w:r w:rsidRPr="00B52138">
        <w:rPr>
          <w:rFonts w:ascii="Palatino Linotype" w:eastAsia="Palatino Linotype" w:hAnsi="Palatino Linotype" w:cs="Palatino Linotype"/>
          <w:sz w:val="22"/>
          <w:szCs w:val="22"/>
        </w:rPr>
        <w:t xml:space="preserve">vía </w:t>
      </w:r>
      <w:r w:rsidRPr="00B52138">
        <w:rPr>
          <w:rFonts w:ascii="Palatino Linotype" w:eastAsia="Palatino Linotype" w:hAnsi="Palatino Linotype" w:cs="Palatino Linotype"/>
          <w:b/>
          <w:bCs/>
          <w:sz w:val="22"/>
          <w:szCs w:val="22"/>
        </w:rPr>
        <w:t>SAIMEX</w:t>
      </w:r>
      <w:r w:rsidRPr="00B52138">
        <w:rPr>
          <w:rFonts w:ascii="Palatino Linotype" w:eastAsia="Palatino Linotype" w:hAnsi="Palatino Linotype" w:cs="Palatino Linotype"/>
          <w:sz w:val="22"/>
          <w:szCs w:val="22"/>
        </w:rPr>
        <w:t xml:space="preserve">, al Titular de la Unidad de Transparencia del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A13353"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r w:rsidRPr="00B5213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52138">
        <w:rPr>
          <w:rFonts w:ascii="Palatino Linotype" w:eastAsia="Palatino Linotype" w:hAnsi="Palatino Linotype" w:cs="Palatino Linotype"/>
          <w:b/>
          <w:bCs/>
          <w:sz w:val="22"/>
          <w:szCs w:val="22"/>
        </w:rPr>
        <w:t>Sujeto Obligado</w:t>
      </w:r>
      <w:r w:rsidRPr="00B5213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D3AC680" w14:textId="77777777" w:rsidR="009D5719" w:rsidRPr="00B52138" w:rsidRDefault="00377B0B">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B52138">
        <w:rPr>
          <w:rFonts w:ascii="Palatino Linotype" w:eastAsia="Palatino Linotype" w:hAnsi="Palatino Linotype" w:cs="Palatino Linotype"/>
          <w:b/>
          <w:bCs/>
          <w:sz w:val="22"/>
          <w:szCs w:val="22"/>
        </w:rPr>
        <w:t xml:space="preserve">Cuarto.  Notifíquese, </w:t>
      </w:r>
      <w:r w:rsidRPr="00B52138">
        <w:rPr>
          <w:rFonts w:ascii="Palatino Linotype" w:eastAsia="Palatino Linotype" w:hAnsi="Palatino Linotype" w:cs="Palatino Linotype"/>
          <w:sz w:val="22"/>
          <w:szCs w:val="22"/>
        </w:rPr>
        <w:t xml:space="preserve">vía </w:t>
      </w:r>
      <w:r w:rsidRPr="00B52138">
        <w:rPr>
          <w:rFonts w:ascii="Palatino Linotype" w:eastAsia="Palatino Linotype" w:hAnsi="Palatino Linotype" w:cs="Palatino Linotype"/>
          <w:b/>
          <w:bCs/>
          <w:sz w:val="22"/>
          <w:szCs w:val="22"/>
        </w:rPr>
        <w:t>SAIMEX</w:t>
      </w:r>
      <w:r w:rsidRPr="00B52138">
        <w:rPr>
          <w:rFonts w:ascii="Palatino Linotype" w:eastAsia="Palatino Linotype" w:hAnsi="Palatino Linotype" w:cs="Palatino Linotype"/>
          <w:sz w:val="22"/>
          <w:szCs w:val="22"/>
        </w:rPr>
        <w:t xml:space="preserve">, a la parte </w:t>
      </w:r>
      <w:r w:rsidRPr="00B52138">
        <w:rPr>
          <w:rFonts w:ascii="Palatino Linotype" w:eastAsia="Palatino Linotype" w:hAnsi="Palatino Linotype" w:cs="Palatino Linotype"/>
          <w:b/>
          <w:bCs/>
          <w:sz w:val="22"/>
          <w:szCs w:val="22"/>
        </w:rPr>
        <w:t>Recurrente</w:t>
      </w:r>
      <w:r w:rsidRPr="00B52138">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737E42C" w14:textId="5F565FBA" w:rsidR="009D5719" w:rsidRPr="00C81F82" w:rsidRDefault="00377B0B">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B5213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2705E1" w:rsidRPr="00B52138">
        <w:rPr>
          <w:rFonts w:ascii="Palatino Linotype" w:eastAsia="Palatino Linotype" w:hAnsi="Palatino Linotype" w:cs="Palatino Linotype"/>
          <w:sz w:val="22"/>
          <w:szCs w:val="22"/>
        </w:rPr>
        <w:t xml:space="preserve">RIEGA, </w:t>
      </w:r>
      <w:r w:rsidR="00955F80" w:rsidRPr="00B52138">
        <w:rPr>
          <w:rFonts w:ascii="Palatino Linotype" w:eastAsia="Palatino Linotype" w:hAnsi="Palatino Linotype" w:cs="Palatino Linotype"/>
          <w:sz w:val="22"/>
          <w:szCs w:val="22"/>
        </w:rPr>
        <w:t xml:space="preserve">EMITIENDO VOTO PARTICULAR </w:t>
      </w:r>
      <w:r w:rsidR="002705E1" w:rsidRPr="00B52138">
        <w:rPr>
          <w:rFonts w:ascii="Palatino Linotype" w:eastAsia="Palatino Linotype" w:hAnsi="Palatino Linotype" w:cs="Palatino Linotype"/>
          <w:sz w:val="22"/>
          <w:szCs w:val="22"/>
        </w:rPr>
        <w:t>Y GUADALUPE RAMÍREZ PEÑA</w:t>
      </w:r>
      <w:r w:rsidRPr="00B52138">
        <w:rPr>
          <w:rFonts w:ascii="Palatino Linotype" w:eastAsia="Palatino Linotype" w:hAnsi="Palatino Linotype" w:cs="Palatino Linotype"/>
          <w:sz w:val="22"/>
          <w:szCs w:val="22"/>
        </w:rPr>
        <w:t xml:space="preserve">; EN LA </w:t>
      </w:r>
      <w:r w:rsidR="002705E1" w:rsidRPr="00B52138">
        <w:rPr>
          <w:rFonts w:ascii="Palatino Linotype" w:eastAsia="Palatino Linotype" w:hAnsi="Palatino Linotype" w:cs="Palatino Linotype"/>
          <w:sz w:val="22"/>
          <w:szCs w:val="22"/>
        </w:rPr>
        <w:t>DÉCIMA</w:t>
      </w:r>
      <w:r w:rsidRPr="00B52138">
        <w:rPr>
          <w:rFonts w:ascii="Palatino Linotype" w:eastAsia="Palatino Linotype" w:hAnsi="Palatino Linotype" w:cs="Palatino Linotype"/>
          <w:sz w:val="22"/>
          <w:szCs w:val="22"/>
        </w:rPr>
        <w:t xml:space="preserve"> </w:t>
      </w:r>
      <w:r w:rsidR="00F765DE" w:rsidRPr="00B52138">
        <w:rPr>
          <w:rFonts w:ascii="Palatino Linotype" w:eastAsia="Palatino Linotype" w:hAnsi="Palatino Linotype" w:cs="Palatino Linotype"/>
          <w:sz w:val="22"/>
          <w:szCs w:val="22"/>
        </w:rPr>
        <w:t xml:space="preserve">SEGUNDA </w:t>
      </w:r>
      <w:r w:rsidRPr="00B52138">
        <w:rPr>
          <w:rFonts w:ascii="Palatino Linotype" w:eastAsia="Palatino Linotype" w:hAnsi="Palatino Linotype" w:cs="Palatino Linotype"/>
          <w:sz w:val="22"/>
          <w:szCs w:val="22"/>
        </w:rPr>
        <w:t xml:space="preserve">SESIÓN ORDINARIA CELEBRADA EL </w:t>
      </w:r>
      <w:r w:rsidR="00B52138" w:rsidRPr="00B52138">
        <w:rPr>
          <w:rFonts w:ascii="Palatino Linotype" w:eastAsia="Palatino Linotype" w:hAnsi="Palatino Linotype" w:cs="Palatino Linotype"/>
          <w:sz w:val="22"/>
          <w:szCs w:val="22"/>
        </w:rPr>
        <w:t>OCHO DE ABRIL</w:t>
      </w:r>
      <w:r w:rsidR="002705E1" w:rsidRPr="00B52138">
        <w:rPr>
          <w:rFonts w:ascii="Palatino Linotype" w:eastAsia="Palatino Linotype" w:hAnsi="Palatino Linotype" w:cs="Palatino Linotype"/>
          <w:sz w:val="22"/>
          <w:szCs w:val="22"/>
        </w:rPr>
        <w:t xml:space="preserve"> DE DOS MIL VEINTISÉIS</w:t>
      </w:r>
      <w:r w:rsidRPr="00B52138">
        <w:rPr>
          <w:rFonts w:ascii="Palatino Linotype" w:eastAsia="Palatino Linotype" w:hAnsi="Palatino Linotype" w:cs="Palatino Linotype"/>
          <w:sz w:val="22"/>
          <w:szCs w:val="22"/>
        </w:rPr>
        <w:t>, ANTE EL SECRETARIO TÉCNICO DEL PLENO ALEXIS TAPIA RAMÍREZ.</w:t>
      </w:r>
    </w:p>
    <w:p w14:paraId="16395869"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31016141" w14:textId="77777777" w:rsidR="009D5719" w:rsidRPr="00C81F82" w:rsidRDefault="009D5719">
      <w:pPr>
        <w:spacing w:line="360" w:lineRule="auto"/>
        <w:jc w:val="center"/>
        <w:rPr>
          <w:rFonts w:ascii="Palatino Linotype" w:eastAsia="Palatino Linotype" w:hAnsi="Palatino Linotype" w:cs="Palatino Linotype"/>
          <w:sz w:val="22"/>
          <w:szCs w:val="22"/>
        </w:rPr>
      </w:pPr>
    </w:p>
    <w:p w14:paraId="1CFCBB6E"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26AF2302"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27DED879"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2B235E25"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06DF7029"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44DE89A5"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285353FD"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1FC9CA9B"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1B6E70E8"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76EE2A87"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29E26A5D"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6E174C39"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0ED409C4"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77875CC5"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1EFEF717"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3659FB35"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3506EF87"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661FEEA0" w14:textId="77777777" w:rsidR="009D5719" w:rsidRPr="00C81F82" w:rsidRDefault="009D5719">
      <w:pPr>
        <w:spacing w:line="360" w:lineRule="auto"/>
        <w:jc w:val="both"/>
        <w:rPr>
          <w:rFonts w:ascii="Palatino Linotype" w:eastAsia="Palatino Linotype" w:hAnsi="Palatino Linotype" w:cs="Palatino Linotype"/>
          <w:sz w:val="22"/>
          <w:szCs w:val="22"/>
        </w:rPr>
      </w:pPr>
    </w:p>
    <w:p w14:paraId="72124F22" w14:textId="77777777" w:rsidR="009D5719" w:rsidRPr="00C81F82" w:rsidRDefault="009D5719">
      <w:pPr>
        <w:spacing w:line="360" w:lineRule="auto"/>
        <w:jc w:val="both"/>
        <w:rPr>
          <w:rFonts w:ascii="Palatino Linotype" w:eastAsia="Palatino Linotype" w:hAnsi="Palatino Linotype" w:cs="Palatino Linotype"/>
          <w:sz w:val="22"/>
          <w:szCs w:val="22"/>
        </w:rPr>
      </w:pPr>
    </w:p>
    <w:sectPr w:rsidR="009D5719" w:rsidRPr="00C81F82">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378B8" w14:textId="77777777" w:rsidR="00220423" w:rsidRDefault="00220423">
      <w:r>
        <w:separator/>
      </w:r>
    </w:p>
  </w:endnote>
  <w:endnote w:type="continuationSeparator" w:id="0">
    <w:p w14:paraId="52F3E4CE" w14:textId="77777777" w:rsidR="00220423" w:rsidRDefault="00220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030CD4-B58E-4619-B704-753A865E4242}"/>
    <w:embedBold r:id="rId2" w:fontKey="{6826C825-A18C-4ABE-849A-C6B7F41E3ABB}"/>
  </w:font>
  <w:font w:name="Cambria">
    <w:panose1 w:val="02040503050406030204"/>
    <w:charset w:val="00"/>
    <w:family w:val="roman"/>
    <w:pitch w:val="variable"/>
    <w:sig w:usb0="E00006FF" w:usb1="420024FF" w:usb2="02000000" w:usb3="00000000" w:csb0="0000019F" w:csb1="00000000"/>
    <w:embedRegular r:id="rId3" w:fontKey="{923E5C12-3CB0-4FA9-9CF7-E3E0B507B3AB}"/>
    <w:embedBold r:id="rId4" w:fontKey="{BF67C9E5-17C4-4225-9371-3D93630A821A}"/>
    <w:embedBoldItalic r:id="rId5" w:fontKey="{F0E467B0-C691-4CC4-97F1-D040895FFEB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65ED6C0-4495-482B-8F98-2F46C017ECC7}"/>
  </w:font>
  <w:font w:name="Georgia">
    <w:panose1 w:val="02040502050405020303"/>
    <w:charset w:val="00"/>
    <w:family w:val="roman"/>
    <w:pitch w:val="variable"/>
    <w:sig w:usb0="00000287" w:usb1="00000000" w:usb2="00000000" w:usb3="00000000" w:csb0="0000009F" w:csb1="00000000"/>
    <w:embedItalic r:id="rId7" w:fontKey="{328F1757-A804-4229-A663-C014912FA5DB}"/>
  </w:font>
  <w:font w:name="Palatino Linotype">
    <w:panose1 w:val="02040502050505030304"/>
    <w:charset w:val="00"/>
    <w:family w:val="roman"/>
    <w:pitch w:val="variable"/>
    <w:sig w:usb0="E0000287" w:usb1="40000013" w:usb2="00000000" w:usb3="00000000" w:csb0="0000019F" w:csb1="00000000"/>
    <w:embedRegular r:id="rId8" w:fontKey="{D6048DE4-9D05-438C-BA9F-74212476888A}"/>
    <w:embedBold r:id="rId9" w:fontKey="{4B7CA385-2F83-457C-88BB-7DD211877406}"/>
    <w:embedItalic r:id="rId10" w:fontKey="{75E75E82-5B55-46BD-8C91-61ED7530C84F}"/>
    <w:embedBoldItalic r:id="rId11" w:fontKey="{ED6092A2-E60F-4235-BF6A-5ECAD2DB0FE2}"/>
  </w:font>
  <w:font w:name="Tahoma">
    <w:panose1 w:val="020B0604030504040204"/>
    <w:charset w:val="00"/>
    <w:family w:val="swiss"/>
    <w:pitch w:val="variable"/>
    <w:sig w:usb0="E1002EFF" w:usb1="C000605B" w:usb2="00000029" w:usb3="00000000" w:csb0="000101FF" w:csb1="00000000"/>
    <w:embedBoldItalic r:id="rId12" w:fontKey="{39AA4D98-627C-4989-A629-0138F40C560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F0751" w14:textId="34423342" w:rsidR="009D5719" w:rsidRDefault="00377B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C2AAA">
      <w:rPr>
        <w:rFonts w:ascii="Palatino Linotype" w:eastAsia="Palatino Linotype" w:hAnsi="Palatino Linotype" w:cs="Palatino Linotype"/>
        <w:b/>
        <w:bCs/>
        <w:noProof/>
        <w:color w:val="000000"/>
        <w:sz w:val="20"/>
        <w:szCs w:val="20"/>
      </w:rPr>
      <w:t>34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C2AAA">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p>
  <w:p w14:paraId="01486F3E" w14:textId="77777777" w:rsidR="009D5719" w:rsidRDefault="009D571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F2D99" w14:textId="2604D094" w:rsidR="009D5719" w:rsidRDefault="00377B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C2AAA">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C2AAA">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p>
  <w:p w14:paraId="5264FD5B" w14:textId="77777777" w:rsidR="009D5719" w:rsidRDefault="009D571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5A99B" w14:textId="77777777" w:rsidR="00220423" w:rsidRDefault="00220423">
      <w:r>
        <w:separator/>
      </w:r>
    </w:p>
  </w:footnote>
  <w:footnote w:type="continuationSeparator" w:id="0">
    <w:p w14:paraId="45567CD2" w14:textId="77777777" w:rsidR="00220423" w:rsidRDefault="002204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54D9" w14:textId="77777777" w:rsidR="009D5719" w:rsidRDefault="00377B0B">
    <w:pPr>
      <w:rPr>
        <w:rFonts w:ascii="Cambria" w:eastAsia="Cambria" w:hAnsi="Cambria" w:cs="Cambria"/>
        <w:color w:val="000000"/>
      </w:rPr>
    </w:pPr>
    <w:r>
      <w:rPr>
        <w:noProof/>
      </w:rPr>
      <w:drawing>
        <wp:anchor distT="0" distB="0" distL="0" distR="0" simplePos="0" relativeHeight="251658240" behindDoc="1" locked="0" layoutInCell="1" hidden="0" allowOverlap="1" wp14:anchorId="34FC9ED1" wp14:editId="5A65822E">
          <wp:simplePos x="0" y="0"/>
          <wp:positionH relativeFrom="column">
            <wp:posOffset>-1104899</wp:posOffset>
          </wp:positionH>
          <wp:positionV relativeFrom="paragraph">
            <wp:posOffset>-543559</wp:posOffset>
          </wp:positionV>
          <wp:extent cx="7809865" cy="10165715"/>
          <wp:effectExtent l="0" t="0" r="0" b="0"/>
          <wp:wrapNone/>
          <wp:docPr id="21401318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4"/>
      <w:tblW w:w="5953" w:type="dxa"/>
      <w:tblInd w:w="3261" w:type="dxa"/>
      <w:tblLayout w:type="fixed"/>
      <w:tblLook w:val="0400" w:firstRow="0" w:lastRow="0" w:firstColumn="0" w:lastColumn="0" w:noHBand="0" w:noVBand="1"/>
    </w:tblPr>
    <w:tblGrid>
      <w:gridCol w:w="2489"/>
      <w:gridCol w:w="3464"/>
    </w:tblGrid>
    <w:tr w:rsidR="009D5719" w14:paraId="7A1167F8" w14:textId="77777777">
      <w:tc>
        <w:tcPr>
          <w:tcW w:w="2489" w:type="dxa"/>
        </w:tcPr>
        <w:p w14:paraId="0400FDE0"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3518235D" w14:textId="097A8D86" w:rsidR="009D5719" w:rsidRDefault="00F7687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14114</w:t>
          </w:r>
          <w:r w:rsidR="00377B0B">
            <w:rPr>
              <w:rFonts w:ascii="Palatino Linotype" w:eastAsia="Palatino Linotype" w:hAnsi="Palatino Linotype" w:cs="Palatino Linotype"/>
              <w:b/>
              <w:bCs/>
              <w:sz w:val="22"/>
              <w:szCs w:val="22"/>
            </w:rPr>
            <w:t>/INFOEM/IP/RR/2025</w:t>
          </w:r>
        </w:p>
      </w:tc>
    </w:tr>
    <w:tr w:rsidR="009D5719" w14:paraId="2BD18BE3" w14:textId="77777777">
      <w:trPr>
        <w:trHeight w:val="228"/>
      </w:trPr>
      <w:tc>
        <w:tcPr>
          <w:tcW w:w="2489" w:type="dxa"/>
          <w:vAlign w:val="center"/>
        </w:tcPr>
        <w:p w14:paraId="08CE9659"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86A948B" w14:textId="77777777" w:rsidR="009D5719" w:rsidRDefault="00377B0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9D5719" w14:paraId="7C207C6B" w14:textId="77777777">
      <w:tc>
        <w:tcPr>
          <w:tcW w:w="2489" w:type="dxa"/>
          <w:vAlign w:val="center"/>
        </w:tcPr>
        <w:p w14:paraId="20F052D1" w14:textId="77777777" w:rsidR="009D5719" w:rsidRDefault="00377B0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3EA5DD1D" w14:textId="77777777" w:rsidR="009D5719" w:rsidRDefault="00377B0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55221BD" w14:textId="77777777" w:rsidR="009D5719" w:rsidRDefault="00377B0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FA249" w14:textId="77777777" w:rsidR="009D5719" w:rsidRDefault="00377B0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33FF8C7" wp14:editId="6B821318">
          <wp:simplePos x="0" y="0"/>
          <wp:positionH relativeFrom="column">
            <wp:posOffset>-1078865</wp:posOffset>
          </wp:positionH>
          <wp:positionV relativeFrom="paragraph">
            <wp:posOffset>-270672</wp:posOffset>
          </wp:positionV>
          <wp:extent cx="7809865" cy="10165715"/>
          <wp:effectExtent l="0" t="0" r="635" b="6985"/>
          <wp:wrapNone/>
          <wp:docPr id="2140131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5"/>
      <w:tblW w:w="5953" w:type="dxa"/>
      <w:tblInd w:w="3261" w:type="dxa"/>
      <w:tblLayout w:type="fixed"/>
      <w:tblLook w:val="0400" w:firstRow="0" w:lastRow="0" w:firstColumn="0" w:lastColumn="0" w:noHBand="0" w:noVBand="1"/>
    </w:tblPr>
    <w:tblGrid>
      <w:gridCol w:w="2489"/>
      <w:gridCol w:w="3464"/>
    </w:tblGrid>
    <w:tr w:rsidR="009D5719" w14:paraId="715527D8" w14:textId="77777777">
      <w:tc>
        <w:tcPr>
          <w:tcW w:w="2489" w:type="dxa"/>
        </w:tcPr>
        <w:p w14:paraId="3B418663"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5BCD62D3" w14:textId="64F8A410" w:rsidR="009D5719" w:rsidRDefault="00F76877" w:rsidP="002705E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14114</w:t>
          </w:r>
          <w:r w:rsidR="00377B0B">
            <w:rPr>
              <w:rFonts w:ascii="Palatino Linotype" w:eastAsia="Palatino Linotype" w:hAnsi="Palatino Linotype" w:cs="Palatino Linotype"/>
              <w:b/>
              <w:bCs/>
              <w:sz w:val="22"/>
              <w:szCs w:val="22"/>
            </w:rPr>
            <w:t>/INFOEM/IP/RR/2025</w:t>
          </w:r>
        </w:p>
      </w:tc>
    </w:tr>
    <w:tr w:rsidR="009D5719" w14:paraId="551B31CB" w14:textId="77777777">
      <w:tc>
        <w:tcPr>
          <w:tcW w:w="2489" w:type="dxa"/>
        </w:tcPr>
        <w:p w14:paraId="6AE67896"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26ACFAB8" w14:textId="77777777" w:rsidR="009D5719" w:rsidRDefault="009D5719">
          <w:pPr>
            <w:ind w:right="175"/>
            <w:jc w:val="both"/>
            <w:rPr>
              <w:rFonts w:ascii="Palatino Linotype" w:eastAsia="Palatino Linotype" w:hAnsi="Palatino Linotype" w:cs="Palatino Linotype"/>
              <w:b/>
              <w:bCs/>
              <w:sz w:val="22"/>
              <w:szCs w:val="22"/>
              <w:highlight w:val="yellow"/>
            </w:rPr>
          </w:pPr>
        </w:p>
      </w:tc>
    </w:tr>
    <w:tr w:rsidR="009D5719" w14:paraId="6FA54A24" w14:textId="77777777">
      <w:trPr>
        <w:trHeight w:val="228"/>
      </w:trPr>
      <w:tc>
        <w:tcPr>
          <w:tcW w:w="2489" w:type="dxa"/>
          <w:vAlign w:val="center"/>
        </w:tcPr>
        <w:p w14:paraId="0F52277E"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5DC1D215" w14:textId="77777777" w:rsidR="009D5719" w:rsidRDefault="00377B0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9D5719" w14:paraId="71671CA3" w14:textId="77777777">
      <w:tc>
        <w:tcPr>
          <w:tcW w:w="2489" w:type="dxa"/>
          <w:vAlign w:val="center"/>
        </w:tcPr>
        <w:p w14:paraId="331A311A" w14:textId="77777777" w:rsidR="009D5719" w:rsidRDefault="00377B0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0EDA8D30" w14:textId="77777777" w:rsidR="009D5719" w:rsidRDefault="00377B0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BC28DE1" w14:textId="77777777" w:rsidR="009D5719" w:rsidRDefault="009D571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A76074"/>
    <w:multiLevelType w:val="multilevel"/>
    <w:tmpl w:val="08F2657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19"/>
    <w:rsid w:val="00012289"/>
    <w:rsid w:val="000443C4"/>
    <w:rsid w:val="000543C3"/>
    <w:rsid w:val="00095304"/>
    <w:rsid w:val="000B6B31"/>
    <w:rsid w:val="000D6308"/>
    <w:rsid w:val="000F6221"/>
    <w:rsid w:val="0011584E"/>
    <w:rsid w:val="001435EB"/>
    <w:rsid w:val="0015340E"/>
    <w:rsid w:val="00194F34"/>
    <w:rsid w:val="001A27C2"/>
    <w:rsid w:val="001B0AEC"/>
    <w:rsid w:val="001B1408"/>
    <w:rsid w:val="001B6E4E"/>
    <w:rsid w:val="001C0047"/>
    <w:rsid w:val="001C7D2C"/>
    <w:rsid w:val="001D6E23"/>
    <w:rsid w:val="001E1569"/>
    <w:rsid w:val="0020168D"/>
    <w:rsid w:val="00202AC8"/>
    <w:rsid w:val="00220423"/>
    <w:rsid w:val="00233F9A"/>
    <w:rsid w:val="002436CC"/>
    <w:rsid w:val="00244312"/>
    <w:rsid w:val="002539A7"/>
    <w:rsid w:val="00257857"/>
    <w:rsid w:val="00264BBA"/>
    <w:rsid w:val="002705E1"/>
    <w:rsid w:val="002B1D2F"/>
    <w:rsid w:val="002B4DAB"/>
    <w:rsid w:val="002F311C"/>
    <w:rsid w:val="00313789"/>
    <w:rsid w:val="00315BB3"/>
    <w:rsid w:val="00322C61"/>
    <w:rsid w:val="00330C3A"/>
    <w:rsid w:val="003365F5"/>
    <w:rsid w:val="00362B5B"/>
    <w:rsid w:val="003717F6"/>
    <w:rsid w:val="00377B0B"/>
    <w:rsid w:val="003A1EEF"/>
    <w:rsid w:val="003C2AAA"/>
    <w:rsid w:val="003D1BE3"/>
    <w:rsid w:val="003D7346"/>
    <w:rsid w:val="00401981"/>
    <w:rsid w:val="00401FDD"/>
    <w:rsid w:val="00436EB4"/>
    <w:rsid w:val="00457697"/>
    <w:rsid w:val="00460A34"/>
    <w:rsid w:val="00474985"/>
    <w:rsid w:val="004A2064"/>
    <w:rsid w:val="004A5A8C"/>
    <w:rsid w:val="004A68B7"/>
    <w:rsid w:val="004C3E91"/>
    <w:rsid w:val="004D37AC"/>
    <w:rsid w:val="004F3796"/>
    <w:rsid w:val="00525064"/>
    <w:rsid w:val="00530185"/>
    <w:rsid w:val="0058457F"/>
    <w:rsid w:val="005A33F5"/>
    <w:rsid w:val="005B1103"/>
    <w:rsid w:val="005C67E3"/>
    <w:rsid w:val="005E21ED"/>
    <w:rsid w:val="005E4FE3"/>
    <w:rsid w:val="005F5E9D"/>
    <w:rsid w:val="0063575A"/>
    <w:rsid w:val="00635E03"/>
    <w:rsid w:val="00640CA1"/>
    <w:rsid w:val="00643747"/>
    <w:rsid w:val="00651618"/>
    <w:rsid w:val="006545C3"/>
    <w:rsid w:val="00655D9C"/>
    <w:rsid w:val="00687854"/>
    <w:rsid w:val="00687D36"/>
    <w:rsid w:val="006A5C31"/>
    <w:rsid w:val="006D5FD0"/>
    <w:rsid w:val="006E651C"/>
    <w:rsid w:val="006F3C00"/>
    <w:rsid w:val="00713E3B"/>
    <w:rsid w:val="00747C61"/>
    <w:rsid w:val="00786C90"/>
    <w:rsid w:val="007A5F73"/>
    <w:rsid w:val="007B1DA9"/>
    <w:rsid w:val="007B400E"/>
    <w:rsid w:val="007B60C6"/>
    <w:rsid w:val="007D014E"/>
    <w:rsid w:val="007E739C"/>
    <w:rsid w:val="007F77E2"/>
    <w:rsid w:val="00803187"/>
    <w:rsid w:val="00804796"/>
    <w:rsid w:val="00825AF4"/>
    <w:rsid w:val="0083182A"/>
    <w:rsid w:val="0083669C"/>
    <w:rsid w:val="008411C5"/>
    <w:rsid w:val="00844CFA"/>
    <w:rsid w:val="00857157"/>
    <w:rsid w:val="00862053"/>
    <w:rsid w:val="008771BA"/>
    <w:rsid w:val="0088276F"/>
    <w:rsid w:val="008834DF"/>
    <w:rsid w:val="00892C93"/>
    <w:rsid w:val="008D76AF"/>
    <w:rsid w:val="00936AC3"/>
    <w:rsid w:val="00955F80"/>
    <w:rsid w:val="00956041"/>
    <w:rsid w:val="009A32B1"/>
    <w:rsid w:val="009B472E"/>
    <w:rsid w:val="009C0437"/>
    <w:rsid w:val="009D36F7"/>
    <w:rsid w:val="009D5719"/>
    <w:rsid w:val="009E1522"/>
    <w:rsid w:val="009E34D7"/>
    <w:rsid w:val="009F269E"/>
    <w:rsid w:val="00A33A47"/>
    <w:rsid w:val="00A34640"/>
    <w:rsid w:val="00A60BC0"/>
    <w:rsid w:val="00A678F5"/>
    <w:rsid w:val="00A75715"/>
    <w:rsid w:val="00A805B6"/>
    <w:rsid w:val="00A921CE"/>
    <w:rsid w:val="00A97754"/>
    <w:rsid w:val="00AA276C"/>
    <w:rsid w:val="00AA2AA1"/>
    <w:rsid w:val="00AA409C"/>
    <w:rsid w:val="00AC4AE9"/>
    <w:rsid w:val="00AD78F0"/>
    <w:rsid w:val="00B14DF3"/>
    <w:rsid w:val="00B15517"/>
    <w:rsid w:val="00B31F84"/>
    <w:rsid w:val="00B335D7"/>
    <w:rsid w:val="00B37FBB"/>
    <w:rsid w:val="00B42B07"/>
    <w:rsid w:val="00B52138"/>
    <w:rsid w:val="00B714E4"/>
    <w:rsid w:val="00B87F47"/>
    <w:rsid w:val="00BA3ADD"/>
    <w:rsid w:val="00BC26BA"/>
    <w:rsid w:val="00BD077B"/>
    <w:rsid w:val="00BE09FA"/>
    <w:rsid w:val="00BE511F"/>
    <w:rsid w:val="00C01135"/>
    <w:rsid w:val="00C25D37"/>
    <w:rsid w:val="00C300FF"/>
    <w:rsid w:val="00C31E74"/>
    <w:rsid w:val="00C73918"/>
    <w:rsid w:val="00C81F82"/>
    <w:rsid w:val="00C9536B"/>
    <w:rsid w:val="00CA63CB"/>
    <w:rsid w:val="00CD66EC"/>
    <w:rsid w:val="00CD789F"/>
    <w:rsid w:val="00CE6615"/>
    <w:rsid w:val="00CF4CA2"/>
    <w:rsid w:val="00D16A8A"/>
    <w:rsid w:val="00D46C26"/>
    <w:rsid w:val="00D52BA0"/>
    <w:rsid w:val="00D537D8"/>
    <w:rsid w:val="00DA7736"/>
    <w:rsid w:val="00DC5743"/>
    <w:rsid w:val="00E31A32"/>
    <w:rsid w:val="00E718FD"/>
    <w:rsid w:val="00E80424"/>
    <w:rsid w:val="00E85775"/>
    <w:rsid w:val="00E916B3"/>
    <w:rsid w:val="00EC52BB"/>
    <w:rsid w:val="00ED16EA"/>
    <w:rsid w:val="00EF6A51"/>
    <w:rsid w:val="00F33518"/>
    <w:rsid w:val="00F40F9B"/>
    <w:rsid w:val="00F54CFE"/>
    <w:rsid w:val="00F66151"/>
    <w:rsid w:val="00F765DE"/>
    <w:rsid w:val="00F76877"/>
    <w:rsid w:val="00F83250"/>
    <w:rsid w:val="00F92665"/>
    <w:rsid w:val="00FB5886"/>
    <w:rsid w:val="00FC602B"/>
    <w:rsid w:val="00FD5818"/>
    <w:rsid w:val="00FF07DA"/>
    <w:rsid w:val="00FF2B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745F7"/>
  <w15:docId w15:val="{35F72FC8-D4DD-447D-A47F-EF575B34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style>
  <w:style w:type="table" w:customStyle="1" w:styleId="a0">
    <w:basedOn w:val="TableNormalf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2"/>
    <w:tblPr>
      <w:tblStyleRowBandSize w:val="1"/>
      <w:tblStyleColBandSize w:val="1"/>
      <w:tblCellMar>
        <w:left w:w="108" w:type="dxa"/>
        <w:right w:w="108" w:type="dxa"/>
      </w:tblCellMar>
    </w:tblPr>
  </w:style>
  <w:style w:type="table" w:customStyle="1" w:styleId="a6">
    <w:basedOn w:val="TableNormalf2"/>
    <w:tblPr>
      <w:tblStyleRowBandSize w:val="1"/>
      <w:tblStyleColBandSize w:val="1"/>
      <w:tblCellMar>
        <w:left w:w="108" w:type="dxa"/>
        <w:right w:w="108" w:type="dxa"/>
      </w:tblCellMar>
    </w:tblPr>
  </w:style>
  <w:style w:type="table" w:customStyle="1" w:styleId="a7">
    <w:basedOn w:val="TableNormalf2"/>
    <w:tblPr>
      <w:tblStyleRowBandSize w:val="1"/>
      <w:tblStyleColBandSize w:val="1"/>
      <w:tblCellMar>
        <w:left w:w="108" w:type="dxa"/>
        <w:right w:w="108" w:type="dxa"/>
      </w:tblCellMar>
    </w:tblPr>
  </w:style>
  <w:style w:type="table" w:customStyle="1" w:styleId="a8">
    <w:basedOn w:val="TableNormalf2"/>
    <w:tblPr>
      <w:tblStyleRowBandSize w:val="1"/>
      <w:tblStyleColBandSize w:val="1"/>
      <w:tblCellMar>
        <w:left w:w="108" w:type="dxa"/>
        <w:right w:w="108" w:type="dxa"/>
      </w:tblCellMar>
    </w:tblPr>
  </w:style>
  <w:style w:type="table" w:customStyle="1" w:styleId="a9">
    <w:basedOn w:val="TableNormalf2"/>
    <w:tblPr>
      <w:tblStyleRowBandSize w:val="1"/>
      <w:tblStyleColBandSize w:val="1"/>
      <w:tblCellMar>
        <w:left w:w="108" w:type="dxa"/>
        <w:right w:w="108" w:type="dxa"/>
      </w:tblCellMar>
    </w:tblPr>
  </w:style>
  <w:style w:type="table" w:customStyle="1" w:styleId="aa">
    <w:basedOn w:val="TableNormalf2"/>
    <w:tblPr>
      <w:tblStyleRowBandSize w:val="1"/>
      <w:tblStyleColBandSize w:val="1"/>
      <w:tblCellMar>
        <w:left w:w="115" w:type="dxa"/>
        <w:right w:w="115" w:type="dxa"/>
      </w:tblCellMar>
    </w:tblPr>
  </w:style>
  <w:style w:type="table" w:customStyle="1" w:styleId="ab">
    <w:basedOn w:val="TableNormalf2"/>
    <w:tblPr>
      <w:tblStyleRowBandSize w:val="1"/>
      <w:tblStyleColBandSize w:val="1"/>
      <w:tblCellMar>
        <w:left w:w="115" w:type="dxa"/>
        <w:right w:w="115" w:type="dxa"/>
      </w:tblCellMar>
    </w:tblPr>
  </w:style>
  <w:style w:type="table" w:customStyle="1" w:styleId="ac">
    <w:basedOn w:val="TableNormalf1"/>
    <w:tblPr>
      <w:tblStyleRowBandSize w:val="1"/>
      <w:tblStyleColBandSize w:val="1"/>
      <w:tblCellMar>
        <w:left w:w="108" w:type="dxa"/>
        <w:right w:w="108" w:type="dxa"/>
      </w:tblCellMar>
    </w:tblPr>
  </w:style>
  <w:style w:type="table" w:customStyle="1" w:styleId="ad">
    <w:basedOn w:val="TableNormalf1"/>
    <w:tblPr>
      <w:tblStyleRowBandSize w:val="1"/>
      <w:tblStyleColBandSize w:val="1"/>
      <w:tblCellMar>
        <w:left w:w="115" w:type="dxa"/>
        <w:right w:w="115" w:type="dxa"/>
      </w:tblCellMar>
    </w:tblPr>
  </w:style>
  <w:style w:type="table" w:customStyle="1" w:styleId="ae">
    <w:basedOn w:val="TableNormalf1"/>
    <w:tblPr>
      <w:tblStyleRowBandSize w:val="1"/>
      <w:tblStyleColBandSize w:val="1"/>
      <w:tblCellMar>
        <w:left w:w="115" w:type="dxa"/>
        <w:right w:w="115" w:type="dxa"/>
      </w:tblCellMar>
    </w:tblPr>
  </w:style>
  <w:style w:type="table" w:customStyle="1" w:styleId="af">
    <w:basedOn w:val="TableNormalf0"/>
    <w:tblPr>
      <w:tblStyleRowBandSize w:val="1"/>
      <w:tblStyleColBandSize w:val="1"/>
      <w:tblCellMar>
        <w:left w:w="115" w:type="dxa"/>
        <w:right w:w="115" w:type="dxa"/>
      </w:tblCellMar>
    </w:tblPr>
  </w:style>
  <w:style w:type="table" w:customStyle="1" w:styleId="af0">
    <w:basedOn w:val="TableNormalf0"/>
    <w:tblPr>
      <w:tblStyleRowBandSize w:val="1"/>
      <w:tblStyleColBandSize w:val="1"/>
      <w:tblCellMar>
        <w:left w:w="115" w:type="dxa"/>
        <w:right w:w="115" w:type="dxa"/>
      </w:tblCellMar>
    </w:tblPr>
  </w:style>
  <w:style w:type="table" w:customStyle="1" w:styleId="af1">
    <w:basedOn w:val="TableNormalf0"/>
    <w:tblPr>
      <w:tblStyleRowBandSize w:val="1"/>
      <w:tblStyleColBandSize w:val="1"/>
      <w:tblCellMar>
        <w:left w:w="115" w:type="dxa"/>
        <w:right w:w="115" w:type="dxa"/>
      </w:tblCellMar>
    </w:tblPr>
  </w:style>
  <w:style w:type="table" w:customStyle="1" w:styleId="af2">
    <w:basedOn w:val="TableNormalf"/>
    <w:tblPr>
      <w:tblStyleRowBandSize w:val="1"/>
      <w:tblStyleColBandSize w:val="1"/>
      <w:tblCellMar>
        <w:left w:w="115" w:type="dxa"/>
        <w:right w:w="115" w:type="dxa"/>
      </w:tblCellMar>
    </w:tblPr>
  </w:style>
  <w:style w:type="table" w:customStyle="1" w:styleId="af3">
    <w:basedOn w:val="TableNormalf"/>
    <w:tblPr>
      <w:tblStyleRowBandSize w:val="1"/>
      <w:tblStyleColBandSize w:val="1"/>
      <w:tblCellMar>
        <w:left w:w="115" w:type="dxa"/>
        <w:right w:w="115" w:type="dxa"/>
      </w:tblCellMar>
    </w:tblPr>
  </w:style>
  <w:style w:type="table" w:customStyle="1" w:styleId="af4">
    <w:basedOn w:val="TableNormale"/>
    <w:tblPr>
      <w:tblStyleRowBandSize w:val="1"/>
      <w:tblStyleColBandSize w:val="1"/>
      <w:tblCellMar>
        <w:left w:w="115" w:type="dxa"/>
        <w:right w:w="115" w:type="dxa"/>
      </w:tblCellMar>
    </w:tblPr>
  </w:style>
  <w:style w:type="table" w:customStyle="1" w:styleId="af5">
    <w:basedOn w:val="TableNormale"/>
    <w:tblPr>
      <w:tblStyleRowBandSize w:val="1"/>
      <w:tblStyleColBandSize w:val="1"/>
      <w:tblCellMar>
        <w:left w:w="115" w:type="dxa"/>
        <w:right w:w="115" w:type="dxa"/>
      </w:tblCellMar>
    </w:tblPr>
  </w:style>
  <w:style w:type="table" w:customStyle="1" w:styleId="af6">
    <w:basedOn w:val="TableNormald"/>
    <w:tblPr>
      <w:tblStyleRowBandSize w:val="1"/>
      <w:tblStyleColBandSize w:val="1"/>
      <w:tblCellMar>
        <w:left w:w="115" w:type="dxa"/>
        <w:right w:w="115" w:type="dxa"/>
      </w:tblCellMar>
    </w:tblPr>
  </w:style>
  <w:style w:type="table" w:customStyle="1" w:styleId="af7">
    <w:basedOn w:val="TableNormald"/>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c"/>
    <w:tblPr>
      <w:tblStyleRowBandSize w:val="1"/>
      <w:tblStyleColBandSize w:val="1"/>
      <w:tblCellMar>
        <w:left w:w="115" w:type="dxa"/>
        <w:right w:w="115" w:type="dxa"/>
      </w:tblCellMar>
    </w:tblPr>
  </w:style>
  <w:style w:type="table" w:customStyle="1" w:styleId="af9">
    <w:basedOn w:val="TableNormalc"/>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7"/>
    <w:tblPr>
      <w:tblStyleRowBandSize w:val="1"/>
      <w:tblStyleColBandSize w:val="1"/>
      <w:tblCellMar>
        <w:left w:w="115" w:type="dxa"/>
        <w:right w:w="115" w:type="dxa"/>
      </w:tblCellMar>
    </w:tblPr>
  </w:style>
  <w:style w:type="table" w:customStyle="1" w:styleId="aff3">
    <w:basedOn w:val="TableNormal7"/>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table" w:customStyle="1" w:styleId="affe">
    <w:basedOn w:val="TableNormal1"/>
    <w:tblPr>
      <w:tblStyleRowBandSize w:val="1"/>
      <w:tblStyleColBandSize w:val="1"/>
      <w:tblCellMar>
        <w:top w:w="0" w:type="dxa"/>
        <w:left w:w="115" w:type="dxa"/>
        <w:bottom w:w="0" w:type="dxa"/>
        <w:right w:w="115" w:type="dxa"/>
      </w:tblCellMar>
    </w:tblPr>
  </w:style>
  <w:style w:type="table" w:customStyle="1" w:styleId="afff">
    <w:basedOn w:val="TableNormal1"/>
    <w:tblPr>
      <w:tblStyleRowBandSize w:val="1"/>
      <w:tblStyleColBandSize w:val="1"/>
      <w:tblCellMar>
        <w:top w:w="0" w:type="dxa"/>
        <w:left w:w="115" w:type="dxa"/>
        <w:bottom w:w="0" w:type="dxa"/>
        <w:right w:w="115" w:type="dxa"/>
      </w:tblCellMar>
    </w:tblPr>
  </w:style>
  <w:style w:type="table" w:customStyle="1" w:styleId="afff0">
    <w:basedOn w:val="TableNormal1"/>
    <w:tblPr>
      <w:tblStyleRowBandSize w:val="1"/>
      <w:tblStyleColBandSize w:val="1"/>
      <w:tblCellMar>
        <w:top w:w="0" w:type="dxa"/>
        <w:left w:w="115" w:type="dxa"/>
        <w:bottom w:w="0" w:type="dxa"/>
        <w:right w:w="115"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628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95+RzlR5Bcuji9YTTEO+WWqqg==">CgMxLjAyDmguc3ZibmlxemVvdzBhMg5oLmRhajNqMnhvNnE2NjIIaC5namRneHMyCWguM2R5NnZrbTIJaC4zMGowemxsMgloLjJzOGV5bzEyCGgudHlqY3d0MgloLjJldDkycDAyDmguZTEyOHl3eHZ5dWR2MgloLjI2aW4xcmcyDmgucDc4bmRwZ3Y0em9mMgloLjE3ZHA4dnUyCGgubG54Yno5OAByITFyd0xPdE1GSnhkcm9QTWZPVERVamJUdkZTNXJuNzg2bQ==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9974</Words>
  <Characters>54862</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2026-04-10T18:57:00Z</cp:lastPrinted>
  <dcterms:created xsi:type="dcterms:W3CDTF">2026-04-25T03:41:00Z</dcterms:created>
  <dcterms:modified xsi:type="dcterms:W3CDTF">2026-04-25T03:41:00Z</dcterms:modified>
</cp:coreProperties>
</file>