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C73" w:rsidRPr="00DE5DA7" w:rsidRDefault="001B5844" w:rsidP="00DE5DA7">
      <w:pPr>
        <w:tabs>
          <w:tab w:val="left" w:pos="0"/>
        </w:tabs>
        <w:spacing w:line="360" w:lineRule="auto"/>
        <w:jc w:val="both"/>
        <w:rPr>
          <w:rFonts w:ascii="Palatino Linotype" w:eastAsia="Palatino Linotype" w:hAnsi="Palatino Linotype" w:cs="Palatino Linotype"/>
          <w:b/>
          <w:bCs/>
          <w:color w:val="000000" w:themeColor="text1"/>
        </w:rPr>
      </w:pPr>
      <w:r w:rsidRPr="00DE5DA7">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DE5DA7">
        <w:rPr>
          <w:rFonts w:ascii="Palatino Linotype" w:eastAsia="Palatino Linotype" w:hAnsi="Palatino Linotype" w:cs="Palatino Linotype"/>
          <w:b/>
          <w:color w:val="000000" w:themeColor="text1"/>
        </w:rPr>
        <w:t>de fecha</w:t>
      </w:r>
      <w:r w:rsidRPr="00DE5DA7">
        <w:rPr>
          <w:rFonts w:ascii="Palatino Linotype" w:eastAsia="Palatino Linotype" w:hAnsi="Palatino Linotype" w:cs="Palatino Linotype"/>
          <w:color w:val="000000" w:themeColor="text1"/>
        </w:rPr>
        <w:t xml:space="preserve"> </w:t>
      </w:r>
      <w:r w:rsidRPr="00DE5DA7">
        <w:rPr>
          <w:rFonts w:ascii="Palatino Linotype" w:eastAsia="Palatino Linotype" w:hAnsi="Palatino Linotype" w:cs="Palatino Linotype"/>
          <w:b/>
          <w:bCs/>
          <w:color w:val="000000" w:themeColor="text1"/>
        </w:rPr>
        <w:t>catorce</w:t>
      </w:r>
      <w:r w:rsidR="00021D14">
        <w:rPr>
          <w:rFonts w:ascii="Palatino Linotype" w:eastAsia="Palatino Linotype" w:hAnsi="Palatino Linotype" w:cs="Palatino Linotype"/>
          <w:b/>
          <w:bCs/>
          <w:color w:val="000000" w:themeColor="text1"/>
        </w:rPr>
        <w:t xml:space="preserve"> (14)</w:t>
      </w:r>
      <w:r w:rsidRPr="00DE5DA7">
        <w:rPr>
          <w:rFonts w:ascii="Palatino Linotype" w:eastAsia="Palatino Linotype" w:hAnsi="Palatino Linotype" w:cs="Palatino Linotype"/>
          <w:b/>
          <w:bCs/>
          <w:color w:val="000000" w:themeColor="text1"/>
        </w:rPr>
        <w:t xml:space="preserve"> de enero de dos mil veintiséis. </w:t>
      </w:r>
    </w:p>
    <w:p w:rsidR="00407C73" w:rsidRPr="00DE5DA7" w:rsidRDefault="00407C73" w:rsidP="00DE5DA7">
      <w:pPr>
        <w:tabs>
          <w:tab w:val="left" w:pos="0"/>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tabs>
          <w:tab w:val="left" w:pos="0"/>
        </w:tabs>
        <w:spacing w:line="360" w:lineRule="auto"/>
        <w:jc w:val="both"/>
        <w:rPr>
          <w:rFonts w:ascii="Palatino Linotype" w:eastAsia="Palatino Linotype" w:hAnsi="Palatino Linotype" w:cs="Palatino Linotype"/>
          <w:color w:val="000000" w:themeColor="text1"/>
        </w:rPr>
      </w:pPr>
      <w:r w:rsidRPr="00E71756">
        <w:rPr>
          <w:rFonts w:ascii="Palatino Linotype" w:eastAsia="Palatino Linotype" w:hAnsi="Palatino Linotype" w:cs="Palatino Linotype"/>
          <w:b/>
          <w:bCs/>
          <w:color w:val="000000" w:themeColor="text1"/>
        </w:rPr>
        <w:t>VISTO</w:t>
      </w:r>
      <w:r w:rsidRPr="00E71756">
        <w:rPr>
          <w:rFonts w:ascii="Palatino Linotype" w:eastAsia="Palatino Linotype" w:hAnsi="Palatino Linotype" w:cs="Palatino Linotype"/>
          <w:color w:val="000000" w:themeColor="text1"/>
        </w:rPr>
        <w:t xml:space="preserve"> el </w:t>
      </w:r>
      <w:r w:rsidRPr="00E71756">
        <w:rPr>
          <w:rFonts w:ascii="Palatino Linotype" w:eastAsia="Palatino Linotype" w:hAnsi="Palatino Linotype" w:cs="Palatino Linotype"/>
          <w:b/>
          <w:bCs/>
          <w:color w:val="000000" w:themeColor="text1"/>
        </w:rPr>
        <w:t>expediente</w:t>
      </w:r>
      <w:r w:rsidRPr="00E71756">
        <w:rPr>
          <w:rFonts w:ascii="Palatino Linotype" w:eastAsia="Palatino Linotype" w:hAnsi="Palatino Linotype" w:cs="Palatino Linotype"/>
          <w:color w:val="000000" w:themeColor="text1"/>
        </w:rPr>
        <w:t xml:space="preserve"> electrónico formado con motivo del recurso de revisión </w:t>
      </w:r>
      <w:r w:rsidRPr="00E71756">
        <w:rPr>
          <w:rFonts w:ascii="Palatino Linotype" w:eastAsia="Palatino Linotype" w:hAnsi="Palatino Linotype" w:cs="Palatino Linotype"/>
          <w:b/>
          <w:bCs/>
          <w:color w:val="000000" w:themeColor="text1"/>
        </w:rPr>
        <w:t>07643/INFOEM/IP/RR/2025</w:t>
      </w:r>
      <w:r w:rsidRPr="00E71756">
        <w:rPr>
          <w:rFonts w:ascii="Palatino Linotype" w:eastAsia="Palatino Linotype" w:hAnsi="Palatino Linotype" w:cs="Palatino Linotype"/>
          <w:color w:val="000000" w:themeColor="text1"/>
        </w:rPr>
        <w:t>,</w:t>
      </w:r>
      <w:r w:rsidRPr="00E71756">
        <w:rPr>
          <w:rFonts w:ascii="Palatino Linotype" w:eastAsia="Palatino Linotype" w:hAnsi="Palatino Linotype" w:cs="Palatino Linotype"/>
          <w:b/>
          <w:bCs/>
          <w:color w:val="000000" w:themeColor="text1"/>
        </w:rPr>
        <w:t xml:space="preserve"> </w:t>
      </w:r>
      <w:r w:rsidRPr="00E71756">
        <w:rPr>
          <w:rFonts w:ascii="Palatino Linotype" w:eastAsia="Palatino Linotype" w:hAnsi="Palatino Linotype" w:cs="Palatino Linotype"/>
          <w:color w:val="000000" w:themeColor="text1"/>
        </w:rPr>
        <w:t xml:space="preserve">promovido por </w:t>
      </w:r>
      <w:r w:rsidR="00B3452E">
        <w:rPr>
          <w:rFonts w:ascii="Palatino Linotype" w:eastAsia="Palatino Linotype" w:hAnsi="Palatino Linotype" w:cs="Palatino Linotype"/>
          <w:b/>
          <w:bCs/>
          <w:color w:val="000000" w:themeColor="text1"/>
        </w:rPr>
        <w:t>XXXX</w:t>
      </w:r>
      <w:r w:rsidRPr="00E71756">
        <w:rPr>
          <w:rFonts w:ascii="Palatino Linotype" w:eastAsia="Palatino Linotype" w:hAnsi="Palatino Linotype" w:cs="Palatino Linotype"/>
          <w:color w:val="000000" w:themeColor="text1"/>
        </w:rPr>
        <w:t xml:space="preserve">, a quien en lo sucesivo denominaremos </w:t>
      </w:r>
      <w:r w:rsidR="00DE5DA7" w:rsidRPr="00E71756">
        <w:rPr>
          <w:rFonts w:ascii="Palatino Linotype" w:eastAsia="Palatino Linotype" w:hAnsi="Palatino Linotype" w:cs="Palatino Linotype"/>
          <w:color w:val="000000" w:themeColor="text1"/>
        </w:rPr>
        <w:t xml:space="preserve">EL </w:t>
      </w:r>
      <w:r w:rsidRPr="00E71756">
        <w:rPr>
          <w:rFonts w:ascii="Palatino Linotype" w:eastAsia="Palatino Linotype" w:hAnsi="Palatino Linotype" w:cs="Palatino Linotype"/>
          <w:b/>
          <w:bCs/>
          <w:color w:val="000000" w:themeColor="text1"/>
        </w:rPr>
        <w:t>RECURRENTE</w:t>
      </w:r>
      <w:r w:rsidRPr="00E71756">
        <w:rPr>
          <w:rFonts w:ascii="Palatino Linotype" w:eastAsia="Palatino Linotype" w:hAnsi="Palatino Linotype" w:cs="Palatino Linotype"/>
          <w:color w:val="000000" w:themeColor="text1"/>
        </w:rPr>
        <w:t xml:space="preserve">, en contra de la respuesta del </w:t>
      </w:r>
      <w:r w:rsidR="00663E8D" w:rsidRPr="00E71756">
        <w:rPr>
          <w:rFonts w:ascii="Palatino Linotype" w:eastAsia="Palatino Linotype" w:hAnsi="Palatino Linotype" w:cs="Palatino Linotype"/>
          <w:b/>
          <w:bCs/>
          <w:color w:val="000000" w:themeColor="text1"/>
        </w:rPr>
        <w:t>Organismo Público Descentralizado Municipal para la Prestación de Los Servicios de Agua Potable Alcantarillado y Saneamiento de Cuautitlán Izcalli denominado OPERAGUA, O.P.D.M.</w:t>
      </w:r>
      <w:r w:rsidRPr="00E71756">
        <w:rPr>
          <w:rFonts w:ascii="Palatino Linotype" w:eastAsia="Palatino Linotype" w:hAnsi="Palatino Linotype" w:cs="Palatino Linotype"/>
          <w:b/>
          <w:bCs/>
          <w:color w:val="000000" w:themeColor="text1"/>
        </w:rPr>
        <w:t xml:space="preserve">, </w:t>
      </w:r>
      <w:r w:rsidRPr="00E71756">
        <w:rPr>
          <w:rFonts w:ascii="Palatino Linotype" w:eastAsia="Palatino Linotype" w:hAnsi="Palatino Linotype" w:cs="Palatino Linotype"/>
          <w:color w:val="000000" w:themeColor="text1"/>
        </w:rPr>
        <w:t>en adelante el</w:t>
      </w:r>
      <w:r w:rsidRPr="00E71756">
        <w:rPr>
          <w:rFonts w:ascii="Palatino Linotype" w:eastAsia="Palatino Linotype" w:hAnsi="Palatino Linotype" w:cs="Palatino Linotype"/>
          <w:b/>
          <w:bCs/>
          <w:color w:val="000000" w:themeColor="text1"/>
        </w:rPr>
        <w:t xml:space="preserve"> SUJETO OBLIGADO, </w:t>
      </w:r>
      <w:r w:rsidRPr="00E71756">
        <w:rPr>
          <w:rFonts w:ascii="Palatino Linotype" w:eastAsia="Palatino Linotype" w:hAnsi="Palatino Linotype" w:cs="Palatino Linotype"/>
          <w:color w:val="000000" w:themeColor="text1"/>
        </w:rPr>
        <w:t>se procede a dictar la presente resolución, c</w:t>
      </w:r>
      <w:bookmarkStart w:id="0" w:name="_GoBack"/>
      <w:bookmarkEnd w:id="0"/>
      <w:r w:rsidRPr="00E71756">
        <w:rPr>
          <w:rFonts w:ascii="Palatino Linotype" w:eastAsia="Palatino Linotype" w:hAnsi="Palatino Linotype" w:cs="Palatino Linotype"/>
          <w:color w:val="000000" w:themeColor="text1"/>
        </w:rPr>
        <w:t>on base en los siguientes:</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keepNext/>
        <w:keepLines/>
        <w:tabs>
          <w:tab w:val="left" w:pos="0"/>
        </w:tabs>
        <w:spacing w:before="240" w:after="240" w:line="360" w:lineRule="auto"/>
        <w:jc w:val="center"/>
        <w:rPr>
          <w:rFonts w:ascii="Palatino Linotype" w:eastAsia="Palatino Linotype" w:hAnsi="Palatino Linotype" w:cs="Palatino Linotype"/>
          <w:b/>
          <w:bCs/>
          <w:color w:val="000000" w:themeColor="text1"/>
        </w:rPr>
      </w:pPr>
      <w:bookmarkStart w:id="1" w:name="_heading=h.gjdgxs" w:colFirst="0" w:colLast="0"/>
      <w:bookmarkEnd w:id="1"/>
      <w:r w:rsidRPr="00DE5DA7">
        <w:rPr>
          <w:rFonts w:ascii="Palatino Linotype" w:eastAsia="Palatino Linotype" w:hAnsi="Palatino Linotype" w:cs="Palatino Linotype"/>
          <w:b/>
          <w:bCs/>
          <w:color w:val="000000" w:themeColor="text1"/>
        </w:rPr>
        <w:t>A N T E C E D E N T E S</w:t>
      </w:r>
    </w:p>
    <w:p w:rsidR="00407C73" w:rsidRPr="00DE5DA7" w:rsidRDefault="001B5844" w:rsidP="00DE5DA7">
      <w:pPr>
        <w:numPr>
          <w:ilvl w:val="0"/>
          <w:numId w:val="7"/>
        </w:numPr>
        <w:tabs>
          <w:tab w:val="left" w:pos="0"/>
        </w:tabs>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El </w:t>
      </w:r>
      <w:r w:rsidRPr="00DE5DA7">
        <w:rPr>
          <w:rFonts w:ascii="Palatino Linotype" w:eastAsia="Palatino Linotype" w:hAnsi="Palatino Linotype" w:cs="Palatino Linotype"/>
          <w:b/>
          <w:bCs/>
          <w:color w:val="000000" w:themeColor="text1"/>
        </w:rPr>
        <w:t>veinte de mayo dos mil veinticinco</w:t>
      </w:r>
      <w:r w:rsidRPr="00DE5DA7">
        <w:rPr>
          <w:rFonts w:ascii="Palatino Linotype" w:eastAsia="Palatino Linotype" w:hAnsi="Palatino Linotype" w:cs="Palatino Linotype"/>
          <w:color w:val="000000" w:themeColor="text1"/>
        </w:rPr>
        <w:t>, el</w:t>
      </w:r>
      <w:r w:rsidRPr="00DE5DA7">
        <w:rPr>
          <w:rFonts w:ascii="Palatino Linotype" w:eastAsia="Palatino Linotype" w:hAnsi="Palatino Linotype" w:cs="Palatino Linotype"/>
          <w:b/>
          <w:bCs/>
          <w:color w:val="000000" w:themeColor="text1"/>
        </w:rPr>
        <w:t xml:space="preserve"> RECURRENTE </w:t>
      </w:r>
      <w:r w:rsidRPr="00DE5DA7">
        <w:rPr>
          <w:rFonts w:ascii="Palatino Linotype" w:eastAsia="Palatino Linotype" w:hAnsi="Palatino Linotype" w:cs="Palatino Linotype"/>
          <w:color w:val="000000" w:themeColor="text1"/>
        </w:rPr>
        <w:t>presentó</w:t>
      </w:r>
      <w:r w:rsidRPr="00DE5DA7">
        <w:rPr>
          <w:rFonts w:ascii="Palatino Linotype" w:eastAsia="Palatino Linotype" w:hAnsi="Palatino Linotype" w:cs="Palatino Linotype"/>
          <w:b/>
          <w:bCs/>
          <w:color w:val="000000" w:themeColor="text1"/>
        </w:rPr>
        <w:t xml:space="preserve"> </w:t>
      </w:r>
      <w:r w:rsidRPr="00DE5DA7">
        <w:rPr>
          <w:rFonts w:ascii="Palatino Linotype" w:eastAsia="Palatino Linotype" w:hAnsi="Palatino Linotype" w:cs="Palatino Linotype"/>
          <w:color w:val="000000" w:themeColor="text1"/>
        </w:rPr>
        <w:t xml:space="preserve">ante el </w:t>
      </w:r>
      <w:r w:rsidRPr="00DE5DA7">
        <w:rPr>
          <w:rFonts w:ascii="Palatino Linotype" w:eastAsia="Palatino Linotype" w:hAnsi="Palatino Linotype" w:cs="Palatino Linotype"/>
          <w:b/>
          <w:bCs/>
          <w:color w:val="000000" w:themeColor="text1"/>
        </w:rPr>
        <w:t>SUJETO OBLIGADO,</w:t>
      </w:r>
      <w:r w:rsidRPr="00DE5DA7">
        <w:rPr>
          <w:rFonts w:ascii="Palatino Linotype" w:eastAsia="Palatino Linotype" w:hAnsi="Palatino Linotype" w:cs="Palatino Linotype"/>
          <w:color w:val="000000" w:themeColor="text1"/>
        </w:rPr>
        <w:t xml:space="preserve"> a través del Sistema de Acceso a la Información Mexiquense (SAIMEX), la solicitud de información pública registrada con el número </w:t>
      </w:r>
      <w:r w:rsidRPr="00DE5DA7">
        <w:rPr>
          <w:rFonts w:ascii="Palatino Linotype" w:eastAsia="Palatino Linotype" w:hAnsi="Palatino Linotype" w:cs="Palatino Linotype"/>
          <w:b/>
          <w:bCs/>
          <w:color w:val="000000" w:themeColor="text1"/>
        </w:rPr>
        <w:t> 00122/OASCUATIZC/IP/2025,</w:t>
      </w:r>
      <w:r w:rsidRPr="00DE5DA7">
        <w:rPr>
          <w:rFonts w:ascii="Palatino Linotype" w:eastAsia="Palatino Linotype" w:hAnsi="Palatino Linotype" w:cs="Palatino Linotype"/>
          <w:color w:val="000000" w:themeColor="text1"/>
        </w:rPr>
        <w:t xml:space="preserve"> </w:t>
      </w:r>
      <w:r w:rsidR="00021D14">
        <w:rPr>
          <w:rFonts w:ascii="Palatino Linotype" w:eastAsia="Palatino Linotype" w:hAnsi="Palatino Linotype" w:cs="Palatino Linotype"/>
          <w:color w:val="000000" w:themeColor="text1"/>
        </w:rPr>
        <w:t>en la que</w:t>
      </w:r>
      <w:r w:rsidRPr="00DE5DA7">
        <w:rPr>
          <w:rFonts w:ascii="Palatino Linotype" w:eastAsia="Palatino Linotype" w:hAnsi="Palatino Linotype" w:cs="Palatino Linotype"/>
          <w:color w:val="000000" w:themeColor="text1"/>
        </w:rPr>
        <w:t xml:space="preserve"> se solicitó:</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“Deseo saber quienes son los responsables de la Presidencia o su similar de OPERAGUA en el municipio de Cuautitlán Izcalli, así como todas y cada una de las Direcciones que se encuenten dentro de esta administración; solicitando que también se me haga saber a cuanto ascienden sus salarios; el personal que cuenta a sus cargo; el salario del personal; asi como todos los Curriculum Vitae; también el personal que se encuentra adscrito a su área, salario de todos y cada uno de los trabajadores , así </w:t>
      </w:r>
      <w:r w:rsidRPr="00DE5DA7">
        <w:rPr>
          <w:rFonts w:ascii="Palatino Linotype" w:eastAsia="Palatino Linotype" w:hAnsi="Palatino Linotype" w:cs="Palatino Linotype"/>
          <w:i/>
          <w:iCs/>
          <w:color w:val="000000" w:themeColor="text1"/>
        </w:rPr>
        <w:lastRenderedPageBreak/>
        <w:t>como el salario del funcionario que encabeza, las funciones que desempeña cada uno de los trabajadores de dicha dependencia, curriculum de todo el personal adscrito. Solicitando que la información que envien sea de manera clara sin tener dañados los archivos y de una manera eficaz y eficiente toda vez que la misma información ya realizaron la busqueda y la tiene con Ustedes. Tal cual lo hiceron con la información solicitada con anterioridad y con los numeros 00404/CUAUTIZC/IP/2025. “(Sic)</w:t>
      </w:r>
    </w:p>
    <w:p w:rsidR="00407C73" w:rsidRPr="00DE5DA7" w:rsidRDefault="00407C73" w:rsidP="00DE5DA7">
      <w:pPr>
        <w:jc w:val="both"/>
        <w:rPr>
          <w:rFonts w:ascii="Palatino Linotype" w:eastAsia="Palatino Linotype" w:hAnsi="Palatino Linotype" w:cs="Palatino Linotype"/>
          <w:i/>
          <w:iCs/>
          <w:color w:val="000000" w:themeColor="text1"/>
        </w:rPr>
      </w:pPr>
    </w:p>
    <w:p w:rsidR="00407C73" w:rsidRDefault="001B5844" w:rsidP="00DE5DA7">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DE5DA7">
        <w:rPr>
          <w:rFonts w:ascii="Palatino Linotype" w:eastAsia="Palatino Linotype" w:hAnsi="Palatino Linotype" w:cs="Palatino Linotype"/>
          <w:color w:val="000000" w:themeColor="text1"/>
        </w:rPr>
        <w:t xml:space="preserve">Modalidad de entrega de la información a través de </w:t>
      </w:r>
      <w:r w:rsidRPr="00DE5DA7">
        <w:rPr>
          <w:rFonts w:ascii="Palatino Linotype" w:eastAsia="Palatino Linotype" w:hAnsi="Palatino Linotype" w:cs="Palatino Linotype"/>
          <w:b/>
          <w:bCs/>
          <w:color w:val="000000" w:themeColor="text1"/>
        </w:rPr>
        <w:t>SAIMEX.</w:t>
      </w:r>
    </w:p>
    <w:p w:rsidR="00021D14" w:rsidRPr="00DE5DA7" w:rsidRDefault="00021D14" w:rsidP="00021D14">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407C73" w:rsidRPr="00DE5DA7" w:rsidRDefault="001B5844" w:rsidP="00DE5DA7">
      <w:pPr>
        <w:numPr>
          <w:ilvl w:val="0"/>
          <w:numId w:val="7"/>
        </w:numPr>
        <w:tabs>
          <w:tab w:val="left" w:pos="0"/>
        </w:tabs>
        <w:spacing w:line="360" w:lineRule="auto"/>
        <w:ind w:left="0" w:firstLine="0"/>
        <w:jc w:val="both"/>
        <w:rPr>
          <w:rFonts w:ascii="Palatino Linotype" w:eastAsia="Palatino Linotype" w:hAnsi="Palatino Linotype" w:cs="Palatino Linotype"/>
          <w:b/>
          <w:bCs/>
          <w:color w:val="000000" w:themeColor="text1"/>
        </w:rPr>
      </w:pPr>
      <w:bookmarkStart w:id="2" w:name="_heading=h.30j0zll" w:colFirst="0" w:colLast="0"/>
      <w:bookmarkEnd w:id="2"/>
      <w:r w:rsidRPr="00DE5DA7">
        <w:rPr>
          <w:rFonts w:ascii="Palatino Linotype" w:eastAsia="Palatino Linotype" w:hAnsi="Palatino Linotype" w:cs="Palatino Linotype"/>
          <w:color w:val="000000" w:themeColor="text1"/>
        </w:rPr>
        <w:t xml:space="preserve">El </w:t>
      </w:r>
      <w:r w:rsidRPr="00DE5DA7">
        <w:rPr>
          <w:rFonts w:ascii="Palatino Linotype" w:eastAsia="Palatino Linotype" w:hAnsi="Palatino Linotype" w:cs="Palatino Linotype"/>
          <w:b/>
          <w:bCs/>
          <w:color w:val="000000" w:themeColor="text1"/>
        </w:rPr>
        <w:t>cinco de junio de dos mil veinticinco</w:t>
      </w:r>
      <w:r w:rsidRPr="00DE5DA7">
        <w:rPr>
          <w:rFonts w:ascii="Palatino Linotype" w:eastAsia="Palatino Linotype" w:hAnsi="Palatino Linotype" w:cs="Palatino Linotype"/>
          <w:color w:val="000000" w:themeColor="text1"/>
        </w:rPr>
        <w:t xml:space="preserve">, el </w:t>
      </w:r>
      <w:r w:rsidRPr="00DE5DA7">
        <w:rPr>
          <w:rFonts w:ascii="Palatino Linotype" w:eastAsia="Palatino Linotype" w:hAnsi="Palatino Linotype" w:cs="Palatino Linotype"/>
          <w:b/>
          <w:bCs/>
          <w:color w:val="000000" w:themeColor="text1"/>
        </w:rPr>
        <w:t xml:space="preserve">SUJETO OBLIGADO </w:t>
      </w:r>
      <w:r w:rsidRPr="00DE5DA7">
        <w:rPr>
          <w:rFonts w:ascii="Palatino Linotype" w:eastAsia="Palatino Linotype" w:hAnsi="Palatino Linotype" w:cs="Palatino Linotype"/>
          <w:color w:val="000000" w:themeColor="text1"/>
        </w:rPr>
        <w:t>dio respuesta través del SAIMEX, a través de los archivos siguientes:</w:t>
      </w:r>
    </w:p>
    <w:p w:rsidR="00407C73" w:rsidRPr="00DE5DA7" w:rsidRDefault="001B5844" w:rsidP="00DE5DA7">
      <w:pPr>
        <w:tabs>
          <w:tab w:val="left" w:pos="709"/>
        </w:tabs>
        <w:spacing w:line="360" w:lineRule="auto"/>
        <w:jc w:val="both"/>
        <w:rPr>
          <w:rFonts w:ascii="Palatino Linotype" w:eastAsia="Palatino Linotype" w:hAnsi="Palatino Linotype" w:cs="Palatino Linotype"/>
          <w:b/>
          <w:bCs/>
          <w:color w:val="000000" w:themeColor="text1"/>
        </w:rPr>
      </w:pPr>
      <w:r w:rsidRPr="00DE5DA7">
        <w:rPr>
          <w:rFonts w:ascii="Palatino Linotype" w:eastAsia="Palatino Linotype" w:hAnsi="Palatino Linotype" w:cs="Palatino Linotype"/>
          <w:b/>
          <w:bCs/>
          <w:color w:val="000000" w:themeColor="text1"/>
        </w:rPr>
        <w:t>•</w:t>
      </w:r>
      <w:r w:rsidRPr="00DE5DA7">
        <w:rPr>
          <w:rFonts w:ascii="Palatino Linotype" w:eastAsia="Palatino Linotype" w:hAnsi="Palatino Linotype" w:cs="Palatino Linotype"/>
          <w:b/>
          <w:bCs/>
          <w:color w:val="000000" w:themeColor="text1"/>
        </w:rPr>
        <w:tab/>
      </w:r>
      <w:hyperlink r:id="rId8">
        <w:r w:rsidRPr="00DE5DA7">
          <w:rPr>
            <w:rFonts w:ascii="Palatino Linotype" w:eastAsia="Palatino Linotype" w:hAnsi="Palatino Linotype" w:cs="Palatino Linotype"/>
            <w:b/>
            <w:bCs/>
            <w:color w:val="000000" w:themeColor="text1"/>
          </w:rPr>
          <w:t>RESPUESTA ADMNISTRACIÓN Y FINANZAS SAIMEX 00122-OASCUATIZC-IP-2025.pdf</w:t>
        </w:r>
      </w:hyperlink>
    </w:p>
    <w:p w:rsidR="00407C73" w:rsidRPr="00DE5DA7" w:rsidRDefault="00407C73" w:rsidP="00DE5DA7">
      <w:pPr>
        <w:tabs>
          <w:tab w:val="left" w:pos="709"/>
        </w:tabs>
        <w:spacing w:line="276" w:lineRule="auto"/>
        <w:jc w:val="both"/>
        <w:rPr>
          <w:rFonts w:ascii="Palatino Linotype" w:eastAsia="Palatino Linotype" w:hAnsi="Palatino Linotype" w:cs="Palatino Linotype"/>
          <w:color w:val="000000" w:themeColor="text1"/>
        </w:rPr>
      </w:pPr>
    </w:p>
    <w:p w:rsidR="00407C73" w:rsidRPr="00DE5DA7" w:rsidRDefault="001B5844" w:rsidP="00DE5DA7">
      <w:pPr>
        <w:tabs>
          <w:tab w:val="left" w:pos="709"/>
        </w:tabs>
        <w:spacing w:line="276"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Oficio No.: DG/DAF/0251/2025, firmado por el TITULAR DE LA DIRECCIÓN DE ADMINISTRACIÓN Y FINANZAS DEL ORGANISMO PÚBLICO DESCENTRALIZADO PARA LA PRESTACIÓN DE SERVICIOS DE AGUA POTABLE, ALCANTARILLADO Y SANEAMIENTO DEL MUNICIPIO DE CUAUTITLÁN IZCALLI, DENOMINADO OPERAGUAIZCALLI, O.P.D.M., por el que informó que: </w:t>
      </w:r>
    </w:p>
    <w:p w:rsidR="00407C73" w:rsidRPr="00DE5DA7" w:rsidRDefault="00407C73" w:rsidP="00DE5DA7">
      <w:pPr>
        <w:tabs>
          <w:tab w:val="left" w:pos="709"/>
        </w:tabs>
        <w:spacing w:line="276" w:lineRule="auto"/>
        <w:jc w:val="both"/>
        <w:rPr>
          <w:rFonts w:ascii="Palatino Linotype" w:eastAsia="Palatino Linotype" w:hAnsi="Palatino Linotype" w:cs="Palatino Linotype"/>
          <w:color w:val="000000" w:themeColor="text1"/>
        </w:rPr>
      </w:pPr>
    </w:p>
    <w:p w:rsidR="00407C73" w:rsidRPr="00DE5DA7" w:rsidRDefault="001B5844" w:rsidP="00DE5DA7">
      <w:pPr>
        <w:tabs>
          <w:tab w:val="left" w:pos="709"/>
        </w:tabs>
        <w:spacing w:line="276"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w:t>
      </w:r>
    </w:p>
    <w:p w:rsidR="00407C73" w:rsidRPr="00DE5DA7" w:rsidRDefault="00407C73" w:rsidP="00DE5DA7">
      <w:pPr>
        <w:tabs>
          <w:tab w:val="left" w:pos="709"/>
        </w:tabs>
        <w:spacing w:line="276" w:lineRule="auto"/>
        <w:jc w:val="both"/>
        <w:rPr>
          <w:rFonts w:ascii="Palatino Linotype" w:eastAsia="Palatino Linotype" w:hAnsi="Palatino Linotype" w:cs="Palatino Linotype"/>
          <w:i/>
          <w:iCs/>
          <w:color w:val="000000" w:themeColor="text1"/>
        </w:rPr>
      </w:pPr>
    </w:p>
    <w:p w:rsidR="00407C73" w:rsidRPr="00DE5DA7" w:rsidRDefault="001B5844" w:rsidP="00DE5DA7">
      <w:pPr>
        <w:tabs>
          <w:tab w:val="left" w:pos="709"/>
        </w:tabs>
        <w:spacing w:line="276"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 1. La información referente a todas la Direcciones que se encuentren dentro de esta administración, así como las funciones que desempeñan cada uno de los trabajadores de dicha dependencia, se podrá consultar en el apartado de Normatividad Laboral de la Plataforma del Sistema de Información Pública de Oficio Mexiquense (IPOMEX) de este Sujeto Obligado, al cual tiene acceso de una forma directa y simplificada mediante hipervínculo electrónico siguiente: </w:t>
      </w:r>
    </w:p>
    <w:p w:rsidR="00407C73" w:rsidRPr="00DE5DA7" w:rsidRDefault="00407C73" w:rsidP="00DE5DA7">
      <w:pPr>
        <w:tabs>
          <w:tab w:val="left" w:pos="709"/>
        </w:tabs>
        <w:spacing w:line="276" w:lineRule="auto"/>
        <w:jc w:val="both"/>
        <w:rPr>
          <w:rFonts w:ascii="Palatino Linotype" w:eastAsia="Palatino Linotype" w:hAnsi="Palatino Linotype" w:cs="Palatino Linotype"/>
          <w:color w:val="000000" w:themeColor="text1"/>
        </w:rPr>
      </w:pPr>
    </w:p>
    <w:p w:rsidR="00407C73" w:rsidRPr="00DE5DA7" w:rsidRDefault="001B5844" w:rsidP="00DE5DA7">
      <w:pPr>
        <w:tabs>
          <w:tab w:val="left" w:pos="709"/>
        </w:tabs>
        <w:spacing w:line="276"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lastRenderedPageBreak/>
        <w:t>Proporciona las instrucciones y/o guía para consultar la información solicitada, sin embargo se proporcionaron en formato cerrado.</w:t>
      </w:r>
    </w:p>
    <w:p w:rsidR="00407C73" w:rsidRPr="00DE5DA7" w:rsidRDefault="00407C73" w:rsidP="00DE5DA7">
      <w:pPr>
        <w:tabs>
          <w:tab w:val="left" w:pos="709"/>
        </w:tabs>
        <w:spacing w:line="276"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7"/>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bCs/>
          <w:color w:val="000000" w:themeColor="text1"/>
        </w:rPr>
      </w:pPr>
      <w:r w:rsidRPr="00DE5DA7">
        <w:rPr>
          <w:rFonts w:ascii="Palatino Linotype" w:eastAsia="Palatino Linotype" w:hAnsi="Palatino Linotype" w:cs="Palatino Linotype"/>
          <w:color w:val="000000" w:themeColor="text1"/>
        </w:rPr>
        <w:t xml:space="preserve">El </w:t>
      </w:r>
      <w:r w:rsidRPr="00DE5DA7">
        <w:rPr>
          <w:rFonts w:ascii="Palatino Linotype" w:eastAsia="Palatino Linotype" w:hAnsi="Palatino Linotype" w:cs="Palatino Linotype"/>
          <w:b/>
          <w:bCs/>
          <w:color w:val="000000" w:themeColor="text1"/>
        </w:rPr>
        <w:t>veintitrés de junio de dos mil veinticinco,</w:t>
      </w:r>
      <w:r w:rsidRPr="00DE5DA7">
        <w:rPr>
          <w:rFonts w:ascii="Palatino Linotype" w:eastAsia="Palatino Linotype" w:hAnsi="Palatino Linotype" w:cs="Palatino Linotype"/>
          <w:color w:val="000000" w:themeColor="text1"/>
        </w:rPr>
        <w:t xml:space="preserve"> el </w:t>
      </w:r>
      <w:r w:rsidRPr="00DE5DA7">
        <w:rPr>
          <w:rFonts w:ascii="Palatino Linotype" w:eastAsia="Palatino Linotype" w:hAnsi="Palatino Linotype" w:cs="Palatino Linotype"/>
          <w:b/>
          <w:bCs/>
          <w:color w:val="000000" w:themeColor="text1"/>
        </w:rPr>
        <w:t xml:space="preserve">RECURRENTE </w:t>
      </w:r>
      <w:r w:rsidRPr="00DE5DA7">
        <w:rPr>
          <w:rFonts w:ascii="Palatino Linotype" w:eastAsia="Palatino Linotype" w:hAnsi="Palatino Linotype" w:cs="Palatino Linotype"/>
          <w:color w:val="000000" w:themeColor="text1"/>
        </w:rPr>
        <w:t>interpuso el recurso de revisión, señalando como:</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021D14" w:rsidRDefault="00021D14" w:rsidP="00021D14">
      <w:pPr>
        <w:pStyle w:val="Prrafodelista"/>
        <w:numPr>
          <w:ilvl w:val="0"/>
          <w:numId w:val="14"/>
        </w:numPr>
        <w:jc w:val="both"/>
        <w:rPr>
          <w:rFonts w:ascii="Palatino Linotype" w:eastAsia="Palatino Linotype" w:hAnsi="Palatino Linotype" w:cs="Palatino Linotype"/>
          <w:b/>
          <w:bCs/>
          <w:color w:val="000000" w:themeColor="text1"/>
        </w:rPr>
      </w:pPr>
      <w:r w:rsidRPr="00021D14">
        <w:rPr>
          <w:rFonts w:ascii="Palatino Linotype" w:eastAsia="Palatino Linotype" w:hAnsi="Palatino Linotype" w:cs="Palatino Linotype"/>
          <w:b/>
          <w:bCs/>
          <w:color w:val="000000" w:themeColor="text1"/>
        </w:rPr>
        <w:t xml:space="preserve">ACTO IMPUGNADO </w:t>
      </w:r>
    </w:p>
    <w:p w:rsidR="00407C73" w:rsidRPr="00DE5DA7" w:rsidRDefault="00407C73" w:rsidP="00DE5DA7">
      <w:pPr>
        <w:jc w:val="both"/>
        <w:rPr>
          <w:rFonts w:ascii="Palatino Linotype" w:eastAsia="Palatino Linotype" w:hAnsi="Palatino Linotype" w:cs="Palatino Linotype"/>
          <w:i/>
          <w:iCs/>
          <w:color w:val="000000" w:themeColor="text1"/>
        </w:rPr>
      </w:pPr>
    </w:p>
    <w:p w:rsidR="00407C73" w:rsidRPr="00DE5DA7" w:rsidRDefault="001B5844" w:rsidP="00DE5DA7">
      <w:pP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 “RECURSO DE REVISIÓN en contra de la respuesta a la solicitud 00122/OASCUAUTIZC/IP/2025 de fecha 05 de junio del año 2025, en la cual el Organismo Público Descentralizado Municipal para la Prestación de los Servicios de Agua Potable, Alcantarillado y Saneamiento de Cuautitlán Izcalli denominado OPERAGUA por siglas O.P.D.M.” (Sic)</w:t>
      </w:r>
    </w:p>
    <w:p w:rsidR="00407C73" w:rsidRPr="00DE5DA7" w:rsidRDefault="00407C73" w:rsidP="00DE5DA7">
      <w:pPr>
        <w:jc w:val="both"/>
        <w:rPr>
          <w:rFonts w:ascii="Palatino Linotype" w:eastAsia="Palatino Linotype" w:hAnsi="Palatino Linotype" w:cs="Palatino Linotype"/>
          <w:b/>
          <w:bCs/>
          <w:color w:val="000000" w:themeColor="text1"/>
        </w:rPr>
      </w:pPr>
    </w:p>
    <w:p w:rsidR="00407C73" w:rsidRPr="00021D14" w:rsidRDefault="00021D14" w:rsidP="00021D14">
      <w:pPr>
        <w:pStyle w:val="Prrafodelista"/>
        <w:numPr>
          <w:ilvl w:val="0"/>
          <w:numId w:val="14"/>
        </w:numPr>
        <w:jc w:val="both"/>
        <w:rPr>
          <w:rFonts w:ascii="Palatino Linotype" w:eastAsia="Palatino Linotype" w:hAnsi="Palatino Linotype" w:cs="Palatino Linotype"/>
          <w:b/>
          <w:bCs/>
          <w:color w:val="000000" w:themeColor="text1"/>
        </w:rPr>
      </w:pPr>
      <w:r w:rsidRPr="00021D14">
        <w:rPr>
          <w:rFonts w:ascii="Palatino Linotype" w:eastAsia="Palatino Linotype" w:hAnsi="Palatino Linotype" w:cs="Palatino Linotype"/>
          <w:b/>
          <w:bCs/>
          <w:color w:val="000000" w:themeColor="text1"/>
        </w:rPr>
        <w:t>RAZONES O MOTIVOS DE INCONFORMIDAD</w:t>
      </w:r>
    </w:p>
    <w:p w:rsidR="00407C73" w:rsidRPr="00DE5DA7" w:rsidRDefault="00407C73" w:rsidP="00DE5DA7">
      <w:pPr>
        <w:jc w:val="both"/>
        <w:rPr>
          <w:rFonts w:ascii="Palatino Linotype" w:eastAsia="Palatino Linotype" w:hAnsi="Palatino Linotype" w:cs="Palatino Linotype"/>
          <w:b/>
          <w:bCs/>
          <w:color w:val="000000" w:themeColor="text1"/>
        </w:rPr>
      </w:pPr>
    </w:p>
    <w:p w:rsidR="00407C73" w:rsidRPr="00DE5DA7" w:rsidRDefault="001B5844" w:rsidP="00DE5DA7">
      <w:pP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“OMITE LA ENTREGA DE LA INFORMACIÓN “ (Sic)</w:t>
      </w:r>
    </w:p>
    <w:p w:rsidR="00407C73" w:rsidRPr="00DE5DA7" w:rsidRDefault="00407C73" w:rsidP="00DE5DA7">
      <w:pPr>
        <w:jc w:val="both"/>
        <w:rPr>
          <w:rFonts w:ascii="Palatino Linotype" w:eastAsia="Palatino Linotype" w:hAnsi="Palatino Linotype" w:cs="Palatino Linotype"/>
          <w:i/>
          <w:iCs/>
          <w:color w:val="000000" w:themeColor="text1"/>
        </w:rPr>
      </w:pPr>
    </w:p>
    <w:p w:rsidR="00021D14" w:rsidRDefault="001B5844" w:rsidP="00DE5DA7">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Posteriormente, la Comisionada Ponente con fundamento en lo dispuesto por el artículo 185, fracción II, de la Ley de la materia, a través del </w:t>
      </w:r>
      <w:r w:rsidRPr="00DE5DA7">
        <w:rPr>
          <w:rFonts w:ascii="Palatino Linotype" w:eastAsia="Palatino Linotype" w:hAnsi="Palatino Linotype" w:cs="Palatino Linotype"/>
          <w:b/>
          <w:bCs/>
          <w:color w:val="000000" w:themeColor="text1"/>
        </w:rPr>
        <w:t>acuerdo de admisión de primero de julio de dos mil veinticinco</w:t>
      </w:r>
      <w:r w:rsidRPr="00DE5DA7">
        <w:rPr>
          <w:rFonts w:ascii="Palatino Linotype" w:eastAsia="Palatino Linotype" w:hAnsi="Palatino Linotype" w:cs="Palatino Linotype"/>
          <w:color w:val="000000" w:themeColor="text1"/>
        </w:rPr>
        <w:t xml:space="preserve">, puso a disposición de las partes el expediente electrónico vía </w:t>
      </w:r>
      <w:r w:rsidRPr="00DE5DA7">
        <w:rPr>
          <w:rFonts w:ascii="Palatino Linotype" w:eastAsia="Palatino Linotype" w:hAnsi="Palatino Linotype" w:cs="Palatino Linotype"/>
          <w:b/>
          <w:bCs/>
          <w:color w:val="000000" w:themeColor="text1"/>
        </w:rPr>
        <w:t xml:space="preserve">SAIMEX </w:t>
      </w:r>
      <w:r w:rsidRPr="00DE5DA7">
        <w:rPr>
          <w:rFonts w:ascii="Palatino Linotype" w:eastAsia="Palatino Linotype" w:hAnsi="Palatino Linotype" w:cs="Palatino Linotype"/>
          <w:color w:val="000000" w:themeColor="text1"/>
        </w:rPr>
        <w:t xml:space="preserve">a efecto de que en un plazo máximo de siete días manifestara lo que a derecho conviniera, ofreciera pruebas y alegatos según corresponda al caso concreto, de esta forma para que el </w:t>
      </w:r>
      <w:r w:rsidRPr="00DE5DA7">
        <w:rPr>
          <w:rFonts w:ascii="Palatino Linotype" w:eastAsia="Palatino Linotype" w:hAnsi="Palatino Linotype" w:cs="Palatino Linotype"/>
          <w:b/>
          <w:bCs/>
          <w:color w:val="000000" w:themeColor="text1"/>
        </w:rPr>
        <w:t>SUJETO OBLIGADO</w:t>
      </w:r>
      <w:r w:rsidRPr="00DE5DA7">
        <w:rPr>
          <w:rFonts w:ascii="Palatino Linotype" w:eastAsia="Palatino Linotype" w:hAnsi="Palatino Linotype" w:cs="Palatino Linotype"/>
          <w:color w:val="000000" w:themeColor="text1"/>
        </w:rPr>
        <w:t xml:space="preserve"> presentará el informe justificado procedente.</w:t>
      </w:r>
    </w:p>
    <w:p w:rsidR="00407C73" w:rsidRPr="00DE5DA7" w:rsidRDefault="001B5844" w:rsidP="00021D14">
      <w:pPr>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 </w:t>
      </w:r>
    </w:p>
    <w:p w:rsidR="00407C73" w:rsidRPr="00E71756" w:rsidRDefault="001B5844" w:rsidP="00DE5DA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71756">
        <w:rPr>
          <w:rFonts w:ascii="Palatino Linotype" w:eastAsia="Palatino Linotype" w:hAnsi="Palatino Linotype" w:cs="Palatino Linotype"/>
          <w:color w:val="000000" w:themeColor="text1"/>
        </w:rPr>
        <w:t xml:space="preserve">Por su parte el </w:t>
      </w:r>
      <w:r w:rsidRPr="00E71756">
        <w:rPr>
          <w:rFonts w:ascii="Palatino Linotype" w:eastAsia="Palatino Linotype" w:hAnsi="Palatino Linotype" w:cs="Palatino Linotype"/>
          <w:b/>
          <w:bCs/>
          <w:color w:val="000000" w:themeColor="text1"/>
        </w:rPr>
        <w:t>Sujeto Obligado</w:t>
      </w:r>
      <w:r w:rsidRPr="00E71756">
        <w:rPr>
          <w:rFonts w:ascii="Palatino Linotype" w:eastAsia="Palatino Linotype" w:hAnsi="Palatino Linotype" w:cs="Palatino Linotype"/>
          <w:color w:val="000000" w:themeColor="text1"/>
        </w:rPr>
        <w:t xml:space="preserve"> en fecha </w:t>
      </w:r>
      <w:r w:rsidRPr="00E71756">
        <w:rPr>
          <w:rFonts w:ascii="Palatino Linotype" w:eastAsia="Palatino Linotype" w:hAnsi="Palatino Linotype" w:cs="Palatino Linotype"/>
          <w:b/>
          <w:color w:val="000000" w:themeColor="text1"/>
        </w:rPr>
        <w:t>cuatro de julio de dos mil veinticinco</w:t>
      </w:r>
      <w:r w:rsidR="00663E8D" w:rsidRPr="00E71756">
        <w:rPr>
          <w:rFonts w:ascii="Palatino Linotype" w:eastAsia="Palatino Linotype" w:hAnsi="Palatino Linotype" w:cs="Palatino Linotype"/>
          <w:color w:val="000000" w:themeColor="text1"/>
        </w:rPr>
        <w:t xml:space="preserve"> rindió informe justificado mediante el archivo siguiente:</w:t>
      </w:r>
    </w:p>
    <w:p w:rsidR="00407C73" w:rsidRPr="00DE5DA7"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pBdr>
          <w:top w:val="nil"/>
          <w:left w:val="nil"/>
          <w:bottom w:val="nil"/>
          <w:right w:val="nil"/>
          <w:between w:val="nil"/>
        </w:pBdr>
        <w:spacing w:after="280" w:line="276"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lastRenderedPageBreak/>
        <w:tab/>
        <w:t>07643-INFOEM-IP-RR-2025 SAIMEX 00122 MANIFESTACIONES.pdf</w:t>
      </w:r>
      <w:r w:rsidRPr="00DE5DA7">
        <w:rPr>
          <w:rFonts w:ascii="Palatino Linotype" w:eastAsia="Palatino Linotype" w:hAnsi="Palatino Linotype" w:cs="Palatino Linotype"/>
          <w:i/>
          <w:iCs/>
          <w:color w:val="000000" w:themeColor="text1"/>
        </w:rPr>
        <w:t xml:space="preserve">: </w:t>
      </w:r>
    </w:p>
    <w:p w:rsidR="00407C73" w:rsidRPr="00DE5DA7" w:rsidRDefault="001B5844" w:rsidP="00DE5DA7">
      <w:pPr>
        <w:spacing w:after="280" w:line="276"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color w:val="000000" w:themeColor="text1"/>
        </w:rPr>
        <w:t xml:space="preserve">Oficio firmado por el TITULAR DE LA DIRECCIÓN DE ADMINISTRACIÓN Y FINANZAS BEL ORGANISMO PÚBLICO DESCENTRALIZADO PARA LA PRESTACIÓN DE SERVIČIOS-DE AGUA POTABLE, ALCANTARILLADO Y SANEAMIENTO DEL MUNICIPIO DE CUAUTITLÁN IZCALLI, DENOMINADO OPERAGUA IZCALLI, O.P.D.M, por el que informo que,: </w:t>
      </w:r>
      <w:r w:rsidRPr="00DE5DA7">
        <w:rPr>
          <w:rFonts w:ascii="Palatino Linotype" w:eastAsia="Palatino Linotype" w:hAnsi="Palatino Linotype" w:cs="Palatino Linotype"/>
          <w:i/>
          <w:iCs/>
          <w:color w:val="000000" w:themeColor="text1"/>
        </w:rPr>
        <w:t>en atención al recurso de revisión 07643/INFOEM/IP/RR/2025, adjunto remito el oficio DAF/CA/177/2025, suscrito por la C. María Mateo Narcizo, Titular de la Coordinación de Administración de OPERAGUA IZCALLI, O.P.D.M., área facultada para brindar atención al recurso de revisión en cita.</w:t>
      </w:r>
    </w:p>
    <w:p w:rsidR="00407C73" w:rsidRPr="00DE5DA7" w:rsidRDefault="001B5844" w:rsidP="00DE5DA7">
      <w:pPr>
        <w:spacing w:after="280" w:line="276"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Informe Justificado, firmado por la COORDINADORA DE </w:t>
      </w:r>
      <w:r w:rsidR="00DE5DA7" w:rsidRPr="00DE5DA7">
        <w:rPr>
          <w:rFonts w:ascii="Palatino Linotype" w:eastAsia="Palatino Linotype" w:hAnsi="Palatino Linotype" w:cs="Palatino Linotype"/>
          <w:color w:val="000000" w:themeColor="text1"/>
        </w:rPr>
        <w:t>ADMINISTRACION DE</w:t>
      </w:r>
      <w:r w:rsidRPr="00DE5DA7">
        <w:rPr>
          <w:rFonts w:ascii="Palatino Linotype" w:eastAsia="Palatino Linotype" w:hAnsi="Palatino Linotype" w:cs="Palatino Linotype"/>
          <w:color w:val="000000" w:themeColor="text1"/>
        </w:rPr>
        <w:t xml:space="preserve"> "OPERAGUA IZCALLI, O.P.D.M.", por el que </w:t>
      </w:r>
    </w:p>
    <w:p w:rsidR="00407C73" w:rsidRPr="00DE5DA7"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El </w:t>
      </w:r>
      <w:r w:rsidRPr="00DE5DA7">
        <w:rPr>
          <w:rFonts w:ascii="Palatino Linotype" w:eastAsia="Palatino Linotype" w:hAnsi="Palatino Linotype" w:cs="Palatino Linotype"/>
          <w:b/>
          <w:bCs/>
          <w:color w:val="000000" w:themeColor="text1"/>
        </w:rPr>
        <w:t xml:space="preserve">RECURRENTE, </w:t>
      </w:r>
      <w:r w:rsidRPr="00DE5DA7">
        <w:rPr>
          <w:rFonts w:ascii="Palatino Linotype" w:eastAsia="Palatino Linotype" w:hAnsi="Palatino Linotype" w:cs="Palatino Linotype"/>
          <w:color w:val="000000" w:themeColor="text1"/>
        </w:rPr>
        <w:t xml:space="preserve">fue omiso en realizar manifestaciones conforme a su derecho conviniera y asistiera. </w:t>
      </w: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DE5DA7">
        <w:rPr>
          <w:rFonts w:ascii="Palatino Linotype" w:eastAsia="Palatino Linotype" w:hAnsi="Palatino Linotype" w:cs="Palatino Linotype"/>
          <w:color w:val="000000" w:themeColor="text1"/>
        </w:rPr>
        <w:t xml:space="preserve">El </w:t>
      </w:r>
      <w:r w:rsidRPr="00DE5DA7">
        <w:rPr>
          <w:rFonts w:ascii="Palatino Linotype" w:eastAsia="Palatino Linotype" w:hAnsi="Palatino Linotype" w:cs="Palatino Linotype"/>
          <w:b/>
          <w:bCs/>
          <w:color w:val="000000" w:themeColor="text1"/>
        </w:rPr>
        <w:t>diecisiete de diciembre de dos mil veinticinco</w:t>
      </w:r>
      <w:r w:rsidRPr="00DE5DA7">
        <w:rPr>
          <w:rFonts w:ascii="Palatino Linotype" w:eastAsia="Palatino Linotype" w:hAnsi="Palatino Linotype" w:cs="Palatino Linotype"/>
          <w:color w:val="000000" w:themeColor="text1"/>
        </w:rPr>
        <w:t>, se acordó ampliar el término para resolver el presente asunto.</w:t>
      </w:r>
    </w:p>
    <w:p w:rsidR="00407C73" w:rsidRPr="00DE5DA7" w:rsidRDefault="00407C73" w:rsidP="00DE5DA7">
      <w:pPr>
        <w:pBdr>
          <w:top w:val="nil"/>
          <w:left w:val="nil"/>
          <w:bottom w:val="nil"/>
          <w:right w:val="nil"/>
          <w:between w:val="nil"/>
        </w:pBdr>
        <w:rPr>
          <w:rFonts w:ascii="Palatino Linotype" w:eastAsia="Palatino Linotype" w:hAnsi="Palatino Linotype" w:cs="Palatino Linotype"/>
          <w:b/>
          <w:bCs/>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lastRenderedPageBreak/>
        <w:t xml:space="preserve">La Comisionada Ponente decretó el cierre de instrucción mediante el acuerdo del </w:t>
      </w:r>
      <w:r w:rsidRPr="00DE5DA7">
        <w:rPr>
          <w:rFonts w:ascii="Palatino Linotype" w:eastAsia="Palatino Linotype" w:hAnsi="Palatino Linotype" w:cs="Palatino Linotype"/>
          <w:b/>
          <w:bCs/>
          <w:color w:val="000000" w:themeColor="text1"/>
        </w:rPr>
        <w:t xml:space="preserve">diecisiete de </w:t>
      </w:r>
      <w:r w:rsidR="00DE5DA7" w:rsidRPr="00DE5DA7">
        <w:rPr>
          <w:rFonts w:ascii="Palatino Linotype" w:eastAsia="Palatino Linotype" w:hAnsi="Palatino Linotype" w:cs="Palatino Linotype"/>
          <w:b/>
          <w:bCs/>
          <w:color w:val="000000" w:themeColor="text1"/>
        </w:rPr>
        <w:t>diciembre de</w:t>
      </w:r>
      <w:r w:rsidRPr="00DE5DA7">
        <w:rPr>
          <w:rFonts w:ascii="Palatino Linotype" w:eastAsia="Palatino Linotype" w:hAnsi="Palatino Linotype" w:cs="Palatino Linotype"/>
          <w:b/>
          <w:bCs/>
          <w:color w:val="000000" w:themeColor="text1"/>
        </w:rPr>
        <w:t xml:space="preserve"> dos mil veinticinco</w:t>
      </w:r>
      <w:r w:rsidRPr="00DE5DA7">
        <w:rPr>
          <w:rFonts w:ascii="Palatino Linotype" w:eastAsia="Palatino Linotype" w:hAnsi="Palatino Linotype" w:cs="Palatino Linotype"/>
          <w:color w:val="000000" w:themeColor="text1"/>
        </w:rPr>
        <w:t xml:space="preserve">. </w:t>
      </w:r>
    </w:p>
    <w:p w:rsidR="00407C73" w:rsidRPr="00DE5DA7" w:rsidRDefault="00407C73" w:rsidP="00DE5DA7">
      <w:pPr>
        <w:tabs>
          <w:tab w:val="left" w:pos="426"/>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spacing w:line="360" w:lineRule="auto"/>
        <w:jc w:val="center"/>
        <w:rPr>
          <w:rFonts w:ascii="Palatino Linotype" w:eastAsia="Palatino Linotype" w:hAnsi="Palatino Linotype" w:cs="Palatino Linotype"/>
          <w:b/>
          <w:bCs/>
          <w:color w:val="000000" w:themeColor="text1"/>
        </w:rPr>
      </w:pPr>
      <w:bookmarkStart w:id="3" w:name="_heading=h.4d6ea31soxgu" w:colFirst="0" w:colLast="0"/>
      <w:bookmarkEnd w:id="3"/>
      <w:r w:rsidRPr="00DE5DA7">
        <w:rPr>
          <w:rFonts w:ascii="Palatino Linotype" w:eastAsia="Palatino Linotype" w:hAnsi="Palatino Linotype" w:cs="Palatino Linotype"/>
          <w:b/>
          <w:bCs/>
          <w:color w:val="000000" w:themeColor="text1"/>
        </w:rPr>
        <w:t>C O N S I D E R A N D O S</w:t>
      </w:r>
    </w:p>
    <w:p w:rsidR="00407C73" w:rsidRPr="00DE5DA7" w:rsidRDefault="001B5844" w:rsidP="00DE5DA7">
      <w:pPr>
        <w:pStyle w:val="Ttulo2"/>
        <w:spacing w:before="0" w:line="360" w:lineRule="auto"/>
        <w:rPr>
          <w:rFonts w:ascii="Palatino Linotype" w:eastAsia="Palatino Linotype" w:hAnsi="Palatino Linotype" w:cs="Palatino Linotype"/>
          <w:b/>
          <w:bCs/>
          <w:color w:val="000000" w:themeColor="text1"/>
          <w:sz w:val="24"/>
          <w:szCs w:val="24"/>
        </w:rPr>
      </w:pPr>
      <w:r w:rsidRPr="00DE5DA7">
        <w:rPr>
          <w:rFonts w:ascii="Palatino Linotype" w:eastAsia="Palatino Linotype" w:hAnsi="Palatino Linotype" w:cs="Palatino Linotype"/>
          <w:b/>
          <w:bCs/>
          <w:color w:val="000000" w:themeColor="text1"/>
          <w:sz w:val="24"/>
          <w:szCs w:val="24"/>
        </w:rPr>
        <w:t>PRIMERO. De la competencia</w:t>
      </w: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407C73" w:rsidRPr="00DE5DA7"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pStyle w:val="Ttulo2"/>
        <w:spacing w:before="0" w:line="360" w:lineRule="auto"/>
        <w:rPr>
          <w:rFonts w:ascii="Palatino Linotype" w:eastAsia="Palatino Linotype" w:hAnsi="Palatino Linotype" w:cs="Palatino Linotype"/>
          <w:b/>
          <w:bCs/>
          <w:color w:val="000000" w:themeColor="text1"/>
          <w:sz w:val="24"/>
          <w:szCs w:val="24"/>
        </w:rPr>
      </w:pPr>
      <w:bookmarkStart w:id="4" w:name="_heading=h.xc7e5sh309kz" w:colFirst="0" w:colLast="0"/>
      <w:bookmarkEnd w:id="4"/>
      <w:r w:rsidRPr="00DE5DA7">
        <w:rPr>
          <w:rFonts w:ascii="Palatino Linotype" w:eastAsia="Palatino Linotype" w:hAnsi="Palatino Linotype" w:cs="Palatino Linotype"/>
          <w:b/>
          <w:bCs/>
          <w:color w:val="000000" w:themeColor="text1"/>
          <w:sz w:val="24"/>
          <w:szCs w:val="24"/>
        </w:rPr>
        <w:t>SEGUNDO. De la oportunidad y procedencia.</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hAnsi="Palatino Linotype"/>
          <w:color w:val="000000" w:themeColor="text1"/>
        </w:rPr>
      </w:pPr>
      <w:r w:rsidRPr="00DE5DA7">
        <w:rPr>
          <w:rFonts w:ascii="Palatino Linotype" w:eastAsia="Palatino Linotype" w:hAnsi="Palatino Linotype" w:cs="Palatino Linotype"/>
          <w:color w:val="000000" w:themeColor="text1"/>
        </w:rPr>
        <w:t xml:space="preserve">Los medios de impugnación fueron presentados a través del </w:t>
      </w:r>
      <w:r w:rsidRPr="00DE5DA7">
        <w:rPr>
          <w:rFonts w:ascii="Palatino Linotype" w:eastAsia="Palatino Linotype" w:hAnsi="Palatino Linotype" w:cs="Palatino Linotype"/>
          <w:b/>
          <w:bCs/>
          <w:color w:val="000000" w:themeColor="text1"/>
        </w:rPr>
        <w:t>SAIMEX,</w:t>
      </w:r>
      <w:r w:rsidRPr="00DE5DA7">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DE5DA7">
        <w:rPr>
          <w:rFonts w:ascii="Palatino Linotype" w:eastAsia="Palatino Linotype" w:hAnsi="Palatino Linotype" w:cs="Palatino Linotype"/>
          <w:b/>
          <w:bCs/>
          <w:color w:val="000000" w:themeColor="text1"/>
        </w:rPr>
        <w:t>SUJETO OBLIGADO</w:t>
      </w:r>
      <w:r w:rsidRPr="00DE5DA7">
        <w:rPr>
          <w:rFonts w:ascii="Palatino Linotype" w:eastAsia="Palatino Linotype" w:hAnsi="Palatino Linotype" w:cs="Palatino Linotype"/>
          <w:color w:val="000000" w:themeColor="text1"/>
        </w:rPr>
        <w:t xml:space="preserve"> entregó su respuesta el </w:t>
      </w:r>
      <w:r w:rsidRPr="00DE5DA7">
        <w:rPr>
          <w:rFonts w:ascii="Palatino Linotype" w:eastAsia="Palatino Linotype" w:hAnsi="Palatino Linotype" w:cs="Palatino Linotype"/>
          <w:b/>
          <w:bCs/>
          <w:color w:val="000000" w:themeColor="text1"/>
        </w:rPr>
        <w:t>cinco de junio de dos mil veinticinco</w:t>
      </w:r>
      <w:r w:rsidRPr="00DE5DA7">
        <w:rPr>
          <w:rFonts w:ascii="Palatino Linotype" w:eastAsia="Palatino Linotype" w:hAnsi="Palatino Linotype" w:cs="Palatino Linotype"/>
          <w:color w:val="000000" w:themeColor="text1"/>
        </w:rPr>
        <w:t xml:space="preserve">, de tal forma que el plazo para interponer el recurso de revisión transcurrió del día </w:t>
      </w:r>
      <w:r w:rsidRPr="00DE5DA7">
        <w:rPr>
          <w:rFonts w:ascii="Palatino Linotype" w:eastAsia="Palatino Linotype" w:hAnsi="Palatino Linotype" w:cs="Palatino Linotype"/>
          <w:b/>
          <w:bCs/>
          <w:color w:val="000000" w:themeColor="text1"/>
        </w:rPr>
        <w:t>seis  al veintiséis de junio de dos mil veinticinco</w:t>
      </w:r>
      <w:r w:rsidRPr="00DE5DA7">
        <w:rPr>
          <w:rFonts w:ascii="Palatino Linotype" w:eastAsia="Palatino Linotype" w:hAnsi="Palatino Linotype" w:cs="Palatino Linotype"/>
          <w:color w:val="000000" w:themeColor="text1"/>
        </w:rPr>
        <w:t xml:space="preserve">; </w:t>
      </w:r>
      <w:r w:rsidRPr="00DE5DA7">
        <w:rPr>
          <w:rFonts w:ascii="Palatino Linotype" w:eastAsia="Palatino Linotype" w:hAnsi="Palatino Linotype" w:cs="Palatino Linotype"/>
          <w:color w:val="000000" w:themeColor="text1"/>
        </w:rPr>
        <w:lastRenderedPageBreak/>
        <w:t xml:space="preserve">en consecuencia, el ahora </w:t>
      </w:r>
      <w:r w:rsidRPr="00DE5DA7">
        <w:rPr>
          <w:rFonts w:ascii="Palatino Linotype" w:eastAsia="Palatino Linotype" w:hAnsi="Palatino Linotype" w:cs="Palatino Linotype"/>
          <w:b/>
          <w:bCs/>
          <w:color w:val="000000" w:themeColor="text1"/>
        </w:rPr>
        <w:t>RECURRENTE</w:t>
      </w:r>
      <w:r w:rsidRPr="00DE5DA7">
        <w:rPr>
          <w:rFonts w:ascii="Palatino Linotype" w:eastAsia="Palatino Linotype" w:hAnsi="Palatino Linotype" w:cs="Palatino Linotype"/>
          <w:color w:val="000000" w:themeColor="text1"/>
        </w:rPr>
        <w:t xml:space="preserve"> presentó su inconformidad el día </w:t>
      </w:r>
      <w:r w:rsidRPr="00DE5DA7">
        <w:rPr>
          <w:rFonts w:ascii="Palatino Linotype" w:eastAsia="Palatino Linotype" w:hAnsi="Palatino Linotype" w:cs="Palatino Linotype"/>
          <w:b/>
          <w:bCs/>
          <w:color w:val="000000" w:themeColor="text1"/>
        </w:rPr>
        <w:t>veintitrés de junio de dos mil veinticinco</w:t>
      </w:r>
      <w:r w:rsidRPr="00DE5DA7">
        <w:rPr>
          <w:rFonts w:ascii="Palatino Linotype" w:eastAsia="Palatino Linotype" w:hAnsi="Palatino Linotype" w:cs="Palatino Linotype"/>
          <w:color w:val="000000" w:themeColor="text1"/>
        </w:rPr>
        <w:t>; es decir dentro del lapso legalmente establecido para tal efecto.</w:t>
      </w:r>
    </w:p>
    <w:p w:rsidR="00407C73" w:rsidRPr="00DE5DA7"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407C73" w:rsidRPr="00DE5DA7"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pStyle w:val="Ttulo2"/>
        <w:spacing w:before="0" w:line="360" w:lineRule="auto"/>
        <w:rPr>
          <w:rFonts w:ascii="Palatino Linotype" w:eastAsia="Palatino Linotype" w:hAnsi="Palatino Linotype" w:cs="Palatino Linotype"/>
          <w:b/>
          <w:bCs/>
          <w:color w:val="000000" w:themeColor="text1"/>
          <w:sz w:val="24"/>
          <w:szCs w:val="24"/>
        </w:rPr>
      </w:pPr>
      <w:bookmarkStart w:id="5" w:name="_heading=h.gmso33p2be1a" w:colFirst="0" w:colLast="0"/>
      <w:bookmarkEnd w:id="5"/>
      <w:r w:rsidRPr="00DE5DA7">
        <w:rPr>
          <w:rFonts w:ascii="Palatino Linotype" w:eastAsia="Palatino Linotype" w:hAnsi="Palatino Linotype" w:cs="Palatino Linotype"/>
          <w:b/>
          <w:bCs/>
          <w:color w:val="000000" w:themeColor="text1"/>
          <w:sz w:val="24"/>
          <w:szCs w:val="24"/>
        </w:rPr>
        <w:t>TERCERO. Del planteamiento de la Litis</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De las constancias en el expediente al rubro indicado, se desprende que el particular  solicitó tener acceso a la información que a continuación se desagrega:</w:t>
      </w:r>
    </w:p>
    <w:p w:rsidR="00407C73" w:rsidRPr="00DE5DA7" w:rsidRDefault="001B5844" w:rsidP="00DE5D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Deseo saber quienes son los responsables de la Presidencia o su similar de OPERAGUA en el municipio de Cuautitlán Izcalli, así como todas y cada una de las Direcciones que se encuenten dentro de esta administración; solicitando que también se me haga saber a cuanto ascienden sus salarios; el personal que cuenta a sus cargo; el salario del personal; asi como todos los Curriculum Vitae; también el personal que se encuentra adscrito a su área, salario de todos y cada uno de los trabajadores , así como el salario del funcionario que encabeza, las funciones que desempeña cada uno de los trabajadores de dicha dependencia, curriculum de todo el personal adscrito. Solicitando que la información que envien sea de manera clara sin tener dañados los archivos y de una manera eficaz y eficiente toda vez que la misma información ya realizaron la busqueda y la tiene con Ustedes. Tal cual lo hiceron con la información solicitada con anterioridad y con los numeros 00404/CUAUTIZC/IP/2025</w:t>
      </w:r>
    </w:p>
    <w:p w:rsidR="00407C73" w:rsidRPr="00DE5DA7"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En respuesta el </w:t>
      </w:r>
      <w:r w:rsidRPr="00DE5DA7">
        <w:rPr>
          <w:rFonts w:ascii="Palatino Linotype" w:eastAsia="Palatino Linotype" w:hAnsi="Palatino Linotype" w:cs="Palatino Linotype"/>
          <w:b/>
          <w:bCs/>
          <w:color w:val="000000" w:themeColor="text1"/>
        </w:rPr>
        <w:t xml:space="preserve">SUJETO OBLIGADO, </w:t>
      </w:r>
      <w:r w:rsidRPr="00DE5DA7">
        <w:rPr>
          <w:rFonts w:ascii="Palatino Linotype" w:eastAsia="Palatino Linotype" w:hAnsi="Palatino Linotype" w:cs="Palatino Linotype"/>
          <w:color w:val="000000" w:themeColor="text1"/>
        </w:rPr>
        <w:t xml:space="preserve">proporcionó links de acceso en formato cerrado, en donde manifestó, se encuentra la información requerida por el </w:t>
      </w:r>
      <w:r w:rsidRPr="00DE5DA7">
        <w:rPr>
          <w:rFonts w:ascii="Palatino Linotype" w:eastAsia="Palatino Linotype" w:hAnsi="Palatino Linotype" w:cs="Palatino Linotype"/>
          <w:b/>
          <w:bCs/>
          <w:color w:val="000000" w:themeColor="text1"/>
        </w:rPr>
        <w:t>PARTICULAR.</w:t>
      </w: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lastRenderedPageBreak/>
        <w:t xml:space="preserve">Inconforme, el </w:t>
      </w:r>
      <w:r w:rsidRPr="00DE5DA7">
        <w:rPr>
          <w:rFonts w:ascii="Palatino Linotype" w:eastAsia="Palatino Linotype" w:hAnsi="Palatino Linotype" w:cs="Palatino Linotype"/>
          <w:b/>
          <w:bCs/>
          <w:color w:val="000000" w:themeColor="text1"/>
        </w:rPr>
        <w:t>PARTICULAR,</w:t>
      </w:r>
      <w:r w:rsidRPr="00DE5DA7">
        <w:rPr>
          <w:rFonts w:ascii="Palatino Linotype" w:eastAsia="Palatino Linotype" w:hAnsi="Palatino Linotype" w:cs="Palatino Linotype"/>
          <w:color w:val="000000" w:themeColor="text1"/>
        </w:rPr>
        <w:t xml:space="preserve"> se inconformó medularmente de que no se le hizo entrega de la información solicitada. </w:t>
      </w:r>
    </w:p>
    <w:p w:rsidR="00407C73" w:rsidRPr="00DE5DA7"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En dichas condiciones, la </w:t>
      </w:r>
      <w:r w:rsidRPr="00DE5DA7">
        <w:rPr>
          <w:rFonts w:ascii="Palatino Linotype" w:eastAsia="Palatino Linotype" w:hAnsi="Palatino Linotype" w:cs="Palatino Linotype"/>
          <w:i/>
          <w:iCs/>
          <w:color w:val="000000" w:themeColor="text1"/>
        </w:rPr>
        <w:t>Litis</w:t>
      </w:r>
      <w:r w:rsidRPr="00DE5DA7">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DE5DA7">
        <w:rPr>
          <w:rFonts w:ascii="Palatino Linotype" w:eastAsia="Palatino Linotype" w:hAnsi="Palatino Linotype" w:cs="Palatino Linotype"/>
          <w:b/>
          <w:bCs/>
          <w:color w:val="000000" w:themeColor="text1"/>
        </w:rPr>
        <w:t xml:space="preserve">fracción I </w:t>
      </w:r>
      <w:r w:rsidRPr="00DE5DA7">
        <w:rPr>
          <w:rFonts w:ascii="Palatino Linotype" w:eastAsia="Palatino Linotype" w:hAnsi="Palatino Linotype" w:cs="Palatino Linotype"/>
          <w:color w:val="000000" w:themeColor="text1"/>
        </w:rPr>
        <w:t xml:space="preserve">de la </w:t>
      </w:r>
      <w:r w:rsidRPr="00DE5DA7">
        <w:rPr>
          <w:rFonts w:ascii="Palatino Linotype" w:eastAsia="Palatino Linotype" w:hAnsi="Palatino Linotype" w:cs="Palatino Linotype"/>
          <w:b/>
          <w:bCs/>
          <w:color w:val="000000" w:themeColor="text1"/>
        </w:rPr>
        <w:t>Ley de Transparencia y Acceso a la Información Pública del Estado de México y Municipios</w:t>
      </w:r>
      <w:r w:rsidRPr="00DE5DA7">
        <w:rPr>
          <w:rFonts w:ascii="Palatino Linotype" w:eastAsia="Palatino Linotype" w:hAnsi="Palatino Linotype" w:cs="Palatino Linotype"/>
          <w:color w:val="000000" w:themeColor="text1"/>
        </w:rPr>
        <w:t xml:space="preserve">; fracción que determina la hipótesis relativa a la negativa a la información solicitada; contexto </w:t>
      </w:r>
      <w:r w:rsidR="00DE5DA7" w:rsidRPr="00DE5DA7">
        <w:rPr>
          <w:rFonts w:ascii="Palatino Linotype" w:eastAsia="Palatino Linotype" w:hAnsi="Palatino Linotype" w:cs="Palatino Linotype"/>
          <w:color w:val="000000" w:themeColor="text1"/>
        </w:rPr>
        <w:t>del cual</w:t>
      </w:r>
      <w:r w:rsidRPr="00DE5DA7">
        <w:rPr>
          <w:rFonts w:ascii="Palatino Linotype" w:eastAsia="Palatino Linotype" w:hAnsi="Palatino Linotype" w:cs="Palatino Linotype"/>
          <w:color w:val="000000" w:themeColor="text1"/>
        </w:rPr>
        <w:t xml:space="preserve"> se dolió </w:t>
      </w:r>
      <w:r w:rsidRPr="00DE5DA7">
        <w:rPr>
          <w:rFonts w:ascii="Palatino Linotype" w:eastAsia="Palatino Linotype" w:hAnsi="Palatino Linotype" w:cs="Palatino Linotype"/>
          <w:b/>
          <w:bCs/>
          <w:color w:val="000000" w:themeColor="text1"/>
        </w:rPr>
        <w:t xml:space="preserve">EL RECURRENTE </w:t>
      </w:r>
      <w:r w:rsidRPr="00DE5DA7">
        <w:rPr>
          <w:rFonts w:ascii="Palatino Linotype" w:eastAsia="Palatino Linotype" w:hAnsi="Palatino Linotype" w:cs="Palatino Linotype"/>
          <w:color w:val="000000" w:themeColor="text1"/>
        </w:rPr>
        <w:t xml:space="preserve">al momento de interponer su inconformidad. </w:t>
      </w:r>
    </w:p>
    <w:p w:rsidR="00407C73" w:rsidRPr="00DE5DA7" w:rsidRDefault="00407C73" w:rsidP="00DE5DA7">
      <w:pPr>
        <w:pBdr>
          <w:top w:val="nil"/>
          <w:left w:val="nil"/>
          <w:bottom w:val="nil"/>
          <w:right w:val="nil"/>
          <w:between w:val="nil"/>
        </w:pBdr>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De modo tal que el presente recurso de revisión se abocará en determinar si el </w:t>
      </w:r>
      <w:r w:rsidRPr="00DE5DA7">
        <w:rPr>
          <w:rFonts w:ascii="Palatino Linotype" w:eastAsia="Palatino Linotype" w:hAnsi="Palatino Linotype" w:cs="Palatino Linotype"/>
          <w:b/>
          <w:bCs/>
          <w:color w:val="000000" w:themeColor="text1"/>
        </w:rPr>
        <w:t>SUJETO</w:t>
      </w:r>
      <w:r w:rsidRPr="00DE5DA7">
        <w:rPr>
          <w:rFonts w:ascii="Palatino Linotype" w:eastAsia="Palatino Linotype" w:hAnsi="Palatino Linotype" w:cs="Palatino Linotype"/>
          <w:color w:val="000000" w:themeColor="text1"/>
        </w:rPr>
        <w:t xml:space="preserve"> </w:t>
      </w:r>
      <w:r w:rsidRPr="00DE5DA7">
        <w:rPr>
          <w:rFonts w:ascii="Palatino Linotype" w:eastAsia="Palatino Linotype" w:hAnsi="Palatino Linotype" w:cs="Palatino Linotype"/>
          <w:b/>
          <w:bCs/>
          <w:color w:val="000000" w:themeColor="text1"/>
        </w:rPr>
        <w:t>OBLIGADO</w:t>
      </w:r>
      <w:r w:rsidRPr="00DE5DA7">
        <w:rPr>
          <w:rFonts w:ascii="Palatino Linotype" w:eastAsia="Palatino Linotype" w:hAnsi="Palatino Linotype" w:cs="Palatino Linotype"/>
          <w:color w:val="000000" w:themeColor="text1"/>
        </w:rPr>
        <w:t xml:space="preserve"> con su respuesta ciertamente actualiza las causales de procedencia</w:t>
      </w:r>
      <w:r w:rsidRPr="00DE5DA7">
        <w:rPr>
          <w:rFonts w:ascii="Palatino Linotype" w:eastAsia="Palatino Linotype" w:hAnsi="Palatino Linotype" w:cs="Palatino Linotype"/>
          <w:b/>
          <w:bCs/>
          <w:color w:val="000000" w:themeColor="text1"/>
        </w:rPr>
        <w:t xml:space="preserve"> </w:t>
      </w:r>
      <w:r w:rsidRPr="00DE5DA7">
        <w:rPr>
          <w:rFonts w:ascii="Palatino Linotype" w:eastAsia="Palatino Linotype" w:hAnsi="Palatino Linotype" w:cs="Palatino Linotype"/>
          <w:color w:val="000000" w:themeColor="text1"/>
        </w:rPr>
        <w:t>antes señalada; asimismo, determinar si se vulnera el derecho de acceso a la información de la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407C73" w:rsidRPr="00DE5DA7" w:rsidRDefault="00407C73" w:rsidP="00DE5DA7">
      <w:pPr>
        <w:pStyle w:val="Ttulo2"/>
        <w:spacing w:before="0" w:line="360" w:lineRule="auto"/>
        <w:rPr>
          <w:rFonts w:ascii="Palatino Linotype" w:eastAsia="Palatino Linotype" w:hAnsi="Palatino Linotype" w:cs="Palatino Linotype"/>
          <w:b/>
          <w:bCs/>
          <w:color w:val="000000" w:themeColor="text1"/>
          <w:sz w:val="24"/>
          <w:szCs w:val="24"/>
        </w:rPr>
      </w:pPr>
    </w:p>
    <w:p w:rsidR="00407C73" w:rsidRPr="00DE5DA7" w:rsidRDefault="001B5844" w:rsidP="00DE5DA7">
      <w:pPr>
        <w:pStyle w:val="Ttulo2"/>
        <w:spacing w:before="0" w:line="360" w:lineRule="auto"/>
        <w:rPr>
          <w:rFonts w:ascii="Palatino Linotype" w:eastAsia="Palatino Linotype" w:hAnsi="Palatino Linotype" w:cs="Palatino Linotype"/>
          <w:b/>
          <w:bCs/>
          <w:color w:val="000000" w:themeColor="text1"/>
          <w:sz w:val="24"/>
          <w:szCs w:val="24"/>
        </w:rPr>
      </w:pPr>
      <w:r w:rsidRPr="00DE5DA7">
        <w:rPr>
          <w:rFonts w:ascii="Palatino Linotype" w:eastAsia="Palatino Linotype" w:hAnsi="Palatino Linotype" w:cs="Palatino Linotype"/>
          <w:b/>
          <w:bCs/>
          <w:color w:val="000000" w:themeColor="text1"/>
          <w:sz w:val="24"/>
          <w:szCs w:val="24"/>
        </w:rPr>
        <w:t>CUARTO. Del estudio y resolución del asunto.</w:t>
      </w:r>
    </w:p>
    <w:p w:rsidR="00407C73" w:rsidRPr="00DE5DA7" w:rsidRDefault="001B5844" w:rsidP="00DE5DA7">
      <w:pPr>
        <w:pStyle w:val="Ttulo1"/>
        <w:numPr>
          <w:ilvl w:val="0"/>
          <w:numId w:val="1"/>
        </w:numPr>
        <w:spacing w:before="0" w:after="240" w:line="360" w:lineRule="auto"/>
        <w:ind w:left="0" w:firstLine="0"/>
        <w:rPr>
          <w:rFonts w:ascii="Palatino Linotype" w:eastAsia="Palatino Linotype" w:hAnsi="Palatino Linotype" w:cs="Palatino Linotype"/>
          <w:b/>
          <w:bCs/>
          <w:color w:val="000000" w:themeColor="text1"/>
          <w:sz w:val="24"/>
          <w:szCs w:val="24"/>
        </w:rPr>
      </w:pPr>
      <w:bookmarkStart w:id="6" w:name="_heading=h.2s8eyo1" w:colFirst="0" w:colLast="0"/>
      <w:bookmarkEnd w:id="6"/>
      <w:r w:rsidRPr="00DE5DA7">
        <w:rPr>
          <w:rFonts w:ascii="Palatino Linotype" w:eastAsia="Palatino Linotype" w:hAnsi="Palatino Linotype" w:cs="Palatino Linotype"/>
          <w:b/>
          <w:bCs/>
          <w:color w:val="000000" w:themeColor="text1"/>
          <w:sz w:val="24"/>
          <w:szCs w:val="24"/>
        </w:rPr>
        <w:t>Del derecho de acceso a la información.</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w:t>
      </w:r>
      <w:r w:rsidRPr="00DE5DA7">
        <w:rPr>
          <w:rFonts w:ascii="Palatino Linotype" w:eastAsia="Palatino Linotype" w:hAnsi="Palatino Linotype" w:cs="Palatino Linotype"/>
          <w:color w:val="000000" w:themeColor="text1"/>
        </w:rPr>
        <w:lastRenderedPageBreak/>
        <w:t xml:space="preserve">Derechos Humanos en su artículo 13.1; en el artículo sexto de la Constitución Política de los Estados Unidos Mexicanos y en el artículo quinto de la Particular del Estado de México. </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hAnsi="Palatino Linotype"/>
          <w:color w:val="000000" w:themeColor="text1"/>
        </w:rPr>
      </w:pPr>
      <w:r w:rsidRPr="00DE5DA7">
        <w:rPr>
          <w:rFonts w:ascii="Palatino Linotype" w:eastAsia="Palatino Linotype" w:hAnsi="Palatino Linotype" w:cs="Palatino Linotype"/>
          <w:color w:val="000000" w:themeColor="text1"/>
        </w:rPr>
        <w:t xml:space="preserve">Definiendo el Derecho de Acceso a la Información Pública como: </w:t>
      </w:r>
      <w:r w:rsidRPr="00DE5DA7">
        <w:rPr>
          <w:rFonts w:ascii="Palatino Linotype" w:eastAsia="Palatino Linotype" w:hAnsi="Palatino Linotype" w:cs="Palatino Linotype"/>
          <w:i/>
          <w:iCs/>
          <w:color w:val="000000" w:themeColor="text1"/>
        </w:rPr>
        <w:t>La igualdad de oportunidades para recibir, buscar e impartir información</w:t>
      </w:r>
      <w:r w:rsidRPr="00DE5DA7">
        <w:rPr>
          <w:rFonts w:ascii="Palatino Linotype" w:eastAsia="Palatino Linotype" w:hAnsi="Palatino Linotype" w:cs="Palatino Linotype"/>
          <w:i/>
          <w:iCs/>
          <w:color w:val="000000" w:themeColor="text1"/>
          <w:vertAlign w:val="superscript"/>
        </w:rPr>
        <w:footnoteReference w:id="1"/>
      </w:r>
      <w:r w:rsidRPr="00DE5DA7">
        <w:rPr>
          <w:rFonts w:ascii="Palatino Linotype" w:eastAsia="Palatino Linotype" w:hAnsi="Palatino Linotype" w:cs="Palatino Linotype"/>
          <w:i/>
          <w:iCs/>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E5DA7">
        <w:rPr>
          <w:rFonts w:ascii="Palatino Linotype" w:eastAsia="Palatino Linotype" w:hAnsi="Palatino Linotype" w:cs="Palatino Linotype"/>
          <w:i/>
          <w:iCs/>
          <w:color w:val="000000" w:themeColor="text1"/>
          <w:vertAlign w:val="superscript"/>
        </w:rPr>
        <w:footnoteReference w:id="2"/>
      </w:r>
      <w:r w:rsidRPr="00DE5DA7">
        <w:rPr>
          <w:rFonts w:ascii="Palatino Linotype" w:eastAsia="Palatino Linotype" w:hAnsi="Palatino Linotype" w:cs="Palatino Linotype"/>
          <w:color w:val="000000" w:themeColor="text1"/>
        </w:rPr>
        <w:t>que se constituye como una herramienta fundamental para ejercer</w:t>
      </w:r>
      <w:r w:rsidRPr="00DE5DA7">
        <w:rPr>
          <w:rFonts w:ascii="Palatino Linotype" w:eastAsia="Palatino Linotype" w:hAnsi="Palatino Linotype" w:cs="Palatino Linotype"/>
          <w:i/>
          <w:iCs/>
          <w:color w:val="000000" w:themeColor="text1"/>
        </w:rPr>
        <w:t xml:space="preserve"> el control democrático de las gestiones estatales, de forma tal que puedan cuestionar, indagar y considerar si se está dando un adecuado cumplimiento a las funciones públicas,</w:t>
      </w:r>
      <w:r w:rsidRPr="00DE5DA7">
        <w:rPr>
          <w:rFonts w:ascii="Palatino Linotype" w:eastAsia="Palatino Linotype" w:hAnsi="Palatino Linotype" w:cs="Palatino Linotype"/>
          <w:i/>
          <w:iCs/>
          <w:color w:val="000000" w:themeColor="text1"/>
          <w:vertAlign w:val="superscript"/>
        </w:rPr>
        <w:footnoteReference w:id="3"/>
      </w:r>
      <w:r w:rsidRPr="00DE5DA7">
        <w:rPr>
          <w:rFonts w:ascii="Palatino Linotype" w:eastAsia="Palatino Linotype" w:hAnsi="Palatino Linotype" w:cs="Palatino Linotype"/>
          <w:color w:val="000000" w:themeColor="text1"/>
        </w:rPr>
        <w:t>fomentando</w:t>
      </w:r>
      <w:r w:rsidRPr="00DE5DA7">
        <w:rPr>
          <w:rFonts w:ascii="Palatino Linotype" w:eastAsia="Palatino Linotype" w:hAnsi="Palatino Linotype" w:cs="Palatino Linotype"/>
          <w:i/>
          <w:iCs/>
          <w:color w:val="000000" w:themeColor="text1"/>
        </w:rPr>
        <w:t xml:space="preserve"> la transparencia de las actividades estatales y </w:t>
      </w:r>
      <w:r w:rsidRPr="00DE5DA7">
        <w:rPr>
          <w:rFonts w:ascii="Palatino Linotype" w:eastAsia="Palatino Linotype" w:hAnsi="Palatino Linotype" w:cs="Palatino Linotype"/>
          <w:color w:val="000000" w:themeColor="text1"/>
        </w:rPr>
        <w:t>promoviendo</w:t>
      </w:r>
      <w:r w:rsidRPr="00DE5DA7">
        <w:rPr>
          <w:rFonts w:ascii="Palatino Linotype" w:eastAsia="Palatino Linotype" w:hAnsi="Palatino Linotype" w:cs="Palatino Linotype"/>
          <w:i/>
          <w:iCs/>
          <w:color w:val="000000" w:themeColor="text1"/>
        </w:rPr>
        <w:t xml:space="preserve"> la responsabilidad de los funcionarios sobre su gestión pública,</w:t>
      </w:r>
      <w:r w:rsidRPr="00DE5DA7">
        <w:rPr>
          <w:rFonts w:ascii="Palatino Linotype" w:eastAsia="Palatino Linotype" w:hAnsi="Palatino Linotype" w:cs="Palatino Linotype"/>
          <w:i/>
          <w:iCs/>
          <w:color w:val="000000" w:themeColor="text1"/>
          <w:vertAlign w:val="superscript"/>
        </w:rPr>
        <w:footnoteReference w:id="4"/>
      </w:r>
      <w:r w:rsidRPr="00DE5DA7">
        <w:rPr>
          <w:rFonts w:ascii="Palatino Linotype" w:eastAsia="Palatino Linotype" w:hAnsi="Palatino Linotype" w:cs="Palatino Linotype"/>
          <w:color w:val="000000" w:themeColor="text1"/>
        </w:rPr>
        <w:t>que permite</w:t>
      </w:r>
      <w:r w:rsidRPr="00DE5DA7">
        <w:rPr>
          <w:rFonts w:ascii="Palatino Linotype" w:eastAsia="Palatino Linotype" w:hAnsi="Palatino Linotype" w:cs="Palatino Linotype"/>
          <w:i/>
          <w:iCs/>
          <w:color w:val="000000" w:themeColor="text1"/>
        </w:rPr>
        <w:t xml:space="preserve"> saber qué están haciendo los gobiernos por sus pueblos, sin lo cual la verdad languidecería y la participación en el gobierno permanecería fragmentada.</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hAnsi="Palatino Linotype"/>
          <w:color w:val="000000" w:themeColor="text1"/>
        </w:rPr>
      </w:pPr>
      <w:r w:rsidRPr="00DE5DA7">
        <w:rPr>
          <w:rFonts w:ascii="Palatino Linotype" w:eastAsia="Palatino Linotype" w:hAnsi="Palatino Linotype" w:cs="Palatino Linotype"/>
          <w:color w:val="000000" w:themeColor="text1"/>
        </w:rPr>
        <w:lastRenderedPageBreak/>
        <w:t>En México, además de los derechos, están reconocidas las garantías para su protección, en ese sentido el párrafo tercero de artículo primero de la Constitución Política de los Estados Unidos Mexicanos dispone lo siguiente:</w:t>
      </w:r>
    </w:p>
    <w:p w:rsidR="00407C73" w:rsidRPr="00DE5DA7" w:rsidRDefault="001B5844" w:rsidP="00DE5DA7">
      <w:pPr>
        <w:tabs>
          <w:tab w:val="left" w:pos="7797"/>
        </w:tabs>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w:t>
      </w:r>
      <w:r w:rsidRPr="00DE5DA7">
        <w:rPr>
          <w:rFonts w:ascii="Palatino Linotype" w:eastAsia="Palatino Linotype" w:hAnsi="Palatino Linotype" w:cs="Palatino Linotype"/>
          <w:b/>
          <w:bCs/>
          <w:i/>
          <w:iCs/>
          <w:color w:val="000000" w:themeColor="text1"/>
        </w:rPr>
        <w:t>Artículo 1.-</w:t>
      </w:r>
      <w:r w:rsidRPr="00DE5DA7">
        <w:rPr>
          <w:rFonts w:ascii="Palatino Linotype" w:eastAsia="Palatino Linotype" w:hAnsi="Palatino Linotype" w:cs="Palatino Linotype"/>
          <w:i/>
          <w:iCs/>
          <w:color w:val="000000" w:themeColor="text1"/>
        </w:rPr>
        <w:t xml:space="preserve"> </w:t>
      </w:r>
    </w:p>
    <w:p w:rsidR="00407C73" w:rsidRPr="00DE5DA7" w:rsidRDefault="001B5844" w:rsidP="00DE5DA7">
      <w:pPr>
        <w:tabs>
          <w:tab w:val="left" w:pos="7797"/>
        </w:tabs>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w:t>
      </w:r>
    </w:p>
    <w:p w:rsidR="00407C73" w:rsidRPr="00DE5DA7" w:rsidRDefault="001B5844" w:rsidP="00DE5DA7">
      <w:pPr>
        <w:tabs>
          <w:tab w:val="left" w:pos="7797"/>
        </w:tabs>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Todas las</w:t>
      </w:r>
      <w:r w:rsidRPr="00DE5DA7">
        <w:rPr>
          <w:rFonts w:ascii="Palatino Linotype" w:eastAsia="Palatino Linotype" w:hAnsi="Palatino Linotype" w:cs="Palatino Linotype"/>
          <w:color w:val="000000" w:themeColor="text1"/>
        </w:rPr>
        <w:t xml:space="preserve"> </w:t>
      </w:r>
      <w:r w:rsidRPr="00DE5DA7">
        <w:rPr>
          <w:rFonts w:ascii="Palatino Linotype" w:eastAsia="Palatino Linotype" w:hAnsi="Palatino Linotype" w:cs="Palatino Linotype"/>
          <w:i/>
          <w:iCs/>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407C73" w:rsidRPr="00DE5DA7" w:rsidRDefault="001B5844" w:rsidP="00DE5DA7">
      <w:pPr>
        <w:tabs>
          <w:tab w:val="left" w:pos="7797"/>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i/>
          <w:iCs/>
          <w:color w:val="000000" w:themeColor="text1"/>
        </w:rPr>
        <w:t>(…)</w:t>
      </w:r>
      <w:r w:rsidRPr="00DE5DA7">
        <w:rPr>
          <w:rFonts w:ascii="Palatino Linotype" w:eastAsia="Palatino Linotype" w:hAnsi="Palatino Linotype" w:cs="Palatino Linotype"/>
          <w:color w:val="000000" w:themeColor="text1"/>
        </w:rPr>
        <w:t>”.</w:t>
      </w:r>
    </w:p>
    <w:p w:rsidR="00407C73" w:rsidRPr="00DE5DA7"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DE5DA7">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407C73" w:rsidRPr="00DE5DA7" w:rsidRDefault="00407C73" w:rsidP="00DE5DA7">
      <w:pPr>
        <w:pBdr>
          <w:top w:val="nil"/>
          <w:left w:val="nil"/>
          <w:bottom w:val="nil"/>
          <w:right w:val="nil"/>
          <w:between w:val="nil"/>
        </w:pBdr>
        <w:spacing w:line="360" w:lineRule="auto"/>
        <w:jc w:val="both"/>
        <w:rPr>
          <w:rFonts w:ascii="Palatino Linotype" w:hAnsi="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hAnsi="Palatino Linotype"/>
          <w:color w:val="000000" w:themeColor="text1"/>
        </w:rPr>
      </w:pPr>
      <w:r w:rsidRPr="00DE5DA7">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407C73" w:rsidRPr="00DE5DA7" w:rsidRDefault="001B5844" w:rsidP="00DE5DA7">
      <w:pPr>
        <w:spacing w:after="240"/>
        <w:jc w:val="both"/>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Constitución Política de los Estados Unidos Mexicanos</w:t>
      </w:r>
    </w:p>
    <w:p w:rsidR="00407C73" w:rsidRPr="00DE5DA7" w:rsidRDefault="001B5844" w:rsidP="00DE5DA7">
      <w:pPr>
        <w:spacing w:before="240" w:after="240"/>
        <w:jc w:val="both"/>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“Artículo 6.</w:t>
      </w:r>
    </w:p>
    <w:p w:rsidR="00407C73" w:rsidRPr="00DE5DA7" w:rsidRDefault="001B5844" w:rsidP="00DE5DA7">
      <w:pPr>
        <w:spacing w:before="240" w:after="240"/>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lastRenderedPageBreak/>
        <w:t>(…)</w:t>
      </w:r>
    </w:p>
    <w:p w:rsidR="00407C73" w:rsidRPr="00DE5DA7" w:rsidRDefault="001B5844" w:rsidP="00DE5DA7">
      <w:pPr>
        <w:spacing w:before="240" w:after="240"/>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Para efectos de lo dispuesto en el presente artículo se observará lo siguiente:</w:t>
      </w:r>
    </w:p>
    <w:p w:rsidR="00407C73" w:rsidRPr="00DE5DA7" w:rsidRDefault="001B5844" w:rsidP="00DE5DA7">
      <w:pPr>
        <w:spacing w:before="240" w:after="240"/>
        <w:jc w:val="both"/>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A</w:t>
      </w:r>
      <w:r w:rsidRPr="00DE5DA7">
        <w:rPr>
          <w:rFonts w:ascii="Palatino Linotype" w:eastAsia="Palatino Linotype" w:hAnsi="Palatino Linotype" w:cs="Palatino Linotype"/>
          <w:i/>
          <w:iCs/>
          <w:color w:val="000000" w:themeColor="text1"/>
        </w:rPr>
        <w:t xml:space="preserve">. </w:t>
      </w:r>
      <w:r w:rsidRPr="00DE5DA7">
        <w:rPr>
          <w:rFonts w:ascii="Palatino Linotype" w:eastAsia="Palatino Linotype" w:hAnsi="Palatino Linotype" w:cs="Palatino Linotype"/>
          <w:b/>
          <w:bCs/>
          <w:i/>
          <w:iCs/>
          <w:color w:val="000000" w:themeColor="text1"/>
        </w:rPr>
        <w:t>Para el ejercicio del derecho de acceso a la información</w:t>
      </w:r>
      <w:r w:rsidRPr="00DE5DA7">
        <w:rPr>
          <w:rFonts w:ascii="Palatino Linotype" w:eastAsia="Palatino Linotype" w:hAnsi="Palatino Linotype" w:cs="Palatino Linotype"/>
          <w:i/>
          <w:iCs/>
          <w:color w:val="000000" w:themeColor="text1"/>
        </w:rPr>
        <w:t xml:space="preserve">, la Federación y </w:t>
      </w:r>
      <w:r w:rsidRPr="00DE5DA7">
        <w:rPr>
          <w:rFonts w:ascii="Palatino Linotype" w:eastAsia="Palatino Linotype" w:hAnsi="Palatino Linotype" w:cs="Palatino Linotype"/>
          <w:b/>
          <w:bCs/>
          <w:i/>
          <w:iCs/>
          <w:color w:val="000000" w:themeColor="text1"/>
        </w:rPr>
        <w:t>las entidades federativas, en el ámbito de sus respectivas competencias, se regirán por los siguientes principios y bases:</w:t>
      </w:r>
    </w:p>
    <w:p w:rsidR="00407C73" w:rsidRPr="00DE5DA7" w:rsidRDefault="001B5844" w:rsidP="00DE5DA7">
      <w:pPr>
        <w:spacing w:before="240" w:after="240"/>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t xml:space="preserve">I. </w:t>
      </w:r>
      <w:r w:rsidRPr="00DE5DA7">
        <w:rPr>
          <w:rFonts w:ascii="Palatino Linotype" w:eastAsia="Palatino Linotype" w:hAnsi="Palatino Linotype" w:cs="Palatino Linotype"/>
          <w:b/>
          <w:bCs/>
          <w:i/>
          <w:iCs/>
          <w:color w:val="000000" w:themeColor="text1"/>
        </w:rPr>
        <w:tab/>
        <w:t>Toda la información en posesión de cualquier</w:t>
      </w:r>
      <w:r w:rsidRPr="00DE5DA7">
        <w:rPr>
          <w:rFonts w:ascii="Palatino Linotype" w:eastAsia="Palatino Linotype" w:hAnsi="Palatino Linotype" w:cs="Palatino Linotype"/>
          <w:i/>
          <w:iCs/>
          <w:color w:val="000000" w:themeColor="text1"/>
        </w:rPr>
        <w:t xml:space="preserve"> </w:t>
      </w:r>
      <w:r w:rsidRPr="00DE5DA7">
        <w:rPr>
          <w:rFonts w:ascii="Palatino Linotype" w:eastAsia="Palatino Linotype" w:hAnsi="Palatino Linotype" w:cs="Palatino Linotype"/>
          <w:b/>
          <w:bCs/>
          <w:i/>
          <w:iCs/>
          <w:color w:val="000000" w:themeColor="text1"/>
        </w:rPr>
        <w:t>autoridad</w:t>
      </w:r>
      <w:r w:rsidRPr="00DE5DA7">
        <w:rPr>
          <w:rFonts w:ascii="Palatino Linotype" w:eastAsia="Palatino Linotype" w:hAnsi="Palatino Linotype" w:cs="Palatino Linotype"/>
          <w:i/>
          <w:iCs/>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E5DA7">
        <w:rPr>
          <w:rFonts w:ascii="Palatino Linotype" w:eastAsia="Palatino Linotype" w:hAnsi="Palatino Linotype" w:cs="Palatino Linotype"/>
          <w:b/>
          <w:bCs/>
          <w:i/>
          <w:iCs/>
          <w:color w:val="000000" w:themeColor="text1"/>
        </w:rPr>
        <w:t>municipal</w:t>
      </w:r>
      <w:r w:rsidRPr="00DE5DA7">
        <w:rPr>
          <w:rFonts w:ascii="Palatino Linotype" w:eastAsia="Palatino Linotype" w:hAnsi="Palatino Linotype" w:cs="Palatino Linotype"/>
          <w:i/>
          <w:iCs/>
          <w:color w:val="000000" w:themeColor="text1"/>
        </w:rPr>
        <w:t xml:space="preserve">, </w:t>
      </w:r>
      <w:r w:rsidRPr="00DE5DA7">
        <w:rPr>
          <w:rFonts w:ascii="Palatino Linotype" w:eastAsia="Palatino Linotype" w:hAnsi="Palatino Linotype" w:cs="Palatino Linotype"/>
          <w:b/>
          <w:bCs/>
          <w:i/>
          <w:iCs/>
          <w:color w:val="000000" w:themeColor="text1"/>
        </w:rPr>
        <w:t>es pública</w:t>
      </w:r>
      <w:r w:rsidRPr="00DE5DA7">
        <w:rPr>
          <w:rFonts w:ascii="Palatino Linotype" w:eastAsia="Palatino Linotype" w:hAnsi="Palatino Linotype" w:cs="Palatino Linotype"/>
          <w:i/>
          <w:iCs/>
          <w:color w:val="000000" w:themeColor="text1"/>
        </w:rPr>
        <w:t xml:space="preserve"> y sólo podrá ser reservada temporalmente por razones de interés público y seguridad nacional, en los términos que fijen las leyes. </w:t>
      </w:r>
      <w:r w:rsidRPr="00DE5DA7">
        <w:rPr>
          <w:rFonts w:ascii="Palatino Linotype" w:eastAsia="Palatino Linotype" w:hAnsi="Palatino Linotype" w:cs="Palatino Linotype"/>
          <w:b/>
          <w:bCs/>
          <w:i/>
          <w:iCs/>
          <w:color w:val="000000" w:themeColor="text1"/>
        </w:rPr>
        <w:t>En la interpretación de este derecho deberá prevalecer el principio de máxima publicidad. Los sujetos obligados deberán documentar todo acto que derive del ejercicio de sus facultades, competencias o funciones</w:t>
      </w:r>
      <w:r w:rsidRPr="00DE5DA7">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407C73" w:rsidRPr="00DE5DA7" w:rsidRDefault="00407C73" w:rsidP="00DE5DA7">
      <w:pPr>
        <w:pBdr>
          <w:top w:val="nil"/>
          <w:left w:val="nil"/>
          <w:bottom w:val="nil"/>
          <w:right w:val="nil"/>
          <w:between w:val="nil"/>
        </w:pBdr>
        <w:tabs>
          <w:tab w:val="left" w:pos="567"/>
        </w:tabs>
        <w:spacing w:before="240" w:after="240"/>
        <w:jc w:val="both"/>
        <w:rPr>
          <w:rFonts w:ascii="Palatino Linotype" w:eastAsia="Palatino Linotype" w:hAnsi="Palatino Linotype" w:cs="Palatino Linotype"/>
          <w:b/>
          <w:bCs/>
          <w:i/>
          <w:iCs/>
          <w:color w:val="000000" w:themeColor="text1"/>
        </w:rPr>
      </w:pPr>
    </w:p>
    <w:p w:rsidR="00407C73" w:rsidRPr="00DE5DA7" w:rsidRDefault="001B5844" w:rsidP="00DE5DA7">
      <w:pPr>
        <w:spacing w:before="240" w:after="240"/>
        <w:jc w:val="both"/>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Constitución Política del Estado Libre y Soberano de México</w:t>
      </w:r>
    </w:p>
    <w:p w:rsidR="00407C73" w:rsidRPr="00DE5DA7" w:rsidRDefault="001B5844" w:rsidP="00DE5DA7">
      <w:pPr>
        <w:spacing w:before="240" w:after="240"/>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t>“Artículo 5</w:t>
      </w:r>
      <w:r w:rsidRPr="00DE5DA7">
        <w:rPr>
          <w:rFonts w:ascii="Palatino Linotype" w:eastAsia="Palatino Linotype" w:hAnsi="Palatino Linotype" w:cs="Palatino Linotype"/>
          <w:i/>
          <w:iCs/>
          <w:color w:val="000000" w:themeColor="text1"/>
        </w:rPr>
        <w:t xml:space="preserve">.- </w:t>
      </w:r>
    </w:p>
    <w:p w:rsidR="00407C73" w:rsidRPr="00DE5DA7" w:rsidRDefault="001B5844" w:rsidP="00DE5DA7">
      <w:pPr>
        <w:spacing w:before="240" w:after="240"/>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w:t>
      </w:r>
    </w:p>
    <w:p w:rsidR="00407C73" w:rsidRPr="00DE5DA7" w:rsidRDefault="001B5844" w:rsidP="00DE5DA7">
      <w:pPr>
        <w:spacing w:before="240" w:after="240"/>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t>El derecho a la información será garantizado por el Estado. La ley establecerá las previsiones que permitan asegurar la protección, el respeto y la difusión de este derecho</w:t>
      </w:r>
      <w:r w:rsidRPr="00DE5DA7">
        <w:rPr>
          <w:rFonts w:ascii="Palatino Linotype" w:eastAsia="Palatino Linotype" w:hAnsi="Palatino Linotype" w:cs="Palatino Linotype"/>
          <w:i/>
          <w:iCs/>
          <w:color w:val="000000" w:themeColor="text1"/>
        </w:rPr>
        <w:t>.</w:t>
      </w:r>
    </w:p>
    <w:p w:rsidR="00407C73" w:rsidRPr="00DE5DA7" w:rsidRDefault="001B5844" w:rsidP="00DE5DA7">
      <w:pPr>
        <w:spacing w:before="240" w:after="240"/>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07C73" w:rsidRPr="00DE5DA7" w:rsidRDefault="001B5844" w:rsidP="00DE5DA7">
      <w:pPr>
        <w:spacing w:before="240" w:after="240"/>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t>Este derecho se regirá por los principios y bases siguientes</w:t>
      </w:r>
      <w:r w:rsidRPr="00DE5DA7">
        <w:rPr>
          <w:rFonts w:ascii="Palatino Linotype" w:eastAsia="Palatino Linotype" w:hAnsi="Palatino Linotype" w:cs="Palatino Linotype"/>
          <w:i/>
          <w:iCs/>
          <w:color w:val="000000" w:themeColor="text1"/>
        </w:rPr>
        <w:t>:</w:t>
      </w:r>
    </w:p>
    <w:p w:rsidR="00407C73" w:rsidRPr="00DE5DA7" w:rsidRDefault="001B5844" w:rsidP="00DE5DA7">
      <w:pPr>
        <w:spacing w:before="240" w:after="240"/>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lastRenderedPageBreak/>
        <w:t>I. Toda la información en posesión de cualquier autoridad, entidad, órgano y organismos de los</w:t>
      </w:r>
      <w:r w:rsidRPr="00DE5DA7">
        <w:rPr>
          <w:rFonts w:ascii="Palatino Linotype" w:eastAsia="Palatino Linotype" w:hAnsi="Palatino Linotype" w:cs="Palatino Linotype"/>
          <w:i/>
          <w:iCs/>
          <w:color w:val="000000" w:themeColor="text1"/>
        </w:rPr>
        <w:t xml:space="preserve"> Poderes Ejecutivo, Legislativo y Judicial, órganos autónomos, partidos políticos, fideicomisos y fondos públicos estatales y </w:t>
      </w:r>
      <w:r w:rsidRPr="00DE5DA7">
        <w:rPr>
          <w:rFonts w:ascii="Palatino Linotype" w:eastAsia="Palatino Linotype" w:hAnsi="Palatino Linotype" w:cs="Palatino Linotype"/>
          <w:b/>
          <w:bCs/>
          <w:i/>
          <w:iCs/>
          <w:color w:val="000000" w:themeColor="text1"/>
        </w:rPr>
        <w:t>municipales</w:t>
      </w:r>
      <w:r w:rsidRPr="00DE5DA7">
        <w:rPr>
          <w:rFonts w:ascii="Palatino Linotype" w:eastAsia="Palatino Linotype" w:hAnsi="Palatino Linotype" w:cs="Palatino Linotype"/>
          <w:i/>
          <w:iCs/>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E5DA7">
        <w:rPr>
          <w:rFonts w:ascii="Palatino Linotype" w:eastAsia="Palatino Linotype" w:hAnsi="Palatino Linotype" w:cs="Palatino Linotype"/>
          <w:b/>
          <w:bCs/>
          <w:i/>
          <w:iCs/>
          <w:color w:val="000000" w:themeColor="text1"/>
        </w:rPr>
        <w:t>es pública</w:t>
      </w:r>
      <w:r w:rsidRPr="00DE5DA7">
        <w:rPr>
          <w:rFonts w:ascii="Palatino Linotype" w:eastAsia="Palatino Linotype" w:hAnsi="Palatino Linotype" w:cs="Palatino Linotype"/>
          <w:i/>
          <w:iCs/>
          <w:color w:val="000000" w:themeColor="text1"/>
        </w:rPr>
        <w:t xml:space="preserve"> y sólo podrá ser reservada temporalmente por razones previstas en la Constitución Política de los Estados Unidos Mexicanos de interés público y seguridad, en los términos que fijen las leyes. </w:t>
      </w:r>
      <w:r w:rsidRPr="00DE5DA7">
        <w:rPr>
          <w:rFonts w:ascii="Palatino Linotype" w:eastAsia="Palatino Linotype" w:hAnsi="Palatino Linotype" w:cs="Palatino Linotype"/>
          <w:b/>
          <w:bCs/>
          <w:i/>
          <w:iCs/>
          <w:color w:val="000000" w:themeColor="text1"/>
        </w:rPr>
        <w:t>En la interpretación de este derecho deberá prevalecer el principio de máxima publicidad</w:t>
      </w:r>
      <w:r w:rsidRPr="00DE5DA7">
        <w:rPr>
          <w:rFonts w:ascii="Palatino Linotype" w:eastAsia="Palatino Linotype" w:hAnsi="Palatino Linotype" w:cs="Palatino Linotype"/>
          <w:i/>
          <w:iCs/>
          <w:color w:val="000000" w:themeColor="text1"/>
        </w:rPr>
        <w:t xml:space="preserve">. </w:t>
      </w:r>
      <w:r w:rsidRPr="00DE5DA7">
        <w:rPr>
          <w:rFonts w:ascii="Palatino Linotype" w:eastAsia="Palatino Linotype" w:hAnsi="Palatino Linotype" w:cs="Palatino Linotype"/>
          <w:b/>
          <w:bCs/>
          <w:i/>
          <w:iCs/>
          <w:color w:val="000000" w:themeColor="text1"/>
        </w:rPr>
        <w:t>Los sujetos obligados deberán documentar todo acto que derive del ejercicio de sus facultades, competencias o funciones</w:t>
      </w:r>
      <w:r w:rsidRPr="00DE5DA7">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407C73" w:rsidRPr="00DE5DA7" w:rsidRDefault="00407C73" w:rsidP="00DE5DA7">
      <w:pPr>
        <w:tabs>
          <w:tab w:val="left" w:pos="567"/>
        </w:tabs>
        <w:spacing w:before="240" w:after="240"/>
        <w:jc w:val="both"/>
        <w:rPr>
          <w:rFonts w:ascii="Palatino Linotype" w:eastAsia="Palatino Linotype" w:hAnsi="Palatino Linotype" w:cs="Palatino Linotype"/>
          <w:b/>
          <w:bCs/>
          <w:i/>
          <w:iCs/>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hAnsi="Palatino Linotype"/>
          <w:color w:val="000000" w:themeColor="text1"/>
        </w:rPr>
      </w:pPr>
      <w:r w:rsidRPr="00DE5DA7">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DE5DA7">
        <w:rPr>
          <w:rFonts w:ascii="Palatino Linotype" w:eastAsia="Palatino Linotype" w:hAnsi="Palatino Linotype" w:cs="Palatino Linotype"/>
          <w:i/>
          <w:iCs/>
          <w:color w:val="000000" w:themeColor="text1"/>
        </w:rPr>
        <w:t>por los principios de simplicidad, rapidez gratuidad del procedimiento, auxilio y orientación a los particulares</w:t>
      </w:r>
      <w:r w:rsidRPr="00DE5DA7">
        <w:rPr>
          <w:rFonts w:ascii="Palatino Linotype" w:eastAsia="Palatino Linotype" w:hAnsi="Palatino Linotype" w:cs="Palatino Linotype"/>
          <w:color w:val="000000" w:themeColor="text1"/>
        </w:rPr>
        <w:t>, contemplando el derecho de las personas con discapacidad y hablantes de lengua indígena.</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DE5DA7">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DE5DA7">
        <w:rPr>
          <w:rFonts w:ascii="Palatino Linotype" w:eastAsia="Palatino Linotype" w:hAnsi="Palatino Linotype" w:cs="Palatino Linotype"/>
          <w:i/>
          <w:iCs/>
          <w:color w:val="000000" w:themeColor="text1"/>
        </w:rPr>
        <w:t>solicitudes de acceso a la información</w:t>
      </w:r>
      <w:r w:rsidRPr="00DE5DA7">
        <w:rPr>
          <w:rFonts w:ascii="Palatino Linotype" w:eastAsia="Palatino Linotype" w:hAnsi="Palatino Linotype" w:cs="Palatino Linotype"/>
          <w:color w:val="000000" w:themeColor="text1"/>
        </w:rPr>
        <w:t>.</w:t>
      </w:r>
    </w:p>
    <w:p w:rsidR="00407C73" w:rsidRPr="00DE5DA7" w:rsidRDefault="00407C73" w:rsidP="00DE5DA7">
      <w:pPr>
        <w:pBdr>
          <w:top w:val="nil"/>
          <w:left w:val="nil"/>
          <w:bottom w:val="nil"/>
          <w:right w:val="nil"/>
          <w:between w:val="nil"/>
        </w:pBdr>
        <w:spacing w:line="360" w:lineRule="auto"/>
        <w:jc w:val="both"/>
        <w:rPr>
          <w:rFonts w:ascii="Palatino Linotype" w:hAnsi="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hAnsi="Palatino Linotype"/>
          <w:color w:val="000000" w:themeColor="text1"/>
        </w:rPr>
      </w:pPr>
      <w:bookmarkStart w:id="7" w:name="_heading=h.17dp8vu" w:colFirst="0" w:colLast="0"/>
      <w:bookmarkEnd w:id="7"/>
      <w:r w:rsidRPr="00DE5DA7">
        <w:rPr>
          <w:rFonts w:ascii="Palatino Linotype" w:eastAsia="Palatino Linotype" w:hAnsi="Palatino Linotype" w:cs="Palatino Linotype"/>
          <w:color w:val="000000" w:themeColor="text1"/>
        </w:rPr>
        <w:t xml:space="preserve">Así entonces, se procede analizar, en primer lugar, si el </w:t>
      </w:r>
      <w:r w:rsidRPr="00DE5DA7">
        <w:rPr>
          <w:rFonts w:ascii="Palatino Linotype" w:eastAsia="Palatino Linotype" w:hAnsi="Palatino Linotype" w:cs="Palatino Linotype"/>
          <w:b/>
          <w:bCs/>
          <w:color w:val="000000" w:themeColor="text1"/>
        </w:rPr>
        <w:t>SUJETO OBLIGADO</w:t>
      </w:r>
      <w:r w:rsidRPr="00DE5DA7">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407C73" w:rsidRPr="00DE5DA7" w:rsidRDefault="001B5844" w:rsidP="00DE5DA7">
      <w:pPr>
        <w:pStyle w:val="Ttulo1"/>
        <w:spacing w:before="0" w:after="240" w:line="360" w:lineRule="auto"/>
        <w:rPr>
          <w:rFonts w:ascii="Palatino Linotype" w:eastAsia="Palatino Linotype" w:hAnsi="Palatino Linotype" w:cs="Palatino Linotype"/>
          <w:b/>
          <w:bCs/>
          <w:color w:val="000000" w:themeColor="text1"/>
          <w:sz w:val="24"/>
          <w:szCs w:val="24"/>
        </w:rPr>
      </w:pPr>
      <w:bookmarkStart w:id="8" w:name="_heading=h.3rdcrjn" w:colFirst="0" w:colLast="0"/>
      <w:bookmarkEnd w:id="8"/>
      <w:r w:rsidRPr="00DE5DA7">
        <w:rPr>
          <w:rFonts w:ascii="Palatino Linotype" w:eastAsia="Palatino Linotype" w:hAnsi="Palatino Linotype" w:cs="Palatino Linotype"/>
          <w:b/>
          <w:bCs/>
          <w:color w:val="000000" w:themeColor="text1"/>
          <w:sz w:val="24"/>
          <w:szCs w:val="24"/>
        </w:rPr>
        <w:lastRenderedPageBreak/>
        <w:t>II. De la información solicitada y la respuesta del SUJETO OBLIGADO</w:t>
      </w: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DE5DA7">
        <w:rPr>
          <w:rFonts w:ascii="Palatino Linotype" w:eastAsia="Palatino Linotype" w:hAnsi="Palatino Linotype" w:cs="Palatino Linotype"/>
          <w:color w:val="000000" w:themeColor="text1"/>
        </w:rPr>
        <w:t xml:space="preserve">Acotada la </w:t>
      </w:r>
      <w:r w:rsidRPr="00DE5DA7">
        <w:rPr>
          <w:rFonts w:ascii="Palatino Linotype" w:eastAsia="Palatino Linotype" w:hAnsi="Palatino Linotype" w:cs="Palatino Linotype"/>
          <w:i/>
          <w:iCs/>
          <w:color w:val="000000" w:themeColor="text1"/>
        </w:rPr>
        <w:t>Litis</w:t>
      </w:r>
      <w:r w:rsidRPr="00DE5DA7">
        <w:rPr>
          <w:rFonts w:ascii="Palatino Linotype" w:eastAsia="Palatino Linotype" w:hAnsi="Palatino Linotype" w:cs="Palatino Linotype"/>
          <w:color w:val="000000" w:themeColor="text1"/>
        </w:rPr>
        <w:t xml:space="preserve"> del presente asunto, previo al estudio de fondo, respecto la fuente obligacional, se refiere que el </w:t>
      </w:r>
      <w:r w:rsidRPr="00DE5DA7">
        <w:rPr>
          <w:rFonts w:ascii="Palatino Linotype" w:eastAsia="Palatino Linotype" w:hAnsi="Palatino Linotype" w:cs="Palatino Linotype"/>
          <w:b/>
          <w:bCs/>
          <w:color w:val="000000" w:themeColor="text1"/>
        </w:rPr>
        <w:t>SUJETO OBLIGADO</w:t>
      </w:r>
      <w:r w:rsidRPr="00DE5DA7">
        <w:rPr>
          <w:rFonts w:ascii="Palatino Linotype" w:eastAsia="Palatino Linotype" w:hAnsi="Palatino Linotype" w:cs="Palatino Linotype"/>
          <w:color w:val="000000" w:themeColor="text1"/>
        </w:rPr>
        <w:t>, asume que cuenta con la información, tan es así que pone la información a su disposición a través de links para su consulta, por lo que no se considera necesario realizar el estudio correspondiente, pues –se insiste- este asume contar con la información solicitada.</w:t>
      </w:r>
    </w:p>
    <w:p w:rsidR="00407C73" w:rsidRPr="00DE5DA7" w:rsidRDefault="00407C73" w:rsidP="00DE5DA7">
      <w:pPr>
        <w:pBdr>
          <w:top w:val="nil"/>
          <w:left w:val="nil"/>
          <w:bottom w:val="nil"/>
          <w:right w:val="nil"/>
          <w:between w:val="nil"/>
        </w:pBdr>
        <w:spacing w:line="360" w:lineRule="auto"/>
        <w:jc w:val="both"/>
        <w:rPr>
          <w:rFonts w:ascii="Palatino Linotype" w:hAnsi="Palatino Linotype"/>
          <w:color w:val="000000" w:themeColor="text1"/>
        </w:rPr>
      </w:pP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DE5DA7">
        <w:rPr>
          <w:rFonts w:ascii="Palatino Linotype" w:eastAsia="Palatino Linotype" w:hAnsi="Palatino Linotype" w:cs="Palatino Linotype"/>
          <w:color w:val="000000" w:themeColor="text1"/>
        </w:rPr>
        <w:t xml:space="preserve">Precisado lo anterior, es menester precisar que del escrito de inconformidad, se observa que el motivo de inconformidad versó respecto de la omisión del </w:t>
      </w:r>
      <w:r w:rsidRPr="00DE5DA7">
        <w:rPr>
          <w:rFonts w:ascii="Palatino Linotype" w:eastAsia="Palatino Linotype" w:hAnsi="Palatino Linotype" w:cs="Palatino Linotype"/>
          <w:b/>
          <w:bCs/>
          <w:color w:val="000000" w:themeColor="text1"/>
        </w:rPr>
        <w:t xml:space="preserve">SUJETO OBLIGADO </w:t>
      </w:r>
      <w:r w:rsidRPr="00DE5DA7">
        <w:rPr>
          <w:rFonts w:ascii="Palatino Linotype" w:eastAsia="Palatino Linotype" w:hAnsi="Palatino Linotype" w:cs="Palatino Linotype"/>
          <w:color w:val="000000" w:themeColor="text1"/>
        </w:rPr>
        <w:t>de proporcionar la información solicitada.</w:t>
      </w:r>
    </w:p>
    <w:p w:rsidR="00407C73" w:rsidRPr="00DE5DA7" w:rsidRDefault="00407C73" w:rsidP="00DE5DA7">
      <w:pPr>
        <w:pBdr>
          <w:top w:val="nil"/>
          <w:left w:val="nil"/>
          <w:bottom w:val="nil"/>
          <w:right w:val="nil"/>
          <w:between w:val="nil"/>
        </w:pBdr>
        <w:spacing w:line="360" w:lineRule="auto"/>
        <w:jc w:val="both"/>
        <w:rPr>
          <w:rFonts w:ascii="Palatino Linotype" w:hAnsi="Palatino Linotype"/>
          <w:color w:val="000000" w:themeColor="text1"/>
        </w:rPr>
      </w:pP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DE5DA7">
        <w:rPr>
          <w:rFonts w:ascii="Palatino Linotype" w:eastAsia="Palatino Linotype" w:hAnsi="Palatino Linotype" w:cs="Palatino Linotype"/>
          <w:color w:val="000000" w:themeColor="text1"/>
        </w:rPr>
        <w:t xml:space="preserve">Ahora bien, de la respuesta proporcionada por el </w:t>
      </w:r>
      <w:r w:rsidRPr="00DE5DA7">
        <w:rPr>
          <w:rFonts w:ascii="Palatino Linotype" w:eastAsia="Palatino Linotype" w:hAnsi="Palatino Linotype" w:cs="Palatino Linotype"/>
          <w:b/>
          <w:bCs/>
          <w:color w:val="000000" w:themeColor="text1"/>
        </w:rPr>
        <w:t xml:space="preserve">SUJETO OBLIGADO, </w:t>
      </w:r>
      <w:r w:rsidRPr="00DE5DA7">
        <w:rPr>
          <w:rFonts w:ascii="Palatino Linotype" w:eastAsia="Palatino Linotype" w:hAnsi="Palatino Linotype" w:cs="Palatino Linotype"/>
          <w:color w:val="000000" w:themeColor="text1"/>
        </w:rPr>
        <w:t xml:space="preserve">se reitera que, se proporcionaron links y los pasos a seguir para localizar la información dentro de los mismos; sin embargo, estos links, fueron proporcionados en formato cerrado, es decir, al dar click no dirigen a la página y no permiten ser copiados y pegados en el navegador, luego entonces, se colige que los motivos de inconformidad devienen fundados y motivados, pues al haberse proporcionado en formato cerrado, este no pudo acceder a la información dando como resultado la interposición del presente recurso de revisión. </w:t>
      </w:r>
    </w:p>
    <w:p w:rsidR="00407C73" w:rsidRPr="00DE5DA7" w:rsidRDefault="00407C73" w:rsidP="00DE5DA7">
      <w:pPr>
        <w:pBdr>
          <w:top w:val="nil"/>
          <w:left w:val="nil"/>
          <w:bottom w:val="nil"/>
          <w:right w:val="nil"/>
          <w:between w:val="nil"/>
        </w:pBdr>
        <w:spacing w:line="360" w:lineRule="auto"/>
        <w:jc w:val="both"/>
        <w:rPr>
          <w:rFonts w:ascii="Palatino Linotype" w:hAnsi="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hAnsi="Palatino Linotype"/>
          <w:color w:val="000000" w:themeColor="text1"/>
        </w:rPr>
      </w:pPr>
      <w:r w:rsidRPr="00DE5DA7">
        <w:rPr>
          <w:rFonts w:ascii="Palatino Linotype" w:eastAsia="Palatino Linotype" w:hAnsi="Palatino Linotype" w:cs="Palatino Linotype"/>
          <w:color w:val="000000" w:themeColor="text1"/>
        </w:rPr>
        <w:t>Es así que los links no pueden tenerse por válidos</w:t>
      </w:r>
      <w:r w:rsidR="00553680" w:rsidRPr="00DE5DA7">
        <w:rPr>
          <w:rFonts w:ascii="Palatino Linotype" w:eastAsia="Palatino Linotype" w:hAnsi="Palatino Linotype" w:cs="Palatino Linotype"/>
          <w:color w:val="000000" w:themeColor="text1"/>
        </w:rPr>
        <w:t>, toda</w:t>
      </w:r>
      <w:r w:rsidRPr="00DE5DA7">
        <w:rPr>
          <w:rFonts w:ascii="Palatino Linotype" w:eastAsia="Palatino Linotype" w:hAnsi="Palatino Linotype" w:cs="Palatino Linotype"/>
          <w:color w:val="000000" w:themeColor="text1"/>
        </w:rPr>
        <w:t xml:space="preserve"> vez que estos deben ser precisos y directos, sin embargo, en el caso particular, al corresponder a un documento PDF en formato de imagen no editable, pierde su característica de ser directo.</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hAnsi="Palatino Linotype"/>
          <w:color w:val="000000" w:themeColor="text1"/>
        </w:rPr>
      </w:pPr>
      <w:r w:rsidRPr="00DE5DA7">
        <w:rPr>
          <w:rFonts w:ascii="Palatino Linotype" w:eastAsia="Palatino Linotype" w:hAnsi="Palatino Linotype" w:cs="Palatino Linotype"/>
          <w:color w:val="000000" w:themeColor="text1"/>
        </w:rPr>
        <w:lastRenderedPageBreak/>
        <w:t>En ese sentido, de conformidad a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407C73" w:rsidRPr="00DE5DA7" w:rsidRDefault="001B5844" w:rsidP="00DE5DA7">
      <w:pPr>
        <w:pBdr>
          <w:top w:val="nil"/>
          <w:left w:val="nil"/>
          <w:bottom w:val="nil"/>
          <w:right w:val="nil"/>
          <w:between w:val="nil"/>
        </w:pBdr>
        <w:jc w:val="both"/>
        <w:rPr>
          <w:rFonts w:ascii="Palatino Linotype" w:hAnsi="Palatino Linotype"/>
          <w:b/>
          <w:bCs/>
          <w:color w:val="000000" w:themeColor="text1"/>
        </w:rPr>
      </w:pPr>
      <w:r w:rsidRPr="00DE5DA7">
        <w:rPr>
          <w:rFonts w:ascii="Palatino Linotype" w:eastAsia="Palatino Linotype" w:hAnsi="Palatino Linotype" w:cs="Palatino Linotype"/>
          <w:b/>
          <w:bCs/>
          <w:i/>
          <w:iCs/>
          <w:color w:val="000000" w:themeColor="text1"/>
        </w:rPr>
        <w:t xml:space="preserve">“Artículo 11. </w:t>
      </w:r>
      <w:r w:rsidRPr="00DE5DA7">
        <w:rPr>
          <w:rFonts w:ascii="Palatino Linotype" w:eastAsia="Palatino Linotype" w:hAnsi="Palatino Linotype" w:cs="Palatino Linotype"/>
          <w:b/>
          <w:bCs/>
          <w:i/>
          <w:iCs/>
          <w:color w:val="000000" w:themeColor="text1"/>
          <w:u w:val="single"/>
        </w:rPr>
        <w:t>En la generación, publicación y entrega de información se deberá garantizar que ésta sea accesible, actualizada, completa, congruente, confiable, verificable, veraz, integral, oportuna y expedita</w:t>
      </w:r>
      <w:r w:rsidRPr="00DE5DA7">
        <w:rPr>
          <w:rFonts w:ascii="Palatino Linotype" w:eastAsia="Palatino Linotype" w:hAnsi="Palatino Linotype" w:cs="Palatino Linotype"/>
          <w:b/>
          <w:bCs/>
          <w:i/>
          <w:iCs/>
          <w:color w:val="000000" w:themeColor="text1"/>
        </w:rPr>
        <w:t>, sujeta a un claro régimen de excepciones que deberá estar definido y ser además legítima y estrictamente necesaria en una sociedad democrática, por lo que atenderá las necesidades del derecho de acceso a la información de toda persona.</w:t>
      </w:r>
    </w:p>
    <w:p w:rsidR="00407C73" w:rsidRPr="00DE5DA7" w:rsidRDefault="001B5844" w:rsidP="00DE5DA7">
      <w:pPr>
        <w:pBdr>
          <w:top w:val="nil"/>
          <w:left w:val="nil"/>
          <w:bottom w:val="nil"/>
          <w:right w:val="nil"/>
          <w:between w:val="nil"/>
        </w:pBdr>
        <w:jc w:val="both"/>
        <w:rPr>
          <w:rFonts w:ascii="Palatino Linotype" w:hAnsi="Palatino Linotype"/>
          <w:b/>
          <w:bCs/>
          <w:color w:val="000000" w:themeColor="text1"/>
        </w:rPr>
      </w:pPr>
      <w:r w:rsidRPr="00DE5DA7">
        <w:rPr>
          <w:rFonts w:ascii="Palatino Linotype" w:eastAsia="Palatino Linotype" w:hAnsi="Palatino Linotype" w:cs="Palatino Linotype"/>
          <w:b/>
          <w:bCs/>
          <w:i/>
          <w:iCs/>
          <w:color w:val="000000" w:themeColor="text1"/>
        </w:rPr>
        <w:t>[…]</w:t>
      </w:r>
    </w:p>
    <w:p w:rsidR="00407C73" w:rsidRPr="00DE5DA7" w:rsidRDefault="00407C73" w:rsidP="00DE5DA7">
      <w:pPr>
        <w:rPr>
          <w:rFonts w:ascii="Palatino Linotype" w:hAnsi="Palatino Linotype"/>
          <w:b/>
          <w:bCs/>
          <w:color w:val="000000" w:themeColor="text1"/>
        </w:rPr>
      </w:pPr>
    </w:p>
    <w:p w:rsidR="00407C73" w:rsidRPr="00DE5DA7" w:rsidRDefault="001B5844" w:rsidP="00DE5DA7">
      <w:pPr>
        <w:pBdr>
          <w:top w:val="nil"/>
          <w:left w:val="nil"/>
          <w:bottom w:val="nil"/>
          <w:right w:val="nil"/>
          <w:between w:val="nil"/>
        </w:pBdr>
        <w:jc w:val="both"/>
        <w:rPr>
          <w:rFonts w:ascii="Palatino Linotype" w:hAnsi="Palatino Linotype"/>
          <w:b/>
          <w:bCs/>
          <w:color w:val="000000" w:themeColor="text1"/>
        </w:rPr>
      </w:pPr>
      <w:r w:rsidRPr="00DE5DA7">
        <w:rPr>
          <w:rFonts w:ascii="Palatino Linotype" w:eastAsia="Palatino Linotype" w:hAnsi="Palatino Linotype" w:cs="Palatino Linotype"/>
          <w:b/>
          <w:bCs/>
          <w:i/>
          <w:iCs/>
          <w:color w:val="000000" w:themeColor="text1"/>
        </w:rPr>
        <w:t xml:space="preserve">Artículo 161. </w:t>
      </w:r>
      <w:r w:rsidRPr="00DE5DA7">
        <w:rPr>
          <w:rFonts w:ascii="Palatino Linotype" w:eastAsia="Palatino Linotype" w:hAnsi="Palatino Linotype" w:cs="Palatino Linotype"/>
          <w:b/>
          <w:bCs/>
          <w:i/>
          <w:iCs/>
          <w:color w:val="000000" w:themeColor="text1"/>
          <w:u w:val="single"/>
        </w:rPr>
        <w:t>Cuando la información requerida por el solicitante ya esté disponible al público</w:t>
      </w:r>
      <w:r w:rsidRPr="00DE5DA7">
        <w:rPr>
          <w:rFonts w:ascii="Palatino Linotype" w:eastAsia="Palatino Linotype" w:hAnsi="Palatino Linotype" w:cs="Palatino Linotype"/>
          <w:b/>
          <w:bCs/>
          <w:i/>
          <w:iCs/>
          <w:color w:val="000000" w:themeColor="text1"/>
        </w:rPr>
        <w:t xml:space="preserve"> en medios impresos, tales como libros, compendios, trípticos, registros públicos, </w:t>
      </w:r>
      <w:r w:rsidRPr="00DE5DA7">
        <w:rPr>
          <w:rFonts w:ascii="Palatino Linotype" w:eastAsia="Palatino Linotype" w:hAnsi="Palatino Linotype" w:cs="Palatino Linotype"/>
          <w:b/>
          <w:bCs/>
          <w:i/>
          <w:iCs/>
          <w:color w:val="000000" w:themeColor="text1"/>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407C73" w:rsidRDefault="00407C73" w:rsidP="00DE5DA7">
      <w:pPr>
        <w:rPr>
          <w:rFonts w:ascii="Palatino Linotype" w:hAnsi="Palatino Linotype"/>
          <w:b/>
          <w:bCs/>
          <w:color w:val="000000" w:themeColor="text1"/>
        </w:rPr>
      </w:pPr>
    </w:p>
    <w:p w:rsidR="00021D14" w:rsidRPr="00DE5DA7" w:rsidRDefault="00021D14" w:rsidP="00DE5DA7">
      <w:pPr>
        <w:rPr>
          <w:rFonts w:ascii="Palatino Linotype" w:hAnsi="Palatino Linotype"/>
          <w:b/>
          <w:bCs/>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hAnsi="Palatino Linotype"/>
          <w:color w:val="000000" w:themeColor="text1"/>
        </w:rPr>
      </w:pPr>
      <w:r w:rsidRPr="00DE5DA7">
        <w:rPr>
          <w:rFonts w:ascii="Palatino Linotype" w:eastAsia="Palatino Linotype" w:hAnsi="Palatino Linotype" w:cs="Palatino Linotype"/>
          <w:color w:val="000000" w:themeColor="text1"/>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407C73" w:rsidRPr="00021D14" w:rsidRDefault="001B5844" w:rsidP="00021D14">
      <w:pPr>
        <w:pStyle w:val="Prrafodelista"/>
        <w:numPr>
          <w:ilvl w:val="0"/>
          <w:numId w:val="11"/>
        </w:numPr>
        <w:pBdr>
          <w:top w:val="nil"/>
          <w:left w:val="nil"/>
          <w:bottom w:val="nil"/>
          <w:right w:val="nil"/>
          <w:between w:val="nil"/>
        </w:pBdr>
        <w:jc w:val="both"/>
        <w:rPr>
          <w:rFonts w:ascii="Palatino Linotype" w:eastAsia="Palatino Linotype" w:hAnsi="Palatino Linotype" w:cs="Palatino Linotype"/>
          <w:b/>
          <w:bCs/>
          <w:color w:val="000000" w:themeColor="text1"/>
        </w:rPr>
      </w:pPr>
      <w:r w:rsidRPr="00021D14">
        <w:rPr>
          <w:rFonts w:ascii="Palatino Linotype" w:eastAsia="Palatino Linotype" w:hAnsi="Palatino Linotype" w:cs="Palatino Linotype"/>
          <w:b/>
          <w:bCs/>
          <w:color w:val="000000" w:themeColor="text1"/>
        </w:rPr>
        <w:lastRenderedPageBreak/>
        <w:t>La fuente</w:t>
      </w:r>
    </w:p>
    <w:p w:rsidR="00407C73" w:rsidRPr="00DE5DA7" w:rsidRDefault="001B5844" w:rsidP="00DE5DA7">
      <w:pPr>
        <w:numPr>
          <w:ilvl w:val="0"/>
          <w:numId w:val="11"/>
        </w:numPr>
        <w:pBdr>
          <w:top w:val="nil"/>
          <w:left w:val="nil"/>
          <w:bottom w:val="nil"/>
          <w:right w:val="nil"/>
          <w:between w:val="nil"/>
        </w:pBdr>
        <w:jc w:val="both"/>
        <w:rPr>
          <w:rFonts w:ascii="Palatino Linotype" w:eastAsia="Palatino Linotype" w:hAnsi="Palatino Linotype" w:cs="Palatino Linotype"/>
          <w:b/>
          <w:bCs/>
          <w:color w:val="000000" w:themeColor="text1"/>
        </w:rPr>
      </w:pPr>
      <w:r w:rsidRPr="00DE5DA7">
        <w:rPr>
          <w:rFonts w:ascii="Palatino Linotype" w:eastAsia="Palatino Linotype" w:hAnsi="Palatino Linotype" w:cs="Palatino Linotype"/>
          <w:b/>
          <w:bCs/>
          <w:color w:val="000000" w:themeColor="text1"/>
        </w:rPr>
        <w:t>El lugar y</w:t>
      </w:r>
    </w:p>
    <w:p w:rsidR="00407C73" w:rsidRPr="00DE5DA7" w:rsidRDefault="001B5844" w:rsidP="00DE5DA7">
      <w:pPr>
        <w:numPr>
          <w:ilvl w:val="0"/>
          <w:numId w:val="11"/>
        </w:numPr>
        <w:pBdr>
          <w:top w:val="nil"/>
          <w:left w:val="nil"/>
          <w:bottom w:val="nil"/>
          <w:right w:val="nil"/>
          <w:between w:val="nil"/>
        </w:pBdr>
        <w:jc w:val="both"/>
        <w:rPr>
          <w:rFonts w:ascii="Palatino Linotype" w:eastAsia="Palatino Linotype" w:hAnsi="Palatino Linotype" w:cs="Palatino Linotype"/>
          <w:b/>
          <w:bCs/>
          <w:color w:val="000000" w:themeColor="text1"/>
        </w:rPr>
      </w:pPr>
      <w:r w:rsidRPr="00DE5DA7">
        <w:rPr>
          <w:rFonts w:ascii="Palatino Linotype" w:eastAsia="Palatino Linotype" w:hAnsi="Palatino Linotype" w:cs="Palatino Linotype"/>
          <w:b/>
          <w:bCs/>
          <w:color w:val="000000" w:themeColor="text1"/>
        </w:rPr>
        <w:t>La forma </w:t>
      </w:r>
    </w:p>
    <w:p w:rsidR="00407C73" w:rsidRPr="00DE5DA7" w:rsidRDefault="00407C73" w:rsidP="00DE5DA7">
      <w:pPr>
        <w:rPr>
          <w:rFonts w:ascii="Palatino Linotype" w:hAnsi="Palatino Linotype"/>
          <w:b/>
          <w:bCs/>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hAnsi="Palatino Linotype"/>
          <w:color w:val="000000" w:themeColor="text1"/>
        </w:rPr>
      </w:pPr>
      <w:r w:rsidRPr="00DE5DA7">
        <w:rPr>
          <w:rFonts w:ascii="Palatino Linotype" w:eastAsia="Palatino Linotype" w:hAnsi="Palatino Linotype" w:cs="Palatino Linotype"/>
          <w:color w:val="000000" w:themeColor="text1"/>
        </w:rPr>
        <w:t>Asimismo, se establece que la fuente de la información deberá ser:</w:t>
      </w:r>
    </w:p>
    <w:p w:rsidR="00407C73" w:rsidRPr="00021D14" w:rsidRDefault="001B5844" w:rsidP="00021D14">
      <w:pPr>
        <w:pStyle w:val="Prrafodelista"/>
        <w:numPr>
          <w:ilvl w:val="0"/>
          <w:numId w:val="12"/>
        </w:numPr>
        <w:pBdr>
          <w:top w:val="nil"/>
          <w:left w:val="nil"/>
          <w:bottom w:val="nil"/>
          <w:right w:val="nil"/>
          <w:between w:val="nil"/>
        </w:pBdr>
        <w:jc w:val="both"/>
        <w:rPr>
          <w:rFonts w:ascii="Palatino Linotype" w:eastAsia="Palatino Linotype" w:hAnsi="Palatino Linotype" w:cs="Palatino Linotype"/>
          <w:b/>
          <w:bCs/>
          <w:color w:val="000000" w:themeColor="text1"/>
        </w:rPr>
      </w:pPr>
      <w:r w:rsidRPr="00021D14">
        <w:rPr>
          <w:rFonts w:ascii="Palatino Linotype" w:eastAsia="Palatino Linotype" w:hAnsi="Palatino Linotype" w:cs="Palatino Linotype"/>
          <w:b/>
          <w:bCs/>
          <w:color w:val="000000" w:themeColor="text1"/>
        </w:rPr>
        <w:t>Precisa</w:t>
      </w:r>
    </w:p>
    <w:p w:rsidR="00407C73" w:rsidRPr="00DE5DA7" w:rsidRDefault="001B5844" w:rsidP="00DE5DA7">
      <w:pPr>
        <w:numPr>
          <w:ilvl w:val="0"/>
          <w:numId w:val="12"/>
        </w:numPr>
        <w:pBdr>
          <w:top w:val="nil"/>
          <w:left w:val="nil"/>
          <w:bottom w:val="nil"/>
          <w:right w:val="nil"/>
          <w:between w:val="nil"/>
        </w:pBdr>
        <w:jc w:val="both"/>
        <w:rPr>
          <w:rFonts w:ascii="Palatino Linotype" w:eastAsia="Palatino Linotype" w:hAnsi="Palatino Linotype" w:cs="Palatino Linotype"/>
          <w:b/>
          <w:bCs/>
          <w:color w:val="000000" w:themeColor="text1"/>
        </w:rPr>
      </w:pPr>
      <w:r w:rsidRPr="00DE5DA7">
        <w:rPr>
          <w:rFonts w:ascii="Palatino Linotype" w:eastAsia="Palatino Linotype" w:hAnsi="Palatino Linotype" w:cs="Palatino Linotype"/>
          <w:b/>
          <w:bCs/>
          <w:color w:val="000000" w:themeColor="text1"/>
        </w:rPr>
        <w:t>Concreta</w:t>
      </w:r>
    </w:p>
    <w:p w:rsidR="00407C73" w:rsidRPr="00DE5DA7" w:rsidRDefault="001B5844" w:rsidP="00DE5DA7">
      <w:pPr>
        <w:numPr>
          <w:ilvl w:val="0"/>
          <w:numId w:val="12"/>
        </w:numPr>
        <w:pBdr>
          <w:top w:val="nil"/>
          <w:left w:val="nil"/>
          <w:bottom w:val="nil"/>
          <w:right w:val="nil"/>
          <w:between w:val="nil"/>
        </w:pBdr>
        <w:jc w:val="both"/>
        <w:rPr>
          <w:rFonts w:ascii="Palatino Linotype" w:eastAsia="Palatino Linotype" w:hAnsi="Palatino Linotype" w:cs="Palatino Linotype"/>
          <w:b/>
          <w:bCs/>
          <w:color w:val="000000" w:themeColor="text1"/>
        </w:rPr>
      </w:pPr>
      <w:r w:rsidRPr="00DE5DA7">
        <w:rPr>
          <w:rFonts w:ascii="Palatino Linotype" w:eastAsia="Palatino Linotype" w:hAnsi="Palatino Linotype" w:cs="Palatino Linotype"/>
          <w:b/>
          <w:bCs/>
          <w:color w:val="000000" w:themeColor="text1"/>
        </w:rPr>
        <w:t>Y no debe implicar que el solicitante realice una búsqueda en toda la información que se encuentre disponible.</w:t>
      </w:r>
    </w:p>
    <w:p w:rsidR="00407C73" w:rsidRPr="00DE5DA7" w:rsidRDefault="00407C73" w:rsidP="00DE5DA7">
      <w:pPr>
        <w:rPr>
          <w:rFonts w:ascii="Palatino Linotype" w:hAnsi="Palatino Linotype"/>
          <w:b/>
          <w:bCs/>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hAnsi="Palatino Linotype"/>
          <w:color w:val="000000" w:themeColor="text1"/>
        </w:rPr>
      </w:pPr>
      <w:r w:rsidRPr="00DE5DA7">
        <w:rPr>
          <w:rFonts w:ascii="Palatino Linotype" w:eastAsia="Palatino Linotype" w:hAnsi="Palatino Linotype" w:cs="Palatino Linotype"/>
          <w:color w:val="000000" w:themeColor="text1"/>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que conduce a la página oficial del Ayuntamiento de Tecámac, sin que señalara puntualmente donde se encuentra la información de la  Presidenta Municipal,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407C73" w:rsidRPr="00DE5DA7" w:rsidRDefault="00407C73" w:rsidP="00DE5DA7">
      <w:pPr>
        <w:spacing w:line="360" w:lineRule="auto"/>
        <w:rPr>
          <w:rFonts w:ascii="Palatino Linotype" w:hAnsi="Palatino Linotype"/>
          <w:b/>
          <w:bCs/>
          <w:color w:val="000000" w:themeColor="text1"/>
        </w:rPr>
      </w:pP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DE5DA7">
        <w:rPr>
          <w:rFonts w:ascii="Palatino Linotype" w:eastAsia="Palatino Linotype" w:hAnsi="Palatino Linotype" w:cs="Palatino Linotype"/>
          <w:color w:val="000000" w:themeColor="text1"/>
        </w:rPr>
        <w:t xml:space="preserve">Es por lo anterior que este Organismo Garante exhorta de manera respetuosa al Sujeto Obligado para que en futuras ocasiones que pretenda emplear ligas electrónicas para atender las solicitudes de información, se asegure de que dichos enlaces sean accesibles para los </w:t>
      </w:r>
      <w:r w:rsidRPr="00DE5DA7">
        <w:rPr>
          <w:rFonts w:ascii="Palatino Linotype" w:eastAsia="Palatino Linotype" w:hAnsi="Palatino Linotype" w:cs="Palatino Linotype"/>
          <w:color w:val="000000" w:themeColor="text1"/>
        </w:rPr>
        <w:lastRenderedPageBreak/>
        <w:t>solicitantes, esto es, que puedan copiarse y pegarse con facilidad para su consulta y que remitan a la fuente concreta donde obra la información</w:t>
      </w:r>
    </w:p>
    <w:p w:rsidR="00407C73" w:rsidRPr="00DE5DA7" w:rsidRDefault="00407C73" w:rsidP="00DE5DA7">
      <w:pPr>
        <w:pBdr>
          <w:top w:val="nil"/>
          <w:left w:val="nil"/>
          <w:bottom w:val="nil"/>
          <w:right w:val="nil"/>
          <w:between w:val="nil"/>
        </w:pBdr>
        <w:spacing w:line="360" w:lineRule="auto"/>
        <w:jc w:val="both"/>
        <w:rPr>
          <w:rFonts w:ascii="Palatino Linotype" w:hAnsi="Palatino Linotype"/>
          <w:color w:val="000000" w:themeColor="text1"/>
        </w:rPr>
      </w:pP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color w:val="000000" w:themeColor="text1"/>
        </w:rPr>
        <w:t>Ahora bien, respecto la información solicitada, el REGLAMENTO INTERNO DEL ORGANISMO PÚBLICO DESCENTRALIZADO PARA LA PRESTACIÓN DE LOS SERVICIOS DE AGUA POTABLE, ALCANTARILLADO Y SANEAMIENTO DEL MUNICIPIO DE CUAUTITLÁN IZCALLI, DENOMINADO OPERAGUA IZCALLI O.P.D.M. 2025-2027, refiere lo siguiente:</w:t>
      </w:r>
    </w:p>
    <w:p w:rsidR="00407C73" w:rsidRPr="00DE5DA7" w:rsidRDefault="001B5844" w:rsidP="00DE5DA7">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Título Primero</w:t>
      </w:r>
    </w:p>
    <w:p w:rsidR="00407C73" w:rsidRPr="00DE5DA7" w:rsidRDefault="001B5844" w:rsidP="00DE5DA7">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Disposiciones Generales</w:t>
      </w:r>
    </w:p>
    <w:p w:rsidR="00407C73" w:rsidRPr="00DE5DA7" w:rsidRDefault="00407C73" w:rsidP="00DE5DA7">
      <w:pPr>
        <w:pBdr>
          <w:top w:val="nil"/>
          <w:left w:val="nil"/>
          <w:bottom w:val="nil"/>
          <w:right w:val="nil"/>
          <w:between w:val="nil"/>
        </w:pBdr>
        <w:jc w:val="both"/>
        <w:rPr>
          <w:rFonts w:ascii="Palatino Linotype" w:eastAsia="Palatino Linotype" w:hAnsi="Palatino Linotype" w:cs="Palatino Linotype"/>
          <w:b/>
          <w:bCs/>
          <w:i/>
          <w:iCs/>
          <w:color w:val="000000" w:themeColor="text1"/>
        </w:rPr>
      </w:pP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t xml:space="preserve"> Artículo 1.-</w:t>
      </w:r>
      <w:r w:rsidRPr="00DE5DA7">
        <w:rPr>
          <w:rFonts w:ascii="Palatino Linotype" w:eastAsia="Palatino Linotype" w:hAnsi="Palatino Linotype" w:cs="Palatino Linotype"/>
          <w:i/>
          <w:iCs/>
          <w:color w:val="000000" w:themeColor="text1"/>
        </w:rPr>
        <w:t xml:space="preserve"> Las disposiciones del presente Reglamento Interno tienen por objeto establecer las bases para la organización y funcionamiento del Organismo Público Descentralizado para la prestación de los Servicios de Agua Potable, Alcantarillado y Saneamiento del Municipio de Cuautitlán Izcalli, denominado Operagua Izcalli O.P.D.M.</w:t>
      </w:r>
    </w:p>
    <w:p w:rsidR="00407C73" w:rsidRPr="00DE5DA7" w:rsidRDefault="00407C73" w:rsidP="00DE5DA7">
      <w:pPr>
        <w:pBdr>
          <w:top w:val="nil"/>
          <w:left w:val="nil"/>
          <w:bottom w:val="nil"/>
          <w:right w:val="nil"/>
          <w:between w:val="nil"/>
        </w:pBdr>
        <w:jc w:val="center"/>
        <w:rPr>
          <w:rFonts w:ascii="Palatino Linotype" w:eastAsia="Palatino Linotype" w:hAnsi="Palatino Linotype" w:cs="Palatino Linotype"/>
          <w:b/>
          <w:bCs/>
          <w:i/>
          <w:iCs/>
          <w:color w:val="000000" w:themeColor="text1"/>
        </w:rPr>
      </w:pPr>
    </w:p>
    <w:p w:rsidR="00407C73" w:rsidRPr="00DE5DA7" w:rsidRDefault="001B5844" w:rsidP="00DE5DA7">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Título Segundo</w:t>
      </w:r>
    </w:p>
    <w:p w:rsidR="00407C73" w:rsidRPr="00DE5DA7" w:rsidRDefault="001B5844" w:rsidP="00DE5DA7">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De la Organización</w:t>
      </w:r>
    </w:p>
    <w:p w:rsidR="00407C73" w:rsidRPr="00DE5DA7" w:rsidRDefault="001B5844" w:rsidP="00DE5DA7">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Capítulo Primero</w:t>
      </w:r>
    </w:p>
    <w:p w:rsidR="00407C73" w:rsidRPr="00DE5DA7" w:rsidRDefault="001B5844" w:rsidP="00DE5DA7">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De la Administración del Organismo</w:t>
      </w:r>
    </w:p>
    <w:p w:rsidR="00407C73" w:rsidRPr="00DE5DA7" w:rsidRDefault="001B5844" w:rsidP="00DE5DA7">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Sección Primera</w:t>
      </w:r>
    </w:p>
    <w:p w:rsidR="00407C73" w:rsidRPr="00DE5DA7" w:rsidRDefault="001B5844" w:rsidP="00DE5DA7">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Del Consejo Directivo</w:t>
      </w:r>
    </w:p>
    <w:p w:rsidR="00407C73" w:rsidRPr="00DE5DA7" w:rsidRDefault="00407C73" w:rsidP="00DE5DA7">
      <w:pPr>
        <w:pBdr>
          <w:top w:val="nil"/>
          <w:left w:val="nil"/>
          <w:bottom w:val="nil"/>
          <w:right w:val="nil"/>
          <w:between w:val="nil"/>
        </w:pBdr>
        <w:jc w:val="both"/>
        <w:rPr>
          <w:rFonts w:ascii="Palatino Linotype" w:eastAsia="Palatino Linotype" w:hAnsi="Palatino Linotype" w:cs="Palatino Linotype"/>
          <w:b/>
          <w:bCs/>
          <w:i/>
          <w:iCs/>
          <w:color w:val="000000" w:themeColor="text1"/>
        </w:rPr>
      </w:pP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t xml:space="preserve"> Artículo 6.-</w:t>
      </w:r>
      <w:r w:rsidRPr="00DE5DA7">
        <w:rPr>
          <w:rFonts w:ascii="Palatino Linotype" w:eastAsia="Palatino Linotype" w:hAnsi="Palatino Linotype" w:cs="Palatino Linotype"/>
          <w:i/>
          <w:iCs/>
          <w:color w:val="000000" w:themeColor="text1"/>
        </w:rPr>
        <w:t xml:space="preserve"> La administración del Organismo estará a cargo del Consejo Directivo y de la Dirección General.</w:t>
      </w:r>
    </w:p>
    <w:p w:rsidR="00407C73" w:rsidRPr="00DE5DA7" w:rsidRDefault="00407C73"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t>Artículo 7.-</w:t>
      </w:r>
      <w:r w:rsidRPr="00DE5DA7">
        <w:rPr>
          <w:rFonts w:ascii="Palatino Linotype" w:eastAsia="Palatino Linotype" w:hAnsi="Palatino Linotype" w:cs="Palatino Linotype"/>
          <w:i/>
          <w:iCs/>
          <w:color w:val="000000" w:themeColor="text1"/>
        </w:rPr>
        <w:t xml:space="preserve"> El Consejo Directivo estará integrado de la siguiente forma: </w:t>
      </w:r>
    </w:p>
    <w:p w:rsidR="00407C73" w:rsidRPr="00DE5DA7" w:rsidRDefault="00407C73"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 Un Presidente, que será el Presidente Municipal o la persona que éste designe;</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lastRenderedPageBreak/>
        <w:t xml:space="preserve"> II. Un Secretario Técnico, que será el Director General del Organismo;</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 III. Un representante del Ayuntamiento como vocal;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IV. Un representante de la Comisión del Agua del Estado de México;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V. Un comisario designado por el Ayuntamiento; y</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 VI. Tres vocales designados por el Ayuntamiento a propuesta del Presidente Municipal, de entre los propuestos por las organizaciones vecinales, comerciales, industriales, o de otro tipo, que cuenten con la mayor representatividad entre los usuarios.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El Presidente del Consejo Directivo y el representante de la Comisión del Agua del Estado de México, tendrán un suplente, que será propuesto por su propietario y será aprobado por el Consejo Directivo.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Los integrantes del Consejo Directivo tendrán derecho a voz y voto, con excepción del Secretario Técnico y del Comisario. En caso de empate, el Presidente tendrá voto de calidad.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A las sesiones del Consejo Directivo se invitará a un representante de la Comisión Técnica, quien tendrá derecho a voz.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El cargo de miembro del Consejo Directivo será honorífico.</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w:t>
      </w:r>
    </w:p>
    <w:p w:rsidR="00407C73" w:rsidRPr="00DE5DA7" w:rsidRDefault="00407C73"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407C73" w:rsidRPr="00DE5DA7" w:rsidRDefault="00407C73"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Artículo 21.- Para el despacho, control y evaluación de los asuntos de su competencia, el Organismo contará con las Unidades Administrativas y subalternas siguientes:</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 Dirección General:</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a. Coordinación de Oficinas de la Dirección General.</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 Unidad de Cultura del Agua y enlace con comunicación</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b. Departamento de Transparencia</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c. Secretaría Técnica.</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 Unidad de Información, Planeación, Programación y Evaluación (UIPPE).</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ii. Departamento de Mejora Regulatoria y Gobierno Digital.</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iii. Unidad de Oficialía de Partes.</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iv. Departamento de Control Patrimonial y Archivo.</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lastRenderedPageBreak/>
        <w:t>d. Contraloría Interna.</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 Departamento de Auditoría y Control Interno.</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ii. Departamento de Investigación y Combate a la Corrupción.</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iii. Departamento Substanciador y Resolutor.</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II. Dirección Jurídica:</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 Departamento de Asuntos Consultivos.</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ii. Departamento de Asuntos Contenciosos.</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III. Dirección de Construcción y Operación Hidráulica</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a. Coordinación de Operación Hidráulica:</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 Departamento de Agua Potable y Pipas.</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ii. Departamento de Calidad del Agua.</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iii. Unidad de Macromedición y Telemetría.</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b. Coordinación de Drenaje y Saneamiento</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 Departamento de Electromecánico y Plantas de Tratamiento.</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ii. Departamento de Drenaje y Alcantarillado.</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c. Coordinación de Construcción y Proyectos.</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 Departamento de Estudios y Proyectos.</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ii. Departamento de Precios Unitarios.</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iii. Departamento de Ejecución de Obras y Mantenimiento.</w:t>
      </w:r>
      <w:r w:rsidRPr="00DE5DA7">
        <w:rPr>
          <w:rFonts w:ascii="Palatino Linotype" w:eastAsia="Palatino Linotype" w:hAnsi="Palatino Linotype" w:cs="Palatino Linotype"/>
          <w:i/>
          <w:iCs/>
          <w:color w:val="000000" w:themeColor="text1"/>
        </w:rPr>
        <w:br/>
      </w:r>
      <w:r w:rsidRPr="00DE5DA7">
        <w:rPr>
          <w:rFonts w:ascii="Palatino Linotype" w:hAnsi="Palatino Linotype"/>
          <w:color w:val="000000" w:themeColor="text1"/>
        </w:rPr>
        <w:t xml:space="preserve"> </w:t>
      </w:r>
      <w:r w:rsidRPr="00DE5DA7">
        <w:rPr>
          <w:rFonts w:ascii="Palatino Linotype" w:eastAsia="Palatino Linotype" w:hAnsi="Palatino Linotype" w:cs="Palatino Linotype"/>
          <w:i/>
          <w:iCs/>
          <w:color w:val="000000" w:themeColor="text1"/>
        </w:rPr>
        <w:t>IV. Dirección de Administración y Finanzas:</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a. Coordinación de Finanzas</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 Departamento de Caja General.</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lastRenderedPageBreak/>
        <w:t>ii. Departamento de Contabilidad.</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iii. Departamento de Control Presupuestal</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b. Coordinación de Administración</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 Departamento de Recursos Humanos.</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ii. Departamento de Servicios Generales y Control Vehicular.</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iii. Departamento de Recursos Materiales y Adquisiciones.</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iv. Departamento de Sistemas, Telecomunicaciones y soporte Tecnológico.</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V. Dirección de Comercialización:</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 Departamento de Inspecciones y Medidores.</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ii. Departamento de Ejecución Fiscal y Restricciones.</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iii. Departamento de Padrón y Liquidaciones.</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iv. Departamento de Dictámenes y Factibilidades.</w:t>
      </w:r>
    </w:p>
    <w:p w:rsidR="00407C73" w:rsidRPr="00DE5DA7" w:rsidRDefault="001B5844" w:rsidP="00DE5D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v. Departamento de Lectura y Medición.</w:t>
      </w:r>
    </w:p>
    <w:p w:rsidR="00407C73" w:rsidRPr="00DE5DA7" w:rsidRDefault="001B5844" w:rsidP="00DE5DA7">
      <w:pPr>
        <w:pBdr>
          <w:top w:val="nil"/>
          <w:left w:val="nil"/>
          <w:bottom w:val="nil"/>
          <w:right w:val="nil"/>
          <w:between w:val="nil"/>
        </w:pBdr>
        <w:spacing w:after="280" w:line="360"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vi. Departamento de Atención a Usuarios.</w:t>
      </w:r>
    </w:p>
    <w:p w:rsidR="00407C73" w:rsidRPr="00DE5DA7" w:rsidRDefault="00407C73"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Es así que el documento que de manera enunciativa más no limitativa, que pudiera dar cuenta de lo solicitado, es la conciliación de nómina que dada su propia y especial naturaleza, son los documentos idóneos donde consta la información solicitada.</w:t>
      </w:r>
    </w:p>
    <w:p w:rsidR="00407C73" w:rsidRDefault="00407C73" w:rsidP="00DE5DA7">
      <w:pPr>
        <w:pBdr>
          <w:top w:val="nil"/>
          <w:left w:val="nil"/>
          <w:bottom w:val="nil"/>
          <w:right w:val="nil"/>
          <w:between w:val="nil"/>
        </w:pBdr>
        <w:spacing w:after="280" w:line="360" w:lineRule="auto"/>
        <w:jc w:val="both"/>
        <w:rPr>
          <w:rFonts w:ascii="Palatino Linotype" w:eastAsia="Palatino Linotype" w:hAnsi="Palatino Linotype" w:cs="Palatino Linotype"/>
          <w:color w:val="000000" w:themeColor="text1"/>
        </w:rPr>
      </w:pPr>
    </w:p>
    <w:p w:rsidR="00021D14" w:rsidRDefault="00021D14" w:rsidP="00DE5DA7">
      <w:pPr>
        <w:pBdr>
          <w:top w:val="nil"/>
          <w:left w:val="nil"/>
          <w:bottom w:val="nil"/>
          <w:right w:val="nil"/>
          <w:between w:val="nil"/>
        </w:pBdr>
        <w:spacing w:after="280" w:line="360" w:lineRule="auto"/>
        <w:jc w:val="both"/>
        <w:rPr>
          <w:rFonts w:ascii="Palatino Linotype" w:eastAsia="Palatino Linotype" w:hAnsi="Palatino Linotype" w:cs="Palatino Linotype"/>
          <w:color w:val="000000" w:themeColor="text1"/>
        </w:rPr>
      </w:pPr>
    </w:p>
    <w:p w:rsidR="00021D14" w:rsidRPr="00DE5DA7" w:rsidRDefault="00021D14" w:rsidP="00DE5DA7">
      <w:pPr>
        <w:pBdr>
          <w:top w:val="nil"/>
          <w:left w:val="nil"/>
          <w:bottom w:val="nil"/>
          <w:right w:val="nil"/>
          <w:between w:val="nil"/>
        </w:pBdr>
        <w:spacing w:after="280" w:line="360" w:lineRule="auto"/>
        <w:jc w:val="both"/>
        <w:rPr>
          <w:rFonts w:ascii="Palatino Linotype" w:eastAsia="Palatino Linotype" w:hAnsi="Palatino Linotype" w:cs="Palatino Linotype"/>
          <w:color w:val="000000" w:themeColor="text1"/>
        </w:rPr>
      </w:pPr>
    </w:p>
    <w:p w:rsidR="00407C73" w:rsidRPr="00DE5DA7" w:rsidRDefault="001B5844" w:rsidP="00DE5DA7">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bCs/>
          <w:color w:val="000000" w:themeColor="text1"/>
        </w:rPr>
      </w:pPr>
      <w:r w:rsidRPr="00DE5DA7">
        <w:rPr>
          <w:rFonts w:ascii="Palatino Linotype" w:eastAsia="Palatino Linotype" w:hAnsi="Palatino Linotype" w:cs="Palatino Linotype"/>
          <w:b/>
          <w:bCs/>
          <w:color w:val="000000" w:themeColor="text1"/>
        </w:rPr>
        <w:lastRenderedPageBreak/>
        <w:t>Conciliación de nómina:</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color w:val="000000" w:themeColor="text1"/>
        </w:rPr>
        <w:t xml:space="preserve">Se debe de establecer que la </w:t>
      </w:r>
      <w:r w:rsidRPr="00DE5DA7">
        <w:rPr>
          <w:rFonts w:ascii="Palatino Linotype" w:eastAsia="Palatino Linotype" w:hAnsi="Palatino Linotype" w:cs="Palatino Linotype"/>
          <w:b/>
          <w:bCs/>
          <w:color w:val="000000" w:themeColor="text1"/>
        </w:rPr>
        <w:t>conciliación de nómina</w:t>
      </w:r>
      <w:r w:rsidRPr="00DE5DA7">
        <w:rPr>
          <w:rFonts w:ascii="Palatino Linotype" w:eastAsia="Palatino Linotype" w:hAnsi="Palatino Linotype" w:cs="Palatino Linotype"/>
          <w:color w:val="000000" w:themeColor="text1"/>
        </w:rPr>
        <w:t xml:space="preserve"> es información que se encuentra dentro de las atribuciones de la Tesorería Municipal, quien de acuerdo con la Ley Orgánica Municipal del Estado de México, tiene las siguientes funciones.  </w:t>
      </w:r>
    </w:p>
    <w:p w:rsidR="00407C73" w:rsidRPr="00DE5DA7" w:rsidRDefault="001B5844" w:rsidP="00DE5DA7">
      <w:pP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t xml:space="preserve">Artículo 95.- </w:t>
      </w:r>
      <w:r w:rsidRPr="00DE5DA7">
        <w:rPr>
          <w:rFonts w:ascii="Palatino Linotype" w:eastAsia="Palatino Linotype" w:hAnsi="Palatino Linotype" w:cs="Palatino Linotype"/>
          <w:i/>
          <w:iCs/>
          <w:color w:val="000000" w:themeColor="text1"/>
        </w:rPr>
        <w:t xml:space="preserve">Son atribuciones del tesorero municipal: </w:t>
      </w:r>
    </w:p>
    <w:p w:rsidR="00407C73" w:rsidRPr="00DE5DA7" w:rsidRDefault="001B5844" w:rsidP="00DE5DA7">
      <w:pPr>
        <w:numPr>
          <w:ilvl w:val="1"/>
          <w:numId w:val="4"/>
        </w:numPr>
        <w:pBdr>
          <w:top w:val="nil"/>
          <w:left w:val="nil"/>
          <w:bottom w:val="nil"/>
          <w:right w:val="nil"/>
          <w:between w:val="nil"/>
        </w:pBdr>
        <w:ind w:left="0" w:firstLine="0"/>
        <w:jc w:val="both"/>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 xml:space="preserve">Administrar la hacienda pública municipal, de conformidad con las disposiciones legales aplicables;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III. Imponer las sanciones administrativas que procedan por infracciones a las disposiciones fiscales;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 xml:space="preserve">IV. Llevar los registros contables, financieros y administrativos de los ingresos, egresos, e inventarios;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V. Proporcionar oportunamente al ayuntamiento todos los datos o informes que sean necesarios para la formulación del Presupuesto de Egresos Municipales, vigilando que se ajuste a las disposiciones de esta Ley y otros ordenamientos aplicables;</w:t>
      </w:r>
      <w:r w:rsidRPr="00DE5DA7">
        <w:rPr>
          <w:rFonts w:ascii="Palatino Linotype" w:eastAsia="Palatino Linotype" w:hAnsi="Palatino Linotype" w:cs="Palatino Linotype"/>
          <w:color w:val="000000" w:themeColor="text1"/>
        </w:rPr>
        <w:t xml:space="preserve">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VI. Presentar anualmente al ayuntamiento un informe de la situación contable financiera de la Tesorería Municipal;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VI Bis. Proporcionar para la formulación del proyecto de Presupuesto de Egresos Municipales la información financiera relativa a la solución o en su caso, el pago de los litigios laborales;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VII. Diseñar y aprobar las formas oficiales de manifestaciones, avisos y declaraciones y demás documentos requeridos;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VIII. Participar en la formulación de Convenios Fiscales y ejercer las atribuciones que le correspondan en el ámbito de su competencia;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IX. Proponer al ayuntamiento la cancelación de cuentas incobrables;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X. Custodiar y ejercer las garantías que se otorguen en favor de la hacienda municipal;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XI. Proponer la política de ingresos de la tesorería municipal;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XII. Intervenir en la elaboración del programa financiero municipal;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XIII. Elaborar y mantener actualizado el Padrón de Contribuyentes;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lastRenderedPageBreak/>
        <w:t xml:space="preserve">XIV. Ministrar a su inmediato antecesor todos los datos oficiales que le solicitare, para contestar los pliegos de observaciones y alcances que formule y deduzca el Órgano Superior de Fiscalización del Estado de México;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XV. Solicitar a las instancias competentes, la práctica de revisiones circunstanciadas, de conformidad con las normas que rigen en materia de control y evaluación gubernamental en el ámbito municipal;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XVI. Glosar oportunamente las cuentas del ayuntamiento;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DE5DA7">
        <w:rPr>
          <w:rFonts w:ascii="Palatino Linotype" w:eastAsia="Palatino Linotype" w:hAnsi="Palatino Linotype" w:cs="Palatino Linotype"/>
          <w:i/>
          <w:iCs/>
          <w:color w:val="000000" w:themeColor="text1"/>
        </w:rPr>
        <w:t xml:space="preserve">;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XVIII. Expedir copias certificadas de los documentos a su cuidado, por acuerdo expreso del Ayuntamiento y cuando se trate de documentación presentada ante el Órgano Superior de Fiscalización del Estado de México;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XX. Dar cumplimiento a las leyes, convenios de coordinación fiscal y demás que en materia hacendaria celebre el Ayuntamiento con el Estado;</w:t>
      </w:r>
      <w:r w:rsidRPr="00DE5DA7">
        <w:rPr>
          <w:rFonts w:ascii="Palatino Linotype" w:eastAsia="Palatino Linotype" w:hAnsi="Palatino Linotype" w:cs="Palatino Linotype"/>
          <w:color w:val="000000" w:themeColor="text1"/>
        </w:rPr>
        <w:t xml:space="preserve">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 xml:space="preserve">XXI. Entregar oportunamente a él o los Síndicos, según sea el caso, el informe mensual que corresponda, a fin de que se revise, y de ser necesario, para que se formulen las observaciones respectivas.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XXII. Las que les señalen las demás disposiciones legales y el ayuntamiento.</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De lo anterior, se observa que la Tesorería Municipal, es el área encargada de administrar la hacienda pública municipal, de conformidad con las disposiciones legales aplicables, así como de atender la solicitudes o pliegos de información de información que le requiera el Órgano Superior de Fiscalización del Estado de México al Municipio y así como </w:t>
      </w:r>
      <w:r w:rsidRPr="00DE5DA7">
        <w:rPr>
          <w:rFonts w:ascii="Palatino Linotype" w:eastAsia="Palatino Linotype" w:hAnsi="Palatino Linotype" w:cs="Palatino Linotype"/>
          <w:color w:val="000000" w:themeColor="text1"/>
        </w:rPr>
        <w:lastRenderedPageBreak/>
        <w:t xml:space="preserve">la entrega oportuna al Síndico Municipal del informe mensual que se remite al Órgano Superior de Fiscalización del Estado de México. </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En esa línea de estudio, se debe de señalar que la información solicitada por parte del </w:t>
      </w:r>
      <w:r w:rsidRPr="00DE5DA7">
        <w:rPr>
          <w:rFonts w:ascii="Palatino Linotype" w:eastAsia="Palatino Linotype" w:hAnsi="Palatino Linotype" w:cs="Palatino Linotype"/>
          <w:b/>
          <w:bCs/>
          <w:color w:val="000000" w:themeColor="text1"/>
        </w:rPr>
        <w:t xml:space="preserve">RECURRENTE </w:t>
      </w:r>
      <w:r w:rsidRPr="00DE5DA7">
        <w:rPr>
          <w:rFonts w:ascii="Palatino Linotype" w:eastAsia="Palatino Linotype" w:hAnsi="Palatino Linotype" w:cs="Palatino Linotype"/>
          <w:color w:val="000000" w:themeColor="text1"/>
        </w:rPr>
        <w:t xml:space="preserve">forma parte de la información de las obligaciones de transparencia común de conformidad con el artículo 92 de la Ley de Transparencia y Acceso a la Información Pública del Estado de México y Municipios. </w:t>
      </w:r>
    </w:p>
    <w:p w:rsidR="00407C73" w:rsidRPr="00DE5DA7" w:rsidRDefault="001B5844" w:rsidP="00DE5DA7">
      <w:pP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t>Artículo 92.</w:t>
      </w:r>
      <w:r w:rsidRPr="00DE5DA7">
        <w:rPr>
          <w:rFonts w:ascii="Palatino Linotype" w:eastAsia="Palatino Linotype" w:hAnsi="Palatino Linotype" w:cs="Palatino Linotype"/>
          <w:i/>
          <w:iCs/>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07C73" w:rsidRPr="00DE5DA7" w:rsidRDefault="001B5844" w:rsidP="00DE5DA7">
      <w:pPr>
        <w:jc w:val="both"/>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407C73" w:rsidRPr="00DE5DA7" w:rsidRDefault="00407C73" w:rsidP="00DE5DA7">
      <w:pPr>
        <w:jc w:val="both"/>
        <w:rPr>
          <w:rFonts w:ascii="Palatino Linotype" w:eastAsia="Palatino Linotype" w:hAnsi="Palatino Linotype" w:cs="Palatino Linotype"/>
          <w:b/>
          <w:bCs/>
          <w:i/>
          <w:iCs/>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DE5DA7">
        <w:rPr>
          <w:rFonts w:ascii="Palatino Linotype" w:eastAsia="Palatino Linotype" w:hAnsi="Palatino Linotype" w:cs="Palatino Linotype"/>
          <w:i/>
          <w:iCs/>
          <w:color w:val="000000" w:themeColor="text1"/>
        </w:rPr>
        <w:t xml:space="preserve">en el ámbito de sus atribuciones, de promover, respetar, proteger y </w:t>
      </w:r>
      <w:r w:rsidRPr="00DE5DA7">
        <w:rPr>
          <w:rFonts w:ascii="Palatino Linotype" w:eastAsia="Palatino Linotype" w:hAnsi="Palatino Linotype" w:cs="Palatino Linotype"/>
          <w:b/>
          <w:bCs/>
          <w:i/>
          <w:iCs/>
          <w:color w:val="000000" w:themeColor="text1"/>
        </w:rPr>
        <w:t>garantizar</w:t>
      </w:r>
      <w:r w:rsidRPr="00DE5DA7">
        <w:rPr>
          <w:rFonts w:ascii="Palatino Linotype" w:eastAsia="Palatino Linotype" w:hAnsi="Palatino Linotype" w:cs="Palatino Linotype"/>
          <w:i/>
          <w:iCs/>
          <w:color w:val="000000" w:themeColor="text1"/>
        </w:rPr>
        <w:t xml:space="preserve"> los derechos humanos. </w:t>
      </w:r>
      <w:r w:rsidRPr="00DE5DA7">
        <w:rPr>
          <w:rFonts w:ascii="Palatino Linotype" w:eastAsia="Palatino Linotype" w:hAnsi="Palatino Linotype" w:cs="Palatino Linotype"/>
          <w:b/>
          <w:bCs/>
          <w:i/>
          <w:iCs/>
          <w:color w:val="000000" w:themeColor="text1"/>
        </w:rPr>
        <w:t>En cuanto al derecho de acceso a la información, la Ley de Transparencia y Acceso a la Información Pública del Estado de México y Municipios prevé establece que e</w:t>
      </w:r>
      <w:r w:rsidRPr="00DE5DA7">
        <w:rPr>
          <w:rFonts w:ascii="Palatino Linotype" w:eastAsia="Palatino Linotype" w:hAnsi="Palatino Linotype" w:cs="Palatino Linotype"/>
          <w:i/>
          <w:iCs/>
          <w:color w:val="000000" w:themeColor="text1"/>
        </w:rPr>
        <w:t xml:space="preserve">l procedimiento de acceso a la información es la garantía primaria del derecho en cuestión y se rige por los principios de simplicidad, rapidez y gratuidad del procedimiento, auxilio y </w:t>
      </w:r>
      <w:r w:rsidRPr="00DE5DA7">
        <w:rPr>
          <w:rFonts w:ascii="Palatino Linotype" w:eastAsia="Palatino Linotype" w:hAnsi="Palatino Linotype" w:cs="Palatino Linotype"/>
          <w:i/>
          <w:iCs/>
          <w:color w:val="000000" w:themeColor="text1"/>
        </w:rPr>
        <w:lastRenderedPageBreak/>
        <w:t>orientación a los particulares</w:t>
      </w:r>
      <w:r w:rsidRPr="00DE5DA7">
        <w:rPr>
          <w:rFonts w:ascii="Palatino Linotype" w:eastAsia="Palatino Linotype" w:hAnsi="Palatino Linotype" w:cs="Palatino Linotype"/>
          <w:i/>
          <w:iCs/>
          <w:color w:val="000000" w:themeColor="text1"/>
          <w:vertAlign w:val="superscript"/>
        </w:rPr>
        <w:footnoteReference w:id="5"/>
      </w:r>
      <w:r w:rsidRPr="00DE5DA7">
        <w:rPr>
          <w:rFonts w:ascii="Palatino Linotype" w:eastAsia="Palatino Linotype" w:hAnsi="Palatino Linotype" w:cs="Palatino Linotype"/>
          <w:i/>
          <w:iCs/>
          <w:color w:val="000000" w:themeColor="text1"/>
        </w:rPr>
        <w:t xml:space="preserve">, </w:t>
      </w:r>
      <w:r w:rsidRPr="00DE5DA7">
        <w:rPr>
          <w:rFonts w:ascii="Palatino Linotype" w:eastAsia="Palatino Linotype" w:hAnsi="Palatino Linotype" w:cs="Palatino Linotype"/>
          <w:color w:val="000000" w:themeColor="text1"/>
        </w:rPr>
        <w:t>asimismo establece</w:t>
      </w:r>
      <w:r w:rsidRPr="00DE5DA7">
        <w:rPr>
          <w:rFonts w:ascii="Palatino Linotype" w:eastAsia="Palatino Linotype" w:hAnsi="Palatino Linotype" w:cs="Palatino Linotype"/>
          <w:i/>
          <w:iCs/>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407C73" w:rsidRPr="00DE5DA7" w:rsidRDefault="001B5844" w:rsidP="00DE5DA7">
      <w:pP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t xml:space="preserve">“NÓMINA </w:t>
      </w:r>
      <w:r w:rsidRPr="00DE5DA7">
        <w:rPr>
          <w:rFonts w:ascii="Palatino Linotype" w:eastAsia="Palatino Linotype" w:hAnsi="Palatino Linotype" w:cs="Palatino Linotype"/>
          <w:i/>
          <w:iCs/>
          <w:color w:val="000000" w:themeColor="text1"/>
        </w:rPr>
        <w:t>Listado general de los trabajadores de una institución, en</w:t>
      </w:r>
      <w:r w:rsidRPr="00DE5DA7">
        <w:rPr>
          <w:rFonts w:ascii="Palatino Linotype" w:eastAsia="Palatino Linotype" w:hAnsi="Palatino Linotype" w:cs="Palatino Linotype"/>
          <w:b/>
          <w:bCs/>
          <w:i/>
          <w:iCs/>
          <w:color w:val="000000" w:themeColor="text1"/>
        </w:rPr>
        <w:t xml:space="preserve"> </w:t>
      </w:r>
      <w:r w:rsidRPr="00DE5DA7">
        <w:rPr>
          <w:rFonts w:ascii="Palatino Linotype" w:eastAsia="Palatino Linotype" w:hAnsi="Palatino Linotype" w:cs="Palatino Linotype"/>
          <w:i/>
          <w:iCs/>
          <w:color w:val="000000" w:themeColor="text1"/>
        </w:rPr>
        <w:t>el cual se asientan las percepciones brutas, deducciones y</w:t>
      </w:r>
      <w:r w:rsidRPr="00DE5DA7">
        <w:rPr>
          <w:rFonts w:ascii="Palatino Linotype" w:eastAsia="Palatino Linotype" w:hAnsi="Palatino Linotype" w:cs="Palatino Linotype"/>
          <w:b/>
          <w:bCs/>
          <w:i/>
          <w:iCs/>
          <w:color w:val="000000" w:themeColor="text1"/>
        </w:rPr>
        <w:t xml:space="preserve"> </w:t>
      </w:r>
      <w:r w:rsidRPr="00DE5DA7">
        <w:rPr>
          <w:rFonts w:ascii="Palatino Linotype" w:eastAsia="Palatino Linotype" w:hAnsi="Palatino Linotype" w:cs="Palatino Linotype"/>
          <w:i/>
          <w:iCs/>
          <w:color w:val="000000" w:themeColor="text1"/>
        </w:rPr>
        <w:t>alcance neto de las mismas; la nómina es utilizada para</w:t>
      </w:r>
      <w:r w:rsidRPr="00DE5DA7">
        <w:rPr>
          <w:rFonts w:ascii="Palatino Linotype" w:eastAsia="Palatino Linotype" w:hAnsi="Palatino Linotype" w:cs="Palatino Linotype"/>
          <w:b/>
          <w:bCs/>
          <w:i/>
          <w:iCs/>
          <w:color w:val="000000" w:themeColor="text1"/>
        </w:rPr>
        <w:t xml:space="preserve"> </w:t>
      </w:r>
      <w:r w:rsidRPr="00DE5DA7">
        <w:rPr>
          <w:rFonts w:ascii="Palatino Linotype" w:eastAsia="Palatino Linotype" w:hAnsi="Palatino Linotype" w:cs="Palatino Linotype"/>
          <w:i/>
          <w:iCs/>
          <w:color w:val="000000" w:themeColor="text1"/>
        </w:rPr>
        <w:t>efectuar los pagos periódicos (semanales, quincenales o</w:t>
      </w:r>
      <w:r w:rsidRPr="00DE5DA7">
        <w:rPr>
          <w:rFonts w:ascii="Palatino Linotype" w:eastAsia="Palatino Linotype" w:hAnsi="Palatino Linotype" w:cs="Palatino Linotype"/>
          <w:b/>
          <w:bCs/>
          <w:i/>
          <w:iCs/>
          <w:color w:val="000000" w:themeColor="text1"/>
        </w:rPr>
        <w:t xml:space="preserve"> </w:t>
      </w:r>
      <w:r w:rsidRPr="00DE5DA7">
        <w:rPr>
          <w:rFonts w:ascii="Palatino Linotype" w:eastAsia="Palatino Linotype" w:hAnsi="Palatino Linotype" w:cs="Palatino Linotype"/>
          <w:i/>
          <w:iCs/>
          <w:color w:val="000000" w:themeColor="text1"/>
        </w:rPr>
        <w:t>mensuales) a los trabajadores por concepto de sueldos y</w:t>
      </w:r>
      <w:r w:rsidRPr="00DE5DA7">
        <w:rPr>
          <w:rFonts w:ascii="Palatino Linotype" w:eastAsia="Palatino Linotype" w:hAnsi="Palatino Linotype" w:cs="Palatino Linotype"/>
          <w:b/>
          <w:bCs/>
          <w:i/>
          <w:iCs/>
          <w:color w:val="000000" w:themeColor="text1"/>
        </w:rPr>
        <w:t xml:space="preserve"> </w:t>
      </w:r>
      <w:r w:rsidRPr="00DE5DA7">
        <w:rPr>
          <w:rFonts w:ascii="Palatino Linotype" w:eastAsia="Palatino Linotype" w:hAnsi="Palatino Linotype" w:cs="Palatino Linotype"/>
          <w:i/>
          <w:iCs/>
          <w:color w:val="000000" w:themeColor="text1"/>
        </w:rPr>
        <w:t>salarios.”(Sic)</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lastRenderedPageBreak/>
        <w:t xml:space="preserve">En base a lo anterior, conviene a traer lo establecido por el artículo 804, fracción II, de la Ley Federal de Trabajo, el cual a la letra establece: </w:t>
      </w:r>
    </w:p>
    <w:p w:rsidR="00407C73" w:rsidRPr="00DE5DA7" w:rsidRDefault="001B5844" w:rsidP="00DE5DA7">
      <w:pP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w:t>
      </w:r>
      <w:r w:rsidRPr="00DE5DA7">
        <w:rPr>
          <w:rFonts w:ascii="Palatino Linotype" w:eastAsia="Palatino Linotype" w:hAnsi="Palatino Linotype" w:cs="Palatino Linotype"/>
          <w:b/>
          <w:bCs/>
          <w:i/>
          <w:iCs/>
          <w:color w:val="000000" w:themeColor="text1"/>
        </w:rPr>
        <w:t>Artículo 804.-</w:t>
      </w:r>
      <w:r w:rsidRPr="00DE5DA7">
        <w:rPr>
          <w:rFonts w:ascii="Palatino Linotype" w:eastAsia="Palatino Linotype" w:hAnsi="Palatino Linotype" w:cs="Palatino Linotype"/>
          <w:i/>
          <w:iCs/>
          <w:color w:val="000000" w:themeColor="text1"/>
        </w:rPr>
        <w:t xml:space="preserve"> </w:t>
      </w:r>
      <w:r w:rsidRPr="00DE5DA7">
        <w:rPr>
          <w:rFonts w:ascii="Palatino Linotype" w:eastAsia="Palatino Linotype" w:hAnsi="Palatino Linotype" w:cs="Palatino Linotype"/>
          <w:b/>
          <w:bCs/>
          <w:i/>
          <w:iCs/>
          <w:color w:val="000000" w:themeColor="text1"/>
        </w:rPr>
        <w:t>El patrón tiene obligación de conservar y exhibir en juicio los documentos que a continuación se precisan</w:t>
      </w:r>
      <w:r w:rsidRPr="00DE5DA7">
        <w:rPr>
          <w:rFonts w:ascii="Palatino Linotype" w:eastAsia="Palatino Linotype" w:hAnsi="Palatino Linotype" w:cs="Palatino Linotype"/>
          <w:i/>
          <w:iCs/>
          <w:color w:val="000000" w:themeColor="text1"/>
        </w:rPr>
        <w:t>:</w:t>
      </w:r>
    </w:p>
    <w:p w:rsidR="00407C73" w:rsidRPr="00DE5DA7" w:rsidRDefault="00407C73" w:rsidP="00DE5DA7">
      <w:pPr>
        <w:jc w:val="both"/>
        <w:rPr>
          <w:rFonts w:ascii="Palatino Linotype" w:eastAsia="Palatino Linotype" w:hAnsi="Palatino Linotype" w:cs="Palatino Linotype"/>
          <w:i/>
          <w:iCs/>
          <w:color w:val="000000" w:themeColor="text1"/>
        </w:rPr>
      </w:pPr>
    </w:p>
    <w:p w:rsidR="00407C73" w:rsidRPr="00DE5DA7" w:rsidRDefault="001B5844" w:rsidP="00DE5DA7">
      <w:pPr>
        <w:jc w:val="both"/>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II.</w:t>
      </w:r>
      <w:r w:rsidRPr="00DE5DA7">
        <w:rPr>
          <w:rFonts w:ascii="Palatino Linotype" w:eastAsia="Palatino Linotype" w:hAnsi="Palatino Linotype" w:cs="Palatino Linotype"/>
          <w:i/>
          <w:iCs/>
          <w:color w:val="000000" w:themeColor="text1"/>
        </w:rPr>
        <w:t xml:space="preserve"> </w:t>
      </w:r>
      <w:r w:rsidRPr="00DE5DA7">
        <w:rPr>
          <w:rFonts w:ascii="Palatino Linotype" w:eastAsia="Palatino Linotype" w:hAnsi="Palatino Linotype" w:cs="Palatino Linotype"/>
          <w:b/>
          <w:bCs/>
          <w:i/>
          <w:iCs/>
          <w:color w:val="000000" w:themeColor="text1"/>
        </w:rPr>
        <w:t>Listas de raya o nómina de personal</w:t>
      </w:r>
      <w:r w:rsidRPr="00DE5DA7">
        <w:rPr>
          <w:rFonts w:ascii="Palatino Linotype" w:eastAsia="Palatino Linotype" w:hAnsi="Palatino Linotype" w:cs="Palatino Linotype"/>
          <w:i/>
          <w:iCs/>
          <w:color w:val="000000" w:themeColor="text1"/>
        </w:rPr>
        <w:t xml:space="preserve">, </w:t>
      </w:r>
      <w:r w:rsidRPr="00DE5DA7">
        <w:rPr>
          <w:rFonts w:ascii="Palatino Linotype" w:eastAsia="Palatino Linotype" w:hAnsi="Palatino Linotype" w:cs="Palatino Linotype"/>
          <w:b/>
          <w:bCs/>
          <w:i/>
          <w:iCs/>
          <w:color w:val="000000" w:themeColor="text1"/>
        </w:rPr>
        <w:t xml:space="preserve">cuando se lleven en el centro de trabajo; o recibos de pagos de salarios; </w:t>
      </w:r>
    </w:p>
    <w:p w:rsidR="00407C73" w:rsidRPr="00DE5DA7" w:rsidRDefault="001B5844" w:rsidP="00DE5DA7">
      <w:pP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w:t>
      </w:r>
    </w:p>
    <w:p w:rsidR="00407C73" w:rsidRPr="00DE5DA7" w:rsidRDefault="001B5844" w:rsidP="00DE5DA7">
      <w:pP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Los documentos señalados en la fracción I deberán conservarse mientras dure la relación laboral y hasta un año después; </w:t>
      </w:r>
      <w:r w:rsidRPr="00DE5DA7">
        <w:rPr>
          <w:rFonts w:ascii="Palatino Linotype" w:eastAsia="Palatino Linotype" w:hAnsi="Palatino Linotype" w:cs="Palatino Linotype"/>
          <w:b/>
          <w:bCs/>
          <w:i/>
          <w:iCs/>
          <w:color w:val="000000" w:themeColor="text1"/>
        </w:rPr>
        <w:t>los señalados en las fracciones II, III y IV, durante el último año y un año después de que se extinga la relación laboral</w:t>
      </w:r>
      <w:r w:rsidRPr="00DE5DA7">
        <w:rPr>
          <w:rFonts w:ascii="Palatino Linotype" w:eastAsia="Palatino Linotype" w:hAnsi="Palatino Linotype" w:cs="Palatino Linotype"/>
          <w:i/>
          <w:iCs/>
          <w:color w:val="000000" w:themeColor="text1"/>
        </w:rPr>
        <w:t>; y los mencionados en la fracción V, conforme lo señalen las Leyes que los rijan.” (Sic)</w:t>
      </w:r>
    </w:p>
    <w:p w:rsidR="00407C73" w:rsidRPr="00DE5DA7" w:rsidRDefault="00407C73" w:rsidP="00DE5DA7">
      <w:pPr>
        <w:jc w:val="both"/>
        <w:rPr>
          <w:rFonts w:ascii="Palatino Linotype" w:eastAsia="Palatino Linotype" w:hAnsi="Palatino Linotype" w:cs="Palatino Linotype"/>
          <w:i/>
          <w:iCs/>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En ese contexto, tratándose de servidores públicos de los Municipios la Ley del Trabajo de los Servidores Públicos del Estado y Municipios, en su artículo 220-K, establece lo siguiente:</w:t>
      </w:r>
    </w:p>
    <w:p w:rsidR="00407C73" w:rsidRPr="00DE5DA7" w:rsidRDefault="001B5844" w:rsidP="00DE5DA7">
      <w:pPr>
        <w:tabs>
          <w:tab w:val="left" w:pos="9072"/>
        </w:tabs>
        <w:spacing w:before="240"/>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t>“ARTÍCULO 220 K.-</w:t>
      </w:r>
      <w:r w:rsidRPr="00DE5DA7">
        <w:rPr>
          <w:rFonts w:ascii="Palatino Linotype" w:eastAsia="Palatino Linotype" w:hAnsi="Palatino Linotype" w:cs="Palatino Linotype"/>
          <w:i/>
          <w:iCs/>
          <w:color w:val="000000" w:themeColor="text1"/>
        </w:rPr>
        <w:t xml:space="preserve"> La </w:t>
      </w:r>
      <w:r w:rsidRPr="00DE5DA7">
        <w:rPr>
          <w:rFonts w:ascii="Palatino Linotype" w:eastAsia="Palatino Linotype" w:hAnsi="Palatino Linotype" w:cs="Palatino Linotype"/>
          <w:b/>
          <w:bCs/>
          <w:i/>
          <w:iCs/>
          <w:color w:val="000000" w:themeColor="text1"/>
        </w:rPr>
        <w:t>institución o dependencia pública tiene la obligación de conservar y exhibir en el proceso los documentos que a continuación</w:t>
      </w:r>
      <w:r w:rsidRPr="00DE5DA7">
        <w:rPr>
          <w:rFonts w:ascii="Palatino Linotype" w:eastAsia="Palatino Linotype" w:hAnsi="Palatino Linotype" w:cs="Palatino Linotype"/>
          <w:i/>
          <w:iCs/>
          <w:color w:val="000000" w:themeColor="text1"/>
        </w:rPr>
        <w:t xml:space="preserve"> </w:t>
      </w:r>
      <w:r w:rsidRPr="00DE5DA7">
        <w:rPr>
          <w:rFonts w:ascii="Palatino Linotype" w:eastAsia="Palatino Linotype" w:hAnsi="Palatino Linotype" w:cs="Palatino Linotype"/>
          <w:b/>
          <w:bCs/>
          <w:i/>
          <w:iCs/>
          <w:color w:val="000000" w:themeColor="text1"/>
        </w:rPr>
        <w:t>se precisan</w:t>
      </w:r>
      <w:r w:rsidRPr="00DE5DA7">
        <w:rPr>
          <w:rFonts w:ascii="Palatino Linotype" w:eastAsia="Palatino Linotype" w:hAnsi="Palatino Linotype" w:cs="Palatino Linotype"/>
          <w:i/>
          <w:iCs/>
          <w:color w:val="000000" w:themeColor="text1"/>
        </w:rPr>
        <w:t>:</w:t>
      </w:r>
    </w:p>
    <w:p w:rsidR="00407C73" w:rsidRPr="00DE5DA7" w:rsidRDefault="001B5844" w:rsidP="00DE5DA7">
      <w:pPr>
        <w:tabs>
          <w:tab w:val="left" w:pos="9072"/>
        </w:tabs>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w:t>
      </w:r>
    </w:p>
    <w:p w:rsidR="00407C73" w:rsidRPr="00DE5DA7" w:rsidRDefault="001B5844" w:rsidP="00DE5DA7">
      <w:pPr>
        <w:tabs>
          <w:tab w:val="left" w:pos="9072"/>
        </w:tabs>
        <w:jc w:val="both"/>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i/>
          <w:iCs/>
          <w:color w:val="000000" w:themeColor="text1"/>
        </w:rPr>
        <w:t xml:space="preserve">II. </w:t>
      </w:r>
      <w:r w:rsidRPr="00DE5DA7">
        <w:rPr>
          <w:rFonts w:ascii="Palatino Linotype" w:eastAsia="Palatino Linotype" w:hAnsi="Palatino Linotype" w:cs="Palatino Linotype"/>
          <w:b/>
          <w:bCs/>
          <w:i/>
          <w:iCs/>
          <w:color w:val="000000" w:themeColor="text1"/>
        </w:rPr>
        <w:t>Recibos de pagos de salarios o</w:t>
      </w:r>
      <w:r w:rsidRPr="00DE5DA7">
        <w:rPr>
          <w:rFonts w:ascii="Palatino Linotype" w:eastAsia="Palatino Linotype" w:hAnsi="Palatino Linotype" w:cs="Palatino Linotype"/>
          <w:i/>
          <w:iCs/>
          <w:color w:val="000000" w:themeColor="text1"/>
        </w:rPr>
        <w:t xml:space="preserve"> </w:t>
      </w:r>
      <w:r w:rsidRPr="00DE5DA7">
        <w:rPr>
          <w:rFonts w:ascii="Palatino Linotype" w:eastAsia="Palatino Linotype" w:hAnsi="Palatino Linotype" w:cs="Palatino Linotype"/>
          <w:b/>
          <w:bCs/>
          <w:i/>
          <w:iCs/>
          <w:color w:val="000000" w:themeColor="text1"/>
        </w:rPr>
        <w:t>las constancias documentales del pago de salario</w:t>
      </w:r>
      <w:r w:rsidRPr="00DE5DA7">
        <w:rPr>
          <w:rFonts w:ascii="Palatino Linotype" w:eastAsia="Palatino Linotype" w:hAnsi="Palatino Linotype" w:cs="Palatino Linotype"/>
          <w:i/>
          <w:iCs/>
          <w:color w:val="000000" w:themeColor="text1"/>
        </w:rPr>
        <w:t xml:space="preserve"> </w:t>
      </w:r>
      <w:r w:rsidRPr="00DE5DA7">
        <w:rPr>
          <w:rFonts w:ascii="Palatino Linotype" w:eastAsia="Palatino Linotype" w:hAnsi="Palatino Linotype" w:cs="Palatino Linotype"/>
          <w:b/>
          <w:bCs/>
          <w:i/>
          <w:iCs/>
          <w:color w:val="000000" w:themeColor="text1"/>
        </w:rPr>
        <w:t xml:space="preserve">cuando </w:t>
      </w:r>
      <w:r w:rsidRPr="00DE5DA7">
        <w:rPr>
          <w:rFonts w:ascii="Palatino Linotype" w:eastAsia="Palatino Linotype" w:hAnsi="Palatino Linotype" w:cs="Palatino Linotype"/>
          <w:b/>
          <w:bCs/>
          <w:i/>
          <w:iCs/>
          <w:color w:val="000000" w:themeColor="text1"/>
          <w:u w:val="single"/>
        </w:rPr>
        <w:t>sea por depósito o mediante información electrónica</w:t>
      </w:r>
      <w:r w:rsidRPr="00DE5DA7">
        <w:rPr>
          <w:rFonts w:ascii="Palatino Linotype" w:eastAsia="Palatino Linotype" w:hAnsi="Palatino Linotype" w:cs="Palatino Linotype"/>
          <w:b/>
          <w:bCs/>
          <w:i/>
          <w:iCs/>
          <w:color w:val="000000" w:themeColor="text1"/>
        </w:rPr>
        <w:t>;</w:t>
      </w:r>
    </w:p>
    <w:p w:rsidR="00407C73" w:rsidRPr="00DE5DA7" w:rsidRDefault="001B5844" w:rsidP="00DE5DA7">
      <w:pPr>
        <w:tabs>
          <w:tab w:val="left" w:pos="9072"/>
        </w:tabs>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w:t>
      </w:r>
    </w:p>
    <w:p w:rsidR="00407C73" w:rsidRPr="00DE5DA7" w:rsidRDefault="001B5844" w:rsidP="00DE5DA7">
      <w:pPr>
        <w:tabs>
          <w:tab w:val="left" w:pos="9072"/>
        </w:tabs>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407C73" w:rsidRPr="00DE5DA7" w:rsidRDefault="001B5844" w:rsidP="00DE5DA7">
      <w:pPr>
        <w:tabs>
          <w:tab w:val="left" w:pos="9072"/>
        </w:tabs>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407C73" w:rsidRPr="00DE5DA7" w:rsidRDefault="00407C73" w:rsidP="00DE5DA7">
      <w:pPr>
        <w:tabs>
          <w:tab w:val="left" w:pos="9072"/>
        </w:tabs>
        <w:jc w:val="both"/>
        <w:rPr>
          <w:rFonts w:ascii="Palatino Linotype" w:eastAsia="Palatino Linotype" w:hAnsi="Palatino Linotype" w:cs="Palatino Linotype"/>
          <w:i/>
          <w:iCs/>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DE5DA7">
        <w:rPr>
          <w:rFonts w:ascii="Palatino Linotype" w:eastAsia="Palatino Linotype" w:hAnsi="Palatino Linotype" w:cs="Palatino Linotype"/>
          <w:b/>
          <w:bCs/>
          <w:color w:val="000000" w:themeColor="text1"/>
        </w:rPr>
        <w:t>SUJETO OBLIGADO</w:t>
      </w:r>
      <w:r w:rsidRPr="00DE5DA7">
        <w:rPr>
          <w:rFonts w:ascii="Palatino Linotype" w:eastAsia="Palatino Linotype" w:hAnsi="Palatino Linotype" w:cs="Palatino Linotype"/>
          <w:color w:val="000000" w:themeColor="text1"/>
        </w:rPr>
        <w:t>, es considerado como ente fiscalizable, como así lo señala el artículo 4 fracción II de la Ley de Fiscalización Superior del Estado de México, el cual señala:</w:t>
      </w:r>
    </w:p>
    <w:p w:rsidR="00407C73" w:rsidRPr="00DE5DA7" w:rsidRDefault="001B5844" w:rsidP="00DE5DA7">
      <w:pPr>
        <w:spacing w:before="240"/>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Artículo 4.- Son sujetos de fiscalización:</w:t>
      </w:r>
    </w:p>
    <w:p w:rsidR="00407C73" w:rsidRPr="00DE5DA7" w:rsidRDefault="001B5844" w:rsidP="00DE5DA7">
      <w:pPr>
        <w:numPr>
          <w:ilvl w:val="1"/>
          <w:numId w:val="4"/>
        </w:numPr>
        <w:pBdr>
          <w:top w:val="nil"/>
          <w:left w:val="nil"/>
          <w:bottom w:val="nil"/>
          <w:right w:val="nil"/>
          <w:between w:val="nil"/>
        </w:pBdr>
        <w:spacing w:before="240"/>
        <w:ind w:left="0" w:firstLine="0"/>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Los Poderes Públicos del Estado;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 xml:space="preserve">II. Los municipios del Estado de México;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III. Los organismos autónomos;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IV. Los organismos auxiliares;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lastRenderedPageBreak/>
        <w:t>V. Los fideicomisos previstos en el artículo 3 fracción XVII del Código Financiero del Estado de México y Municipios, y aquellos que manejen recursos del Estado, Municipios, o en su caso provenientes de la federación;</w:t>
      </w:r>
      <w:r w:rsidRPr="00DE5DA7">
        <w:rPr>
          <w:rFonts w:ascii="Palatino Linotype" w:eastAsia="Palatino Linotype" w:hAnsi="Palatino Linotype" w:cs="Palatino Linotype"/>
          <w:color w:val="000000" w:themeColor="text1"/>
        </w:rPr>
        <w:t xml:space="preserve"> </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407C73" w:rsidRPr="00DE5DA7" w:rsidRDefault="00407C73"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Establecido 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La integración del Informe Trimestral se entregará de manera física al Órgano Superior de Fiscalización del Estado de México, y estará compuesto de la siguiente manera:</w:t>
      </w:r>
    </w:p>
    <w:p w:rsidR="00407C73" w:rsidRPr="00DE5DA7" w:rsidRDefault="001B5844" w:rsidP="00DE5DA7">
      <w:pPr>
        <w:numPr>
          <w:ilvl w:val="1"/>
          <w:numId w:val="4"/>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Información impresa; e</w:t>
      </w:r>
    </w:p>
    <w:p w:rsidR="00407C73" w:rsidRPr="00DE5DA7" w:rsidRDefault="001B5844" w:rsidP="00DE5DA7">
      <w:pPr>
        <w:numPr>
          <w:ilvl w:val="1"/>
          <w:numId w:val="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Información en medio de almacenamiento electrónico.</w:t>
      </w:r>
    </w:p>
    <w:p w:rsidR="00407C73" w:rsidRPr="00DE5DA7" w:rsidRDefault="00407C73" w:rsidP="00DE5DA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iCs/>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lastRenderedPageBreak/>
        <w:t>Por cuanto hace a la información entregable en Medios de almacenamiento Electrónico, se compondrá en cuatro módulos que integrarán la siguiente semántica:</w:t>
      </w:r>
    </w:p>
    <w:p w:rsidR="00407C73" w:rsidRPr="00DE5DA7" w:rsidRDefault="001B5844" w:rsidP="00DE5DA7">
      <w:pPr>
        <w:numPr>
          <w:ilvl w:val="1"/>
          <w:numId w:val="4"/>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Módulo 1: Información contable y financiera;</w:t>
      </w:r>
    </w:p>
    <w:p w:rsidR="00407C73" w:rsidRPr="00DE5DA7" w:rsidRDefault="001B5844" w:rsidP="00DE5DA7">
      <w:pPr>
        <w:numPr>
          <w:ilvl w:val="1"/>
          <w:numId w:val="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Módulo 2: Información presupuestaria;</w:t>
      </w:r>
    </w:p>
    <w:p w:rsidR="00407C73" w:rsidRPr="00DE5DA7" w:rsidRDefault="001B5844" w:rsidP="00DE5DA7">
      <w:pPr>
        <w:numPr>
          <w:ilvl w:val="1"/>
          <w:numId w:val="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Módulo 3: Información programática; y</w:t>
      </w:r>
    </w:p>
    <w:p w:rsidR="00407C73" w:rsidRPr="00DE5DA7" w:rsidRDefault="001B5844" w:rsidP="00DE5DA7">
      <w:pPr>
        <w:numPr>
          <w:ilvl w:val="1"/>
          <w:numId w:val="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Módulo 4: Información administrativa.</w:t>
      </w:r>
    </w:p>
    <w:p w:rsidR="00407C73" w:rsidRPr="00DE5DA7" w:rsidRDefault="00407C73" w:rsidP="00DE5DA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i/>
          <w:iCs/>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Siendo de especial interés, para el presente asunto, el contenido del Módulo 4, sobre ‘Información Administrativa’; que de acuerdo con las </w:t>
      </w:r>
      <w:r w:rsidRPr="00DE5DA7">
        <w:rPr>
          <w:rFonts w:ascii="Palatino Linotype" w:eastAsia="Palatino Linotype" w:hAnsi="Palatino Linotype" w:cs="Palatino Linotype"/>
          <w:b/>
          <w:bCs/>
          <w:color w:val="000000" w:themeColor="text1"/>
        </w:rPr>
        <w:t>“Políticas para la Integración del Informe Trimestral de los Sujetos de Fiscalización Municipales”</w:t>
      </w:r>
      <w:r w:rsidRPr="00DE5DA7">
        <w:rPr>
          <w:rFonts w:ascii="Palatino Linotype" w:eastAsia="Palatino Linotype" w:hAnsi="Palatino Linotype" w:cs="Palatino Linotype"/>
          <w:color w:val="000000" w:themeColor="text1"/>
        </w:rPr>
        <w:t>, se compondrá de los siguientes documentos:</w:t>
      </w:r>
    </w:p>
    <w:p w:rsidR="00407C73" w:rsidRPr="00DE5DA7" w:rsidRDefault="00407C73" w:rsidP="00DE5DA7">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rsidR="00407C73" w:rsidRPr="00DE5DA7" w:rsidRDefault="001B5844" w:rsidP="00DE5DA7">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object w:dxaOrig="6480" w:dyaOrig="5175" w14:anchorId="1E6F3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58.8pt"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5" DrawAspect="Content" ObjectID="_1831200013" r:id="rId10"/>
        </w:object>
      </w:r>
    </w:p>
    <w:p w:rsidR="00407C73" w:rsidRDefault="00407C73" w:rsidP="00DE5DA7">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themeColor="text1"/>
        </w:rPr>
      </w:pPr>
    </w:p>
    <w:p w:rsidR="00021D14" w:rsidRPr="00DE5DA7" w:rsidRDefault="00021D14" w:rsidP="00DE5DA7">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En lo que corresponde al Submódulo de </w:t>
      </w:r>
      <w:r w:rsidRPr="00DE5DA7">
        <w:rPr>
          <w:rFonts w:ascii="Palatino Linotype" w:eastAsia="Palatino Linotype" w:hAnsi="Palatino Linotype" w:cs="Palatino Linotype"/>
          <w:b/>
          <w:bCs/>
          <w:color w:val="000000" w:themeColor="text1"/>
        </w:rPr>
        <w:t>‘Nómina y Comprobantes Fiscales’,</w:t>
      </w:r>
      <w:r w:rsidRPr="00DE5DA7">
        <w:rPr>
          <w:rFonts w:ascii="Palatino Linotype" w:eastAsia="Palatino Linotype" w:hAnsi="Palatino Linotype" w:cs="Palatino Linotype"/>
          <w:color w:val="000000" w:themeColor="text1"/>
        </w:rPr>
        <w:t xml:space="preserve"> se advierte que el </w:t>
      </w:r>
      <w:r w:rsidRPr="00DE5DA7">
        <w:rPr>
          <w:rFonts w:ascii="Palatino Linotype" w:eastAsia="Palatino Linotype" w:hAnsi="Palatino Linotype" w:cs="Palatino Linotype"/>
          <w:b/>
          <w:bCs/>
          <w:color w:val="000000" w:themeColor="text1"/>
        </w:rPr>
        <w:t>SUJETO OBLIGADO,</w:t>
      </w:r>
      <w:r w:rsidRPr="00DE5DA7">
        <w:rPr>
          <w:rFonts w:ascii="Palatino Linotype" w:eastAsia="Palatino Linotype" w:hAnsi="Palatino Linotype" w:cs="Palatino Linotype"/>
          <w:color w:val="000000" w:themeColor="text1"/>
        </w:rPr>
        <w:t xml:space="preserve"> deberá integrar, en formato </w:t>
      </w:r>
      <w:r w:rsidRPr="00DE5DA7">
        <w:rPr>
          <w:rFonts w:ascii="Palatino Linotype" w:eastAsia="Palatino Linotype" w:hAnsi="Palatino Linotype" w:cs="Palatino Linotype"/>
          <w:i/>
          <w:iCs/>
          <w:color w:val="000000" w:themeColor="text1"/>
        </w:rPr>
        <w:t>.pdf</w:t>
      </w:r>
      <w:r w:rsidRPr="00DE5DA7">
        <w:rPr>
          <w:rFonts w:ascii="Palatino Linotype" w:eastAsia="Palatino Linotype" w:hAnsi="Palatino Linotype" w:cs="Palatino Linotype"/>
          <w:color w:val="000000" w:themeColor="text1"/>
        </w:rPr>
        <w:t xml:space="preserve">, y de forma quincenal, el documento titulado </w:t>
      </w:r>
      <w:r w:rsidRPr="00DE5DA7">
        <w:rPr>
          <w:rFonts w:ascii="Palatino Linotype" w:eastAsia="Palatino Linotype" w:hAnsi="Palatino Linotype" w:cs="Palatino Linotype"/>
          <w:b/>
          <w:bCs/>
          <w:color w:val="000000" w:themeColor="text1"/>
        </w:rPr>
        <w:t>Conciliación de Nómina Mensual</w:t>
      </w:r>
      <w:r w:rsidRPr="00DE5DA7">
        <w:rPr>
          <w:rFonts w:ascii="Palatino Linotype" w:eastAsia="Palatino Linotype" w:hAnsi="Palatino Linotype" w:cs="Palatino Linotype"/>
          <w:color w:val="000000" w:themeColor="text1"/>
        </w:rPr>
        <w:t>; tal como lo establece el mapa de integración del Submódulo en comento:</w:t>
      </w:r>
    </w:p>
    <w:p w:rsidR="00407C73" w:rsidRPr="00DE5DA7" w:rsidRDefault="00407C73" w:rsidP="00DE5DA7">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rsidR="00021D14" w:rsidRDefault="001B5844" w:rsidP="00DE5DA7">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object w:dxaOrig="7650" w:dyaOrig="2205" w14:anchorId="36ECD24A">
          <v:shape id="_x0000_i1026" type="#_x0000_t75" style="width:382.4pt;height:110.05pt"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6" DrawAspect="Content" ObjectID="_1831200014" r:id="rId12"/>
        </w:object>
      </w:r>
    </w:p>
    <w:p w:rsidR="00407C73" w:rsidRPr="00DE5DA7" w:rsidRDefault="001B5844" w:rsidP="00DE5DA7">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DE5DA7">
        <w:rPr>
          <w:rFonts w:ascii="Palatino Linotype" w:hAnsi="Palatino Linotype"/>
          <w:noProof/>
          <w:color w:val="000000" w:themeColor="text1"/>
          <w:lang w:val="es-MX"/>
        </w:rPr>
        <mc:AlternateContent>
          <mc:Choice Requires="wps">
            <w:drawing>
              <wp:anchor distT="0" distB="0" distL="114300" distR="114300" simplePos="0" relativeHeight="251658240" behindDoc="0" locked="0" layoutInCell="1" hidden="0" allowOverlap="1">
                <wp:simplePos x="0" y="0"/>
                <wp:positionH relativeFrom="column">
                  <wp:posOffset>714375</wp:posOffset>
                </wp:positionH>
                <wp:positionV relativeFrom="paragraph">
                  <wp:posOffset>485775</wp:posOffset>
                </wp:positionV>
                <wp:extent cx="4470400" cy="234950"/>
                <wp:effectExtent l="0" t="0" r="0" b="0"/>
                <wp:wrapNone/>
                <wp:docPr id="12" name="Rectángulo 12"/>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rsidR="00DE5DA7" w:rsidRDefault="00DE5DA7">
                            <w:pPr>
                              <w:textDirection w:val="btLr"/>
                            </w:pPr>
                          </w:p>
                        </w:txbxContent>
                      </wps:txbx>
                      <wps:bodyPr spcFirstLastPara="1" wrap="square" lIns="91425" tIns="91425" rIns="91425" bIns="91425" anchor="ctr" anchorCtr="0">
                        <a:noAutofit/>
                      </wps:bodyPr>
                    </wps:wsp>
                  </a:graphicData>
                </a:graphic>
              </wp:anchor>
            </w:drawing>
          </mc:Choice>
          <mc:Fallback>
            <w:pict>
              <v:rect id="Rectángulo 12" o:spid="_x0000_s1026" style="position:absolute;left:0;text-align:left;margin-left:56.25pt;margin-top:38.25pt;width:352pt;height:1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" filled="f" strokecolor="red" strokeweight="1.5pt">
                <v:stroke startarrowwidth="narrow" startarrowlength="short" endarrowwidth="narrow" endarrowlength="short"/>
                <v:textbox inset="2.53958mm,2.53958mm,2.53958mm,2.53958mm">
                  <w:txbxContent>
                    <w:p w:rsidR="00DE5DA7" w:rsidRDefault="00DE5DA7">
                      <w:pPr>
                        <w:textDirection w:val="btLr"/>
                      </w:pPr>
                    </w:p>
                  </w:txbxContent>
                </v:textbox>
              </v:rect>
            </w:pict>
          </mc:Fallback>
        </mc:AlternateConten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Al respecto, conviene referir que la Conciliación de Nómina Mensual es un documento en el que se detalla, entre otros, </w:t>
      </w:r>
      <w:r w:rsidRPr="00DE5DA7">
        <w:rPr>
          <w:rFonts w:ascii="Palatino Linotype" w:eastAsia="Palatino Linotype" w:hAnsi="Palatino Linotype" w:cs="Palatino Linotype"/>
          <w:b/>
          <w:bCs/>
          <w:color w:val="000000" w:themeColor="text1"/>
        </w:rPr>
        <w:t>el nombre, puesto funcional, área de adscripción, categoría, así como todas las percepciones brutas y netas  y deducciones que recibe cada servidor público que labora en la entidad</w:t>
      </w:r>
      <w:r w:rsidRPr="00DE5DA7">
        <w:rPr>
          <w:rFonts w:ascii="Palatino Linotype" w:eastAsia="Palatino Linotype" w:hAnsi="Palatino Linotype" w:cs="Palatino Linotype"/>
          <w:b/>
          <w:bCs/>
          <w:color w:val="000000" w:themeColor="text1"/>
          <w:vertAlign w:val="superscript"/>
        </w:rPr>
        <w:footnoteReference w:id="6"/>
      </w:r>
      <w:r w:rsidRPr="00DE5DA7">
        <w:rPr>
          <w:rFonts w:ascii="Palatino Linotype" w:eastAsia="Palatino Linotype" w:hAnsi="Palatino Linotype" w:cs="Palatino Linotype"/>
          <w:color w:val="000000" w:themeColor="text1"/>
        </w:rPr>
        <w:t xml:space="preserve">. </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bookmarkStart w:id="9" w:name="_heading=h.c1f6nikort7z" w:colFirst="0" w:colLast="0"/>
      <w:bookmarkEnd w:id="9"/>
      <w:r w:rsidRPr="00DE5DA7">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021D14" w:rsidRDefault="00021D14" w:rsidP="00DE5DA7">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rsidR="00021D14" w:rsidRPr="00021D14" w:rsidRDefault="00021D14" w:rsidP="00021D14">
      <w:pPr>
        <w:rPr>
          <w:rFonts w:ascii="Palatino Linotype" w:eastAsia="Palatino Linotype" w:hAnsi="Palatino Linotype" w:cs="Palatino Linotype"/>
        </w:rPr>
      </w:pPr>
    </w:p>
    <w:p w:rsidR="00021D14" w:rsidRDefault="00021D14" w:rsidP="00021D14">
      <w:pPr>
        <w:rPr>
          <w:rFonts w:ascii="Palatino Linotype" w:eastAsia="Palatino Linotype" w:hAnsi="Palatino Linotype" w:cs="Palatino Linotype"/>
        </w:rPr>
      </w:pPr>
    </w:p>
    <w:p w:rsidR="00407C73" w:rsidRPr="00DE5DA7" w:rsidRDefault="001B5844" w:rsidP="00021D14">
      <w:pPr>
        <w:tabs>
          <w:tab w:val="left" w:pos="8002"/>
        </w:tabs>
        <w:jc w:val="center"/>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object w:dxaOrig="7635" w:dyaOrig="4320">
          <v:shape id="_x0000_i1027" type="#_x0000_t75" style="width:381.75pt;height:3in"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7" DrawAspect="Content" ObjectID="_1831200015" r:id="rId14"/>
        </w:object>
      </w:r>
      <w:r w:rsidRPr="00DE5DA7">
        <w:rPr>
          <w:rFonts w:ascii="Palatino Linotype" w:hAnsi="Palatino Linotype"/>
          <w:noProof/>
          <w:color w:val="000000" w:themeColor="text1"/>
          <w:lang w:val="es-MX"/>
        </w:rPr>
        <mc:AlternateContent>
          <mc:Choice Requires="wps">
            <w:drawing>
              <wp:anchor distT="0" distB="0" distL="114300" distR="114300" simplePos="0" relativeHeight="251659264" behindDoc="0" locked="0" layoutInCell="1" hidden="0" allowOverlap="1">
                <wp:simplePos x="0" y="0"/>
                <wp:positionH relativeFrom="column">
                  <wp:posOffset>3541713</wp:posOffset>
                </wp:positionH>
                <wp:positionV relativeFrom="paragraph">
                  <wp:posOffset>468313</wp:posOffset>
                </wp:positionV>
                <wp:extent cx="528125" cy="1430117"/>
                <wp:effectExtent l="0" t="0" r="0" b="0"/>
                <wp:wrapNone/>
                <wp:docPr id="13" name="Rectángulo 13"/>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DE5DA7" w:rsidRDefault="00DE5DA7">
                            <w:pPr>
                              <w:textDirection w:val="btLr"/>
                            </w:pPr>
                          </w:p>
                        </w:txbxContent>
                      </wps:txbx>
                      <wps:bodyPr spcFirstLastPara="1" wrap="square" lIns="91425" tIns="91425" rIns="91425" bIns="91425" anchor="ctr" anchorCtr="0">
                        <a:noAutofit/>
                      </wps:bodyPr>
                    </wps:wsp>
                  </a:graphicData>
                </a:graphic>
              </wp:anchor>
            </w:drawing>
          </mc:Choice>
          <mc:Fallback>
            <w:pict>
              <v:rect id="Rectángulo 13" o:spid="_x0000_s1027" style="position:absolute;left:0;text-align:left;margin-left:278.9pt;margin-top:36.9pt;width:41.6pt;height:11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" filled="f" strokecolor="red" strokeweight="2.25pt">
                <v:stroke startarrowwidth="narrow" startarrowlength="short" endarrowwidth="narrow" endarrowlength="short"/>
                <v:textbox inset="2.53958mm,2.53958mm,2.53958mm,2.53958mm">
                  <w:txbxContent>
                    <w:p w:rsidR="00DE5DA7" w:rsidRDefault="00DE5DA7">
                      <w:pPr>
                        <w:textDirection w:val="btLr"/>
                      </w:pPr>
                    </w:p>
                  </w:txbxContent>
                </v:textbox>
              </v:rect>
            </w:pict>
          </mc:Fallback>
        </mc:AlternateContent>
      </w:r>
      <w:r w:rsidRPr="00DE5DA7">
        <w:rPr>
          <w:rFonts w:ascii="Palatino Linotype" w:hAnsi="Palatino Linotype"/>
          <w:noProof/>
          <w:color w:val="000000" w:themeColor="text1"/>
          <w:lang w:val="es-MX"/>
        </w:rPr>
        <mc:AlternateContent>
          <mc:Choice Requires="wps">
            <w:drawing>
              <wp:anchor distT="0" distB="0" distL="114300" distR="114300" simplePos="0" relativeHeight="251660288" behindDoc="0" locked="0" layoutInCell="1" hidden="0" allowOverlap="1">
                <wp:simplePos x="0" y="0"/>
                <wp:positionH relativeFrom="column">
                  <wp:posOffset>2589213</wp:posOffset>
                </wp:positionH>
                <wp:positionV relativeFrom="paragraph">
                  <wp:posOffset>442913</wp:posOffset>
                </wp:positionV>
                <wp:extent cx="408280" cy="1430117"/>
                <wp:effectExtent l="0" t="0" r="0" b="0"/>
                <wp:wrapNone/>
                <wp:docPr id="14" name="Rectángulo 14"/>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DE5DA7" w:rsidRDefault="00DE5DA7">
                            <w:pPr>
                              <w:textDirection w:val="btLr"/>
                            </w:pPr>
                          </w:p>
                        </w:txbxContent>
                      </wps:txbx>
                      <wps:bodyPr spcFirstLastPara="1" wrap="square" lIns="91425" tIns="91425" rIns="91425" bIns="91425" anchor="ctr" anchorCtr="0">
                        <a:noAutofit/>
                      </wps:bodyPr>
                    </wps:wsp>
                  </a:graphicData>
                </a:graphic>
              </wp:anchor>
            </w:drawing>
          </mc:Choice>
          <mc:Fallback>
            <w:pict>
              <v:rect id="Rectángulo 14" o:spid="_x0000_s1028" style="position:absolute;left:0;text-align:left;margin-left:203.9pt;margin-top:34.9pt;width:32.15pt;height:11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" filled="f" strokecolor="red" strokeweight="2.25pt">
                <v:stroke startarrowwidth="narrow" startarrowlength="short" endarrowwidth="narrow" endarrowlength="short"/>
                <v:textbox inset="2.53958mm,2.53958mm,2.53958mm,2.53958mm">
                  <w:txbxContent>
                    <w:p w:rsidR="00DE5DA7" w:rsidRDefault="00DE5DA7">
                      <w:pPr>
                        <w:textDirection w:val="btLr"/>
                      </w:pPr>
                    </w:p>
                  </w:txbxContent>
                </v:textbox>
              </v:rect>
            </w:pict>
          </mc:Fallback>
        </mc:AlternateContent>
      </w:r>
    </w:p>
    <w:p w:rsidR="00407C73" w:rsidRPr="00DE5DA7" w:rsidRDefault="001B5844" w:rsidP="00DE5DA7">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object w:dxaOrig="7665" w:dyaOrig="4500">
          <v:shape id="_x0000_i1028" type="#_x0000_t75" style="width:383.1pt;height:224.85pt"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8" DrawAspect="Content" ObjectID="_1831200016" r:id="rId16"/>
        </w:object>
      </w:r>
    </w:p>
    <w:p w:rsidR="00407C73" w:rsidRPr="00DE5DA7" w:rsidRDefault="001B5844" w:rsidP="00DE5DA7">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object w:dxaOrig="7680" w:dyaOrig="2400">
          <v:shape id="_x0000_i1029" type="#_x0000_t75" style="width:383.75pt;height:120.25pt"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9" DrawAspect="Content" ObjectID="_1831200017" r:id="rId18"/>
        </w:object>
      </w:r>
    </w:p>
    <w:p w:rsidR="00407C73" w:rsidRPr="00DE5DA7" w:rsidRDefault="00407C73" w:rsidP="00DE5DA7">
      <w:pPr>
        <w:pBdr>
          <w:top w:val="nil"/>
          <w:left w:val="nil"/>
          <w:bottom w:val="nil"/>
          <w:right w:val="nil"/>
          <w:between w:val="nil"/>
        </w:pBdr>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Ahora bien, se debe de señalar que de la información solicitada por el RECURRENTE</w:t>
      </w:r>
      <w:r w:rsidRPr="00DE5DA7">
        <w:rPr>
          <w:rFonts w:ascii="Palatino Linotype" w:eastAsia="Palatino Linotype" w:hAnsi="Palatino Linotype" w:cs="Palatino Linotype"/>
          <w:b/>
          <w:bCs/>
          <w:color w:val="000000" w:themeColor="text1"/>
        </w:rPr>
        <w:t xml:space="preserve"> </w:t>
      </w:r>
      <w:r w:rsidRPr="00DE5DA7">
        <w:rPr>
          <w:rFonts w:ascii="Palatino Linotype" w:eastAsia="Palatino Linotype" w:hAnsi="Palatino Linotype" w:cs="Palatino Linotype"/>
          <w:color w:val="000000" w:themeColor="text1"/>
        </w:rPr>
        <w:t xml:space="preserve">existen datos que son susceptibles de clasificarse como confidenciales, siendo de manera enunciativa más no limitativa los siguientes. </w:t>
      </w:r>
    </w:p>
    <w:p w:rsidR="00407C73" w:rsidRPr="00DE5DA7" w:rsidRDefault="00407C73" w:rsidP="00DE5DA7">
      <w:pPr>
        <w:pBdr>
          <w:top w:val="nil"/>
          <w:left w:val="nil"/>
          <w:bottom w:val="nil"/>
          <w:right w:val="nil"/>
          <w:between w:val="nil"/>
        </w:pBdr>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Por cuanto hace a la </w:t>
      </w:r>
      <w:r w:rsidRPr="00DE5DA7">
        <w:rPr>
          <w:rFonts w:ascii="Palatino Linotype" w:eastAsia="Palatino Linotype" w:hAnsi="Palatino Linotype" w:cs="Palatino Linotype"/>
          <w:b/>
          <w:bCs/>
          <w:color w:val="000000" w:themeColor="text1"/>
        </w:rPr>
        <w:t>Clave de cualquier tipo de seguridad social (ISSEMyM, u otros</w:t>
      </w:r>
      <w:r w:rsidRPr="00DE5DA7">
        <w:rPr>
          <w:rFonts w:ascii="Palatino Linotype" w:eastAsia="Palatino Linotype" w:hAnsi="Palatino Linotype" w:cs="Palatino Linotype"/>
          <w:color w:val="000000" w:themeColor="text1"/>
        </w:rPr>
        <w:t>),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407C73" w:rsidRPr="00DE5DA7" w:rsidRDefault="00407C73" w:rsidP="00DE5DA7">
      <w:pPr>
        <w:tabs>
          <w:tab w:val="left" w:pos="284"/>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El artículo 9° del mismo ordenamiento, dispone que el ISSEMYM expedirá documentos de identificación para facilitar el acceso a las prestaciones a que tengan derecho. </w:t>
      </w:r>
      <w:r w:rsidRPr="00DE5DA7">
        <w:rPr>
          <w:rFonts w:ascii="Palatino Linotype" w:eastAsia="Palatino Linotype" w:hAnsi="Palatino Linotype" w:cs="Palatino Linotype"/>
          <w:color w:val="000000" w:themeColor="text1"/>
        </w:rPr>
        <w:lastRenderedPageBreak/>
        <w:t>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rsidR="00407C73" w:rsidRPr="00DE5DA7" w:rsidRDefault="00407C73" w:rsidP="00DE5DA7">
      <w:pPr>
        <w:tabs>
          <w:tab w:val="left" w:pos="284"/>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407C73" w:rsidRPr="00DE5DA7" w:rsidRDefault="00407C73" w:rsidP="00DE5DA7">
      <w:pPr>
        <w:tabs>
          <w:tab w:val="left" w:pos="284"/>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407C73" w:rsidRPr="00DE5DA7"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lastRenderedPageBreak/>
        <w:t>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rsidR="00407C73" w:rsidRPr="00DE5DA7" w:rsidRDefault="00407C73" w:rsidP="00DE5DA7">
      <w:pPr>
        <w:tabs>
          <w:tab w:val="left" w:pos="284"/>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Por su parte, el artículo 84 de la Ley del Trabajo de los Servidores Públicos del Estado y Municipios, señala:</w:t>
      </w:r>
    </w:p>
    <w:p w:rsidR="00407C73" w:rsidRPr="00DE5DA7" w:rsidRDefault="001B5844" w:rsidP="00DE5DA7">
      <w:pPr>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i/>
          <w:iCs/>
          <w:color w:val="000000" w:themeColor="text1"/>
        </w:rPr>
        <w:t>“</w:t>
      </w:r>
      <w:r w:rsidRPr="00DE5DA7">
        <w:rPr>
          <w:rFonts w:ascii="Palatino Linotype" w:eastAsia="Palatino Linotype" w:hAnsi="Palatino Linotype" w:cs="Palatino Linotype"/>
          <w:b/>
          <w:bCs/>
          <w:i/>
          <w:iCs/>
          <w:color w:val="000000" w:themeColor="text1"/>
        </w:rPr>
        <w:t>ARTICULO 84. Sólo podrán hacerse retenciones, descuentos o deducciones al sueldo de los servidores públicos por concepto de:</w:t>
      </w:r>
    </w:p>
    <w:p w:rsidR="00407C73" w:rsidRPr="00DE5DA7" w:rsidRDefault="001B5844" w:rsidP="00DE5DA7">
      <w:pPr>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i/>
          <w:iCs/>
          <w:color w:val="000000" w:themeColor="text1"/>
        </w:rPr>
        <w:t>I. Gravámenes fiscales relacionados con el sueldo;</w:t>
      </w:r>
    </w:p>
    <w:p w:rsidR="00407C73" w:rsidRPr="00DE5DA7" w:rsidRDefault="001B5844" w:rsidP="00DE5DA7">
      <w:pPr>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b/>
          <w:bCs/>
          <w:i/>
          <w:iCs/>
          <w:color w:val="000000" w:themeColor="text1"/>
        </w:rPr>
        <w:t>II. Deudas contraídas con las instituciones públicas o dependencias</w:t>
      </w:r>
      <w:r w:rsidRPr="00DE5DA7">
        <w:rPr>
          <w:rFonts w:ascii="Palatino Linotype" w:eastAsia="Palatino Linotype" w:hAnsi="Palatino Linotype" w:cs="Palatino Linotype"/>
          <w:i/>
          <w:iCs/>
          <w:color w:val="000000" w:themeColor="text1"/>
        </w:rPr>
        <w:t xml:space="preserve"> por concepto de anticipos de sueldo, pagos hechos con exceso, errores o pérdidas debidamente comprobados;</w:t>
      </w:r>
    </w:p>
    <w:p w:rsidR="00407C73" w:rsidRPr="00DE5DA7" w:rsidRDefault="001B5844" w:rsidP="00DE5DA7">
      <w:pPr>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b/>
          <w:bCs/>
          <w:i/>
          <w:iCs/>
          <w:color w:val="000000" w:themeColor="text1"/>
        </w:rPr>
        <w:t>III. Cuotas sindicales</w:t>
      </w:r>
      <w:r w:rsidRPr="00DE5DA7">
        <w:rPr>
          <w:rFonts w:ascii="Palatino Linotype" w:eastAsia="Palatino Linotype" w:hAnsi="Palatino Linotype" w:cs="Palatino Linotype"/>
          <w:i/>
          <w:iCs/>
          <w:color w:val="000000" w:themeColor="text1"/>
        </w:rPr>
        <w:t>;</w:t>
      </w:r>
    </w:p>
    <w:p w:rsidR="00407C73" w:rsidRPr="00DE5DA7" w:rsidRDefault="001B5844" w:rsidP="00DE5DA7">
      <w:pPr>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i/>
          <w:iCs/>
          <w:color w:val="000000" w:themeColor="text1"/>
        </w:rPr>
        <w:t>IV. Cuotas de aportación a fondos para la constitución de cooperativas y de cajas de ahorro, siempre que el servidor público hubiese manifestado previamente, de manera expresa, su conformidad;</w:t>
      </w:r>
    </w:p>
    <w:p w:rsidR="00407C73" w:rsidRPr="00DE5DA7" w:rsidRDefault="001B5844" w:rsidP="00DE5DA7">
      <w:pPr>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i/>
          <w:iCs/>
          <w:color w:val="000000" w:themeColor="text1"/>
        </w:rPr>
        <w:t>V. Descuentos ordenados por el Instituto de Seguridad Social del Estado de México y Municipios, con motivo de cuotas y obligaciones contraídas con éste por los servidores públicos;</w:t>
      </w:r>
    </w:p>
    <w:p w:rsidR="00407C73" w:rsidRPr="00DE5DA7" w:rsidRDefault="001B5844" w:rsidP="00DE5DA7">
      <w:pPr>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b/>
          <w:bCs/>
          <w:i/>
          <w:iCs/>
          <w:color w:val="000000" w:themeColor="text1"/>
        </w:rPr>
        <w:t>VI. Obligaciones a cargo del servidor público con las que haya consentido</w:t>
      </w:r>
      <w:r w:rsidRPr="00DE5DA7">
        <w:rPr>
          <w:rFonts w:ascii="Palatino Linotype" w:eastAsia="Palatino Linotype" w:hAnsi="Palatino Linotype" w:cs="Palatino Linotype"/>
          <w:i/>
          <w:iCs/>
          <w:color w:val="000000" w:themeColor="text1"/>
        </w:rPr>
        <w:t>, derivadas de la adquisición o del uso de habitaciones consideradas como de interés social;</w:t>
      </w:r>
    </w:p>
    <w:p w:rsidR="00407C73" w:rsidRPr="00DE5DA7" w:rsidRDefault="001B5844" w:rsidP="00DE5DA7">
      <w:pPr>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i/>
          <w:iCs/>
          <w:color w:val="000000" w:themeColor="text1"/>
        </w:rPr>
        <w:t>VII. Faltas de puntualidad o de asistencia injustificadas;</w:t>
      </w:r>
    </w:p>
    <w:p w:rsidR="00407C73" w:rsidRPr="00DE5DA7" w:rsidRDefault="001B5844" w:rsidP="00DE5DA7">
      <w:pPr>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b/>
          <w:bCs/>
          <w:i/>
          <w:iCs/>
          <w:color w:val="000000" w:themeColor="text1"/>
        </w:rPr>
        <w:t>VIII. Pensiones alimenticias ordenadas por la autoridad judicial;</w:t>
      </w:r>
      <w:r w:rsidRPr="00DE5DA7">
        <w:rPr>
          <w:rFonts w:ascii="Palatino Linotype" w:eastAsia="Palatino Linotype" w:hAnsi="Palatino Linotype" w:cs="Palatino Linotype"/>
          <w:i/>
          <w:iCs/>
          <w:color w:val="000000" w:themeColor="text1"/>
        </w:rPr>
        <w:t xml:space="preserve"> o</w:t>
      </w:r>
    </w:p>
    <w:p w:rsidR="00407C73" w:rsidRPr="00DE5DA7" w:rsidRDefault="001B5844" w:rsidP="00DE5DA7">
      <w:pPr>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b/>
          <w:bCs/>
          <w:i/>
          <w:iCs/>
          <w:color w:val="000000" w:themeColor="text1"/>
        </w:rPr>
        <w:t>IX. Cualquier otro convenido con instituciones de servicios y aceptado por el servidor público.</w:t>
      </w:r>
    </w:p>
    <w:p w:rsidR="00407C73" w:rsidRPr="00DE5DA7" w:rsidRDefault="001B5844" w:rsidP="00DE5DA7">
      <w:pPr>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i/>
          <w:iCs/>
          <w:color w:val="000000" w:themeColor="text1"/>
        </w:rPr>
        <w:t xml:space="preserve">El monto total de las retenciones, descuentos o deducciones no podrá exceder del 30% de la remuneración total, excepto en los casos a que se refieren las fracciones IV, V y VI de este artículo, en </w:t>
      </w:r>
      <w:r w:rsidRPr="00DE5DA7">
        <w:rPr>
          <w:rFonts w:ascii="Palatino Linotype" w:eastAsia="Palatino Linotype" w:hAnsi="Palatino Linotype" w:cs="Palatino Linotype"/>
          <w:i/>
          <w:iCs/>
          <w:color w:val="000000" w:themeColor="text1"/>
        </w:rPr>
        <w:lastRenderedPageBreak/>
        <w:t>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407C73" w:rsidRPr="00DE5DA7" w:rsidRDefault="001B5844" w:rsidP="00DE5DA7">
      <w:pPr>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(Énfasis añadido)</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Derivado de lo anterior, la ley establece claramente cuáles son esos descuentos o gravámenes que directamente se relacionan con las obligaciones adquiridas como servidores públicos y aquéllos que </w:t>
      </w:r>
      <w:r w:rsidRPr="00DE5DA7">
        <w:rPr>
          <w:rFonts w:ascii="Palatino Linotype" w:eastAsia="Palatino Linotype" w:hAnsi="Palatino Linotype" w:cs="Palatino Linotype"/>
          <w:b/>
          <w:bCs/>
          <w:color w:val="000000" w:themeColor="text1"/>
          <w:u w:val="single"/>
        </w:rPr>
        <w:t>únicamente inciden en su vida privada</w:t>
      </w:r>
      <w:r w:rsidRPr="00DE5DA7">
        <w:rPr>
          <w:rFonts w:ascii="Palatino Linotype" w:eastAsia="Palatino Linotype" w:hAnsi="Palatino Linotype" w:cs="Palatino Linotype"/>
          <w:color w:val="000000" w:themeColor="text1"/>
        </w:rPr>
        <w:t>. De este modo, descuentos por pensiones alimenticias o créditos adquiridos con instituciones privadas o públicas pero que fueron contraídas en forma individual, son información que debe clasificarse como confidencial.</w:t>
      </w:r>
    </w:p>
    <w:p w:rsidR="00407C73" w:rsidRPr="00DE5DA7"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407C73" w:rsidRPr="00DE5DA7"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Sirven de sustento a lo anterior, las tesis jurisprudenciales P. LX/2000 y 2a. XLIII/2008 emitidas por el Peno y la Segunda Sala de la Suprema Corte de Justicia de la Nación, respectivamente, que son del tenor literal siguiente:</w:t>
      </w:r>
    </w:p>
    <w:p w:rsidR="00407C73" w:rsidRPr="00DE5DA7" w:rsidRDefault="001B5844" w:rsidP="00DE5DA7">
      <w:pP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t xml:space="preserve">“DERECHO A LA INFORMACIÓN. SU EJERCICIO SE ENCUENTRA LIMITADO TANTO POR LOS INTERESES NACIONALES Y DE LA SOCIEDAD, COMO POR LOS DERECHOS </w:t>
      </w:r>
      <w:r w:rsidRPr="00DE5DA7">
        <w:rPr>
          <w:rFonts w:ascii="Palatino Linotype" w:eastAsia="Palatino Linotype" w:hAnsi="Palatino Linotype" w:cs="Palatino Linotype"/>
          <w:b/>
          <w:bCs/>
          <w:i/>
          <w:iCs/>
          <w:color w:val="000000" w:themeColor="text1"/>
        </w:rPr>
        <w:lastRenderedPageBreak/>
        <w:t xml:space="preserve">DE TERCEROS. </w:t>
      </w:r>
      <w:r w:rsidRPr="00DE5DA7">
        <w:rPr>
          <w:rFonts w:ascii="Palatino Linotype" w:eastAsia="Palatino Linotype" w:hAnsi="Palatino Linotype" w:cs="Palatino Linotype"/>
          <w:i/>
          <w:iCs/>
          <w:color w:val="000000" w:themeColor="text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DE5DA7">
        <w:rPr>
          <w:rFonts w:ascii="Palatino Linotype" w:eastAsia="Palatino Linotype" w:hAnsi="Palatino Linotype" w:cs="Palatino Linotype"/>
          <w:b/>
          <w:bCs/>
          <w:i/>
          <w:iCs/>
          <w:color w:val="000000" w:themeColor="text1"/>
        </w:rPr>
        <w:t>restringen el acceso a la información en esta materia, en razón de que su conocimiento público puede generar daños a los intereses nacionales y, por el otro, sancionan la inobservancia de esa reserva</w:t>
      </w:r>
      <w:r w:rsidRPr="00DE5DA7">
        <w:rPr>
          <w:rFonts w:ascii="Palatino Linotype" w:eastAsia="Palatino Linotype" w:hAnsi="Palatino Linotype" w:cs="Palatino Linotype"/>
          <w:i/>
          <w:iCs/>
          <w:color w:val="000000" w:themeColor="text1"/>
        </w:rPr>
        <w:t xml:space="preserve">; por lo que hace al interés social, se cuenta con normas que tienden a proteger la averiguación de los delitos, la salud y la moral públicas, </w:t>
      </w:r>
      <w:r w:rsidRPr="00DE5DA7">
        <w:rPr>
          <w:rFonts w:ascii="Palatino Linotype" w:eastAsia="Palatino Linotype" w:hAnsi="Palatino Linotype" w:cs="Palatino Linotype"/>
          <w:b/>
          <w:bCs/>
          <w:i/>
          <w:iCs/>
          <w:color w:val="000000" w:themeColor="text1"/>
        </w:rPr>
        <w:t>mientras que por lo que respecta a la protección de la persona existen normas que protegen el derecho a la vida o a la privacidad de los gobernados</w:t>
      </w:r>
      <w:r w:rsidRPr="00DE5DA7">
        <w:rPr>
          <w:rFonts w:ascii="Palatino Linotype" w:eastAsia="Palatino Linotype" w:hAnsi="Palatino Linotype" w:cs="Palatino Linotype"/>
          <w:i/>
          <w:iCs/>
          <w:color w:val="000000" w:themeColor="text1"/>
        </w:rPr>
        <w:t>.”</w:t>
      </w:r>
    </w:p>
    <w:p w:rsidR="00407C73" w:rsidRPr="00DE5DA7" w:rsidRDefault="00407C73" w:rsidP="00DE5DA7">
      <w:pPr>
        <w:jc w:val="both"/>
        <w:rPr>
          <w:rFonts w:ascii="Palatino Linotype" w:eastAsia="Palatino Linotype" w:hAnsi="Palatino Linotype" w:cs="Palatino Linotype"/>
          <w:i/>
          <w:iCs/>
          <w:color w:val="000000" w:themeColor="text1"/>
        </w:rPr>
      </w:pPr>
    </w:p>
    <w:p w:rsidR="00407C73" w:rsidRPr="00DE5DA7" w:rsidRDefault="001B5844" w:rsidP="00DE5DA7">
      <w:pP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t xml:space="preserve">“TRANSPARENCIA Y ACCESO A LA INFORMACIÓN PÚBLICA GUBERNAMENTAL. EL ARTÍCULO 14, FRACCIÓN I, DE LA LEY FEDERAL RELATIVA, NO VIOLA LA GARANTÍA DE ACCESO A LA INFORMACIÓN. </w:t>
      </w:r>
      <w:r w:rsidRPr="00DE5DA7">
        <w:rPr>
          <w:rFonts w:ascii="Palatino Linotype" w:eastAsia="Palatino Linotype" w:hAnsi="Palatino Linotype" w:cs="Palatino Linotype"/>
          <w:i/>
          <w:iCs/>
          <w:color w:val="000000" w:themeColor="text1"/>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DE5DA7">
        <w:rPr>
          <w:rFonts w:ascii="Palatino Linotype" w:eastAsia="Palatino Linotype" w:hAnsi="Palatino Linotype" w:cs="Palatino Linotype"/>
          <w:b/>
          <w:bCs/>
          <w:i/>
          <w:iCs/>
          <w:color w:val="000000" w:themeColor="text1"/>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w:t>
      </w:r>
      <w:r w:rsidRPr="00DE5DA7">
        <w:rPr>
          <w:rFonts w:ascii="Palatino Linotype" w:eastAsia="Palatino Linotype" w:hAnsi="Palatino Linotype" w:cs="Palatino Linotype"/>
          <w:b/>
          <w:bCs/>
          <w:i/>
          <w:iCs/>
          <w:color w:val="000000" w:themeColor="text1"/>
        </w:rPr>
        <w:lastRenderedPageBreak/>
        <w:t>función del bien jurídico a proteger, es decir, que exista proporcionalidad y congruencia entre el derecho fundamental de que se trata y la razón que motive la restricción legislativa correspondiente,</w:t>
      </w:r>
      <w:r w:rsidRPr="00DE5DA7">
        <w:rPr>
          <w:rFonts w:ascii="Palatino Linotype" w:eastAsia="Palatino Linotype" w:hAnsi="Palatino Linotype" w:cs="Palatino Linotype"/>
          <w:i/>
          <w:iCs/>
          <w:color w:val="000000" w:themeColor="text1"/>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407C73" w:rsidRPr="00DE5DA7" w:rsidRDefault="00407C73" w:rsidP="00DE5DA7">
      <w:pPr>
        <w:jc w:val="both"/>
        <w:rPr>
          <w:rFonts w:ascii="Palatino Linotype" w:eastAsia="Palatino Linotype" w:hAnsi="Palatino Linotype" w:cs="Palatino Linotype"/>
          <w:i/>
          <w:iCs/>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También, el número de cuenta bancario, en el Criterio 10/17 emitido por el Pleno del Instituto Nacional de Transparencia, Acceso a la Información y Protección de Datos Personales  se establece lo siguiente:</w:t>
      </w:r>
    </w:p>
    <w:p w:rsidR="00407C73" w:rsidRPr="00DE5DA7" w:rsidRDefault="001B5844" w:rsidP="00DE5DA7">
      <w:pPr>
        <w:shd w:val="clear" w:color="auto" w:fill="FFFFFF"/>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w:t>
      </w:r>
      <w:r w:rsidRPr="00DE5DA7">
        <w:rPr>
          <w:rFonts w:ascii="Palatino Linotype" w:eastAsia="Palatino Linotype" w:hAnsi="Palatino Linotype" w:cs="Palatino Linotype"/>
          <w:b/>
          <w:bCs/>
          <w:i/>
          <w:iCs/>
          <w:color w:val="000000" w:themeColor="text1"/>
        </w:rPr>
        <w:t>Cuentas bancarias y/o CLABE interbancaria de personas físicas y morales privadas.</w:t>
      </w:r>
      <w:r w:rsidRPr="00DE5DA7">
        <w:rPr>
          <w:rFonts w:ascii="Palatino Linotype" w:eastAsia="Palatino Linotype" w:hAnsi="Palatino Linotype" w:cs="Palatino Linotype"/>
          <w:i/>
          <w:iCs/>
          <w:color w:val="000000" w:themeColor="text1"/>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DE5DA7">
        <w:rPr>
          <w:rFonts w:ascii="Palatino Linotype" w:eastAsia="Palatino Linotype" w:hAnsi="Palatino Linotype" w:cs="Palatino Linotype"/>
          <w:color w:val="000000" w:themeColor="text1"/>
        </w:rPr>
        <w:t>.”</w:t>
      </w:r>
    </w:p>
    <w:p w:rsidR="00407C73" w:rsidRPr="00DE5DA7" w:rsidRDefault="00407C73" w:rsidP="00DE5DA7">
      <w:pPr>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lastRenderedPageBreak/>
        <w:t>Por otra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407C73" w:rsidRPr="00DE5DA7" w:rsidRDefault="001B5844" w:rsidP="00DE5DA7">
      <w:pPr>
        <w:shd w:val="clear" w:color="auto" w:fill="FFFFFF"/>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t>“El número de ficha de identificación única de los trabajadores es información de carácter confidencial.</w:t>
      </w:r>
      <w:r w:rsidRPr="00DE5DA7">
        <w:rPr>
          <w:rFonts w:ascii="Palatino Linotype" w:eastAsia="Palatino Linotype" w:hAnsi="Palatino Linotype" w:cs="Palatino Linotype"/>
          <w:i/>
          <w:iCs/>
          <w:color w:val="000000" w:themeColor="text1"/>
        </w:rPr>
        <w:t> </w:t>
      </w:r>
      <w:r w:rsidRPr="00DE5DA7">
        <w:rPr>
          <w:rFonts w:ascii="Palatino Linotype" w:eastAsia="Palatino Linotype" w:hAnsi="Palatino Linotype" w:cs="Palatino Linotype"/>
          <w:i/>
          <w:iCs/>
          <w:color w:val="000000" w:themeColor="text1"/>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DE5DA7">
        <w:rPr>
          <w:rFonts w:ascii="Palatino Linotype" w:eastAsia="Palatino Linotype" w:hAnsi="Palatino Linotype" w:cs="Palatino Linotype"/>
          <w:i/>
          <w:iCs/>
          <w:color w:val="000000" w:themeColor="text1"/>
        </w:rPr>
        <w:t>, </w:t>
      </w:r>
      <w:r w:rsidRPr="00DE5DA7">
        <w:rPr>
          <w:rFonts w:ascii="Palatino Linotype" w:eastAsia="Palatino Linotype" w:hAnsi="Palatino Linotype" w:cs="Palatino Linotype"/>
          <w:i/>
          <w:iCs/>
          <w:color w:val="000000" w:themeColor="text1"/>
          <w:u w:val="single"/>
        </w:rPr>
        <w:t>dicha información es susceptible de clasificarse con el carácter de confidencial</w:t>
      </w:r>
      <w:r w:rsidRPr="00DE5DA7">
        <w:rPr>
          <w:rFonts w:ascii="Palatino Linotype" w:eastAsia="Palatino Linotype" w:hAnsi="Palatino Linotype" w:cs="Palatino Linotype"/>
          <w:i/>
          <w:iCs/>
          <w:color w:val="000000" w:themeColor="text1"/>
        </w:rPr>
        <w:t>, en términos de lo establecido en el artículo 18, fracción II de la Ley Federal de Transparencia y Acceso a la Información Pública Gubernamental, en virtud de que a través de la misma es posible conocer información personal de su titular.”</w:t>
      </w:r>
    </w:p>
    <w:p w:rsidR="00407C73" w:rsidRPr="00DE5DA7" w:rsidRDefault="00407C73" w:rsidP="00DE5DA7">
      <w:pPr>
        <w:shd w:val="clear" w:color="auto" w:fill="FFFFFF"/>
        <w:jc w:val="both"/>
        <w:rPr>
          <w:rFonts w:ascii="Palatino Linotype" w:eastAsia="Palatino Linotype" w:hAnsi="Palatino Linotype" w:cs="Palatino Linotype"/>
          <w:i/>
          <w:iCs/>
          <w:color w:val="000000" w:themeColor="text1"/>
        </w:rPr>
      </w:pP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De lo anterior, se debe de mencionar que el </w:t>
      </w:r>
      <w:r w:rsidRPr="00DE5DA7">
        <w:rPr>
          <w:rFonts w:ascii="Palatino Linotype" w:eastAsia="Palatino Linotype" w:hAnsi="Palatino Linotype" w:cs="Palatino Linotype"/>
          <w:b/>
          <w:bCs/>
          <w:color w:val="000000" w:themeColor="text1"/>
        </w:rPr>
        <w:t xml:space="preserve">SUJETO OBLIGADO </w:t>
      </w:r>
      <w:r w:rsidRPr="00DE5DA7">
        <w:rPr>
          <w:rFonts w:ascii="Palatino Linotype" w:eastAsia="Palatino Linotype" w:hAnsi="Palatino Linotype" w:cs="Palatino Linotype"/>
          <w:color w:val="000000" w:themeColor="text1"/>
        </w:rPr>
        <w:t>deberá de realizar un análisis respecto al número de empleado, ya que este solo deberá de ser clasificado como confidencial si tiene relación con datos personales de los servidores públicos.</w:t>
      </w:r>
    </w:p>
    <w:p w:rsidR="00407C73" w:rsidRPr="00DE5DA7"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Respecto el Curriculum vitae,  se refiere que el documento que pudiera dar cuenta de lo solicitado, es la </w:t>
      </w:r>
      <w:r w:rsidRPr="00DE5DA7">
        <w:rPr>
          <w:rFonts w:ascii="Palatino Linotype" w:eastAsia="Palatino Linotype" w:hAnsi="Palatino Linotype" w:cs="Palatino Linotype"/>
          <w:b/>
          <w:bCs/>
          <w:color w:val="000000" w:themeColor="text1"/>
        </w:rPr>
        <w:t xml:space="preserve">solicitud de empleo, ficha curricular, currículum vitae o documento análogo, </w:t>
      </w:r>
      <w:r w:rsidRPr="00DE5DA7">
        <w:rPr>
          <w:rFonts w:ascii="Palatino Linotype" w:eastAsia="Palatino Linotype" w:hAnsi="Palatino Linotype" w:cs="Palatino Linotype"/>
          <w:color w:val="000000" w:themeColor="text1"/>
        </w:rPr>
        <w:t>por lo que al respecto se refiere lo siguiente:</w:t>
      </w:r>
    </w:p>
    <w:p w:rsidR="00407C73" w:rsidRPr="00DE5DA7" w:rsidRDefault="001B5844" w:rsidP="00DE5DA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b/>
          <w:bCs/>
          <w:color w:val="000000" w:themeColor="text1"/>
        </w:rPr>
        <w:t xml:space="preserve">Curriculim Vitae </w:t>
      </w:r>
    </w:p>
    <w:p w:rsidR="00407C73" w:rsidRPr="00021D14" w:rsidRDefault="001B5844" w:rsidP="00021D14">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021D14">
        <w:rPr>
          <w:rFonts w:ascii="Palatino Linotype" w:eastAsia="Palatino Linotype" w:hAnsi="Palatino Linotype" w:cs="Palatino Linotype"/>
          <w:color w:val="000000" w:themeColor="text1"/>
        </w:rPr>
        <w:t>Ahora bien, “currículum” corresponde a una locución latina cuyo significado es:</w:t>
      </w:r>
    </w:p>
    <w:p w:rsidR="00407C73" w:rsidRPr="00DE5DA7" w:rsidRDefault="001B5844" w:rsidP="00DE5DA7">
      <w:pP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lastRenderedPageBreak/>
        <w:t>“carrera de vida”, Se usa como locución nominal masculina para designar la relación de los datos personales, formación académica, actividad laboral y méritos de una persona.” (Sic)</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021D14" w:rsidRDefault="001B5844" w:rsidP="00021D14">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021D14">
        <w:rPr>
          <w:rFonts w:ascii="Palatino Linotype" w:eastAsia="Palatino Linotype" w:hAnsi="Palatino Linotype" w:cs="Palatino Linotype"/>
          <w:color w:val="000000" w:themeColor="text1"/>
        </w:rPr>
        <w:t>De la interpretación a esta definición se desprende que el currículum vitae está relacionado con la hoja de vida o carrera de vida de una persona, donde se podría apreciar la preparación académica y laboral que tiene, además de los méritos obtenidos tal y como podrían ser cursos, certificaciones o capacitaciones.</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021D14" w:rsidRDefault="001B5844" w:rsidP="00021D14">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021D14">
        <w:rPr>
          <w:rFonts w:ascii="Palatino Linotype" w:eastAsia="Palatino Linotype" w:hAnsi="Palatino Linotype" w:cs="Palatino Linotype"/>
          <w:color w:val="000000" w:themeColor="text1"/>
        </w:rPr>
        <w:t xml:space="preserve">Por su lado, la Real Academia Española, lo define como a continuación se cita: </w:t>
      </w:r>
    </w:p>
    <w:p w:rsidR="00407C73" w:rsidRPr="00DE5DA7" w:rsidRDefault="001B5844" w:rsidP="00DE5DA7">
      <w:pP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“Relación de los títulos, honores, cargos, trabajos realizados, datos biográficos, etc, que califican a una persona” (Sic)</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021D14" w:rsidRDefault="001B5844" w:rsidP="00021D14">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021D14">
        <w:rPr>
          <w:rFonts w:ascii="Palatino Linotype" w:eastAsia="Palatino Linotype" w:hAnsi="Palatino Linotype" w:cs="Palatino Linotype"/>
          <w:color w:val="000000" w:themeColor="text1"/>
        </w:rPr>
        <w:t xml:space="preserve">Desde esta perspectiva, a través del currículum vite la particular puede advertir los estudios realizados o bien el nivel académico, así como la experiencia laboral de los servidores públicos que se encuentran adscritos al </w:t>
      </w:r>
      <w:r w:rsidRPr="00021D14">
        <w:rPr>
          <w:rFonts w:ascii="Palatino Linotype" w:eastAsia="Palatino Linotype" w:hAnsi="Palatino Linotype" w:cs="Palatino Linotype"/>
          <w:b/>
          <w:bCs/>
          <w:color w:val="000000" w:themeColor="text1"/>
        </w:rPr>
        <w:t>SUJETO OBLIGADO</w:t>
      </w:r>
      <w:r w:rsidRPr="00021D14">
        <w:rPr>
          <w:rFonts w:ascii="Palatino Linotype" w:eastAsia="Palatino Linotype" w:hAnsi="Palatino Linotype" w:cs="Palatino Linotype"/>
          <w:color w:val="000000" w:themeColor="text1"/>
        </w:rPr>
        <w:t>,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rsidR="00407C73" w:rsidRPr="00DE5DA7" w:rsidRDefault="00407C73" w:rsidP="00DE5DA7">
      <w:pPr>
        <w:jc w:val="both"/>
        <w:rPr>
          <w:rFonts w:ascii="Palatino Linotype" w:eastAsia="Palatino Linotype" w:hAnsi="Palatino Linotype" w:cs="Palatino Linotype"/>
          <w:i/>
          <w:iCs/>
          <w:color w:val="000000" w:themeColor="text1"/>
        </w:rPr>
      </w:pPr>
    </w:p>
    <w:p w:rsidR="00407C73" w:rsidRPr="00DE5DA7" w:rsidRDefault="001B5844" w:rsidP="00DE5DA7">
      <w:pP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lastRenderedPageBreak/>
        <w:t xml:space="preserve"> “</w:t>
      </w:r>
      <w:r w:rsidRPr="00DE5DA7">
        <w:rPr>
          <w:rFonts w:ascii="Palatino Linotype" w:eastAsia="Palatino Linotype" w:hAnsi="Palatino Linotype" w:cs="Palatino Linotype"/>
          <w:b/>
          <w:bCs/>
          <w:i/>
          <w:iCs/>
          <w:color w:val="000000" w:themeColor="text1"/>
        </w:rPr>
        <w:t>Curriculum Vitae de servidores públicos</w:t>
      </w:r>
      <w:r w:rsidRPr="00DE5DA7">
        <w:rPr>
          <w:rFonts w:ascii="Palatino Linotype" w:eastAsia="Palatino Linotype" w:hAnsi="Palatino Linotype" w:cs="Palatino Linotype"/>
          <w:i/>
          <w:iCs/>
          <w:color w:val="000000" w:themeColor="text1"/>
        </w:rPr>
        <w:t>.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021D14" w:rsidRDefault="001B5844" w:rsidP="00021D14">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021D14">
        <w:rPr>
          <w:rFonts w:ascii="Palatino Linotype" w:eastAsia="Palatino Linotype" w:hAnsi="Palatino Linotype" w:cs="Palatino Linotype"/>
          <w:color w:val="000000" w:themeColor="text1"/>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presentar una solicitud del empleo, como se </w:t>
      </w:r>
      <w:r w:rsidRPr="00021D14">
        <w:rPr>
          <w:rFonts w:ascii="Palatino Linotype" w:eastAsia="Palatino Linotype" w:hAnsi="Palatino Linotype" w:cs="Palatino Linotype"/>
          <w:color w:val="000000" w:themeColor="text1"/>
        </w:rPr>
        <w:lastRenderedPageBreak/>
        <w:t>desprende del artículo 47 fracción I de la Ley del Trabajo para los Servidores Públicos del Estado y Municipios.</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021D14" w:rsidRDefault="001B5844" w:rsidP="00021D14">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021D14">
        <w:rPr>
          <w:rFonts w:ascii="Palatino Linotype" w:eastAsia="Palatino Linotype" w:hAnsi="Palatino Linotype" w:cs="Palatino Linotype"/>
          <w:color w:val="000000" w:themeColor="text1"/>
        </w:rPr>
        <w:t>Por lo que es posible determinar que, el currículum vítae contienen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2"/>
        </w:numPr>
        <w:spacing w:line="360" w:lineRule="auto"/>
        <w:ind w:left="0" w:firstLine="0"/>
        <w:jc w:val="both"/>
        <w:rPr>
          <w:rFonts w:ascii="Palatino Linotype" w:eastAsia="Palatino Linotype" w:hAnsi="Palatino Linotype" w:cs="Palatino Linotype"/>
          <w:b/>
          <w:bCs/>
          <w:color w:val="000000" w:themeColor="text1"/>
        </w:rPr>
      </w:pPr>
      <w:r w:rsidRPr="00DE5DA7">
        <w:rPr>
          <w:rFonts w:ascii="Palatino Linotype" w:eastAsia="Palatino Linotype" w:hAnsi="Palatino Linotype" w:cs="Palatino Linotype"/>
          <w:b/>
          <w:bCs/>
          <w:color w:val="000000" w:themeColor="text1"/>
        </w:rPr>
        <w:t>Ficha Curricular (máximo 2 cuartillas)</w:t>
      </w:r>
    </w:p>
    <w:p w:rsidR="00407C73" w:rsidRPr="00021D14" w:rsidRDefault="001B5844" w:rsidP="00021D14">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021D14">
        <w:rPr>
          <w:rFonts w:ascii="Palatino Linotype" w:eastAsia="Palatino Linotype" w:hAnsi="Palatino Linotype" w:cs="Palatino Linotype"/>
          <w:color w:val="000000" w:themeColor="text1"/>
        </w:rPr>
        <w:t xml:space="preserve">En el caso de la ficha curricular, se trata de la síntesis del currículo. En esa tesitura, debe apuntarse que la información curricular constituye una obligación de transparencia, pues </w:t>
      </w:r>
      <w:r w:rsidRPr="00021D14">
        <w:rPr>
          <w:rFonts w:ascii="Palatino Linotype" w:eastAsia="Palatino Linotype" w:hAnsi="Palatino Linotype" w:cs="Palatino Linotype"/>
          <w:b/>
          <w:bCs/>
          <w:color w:val="000000" w:themeColor="text1"/>
        </w:rPr>
        <w:t>EL SUJETO OBLIGADO</w:t>
      </w:r>
      <w:r w:rsidRPr="00021D14">
        <w:rPr>
          <w:rFonts w:ascii="Palatino Linotype" w:eastAsia="Palatino Linotype" w:hAnsi="Palatino Linotype" w:cs="Palatino Linotype"/>
          <w:color w:val="000000" w:themeColor="text1"/>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407C73" w:rsidRPr="00DE5DA7" w:rsidRDefault="001B5844" w:rsidP="00DE5DA7">
      <w:pP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07C73" w:rsidRPr="00DE5DA7" w:rsidRDefault="001B5844" w:rsidP="00DE5DA7">
      <w:pP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w:t>
      </w:r>
    </w:p>
    <w:p w:rsidR="00407C73" w:rsidRPr="00DE5DA7" w:rsidRDefault="001B5844" w:rsidP="00DE5DA7">
      <w:pP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XXI. La información curricular, desde el nivel de jefe de departamento o equivalente, hasta el titular del sujeto obligado, así como, en su caso, las sanciones administrativas de que haya sido objeto;”(Sic)</w:t>
      </w:r>
    </w:p>
    <w:p w:rsidR="00407C73" w:rsidRPr="00DE5DA7" w:rsidRDefault="001B5844" w:rsidP="00DE5DA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DE5DA7">
        <w:rPr>
          <w:rFonts w:ascii="Palatino Linotype" w:eastAsia="Palatino Linotype" w:hAnsi="Palatino Linotype" w:cs="Palatino Linotype"/>
          <w:b/>
          <w:bCs/>
          <w:color w:val="000000" w:themeColor="text1"/>
        </w:rPr>
        <w:lastRenderedPageBreak/>
        <w:t>Solicitud de empleo (emitida por la DRH)</w:t>
      </w:r>
    </w:p>
    <w:p w:rsidR="00407C73" w:rsidRPr="00021D14" w:rsidRDefault="001B5844" w:rsidP="00021D14">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021D14">
        <w:rPr>
          <w:rFonts w:ascii="Palatino Linotype" w:eastAsia="Palatino Linotype" w:hAnsi="Palatino Linotype" w:cs="Palatino Linotype"/>
          <w:color w:val="000000" w:themeColor="text1"/>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021D14" w:rsidRDefault="001B5844" w:rsidP="00021D14">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021D14">
        <w:rPr>
          <w:rFonts w:ascii="Palatino Linotype" w:eastAsia="Palatino Linotype" w:hAnsi="Palatino Linotype" w:cs="Palatino Linotype"/>
          <w:color w:val="000000" w:themeColor="text1"/>
        </w:rPr>
        <w:t>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021D14" w:rsidRDefault="001B5844" w:rsidP="00021D14">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021D14">
        <w:rPr>
          <w:rFonts w:ascii="Palatino Linotype" w:eastAsia="Palatino Linotype" w:hAnsi="Palatino Linotype" w:cs="Palatino Linotype"/>
          <w:color w:val="000000" w:themeColor="text1"/>
        </w:rPr>
        <w:t>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 toda vez que no fue adjuntado en respuesta.</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lastRenderedPageBreak/>
        <w:t>Ahora bien, esa necesario precisar que los documentos que den cuenta de lo peticionado, pudieran contar con diversos datos personales, tales como la fotografía y firma en comprobantes de estudio, por lo que, se procede a su análisis:</w:t>
      </w:r>
    </w:p>
    <w:p w:rsidR="00407C73" w:rsidRPr="00DE5DA7" w:rsidRDefault="00407C73" w:rsidP="00DE5DA7">
      <w:pPr>
        <w:widowControl w:val="0"/>
        <w:tabs>
          <w:tab w:val="center" w:pos="4522"/>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b/>
          <w:bCs/>
          <w:color w:val="000000" w:themeColor="text1"/>
        </w:rPr>
        <w:t>Firma de servidores públicos en comprobantes de estudio</w:t>
      </w: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rsidR="00407C73" w:rsidRPr="00DE5DA7"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rsidR="00407C73" w:rsidRPr="00DE5DA7" w:rsidRDefault="00407C73" w:rsidP="00DE5DA7">
      <w:pPr>
        <w:tabs>
          <w:tab w:val="left" w:pos="4962"/>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rsidR="00407C73" w:rsidRPr="00DE5DA7" w:rsidRDefault="001B5844" w:rsidP="00DE5DA7">
      <w:pPr>
        <w:shd w:val="clear" w:color="auto" w:fill="FFFFFF"/>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w:t>
      </w:r>
    </w:p>
    <w:p w:rsidR="00407C73" w:rsidRPr="00DE5DA7" w:rsidRDefault="001B5844" w:rsidP="00DE5DA7">
      <w:pPr>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b/>
          <w:bCs/>
          <w:i/>
          <w:iCs/>
          <w:color w:val="000000" w:themeColor="text1"/>
        </w:rPr>
        <w:lastRenderedPageBreak/>
        <w:t>“Firma y rúbrica de servidores públicos.</w:t>
      </w:r>
      <w:r w:rsidRPr="00DE5DA7">
        <w:rPr>
          <w:rFonts w:ascii="Palatino Linotype" w:eastAsia="Palatino Linotype" w:hAnsi="Palatino Linotype" w:cs="Palatino Linotype"/>
          <w:i/>
          <w:iCs/>
          <w:color w:val="000000" w:themeColor="text1"/>
        </w:rPr>
        <w:t> Si bien la firma y la rúbrica son datos personales confidenciales, cuando un servidor público emite un acto como autoridad, en ejercicio de las funciones que tiene conferidas, la firma o rúbrica mediante la cual se valida dicho acto es pública.”</w:t>
      </w:r>
    </w:p>
    <w:p w:rsidR="00407C73" w:rsidRPr="00DE5DA7" w:rsidRDefault="001B5844" w:rsidP="00DE5DA7">
      <w:pPr>
        <w:tabs>
          <w:tab w:val="left" w:pos="4962"/>
        </w:tabs>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rsidR="00407C73" w:rsidRPr="00DE5DA7" w:rsidRDefault="001B5844" w:rsidP="00DE5DA7">
      <w:pPr>
        <w:numPr>
          <w:ilvl w:val="0"/>
          <w:numId w:val="3"/>
        </w:numPr>
        <w:spacing w:line="360" w:lineRule="auto"/>
        <w:ind w:left="0" w:firstLine="0"/>
        <w:jc w:val="both"/>
        <w:rPr>
          <w:rFonts w:ascii="Palatino Linotype" w:eastAsia="Palatino Linotype" w:hAnsi="Palatino Linotype" w:cs="Palatino Linotype"/>
          <w:b/>
          <w:bCs/>
          <w:color w:val="000000" w:themeColor="text1"/>
        </w:rPr>
      </w:pPr>
      <w:r w:rsidRPr="00DE5DA7">
        <w:rPr>
          <w:rFonts w:ascii="Palatino Linotype" w:eastAsia="Palatino Linotype" w:hAnsi="Palatino Linotype" w:cs="Palatino Linotype"/>
          <w:b/>
          <w:bCs/>
          <w:color w:val="000000" w:themeColor="text1"/>
        </w:rPr>
        <w:t xml:space="preserve">Fotografías de los servidores públicos. </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407C73" w:rsidRPr="00DE5DA7" w:rsidRDefault="00407C73" w:rsidP="00DE5DA7">
      <w:pPr>
        <w:tabs>
          <w:tab w:val="left" w:pos="4962"/>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w:t>
      </w:r>
      <w:r w:rsidRPr="00DE5DA7">
        <w:rPr>
          <w:rFonts w:ascii="Palatino Linotype" w:eastAsia="Palatino Linotype" w:hAnsi="Palatino Linotype" w:cs="Palatino Linotype"/>
          <w:color w:val="000000" w:themeColor="text1"/>
        </w:rPr>
        <w:lastRenderedPageBreak/>
        <w:t>la fotografía obra en documentos de servidores públicos vinculados con el cumplimiento de disposiciones legales.</w:t>
      </w:r>
    </w:p>
    <w:p w:rsidR="00407C73" w:rsidRPr="00DE5DA7" w:rsidRDefault="00407C73" w:rsidP="00DE5DA7">
      <w:pPr>
        <w:tabs>
          <w:tab w:val="left" w:pos="4962"/>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407C73" w:rsidRPr="00DE5DA7" w:rsidRDefault="00407C73" w:rsidP="00DE5DA7">
      <w:pPr>
        <w:tabs>
          <w:tab w:val="left" w:pos="4962"/>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407C73" w:rsidRPr="00DE5DA7" w:rsidRDefault="00407C73" w:rsidP="00DE5DA7">
      <w:pPr>
        <w:tabs>
          <w:tab w:val="left" w:pos="4962"/>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Debe tenerse presente que el actuar de los servidores públicos incide de manera específica en los derechos de los particulares, pues el acto de un servidor público en ejercicio </w:t>
      </w:r>
      <w:r w:rsidRPr="00DE5DA7">
        <w:rPr>
          <w:rFonts w:ascii="Palatino Linotype" w:eastAsia="Palatino Linotype" w:hAnsi="Palatino Linotype" w:cs="Palatino Linotype"/>
          <w:color w:val="000000" w:themeColor="text1"/>
        </w:rPr>
        <w:lastRenderedPageBreak/>
        <w:t xml:space="preserve">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407C73" w:rsidRPr="00DE5DA7" w:rsidRDefault="00407C73" w:rsidP="00DE5DA7">
      <w:pPr>
        <w:tabs>
          <w:tab w:val="left" w:pos="4962"/>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407C73" w:rsidRPr="00DE5DA7" w:rsidRDefault="00407C73" w:rsidP="00DE5DA7">
      <w:pPr>
        <w:tabs>
          <w:tab w:val="left" w:pos="4962"/>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407C73" w:rsidRPr="00DE5DA7" w:rsidRDefault="00407C73" w:rsidP="00DE5DA7">
      <w:pPr>
        <w:tabs>
          <w:tab w:val="left" w:pos="4962"/>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b/>
          <w:bCs/>
          <w:color w:val="000000" w:themeColor="text1"/>
        </w:rPr>
      </w:pPr>
      <w:r w:rsidRPr="00DE5DA7">
        <w:rPr>
          <w:rFonts w:ascii="Palatino Linotype" w:eastAsia="Palatino Linotype" w:hAnsi="Palatino Linotype" w:cs="Palatino Linotype"/>
          <w:color w:val="000000" w:themeColor="text1"/>
        </w:rPr>
        <w:lastRenderedPageBreak/>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p>
    <w:p w:rsidR="00407C73" w:rsidRPr="00DE5DA7" w:rsidRDefault="00407C73" w:rsidP="00DE5DA7">
      <w:pPr>
        <w:widowControl w:val="0"/>
        <w:tabs>
          <w:tab w:val="center" w:pos="4522"/>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Así, el Sujeto Obligado deber proporcionar los documento en donde se clasifique la información confidencial, por lo que, deberá elaborar la versión pública respectiva; lo anterior, pues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407C73"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21D14" w:rsidRPr="00DE5DA7" w:rsidRDefault="00021D14" w:rsidP="00DE5D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b/>
          <w:bCs/>
          <w:color w:val="000000" w:themeColor="text1"/>
        </w:rPr>
        <w:lastRenderedPageBreak/>
        <w:t>Registro Federal de Contribuyentes</w:t>
      </w:r>
      <w:r w:rsidRPr="00DE5DA7">
        <w:rPr>
          <w:rFonts w:ascii="Palatino Linotype" w:eastAsia="Palatino Linotype" w:hAnsi="Palatino Linotype" w:cs="Palatino Linotype"/>
          <w:color w:val="000000" w:themeColor="text1"/>
        </w:rPr>
        <w:t xml:space="preserve"> (RFC)</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Conforme a lo expuesto, el Registro Federal de Contribuyentes, es un dato personal, ya que hace a las personas físicas identificables, además de que las relaciona como </w:t>
      </w:r>
      <w:r w:rsidRPr="00DE5DA7">
        <w:rPr>
          <w:rFonts w:ascii="Palatino Linotype" w:eastAsia="Palatino Linotype" w:hAnsi="Palatino Linotype" w:cs="Palatino Linotype"/>
          <w:color w:val="000000" w:themeColor="text1"/>
        </w:rPr>
        <w:lastRenderedPageBreak/>
        <w:t xml:space="preserve">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Lo anterior, resulta congruente con el Criterio 19/17 emitido por el Instituto Nacional de Transparencia, Acceso a la Información y Protección de Datos Personales, en el cual se señala lo siguiente:</w:t>
      </w:r>
    </w:p>
    <w:p w:rsidR="00407C73" w:rsidRPr="00DE5DA7" w:rsidRDefault="001B5844" w:rsidP="00DE5DA7">
      <w:pP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w:t>
      </w:r>
      <w:r w:rsidRPr="00DE5DA7">
        <w:rPr>
          <w:rFonts w:ascii="Palatino Linotype" w:eastAsia="Palatino Linotype" w:hAnsi="Palatino Linotype" w:cs="Palatino Linotype"/>
          <w:b/>
          <w:bCs/>
          <w:i/>
          <w:iCs/>
          <w:color w:val="000000" w:themeColor="text1"/>
        </w:rPr>
        <w:t>Registro Federal de Contribuyentes (RFC) de personas físicas</w:t>
      </w:r>
      <w:r w:rsidRPr="00DE5DA7">
        <w:rPr>
          <w:rFonts w:ascii="Palatino Linotype" w:eastAsia="Palatino Linotype" w:hAnsi="Palatino Linotype" w:cs="Palatino Linotype"/>
          <w:i/>
          <w:iCs/>
          <w:color w:val="000000" w:themeColor="text1"/>
        </w:rPr>
        <w:t>. El RFC es una clave de carácter fiscal, única e irrepetible, que permite identificar al titular, su edad y fecha de nacimiento, por lo que es un dato personal de carácter confidencial.”</w:t>
      </w:r>
    </w:p>
    <w:p w:rsidR="00407C73" w:rsidRPr="00DE5DA7" w:rsidRDefault="00407C73" w:rsidP="00DE5DA7">
      <w:pPr>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spacing w:line="360" w:lineRule="auto"/>
        <w:jc w:val="both"/>
        <w:rPr>
          <w:rFonts w:ascii="Palatino Linotype" w:eastAsia="Palatino Linotype" w:hAnsi="Palatino Linotype" w:cs="Palatino Linotype"/>
          <w:b/>
          <w:bCs/>
          <w:color w:val="000000" w:themeColor="text1"/>
        </w:rPr>
      </w:pPr>
      <w:r w:rsidRPr="00DE5DA7">
        <w:rPr>
          <w:rFonts w:ascii="Palatino Linotype" w:eastAsia="Palatino Linotype" w:hAnsi="Palatino Linotype" w:cs="Palatino Linotype"/>
          <w:b/>
          <w:bCs/>
          <w:color w:val="000000" w:themeColor="text1"/>
        </w:rPr>
        <w:t>Clave única de Registro de Población –CURP-.</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El artículo 36 de la Constitución Política de los Estados Unidos Mexicanos, dispone la obligación de los ciudadanos de inscribirse en el Registro Nacional de Ciudadanos. </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407C73" w:rsidRPr="00DE5DA7" w:rsidRDefault="00407C73" w:rsidP="00DE5DA7">
      <w:pPr>
        <w:spacing w:line="360" w:lineRule="auto"/>
        <w:jc w:val="both"/>
        <w:rPr>
          <w:rFonts w:ascii="Palatino Linotype" w:eastAsia="Palatino Linotype" w:hAnsi="Palatino Linotype" w:cs="Palatino Linotype"/>
          <w:b/>
          <w:bCs/>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De conformidad con lo precisado por la propia Secretaría de Gobernación en la dirección </w:t>
      </w:r>
      <w:hyperlink r:id="rId19">
        <w:r w:rsidRPr="00DE5DA7">
          <w:rPr>
            <w:rFonts w:ascii="Palatino Linotype" w:eastAsia="Palatino Linotype" w:hAnsi="Palatino Linotype" w:cs="Palatino Linotype"/>
            <w:color w:val="000000" w:themeColor="text1"/>
            <w:u w:val="single"/>
          </w:rPr>
          <w:t>https://consultas.curp.gob.mx/CurpSP/html/informacionecurpPS.html</w:t>
        </w:r>
      </w:hyperlink>
      <w:r w:rsidRPr="00DE5DA7">
        <w:rPr>
          <w:rFonts w:ascii="Palatino Linotype" w:eastAsia="Palatino Linotype" w:hAnsi="Palatino Linotype" w:cs="Palatino Linotype"/>
          <w:color w:val="000000" w:themeColor="text1"/>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DE5DA7">
        <w:rPr>
          <w:rFonts w:ascii="Palatino Linotype" w:eastAsia="Palatino Linotype" w:hAnsi="Palatino Linotype" w:cs="Palatino Linotype"/>
          <w:b/>
          <w:bCs/>
          <w:color w:val="000000" w:themeColor="text1"/>
        </w:rPr>
        <w:t xml:space="preserve">se generan a partir de los datos contenidos en el documento probatorio de la identidad del interesado </w:t>
      </w:r>
      <w:r w:rsidRPr="00DE5DA7">
        <w:rPr>
          <w:rFonts w:ascii="Palatino Linotype" w:eastAsia="Palatino Linotype" w:hAnsi="Palatino Linotype" w:cs="Palatino Linotype"/>
          <w:color w:val="000000" w:themeColor="text1"/>
        </w:rPr>
        <w:t>(acta de nacimiento, carta de naturalización o documento migratorio) de la siguiente forma:</w:t>
      </w:r>
    </w:p>
    <w:p w:rsidR="00407C73" w:rsidRPr="00DE5DA7" w:rsidRDefault="001B5844" w:rsidP="00DE5DA7">
      <w:pPr>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 • El primero y segundo apellidos, así como al nombre de pila.</w:t>
      </w:r>
    </w:p>
    <w:p w:rsidR="00407C73" w:rsidRPr="00DE5DA7" w:rsidRDefault="001B5844" w:rsidP="00DE5DA7">
      <w:pPr>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 • La fecha de nacimiento.</w:t>
      </w:r>
    </w:p>
    <w:p w:rsidR="00407C73" w:rsidRPr="00DE5DA7" w:rsidRDefault="001B5844" w:rsidP="00DE5DA7">
      <w:pPr>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 • El sexo.</w:t>
      </w:r>
    </w:p>
    <w:p w:rsidR="00407C73" w:rsidRPr="00DE5DA7" w:rsidRDefault="001B5844" w:rsidP="00DE5DA7">
      <w:pPr>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lastRenderedPageBreak/>
        <w:t xml:space="preserve"> • La entidad federativa de nacimiento.</w:t>
      </w:r>
    </w:p>
    <w:p w:rsidR="00407C73" w:rsidRPr="00DE5DA7" w:rsidRDefault="001B5844" w:rsidP="00DE5DA7">
      <w:pPr>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Los dos últimos elementos de la CURP evitan la duplicidad de la Clave y garantizan su correcta integración.</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Resulta aplicable en la especie, como argumento orientador, el Criterio 3/10, emitido por el INAI.</w:t>
      </w:r>
    </w:p>
    <w:p w:rsidR="00407C73" w:rsidRPr="00DE5DA7" w:rsidRDefault="001B5844" w:rsidP="00DE5DA7">
      <w:pP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t xml:space="preserve">Clave Única de Registro de Población (CURP) es un dato personal confidencial. </w:t>
      </w:r>
      <w:r w:rsidRPr="00DE5DA7">
        <w:rPr>
          <w:rFonts w:ascii="Palatino Linotype" w:eastAsia="Palatino Linotype" w:hAnsi="Palatino Linotype" w:cs="Palatino Linotype"/>
          <w:i/>
          <w:iCs/>
          <w:color w:val="000000" w:themeColor="text1"/>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407C73" w:rsidRPr="00DE5DA7" w:rsidRDefault="00407C73" w:rsidP="00DE5DA7">
      <w:pPr>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lastRenderedPageBreak/>
        <w:t>De acuerdo con lo anterior, se la clave CURP, es un dato personal confidencial, en términos del artículo 143, fracción I, de la Ley de Transparencia y Acceso a la Información Pública del Estado de México y Municipios.</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spacing w:line="360" w:lineRule="auto"/>
        <w:jc w:val="both"/>
        <w:rPr>
          <w:rFonts w:ascii="Palatino Linotype" w:eastAsia="Palatino Linotype" w:hAnsi="Palatino Linotype" w:cs="Palatino Linotype"/>
          <w:b/>
          <w:bCs/>
          <w:color w:val="000000" w:themeColor="text1"/>
        </w:rPr>
      </w:pPr>
      <w:r w:rsidRPr="00DE5DA7">
        <w:rPr>
          <w:rFonts w:ascii="Palatino Linotype" w:eastAsia="Palatino Linotype" w:hAnsi="Palatino Linotype" w:cs="Palatino Linotype"/>
          <w:b/>
          <w:bCs/>
          <w:color w:val="000000" w:themeColor="text1"/>
        </w:rPr>
        <w:t>Domicilio</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DE5DA7">
        <w:rPr>
          <w:rFonts w:ascii="Palatino Linotype" w:eastAsia="Palatino Linotype" w:hAnsi="Palatino Linotype" w:cs="Palatino Linotype"/>
          <w:b/>
          <w:bCs/>
          <w:color w:val="000000" w:themeColor="text1"/>
        </w:rPr>
        <w:t>el domicilio particular</w:t>
      </w:r>
      <w:r w:rsidRPr="00DE5DA7">
        <w:rPr>
          <w:rFonts w:ascii="Palatino Linotype" w:eastAsia="Palatino Linotype" w:hAnsi="Palatino Linotype" w:cs="Palatino Linotype"/>
          <w:color w:val="000000" w:themeColor="text1"/>
        </w:rPr>
        <w:t xml:space="preserve"> es confidencial, en términos del artículo 143, fracción I de la Ley de Transparencia y Acceso a la Información Pública del Estado de México y Municipios. </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spacing w:line="360" w:lineRule="auto"/>
        <w:jc w:val="both"/>
        <w:rPr>
          <w:rFonts w:ascii="Palatino Linotype" w:eastAsia="Palatino Linotype" w:hAnsi="Palatino Linotype" w:cs="Palatino Linotype"/>
          <w:b/>
          <w:bCs/>
          <w:color w:val="000000" w:themeColor="text1"/>
        </w:rPr>
      </w:pPr>
      <w:r w:rsidRPr="00DE5DA7">
        <w:rPr>
          <w:rFonts w:ascii="Palatino Linotype" w:eastAsia="Palatino Linotype" w:hAnsi="Palatino Linotype" w:cs="Palatino Linotype"/>
          <w:b/>
          <w:bCs/>
          <w:color w:val="000000" w:themeColor="text1"/>
        </w:rPr>
        <w:t>Estado civil.</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Considerado como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w:t>
      </w:r>
      <w:r w:rsidRPr="00DE5DA7">
        <w:rPr>
          <w:rFonts w:ascii="Palatino Linotype" w:eastAsia="Palatino Linotype" w:hAnsi="Palatino Linotype" w:cs="Palatino Linotype"/>
          <w:color w:val="000000" w:themeColor="text1"/>
        </w:rPr>
        <w:lastRenderedPageBreak/>
        <w:t>personas es irrelevante, ya que tener uno u otro no influye en el mejor o menor desempeño de un cargo público.</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rsidR="00407C73" w:rsidRPr="00DE5DA7" w:rsidRDefault="00407C73" w:rsidP="00DE5DA7">
      <w:pPr>
        <w:pBdr>
          <w:top w:val="nil"/>
          <w:left w:val="nil"/>
          <w:bottom w:val="nil"/>
          <w:right w:val="nil"/>
          <w:between w:val="nil"/>
        </w:pBdr>
        <w:rPr>
          <w:rFonts w:ascii="Palatino Linotype" w:eastAsia="Palatino Linotype" w:hAnsi="Palatino Linotype" w:cs="Palatino Linotype"/>
          <w:color w:val="000000" w:themeColor="text1"/>
        </w:rPr>
      </w:pPr>
    </w:p>
    <w:p w:rsidR="00407C73" w:rsidRPr="00DE5DA7" w:rsidRDefault="001B5844" w:rsidP="00DE5DA7">
      <w:pPr>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b/>
          <w:bCs/>
          <w:color w:val="000000" w:themeColor="text1"/>
        </w:rPr>
        <w:t>Teléfono y celular particular.</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El número asignado a un teléfono particular o celular permite localizar a una persona física identificada o identificable, ya sea a través de un dispositivo móvil o bien, en un lugar como el domicilio, por lo que, cuando se trate de un teléfono en ejercicio de sus funciones, es decir, de oficina o similar, deberá ser considera como público, pues este es asignado en ejercicio de sus funciones, en caso contrario, deberá considerarse como confidencial. </w:t>
      </w:r>
    </w:p>
    <w:p w:rsidR="00407C73" w:rsidRPr="00DE5DA7"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b/>
          <w:bCs/>
          <w:color w:val="000000" w:themeColor="text1"/>
        </w:rPr>
        <w:t>Correo electrónico particular.</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00407C73" w:rsidRDefault="001B5844" w:rsidP="00DE5DA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lastRenderedPageBreak/>
        <w:t>En ese sentido</w:t>
      </w:r>
      <w:r w:rsidR="00553680" w:rsidRPr="00DE5DA7">
        <w:rPr>
          <w:rFonts w:ascii="Palatino Linotype" w:eastAsia="Palatino Linotype" w:hAnsi="Palatino Linotype" w:cs="Palatino Linotype"/>
          <w:color w:val="000000" w:themeColor="text1"/>
        </w:rPr>
        <w:t>, de</w:t>
      </w:r>
      <w:r w:rsidRPr="00DE5DA7">
        <w:rPr>
          <w:rFonts w:ascii="Palatino Linotype" w:eastAsia="Palatino Linotype" w:hAnsi="Palatino Linotype" w:cs="Palatino Linotype"/>
          <w:color w:val="000000" w:themeColor="text1"/>
        </w:rPr>
        <w:t xml:space="preserve"> ser el caso que corresponda a la titularidad de una persona física y no así en su calidad de trabajador del Gobierno; corresponde a un dato personal que actualiza la causal de clasificación establecida en el artículo 143, fracción I de la Ley de Transparencia y Acceso a la Información Pública del Estado de México y Municipios.</w:t>
      </w:r>
    </w:p>
    <w:p w:rsidR="00021D14" w:rsidRPr="00DE5DA7" w:rsidRDefault="00021D14" w:rsidP="00021D1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Por lo que hace a las funciones de los servidores públicos referidos en la solicitud de información que nos ocupa, se colige que el documento que pudiera  colmar el derecho de acceso a la información, de manera enunciativa más no limitativa, es el perfil de puestos, por lo que al respecto, se refiere lo siguiente: </w:t>
      </w:r>
    </w:p>
    <w:p w:rsidR="00407C73" w:rsidRPr="00DE5DA7" w:rsidRDefault="00407C73" w:rsidP="00DE5DA7">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p>
    <w:p w:rsidR="00407C73" w:rsidRPr="00DE5DA7" w:rsidRDefault="001B5844" w:rsidP="00DE5DA7">
      <w:pPr>
        <w:numPr>
          <w:ilvl w:val="0"/>
          <w:numId w:val="9"/>
        </w:numPr>
        <w:pBdr>
          <w:top w:val="nil"/>
          <w:left w:val="nil"/>
          <w:bottom w:val="nil"/>
          <w:right w:val="nil"/>
          <w:between w:val="nil"/>
        </w:pBdr>
        <w:tabs>
          <w:tab w:val="left" w:pos="993"/>
        </w:tabs>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b/>
          <w:bCs/>
          <w:color w:val="000000" w:themeColor="text1"/>
        </w:rPr>
        <w:t xml:space="preserve">Perfil de Puestos. </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En principio es de precisar que el perfil de puestos, grosso modo, es un documento en el que se describen las características, tareas y responsabilidades de los distintos cargos que se tienen dentro de una administración y el cual tiene como objetivo principal, el facilitar la identificación y los procesos de reclutamiento, operación capacitación y planeación de aquellos candidatos que desean prestar sus servicios dentro de la misma. </w:t>
      </w:r>
    </w:p>
    <w:p w:rsidR="00407C73" w:rsidRPr="00021D14" w:rsidRDefault="001B5844" w:rsidP="00021D14">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021D14">
        <w:rPr>
          <w:rFonts w:ascii="Palatino Linotype" w:eastAsia="Palatino Linotype" w:hAnsi="Palatino Linotype" w:cs="Palatino Linotype"/>
          <w:color w:val="000000" w:themeColor="text1"/>
        </w:rPr>
        <w:t xml:space="preserve">Ahora bien, de conformidad con lo establecido en la Ley de Trabajo de los Servidores Públicos del Estado de México y Municipios, en sus artículos 99 y 100, fracción I, se establece que: </w:t>
      </w:r>
    </w:p>
    <w:p w:rsidR="00407C73" w:rsidRPr="00DE5DA7" w:rsidRDefault="001B5844" w:rsidP="00DE5DA7">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Ley de Trabajo de los Servidores Públicos del Estado de México y Municipios</w:t>
      </w:r>
    </w:p>
    <w:p w:rsidR="00407C73" w:rsidRPr="00DE5DA7" w:rsidRDefault="00407C73" w:rsidP="00DE5DA7">
      <w:pPr>
        <w:pBdr>
          <w:top w:val="nil"/>
          <w:left w:val="nil"/>
          <w:bottom w:val="nil"/>
          <w:right w:val="nil"/>
          <w:between w:val="nil"/>
        </w:pBdr>
        <w:jc w:val="center"/>
        <w:rPr>
          <w:rFonts w:ascii="Palatino Linotype" w:eastAsia="Palatino Linotype" w:hAnsi="Palatino Linotype" w:cs="Palatino Linotype"/>
          <w:b/>
          <w:bCs/>
          <w:i/>
          <w:iCs/>
          <w:color w:val="000000" w:themeColor="text1"/>
        </w:rPr>
      </w:pP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lastRenderedPageBreak/>
        <w:t xml:space="preserve"> ARTÍCULO 99</w:t>
      </w:r>
      <w:r w:rsidRPr="00DE5DA7">
        <w:rPr>
          <w:rFonts w:ascii="Palatino Linotype" w:eastAsia="Palatino Linotype" w:hAnsi="Palatino Linotype" w:cs="Palatino Linotype"/>
          <w:i/>
          <w:iCs/>
          <w:color w:val="000000" w:themeColor="text1"/>
        </w:rPr>
        <w:t>. Las instituciones públicas establecerán un sistema de profesionalización que permita el ingreso al servicio a los aspirantes más calificados, y garantice la estabilidad y movilidad laborales de los servidores públicos conforme a su desarrollo profesional y a sus méritos en el servicio.</w:t>
      </w:r>
    </w:p>
    <w:p w:rsidR="00407C73" w:rsidRPr="00DE5DA7" w:rsidRDefault="00407C73"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t>ARTÍCULO 100</w:t>
      </w:r>
      <w:r w:rsidRPr="00DE5DA7">
        <w:rPr>
          <w:rFonts w:ascii="Palatino Linotype" w:eastAsia="Palatino Linotype" w:hAnsi="Palatino Linotype" w:cs="Palatino Linotype"/>
          <w:i/>
          <w:iCs/>
          <w:color w:val="000000" w:themeColor="text1"/>
        </w:rPr>
        <w:t xml:space="preserve">. Los sistemas de profesionalización que establezcan las instituciones públicas deberán conformarse a partir de las siguientes bases: </w:t>
      </w:r>
    </w:p>
    <w:p w:rsidR="00407C73" w:rsidRPr="00DE5DA7" w:rsidRDefault="00407C73"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t>I</w:t>
      </w:r>
      <w:r w:rsidRPr="00DE5DA7">
        <w:rPr>
          <w:rFonts w:ascii="Palatino Linotype" w:eastAsia="Palatino Linotype" w:hAnsi="Palatino Linotype" w:cs="Palatino Linotype"/>
          <w:i/>
          <w:iCs/>
          <w:color w:val="000000" w:themeColor="text1"/>
        </w:rPr>
        <w:t xml:space="preserve">. Definición de </w:t>
      </w:r>
      <w:r w:rsidRPr="00DE5DA7">
        <w:rPr>
          <w:rFonts w:ascii="Palatino Linotype" w:eastAsia="Palatino Linotype" w:hAnsi="Palatino Linotype" w:cs="Palatino Linotype"/>
          <w:b/>
          <w:bCs/>
          <w:i/>
          <w:iCs/>
          <w:color w:val="000000" w:themeColor="text1"/>
        </w:rPr>
        <w:t>un catálogo de puestos</w:t>
      </w:r>
      <w:r w:rsidRPr="00DE5DA7">
        <w:rPr>
          <w:rFonts w:ascii="Palatino Linotype" w:eastAsia="Palatino Linotype" w:hAnsi="Palatino Linotype" w:cs="Palatino Linotype"/>
          <w:i/>
          <w:iCs/>
          <w:color w:val="000000" w:themeColor="text1"/>
        </w:rPr>
        <w:t xml:space="preserve"> por institución pública o dependencia que </w:t>
      </w:r>
      <w:r w:rsidRPr="00DE5DA7">
        <w:rPr>
          <w:rFonts w:ascii="Palatino Linotype" w:eastAsia="Palatino Linotype" w:hAnsi="Palatino Linotype" w:cs="Palatino Linotype"/>
          <w:b/>
          <w:bCs/>
          <w:i/>
          <w:iCs/>
          <w:color w:val="000000" w:themeColor="text1"/>
          <w:u w:val="single"/>
        </w:rPr>
        <w:t>deberá contener el perfil de cada uno de los existentes, los requisitos necesarios para desempeñarlos</w:t>
      </w:r>
      <w:r w:rsidRPr="00DE5DA7">
        <w:rPr>
          <w:rFonts w:ascii="Palatino Linotype" w:eastAsia="Palatino Linotype" w:hAnsi="Palatino Linotype" w:cs="Palatino Linotype"/>
          <w:i/>
          <w:iCs/>
          <w:color w:val="000000" w:themeColor="text1"/>
        </w:rPr>
        <w:t xml:space="preserve"> y el nivel salarial y escalafonario que les corresponde;</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w:t>
      </w:r>
    </w:p>
    <w:p w:rsidR="00407C73" w:rsidRPr="00DE5DA7" w:rsidRDefault="00407C73" w:rsidP="00DE5DA7">
      <w:pPr>
        <w:tabs>
          <w:tab w:val="left" w:pos="993"/>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Así mismo, la Ley de Transparencia local en su artículo 92, fracción XII, establece como obligaciones de transparencia común la relacionada al perfil de puestos:</w:t>
      </w:r>
    </w:p>
    <w:p w:rsidR="00407C73" w:rsidRPr="00DE5DA7" w:rsidRDefault="001B5844" w:rsidP="00DE5DA7">
      <w:pPr>
        <w:pBdr>
          <w:top w:val="nil"/>
          <w:left w:val="nil"/>
          <w:bottom w:val="nil"/>
          <w:right w:val="nil"/>
          <w:between w:val="nil"/>
        </w:pBdr>
        <w:tabs>
          <w:tab w:val="left" w:pos="142"/>
        </w:tabs>
        <w:jc w:val="center"/>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LEY DE TRANSPARENCIA Y ACCESO A LA INFORMACIÓN</w:t>
      </w:r>
    </w:p>
    <w:p w:rsidR="00407C73" w:rsidRPr="00DE5DA7" w:rsidRDefault="001B5844" w:rsidP="00DE5DA7">
      <w:pPr>
        <w:pBdr>
          <w:top w:val="nil"/>
          <w:left w:val="nil"/>
          <w:bottom w:val="nil"/>
          <w:right w:val="nil"/>
          <w:between w:val="nil"/>
        </w:pBdr>
        <w:tabs>
          <w:tab w:val="left" w:pos="142"/>
        </w:tabs>
        <w:jc w:val="center"/>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PÚBLICA DEL ESTADO DE MÉXICO Y MUNICIPIOS</w:t>
      </w:r>
    </w:p>
    <w:p w:rsidR="00407C73" w:rsidRPr="00DE5DA7" w:rsidRDefault="00407C73" w:rsidP="00DE5DA7">
      <w:pPr>
        <w:pBdr>
          <w:top w:val="nil"/>
          <w:left w:val="nil"/>
          <w:bottom w:val="nil"/>
          <w:right w:val="nil"/>
          <w:between w:val="nil"/>
        </w:pBdr>
        <w:tabs>
          <w:tab w:val="left" w:pos="142"/>
        </w:tabs>
        <w:jc w:val="center"/>
        <w:rPr>
          <w:rFonts w:ascii="Palatino Linotype" w:eastAsia="Palatino Linotype" w:hAnsi="Palatino Linotype" w:cs="Palatino Linotype"/>
          <w:b/>
          <w:bCs/>
          <w:i/>
          <w:iCs/>
          <w:color w:val="000000" w:themeColor="text1"/>
        </w:rPr>
      </w:pPr>
    </w:p>
    <w:p w:rsidR="00407C73" w:rsidRPr="00DE5DA7" w:rsidRDefault="001B5844" w:rsidP="00DE5DA7">
      <w:pPr>
        <w:pBdr>
          <w:top w:val="nil"/>
          <w:left w:val="nil"/>
          <w:bottom w:val="nil"/>
          <w:right w:val="nil"/>
          <w:between w:val="nil"/>
        </w:pBdr>
        <w:tabs>
          <w:tab w:val="left" w:pos="142"/>
        </w:tabs>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07C73" w:rsidRPr="00DE5DA7" w:rsidRDefault="001B5844" w:rsidP="00DE5DA7">
      <w:pPr>
        <w:pBdr>
          <w:top w:val="nil"/>
          <w:left w:val="nil"/>
          <w:bottom w:val="nil"/>
          <w:right w:val="nil"/>
          <w:between w:val="nil"/>
        </w:pBdr>
        <w:tabs>
          <w:tab w:val="left" w:pos="142"/>
        </w:tabs>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w:t>
      </w:r>
    </w:p>
    <w:p w:rsidR="00407C73" w:rsidRPr="00DE5DA7" w:rsidRDefault="001B5844" w:rsidP="00DE5DA7">
      <w:pPr>
        <w:pBdr>
          <w:top w:val="nil"/>
          <w:left w:val="nil"/>
          <w:bottom w:val="nil"/>
          <w:right w:val="nil"/>
          <w:between w:val="nil"/>
        </w:pBdr>
        <w:tabs>
          <w:tab w:val="left" w:pos="142"/>
        </w:tabs>
        <w:jc w:val="both"/>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XII. El perfil de los puestos de los servidores públicos a su servicio en los casos que aplique;</w:t>
      </w:r>
    </w:p>
    <w:p w:rsidR="00407C73" w:rsidRPr="00DE5DA7" w:rsidRDefault="00407C73" w:rsidP="00DE5DA7">
      <w:pPr>
        <w:pBdr>
          <w:top w:val="nil"/>
          <w:left w:val="nil"/>
          <w:bottom w:val="nil"/>
          <w:right w:val="nil"/>
          <w:between w:val="nil"/>
        </w:pBdr>
        <w:tabs>
          <w:tab w:val="left" w:pos="142"/>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De tal forma que de lo anterior se colige que cada dependencia o institución pública, deberá general un </w:t>
      </w:r>
      <w:r w:rsidRPr="00DE5DA7">
        <w:rPr>
          <w:rFonts w:ascii="Palatino Linotype" w:eastAsia="Palatino Linotype" w:hAnsi="Palatino Linotype" w:cs="Palatino Linotype"/>
          <w:b/>
          <w:bCs/>
          <w:color w:val="000000" w:themeColor="text1"/>
        </w:rPr>
        <w:t>catálogo de puestos</w:t>
      </w:r>
      <w:r w:rsidRPr="00DE5DA7">
        <w:rPr>
          <w:rFonts w:ascii="Palatino Linotype" w:eastAsia="Palatino Linotype" w:hAnsi="Palatino Linotype" w:cs="Palatino Linotype"/>
          <w:color w:val="000000" w:themeColor="text1"/>
        </w:rPr>
        <w:t xml:space="preserve">, en el cual se deberá señalar de manera actualizada los requisitos que deben observarse para ocupar un cierto cargo, asimismo, de conformidad con lo que establece la sección III, fracción XII de los Lineamientos Técnicos para la publicación, homologación y estandarización de la información establecida en el Título </w:t>
      </w:r>
      <w:r w:rsidRPr="00DE5DA7">
        <w:rPr>
          <w:rFonts w:ascii="Palatino Linotype" w:eastAsia="Palatino Linotype" w:hAnsi="Palatino Linotype" w:cs="Palatino Linotype"/>
          <w:color w:val="000000" w:themeColor="text1"/>
        </w:rPr>
        <w:lastRenderedPageBreak/>
        <w:t xml:space="preserve">Quinto, Capítulos II, III y IV, y el Título Noveno de la Ley de Transparencia y Acceso a la Información Pública del Estado de México y Municipios; adicional de aquella contemplada en el Título Quinto de la Ley General de Transparencia y Acceso a la Información Pública (consultados el veintidós de enero de dos mil veinticinco en la liga electrónica </w:t>
      </w:r>
      <w:hyperlink r:id="rId20">
        <w:r w:rsidRPr="00DE5DA7">
          <w:rPr>
            <w:rFonts w:ascii="Palatino Linotype" w:eastAsia="Palatino Linotype" w:hAnsi="Palatino Linotype" w:cs="Palatino Linotype"/>
            <w:color w:val="000000" w:themeColor="text1"/>
            <w:u w:val="single"/>
          </w:rPr>
          <w:t>https://www.infoem.org.mx/sites/default/files/normatividad/jun143.pdf</w:t>
        </w:r>
      </w:hyperlink>
      <w:r w:rsidRPr="00DE5DA7">
        <w:rPr>
          <w:rFonts w:ascii="Palatino Linotype" w:eastAsia="Palatino Linotype" w:hAnsi="Palatino Linotype" w:cs="Palatino Linotype"/>
          <w:color w:val="000000" w:themeColor="text1"/>
        </w:rPr>
        <w:t xml:space="preserve">); las Instituciones públicas establecerán un sistema de profesionalización que permita el ingreso al servicio a los aspirantes más calificados y garantice la estabilidad y movilidad laborales de los servidores públicos. </w:t>
      </w:r>
    </w:p>
    <w:p w:rsidR="00407C73" w:rsidRPr="00DE5DA7" w:rsidRDefault="00407C73" w:rsidP="00DE5DA7">
      <w:pPr>
        <w:tabs>
          <w:tab w:val="left" w:pos="993"/>
        </w:tabs>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En el mismo orden de ideas, los Lineamientos en cita, establecen que de acuerdo con el Manual de Procedimientos de la Subdirección de Escalafón de la Secretaría de Finanzas del Poder Ejecutivo del Estado de México, </w:t>
      </w:r>
      <w:r w:rsidRPr="00DE5DA7">
        <w:rPr>
          <w:rFonts w:ascii="Palatino Linotype" w:eastAsia="Palatino Linotype" w:hAnsi="Palatino Linotype" w:cs="Palatino Linotype"/>
          <w:b/>
          <w:bCs/>
          <w:color w:val="000000" w:themeColor="text1"/>
        </w:rPr>
        <w:t>el “</w:t>
      </w:r>
      <w:r w:rsidRPr="00DE5DA7">
        <w:rPr>
          <w:rFonts w:ascii="Palatino Linotype" w:eastAsia="Palatino Linotype" w:hAnsi="Palatino Linotype" w:cs="Palatino Linotype"/>
          <w:b/>
          <w:bCs/>
          <w:color w:val="000000" w:themeColor="text1"/>
          <w:u w:val="single"/>
        </w:rPr>
        <w:t>Perfil de Puesto</w:t>
      </w:r>
      <w:r w:rsidRPr="00DE5DA7">
        <w:rPr>
          <w:rFonts w:ascii="Palatino Linotype" w:eastAsia="Palatino Linotype" w:hAnsi="Palatino Linotype" w:cs="Palatino Linotype"/>
          <w:b/>
          <w:bCs/>
          <w:color w:val="000000" w:themeColor="text1"/>
        </w:rPr>
        <w:t>” es la herramienta que contiene las características que la o el ocupante de un puesto debe tener para poder cumplir con las funciones de este, tales como preparación académica, competencias, experiencia, así como las condiciones de trabajo.</w:t>
      </w:r>
      <w:r w:rsidRPr="00DE5DA7">
        <w:rPr>
          <w:rFonts w:ascii="Palatino Linotype" w:eastAsia="Palatino Linotype" w:hAnsi="Palatino Linotype" w:cs="Palatino Linotype"/>
          <w:color w:val="000000" w:themeColor="text1"/>
        </w:rPr>
        <w:t xml:space="preserve"> </w:t>
      </w:r>
    </w:p>
    <w:p w:rsidR="00407C73" w:rsidRPr="00DE5DA7" w:rsidRDefault="00407C73" w:rsidP="00DE5DA7">
      <w:pPr>
        <w:pBdr>
          <w:top w:val="nil"/>
          <w:left w:val="nil"/>
          <w:bottom w:val="nil"/>
          <w:right w:val="nil"/>
          <w:between w:val="nil"/>
        </w:pBdr>
        <w:tabs>
          <w:tab w:val="left" w:pos="142"/>
        </w:tabs>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Asimismo, en el dispositivo legal de referencia, se señala que el catálogo de puestos deberá contener el perfil de cada uno de los existentes, los requisitos necesarios para desempeñarlos y el nivel salarial y escalafonario que les corresponde y deberá observar lo siguiente: </w:t>
      </w:r>
    </w:p>
    <w:p w:rsidR="00407C73" w:rsidRPr="00DE5DA7" w:rsidRDefault="001B5844" w:rsidP="00DE5DA7">
      <w:pPr>
        <w:tabs>
          <w:tab w:val="left" w:pos="993"/>
        </w:tabs>
        <w:spacing w:line="360" w:lineRule="auto"/>
        <w:jc w:val="center"/>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noProof/>
          <w:color w:val="000000" w:themeColor="text1"/>
          <w:lang w:val="es-MX"/>
        </w:rPr>
        <w:lastRenderedPageBreak/>
        <w:drawing>
          <wp:inline distT="0" distB="0" distL="0" distR="0">
            <wp:extent cx="4760330" cy="3130126"/>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4760330" cy="3130126"/>
                    </a:xfrm>
                    <a:prstGeom prst="rect">
                      <a:avLst/>
                    </a:prstGeom>
                    <a:ln/>
                  </pic:spPr>
                </pic:pic>
              </a:graphicData>
            </a:graphic>
          </wp:inline>
        </w:drawing>
      </w:r>
    </w:p>
    <w:p w:rsidR="00407C73" w:rsidRPr="00DE5DA7" w:rsidRDefault="001B5844" w:rsidP="00DE5DA7">
      <w:pPr>
        <w:tabs>
          <w:tab w:val="left" w:pos="993"/>
        </w:tabs>
        <w:spacing w:line="360" w:lineRule="auto"/>
        <w:jc w:val="center"/>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noProof/>
          <w:color w:val="000000" w:themeColor="text1"/>
          <w:lang w:val="es-MX"/>
        </w:rPr>
        <w:drawing>
          <wp:inline distT="0" distB="0" distL="0" distR="0">
            <wp:extent cx="4717326" cy="1343635"/>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4717326" cy="1343635"/>
                    </a:xfrm>
                    <a:prstGeom prst="rect">
                      <a:avLst/>
                    </a:prstGeom>
                    <a:ln/>
                  </pic:spPr>
                </pic:pic>
              </a:graphicData>
            </a:graphic>
          </wp:inline>
        </w:drawing>
      </w:r>
    </w:p>
    <w:p w:rsidR="00407C73" w:rsidRPr="00DE5DA7" w:rsidRDefault="00407C73" w:rsidP="00DE5DA7">
      <w:pPr>
        <w:tabs>
          <w:tab w:val="left" w:pos="993"/>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En resumen, tal como se ha señalado en párrafos anteriores, el perfil de puestos deberá precisar diversa información que los aspirantes a ocupar un cargo deberán conocer y cumplir para obtener acceso al mismo, esta información a modo de ejemplo, puede estar compuesta por los siguientes campos:</w:t>
      </w:r>
    </w:p>
    <w:p w:rsidR="00407C73" w:rsidRPr="00DE5DA7" w:rsidRDefault="001B5844" w:rsidP="00DE5DA7">
      <w:pPr>
        <w:numPr>
          <w:ilvl w:val="1"/>
          <w:numId w:val="8"/>
        </w:numPr>
        <w:pBdr>
          <w:top w:val="nil"/>
          <w:left w:val="nil"/>
          <w:bottom w:val="nil"/>
          <w:right w:val="nil"/>
          <w:between w:val="nil"/>
        </w:pBdr>
        <w:tabs>
          <w:tab w:val="left" w:pos="142"/>
        </w:tabs>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Puesto</w:t>
      </w:r>
    </w:p>
    <w:p w:rsidR="00407C73" w:rsidRPr="00DE5DA7" w:rsidRDefault="001B5844" w:rsidP="00DE5DA7">
      <w:pPr>
        <w:numPr>
          <w:ilvl w:val="1"/>
          <w:numId w:val="8"/>
        </w:numPr>
        <w:pBdr>
          <w:top w:val="nil"/>
          <w:left w:val="nil"/>
          <w:bottom w:val="nil"/>
          <w:right w:val="nil"/>
          <w:between w:val="nil"/>
        </w:pBdr>
        <w:tabs>
          <w:tab w:val="left" w:pos="142"/>
        </w:tabs>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lastRenderedPageBreak/>
        <w:t>Perfil (grado de estudios, idiomas, años de experiencia, formación, habilidades, aptitudes, competencias)</w:t>
      </w:r>
    </w:p>
    <w:p w:rsidR="00407C73" w:rsidRPr="00DE5DA7" w:rsidRDefault="001B5844" w:rsidP="00DE5DA7">
      <w:pPr>
        <w:numPr>
          <w:ilvl w:val="1"/>
          <w:numId w:val="8"/>
        </w:numPr>
        <w:pBdr>
          <w:top w:val="nil"/>
          <w:left w:val="nil"/>
          <w:bottom w:val="nil"/>
          <w:right w:val="nil"/>
          <w:between w:val="nil"/>
        </w:pBdr>
        <w:tabs>
          <w:tab w:val="left" w:pos="142"/>
        </w:tabs>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Objetivo del puesto</w:t>
      </w:r>
    </w:p>
    <w:p w:rsidR="00407C73" w:rsidRPr="00DE5DA7" w:rsidRDefault="001B5844" w:rsidP="00DE5DA7">
      <w:pPr>
        <w:numPr>
          <w:ilvl w:val="1"/>
          <w:numId w:val="8"/>
        </w:numPr>
        <w:pBdr>
          <w:top w:val="nil"/>
          <w:left w:val="nil"/>
          <w:bottom w:val="nil"/>
          <w:right w:val="nil"/>
          <w:between w:val="nil"/>
        </w:pBdr>
        <w:tabs>
          <w:tab w:val="left" w:pos="142"/>
        </w:tabs>
        <w:spacing w:line="360" w:lineRule="auto"/>
        <w:ind w:left="0" w:firstLine="0"/>
        <w:jc w:val="both"/>
        <w:rPr>
          <w:rFonts w:ascii="Palatino Linotype" w:eastAsia="Palatino Linotype" w:hAnsi="Palatino Linotype" w:cs="Palatino Linotype"/>
          <w:b/>
          <w:bCs/>
          <w:color w:val="000000" w:themeColor="text1"/>
        </w:rPr>
      </w:pPr>
      <w:r w:rsidRPr="00DE5DA7">
        <w:rPr>
          <w:rFonts w:ascii="Palatino Linotype" w:eastAsia="Palatino Linotype" w:hAnsi="Palatino Linotype" w:cs="Palatino Linotype"/>
          <w:b/>
          <w:bCs/>
          <w:color w:val="000000" w:themeColor="text1"/>
        </w:rPr>
        <w:t>Funciones del puesto</w:t>
      </w:r>
    </w:p>
    <w:p w:rsidR="00407C73" w:rsidRPr="00DE5DA7" w:rsidRDefault="001B5844" w:rsidP="00DE5DA7">
      <w:pPr>
        <w:numPr>
          <w:ilvl w:val="1"/>
          <w:numId w:val="8"/>
        </w:numPr>
        <w:pBdr>
          <w:top w:val="nil"/>
          <w:left w:val="nil"/>
          <w:bottom w:val="nil"/>
          <w:right w:val="nil"/>
          <w:between w:val="nil"/>
        </w:pBdr>
        <w:tabs>
          <w:tab w:val="left" w:pos="142"/>
        </w:tabs>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Requerimientos del puesto (herramientas, etc)</w:t>
      </w:r>
    </w:p>
    <w:p w:rsidR="00407C73" w:rsidRPr="00DE5DA7" w:rsidRDefault="00407C73" w:rsidP="00DE5DA7">
      <w:pPr>
        <w:tabs>
          <w:tab w:val="left" w:pos="993"/>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Es decir, un perfil de puestos ya contiene precisada de manera puntual y específica las características que debe tener el perfil profesional para ocupar un puesto determinado y poder cumplir con las funciones que este requiere.</w:t>
      </w:r>
    </w:p>
    <w:p w:rsidR="00407C73" w:rsidRPr="00DE5DA7"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Esa así que se advierte que aunado a que el </w:t>
      </w:r>
      <w:r w:rsidRPr="00DE5DA7">
        <w:rPr>
          <w:rFonts w:ascii="Palatino Linotype" w:eastAsia="Palatino Linotype" w:hAnsi="Palatino Linotype" w:cs="Palatino Linotype"/>
          <w:b/>
          <w:bCs/>
          <w:color w:val="000000" w:themeColor="text1"/>
        </w:rPr>
        <w:t xml:space="preserve">SUJETO OBLIGADO </w:t>
      </w:r>
      <w:r w:rsidRPr="00DE5DA7">
        <w:rPr>
          <w:rFonts w:ascii="Palatino Linotype" w:eastAsia="Palatino Linotype" w:hAnsi="Palatino Linotype" w:cs="Palatino Linotype"/>
          <w:color w:val="000000" w:themeColor="text1"/>
        </w:rPr>
        <w:t>asume que cuenta con la información solicitada, se consideran parte de las obligaciones de transparencia común de acuerdo a lo siguiente:</w:t>
      </w:r>
    </w:p>
    <w:p w:rsidR="00407C73" w:rsidRPr="00DE5DA7" w:rsidRDefault="001B5844" w:rsidP="00DE5DA7">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Capítulo II</w:t>
      </w:r>
    </w:p>
    <w:p w:rsidR="00407C73" w:rsidRPr="00DE5DA7" w:rsidRDefault="001B5844" w:rsidP="00DE5DA7">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De las Obligaciones de Transparencia Comunes</w:t>
      </w:r>
    </w:p>
    <w:p w:rsidR="00407C73" w:rsidRPr="00DE5DA7" w:rsidRDefault="00407C73" w:rsidP="00DE5DA7">
      <w:pPr>
        <w:pBdr>
          <w:top w:val="nil"/>
          <w:left w:val="nil"/>
          <w:bottom w:val="nil"/>
          <w:right w:val="nil"/>
          <w:between w:val="nil"/>
        </w:pBdr>
        <w:jc w:val="center"/>
        <w:rPr>
          <w:rFonts w:ascii="Palatino Linotype" w:eastAsia="Palatino Linotype" w:hAnsi="Palatino Linotype" w:cs="Palatino Linotype"/>
          <w:b/>
          <w:bCs/>
          <w:i/>
          <w:iCs/>
          <w:color w:val="000000" w:themeColor="text1"/>
        </w:rPr>
      </w:pP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i/>
          <w:iCs/>
          <w:color w:val="000000" w:themeColor="text1"/>
        </w:rPr>
        <w:t>Artículo 92.</w:t>
      </w:r>
      <w:r w:rsidRPr="00DE5DA7">
        <w:rPr>
          <w:rFonts w:ascii="Palatino Linotype" w:eastAsia="Palatino Linotype" w:hAnsi="Palatino Linotype" w:cs="Palatino Linotype"/>
          <w:i/>
          <w:iCs/>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DE5DA7">
        <w:rPr>
          <w:rFonts w:ascii="Palatino Linotype" w:eastAsia="Palatino Linotype" w:hAnsi="Palatino Linotype" w:cs="Palatino Linotype"/>
          <w:b/>
          <w:bCs/>
          <w:i/>
          <w:iCs/>
          <w:color w:val="000000" w:themeColor="text1"/>
        </w:rPr>
        <w:t>…</w:t>
      </w:r>
    </w:p>
    <w:p w:rsidR="00407C73" w:rsidRPr="00DE5DA7" w:rsidRDefault="00407C73"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III. Las facultades de cada área;</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lastRenderedPageBreak/>
        <w:t>…</w:t>
      </w:r>
    </w:p>
    <w:p w:rsidR="00407C73" w:rsidRPr="00DE5DA7" w:rsidRDefault="00407C73"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XXI. La información curricular, desde el nivel de jefe de departamento o equivalente, hasta el titular del sujeto obligado, así como, en su caso, las sanciones administrativas de que haya sido objeto;</w:t>
      </w:r>
    </w:p>
    <w:p w:rsidR="00407C73" w:rsidRPr="00DE5DA7" w:rsidRDefault="001B5844" w:rsidP="00DE5D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i/>
          <w:iCs/>
          <w:color w:val="000000" w:themeColor="text1"/>
        </w:rPr>
        <w:t>…</w:t>
      </w:r>
    </w:p>
    <w:p w:rsidR="00407C73" w:rsidRPr="00DE5DA7"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Es por lo anterior, que en virtud de que se proporcionó la información a través de links en formato cerrado, no se puede tener por colmada en su totalidad la solicitud de información que nos ocupa.</w:t>
      </w:r>
    </w:p>
    <w:p w:rsidR="00407C73" w:rsidRPr="00DE5DA7" w:rsidRDefault="001B5844" w:rsidP="00DE5DA7">
      <w:pPr>
        <w:pStyle w:val="Ttulo1"/>
        <w:rPr>
          <w:rFonts w:ascii="Palatino Linotype" w:eastAsia="Palatino Linotype" w:hAnsi="Palatino Linotype" w:cs="Palatino Linotype"/>
          <w:b/>
          <w:bCs/>
          <w:color w:val="000000" w:themeColor="text1"/>
          <w:sz w:val="24"/>
          <w:szCs w:val="24"/>
        </w:rPr>
      </w:pPr>
      <w:r w:rsidRPr="00DE5DA7">
        <w:rPr>
          <w:rFonts w:ascii="Palatino Linotype" w:eastAsia="Palatino Linotype" w:hAnsi="Palatino Linotype" w:cs="Palatino Linotype"/>
          <w:b/>
          <w:bCs/>
          <w:color w:val="000000" w:themeColor="text1"/>
          <w:sz w:val="24"/>
          <w:szCs w:val="24"/>
        </w:rPr>
        <w:t>QUINTO. De la versión pública.</w:t>
      </w:r>
    </w:p>
    <w:p w:rsidR="00407C73" w:rsidRPr="00DE5DA7" w:rsidRDefault="00407C73" w:rsidP="00DE5DA7">
      <w:pPr>
        <w:rPr>
          <w:rFonts w:ascii="Palatino Linotype" w:hAnsi="Palatino Linotype"/>
          <w:color w:val="000000" w:themeColor="text1"/>
        </w:rPr>
      </w:pPr>
    </w:p>
    <w:p w:rsidR="00407C73" w:rsidRPr="00DE5DA7" w:rsidRDefault="001B5844" w:rsidP="00DE5DA7">
      <w:pPr>
        <w:pStyle w:val="Ttulo1"/>
        <w:numPr>
          <w:ilvl w:val="0"/>
          <w:numId w:val="6"/>
        </w:numPr>
        <w:tabs>
          <w:tab w:val="left" w:pos="284"/>
        </w:tabs>
        <w:spacing w:before="0" w:line="360" w:lineRule="auto"/>
        <w:ind w:left="0" w:firstLine="0"/>
        <w:rPr>
          <w:rFonts w:ascii="Palatino Linotype" w:eastAsia="Palatino Linotype" w:hAnsi="Palatino Linotype" w:cs="Palatino Linotype"/>
          <w:b/>
          <w:bCs/>
          <w:color w:val="000000" w:themeColor="text1"/>
          <w:sz w:val="24"/>
          <w:szCs w:val="24"/>
        </w:rPr>
      </w:pPr>
      <w:bookmarkStart w:id="10" w:name="_heading=h.lnxbz9" w:colFirst="0" w:colLast="0"/>
      <w:bookmarkEnd w:id="10"/>
      <w:r w:rsidRPr="00DE5DA7">
        <w:rPr>
          <w:rFonts w:ascii="Palatino Linotype" w:eastAsia="Palatino Linotype" w:hAnsi="Palatino Linotype" w:cs="Palatino Linotype"/>
          <w:b/>
          <w:bCs/>
          <w:color w:val="000000" w:themeColor="text1"/>
          <w:sz w:val="24"/>
          <w:szCs w:val="24"/>
        </w:rPr>
        <w:t xml:space="preserve">Nociones generales. </w:t>
      </w: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Debe destacarse que, debido a la naturaleza de la información solicitada</w:t>
      </w:r>
      <w:r w:rsidRPr="00DE5DA7">
        <w:rPr>
          <w:rFonts w:ascii="Palatino Linotype" w:eastAsia="Palatino Linotype" w:hAnsi="Palatino Linotype" w:cs="Palatino Linotype"/>
          <w:b/>
          <w:bCs/>
          <w:color w:val="000000" w:themeColor="text1"/>
        </w:rPr>
        <w:t xml:space="preserve">, </w:t>
      </w:r>
      <w:r w:rsidRPr="00DE5DA7">
        <w:rPr>
          <w:rFonts w:ascii="Palatino Linotype" w:eastAsia="Palatino Linotype" w:hAnsi="Palatino Linotype" w:cs="Palatino Linotype"/>
          <w:color w:val="000000" w:themeColor="text1"/>
        </w:rPr>
        <w:t xml:space="preserve">eventualmente pudiera obrar datos personales susceptibles de protegerse, así como información susceptible de clasificarse como reservada, el </w:t>
      </w:r>
      <w:r w:rsidRPr="00DE5DA7">
        <w:rPr>
          <w:rFonts w:ascii="Palatino Linotype" w:eastAsia="Palatino Linotype" w:hAnsi="Palatino Linotype" w:cs="Palatino Linotype"/>
          <w:b/>
          <w:bCs/>
          <w:color w:val="000000" w:themeColor="text1"/>
        </w:rPr>
        <w:t xml:space="preserve">SUJETO OBLIGADO </w:t>
      </w:r>
      <w:r w:rsidRPr="00DE5DA7">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407C73" w:rsidRPr="00DE5DA7" w:rsidRDefault="00407C73" w:rsidP="00DE5DA7">
      <w:pPr>
        <w:pBdr>
          <w:top w:val="nil"/>
          <w:left w:val="nil"/>
          <w:bottom w:val="nil"/>
          <w:right w:val="nil"/>
          <w:between w:val="nil"/>
        </w:pBdr>
        <w:tabs>
          <w:tab w:val="left" w:pos="0"/>
          <w:tab w:val="left" w:pos="284"/>
        </w:tabs>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No pasa desapercibido para este Órgano Garante que los </w:t>
      </w:r>
      <w:r w:rsidRPr="00DE5DA7">
        <w:rPr>
          <w:rFonts w:ascii="Palatino Linotype" w:eastAsia="Palatino Linotype" w:hAnsi="Palatino Linotype" w:cs="Palatino Linotype"/>
          <w:b/>
          <w:bCs/>
          <w:color w:val="000000" w:themeColor="text1"/>
        </w:rPr>
        <w:t xml:space="preserve">Sujetos Obligados </w:t>
      </w:r>
      <w:r w:rsidRPr="00DE5DA7">
        <w:rPr>
          <w:rFonts w:ascii="Palatino Linotype" w:eastAsia="Palatino Linotype" w:hAnsi="Palatino Linotype" w:cs="Palatino Linotype"/>
          <w:color w:val="000000" w:themeColor="text1"/>
        </w:rPr>
        <w:t xml:space="preserve">serán responsables de los datos personales en su posesión y que, en caso de localizarse datos concernientes a terceros, éstos no podrán difundir, distribuir o comercializar los datos </w:t>
      </w:r>
      <w:r w:rsidRPr="00DE5DA7">
        <w:rPr>
          <w:rFonts w:ascii="Palatino Linotype" w:eastAsia="Palatino Linotype" w:hAnsi="Palatino Linotype" w:cs="Palatino Linotype"/>
          <w:color w:val="000000" w:themeColor="text1"/>
        </w:rPr>
        <w:lastRenderedPageBreak/>
        <w:t>personales.  Cabe destacar que, para la realización de la clasificación de la información, se deben seguir una serie de pasos y procedimientos, por lo que es menester reiterar los mismos:</w:t>
      </w:r>
    </w:p>
    <w:p w:rsidR="00407C73" w:rsidRPr="00DE5DA7" w:rsidRDefault="00407C73" w:rsidP="00DE5DA7">
      <w:pPr>
        <w:tabs>
          <w:tab w:val="left" w:pos="284"/>
        </w:tabs>
        <w:spacing w:line="360" w:lineRule="auto"/>
        <w:jc w:val="both"/>
        <w:rPr>
          <w:rFonts w:ascii="Palatino Linotype" w:eastAsia="Palatino Linotype" w:hAnsi="Palatino Linotype" w:cs="Palatino Linotype"/>
          <w:color w:val="000000" w:themeColor="text1"/>
        </w:rPr>
      </w:pPr>
    </w:p>
    <w:tbl>
      <w:tblPr>
        <w:tblStyle w:val="a"/>
        <w:tblW w:w="975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7229"/>
      </w:tblGrid>
      <w:tr w:rsidR="00DE5DA7" w:rsidRPr="00DE5DA7" w:rsidTr="00021D14">
        <w:tc>
          <w:tcPr>
            <w:tcW w:w="2525" w:type="dxa"/>
          </w:tcPr>
          <w:p w:rsidR="00407C73" w:rsidRPr="00DE5DA7" w:rsidRDefault="001B5844" w:rsidP="00DE5DA7">
            <w:pPr>
              <w:tabs>
                <w:tab w:val="left" w:pos="284"/>
              </w:tabs>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a) Requisitos previos.</w:t>
            </w:r>
          </w:p>
        </w:tc>
        <w:tc>
          <w:tcPr>
            <w:tcW w:w="7229" w:type="dxa"/>
          </w:tcPr>
          <w:p w:rsidR="00407C73" w:rsidRPr="00DE5DA7" w:rsidRDefault="001B5844" w:rsidP="00DE5DA7">
            <w:pPr>
              <w:tabs>
                <w:tab w:val="left" w:pos="284"/>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407C73" w:rsidRPr="00DE5DA7" w:rsidRDefault="001B5844" w:rsidP="00DE5DA7">
            <w:pPr>
              <w:tabs>
                <w:tab w:val="left" w:pos="284"/>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407C73" w:rsidRPr="00DE5DA7" w:rsidRDefault="001B5844" w:rsidP="00DE5DA7">
            <w:pPr>
              <w:tabs>
                <w:tab w:val="left" w:pos="284"/>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407C73" w:rsidRPr="00DE5DA7" w:rsidRDefault="001B5844" w:rsidP="00DE5DA7">
            <w:pPr>
              <w:tabs>
                <w:tab w:val="left" w:pos="284"/>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DE5DA7">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DE5DA7">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DE5DA7" w:rsidRPr="00DE5DA7" w:rsidTr="00021D14">
        <w:tc>
          <w:tcPr>
            <w:tcW w:w="2525" w:type="dxa"/>
          </w:tcPr>
          <w:p w:rsidR="00407C73" w:rsidRPr="00DE5DA7" w:rsidRDefault="001B5844" w:rsidP="00DE5DA7">
            <w:pPr>
              <w:tabs>
                <w:tab w:val="left" w:pos="284"/>
              </w:tabs>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b) Supuestos de clasificación.</w:t>
            </w:r>
          </w:p>
        </w:tc>
        <w:tc>
          <w:tcPr>
            <w:tcW w:w="7229" w:type="dxa"/>
          </w:tcPr>
          <w:p w:rsidR="00407C73" w:rsidRPr="00DE5DA7" w:rsidRDefault="001B5844" w:rsidP="00DE5DA7">
            <w:pPr>
              <w:tabs>
                <w:tab w:val="left" w:pos="284"/>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407C73" w:rsidRPr="00DE5DA7" w:rsidRDefault="001B5844" w:rsidP="00DE5DA7">
            <w:pPr>
              <w:tabs>
                <w:tab w:val="left" w:pos="284"/>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w:t>
            </w:r>
            <w:r w:rsidRPr="00DE5DA7">
              <w:rPr>
                <w:rFonts w:ascii="Palatino Linotype" w:eastAsia="Palatino Linotype" w:hAnsi="Palatino Linotype" w:cs="Palatino Linotype"/>
                <w:color w:val="000000" w:themeColor="text1"/>
              </w:rPr>
              <w:lastRenderedPageBreak/>
              <w:t>o supuestos de clasificación aduciendo analogía o mayoría de razón.</w:t>
            </w:r>
          </w:p>
          <w:p w:rsidR="00407C73" w:rsidRPr="00DE5DA7" w:rsidRDefault="001B5844" w:rsidP="00DE5DA7">
            <w:pPr>
              <w:tabs>
                <w:tab w:val="left" w:pos="284"/>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El </w:t>
            </w:r>
            <w:r w:rsidRPr="00DE5DA7">
              <w:rPr>
                <w:rFonts w:ascii="Palatino Linotype" w:eastAsia="Palatino Linotype" w:hAnsi="Palatino Linotype" w:cs="Palatino Linotype"/>
                <w:b/>
                <w:bCs/>
                <w:color w:val="000000" w:themeColor="text1"/>
              </w:rPr>
              <w:t>Sujeto Obligado</w:t>
            </w:r>
            <w:r w:rsidRPr="00DE5DA7">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E5DA7" w:rsidRPr="00DE5DA7" w:rsidTr="00021D14">
        <w:tc>
          <w:tcPr>
            <w:tcW w:w="2525" w:type="dxa"/>
          </w:tcPr>
          <w:p w:rsidR="00407C73" w:rsidRPr="00DE5DA7" w:rsidRDefault="001B5844" w:rsidP="00DE5DA7">
            <w:pPr>
              <w:tabs>
                <w:tab w:val="left" w:pos="284"/>
              </w:tabs>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lastRenderedPageBreak/>
              <w:t>c) Formalidades para emitir el acuerdo de clasificación.</w:t>
            </w:r>
          </w:p>
        </w:tc>
        <w:tc>
          <w:tcPr>
            <w:tcW w:w="7229" w:type="dxa"/>
          </w:tcPr>
          <w:p w:rsidR="00407C73" w:rsidRPr="00DE5DA7" w:rsidRDefault="001B5844" w:rsidP="00DE5DA7">
            <w:pPr>
              <w:tabs>
                <w:tab w:val="left" w:pos="284"/>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407C73" w:rsidRPr="00DE5DA7" w:rsidRDefault="001B5844" w:rsidP="00DE5DA7">
            <w:pPr>
              <w:tabs>
                <w:tab w:val="left" w:pos="284"/>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Es necesario que </w:t>
            </w:r>
            <w:r w:rsidRPr="00DE5DA7">
              <w:rPr>
                <w:rFonts w:ascii="Palatino Linotype" w:eastAsia="Palatino Linotype" w:hAnsi="Palatino Linotype" w:cs="Palatino Linotype"/>
                <w:b/>
                <w:bCs/>
                <w:color w:val="000000" w:themeColor="text1"/>
                <w:u w:val="single"/>
              </w:rPr>
              <w:t>el acto reúna con los requisitos elementales</w:t>
            </w:r>
            <w:r w:rsidRPr="00DE5DA7">
              <w:rPr>
                <w:rFonts w:ascii="Palatino Linotype" w:eastAsia="Palatino Linotype" w:hAnsi="Palatino Linotype" w:cs="Palatino Linotype"/>
                <w:color w:val="000000" w:themeColor="text1"/>
              </w:rPr>
              <w:t>, entre ellos, que la autoridad que va a emitir el acto de autoridad sea la legalmente facultada para ello.</w:t>
            </w:r>
          </w:p>
          <w:p w:rsidR="00407C73" w:rsidRPr="00DE5DA7" w:rsidRDefault="001B5844" w:rsidP="00DE5DA7">
            <w:pPr>
              <w:tabs>
                <w:tab w:val="left" w:pos="284"/>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DE5DA7" w:rsidRPr="00DE5DA7" w:rsidTr="00021D14">
        <w:tc>
          <w:tcPr>
            <w:tcW w:w="2525" w:type="dxa"/>
          </w:tcPr>
          <w:p w:rsidR="00407C73" w:rsidRPr="00DE5DA7" w:rsidRDefault="00407C73" w:rsidP="00DE5DA7">
            <w:pPr>
              <w:tabs>
                <w:tab w:val="left" w:pos="284"/>
              </w:tabs>
              <w:rPr>
                <w:rFonts w:ascii="Palatino Linotype" w:eastAsia="Palatino Linotype" w:hAnsi="Palatino Linotype" w:cs="Palatino Linotype"/>
                <w:color w:val="000000" w:themeColor="text1"/>
              </w:rPr>
            </w:pPr>
          </w:p>
          <w:p w:rsidR="00407C73" w:rsidRPr="00DE5DA7" w:rsidRDefault="001B5844" w:rsidP="00DE5DA7">
            <w:pPr>
              <w:tabs>
                <w:tab w:val="left" w:pos="284"/>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d) Requisitos de fondo del acuerdo de clasificación. </w:t>
            </w:r>
          </w:p>
        </w:tc>
        <w:tc>
          <w:tcPr>
            <w:tcW w:w="7229" w:type="dxa"/>
          </w:tcPr>
          <w:p w:rsidR="00407C73" w:rsidRPr="00DE5DA7" w:rsidRDefault="001B5844" w:rsidP="00DE5DA7">
            <w:pPr>
              <w:tabs>
                <w:tab w:val="left" w:pos="284"/>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E5DA7">
              <w:rPr>
                <w:rFonts w:ascii="Palatino Linotype" w:eastAsia="Palatino Linotype" w:hAnsi="Palatino Linotype" w:cs="Palatino Linotype"/>
                <w:b/>
                <w:bCs/>
                <w:color w:val="000000" w:themeColor="text1"/>
              </w:rPr>
              <w:t>Sujetos Obligados</w:t>
            </w:r>
            <w:r w:rsidRPr="00DE5DA7">
              <w:rPr>
                <w:rFonts w:ascii="Palatino Linotype" w:eastAsia="Palatino Linotype" w:hAnsi="Palatino Linotype" w:cs="Palatino Linotype"/>
                <w:color w:val="000000" w:themeColor="text1"/>
              </w:rPr>
              <w:t xml:space="preserve">, por lo que deberán fundar y motivar debidamente la clasificación. </w:t>
            </w:r>
          </w:p>
          <w:p w:rsidR="00407C73" w:rsidRPr="00DE5DA7" w:rsidRDefault="001B5844" w:rsidP="00DE5DA7">
            <w:pPr>
              <w:tabs>
                <w:tab w:val="left" w:pos="284"/>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De lo anterior, se desprende que para una correcta </w:t>
            </w:r>
            <w:r w:rsidRPr="00DE5DA7">
              <w:rPr>
                <w:rFonts w:ascii="Palatino Linotype" w:eastAsia="Palatino Linotype" w:hAnsi="Palatino Linotype" w:cs="Palatino Linotype"/>
                <w:b/>
                <w:bCs/>
                <w:color w:val="000000" w:themeColor="text1"/>
              </w:rPr>
              <w:t>clasificación total o parcial</w:t>
            </w:r>
            <w:r w:rsidRPr="00DE5DA7">
              <w:rPr>
                <w:rFonts w:ascii="Palatino Linotype" w:eastAsia="Palatino Linotype" w:hAnsi="Palatino Linotype" w:cs="Palatino Linotype"/>
                <w:color w:val="000000" w:themeColor="text1"/>
              </w:rPr>
              <w:t xml:space="preserve">, esto es determinar los datos que se suprimen en las versiones públicas, es necesario fundar y motivar, de manera </w:t>
            </w:r>
            <w:r w:rsidRPr="00DE5DA7">
              <w:rPr>
                <w:rFonts w:ascii="Palatino Linotype" w:eastAsia="Palatino Linotype" w:hAnsi="Palatino Linotype" w:cs="Palatino Linotype"/>
                <w:color w:val="000000" w:themeColor="text1"/>
              </w:rPr>
              <w:lastRenderedPageBreak/>
              <w:t>correcta, la clasificación; considerando que todo acto que la autoridad pronuncie en el ejercicio de sus atribuciones, debe expresar los fundamentos legales que le dieron origen y las razones por las que se deben aplicar al caso concreto.</w:t>
            </w:r>
          </w:p>
          <w:p w:rsidR="00407C73" w:rsidRPr="00DE5DA7" w:rsidRDefault="001B5844" w:rsidP="00DE5DA7">
            <w:pPr>
              <w:tabs>
                <w:tab w:val="left" w:pos="284"/>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407C73" w:rsidRPr="00DE5DA7" w:rsidRDefault="001B5844" w:rsidP="00DE5DA7">
            <w:pPr>
              <w:tabs>
                <w:tab w:val="left" w:pos="284"/>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407C73" w:rsidRPr="00DE5DA7" w:rsidRDefault="001B5844" w:rsidP="00DE5DA7">
            <w:pPr>
              <w:tabs>
                <w:tab w:val="left" w:pos="284"/>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Ahora bien, </w:t>
            </w:r>
            <w:r w:rsidRPr="00DE5DA7">
              <w:rPr>
                <w:rFonts w:ascii="Palatino Linotype" w:eastAsia="Palatino Linotype" w:hAnsi="Palatino Linotype" w:cs="Palatino Linotype"/>
                <w:b/>
                <w:bCs/>
                <w:color w:val="000000" w:themeColor="text1"/>
                <w:u w:val="single"/>
              </w:rPr>
              <w:t>para cada caso además de fundar y motivar</w:t>
            </w:r>
            <w:r w:rsidRPr="00DE5DA7">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DE5DA7" w:rsidRPr="00DE5DA7" w:rsidTr="00021D14">
        <w:tc>
          <w:tcPr>
            <w:tcW w:w="2525" w:type="dxa"/>
          </w:tcPr>
          <w:p w:rsidR="00407C73" w:rsidRPr="00DE5DA7" w:rsidRDefault="001B5844" w:rsidP="00DE5DA7">
            <w:pPr>
              <w:tabs>
                <w:tab w:val="left" w:pos="284"/>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7229" w:type="dxa"/>
          </w:tcPr>
          <w:p w:rsidR="00407C73" w:rsidRPr="00DE5DA7" w:rsidRDefault="001B5844" w:rsidP="00DE5DA7">
            <w:pPr>
              <w:tabs>
                <w:tab w:val="left" w:pos="284"/>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407C73" w:rsidRPr="00DE5DA7" w:rsidRDefault="001B5844" w:rsidP="00DE5DA7">
            <w:pPr>
              <w:tabs>
                <w:tab w:val="left" w:pos="284"/>
              </w:tabs>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407C73" w:rsidRPr="00DE5DA7" w:rsidRDefault="001B5844" w:rsidP="00DE5DA7">
            <w:pPr>
              <w:tabs>
                <w:tab w:val="left" w:pos="284"/>
              </w:tabs>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Pero si la información que se pretende clasificar como confidencial no se encuentra en los supuestos de los artículos </w:t>
            </w:r>
            <w:r w:rsidRPr="00DE5DA7">
              <w:rPr>
                <w:rFonts w:ascii="Palatino Linotype" w:eastAsia="Palatino Linotype" w:hAnsi="Palatino Linotype" w:cs="Palatino Linotype"/>
                <w:color w:val="000000" w:themeColor="text1"/>
              </w:rPr>
              <w:lastRenderedPageBreak/>
              <w:t>señalados y es posible, se deberá consultar al titular de los datos si permite o no el acceso. De no ser posible, la realización de la consulta, procede, fundando y motivando, la clasificación.</w:t>
            </w:r>
          </w:p>
        </w:tc>
      </w:tr>
    </w:tbl>
    <w:p w:rsidR="00407C73" w:rsidRPr="00DE5DA7" w:rsidRDefault="00407C73" w:rsidP="00DE5DA7">
      <w:pPr>
        <w:rPr>
          <w:rFonts w:ascii="Palatino Linotype" w:hAnsi="Palatino Linotype"/>
          <w:color w:val="000000" w:themeColor="text1"/>
        </w:rPr>
      </w:pPr>
    </w:p>
    <w:p w:rsidR="00407C73" w:rsidRPr="00DE5DA7"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Por lo anteriormente expuesto y fundado, este </w:t>
      </w:r>
      <w:r w:rsidRPr="00DE5DA7">
        <w:rPr>
          <w:rFonts w:ascii="Palatino Linotype" w:eastAsia="Palatino Linotype" w:hAnsi="Palatino Linotype" w:cs="Palatino Linotype"/>
          <w:b/>
          <w:bCs/>
          <w:color w:val="000000" w:themeColor="text1"/>
        </w:rPr>
        <w:t>ÓRGANO GARANTE</w:t>
      </w:r>
      <w:r w:rsidRPr="00DE5DA7">
        <w:rPr>
          <w:rFonts w:ascii="Palatino Linotype" w:eastAsia="Palatino Linotype" w:hAnsi="Palatino Linotype" w:cs="Palatino Linotype"/>
          <w:color w:val="000000" w:themeColor="text1"/>
        </w:rPr>
        <w:t xml:space="preserve"> emite los siguientes:</w:t>
      </w:r>
    </w:p>
    <w:p w:rsidR="00407C73" w:rsidRPr="00DE5DA7"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bookmarkStart w:id="11" w:name="_heading=h.4d34og8" w:colFirst="0" w:colLast="0"/>
      <w:bookmarkEnd w:id="11"/>
    </w:p>
    <w:p w:rsidR="00407C73" w:rsidRPr="00DE5DA7" w:rsidRDefault="001B5844" w:rsidP="00DE5DA7">
      <w:pPr>
        <w:numPr>
          <w:ilvl w:val="0"/>
          <w:numId w:val="5"/>
        </w:numPr>
        <w:pBdr>
          <w:top w:val="nil"/>
          <w:left w:val="nil"/>
          <w:bottom w:val="nil"/>
          <w:right w:val="nil"/>
          <w:between w:val="nil"/>
        </w:pBdr>
        <w:spacing w:after="280" w:line="360" w:lineRule="auto"/>
        <w:ind w:left="0" w:firstLine="0"/>
        <w:jc w:val="both"/>
        <w:rPr>
          <w:rFonts w:ascii="Palatino Linotype" w:hAnsi="Palatino Linotype"/>
          <w:color w:val="000000" w:themeColor="text1"/>
        </w:rPr>
      </w:pPr>
      <w:r w:rsidRPr="00DE5DA7">
        <w:rPr>
          <w:rFonts w:ascii="Palatino Linotype" w:eastAsia="Palatino Linotype" w:hAnsi="Palatino Linotype" w:cs="Palatino Linotype"/>
          <w:color w:val="000000" w:themeColor="text1"/>
        </w:rPr>
        <w:t>Por lo anteriormente expuesto, este Órgano Garante considera parcialmente fundadas las razones o motivos de inconformidad que plantea el</w:t>
      </w:r>
      <w:r w:rsidRPr="00DE5DA7">
        <w:rPr>
          <w:rFonts w:ascii="Palatino Linotype" w:eastAsia="Palatino Linotype" w:hAnsi="Palatino Linotype" w:cs="Palatino Linotype"/>
          <w:b/>
          <w:bCs/>
          <w:color w:val="000000" w:themeColor="text1"/>
        </w:rPr>
        <w:t xml:space="preserve"> RECURRENTE</w:t>
      </w:r>
      <w:r w:rsidRPr="00DE5DA7">
        <w:rPr>
          <w:rFonts w:ascii="Palatino Linotype" w:eastAsia="Palatino Linotype" w:hAnsi="Palatino Linotype" w:cs="Palatino Linotype"/>
          <w:color w:val="000000" w:themeColor="text1"/>
        </w:rPr>
        <w:t xml:space="preserve">, determinando </w:t>
      </w:r>
      <w:r w:rsidRPr="00DE5DA7">
        <w:rPr>
          <w:rFonts w:ascii="Palatino Linotype" w:eastAsia="Palatino Linotype" w:hAnsi="Palatino Linotype" w:cs="Palatino Linotype"/>
          <w:b/>
          <w:bCs/>
          <w:smallCaps/>
          <w:color w:val="000000" w:themeColor="text1"/>
        </w:rPr>
        <w:t xml:space="preserve">REVOCAR  </w:t>
      </w:r>
      <w:r w:rsidRPr="00DE5DA7">
        <w:rPr>
          <w:rFonts w:ascii="Palatino Linotype" w:eastAsia="Palatino Linotype" w:hAnsi="Palatino Linotype" w:cs="Palatino Linotype"/>
          <w:color w:val="000000" w:themeColor="text1"/>
        </w:rPr>
        <w:t xml:space="preserve">la respuesta del </w:t>
      </w:r>
      <w:r w:rsidRPr="00DE5DA7">
        <w:rPr>
          <w:rFonts w:ascii="Palatino Linotype" w:eastAsia="Palatino Linotype" w:hAnsi="Palatino Linotype" w:cs="Palatino Linotype"/>
          <w:b/>
          <w:bCs/>
          <w:color w:val="000000" w:themeColor="text1"/>
        </w:rPr>
        <w:t>SUJETO OBLIGADO</w:t>
      </w:r>
      <w:r w:rsidRPr="00DE5DA7">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DE5DA7">
        <w:rPr>
          <w:rFonts w:ascii="Palatino Linotype" w:eastAsia="Palatino Linotype" w:hAnsi="Palatino Linotype" w:cs="Palatino Linotype"/>
          <w:b/>
          <w:bCs/>
          <w:color w:val="000000" w:themeColor="text1"/>
        </w:rPr>
        <w:t>ÓRGANO GARANTE</w:t>
      </w:r>
      <w:r w:rsidRPr="00DE5DA7">
        <w:rPr>
          <w:rFonts w:ascii="Palatino Linotype" w:eastAsia="Palatino Linotype" w:hAnsi="Palatino Linotype" w:cs="Palatino Linotype"/>
          <w:color w:val="000000" w:themeColor="text1"/>
        </w:rPr>
        <w:t xml:space="preserve"> emite los siguientes.</w:t>
      </w:r>
    </w:p>
    <w:p w:rsidR="00407C73" w:rsidRPr="00DE5DA7" w:rsidRDefault="00407C73" w:rsidP="00DE5DA7">
      <w:pPr>
        <w:pBdr>
          <w:top w:val="nil"/>
          <w:left w:val="nil"/>
          <w:bottom w:val="nil"/>
          <w:right w:val="nil"/>
          <w:between w:val="nil"/>
        </w:pBdr>
        <w:rPr>
          <w:rFonts w:ascii="Palatino Linotype" w:eastAsia="Palatino Linotype" w:hAnsi="Palatino Linotype" w:cs="Palatino Linotype"/>
          <w:color w:val="000000" w:themeColor="text1"/>
        </w:rPr>
      </w:pPr>
    </w:p>
    <w:p w:rsidR="00407C73" w:rsidRPr="00DE5DA7" w:rsidRDefault="001B5844" w:rsidP="00DE5DA7">
      <w:pPr>
        <w:pStyle w:val="Ttulo1"/>
        <w:spacing w:before="0" w:line="360" w:lineRule="auto"/>
        <w:jc w:val="center"/>
        <w:rPr>
          <w:rFonts w:ascii="Palatino Linotype" w:eastAsia="Palatino Linotype" w:hAnsi="Palatino Linotype" w:cs="Palatino Linotype"/>
          <w:b/>
          <w:bCs/>
          <w:color w:val="000000" w:themeColor="text1"/>
          <w:sz w:val="24"/>
          <w:szCs w:val="24"/>
        </w:rPr>
      </w:pPr>
      <w:r w:rsidRPr="00DE5DA7">
        <w:rPr>
          <w:rFonts w:ascii="Palatino Linotype" w:eastAsia="Palatino Linotype" w:hAnsi="Palatino Linotype" w:cs="Palatino Linotype"/>
          <w:b/>
          <w:bCs/>
          <w:color w:val="000000" w:themeColor="text1"/>
          <w:sz w:val="24"/>
          <w:szCs w:val="24"/>
        </w:rPr>
        <w:t>R E S O L U T I V O S</w:t>
      </w:r>
    </w:p>
    <w:p w:rsidR="00407C73" w:rsidRPr="00DE5DA7" w:rsidRDefault="00407C73" w:rsidP="00DE5DA7">
      <w:pPr>
        <w:spacing w:line="360" w:lineRule="auto"/>
        <w:rPr>
          <w:rFonts w:ascii="Palatino Linotype" w:eastAsia="Palatino Linotype" w:hAnsi="Palatino Linotype" w:cs="Palatino Linotype"/>
          <w:color w:val="000000" w:themeColor="text1"/>
        </w:rPr>
      </w:pPr>
    </w:p>
    <w:p w:rsidR="00407C73" w:rsidRPr="00DE5DA7" w:rsidRDefault="001B5844" w:rsidP="00DE5DA7">
      <w:pPr>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b/>
          <w:bCs/>
          <w:color w:val="000000" w:themeColor="text1"/>
        </w:rPr>
        <w:t>PRIMERO</w:t>
      </w:r>
      <w:r w:rsidRPr="00DE5DA7">
        <w:rPr>
          <w:rFonts w:ascii="Palatino Linotype" w:eastAsia="Palatino Linotype" w:hAnsi="Palatino Linotype" w:cs="Palatino Linotype"/>
          <w:color w:val="000000" w:themeColor="text1"/>
        </w:rPr>
        <w:t>. Resultan fundadas las</w:t>
      </w:r>
      <w:r w:rsidRPr="00DE5DA7">
        <w:rPr>
          <w:rFonts w:ascii="Palatino Linotype" w:eastAsia="Palatino Linotype" w:hAnsi="Palatino Linotype" w:cs="Palatino Linotype"/>
          <w:b/>
          <w:bCs/>
          <w:color w:val="000000" w:themeColor="text1"/>
        </w:rPr>
        <w:t xml:space="preserve"> </w:t>
      </w:r>
      <w:r w:rsidRPr="00DE5DA7">
        <w:rPr>
          <w:rFonts w:ascii="Palatino Linotype" w:eastAsia="Palatino Linotype" w:hAnsi="Palatino Linotype" w:cs="Palatino Linotype"/>
          <w:color w:val="000000" w:themeColor="text1"/>
        </w:rPr>
        <w:t xml:space="preserve">razones o motivos de inconformidad hechos valer en el Recurso de </w:t>
      </w:r>
      <w:r w:rsidR="00DE5DA7" w:rsidRPr="00DE5DA7">
        <w:rPr>
          <w:rFonts w:ascii="Palatino Linotype" w:eastAsia="Palatino Linotype" w:hAnsi="Palatino Linotype" w:cs="Palatino Linotype"/>
          <w:color w:val="000000" w:themeColor="text1"/>
        </w:rPr>
        <w:t xml:space="preserve">Revisión </w:t>
      </w:r>
      <w:r w:rsidR="00DE5DA7" w:rsidRPr="00DE5DA7">
        <w:rPr>
          <w:rFonts w:ascii="Palatino Linotype" w:eastAsia="Palatino Linotype" w:hAnsi="Palatino Linotype" w:cs="Palatino Linotype"/>
          <w:b/>
          <w:bCs/>
          <w:color w:val="000000" w:themeColor="text1"/>
        </w:rPr>
        <w:t>07643</w:t>
      </w:r>
      <w:r w:rsidRPr="00DE5DA7">
        <w:rPr>
          <w:rFonts w:ascii="Palatino Linotype" w:eastAsia="Palatino Linotype" w:hAnsi="Palatino Linotype" w:cs="Palatino Linotype"/>
          <w:b/>
          <w:bCs/>
          <w:color w:val="000000" w:themeColor="text1"/>
        </w:rPr>
        <w:t xml:space="preserve">/INFOEM/IP/RR/2025, </w:t>
      </w:r>
      <w:r w:rsidRPr="00DE5DA7">
        <w:rPr>
          <w:rFonts w:ascii="Palatino Linotype" w:eastAsia="Palatino Linotype" w:hAnsi="Palatino Linotype" w:cs="Palatino Linotype"/>
          <w:color w:val="000000" w:themeColor="text1"/>
        </w:rPr>
        <w:t xml:space="preserve">en términos del </w:t>
      </w:r>
      <w:r w:rsidRPr="00DE5DA7">
        <w:rPr>
          <w:rFonts w:ascii="Palatino Linotype" w:eastAsia="Palatino Linotype" w:hAnsi="Palatino Linotype" w:cs="Palatino Linotype"/>
          <w:b/>
          <w:bCs/>
          <w:color w:val="000000" w:themeColor="text1"/>
        </w:rPr>
        <w:t xml:space="preserve">Considerando Cuarto </w:t>
      </w:r>
      <w:r w:rsidRPr="00DE5DA7">
        <w:rPr>
          <w:rFonts w:ascii="Palatino Linotype" w:eastAsia="Palatino Linotype" w:hAnsi="Palatino Linotype" w:cs="Palatino Linotype"/>
          <w:color w:val="000000" w:themeColor="text1"/>
        </w:rPr>
        <w:t>de la presente resolución.</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b/>
          <w:bCs/>
          <w:color w:val="000000" w:themeColor="text1"/>
        </w:rPr>
        <w:lastRenderedPageBreak/>
        <w:t>SEGUNDO.</w:t>
      </w:r>
      <w:r w:rsidRPr="00DE5DA7">
        <w:rPr>
          <w:rFonts w:ascii="Palatino Linotype" w:eastAsia="Palatino Linotype" w:hAnsi="Palatino Linotype" w:cs="Palatino Linotype"/>
          <w:color w:val="000000" w:themeColor="text1"/>
        </w:rPr>
        <w:t xml:space="preserve"> Se </w:t>
      </w:r>
      <w:r w:rsidRPr="00DE5DA7">
        <w:rPr>
          <w:rFonts w:ascii="Palatino Linotype" w:eastAsia="Palatino Linotype" w:hAnsi="Palatino Linotype" w:cs="Palatino Linotype"/>
          <w:b/>
          <w:bCs/>
          <w:color w:val="000000" w:themeColor="text1"/>
        </w:rPr>
        <w:t xml:space="preserve">REVOCA </w:t>
      </w:r>
      <w:r w:rsidRPr="00DE5DA7">
        <w:rPr>
          <w:rFonts w:ascii="Palatino Linotype" w:eastAsia="Palatino Linotype" w:hAnsi="Palatino Linotype" w:cs="Palatino Linotype"/>
          <w:color w:val="000000" w:themeColor="text1"/>
        </w:rPr>
        <w:t xml:space="preserve">la respuesta emitida por el </w:t>
      </w:r>
      <w:r w:rsidRPr="00DE5DA7">
        <w:rPr>
          <w:rFonts w:ascii="Palatino Linotype" w:eastAsia="Palatino Linotype" w:hAnsi="Palatino Linotype" w:cs="Palatino Linotype"/>
          <w:b/>
          <w:bCs/>
          <w:color w:val="000000" w:themeColor="text1"/>
        </w:rPr>
        <w:t>Organismo Público Descentralizado Municipal para la Prestación de Los Servicios de Agua Potable Alcantarillado y Saneamiento de Cuautitlán Izcalli denominado OPERAGUA, O.P.D.M.</w:t>
      </w:r>
      <w:r w:rsidRPr="00DE5DA7">
        <w:rPr>
          <w:rFonts w:ascii="Palatino Linotype" w:eastAsia="Palatino Linotype" w:hAnsi="Palatino Linotype" w:cs="Palatino Linotype"/>
          <w:color w:val="000000" w:themeColor="text1"/>
        </w:rPr>
        <w:t xml:space="preserve">y se </w:t>
      </w:r>
      <w:r w:rsidRPr="00DE5DA7">
        <w:rPr>
          <w:rFonts w:ascii="Palatino Linotype" w:eastAsia="Palatino Linotype" w:hAnsi="Palatino Linotype" w:cs="Palatino Linotype"/>
          <w:b/>
          <w:bCs/>
          <w:color w:val="000000" w:themeColor="text1"/>
        </w:rPr>
        <w:t>ORDENA</w:t>
      </w:r>
      <w:r w:rsidRPr="00DE5DA7">
        <w:rPr>
          <w:rFonts w:ascii="Palatino Linotype" w:eastAsia="Palatino Linotype" w:hAnsi="Palatino Linotype" w:cs="Palatino Linotype"/>
          <w:color w:val="000000" w:themeColor="text1"/>
        </w:rPr>
        <w:t xml:space="preserve"> entregar vía Sistema de Acceso a la Información Mexiquense </w:t>
      </w:r>
      <w:r w:rsidRPr="00DE5DA7">
        <w:rPr>
          <w:rFonts w:ascii="Palatino Linotype" w:eastAsia="Palatino Linotype" w:hAnsi="Palatino Linotype" w:cs="Palatino Linotype"/>
          <w:b/>
          <w:bCs/>
          <w:color w:val="000000" w:themeColor="text1"/>
        </w:rPr>
        <w:t xml:space="preserve">(SAIMEX), </w:t>
      </w:r>
      <w:r w:rsidRPr="00DE5DA7">
        <w:rPr>
          <w:rFonts w:ascii="Palatino Linotype" w:eastAsia="Palatino Linotype" w:hAnsi="Palatino Linotype" w:cs="Palatino Linotype"/>
          <w:color w:val="000000" w:themeColor="text1"/>
        </w:rPr>
        <w:t>de ser procedente en versión pública, lo siguiente:</w:t>
      </w:r>
    </w:p>
    <w:p w:rsidR="00407C73" w:rsidRPr="00DE5DA7" w:rsidRDefault="001B5844" w:rsidP="00DE5DA7">
      <w:pPr>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 xml:space="preserve"> </w:t>
      </w:r>
    </w:p>
    <w:p w:rsidR="00407C73" w:rsidRPr="00DE5DA7" w:rsidRDefault="001B5844" w:rsidP="00DE5DA7">
      <w:pPr>
        <w:spacing w:line="276" w:lineRule="auto"/>
        <w:jc w:val="both"/>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color w:val="000000" w:themeColor="text1"/>
        </w:rPr>
        <w:t xml:space="preserve">Documento en donde conste o se advierta de los Servidores Públicos </w:t>
      </w:r>
      <w:r w:rsidR="00DE5DA7" w:rsidRPr="00DE5DA7">
        <w:rPr>
          <w:rFonts w:ascii="Palatino Linotype" w:eastAsia="Palatino Linotype" w:hAnsi="Palatino Linotype" w:cs="Palatino Linotype"/>
          <w:b/>
          <w:bCs/>
          <w:color w:val="000000" w:themeColor="text1"/>
        </w:rPr>
        <w:t>adscritos al</w:t>
      </w:r>
      <w:r w:rsidRPr="00DE5DA7">
        <w:rPr>
          <w:rFonts w:ascii="Palatino Linotype" w:eastAsia="Palatino Linotype" w:hAnsi="Palatino Linotype" w:cs="Palatino Linotype"/>
          <w:b/>
          <w:bCs/>
          <w:color w:val="000000" w:themeColor="text1"/>
        </w:rPr>
        <w:t xml:space="preserve"> Organismo Público Descentralizado Municipal para la Prestación de Los Servicios de Agua Potable Alcantarillado y Saneamiento de Cuautitlán Izcalli denominado OPERAGUA, O.P.D.M en funciones, al veinte de mayo de dos mil veinticinco, lo siguiente:</w:t>
      </w:r>
    </w:p>
    <w:p w:rsidR="00407C73" w:rsidRPr="00DE5DA7" w:rsidRDefault="00407C73" w:rsidP="00DE5DA7">
      <w:pPr>
        <w:rPr>
          <w:rFonts w:ascii="Palatino Linotype" w:eastAsia="Palatino Linotype" w:hAnsi="Palatino Linotype" w:cs="Palatino Linotype"/>
          <w:i/>
          <w:iCs/>
          <w:color w:val="000000" w:themeColor="text1"/>
        </w:rPr>
      </w:pPr>
    </w:p>
    <w:p w:rsidR="00407C73" w:rsidRPr="00DE5DA7" w:rsidRDefault="001B5844" w:rsidP="00DE5DA7">
      <w:pPr>
        <w:numPr>
          <w:ilvl w:val="0"/>
          <w:numId w:val="2"/>
        </w:numPr>
        <w:pBdr>
          <w:top w:val="nil"/>
          <w:left w:val="nil"/>
          <w:bottom w:val="nil"/>
          <w:right w:val="nil"/>
          <w:between w:val="nil"/>
        </w:pBdr>
        <w:ind w:left="0" w:firstLine="0"/>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color w:val="000000" w:themeColor="text1"/>
        </w:rPr>
        <w:t>Sueldo bruto y neto.</w:t>
      </w:r>
    </w:p>
    <w:p w:rsidR="00407C73" w:rsidRPr="00DE5DA7" w:rsidRDefault="001B5844" w:rsidP="00DE5DA7">
      <w:pPr>
        <w:numPr>
          <w:ilvl w:val="0"/>
          <w:numId w:val="2"/>
        </w:numPr>
        <w:pBdr>
          <w:top w:val="nil"/>
          <w:left w:val="nil"/>
          <w:bottom w:val="nil"/>
          <w:right w:val="nil"/>
          <w:between w:val="nil"/>
        </w:pBdr>
        <w:ind w:left="0" w:firstLine="0"/>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color w:val="000000" w:themeColor="text1"/>
        </w:rPr>
        <w:t>Funciones.</w:t>
      </w:r>
    </w:p>
    <w:p w:rsidR="00407C73" w:rsidRPr="00DE5DA7" w:rsidRDefault="001B5844" w:rsidP="00DE5DA7">
      <w:pPr>
        <w:numPr>
          <w:ilvl w:val="0"/>
          <w:numId w:val="2"/>
        </w:numPr>
        <w:pBdr>
          <w:top w:val="nil"/>
          <w:left w:val="nil"/>
          <w:bottom w:val="nil"/>
          <w:right w:val="nil"/>
          <w:between w:val="nil"/>
        </w:pBdr>
        <w:ind w:left="0" w:firstLine="0"/>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color w:val="000000" w:themeColor="text1"/>
        </w:rPr>
        <w:t xml:space="preserve">Curriculum vitae, ficha curricular, solicitud de empleo o documento análogo. </w:t>
      </w:r>
    </w:p>
    <w:p w:rsidR="00407C73" w:rsidRPr="00DE5DA7" w:rsidRDefault="001B5844" w:rsidP="00DE5DA7">
      <w:pPr>
        <w:numPr>
          <w:ilvl w:val="0"/>
          <w:numId w:val="2"/>
        </w:numPr>
        <w:pBdr>
          <w:top w:val="nil"/>
          <w:left w:val="nil"/>
          <w:bottom w:val="nil"/>
          <w:right w:val="nil"/>
          <w:between w:val="nil"/>
        </w:pBdr>
        <w:ind w:left="0" w:firstLine="0"/>
        <w:rPr>
          <w:rFonts w:ascii="Palatino Linotype" w:eastAsia="Palatino Linotype" w:hAnsi="Palatino Linotype" w:cs="Palatino Linotype"/>
          <w:i/>
          <w:iCs/>
          <w:color w:val="000000" w:themeColor="text1"/>
        </w:rPr>
      </w:pPr>
      <w:r w:rsidRPr="00DE5DA7">
        <w:rPr>
          <w:rFonts w:ascii="Palatino Linotype" w:eastAsia="Palatino Linotype" w:hAnsi="Palatino Linotype" w:cs="Palatino Linotype"/>
          <w:b/>
          <w:bCs/>
          <w:color w:val="000000" w:themeColor="text1"/>
        </w:rPr>
        <w:t xml:space="preserve">Área de adscripción. </w:t>
      </w:r>
    </w:p>
    <w:p w:rsidR="00407C73" w:rsidRPr="00DE5DA7" w:rsidRDefault="00407C73" w:rsidP="00DE5DA7">
      <w:pPr>
        <w:rPr>
          <w:rFonts w:ascii="Palatino Linotype" w:eastAsia="Palatino Linotype" w:hAnsi="Palatino Linotype" w:cs="Palatino Linotype"/>
          <w:i/>
          <w:iCs/>
          <w:color w:val="000000" w:themeColor="text1"/>
        </w:rPr>
      </w:pPr>
    </w:p>
    <w:p w:rsidR="00663E8D" w:rsidRPr="00DE5DA7" w:rsidRDefault="00663E8D" w:rsidP="00DE5DA7">
      <w:pPr>
        <w:tabs>
          <w:tab w:val="left" w:pos="2947"/>
        </w:tabs>
        <w:spacing w:line="360" w:lineRule="auto"/>
        <w:jc w:val="both"/>
        <w:rPr>
          <w:rFonts w:ascii="Palatino Linotype" w:eastAsia="Palatino Linotype" w:hAnsi="Palatino Linotype" w:cs="Palatino Linotype"/>
          <w:color w:val="000000" w:themeColor="text1"/>
        </w:rPr>
      </w:pPr>
    </w:p>
    <w:p w:rsidR="00663E8D" w:rsidRPr="00DE5DA7" w:rsidRDefault="00663E8D" w:rsidP="00DE5DA7">
      <w:pPr>
        <w:spacing w:line="360" w:lineRule="auto"/>
        <w:jc w:val="both"/>
        <w:rPr>
          <w:rFonts w:ascii="Palatino Linotype" w:eastAsia="Palatino Linotype" w:hAnsi="Palatino Linotype" w:cs="Palatino Linotype"/>
          <w:b/>
          <w:color w:val="000000" w:themeColor="text1"/>
        </w:rPr>
      </w:pPr>
      <w:r w:rsidRPr="00E71756">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E71756">
        <w:rPr>
          <w:rFonts w:ascii="Palatino Linotype" w:eastAsia="Palatino Linotype" w:hAnsi="Palatino Linotype" w:cs="Palatino Linotype"/>
          <w:b/>
          <w:color w:val="000000" w:themeColor="text1"/>
        </w:rPr>
        <w:t>RECURRENTE.</w:t>
      </w:r>
    </w:p>
    <w:p w:rsidR="00407C73" w:rsidRPr="00DE5DA7" w:rsidRDefault="001B5844" w:rsidP="00DE5DA7">
      <w:pPr>
        <w:tabs>
          <w:tab w:val="left" w:pos="2947"/>
        </w:tabs>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ab/>
      </w:r>
    </w:p>
    <w:p w:rsidR="00407C73" w:rsidRPr="00DE5DA7" w:rsidRDefault="001B5844" w:rsidP="00DE5DA7">
      <w:pPr>
        <w:tabs>
          <w:tab w:val="left" w:pos="8080"/>
        </w:tabs>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b/>
          <w:bCs/>
          <w:color w:val="000000" w:themeColor="text1"/>
        </w:rPr>
        <w:lastRenderedPageBreak/>
        <w:t xml:space="preserve">TERCERO. NOTIFÍQUESE </w:t>
      </w:r>
      <w:r w:rsidRPr="00DE5DA7">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DE5DA7">
        <w:rPr>
          <w:rFonts w:ascii="Palatino Linotype" w:eastAsia="Palatino Linotype" w:hAnsi="Palatino Linotype" w:cs="Palatino Linotype"/>
          <w:b/>
          <w:bCs/>
          <w:color w:val="000000" w:themeColor="text1"/>
        </w:rPr>
        <w:t xml:space="preserve">dé cumplimiento a lo ordenado dentro del plazo de diez días hábiles, </w:t>
      </w:r>
      <w:r w:rsidRPr="00DE5DA7">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b/>
          <w:bCs/>
          <w:color w:val="000000" w:themeColor="text1"/>
        </w:rPr>
        <w:t xml:space="preserve">CUARTO. </w:t>
      </w:r>
      <w:r w:rsidRPr="00DE5DA7">
        <w:rPr>
          <w:rFonts w:ascii="Palatino Linotype" w:eastAsia="Palatino Linotype" w:hAnsi="Palatino Linotype" w:cs="Palatino Linotype"/>
          <w:color w:val="000000" w:themeColor="text1"/>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b/>
          <w:bCs/>
          <w:color w:val="000000" w:themeColor="text1"/>
        </w:rPr>
        <w:t xml:space="preserve">QUINTO. Notifíquese </w:t>
      </w:r>
      <w:r w:rsidRPr="00DE5DA7">
        <w:rPr>
          <w:rFonts w:ascii="Palatino Linotype" w:eastAsia="Palatino Linotype" w:hAnsi="Palatino Linotype" w:cs="Palatino Linotype"/>
          <w:color w:val="000000" w:themeColor="text1"/>
        </w:rPr>
        <w:t>a</w:t>
      </w:r>
      <w:r w:rsidR="00DE5DA7">
        <w:rPr>
          <w:rFonts w:ascii="Palatino Linotype" w:eastAsia="Palatino Linotype" w:hAnsi="Palatino Linotype" w:cs="Palatino Linotype"/>
          <w:color w:val="000000" w:themeColor="text1"/>
        </w:rPr>
        <w:t xml:space="preserve">l </w:t>
      </w:r>
      <w:r w:rsidRPr="00DE5DA7">
        <w:rPr>
          <w:rFonts w:ascii="Palatino Linotype" w:eastAsia="Palatino Linotype" w:hAnsi="Palatino Linotype" w:cs="Palatino Linotype"/>
          <w:b/>
          <w:bCs/>
          <w:color w:val="000000" w:themeColor="text1"/>
        </w:rPr>
        <w:t>RECURRENTE</w:t>
      </w:r>
      <w:r w:rsidRPr="00DE5DA7">
        <w:rPr>
          <w:rFonts w:ascii="Palatino Linotype" w:eastAsia="Palatino Linotype" w:hAnsi="Palatino Linotype" w:cs="Palatino Linotype"/>
          <w:color w:val="000000" w:themeColor="text1"/>
        </w:rPr>
        <w:t xml:space="preserve"> la presente resolución, vía SAIMEX.</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1B5844" w:rsidP="00DE5DA7">
      <w:pPr>
        <w:spacing w:line="360" w:lineRule="auto"/>
        <w:jc w:val="both"/>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b/>
          <w:bCs/>
          <w:color w:val="000000" w:themeColor="text1"/>
        </w:rPr>
        <w:t>SEXTO.</w:t>
      </w:r>
      <w:r w:rsidRPr="00DE5DA7">
        <w:rPr>
          <w:rFonts w:ascii="Palatino Linotype" w:eastAsia="Palatino Linotype" w:hAnsi="Palatino Linotype" w:cs="Palatino Linotype"/>
          <w:color w:val="000000" w:themeColor="text1"/>
        </w:rPr>
        <w:t xml:space="preserve"> Se hace del conocimiento de</w:t>
      </w:r>
      <w:r w:rsidR="00DE5DA7">
        <w:rPr>
          <w:rFonts w:ascii="Palatino Linotype" w:eastAsia="Palatino Linotype" w:hAnsi="Palatino Linotype" w:cs="Palatino Linotype"/>
          <w:color w:val="000000" w:themeColor="text1"/>
        </w:rPr>
        <w:t xml:space="preserve">l </w:t>
      </w:r>
      <w:r w:rsidRPr="00DE5DA7">
        <w:rPr>
          <w:rFonts w:ascii="Palatino Linotype" w:eastAsia="Palatino Linotype" w:hAnsi="Palatino Linotype" w:cs="Palatino Linotype"/>
          <w:b/>
          <w:bCs/>
          <w:color w:val="000000" w:themeColor="text1"/>
        </w:rPr>
        <w:t>RECURRENTE</w:t>
      </w:r>
      <w:r w:rsidRPr="00DE5DA7">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DE5DA7" w:rsidRDefault="00DE5DA7" w:rsidP="00DE5DA7">
      <w:pPr>
        <w:spacing w:line="360" w:lineRule="auto"/>
        <w:jc w:val="both"/>
        <w:rPr>
          <w:rFonts w:ascii="Palatino Linotype" w:eastAsia="Palatino Linotype" w:hAnsi="Palatino Linotype" w:cs="Palatino Linotype"/>
          <w:color w:val="000000" w:themeColor="text1"/>
        </w:rPr>
      </w:pPr>
    </w:p>
    <w:p w:rsidR="00DE5DA7" w:rsidRPr="00DE5DA7" w:rsidRDefault="00DE5DA7" w:rsidP="00DE5DA7">
      <w:pPr>
        <w:spacing w:line="360" w:lineRule="auto"/>
        <w:jc w:val="both"/>
        <w:rPr>
          <w:rFonts w:ascii="Palatino Linotype" w:eastAsia="Palatino Linotype" w:hAnsi="Palatino Linotype" w:cs="Palatino Linotype"/>
          <w:color w:val="000000" w:themeColor="text1"/>
        </w:rPr>
      </w:pPr>
    </w:p>
    <w:p w:rsidR="00DE5DA7" w:rsidRPr="00444783" w:rsidRDefault="00DE5DA7" w:rsidP="00DE5DA7">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7D249D">
        <w:rPr>
          <w:rFonts w:ascii="Palatino Linotype" w:eastAsia="Palatino Linotype" w:hAnsi="Palatino Linotype" w:cs="Palatino Linotype"/>
        </w:rPr>
        <w:t xml:space="preserve"> </w:t>
      </w:r>
      <w:r w:rsidR="007D249D">
        <w:rPr>
          <w:rFonts w:ascii="Palatino Linotype" w:eastAsia="Palatino Linotype" w:hAnsi="Palatino Linotype" w:cs="Palatino Linotype"/>
          <w:color w:val="000000" w:themeColor="text1"/>
        </w:rPr>
        <w:t>EMITIENDO VOTO PARTICULAR</w:t>
      </w:r>
      <w:r w:rsidRPr="00575AE2">
        <w:rPr>
          <w:rFonts w:ascii="Palatino Linotype" w:eastAsia="Palatino Linotype" w:hAnsi="Palatino Linotype" w:cs="Palatino Linotype"/>
        </w:rPr>
        <w:t>, LUIS GUSTAVO PARRA NORIEGA Y GUADALUPE RAMÍREZ PEÑA</w:t>
      </w:r>
      <w:r w:rsidR="007D249D">
        <w:rPr>
          <w:rFonts w:ascii="Palatino Linotype" w:eastAsia="Palatino Linotype" w:hAnsi="Palatino Linotype" w:cs="Palatino Linotype"/>
        </w:rPr>
        <w:t xml:space="preserve"> </w:t>
      </w:r>
      <w:r w:rsidR="007D249D">
        <w:rPr>
          <w:rFonts w:ascii="Palatino Linotype" w:eastAsia="Palatino Linotype" w:hAnsi="Palatino Linotype" w:cs="Palatino Linotype"/>
          <w:color w:val="000000" w:themeColor="text1"/>
        </w:rPr>
        <w:t>EMITIENDO VOTO PARTICULAR</w:t>
      </w:r>
      <w:r w:rsidRPr="00575AE2">
        <w:rPr>
          <w:rFonts w:ascii="Palatino Linotype" w:eastAsia="Palatino Linotype" w:hAnsi="Palatino Linotype" w:cs="Palatino Linotype"/>
        </w:rPr>
        <w:t xml:space="preserve">; EN LA </w:t>
      </w:r>
      <w:r>
        <w:rPr>
          <w:rFonts w:ascii="Palatino Linotype" w:eastAsia="Palatino Linotype" w:hAnsi="Palatino Linotype" w:cs="Palatino Linotype"/>
        </w:rPr>
        <w:t xml:space="preserve">PRIMERA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CATORCE (14)</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ENERO D</w:t>
      </w:r>
      <w:r w:rsidRPr="00575AE2">
        <w:rPr>
          <w:rFonts w:ascii="Palatino Linotype" w:eastAsia="Palatino Linotype" w:hAnsi="Palatino Linotype" w:cs="Palatino Linotype"/>
        </w:rPr>
        <w:t>E DOS MIL VEINTI</w:t>
      </w:r>
      <w:r>
        <w:rPr>
          <w:rFonts w:ascii="Palatino Linotype" w:eastAsia="Palatino Linotype" w:hAnsi="Palatino Linotype" w:cs="Palatino Linotype"/>
        </w:rPr>
        <w:t>SÉIS,</w:t>
      </w:r>
      <w:r w:rsidRPr="00575AE2">
        <w:rPr>
          <w:rFonts w:ascii="Palatino Linotype" w:eastAsia="Palatino Linotype" w:hAnsi="Palatino Linotype" w:cs="Palatino Linotype"/>
        </w:rPr>
        <w:t xml:space="preserve"> ANTE EL SECRETARIO TÉCNICO DEL PLENO ALEXIS TAPIA RAMÍREZ.</w:t>
      </w: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407C73" w:rsidP="00DE5D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407C73" w:rsidP="00DE5DA7">
      <w:pPr>
        <w:spacing w:line="360" w:lineRule="auto"/>
        <w:jc w:val="both"/>
        <w:rPr>
          <w:rFonts w:ascii="Palatino Linotype" w:eastAsia="Palatino Linotype" w:hAnsi="Palatino Linotype" w:cs="Palatino Linotype"/>
          <w:color w:val="000000" w:themeColor="text1"/>
        </w:rPr>
      </w:pPr>
    </w:p>
    <w:p w:rsidR="00407C73" w:rsidRPr="00DE5DA7" w:rsidRDefault="00407C73" w:rsidP="00DE5DA7">
      <w:pPr>
        <w:spacing w:line="360" w:lineRule="auto"/>
        <w:rPr>
          <w:rFonts w:ascii="Palatino Linotype" w:eastAsia="Palatino Linotype" w:hAnsi="Palatino Linotype" w:cs="Palatino Linotype"/>
          <w:color w:val="000000" w:themeColor="text1"/>
        </w:rPr>
      </w:pPr>
    </w:p>
    <w:p w:rsidR="00407C73" w:rsidRPr="00DE5DA7" w:rsidRDefault="00407C73" w:rsidP="00DE5DA7">
      <w:pPr>
        <w:spacing w:line="360" w:lineRule="auto"/>
        <w:rPr>
          <w:rFonts w:ascii="Palatino Linotype" w:eastAsia="Palatino Linotype" w:hAnsi="Palatino Linotype" w:cs="Palatino Linotype"/>
          <w:color w:val="000000" w:themeColor="text1"/>
        </w:rPr>
      </w:pPr>
    </w:p>
    <w:p w:rsidR="00407C73" w:rsidRPr="00DE5DA7" w:rsidRDefault="00407C73" w:rsidP="00DE5DA7">
      <w:pPr>
        <w:spacing w:line="360" w:lineRule="auto"/>
        <w:rPr>
          <w:rFonts w:ascii="Palatino Linotype" w:eastAsia="Palatino Linotype" w:hAnsi="Palatino Linotype" w:cs="Palatino Linotype"/>
          <w:color w:val="000000" w:themeColor="text1"/>
        </w:rPr>
      </w:pPr>
    </w:p>
    <w:p w:rsidR="00407C73" w:rsidRPr="00DE5DA7" w:rsidRDefault="00407C73" w:rsidP="00DE5DA7">
      <w:pPr>
        <w:spacing w:line="360" w:lineRule="auto"/>
        <w:rPr>
          <w:rFonts w:ascii="Palatino Linotype" w:eastAsia="Palatino Linotype" w:hAnsi="Palatino Linotype" w:cs="Palatino Linotype"/>
          <w:color w:val="000000" w:themeColor="text1"/>
        </w:rPr>
      </w:pPr>
    </w:p>
    <w:p w:rsidR="00407C73" w:rsidRPr="00DE5DA7" w:rsidRDefault="00407C73" w:rsidP="00DE5DA7">
      <w:pPr>
        <w:spacing w:line="360" w:lineRule="auto"/>
        <w:rPr>
          <w:rFonts w:ascii="Palatino Linotype" w:eastAsia="Palatino Linotype" w:hAnsi="Palatino Linotype" w:cs="Palatino Linotype"/>
          <w:color w:val="000000" w:themeColor="text1"/>
        </w:rPr>
      </w:pPr>
    </w:p>
    <w:p w:rsidR="00407C73" w:rsidRPr="00DE5DA7" w:rsidRDefault="00407C73" w:rsidP="00DE5DA7">
      <w:pPr>
        <w:spacing w:line="360" w:lineRule="auto"/>
        <w:rPr>
          <w:rFonts w:ascii="Palatino Linotype" w:eastAsia="Palatino Linotype" w:hAnsi="Palatino Linotype" w:cs="Palatino Linotype"/>
          <w:color w:val="000000" w:themeColor="text1"/>
        </w:rPr>
      </w:pPr>
    </w:p>
    <w:p w:rsidR="00407C73" w:rsidRPr="00DE5DA7" w:rsidRDefault="00407C73" w:rsidP="00DE5DA7">
      <w:pPr>
        <w:spacing w:line="360" w:lineRule="auto"/>
        <w:rPr>
          <w:rFonts w:ascii="Palatino Linotype" w:eastAsia="Palatino Linotype" w:hAnsi="Palatino Linotype" w:cs="Palatino Linotype"/>
          <w:color w:val="000000" w:themeColor="text1"/>
        </w:rPr>
      </w:pPr>
    </w:p>
    <w:p w:rsidR="00407C73" w:rsidRPr="00DE5DA7" w:rsidRDefault="001B5844" w:rsidP="00DE5DA7">
      <w:pPr>
        <w:tabs>
          <w:tab w:val="left" w:pos="3374"/>
        </w:tabs>
        <w:spacing w:line="360" w:lineRule="auto"/>
        <w:rPr>
          <w:rFonts w:ascii="Palatino Linotype" w:eastAsia="Palatino Linotype" w:hAnsi="Palatino Linotype" w:cs="Palatino Linotype"/>
          <w:color w:val="000000" w:themeColor="text1"/>
        </w:rPr>
      </w:pPr>
      <w:r w:rsidRPr="00DE5DA7">
        <w:rPr>
          <w:rFonts w:ascii="Palatino Linotype" w:eastAsia="Palatino Linotype" w:hAnsi="Palatino Linotype" w:cs="Palatino Linotype"/>
          <w:color w:val="000000" w:themeColor="text1"/>
        </w:rPr>
        <w:tab/>
      </w:r>
    </w:p>
    <w:p w:rsidR="00407C73" w:rsidRPr="00DE5DA7" w:rsidRDefault="00407C73" w:rsidP="00DE5DA7">
      <w:pPr>
        <w:tabs>
          <w:tab w:val="left" w:pos="3374"/>
        </w:tabs>
        <w:spacing w:line="360" w:lineRule="auto"/>
        <w:rPr>
          <w:rFonts w:ascii="Palatino Linotype" w:eastAsia="Palatino Linotype" w:hAnsi="Palatino Linotype" w:cs="Palatino Linotype"/>
          <w:color w:val="000000" w:themeColor="text1"/>
        </w:rPr>
      </w:pPr>
    </w:p>
    <w:p w:rsidR="00407C73" w:rsidRPr="00DE5DA7" w:rsidRDefault="00407C73" w:rsidP="00DE5DA7">
      <w:pPr>
        <w:tabs>
          <w:tab w:val="left" w:pos="3374"/>
        </w:tabs>
        <w:spacing w:line="360" w:lineRule="auto"/>
        <w:rPr>
          <w:rFonts w:ascii="Palatino Linotype" w:eastAsia="Palatino Linotype" w:hAnsi="Palatino Linotype" w:cs="Palatino Linotype"/>
          <w:color w:val="000000" w:themeColor="text1"/>
        </w:rPr>
      </w:pPr>
    </w:p>
    <w:p w:rsidR="00407C73" w:rsidRPr="00DE5DA7" w:rsidRDefault="00407C73" w:rsidP="00DE5DA7">
      <w:pPr>
        <w:tabs>
          <w:tab w:val="left" w:pos="3374"/>
        </w:tabs>
        <w:spacing w:line="360" w:lineRule="auto"/>
        <w:rPr>
          <w:rFonts w:ascii="Palatino Linotype" w:eastAsia="Palatino Linotype" w:hAnsi="Palatino Linotype" w:cs="Palatino Linotype"/>
          <w:color w:val="000000" w:themeColor="text1"/>
        </w:rPr>
      </w:pPr>
    </w:p>
    <w:p w:rsidR="00407C73" w:rsidRPr="00DE5DA7" w:rsidRDefault="00407C73" w:rsidP="00DE5DA7">
      <w:pPr>
        <w:tabs>
          <w:tab w:val="left" w:pos="3374"/>
        </w:tabs>
        <w:spacing w:line="360" w:lineRule="auto"/>
        <w:rPr>
          <w:rFonts w:ascii="Palatino Linotype" w:eastAsia="Palatino Linotype" w:hAnsi="Palatino Linotype" w:cs="Palatino Linotype"/>
          <w:color w:val="000000" w:themeColor="text1"/>
        </w:rPr>
      </w:pPr>
    </w:p>
    <w:p w:rsidR="00407C73" w:rsidRPr="00DE5DA7" w:rsidRDefault="00407C73" w:rsidP="00DE5DA7">
      <w:pPr>
        <w:tabs>
          <w:tab w:val="left" w:pos="3374"/>
        </w:tabs>
        <w:spacing w:line="360" w:lineRule="auto"/>
        <w:rPr>
          <w:rFonts w:ascii="Palatino Linotype" w:eastAsia="Palatino Linotype" w:hAnsi="Palatino Linotype" w:cs="Palatino Linotype"/>
          <w:color w:val="000000" w:themeColor="text1"/>
        </w:rPr>
      </w:pPr>
    </w:p>
    <w:p w:rsidR="00407C73" w:rsidRPr="00DE5DA7" w:rsidRDefault="00407C73" w:rsidP="00DE5DA7">
      <w:pPr>
        <w:tabs>
          <w:tab w:val="left" w:pos="3374"/>
        </w:tabs>
        <w:spacing w:line="360" w:lineRule="auto"/>
        <w:rPr>
          <w:rFonts w:ascii="Palatino Linotype" w:eastAsia="Palatino Linotype" w:hAnsi="Palatino Linotype" w:cs="Palatino Linotype"/>
          <w:color w:val="000000" w:themeColor="text1"/>
        </w:rPr>
      </w:pPr>
    </w:p>
    <w:p w:rsidR="00407C73" w:rsidRPr="00DE5DA7" w:rsidRDefault="00407C73" w:rsidP="00DE5DA7">
      <w:pPr>
        <w:tabs>
          <w:tab w:val="left" w:pos="3374"/>
        </w:tabs>
        <w:spacing w:line="360" w:lineRule="auto"/>
        <w:rPr>
          <w:rFonts w:ascii="Palatino Linotype" w:eastAsia="Palatino Linotype" w:hAnsi="Palatino Linotype" w:cs="Palatino Linotype"/>
          <w:color w:val="000000" w:themeColor="text1"/>
        </w:rPr>
      </w:pPr>
    </w:p>
    <w:p w:rsidR="00407C73" w:rsidRPr="00DE5DA7" w:rsidRDefault="00407C73" w:rsidP="00DE5DA7">
      <w:pPr>
        <w:tabs>
          <w:tab w:val="left" w:pos="3374"/>
        </w:tabs>
        <w:spacing w:line="360" w:lineRule="auto"/>
        <w:rPr>
          <w:rFonts w:ascii="Palatino Linotype" w:eastAsia="Palatino Linotype" w:hAnsi="Palatino Linotype" w:cs="Palatino Linotype"/>
          <w:color w:val="000000" w:themeColor="text1"/>
        </w:rPr>
      </w:pPr>
    </w:p>
    <w:p w:rsidR="00407C73" w:rsidRPr="00DE5DA7" w:rsidRDefault="00407C73" w:rsidP="00DE5DA7">
      <w:pPr>
        <w:tabs>
          <w:tab w:val="left" w:pos="3374"/>
        </w:tabs>
        <w:spacing w:line="360" w:lineRule="auto"/>
        <w:rPr>
          <w:rFonts w:ascii="Palatino Linotype" w:eastAsia="Palatino Linotype" w:hAnsi="Palatino Linotype" w:cs="Palatino Linotype"/>
          <w:color w:val="000000" w:themeColor="text1"/>
        </w:rPr>
      </w:pPr>
    </w:p>
    <w:p w:rsidR="00407C73" w:rsidRPr="00DE5DA7" w:rsidRDefault="00407C73" w:rsidP="00DE5DA7">
      <w:pPr>
        <w:tabs>
          <w:tab w:val="left" w:pos="3374"/>
        </w:tabs>
        <w:spacing w:line="360" w:lineRule="auto"/>
        <w:rPr>
          <w:rFonts w:ascii="Palatino Linotype" w:eastAsia="Palatino Linotype" w:hAnsi="Palatino Linotype" w:cs="Palatino Linotype"/>
          <w:color w:val="000000" w:themeColor="text1"/>
        </w:rPr>
      </w:pPr>
    </w:p>
    <w:p w:rsidR="00407C73" w:rsidRPr="00DE5DA7" w:rsidRDefault="00407C73" w:rsidP="00DE5DA7">
      <w:pPr>
        <w:rPr>
          <w:rFonts w:ascii="Palatino Linotype" w:hAnsi="Palatino Linotype"/>
          <w:color w:val="000000" w:themeColor="text1"/>
        </w:rPr>
      </w:pPr>
    </w:p>
    <w:p w:rsidR="00407C73" w:rsidRPr="00DE5DA7" w:rsidRDefault="00407C73" w:rsidP="00DE5DA7">
      <w:pPr>
        <w:rPr>
          <w:rFonts w:ascii="Palatino Linotype" w:hAnsi="Palatino Linotype"/>
          <w:color w:val="000000" w:themeColor="text1"/>
        </w:rPr>
      </w:pPr>
    </w:p>
    <w:p w:rsidR="00407C73" w:rsidRPr="00DE5DA7" w:rsidRDefault="00407C73" w:rsidP="00DE5DA7">
      <w:pPr>
        <w:rPr>
          <w:rFonts w:ascii="Palatino Linotype" w:hAnsi="Palatino Linotype"/>
          <w:color w:val="000000" w:themeColor="text1"/>
        </w:rPr>
      </w:pPr>
    </w:p>
    <w:sectPr w:rsidR="00407C73" w:rsidRPr="00DE5DA7" w:rsidSect="00021D14">
      <w:headerReference w:type="even" r:id="rId23"/>
      <w:headerReference w:type="default" r:id="rId24"/>
      <w:footerReference w:type="default" r:id="rId25"/>
      <w:headerReference w:type="first" r:id="rId26"/>
      <w:footerReference w:type="first" r:id="rId27"/>
      <w:pgSz w:w="12240" w:h="15840"/>
      <w:pgMar w:top="2269" w:right="75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D96" w:rsidRDefault="00FE2D96">
      <w:r>
        <w:separator/>
      </w:r>
    </w:p>
  </w:endnote>
  <w:endnote w:type="continuationSeparator" w:id="0">
    <w:p w:rsidR="00FE2D96" w:rsidRDefault="00FE2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FFC3EC0D-807D-4B78-AA6A-DF948ADE00AB}"/>
    <w:embedBold r:id="rId2" w:fontKey="{77E96687-E7AA-4794-A9DF-C3B33E5A2B94}"/>
    <w:embedItalic r:id="rId3" w:fontKey="{04C7F429-B14D-4236-9CBC-457BEB5ADCD9}"/>
    <w:embedBoldItalic r:id="rId4" w:fontKey="{5FC69939-47F2-4822-8008-76EFFE4EF2C6}"/>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550CD8BB-5C43-4151-9322-36A592FFBAF3}"/>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934318FB-D143-4AC8-A352-2E48553F2F1B}"/>
    <w:embedBold r:id="rId7" w:fontKey="{110AF0DB-3DE6-4D7D-A87F-F0544E6DDD7C}"/>
  </w:font>
  <w:font w:name="Calibri Light">
    <w:panose1 w:val="020F0302020204030204"/>
    <w:charset w:val="00"/>
    <w:family w:val="swiss"/>
    <w:pitch w:val="variable"/>
    <w:sig w:usb0="E4002EFF" w:usb1="C200247B" w:usb2="00000009" w:usb3="00000000" w:csb0="000001FF" w:csb1="00000000"/>
    <w:embedRegular r:id="rId8" w:fontKey="{E104CFE6-D0C1-4289-9220-FE332CEDB6AE}"/>
  </w:font>
  <w:font w:name="Georgia">
    <w:panose1 w:val="02040502050405020303"/>
    <w:charset w:val="00"/>
    <w:family w:val="roman"/>
    <w:pitch w:val="variable"/>
    <w:sig w:usb0="00000287" w:usb1="00000000" w:usb2="00000000" w:usb3="00000000" w:csb0="0000009F" w:csb1="00000000"/>
    <w:embedItalic r:id="rId9" w:fontKey="{B96B6A26-7B88-4D2B-A6C5-A1B627EC5D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DA7" w:rsidRPr="00021D14" w:rsidRDefault="00DE5DA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021D14">
      <w:rPr>
        <w:rFonts w:ascii="Palatino Linotype" w:eastAsia="Palatino Linotype" w:hAnsi="Palatino Linotype" w:cs="Palatino Linotype"/>
        <w:color w:val="000000"/>
        <w:sz w:val="22"/>
        <w:szCs w:val="20"/>
      </w:rPr>
      <w:t xml:space="preserve">Página </w:t>
    </w:r>
    <w:r w:rsidRPr="00021D14">
      <w:rPr>
        <w:rFonts w:ascii="Palatino Linotype" w:eastAsia="Palatino Linotype" w:hAnsi="Palatino Linotype" w:cs="Palatino Linotype"/>
        <w:color w:val="000000"/>
        <w:sz w:val="22"/>
        <w:szCs w:val="20"/>
      </w:rPr>
      <w:fldChar w:fldCharType="begin"/>
    </w:r>
    <w:r w:rsidRPr="00021D14">
      <w:rPr>
        <w:rFonts w:ascii="Palatino Linotype" w:eastAsia="Palatino Linotype" w:hAnsi="Palatino Linotype" w:cs="Palatino Linotype"/>
        <w:color w:val="000000"/>
        <w:sz w:val="22"/>
        <w:szCs w:val="20"/>
      </w:rPr>
      <w:instrText>PAGE</w:instrText>
    </w:r>
    <w:r w:rsidRPr="00021D14">
      <w:rPr>
        <w:rFonts w:ascii="Palatino Linotype" w:eastAsia="Palatino Linotype" w:hAnsi="Palatino Linotype" w:cs="Palatino Linotype"/>
        <w:color w:val="000000"/>
        <w:sz w:val="22"/>
        <w:szCs w:val="20"/>
      </w:rPr>
      <w:fldChar w:fldCharType="separate"/>
    </w:r>
    <w:r w:rsidR="00B3452E">
      <w:rPr>
        <w:rFonts w:ascii="Palatino Linotype" w:eastAsia="Palatino Linotype" w:hAnsi="Palatino Linotype" w:cs="Palatino Linotype"/>
        <w:noProof/>
        <w:color w:val="000000"/>
        <w:sz w:val="22"/>
        <w:szCs w:val="20"/>
      </w:rPr>
      <w:t>4</w:t>
    </w:r>
    <w:r w:rsidRPr="00021D14">
      <w:rPr>
        <w:rFonts w:ascii="Palatino Linotype" w:eastAsia="Palatino Linotype" w:hAnsi="Palatino Linotype" w:cs="Palatino Linotype"/>
        <w:color w:val="000000"/>
        <w:sz w:val="22"/>
        <w:szCs w:val="20"/>
      </w:rPr>
      <w:fldChar w:fldCharType="end"/>
    </w:r>
    <w:r w:rsidRPr="00021D14">
      <w:rPr>
        <w:rFonts w:ascii="Palatino Linotype" w:eastAsia="Palatino Linotype" w:hAnsi="Palatino Linotype" w:cs="Palatino Linotype"/>
        <w:color w:val="000000"/>
        <w:sz w:val="22"/>
        <w:szCs w:val="20"/>
      </w:rPr>
      <w:t xml:space="preserve"> de </w:t>
    </w:r>
    <w:r w:rsidRPr="00021D14">
      <w:rPr>
        <w:rFonts w:ascii="Palatino Linotype" w:eastAsia="Palatino Linotype" w:hAnsi="Palatino Linotype" w:cs="Palatino Linotype"/>
        <w:color w:val="000000"/>
        <w:sz w:val="22"/>
        <w:szCs w:val="20"/>
      </w:rPr>
      <w:fldChar w:fldCharType="begin"/>
    </w:r>
    <w:r w:rsidRPr="00021D14">
      <w:rPr>
        <w:rFonts w:ascii="Palatino Linotype" w:eastAsia="Palatino Linotype" w:hAnsi="Palatino Linotype" w:cs="Palatino Linotype"/>
        <w:color w:val="000000"/>
        <w:sz w:val="22"/>
        <w:szCs w:val="20"/>
      </w:rPr>
      <w:instrText>NUMPAGES</w:instrText>
    </w:r>
    <w:r w:rsidRPr="00021D14">
      <w:rPr>
        <w:rFonts w:ascii="Palatino Linotype" w:eastAsia="Palatino Linotype" w:hAnsi="Palatino Linotype" w:cs="Palatino Linotype"/>
        <w:color w:val="000000"/>
        <w:sz w:val="22"/>
        <w:szCs w:val="20"/>
      </w:rPr>
      <w:fldChar w:fldCharType="separate"/>
    </w:r>
    <w:r w:rsidR="00B3452E">
      <w:rPr>
        <w:rFonts w:ascii="Palatino Linotype" w:eastAsia="Palatino Linotype" w:hAnsi="Palatino Linotype" w:cs="Palatino Linotype"/>
        <w:noProof/>
        <w:color w:val="000000"/>
        <w:sz w:val="22"/>
        <w:szCs w:val="20"/>
      </w:rPr>
      <w:t>65</w:t>
    </w:r>
    <w:r w:rsidRPr="00021D14">
      <w:rPr>
        <w:rFonts w:ascii="Palatino Linotype" w:eastAsia="Palatino Linotype" w:hAnsi="Palatino Linotype" w:cs="Palatino Linotype"/>
        <w:color w:val="000000"/>
        <w:sz w:val="22"/>
        <w:szCs w:val="20"/>
      </w:rPr>
      <w:fldChar w:fldCharType="end"/>
    </w:r>
  </w:p>
  <w:p w:rsidR="00DE5DA7" w:rsidRDefault="00DE5DA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DA7" w:rsidRPr="00021D14" w:rsidRDefault="00DE5DA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021D14">
      <w:rPr>
        <w:rFonts w:ascii="Palatino Linotype" w:eastAsia="Palatino Linotype" w:hAnsi="Palatino Linotype" w:cs="Palatino Linotype"/>
        <w:color w:val="000000"/>
        <w:sz w:val="22"/>
        <w:szCs w:val="20"/>
      </w:rPr>
      <w:t xml:space="preserve">Página </w:t>
    </w:r>
    <w:r w:rsidRPr="00021D14">
      <w:rPr>
        <w:rFonts w:ascii="Palatino Linotype" w:eastAsia="Palatino Linotype" w:hAnsi="Palatino Linotype" w:cs="Palatino Linotype"/>
        <w:color w:val="000000"/>
        <w:sz w:val="22"/>
        <w:szCs w:val="20"/>
      </w:rPr>
      <w:fldChar w:fldCharType="begin"/>
    </w:r>
    <w:r w:rsidRPr="00021D14">
      <w:rPr>
        <w:rFonts w:ascii="Palatino Linotype" w:eastAsia="Palatino Linotype" w:hAnsi="Palatino Linotype" w:cs="Palatino Linotype"/>
        <w:color w:val="000000"/>
        <w:sz w:val="22"/>
        <w:szCs w:val="20"/>
      </w:rPr>
      <w:instrText>PAGE</w:instrText>
    </w:r>
    <w:r w:rsidRPr="00021D14">
      <w:rPr>
        <w:rFonts w:ascii="Palatino Linotype" w:eastAsia="Palatino Linotype" w:hAnsi="Palatino Linotype" w:cs="Palatino Linotype"/>
        <w:color w:val="000000"/>
        <w:sz w:val="22"/>
        <w:szCs w:val="20"/>
      </w:rPr>
      <w:fldChar w:fldCharType="separate"/>
    </w:r>
    <w:r w:rsidR="00B3452E">
      <w:rPr>
        <w:rFonts w:ascii="Palatino Linotype" w:eastAsia="Palatino Linotype" w:hAnsi="Palatino Linotype" w:cs="Palatino Linotype"/>
        <w:noProof/>
        <w:color w:val="000000"/>
        <w:sz w:val="22"/>
        <w:szCs w:val="20"/>
      </w:rPr>
      <w:t>1</w:t>
    </w:r>
    <w:r w:rsidRPr="00021D14">
      <w:rPr>
        <w:rFonts w:ascii="Palatino Linotype" w:eastAsia="Palatino Linotype" w:hAnsi="Palatino Linotype" w:cs="Palatino Linotype"/>
        <w:color w:val="000000"/>
        <w:sz w:val="22"/>
        <w:szCs w:val="20"/>
      </w:rPr>
      <w:fldChar w:fldCharType="end"/>
    </w:r>
    <w:r w:rsidRPr="00021D14">
      <w:rPr>
        <w:rFonts w:ascii="Palatino Linotype" w:eastAsia="Palatino Linotype" w:hAnsi="Palatino Linotype" w:cs="Palatino Linotype"/>
        <w:color w:val="000000"/>
        <w:sz w:val="22"/>
        <w:szCs w:val="20"/>
      </w:rPr>
      <w:t xml:space="preserve"> de </w:t>
    </w:r>
    <w:r w:rsidRPr="00021D14">
      <w:rPr>
        <w:rFonts w:ascii="Palatino Linotype" w:eastAsia="Palatino Linotype" w:hAnsi="Palatino Linotype" w:cs="Palatino Linotype"/>
        <w:color w:val="000000"/>
        <w:sz w:val="22"/>
        <w:szCs w:val="20"/>
      </w:rPr>
      <w:fldChar w:fldCharType="begin"/>
    </w:r>
    <w:r w:rsidRPr="00021D14">
      <w:rPr>
        <w:rFonts w:ascii="Palatino Linotype" w:eastAsia="Palatino Linotype" w:hAnsi="Palatino Linotype" w:cs="Palatino Linotype"/>
        <w:color w:val="000000"/>
        <w:sz w:val="22"/>
        <w:szCs w:val="20"/>
      </w:rPr>
      <w:instrText>NUMPAGES</w:instrText>
    </w:r>
    <w:r w:rsidRPr="00021D14">
      <w:rPr>
        <w:rFonts w:ascii="Palatino Linotype" w:eastAsia="Palatino Linotype" w:hAnsi="Palatino Linotype" w:cs="Palatino Linotype"/>
        <w:color w:val="000000"/>
        <w:sz w:val="22"/>
        <w:szCs w:val="20"/>
      </w:rPr>
      <w:fldChar w:fldCharType="separate"/>
    </w:r>
    <w:r w:rsidR="00B3452E">
      <w:rPr>
        <w:rFonts w:ascii="Palatino Linotype" w:eastAsia="Palatino Linotype" w:hAnsi="Palatino Linotype" w:cs="Palatino Linotype"/>
        <w:noProof/>
        <w:color w:val="000000"/>
        <w:sz w:val="22"/>
        <w:szCs w:val="20"/>
      </w:rPr>
      <w:t>65</w:t>
    </w:r>
    <w:r w:rsidRPr="00021D14">
      <w:rPr>
        <w:rFonts w:ascii="Palatino Linotype" w:eastAsia="Palatino Linotype" w:hAnsi="Palatino Linotype" w:cs="Palatino Linotype"/>
        <w:color w:val="000000"/>
        <w:sz w:val="22"/>
        <w:szCs w:val="20"/>
      </w:rPr>
      <w:fldChar w:fldCharType="end"/>
    </w:r>
  </w:p>
  <w:p w:rsidR="00DE5DA7" w:rsidRDefault="00DE5DA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D96" w:rsidRDefault="00FE2D96">
      <w:r>
        <w:separator/>
      </w:r>
    </w:p>
  </w:footnote>
  <w:footnote w:type="continuationSeparator" w:id="0">
    <w:p w:rsidR="00FE2D96" w:rsidRDefault="00FE2D96">
      <w:r>
        <w:continuationSeparator/>
      </w:r>
    </w:p>
  </w:footnote>
  <w:footnote w:id="1">
    <w:p w:rsidR="00DE5DA7" w:rsidRDefault="00DE5DA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DE5DA7" w:rsidRDefault="00DE5DA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DE5DA7" w:rsidRDefault="00DE5DA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DE5DA7" w:rsidRDefault="00DE5DA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rsidR="00DE5DA7" w:rsidRDefault="00DE5DA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150. Ley de Transparencia y Acceso a la Información Pública del Estado de México y Municipios.</w:t>
      </w:r>
    </w:p>
    <w:p w:rsidR="00DE5DA7" w:rsidRDefault="00DE5DA7">
      <w:pPr>
        <w:pBdr>
          <w:top w:val="nil"/>
          <w:left w:val="nil"/>
          <w:bottom w:val="nil"/>
          <w:right w:val="nil"/>
          <w:between w:val="nil"/>
        </w:pBdr>
        <w:rPr>
          <w:color w:val="000000"/>
          <w:sz w:val="20"/>
          <w:szCs w:val="20"/>
        </w:rPr>
      </w:pPr>
      <w:r>
        <w:rPr>
          <w:color w:val="000000"/>
          <w:sz w:val="20"/>
          <w:szCs w:val="20"/>
        </w:rPr>
        <w:t>Artículo 151. Ibídem.</w:t>
      </w:r>
    </w:p>
  </w:footnote>
  <w:footnote w:id="6">
    <w:p w:rsidR="00DE5DA7" w:rsidRDefault="00DE5DA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DA7" w:rsidRDefault="00FE2D96">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512" w:type="dxa"/>
      <w:tblInd w:w="2268" w:type="dxa"/>
      <w:tblLayout w:type="fixed"/>
      <w:tblLook w:val="0400" w:firstRow="0" w:lastRow="0" w:firstColumn="0" w:lastColumn="0" w:noHBand="0" w:noVBand="1"/>
    </w:tblPr>
    <w:tblGrid>
      <w:gridCol w:w="2976"/>
      <w:gridCol w:w="4536"/>
    </w:tblGrid>
    <w:tr w:rsidR="00DE5DA7" w:rsidTr="00021D14">
      <w:trPr>
        <w:trHeight w:val="227"/>
      </w:trPr>
      <w:tc>
        <w:tcPr>
          <w:tcW w:w="2976" w:type="dxa"/>
          <w:vAlign w:val="center"/>
        </w:tcPr>
        <w:p w:rsidR="00DE5DA7" w:rsidRDefault="00DE5DA7">
          <w:pPr>
            <w:ind w:right="34"/>
            <w:jc w:val="right"/>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4536" w:type="dxa"/>
          <w:vAlign w:val="center"/>
        </w:tcPr>
        <w:p w:rsidR="00DE5DA7" w:rsidRPr="00DE5DA7" w:rsidRDefault="00DE5DA7" w:rsidP="00021D14">
          <w:pPr>
            <w:pBdr>
              <w:top w:val="nil"/>
              <w:left w:val="nil"/>
              <w:bottom w:val="nil"/>
              <w:right w:val="nil"/>
              <w:between w:val="nil"/>
            </w:pBdr>
            <w:tabs>
              <w:tab w:val="right" w:pos="8838"/>
            </w:tabs>
            <w:ind w:right="-71"/>
            <w:rPr>
              <w:rFonts w:ascii="Palatino Linotype" w:eastAsia="Palatino Linotype" w:hAnsi="Palatino Linotype" w:cs="Palatino Linotype"/>
              <w:bCs/>
              <w:color w:val="000000"/>
            </w:rPr>
          </w:pPr>
          <w:r w:rsidRPr="00DE5DA7">
            <w:rPr>
              <w:rFonts w:ascii="Palatino Linotype" w:eastAsia="Palatino Linotype" w:hAnsi="Palatino Linotype" w:cs="Palatino Linotype"/>
              <w:bCs/>
              <w:color w:val="000000"/>
            </w:rPr>
            <w:t>07643/INFOEM/IP/RR/2025</w:t>
          </w:r>
        </w:p>
      </w:tc>
    </w:tr>
    <w:tr w:rsidR="00DE5DA7" w:rsidTr="00021D14">
      <w:trPr>
        <w:trHeight w:val="242"/>
      </w:trPr>
      <w:tc>
        <w:tcPr>
          <w:tcW w:w="2976" w:type="dxa"/>
          <w:vAlign w:val="center"/>
        </w:tcPr>
        <w:p w:rsidR="00DE5DA7" w:rsidRDefault="00DE5DA7">
          <w:pPr>
            <w:ind w:right="34"/>
            <w:jc w:val="right"/>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p w:rsidR="00DE5DA7" w:rsidRDefault="00DE5DA7">
          <w:pPr>
            <w:ind w:right="34"/>
            <w:jc w:val="right"/>
            <w:rPr>
              <w:rFonts w:ascii="Palatino Linotype" w:eastAsia="Palatino Linotype" w:hAnsi="Palatino Linotype" w:cs="Palatino Linotype"/>
              <w:b/>
              <w:bCs/>
            </w:rPr>
          </w:pPr>
        </w:p>
        <w:p w:rsidR="00DE5DA7" w:rsidRDefault="00DE5DA7">
          <w:pPr>
            <w:ind w:right="34"/>
            <w:jc w:val="right"/>
            <w:rPr>
              <w:rFonts w:ascii="Palatino Linotype" w:eastAsia="Palatino Linotype" w:hAnsi="Palatino Linotype" w:cs="Palatino Linotype"/>
              <w:b/>
              <w:bCs/>
            </w:rPr>
          </w:pPr>
        </w:p>
        <w:p w:rsidR="00DE5DA7" w:rsidRDefault="00DE5DA7">
          <w:pPr>
            <w:ind w:right="34"/>
            <w:jc w:val="right"/>
            <w:rPr>
              <w:rFonts w:ascii="Palatino Linotype" w:eastAsia="Palatino Linotype" w:hAnsi="Palatino Linotype" w:cs="Palatino Linotype"/>
              <w:b/>
              <w:bCs/>
            </w:rPr>
          </w:pPr>
        </w:p>
        <w:p w:rsidR="00DE5DA7" w:rsidRDefault="00DE5DA7">
          <w:pPr>
            <w:ind w:right="34"/>
            <w:jc w:val="right"/>
            <w:rPr>
              <w:rFonts w:ascii="Palatino Linotype" w:eastAsia="Palatino Linotype" w:hAnsi="Palatino Linotype" w:cs="Palatino Linotype"/>
              <w:b/>
              <w:bCs/>
            </w:rPr>
          </w:pPr>
        </w:p>
      </w:tc>
      <w:tc>
        <w:tcPr>
          <w:tcW w:w="4536" w:type="dxa"/>
          <w:vAlign w:val="center"/>
        </w:tcPr>
        <w:p w:rsidR="00DE5DA7" w:rsidRPr="00DE5DA7" w:rsidRDefault="00DE5DA7" w:rsidP="00021D14">
          <w:pPr>
            <w:pBdr>
              <w:top w:val="nil"/>
              <w:left w:val="nil"/>
              <w:bottom w:val="nil"/>
              <w:right w:val="nil"/>
              <w:between w:val="nil"/>
            </w:pBdr>
            <w:tabs>
              <w:tab w:val="right" w:pos="8838"/>
            </w:tabs>
            <w:ind w:right="-71"/>
            <w:rPr>
              <w:rFonts w:ascii="Palatino Linotype" w:eastAsia="Palatino Linotype" w:hAnsi="Palatino Linotype" w:cs="Palatino Linotype"/>
              <w:bCs/>
              <w:color w:val="000000"/>
            </w:rPr>
          </w:pPr>
          <w:r w:rsidRPr="00DE5DA7">
            <w:rPr>
              <w:rFonts w:ascii="Palatino Linotype" w:eastAsia="Palatino Linotype" w:hAnsi="Palatino Linotype" w:cs="Palatino Linotype"/>
              <w:bCs/>
              <w:color w:val="000000"/>
            </w:rPr>
            <w:t>Organismo Público Descentralizado Municipal para la Prestación de Los Servicios de Agua Potable Alcantarillado y Saneamiento de Cuautitlán Izcalli denominado OPERAGUA, O.P.D.M.</w:t>
          </w:r>
        </w:p>
      </w:tc>
    </w:tr>
    <w:tr w:rsidR="00DE5DA7" w:rsidTr="00021D14">
      <w:trPr>
        <w:trHeight w:val="342"/>
      </w:trPr>
      <w:tc>
        <w:tcPr>
          <w:tcW w:w="2976" w:type="dxa"/>
          <w:vAlign w:val="center"/>
        </w:tcPr>
        <w:p w:rsidR="00DE5DA7" w:rsidRDefault="00DE5DA7">
          <w:pPr>
            <w:ind w:right="34"/>
            <w:jc w:val="right"/>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4536" w:type="dxa"/>
          <w:vAlign w:val="center"/>
        </w:tcPr>
        <w:p w:rsidR="00DE5DA7" w:rsidRPr="00DE5DA7" w:rsidRDefault="00DE5DA7" w:rsidP="00021D14">
          <w:pPr>
            <w:pBdr>
              <w:top w:val="nil"/>
              <w:left w:val="nil"/>
              <w:bottom w:val="nil"/>
              <w:right w:val="nil"/>
              <w:between w:val="nil"/>
            </w:pBdr>
            <w:tabs>
              <w:tab w:val="right" w:pos="8838"/>
            </w:tabs>
            <w:ind w:right="-71"/>
            <w:rPr>
              <w:rFonts w:ascii="Palatino Linotype" w:eastAsia="Palatino Linotype" w:hAnsi="Palatino Linotype" w:cs="Palatino Linotype"/>
              <w:bCs/>
              <w:color w:val="000000"/>
            </w:rPr>
          </w:pPr>
          <w:r w:rsidRPr="00DE5DA7">
            <w:rPr>
              <w:rFonts w:ascii="Palatino Linotype" w:eastAsia="Palatino Linotype" w:hAnsi="Palatino Linotype" w:cs="Palatino Linotype"/>
              <w:bCs/>
              <w:color w:val="000000"/>
            </w:rPr>
            <w:t>María del Rosario Mejía Ayala</w:t>
          </w:r>
        </w:p>
      </w:tc>
    </w:tr>
  </w:tbl>
  <w:p w:rsidR="00DE5DA7" w:rsidRDefault="00FE2D96">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76.45pt;margin-top:-160.95pt;width:609.4pt;height:793.75pt;z-index:-251659776;mso-position-horizontal-relative:margin;mso-position-vertical-relative:margin">
          <v:imagedata r:id="rId1" o:title="image8"/>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654" w:type="dxa"/>
      <w:tblInd w:w="2127" w:type="dxa"/>
      <w:tblLayout w:type="fixed"/>
      <w:tblLook w:val="0400" w:firstRow="0" w:lastRow="0" w:firstColumn="0" w:lastColumn="0" w:noHBand="0" w:noVBand="1"/>
    </w:tblPr>
    <w:tblGrid>
      <w:gridCol w:w="2977"/>
      <w:gridCol w:w="4677"/>
    </w:tblGrid>
    <w:tr w:rsidR="00DE5DA7" w:rsidTr="00021D14">
      <w:trPr>
        <w:trHeight w:val="227"/>
      </w:trPr>
      <w:tc>
        <w:tcPr>
          <w:tcW w:w="2977" w:type="dxa"/>
          <w:vAlign w:val="center"/>
        </w:tcPr>
        <w:p w:rsidR="00DE5DA7" w:rsidRDefault="00DE5DA7" w:rsidP="00DE5DA7">
          <w:pPr>
            <w:jc w:val="right"/>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4677" w:type="dxa"/>
          <w:vAlign w:val="center"/>
        </w:tcPr>
        <w:p w:rsidR="00DE5DA7" w:rsidRPr="00DE5DA7" w:rsidRDefault="00DE5DA7" w:rsidP="00021D14">
          <w:pPr>
            <w:pBdr>
              <w:top w:val="nil"/>
              <w:left w:val="nil"/>
              <w:bottom w:val="nil"/>
              <w:right w:val="nil"/>
              <w:between w:val="nil"/>
            </w:pBdr>
            <w:tabs>
              <w:tab w:val="right" w:pos="8838"/>
            </w:tabs>
            <w:rPr>
              <w:rFonts w:ascii="Palatino Linotype" w:eastAsia="Palatino Linotype" w:hAnsi="Palatino Linotype" w:cs="Palatino Linotype"/>
              <w:bCs/>
              <w:color w:val="000000"/>
            </w:rPr>
          </w:pPr>
          <w:r w:rsidRPr="00DE5DA7">
            <w:rPr>
              <w:rFonts w:ascii="Palatino Linotype" w:eastAsia="Palatino Linotype" w:hAnsi="Palatino Linotype" w:cs="Palatino Linotype"/>
              <w:bCs/>
              <w:color w:val="000000"/>
            </w:rPr>
            <w:t>07643/INFOEM/IP/RR/2025</w:t>
          </w:r>
        </w:p>
      </w:tc>
    </w:tr>
    <w:tr w:rsidR="00DE5DA7" w:rsidTr="00021D14">
      <w:trPr>
        <w:trHeight w:val="242"/>
      </w:trPr>
      <w:tc>
        <w:tcPr>
          <w:tcW w:w="2977" w:type="dxa"/>
          <w:vAlign w:val="center"/>
        </w:tcPr>
        <w:p w:rsidR="00DE5DA7" w:rsidRDefault="00DE5DA7" w:rsidP="00DE5DA7">
          <w:pPr>
            <w:jc w:val="right"/>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4677" w:type="dxa"/>
        </w:tcPr>
        <w:p w:rsidR="00DE5DA7" w:rsidRPr="00DE5DA7" w:rsidRDefault="00B3452E" w:rsidP="00021D14">
          <w:pPr>
            <w:pBdr>
              <w:top w:val="nil"/>
              <w:left w:val="nil"/>
              <w:bottom w:val="nil"/>
              <w:right w:val="nil"/>
              <w:between w:val="nil"/>
            </w:pBdr>
            <w:tabs>
              <w:tab w:val="right" w:pos="8838"/>
              <w:tab w:val="left" w:pos="521"/>
            </w:tabs>
            <w:rPr>
              <w:rFonts w:ascii="Palatino Linotype" w:eastAsia="Palatino Linotype" w:hAnsi="Palatino Linotype" w:cs="Palatino Linotype"/>
              <w:bCs/>
              <w:color w:val="000000"/>
            </w:rPr>
          </w:pPr>
          <w:r>
            <w:rPr>
              <w:rFonts w:ascii="Palatino Linotype" w:eastAsia="Palatino Linotype" w:hAnsi="Palatino Linotype" w:cs="Palatino Linotype"/>
              <w:bCs/>
              <w:color w:val="000000"/>
            </w:rPr>
            <w:t>XXXX</w:t>
          </w:r>
        </w:p>
      </w:tc>
    </w:tr>
    <w:tr w:rsidR="00DE5DA7" w:rsidTr="00021D14">
      <w:trPr>
        <w:trHeight w:val="342"/>
      </w:trPr>
      <w:tc>
        <w:tcPr>
          <w:tcW w:w="2977" w:type="dxa"/>
          <w:vAlign w:val="center"/>
        </w:tcPr>
        <w:p w:rsidR="00DE5DA7" w:rsidRDefault="00DE5DA7" w:rsidP="00DE5DA7">
          <w:pPr>
            <w:jc w:val="right"/>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p w:rsidR="00DE5DA7" w:rsidRDefault="00DE5DA7" w:rsidP="00DE5DA7">
          <w:pPr>
            <w:jc w:val="right"/>
            <w:rPr>
              <w:rFonts w:ascii="Palatino Linotype" w:eastAsia="Palatino Linotype" w:hAnsi="Palatino Linotype" w:cs="Palatino Linotype"/>
              <w:b/>
              <w:bCs/>
            </w:rPr>
          </w:pPr>
        </w:p>
        <w:p w:rsidR="00DE5DA7" w:rsidRDefault="00DE5DA7" w:rsidP="00DE5DA7">
          <w:pPr>
            <w:jc w:val="right"/>
            <w:rPr>
              <w:rFonts w:ascii="Palatino Linotype" w:eastAsia="Palatino Linotype" w:hAnsi="Palatino Linotype" w:cs="Palatino Linotype"/>
              <w:b/>
              <w:bCs/>
            </w:rPr>
          </w:pPr>
        </w:p>
        <w:p w:rsidR="00DE5DA7" w:rsidRDefault="00DE5DA7" w:rsidP="00DE5DA7">
          <w:pPr>
            <w:jc w:val="right"/>
            <w:rPr>
              <w:rFonts w:ascii="Palatino Linotype" w:eastAsia="Palatino Linotype" w:hAnsi="Palatino Linotype" w:cs="Palatino Linotype"/>
              <w:b/>
              <w:bCs/>
            </w:rPr>
          </w:pPr>
        </w:p>
        <w:p w:rsidR="00DE5DA7" w:rsidRDefault="00DE5DA7" w:rsidP="00DE5DA7">
          <w:pPr>
            <w:jc w:val="right"/>
            <w:rPr>
              <w:rFonts w:ascii="Palatino Linotype" w:eastAsia="Palatino Linotype" w:hAnsi="Palatino Linotype" w:cs="Palatino Linotype"/>
              <w:b/>
              <w:bCs/>
            </w:rPr>
          </w:pPr>
        </w:p>
      </w:tc>
      <w:tc>
        <w:tcPr>
          <w:tcW w:w="4677" w:type="dxa"/>
          <w:vAlign w:val="center"/>
        </w:tcPr>
        <w:p w:rsidR="00DE5DA7" w:rsidRPr="00DE5DA7" w:rsidRDefault="00DE5DA7" w:rsidP="00021D14">
          <w:pPr>
            <w:pBdr>
              <w:top w:val="nil"/>
              <w:left w:val="nil"/>
              <w:bottom w:val="nil"/>
              <w:right w:val="nil"/>
              <w:between w:val="nil"/>
            </w:pBdr>
            <w:tabs>
              <w:tab w:val="right" w:pos="8838"/>
            </w:tabs>
            <w:rPr>
              <w:rFonts w:ascii="Palatino Linotype" w:eastAsia="Palatino Linotype" w:hAnsi="Palatino Linotype" w:cs="Palatino Linotype"/>
              <w:bCs/>
              <w:color w:val="000000"/>
            </w:rPr>
          </w:pPr>
          <w:r w:rsidRPr="00DE5DA7">
            <w:rPr>
              <w:rFonts w:ascii="Palatino Linotype" w:eastAsia="Palatino Linotype" w:hAnsi="Palatino Linotype" w:cs="Palatino Linotype"/>
              <w:bCs/>
              <w:color w:val="000000"/>
            </w:rPr>
            <w:t>Organismo Público Descentralizado Municipal para la Prestación de Los Servicios de Agua Potable Alcantarillado y Saneamiento de Cuautitlán Izcalli denominado OPERAGUA, O.P.D.M.</w:t>
          </w:r>
        </w:p>
      </w:tc>
    </w:tr>
    <w:tr w:rsidR="00DE5DA7" w:rsidTr="00021D14">
      <w:trPr>
        <w:trHeight w:val="342"/>
      </w:trPr>
      <w:tc>
        <w:tcPr>
          <w:tcW w:w="2977" w:type="dxa"/>
          <w:vAlign w:val="center"/>
        </w:tcPr>
        <w:p w:rsidR="00DE5DA7" w:rsidRDefault="00DE5DA7" w:rsidP="00DE5DA7">
          <w:pPr>
            <w:jc w:val="right"/>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4677" w:type="dxa"/>
          <w:vAlign w:val="center"/>
        </w:tcPr>
        <w:p w:rsidR="00DE5DA7" w:rsidRPr="00DE5DA7" w:rsidRDefault="00DE5DA7" w:rsidP="00021D14">
          <w:pPr>
            <w:pBdr>
              <w:top w:val="nil"/>
              <w:left w:val="nil"/>
              <w:bottom w:val="nil"/>
              <w:right w:val="nil"/>
              <w:between w:val="nil"/>
            </w:pBdr>
            <w:tabs>
              <w:tab w:val="right" w:pos="8838"/>
            </w:tabs>
            <w:rPr>
              <w:rFonts w:ascii="Palatino Linotype" w:eastAsia="Palatino Linotype" w:hAnsi="Palatino Linotype" w:cs="Palatino Linotype"/>
              <w:bCs/>
              <w:color w:val="000000"/>
            </w:rPr>
          </w:pPr>
          <w:r w:rsidRPr="00DE5DA7">
            <w:rPr>
              <w:rFonts w:ascii="Palatino Linotype" w:eastAsia="Palatino Linotype" w:hAnsi="Palatino Linotype" w:cs="Palatino Linotype"/>
              <w:bCs/>
              <w:color w:val="000000"/>
            </w:rPr>
            <w:t>María del Rosario Mejía Ayala</w:t>
          </w:r>
        </w:p>
      </w:tc>
    </w:tr>
  </w:tbl>
  <w:p w:rsidR="00DE5DA7" w:rsidRDefault="00FE2D96">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77.7pt;margin-top:-165.1pt;width:609.4pt;height:793.75pt;z-index:-251658752;mso-position-horizontal-relative:margin;mso-position-vertical-relative:margin">
          <v:imagedata r:id="rId1" o:title="image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E609F"/>
    <w:multiLevelType w:val="multilevel"/>
    <w:tmpl w:val="37AE8302"/>
    <w:lvl w:ilvl="0">
      <w:start w:val="1"/>
      <w:numFmt w:val="lowerLetter"/>
      <w:lvlText w:val="%1."/>
      <w:lvlJc w:val="left"/>
      <w:pPr>
        <w:ind w:left="0" w:firstLine="0"/>
      </w:pPr>
      <w:rPr>
        <w:rFonts w:ascii="Palatino Linotype" w:eastAsia="Palatino Linotype" w:hAnsi="Palatino Linotype" w:cs="Palatino Linotyp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3E368F7"/>
    <w:multiLevelType w:val="multilevel"/>
    <w:tmpl w:val="48A20738"/>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5848B6"/>
    <w:multiLevelType w:val="multilevel"/>
    <w:tmpl w:val="834458FC"/>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BD6830"/>
    <w:multiLevelType w:val="multilevel"/>
    <w:tmpl w:val="854A05D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AA797C"/>
    <w:multiLevelType w:val="multilevel"/>
    <w:tmpl w:val="D676F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5B29ED"/>
    <w:multiLevelType w:val="multilevel"/>
    <w:tmpl w:val="5476AF5E"/>
    <w:lvl w:ilvl="0">
      <w:start w:val="1"/>
      <w:numFmt w:val="lowerLetter"/>
      <w:lvlText w:val="%1."/>
      <w:lvlJc w:val="left"/>
      <w:pPr>
        <w:ind w:left="0" w:firstLine="0"/>
      </w:pPr>
      <w:rPr>
        <w:rFonts w:ascii="Palatino Linotype" w:eastAsia="Palatino Linotype" w:hAnsi="Palatino Linotype" w:cs="Palatino Linotyp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F6F04AE"/>
    <w:multiLevelType w:val="multilevel"/>
    <w:tmpl w:val="58E268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07C78D4"/>
    <w:multiLevelType w:val="multilevel"/>
    <w:tmpl w:val="4B5EB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475568A"/>
    <w:multiLevelType w:val="multilevel"/>
    <w:tmpl w:val="6B1A3B5E"/>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A856F1A"/>
    <w:multiLevelType w:val="multilevel"/>
    <w:tmpl w:val="018217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5FC3BA6"/>
    <w:multiLevelType w:val="multilevel"/>
    <w:tmpl w:val="29841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AAC2941"/>
    <w:multiLevelType w:val="multilevel"/>
    <w:tmpl w:val="D3AE4B4A"/>
    <w:lvl w:ilvl="0">
      <w:start w:val="4"/>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EF8641F"/>
    <w:multiLevelType w:val="hybridMultilevel"/>
    <w:tmpl w:val="88965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8077671"/>
    <w:multiLevelType w:val="multilevel"/>
    <w:tmpl w:val="29A62D54"/>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6"/>
  </w:num>
  <w:num w:numId="2">
    <w:abstractNumId w:val="7"/>
  </w:num>
  <w:num w:numId="3">
    <w:abstractNumId w:val="3"/>
  </w:num>
  <w:num w:numId="4">
    <w:abstractNumId w:val="8"/>
  </w:num>
  <w:num w:numId="5">
    <w:abstractNumId w:val="11"/>
  </w:num>
  <w:num w:numId="6">
    <w:abstractNumId w:val="9"/>
  </w:num>
  <w:num w:numId="7">
    <w:abstractNumId w:val="1"/>
  </w:num>
  <w:num w:numId="8">
    <w:abstractNumId w:val="2"/>
  </w:num>
  <w:num w:numId="9">
    <w:abstractNumId w:val="4"/>
  </w:num>
  <w:num w:numId="10">
    <w:abstractNumId w:val="10"/>
  </w:num>
  <w:num w:numId="11">
    <w:abstractNumId w:val="5"/>
  </w:num>
  <w:num w:numId="12">
    <w:abstractNumId w:val="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C73"/>
    <w:rsid w:val="00021D14"/>
    <w:rsid w:val="00126292"/>
    <w:rsid w:val="001B5844"/>
    <w:rsid w:val="00407C73"/>
    <w:rsid w:val="00490CEF"/>
    <w:rsid w:val="00553680"/>
    <w:rsid w:val="00557C8E"/>
    <w:rsid w:val="005D1E5A"/>
    <w:rsid w:val="00663E8D"/>
    <w:rsid w:val="007D249D"/>
    <w:rsid w:val="008A3A6E"/>
    <w:rsid w:val="009E0305"/>
    <w:rsid w:val="00B3452E"/>
    <w:rsid w:val="00DE5DA7"/>
    <w:rsid w:val="00E71756"/>
    <w:rsid w:val="00FE2D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442E4A7-0BF7-453F-AFC2-56F89D005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E75B5"/>
      <w:sz w:val="32"/>
      <w:szCs w:val="32"/>
    </w:rPr>
  </w:style>
  <w:style w:type="paragraph" w:styleId="Ttulo2">
    <w:name w:val="heading 2"/>
    <w:basedOn w:val="Normal"/>
    <w:next w:val="Normal"/>
    <w:pPr>
      <w:keepNext/>
      <w:keepLines/>
      <w:spacing w:before="40"/>
      <w:outlineLvl w:val="1"/>
    </w:pPr>
    <w:rPr>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78122C"/>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uiPriority w:val="9"/>
    <w:rsid w:val="0078122C"/>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8122C"/>
    <w:pPr>
      <w:tabs>
        <w:tab w:val="center" w:pos="4419"/>
        <w:tab w:val="right" w:pos="8838"/>
      </w:tabs>
    </w:pPr>
  </w:style>
  <w:style w:type="character" w:customStyle="1" w:styleId="EncabezadoCar">
    <w:name w:val="Encabezado Car"/>
    <w:basedOn w:val="Fuentedeprrafopredeter"/>
    <w:link w:val="Encabezado"/>
    <w:uiPriority w:val="99"/>
    <w:rsid w:val="0078122C"/>
    <w:rPr>
      <w:rFonts w:eastAsiaTheme="minorEastAsia"/>
      <w:sz w:val="24"/>
      <w:szCs w:val="24"/>
      <w:lang w:val="es-ES_tradnl" w:eastAsia="es-ES"/>
    </w:rPr>
  </w:style>
  <w:style w:type="paragraph" w:styleId="Piedepgina">
    <w:name w:val="footer"/>
    <w:basedOn w:val="Normal"/>
    <w:link w:val="PiedepginaCar"/>
    <w:uiPriority w:val="99"/>
    <w:unhideWhenUsed/>
    <w:rsid w:val="0078122C"/>
    <w:pPr>
      <w:tabs>
        <w:tab w:val="center" w:pos="4419"/>
        <w:tab w:val="right" w:pos="8838"/>
      </w:tabs>
    </w:pPr>
  </w:style>
  <w:style w:type="character" w:customStyle="1" w:styleId="PiedepginaCar">
    <w:name w:val="Pie de página Car"/>
    <w:basedOn w:val="Fuentedeprrafopredeter"/>
    <w:link w:val="Piedepgina"/>
    <w:uiPriority w:val="99"/>
    <w:rsid w:val="0078122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8122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8122C"/>
    <w:rPr>
      <w:rFonts w:eastAsiaTheme="minorEastAsia"/>
      <w:sz w:val="24"/>
      <w:szCs w:val="24"/>
      <w:lang w:val="es-ES_tradnl" w:eastAsia="es-ES"/>
    </w:rPr>
  </w:style>
  <w:style w:type="paragraph" w:styleId="Sangradetextonormal">
    <w:name w:val="Body Text Indent"/>
    <w:basedOn w:val="Normal"/>
    <w:link w:val="SangradetextonormalCar"/>
    <w:uiPriority w:val="99"/>
    <w:semiHidden/>
    <w:unhideWhenUsed/>
    <w:rsid w:val="0078122C"/>
    <w:pPr>
      <w:spacing w:after="120"/>
      <w:ind w:left="283"/>
    </w:pPr>
  </w:style>
  <w:style w:type="character" w:customStyle="1" w:styleId="SangradetextonormalCar">
    <w:name w:val="Sangría de texto normal Car"/>
    <w:basedOn w:val="Fuentedeprrafopredeter"/>
    <w:link w:val="Sangradetextonormal"/>
    <w:uiPriority w:val="99"/>
    <w:semiHidden/>
    <w:rsid w:val="0078122C"/>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78122C"/>
    <w:pPr>
      <w:spacing w:after="0"/>
      <w:ind w:left="360" w:firstLine="360"/>
    </w:pPr>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rsid w:val="0078122C"/>
    <w:rPr>
      <w:rFonts w:ascii="Times New Roman" w:eastAsia="Times New Roman" w:hAnsi="Times New Roman" w:cs="Times New Roman"/>
      <w:sz w:val="24"/>
      <w:szCs w:val="24"/>
      <w:lang w:val="es-ES" w:eastAsia="es-ES"/>
    </w:rPr>
  </w:style>
  <w:style w:type="character" w:customStyle="1" w:styleId="vkekvd">
    <w:name w:val="vkekvd"/>
    <w:basedOn w:val="Fuentedeprrafopredeter"/>
    <w:rsid w:val="0078122C"/>
  </w:style>
  <w:style w:type="character" w:styleId="Hipervnculo">
    <w:name w:val="Hyperlink"/>
    <w:basedOn w:val="Fuentedeprrafopredeter"/>
    <w:uiPriority w:val="99"/>
    <w:unhideWhenUsed/>
    <w:rsid w:val="0078122C"/>
    <w:rPr>
      <w:color w:val="0563C1" w:themeColor="hyperlink"/>
      <w:u w:val="single"/>
    </w:rPr>
  </w:style>
  <w:style w:type="paragraph" w:styleId="Listaconvietas2">
    <w:name w:val="List Bullet 2"/>
    <w:basedOn w:val="Normal"/>
    <w:uiPriority w:val="99"/>
    <w:unhideWhenUsed/>
    <w:qFormat/>
    <w:rsid w:val="002C112D"/>
    <w:pPr>
      <w:numPr>
        <w:numId w:val="13"/>
      </w:numPr>
      <w:contextualSpacing/>
    </w:pPr>
    <w:rPr>
      <w:rFonts w:ascii="Times New Roman" w:eastAsia="Times New Roman" w:hAnsi="Times New Roman" w:cs="Times New Roman"/>
      <w:sz w:val="20"/>
      <w:szCs w:val="20"/>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67794.page" TargetMode="Externa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s://www.infoem.org.mx/sites/default/files/normatividad/jun143.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7.png"/><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drerN7lma/AEj88pGY8qYoq0mQ==">CgMxLjAyCGguZ2pkZ3hzMgloLjMwajB6bGwyDmguNGQ2ZWEzMXNveGd1Mg5oLnhjN2U1c2gzMDlrejIOaC5nbXNvMzNwMmJlMWEyCWguMnM4ZXlvMTIJaC4xN2RwOHZ1MgloLjNyZGNyam4yDmguYzFmNm5pa29ydDd6MghoLmxueGJ6OTIJaC40ZDM0b2c4OAByITF3RjMwZkNodE5NbGxKMUlJYXN6NGEwS00yY3EyZkxUQw==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65</Pages>
  <Words>14659</Words>
  <Characters>80627</Characters>
  <Application>Microsoft Office Word</Application>
  <DocSecurity>0</DocSecurity>
  <Lines>671</Lines>
  <Paragraphs>190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95096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10</cp:revision>
  <cp:lastPrinted>2026-01-16T16:25:00Z</cp:lastPrinted>
  <dcterms:created xsi:type="dcterms:W3CDTF">2026-01-12T18:31:00Z</dcterms:created>
  <dcterms:modified xsi:type="dcterms:W3CDTF">2026-01-29T19:53:00Z</dcterms:modified>
</cp:coreProperties>
</file>