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D9DD1" w14:textId="77777777" w:rsidR="00B52CFA" w:rsidRDefault="00B52CFA" w:rsidP="009E38E7">
      <w:pPr>
        <w:tabs>
          <w:tab w:val="left" w:pos="8931"/>
        </w:tabs>
        <w:spacing w:line="360" w:lineRule="auto"/>
        <w:ind w:left="8931" w:hanging="8931"/>
        <w:contextualSpacing/>
      </w:pPr>
      <w:bookmarkStart w:id="0" w:name="_Hlk215665293"/>
    </w:p>
    <w:sdt>
      <w:sdtPr>
        <w:rPr>
          <w:rFonts w:ascii="Palatino Linotype" w:eastAsia="Palatino Linotype" w:hAnsi="Palatino Linotype" w:cs="Palatino Linotype"/>
          <w:color w:val="000000" w:themeColor="text1"/>
          <w:sz w:val="22"/>
          <w:szCs w:val="22"/>
          <w:lang w:val="es-ES"/>
        </w:rPr>
        <w:id w:val="789625836"/>
        <w:docPartObj>
          <w:docPartGallery w:val="Table of Contents"/>
          <w:docPartUnique/>
        </w:docPartObj>
      </w:sdtPr>
      <w:sdtEndPr>
        <w:rPr>
          <w:rFonts w:ascii="Times New Roman" w:eastAsia="Times New Roman" w:hAnsi="Times New Roman" w:cs="Times New Roman"/>
          <w:b/>
          <w:bCs/>
          <w:color w:val="auto"/>
          <w:sz w:val="20"/>
          <w:szCs w:val="20"/>
        </w:rPr>
      </w:sdtEndPr>
      <w:sdtContent>
        <w:p w14:paraId="246C0A6F" w14:textId="77777777" w:rsidR="00B52CFA" w:rsidRDefault="00B52CFA" w:rsidP="00F600D4">
          <w:pPr>
            <w:pStyle w:val="TtuloTDC"/>
            <w:spacing w:before="0" w:line="360" w:lineRule="auto"/>
            <w:contextualSpacing/>
            <w:jc w:val="center"/>
            <w:rPr>
              <w:rFonts w:ascii="Palatino Linotype" w:eastAsia="Palatino Linotype" w:hAnsi="Palatino Linotype" w:cs="Palatino Linotype"/>
              <w:color w:val="000000" w:themeColor="text1"/>
              <w:sz w:val="22"/>
              <w:szCs w:val="22"/>
              <w:lang w:val="es-ES"/>
            </w:rPr>
          </w:pPr>
        </w:p>
        <w:p w14:paraId="5FD8FDF1" w14:textId="1CAE9D5D" w:rsidR="00B52CFA" w:rsidRPr="00F600D4" w:rsidRDefault="00B52CFA" w:rsidP="00F600D4">
          <w:pPr>
            <w:pStyle w:val="TtuloTDC"/>
            <w:spacing w:before="0" w:line="360" w:lineRule="auto"/>
            <w:contextualSpacing/>
            <w:jc w:val="center"/>
            <w:rPr>
              <w:rFonts w:ascii="Palatino Linotype" w:hAnsi="Palatino Linotype"/>
              <w:color w:val="auto"/>
              <w:sz w:val="22"/>
              <w:szCs w:val="22"/>
            </w:rPr>
          </w:pPr>
          <w:r w:rsidRPr="00F600D4">
            <w:rPr>
              <w:rFonts w:ascii="Palatino Linotype" w:hAnsi="Palatino Linotype"/>
              <w:color w:val="auto"/>
              <w:sz w:val="22"/>
              <w:szCs w:val="22"/>
              <w:lang w:val="es-ES"/>
            </w:rPr>
            <w:t xml:space="preserve">RESOLUCIÓN DEL RECURSO DE REVISIÓN </w:t>
          </w:r>
          <w:r w:rsidRPr="00F600D4">
            <w:rPr>
              <w:rFonts w:ascii="Palatino Linotype" w:hAnsi="Palatino Linotype"/>
              <w:color w:val="auto"/>
              <w:sz w:val="22"/>
              <w:szCs w:val="22"/>
            </w:rPr>
            <w:t>014676/INFOEM/IP/RR/2025</w:t>
          </w:r>
        </w:p>
        <w:p w14:paraId="2292FA8B" w14:textId="77777777" w:rsidR="00B52CFA" w:rsidRPr="00F600D4" w:rsidRDefault="00B52CFA" w:rsidP="00F600D4">
          <w:pPr>
            <w:spacing w:line="360" w:lineRule="auto"/>
            <w:contextualSpacing/>
            <w:jc w:val="both"/>
          </w:pPr>
        </w:p>
        <w:p w14:paraId="587B8439" w14:textId="126E8707" w:rsidR="00F53C8B" w:rsidRPr="00F53C8B" w:rsidRDefault="00B52CFA">
          <w:pPr>
            <w:pStyle w:val="TDC1"/>
            <w:tabs>
              <w:tab w:val="right" w:leader="dot" w:pos="8828"/>
            </w:tabs>
            <w:rPr>
              <w:rFonts w:asciiTheme="minorHAnsi" w:eastAsiaTheme="minorEastAsia" w:hAnsiTheme="minorHAnsi" w:cstheme="minorBidi"/>
              <w:noProof/>
              <w:color w:val="auto"/>
              <w:kern w:val="2"/>
              <w14:ligatures w14:val="standardContextual"/>
            </w:rPr>
          </w:pPr>
          <w:r w:rsidRPr="00F600D4">
            <w:fldChar w:fldCharType="begin"/>
          </w:r>
          <w:r w:rsidRPr="00F600D4">
            <w:instrText xml:space="preserve"> TOC \o "1-3" \h \z \u </w:instrText>
          </w:r>
          <w:r w:rsidRPr="00F600D4">
            <w:fldChar w:fldCharType="separate"/>
          </w:r>
          <w:hyperlink w:anchor="_Toc223020139" w:history="1">
            <w:r w:rsidR="00F53C8B" w:rsidRPr="00F53C8B">
              <w:rPr>
                <w:rStyle w:val="Hipervnculo"/>
                <w:noProof/>
              </w:rPr>
              <w:t>A N T E C E D E N T E S</w:t>
            </w:r>
            <w:r w:rsidR="00F53C8B" w:rsidRPr="00F53C8B">
              <w:rPr>
                <w:noProof/>
                <w:webHidden/>
              </w:rPr>
              <w:tab/>
            </w:r>
            <w:r w:rsidR="00F53C8B" w:rsidRPr="00F53C8B">
              <w:rPr>
                <w:noProof/>
                <w:webHidden/>
              </w:rPr>
              <w:fldChar w:fldCharType="begin"/>
            </w:r>
            <w:r w:rsidR="00F53C8B" w:rsidRPr="00F53C8B">
              <w:rPr>
                <w:noProof/>
                <w:webHidden/>
              </w:rPr>
              <w:instrText xml:space="preserve"> PAGEREF _Toc223020139 \h </w:instrText>
            </w:r>
            <w:r w:rsidR="00F53C8B" w:rsidRPr="00F53C8B">
              <w:rPr>
                <w:noProof/>
                <w:webHidden/>
              </w:rPr>
            </w:r>
            <w:r w:rsidR="00F53C8B" w:rsidRPr="00F53C8B">
              <w:rPr>
                <w:noProof/>
                <w:webHidden/>
              </w:rPr>
              <w:fldChar w:fldCharType="separate"/>
            </w:r>
            <w:r w:rsidR="00F53C8B" w:rsidRPr="00F53C8B">
              <w:rPr>
                <w:noProof/>
                <w:webHidden/>
              </w:rPr>
              <w:t>2</w:t>
            </w:r>
            <w:r w:rsidR="00F53C8B" w:rsidRPr="00F53C8B">
              <w:rPr>
                <w:noProof/>
                <w:webHidden/>
              </w:rPr>
              <w:fldChar w:fldCharType="end"/>
            </w:r>
          </w:hyperlink>
        </w:p>
        <w:p w14:paraId="158C5CC8" w14:textId="38E17C0A" w:rsidR="00F53C8B" w:rsidRPr="00F53C8B" w:rsidRDefault="00F53C8B">
          <w:pPr>
            <w:pStyle w:val="TDC2"/>
            <w:tabs>
              <w:tab w:val="right" w:leader="dot" w:pos="8828"/>
            </w:tabs>
            <w:rPr>
              <w:rFonts w:asciiTheme="minorHAnsi" w:eastAsiaTheme="minorEastAsia" w:hAnsiTheme="minorHAnsi" w:cstheme="minorBidi"/>
              <w:noProof/>
              <w:color w:val="auto"/>
              <w:kern w:val="2"/>
              <w14:ligatures w14:val="standardContextual"/>
            </w:rPr>
          </w:pPr>
          <w:hyperlink w:anchor="_Toc223020140" w:history="1">
            <w:r w:rsidRPr="00F53C8B">
              <w:rPr>
                <w:rStyle w:val="Hipervnculo"/>
                <w:noProof/>
              </w:rPr>
              <w:t>I. Presentación de la solicitud de información</w:t>
            </w:r>
            <w:r w:rsidRPr="00F53C8B">
              <w:rPr>
                <w:noProof/>
                <w:webHidden/>
              </w:rPr>
              <w:tab/>
            </w:r>
            <w:r w:rsidRPr="00F53C8B">
              <w:rPr>
                <w:noProof/>
                <w:webHidden/>
              </w:rPr>
              <w:fldChar w:fldCharType="begin"/>
            </w:r>
            <w:r w:rsidRPr="00F53C8B">
              <w:rPr>
                <w:noProof/>
                <w:webHidden/>
              </w:rPr>
              <w:instrText xml:space="preserve"> PAGEREF _Toc223020140 \h </w:instrText>
            </w:r>
            <w:r w:rsidRPr="00F53C8B">
              <w:rPr>
                <w:noProof/>
                <w:webHidden/>
              </w:rPr>
            </w:r>
            <w:r w:rsidRPr="00F53C8B">
              <w:rPr>
                <w:noProof/>
                <w:webHidden/>
              </w:rPr>
              <w:fldChar w:fldCharType="separate"/>
            </w:r>
            <w:r w:rsidRPr="00F53C8B">
              <w:rPr>
                <w:noProof/>
                <w:webHidden/>
              </w:rPr>
              <w:t>2</w:t>
            </w:r>
            <w:r w:rsidRPr="00F53C8B">
              <w:rPr>
                <w:noProof/>
                <w:webHidden/>
              </w:rPr>
              <w:fldChar w:fldCharType="end"/>
            </w:r>
          </w:hyperlink>
        </w:p>
        <w:p w14:paraId="44D0185B" w14:textId="35E8DD01" w:rsidR="00F53C8B" w:rsidRPr="00F53C8B" w:rsidRDefault="00F53C8B">
          <w:pPr>
            <w:pStyle w:val="TDC2"/>
            <w:tabs>
              <w:tab w:val="right" w:leader="dot" w:pos="8828"/>
            </w:tabs>
            <w:rPr>
              <w:rFonts w:asciiTheme="minorHAnsi" w:eastAsiaTheme="minorEastAsia" w:hAnsiTheme="minorHAnsi" w:cstheme="minorBidi"/>
              <w:noProof/>
              <w:color w:val="auto"/>
              <w:kern w:val="2"/>
              <w14:ligatures w14:val="standardContextual"/>
            </w:rPr>
          </w:pPr>
          <w:hyperlink w:anchor="_Toc223020141" w:history="1">
            <w:r w:rsidRPr="00F53C8B">
              <w:rPr>
                <w:rStyle w:val="Hipervnculo"/>
                <w:noProof/>
              </w:rPr>
              <w:t>II. Respuesta del Sujeto Obligado</w:t>
            </w:r>
            <w:r w:rsidRPr="00F53C8B">
              <w:rPr>
                <w:noProof/>
                <w:webHidden/>
              </w:rPr>
              <w:tab/>
            </w:r>
            <w:r w:rsidRPr="00F53C8B">
              <w:rPr>
                <w:noProof/>
                <w:webHidden/>
              </w:rPr>
              <w:fldChar w:fldCharType="begin"/>
            </w:r>
            <w:r w:rsidRPr="00F53C8B">
              <w:rPr>
                <w:noProof/>
                <w:webHidden/>
              </w:rPr>
              <w:instrText xml:space="preserve"> PAGEREF _Toc223020141 \h </w:instrText>
            </w:r>
            <w:r w:rsidRPr="00F53C8B">
              <w:rPr>
                <w:noProof/>
                <w:webHidden/>
              </w:rPr>
            </w:r>
            <w:r w:rsidRPr="00F53C8B">
              <w:rPr>
                <w:noProof/>
                <w:webHidden/>
              </w:rPr>
              <w:fldChar w:fldCharType="separate"/>
            </w:r>
            <w:r w:rsidRPr="00F53C8B">
              <w:rPr>
                <w:noProof/>
                <w:webHidden/>
              </w:rPr>
              <w:t>3</w:t>
            </w:r>
            <w:r w:rsidRPr="00F53C8B">
              <w:rPr>
                <w:noProof/>
                <w:webHidden/>
              </w:rPr>
              <w:fldChar w:fldCharType="end"/>
            </w:r>
          </w:hyperlink>
        </w:p>
        <w:p w14:paraId="7E4341A2" w14:textId="6E8ED946" w:rsidR="00F53C8B" w:rsidRPr="00F53C8B" w:rsidRDefault="00F53C8B">
          <w:pPr>
            <w:pStyle w:val="TDC2"/>
            <w:tabs>
              <w:tab w:val="right" w:leader="dot" w:pos="8828"/>
            </w:tabs>
            <w:rPr>
              <w:rFonts w:asciiTheme="minorHAnsi" w:eastAsiaTheme="minorEastAsia" w:hAnsiTheme="minorHAnsi" w:cstheme="minorBidi"/>
              <w:noProof/>
              <w:color w:val="auto"/>
              <w:kern w:val="2"/>
              <w14:ligatures w14:val="standardContextual"/>
            </w:rPr>
          </w:pPr>
          <w:hyperlink w:anchor="_Toc223020142" w:history="1">
            <w:r w:rsidRPr="00F53C8B">
              <w:rPr>
                <w:rStyle w:val="Hipervnculo"/>
                <w:noProof/>
              </w:rPr>
              <w:t>III. Interposición del Recurso de Revisión</w:t>
            </w:r>
            <w:r w:rsidRPr="00F53C8B">
              <w:rPr>
                <w:noProof/>
                <w:webHidden/>
              </w:rPr>
              <w:tab/>
            </w:r>
            <w:r w:rsidRPr="00F53C8B">
              <w:rPr>
                <w:noProof/>
                <w:webHidden/>
              </w:rPr>
              <w:fldChar w:fldCharType="begin"/>
            </w:r>
            <w:r w:rsidRPr="00F53C8B">
              <w:rPr>
                <w:noProof/>
                <w:webHidden/>
              </w:rPr>
              <w:instrText xml:space="preserve"> PAGEREF _Toc223020142 \h </w:instrText>
            </w:r>
            <w:r w:rsidRPr="00F53C8B">
              <w:rPr>
                <w:noProof/>
                <w:webHidden/>
              </w:rPr>
            </w:r>
            <w:r w:rsidRPr="00F53C8B">
              <w:rPr>
                <w:noProof/>
                <w:webHidden/>
              </w:rPr>
              <w:fldChar w:fldCharType="separate"/>
            </w:r>
            <w:r w:rsidRPr="00F53C8B">
              <w:rPr>
                <w:noProof/>
                <w:webHidden/>
              </w:rPr>
              <w:t>6</w:t>
            </w:r>
            <w:r w:rsidRPr="00F53C8B">
              <w:rPr>
                <w:noProof/>
                <w:webHidden/>
              </w:rPr>
              <w:fldChar w:fldCharType="end"/>
            </w:r>
          </w:hyperlink>
        </w:p>
        <w:p w14:paraId="7539D73D" w14:textId="6AD08FA1" w:rsidR="00F53C8B" w:rsidRPr="00F53C8B" w:rsidRDefault="00F53C8B">
          <w:pPr>
            <w:pStyle w:val="TDC2"/>
            <w:tabs>
              <w:tab w:val="right" w:leader="dot" w:pos="8828"/>
            </w:tabs>
            <w:rPr>
              <w:rFonts w:asciiTheme="minorHAnsi" w:eastAsiaTheme="minorEastAsia" w:hAnsiTheme="minorHAnsi" w:cstheme="minorBidi"/>
              <w:noProof/>
              <w:color w:val="auto"/>
              <w:kern w:val="2"/>
              <w14:ligatures w14:val="standardContextual"/>
            </w:rPr>
          </w:pPr>
          <w:hyperlink w:anchor="_Toc223020143" w:history="1">
            <w:r w:rsidRPr="00F53C8B">
              <w:rPr>
                <w:rStyle w:val="Hipervnculo"/>
                <w:noProof/>
              </w:rPr>
              <w:t>IV. Trámite del Recurso de Revisión ante este Instituto</w:t>
            </w:r>
            <w:r w:rsidRPr="00F53C8B">
              <w:rPr>
                <w:noProof/>
                <w:webHidden/>
              </w:rPr>
              <w:tab/>
            </w:r>
            <w:r w:rsidRPr="00F53C8B">
              <w:rPr>
                <w:noProof/>
                <w:webHidden/>
              </w:rPr>
              <w:fldChar w:fldCharType="begin"/>
            </w:r>
            <w:r w:rsidRPr="00F53C8B">
              <w:rPr>
                <w:noProof/>
                <w:webHidden/>
              </w:rPr>
              <w:instrText xml:space="preserve"> PAGEREF _Toc223020143 \h </w:instrText>
            </w:r>
            <w:r w:rsidRPr="00F53C8B">
              <w:rPr>
                <w:noProof/>
                <w:webHidden/>
              </w:rPr>
            </w:r>
            <w:r w:rsidRPr="00F53C8B">
              <w:rPr>
                <w:noProof/>
                <w:webHidden/>
              </w:rPr>
              <w:fldChar w:fldCharType="separate"/>
            </w:r>
            <w:r w:rsidRPr="00F53C8B">
              <w:rPr>
                <w:noProof/>
                <w:webHidden/>
              </w:rPr>
              <w:t>7</w:t>
            </w:r>
            <w:r w:rsidRPr="00F53C8B">
              <w:rPr>
                <w:noProof/>
                <w:webHidden/>
              </w:rPr>
              <w:fldChar w:fldCharType="end"/>
            </w:r>
          </w:hyperlink>
        </w:p>
        <w:p w14:paraId="470334DF" w14:textId="4567E081" w:rsidR="00F53C8B" w:rsidRPr="00F53C8B" w:rsidRDefault="00F53C8B">
          <w:pPr>
            <w:pStyle w:val="TDC1"/>
            <w:tabs>
              <w:tab w:val="right" w:leader="dot" w:pos="8828"/>
            </w:tabs>
            <w:rPr>
              <w:rFonts w:asciiTheme="minorHAnsi" w:eastAsiaTheme="minorEastAsia" w:hAnsiTheme="minorHAnsi" w:cstheme="minorBidi"/>
              <w:noProof/>
              <w:color w:val="auto"/>
              <w:kern w:val="2"/>
              <w14:ligatures w14:val="standardContextual"/>
            </w:rPr>
          </w:pPr>
          <w:hyperlink w:anchor="_Toc223020144" w:history="1">
            <w:r w:rsidRPr="00F53C8B">
              <w:rPr>
                <w:rStyle w:val="Hipervnculo"/>
                <w:noProof/>
              </w:rPr>
              <w:t>C O N S I D E R A N D O S</w:t>
            </w:r>
            <w:r w:rsidRPr="00F53C8B">
              <w:rPr>
                <w:noProof/>
                <w:webHidden/>
              </w:rPr>
              <w:tab/>
            </w:r>
            <w:r w:rsidRPr="00F53C8B">
              <w:rPr>
                <w:noProof/>
                <w:webHidden/>
              </w:rPr>
              <w:fldChar w:fldCharType="begin"/>
            </w:r>
            <w:r w:rsidRPr="00F53C8B">
              <w:rPr>
                <w:noProof/>
                <w:webHidden/>
              </w:rPr>
              <w:instrText xml:space="preserve"> PAGEREF _Toc223020144 \h </w:instrText>
            </w:r>
            <w:r w:rsidRPr="00F53C8B">
              <w:rPr>
                <w:noProof/>
                <w:webHidden/>
              </w:rPr>
            </w:r>
            <w:r w:rsidRPr="00F53C8B">
              <w:rPr>
                <w:noProof/>
                <w:webHidden/>
              </w:rPr>
              <w:fldChar w:fldCharType="separate"/>
            </w:r>
            <w:r w:rsidRPr="00F53C8B">
              <w:rPr>
                <w:noProof/>
                <w:webHidden/>
              </w:rPr>
              <w:t>10</w:t>
            </w:r>
            <w:r w:rsidRPr="00F53C8B">
              <w:rPr>
                <w:noProof/>
                <w:webHidden/>
              </w:rPr>
              <w:fldChar w:fldCharType="end"/>
            </w:r>
          </w:hyperlink>
        </w:p>
        <w:p w14:paraId="611036A3" w14:textId="3B777001" w:rsidR="00F53C8B" w:rsidRPr="00F53C8B" w:rsidRDefault="00F53C8B">
          <w:pPr>
            <w:pStyle w:val="TDC2"/>
            <w:tabs>
              <w:tab w:val="right" w:leader="dot" w:pos="8828"/>
            </w:tabs>
            <w:rPr>
              <w:rFonts w:asciiTheme="minorHAnsi" w:eastAsiaTheme="minorEastAsia" w:hAnsiTheme="minorHAnsi" w:cstheme="minorBidi"/>
              <w:noProof/>
              <w:color w:val="auto"/>
              <w:kern w:val="2"/>
              <w14:ligatures w14:val="standardContextual"/>
            </w:rPr>
          </w:pPr>
          <w:hyperlink w:anchor="_Toc223020145" w:history="1">
            <w:r w:rsidRPr="00F53C8B">
              <w:rPr>
                <w:rStyle w:val="Hipervnculo"/>
                <w:noProof/>
              </w:rPr>
              <w:t>PRIMERO. Competencia</w:t>
            </w:r>
            <w:r w:rsidRPr="00F53C8B">
              <w:rPr>
                <w:noProof/>
                <w:webHidden/>
              </w:rPr>
              <w:tab/>
            </w:r>
            <w:r w:rsidRPr="00F53C8B">
              <w:rPr>
                <w:noProof/>
                <w:webHidden/>
              </w:rPr>
              <w:fldChar w:fldCharType="begin"/>
            </w:r>
            <w:r w:rsidRPr="00F53C8B">
              <w:rPr>
                <w:noProof/>
                <w:webHidden/>
              </w:rPr>
              <w:instrText xml:space="preserve"> PAGEREF _Toc223020145 \h </w:instrText>
            </w:r>
            <w:r w:rsidRPr="00F53C8B">
              <w:rPr>
                <w:noProof/>
                <w:webHidden/>
              </w:rPr>
            </w:r>
            <w:r w:rsidRPr="00F53C8B">
              <w:rPr>
                <w:noProof/>
                <w:webHidden/>
              </w:rPr>
              <w:fldChar w:fldCharType="separate"/>
            </w:r>
            <w:r w:rsidRPr="00F53C8B">
              <w:rPr>
                <w:noProof/>
                <w:webHidden/>
              </w:rPr>
              <w:t>10</w:t>
            </w:r>
            <w:r w:rsidRPr="00F53C8B">
              <w:rPr>
                <w:noProof/>
                <w:webHidden/>
              </w:rPr>
              <w:fldChar w:fldCharType="end"/>
            </w:r>
          </w:hyperlink>
        </w:p>
        <w:p w14:paraId="460CED12" w14:textId="17B9452C" w:rsidR="00F53C8B" w:rsidRPr="00F53C8B" w:rsidRDefault="00F53C8B">
          <w:pPr>
            <w:pStyle w:val="TDC2"/>
            <w:tabs>
              <w:tab w:val="right" w:leader="dot" w:pos="8828"/>
            </w:tabs>
            <w:rPr>
              <w:rFonts w:asciiTheme="minorHAnsi" w:eastAsiaTheme="minorEastAsia" w:hAnsiTheme="minorHAnsi" w:cstheme="minorBidi"/>
              <w:noProof/>
              <w:color w:val="auto"/>
              <w:kern w:val="2"/>
              <w14:ligatures w14:val="standardContextual"/>
            </w:rPr>
          </w:pPr>
          <w:hyperlink w:anchor="_Toc223020146" w:history="1">
            <w:r w:rsidRPr="00F53C8B">
              <w:rPr>
                <w:rStyle w:val="Hipervnculo"/>
                <w:noProof/>
              </w:rPr>
              <w:t>SEGUNDO. Causales de improcedencia y sobreseimiento</w:t>
            </w:r>
            <w:r w:rsidRPr="00F53C8B">
              <w:rPr>
                <w:noProof/>
                <w:webHidden/>
              </w:rPr>
              <w:tab/>
            </w:r>
            <w:r w:rsidRPr="00F53C8B">
              <w:rPr>
                <w:noProof/>
                <w:webHidden/>
              </w:rPr>
              <w:fldChar w:fldCharType="begin"/>
            </w:r>
            <w:r w:rsidRPr="00F53C8B">
              <w:rPr>
                <w:noProof/>
                <w:webHidden/>
              </w:rPr>
              <w:instrText xml:space="preserve"> PAGEREF _Toc223020146 \h </w:instrText>
            </w:r>
            <w:r w:rsidRPr="00F53C8B">
              <w:rPr>
                <w:noProof/>
                <w:webHidden/>
              </w:rPr>
            </w:r>
            <w:r w:rsidRPr="00F53C8B">
              <w:rPr>
                <w:noProof/>
                <w:webHidden/>
              </w:rPr>
              <w:fldChar w:fldCharType="separate"/>
            </w:r>
            <w:r w:rsidRPr="00F53C8B">
              <w:rPr>
                <w:noProof/>
                <w:webHidden/>
              </w:rPr>
              <w:t>10</w:t>
            </w:r>
            <w:r w:rsidRPr="00F53C8B">
              <w:rPr>
                <w:noProof/>
                <w:webHidden/>
              </w:rPr>
              <w:fldChar w:fldCharType="end"/>
            </w:r>
          </w:hyperlink>
        </w:p>
        <w:p w14:paraId="78EFADEB" w14:textId="2A7C36B3" w:rsidR="00F53C8B" w:rsidRPr="00F53C8B" w:rsidRDefault="00F53C8B">
          <w:pPr>
            <w:pStyle w:val="TDC2"/>
            <w:tabs>
              <w:tab w:val="right" w:leader="dot" w:pos="8828"/>
            </w:tabs>
            <w:rPr>
              <w:rFonts w:asciiTheme="minorHAnsi" w:eastAsiaTheme="minorEastAsia" w:hAnsiTheme="minorHAnsi" w:cstheme="minorBidi"/>
              <w:noProof/>
              <w:color w:val="auto"/>
              <w:kern w:val="2"/>
              <w14:ligatures w14:val="standardContextual"/>
            </w:rPr>
          </w:pPr>
          <w:hyperlink w:anchor="_Toc223020147" w:history="1">
            <w:r w:rsidRPr="00F53C8B">
              <w:rPr>
                <w:rStyle w:val="Hipervnculo"/>
                <w:noProof/>
              </w:rPr>
              <w:t>TERCERO. Determinación de la Controversia</w:t>
            </w:r>
            <w:r w:rsidRPr="00F53C8B">
              <w:rPr>
                <w:noProof/>
                <w:webHidden/>
              </w:rPr>
              <w:tab/>
            </w:r>
            <w:r w:rsidRPr="00F53C8B">
              <w:rPr>
                <w:noProof/>
                <w:webHidden/>
              </w:rPr>
              <w:fldChar w:fldCharType="begin"/>
            </w:r>
            <w:r w:rsidRPr="00F53C8B">
              <w:rPr>
                <w:noProof/>
                <w:webHidden/>
              </w:rPr>
              <w:instrText xml:space="preserve"> PAGEREF _Toc223020147 \h </w:instrText>
            </w:r>
            <w:r w:rsidRPr="00F53C8B">
              <w:rPr>
                <w:noProof/>
                <w:webHidden/>
              </w:rPr>
            </w:r>
            <w:r w:rsidRPr="00F53C8B">
              <w:rPr>
                <w:noProof/>
                <w:webHidden/>
              </w:rPr>
              <w:fldChar w:fldCharType="separate"/>
            </w:r>
            <w:r w:rsidRPr="00F53C8B">
              <w:rPr>
                <w:noProof/>
                <w:webHidden/>
              </w:rPr>
              <w:t>15</w:t>
            </w:r>
            <w:r w:rsidRPr="00F53C8B">
              <w:rPr>
                <w:noProof/>
                <w:webHidden/>
              </w:rPr>
              <w:fldChar w:fldCharType="end"/>
            </w:r>
          </w:hyperlink>
        </w:p>
        <w:p w14:paraId="1DEFFD2B" w14:textId="0B8B1623" w:rsidR="00F53C8B" w:rsidRPr="00F53C8B" w:rsidRDefault="00F53C8B">
          <w:pPr>
            <w:pStyle w:val="TDC2"/>
            <w:tabs>
              <w:tab w:val="right" w:leader="dot" w:pos="8828"/>
            </w:tabs>
            <w:rPr>
              <w:rFonts w:asciiTheme="minorHAnsi" w:eastAsiaTheme="minorEastAsia" w:hAnsiTheme="minorHAnsi" w:cstheme="minorBidi"/>
              <w:noProof/>
              <w:color w:val="auto"/>
              <w:kern w:val="2"/>
              <w14:ligatures w14:val="standardContextual"/>
            </w:rPr>
          </w:pPr>
          <w:hyperlink w:anchor="_Toc223020148" w:history="1">
            <w:r w:rsidRPr="00F53C8B">
              <w:rPr>
                <w:rStyle w:val="Hipervnculo"/>
                <w:noProof/>
              </w:rPr>
              <w:t>CUARTO. Marco normativo aplicable en materia de transparencia y acceso a la información pública</w:t>
            </w:r>
            <w:r w:rsidRPr="00F53C8B">
              <w:rPr>
                <w:noProof/>
                <w:webHidden/>
              </w:rPr>
              <w:tab/>
            </w:r>
            <w:r w:rsidRPr="00F53C8B">
              <w:rPr>
                <w:noProof/>
                <w:webHidden/>
              </w:rPr>
              <w:fldChar w:fldCharType="begin"/>
            </w:r>
            <w:r w:rsidRPr="00F53C8B">
              <w:rPr>
                <w:noProof/>
                <w:webHidden/>
              </w:rPr>
              <w:instrText xml:space="preserve"> PAGEREF _Toc223020148 \h </w:instrText>
            </w:r>
            <w:r w:rsidRPr="00F53C8B">
              <w:rPr>
                <w:noProof/>
                <w:webHidden/>
              </w:rPr>
            </w:r>
            <w:r w:rsidRPr="00F53C8B">
              <w:rPr>
                <w:noProof/>
                <w:webHidden/>
              </w:rPr>
              <w:fldChar w:fldCharType="separate"/>
            </w:r>
            <w:r w:rsidRPr="00F53C8B">
              <w:rPr>
                <w:noProof/>
                <w:webHidden/>
              </w:rPr>
              <w:t>17</w:t>
            </w:r>
            <w:r w:rsidRPr="00F53C8B">
              <w:rPr>
                <w:noProof/>
                <w:webHidden/>
              </w:rPr>
              <w:fldChar w:fldCharType="end"/>
            </w:r>
          </w:hyperlink>
        </w:p>
        <w:p w14:paraId="1AD02A92" w14:textId="02D2F91B" w:rsidR="00F53C8B" w:rsidRPr="00F53C8B" w:rsidRDefault="00F53C8B">
          <w:pPr>
            <w:pStyle w:val="TDC2"/>
            <w:tabs>
              <w:tab w:val="right" w:leader="dot" w:pos="8828"/>
            </w:tabs>
            <w:rPr>
              <w:rFonts w:asciiTheme="minorHAnsi" w:eastAsiaTheme="minorEastAsia" w:hAnsiTheme="minorHAnsi" w:cstheme="minorBidi"/>
              <w:noProof/>
              <w:color w:val="auto"/>
              <w:kern w:val="2"/>
              <w14:ligatures w14:val="standardContextual"/>
            </w:rPr>
          </w:pPr>
          <w:hyperlink w:anchor="_Toc223020149" w:history="1">
            <w:r w:rsidRPr="00F53C8B">
              <w:rPr>
                <w:rStyle w:val="Hipervnculo"/>
                <w:noProof/>
              </w:rPr>
              <w:t>QUINTO. Estudio de Fondo</w:t>
            </w:r>
            <w:r w:rsidRPr="00F53C8B">
              <w:rPr>
                <w:noProof/>
                <w:webHidden/>
              </w:rPr>
              <w:tab/>
            </w:r>
            <w:r w:rsidRPr="00F53C8B">
              <w:rPr>
                <w:noProof/>
                <w:webHidden/>
              </w:rPr>
              <w:fldChar w:fldCharType="begin"/>
            </w:r>
            <w:r w:rsidRPr="00F53C8B">
              <w:rPr>
                <w:noProof/>
                <w:webHidden/>
              </w:rPr>
              <w:instrText xml:space="preserve"> PAGEREF _Toc223020149 \h </w:instrText>
            </w:r>
            <w:r w:rsidRPr="00F53C8B">
              <w:rPr>
                <w:noProof/>
                <w:webHidden/>
              </w:rPr>
            </w:r>
            <w:r w:rsidRPr="00F53C8B">
              <w:rPr>
                <w:noProof/>
                <w:webHidden/>
              </w:rPr>
              <w:fldChar w:fldCharType="separate"/>
            </w:r>
            <w:r w:rsidRPr="00F53C8B">
              <w:rPr>
                <w:noProof/>
                <w:webHidden/>
              </w:rPr>
              <w:t>18</w:t>
            </w:r>
            <w:r w:rsidRPr="00F53C8B">
              <w:rPr>
                <w:noProof/>
                <w:webHidden/>
              </w:rPr>
              <w:fldChar w:fldCharType="end"/>
            </w:r>
          </w:hyperlink>
        </w:p>
        <w:p w14:paraId="3EFDF59C" w14:textId="62C9AC54" w:rsidR="00F53C8B" w:rsidRPr="00F53C8B" w:rsidRDefault="00F53C8B">
          <w:pPr>
            <w:pStyle w:val="TDC2"/>
            <w:tabs>
              <w:tab w:val="right" w:leader="dot" w:pos="8828"/>
            </w:tabs>
            <w:rPr>
              <w:rFonts w:asciiTheme="minorHAnsi" w:eastAsiaTheme="minorEastAsia" w:hAnsiTheme="minorHAnsi" w:cstheme="minorBidi"/>
              <w:noProof/>
              <w:color w:val="auto"/>
              <w:kern w:val="2"/>
              <w14:ligatures w14:val="standardContextual"/>
            </w:rPr>
          </w:pPr>
          <w:hyperlink w:anchor="_Toc223020150" w:history="1">
            <w:r w:rsidRPr="00F53C8B">
              <w:rPr>
                <w:rStyle w:val="Hipervnculo"/>
                <w:noProof/>
              </w:rPr>
              <w:t>SEXTO. Decisión</w:t>
            </w:r>
            <w:r w:rsidRPr="00F53C8B">
              <w:rPr>
                <w:noProof/>
                <w:webHidden/>
              </w:rPr>
              <w:tab/>
            </w:r>
            <w:r w:rsidRPr="00F53C8B">
              <w:rPr>
                <w:noProof/>
                <w:webHidden/>
              </w:rPr>
              <w:fldChar w:fldCharType="begin"/>
            </w:r>
            <w:r w:rsidRPr="00F53C8B">
              <w:rPr>
                <w:noProof/>
                <w:webHidden/>
              </w:rPr>
              <w:instrText xml:space="preserve"> PAGEREF _Toc223020150 \h </w:instrText>
            </w:r>
            <w:r w:rsidRPr="00F53C8B">
              <w:rPr>
                <w:noProof/>
                <w:webHidden/>
              </w:rPr>
            </w:r>
            <w:r w:rsidRPr="00F53C8B">
              <w:rPr>
                <w:noProof/>
                <w:webHidden/>
              </w:rPr>
              <w:fldChar w:fldCharType="separate"/>
            </w:r>
            <w:r w:rsidRPr="00F53C8B">
              <w:rPr>
                <w:noProof/>
                <w:webHidden/>
              </w:rPr>
              <w:t>27</w:t>
            </w:r>
            <w:r w:rsidRPr="00F53C8B">
              <w:rPr>
                <w:noProof/>
                <w:webHidden/>
              </w:rPr>
              <w:fldChar w:fldCharType="end"/>
            </w:r>
          </w:hyperlink>
        </w:p>
        <w:p w14:paraId="2FC441F5" w14:textId="630C244B" w:rsidR="00F53C8B" w:rsidRPr="00F53C8B" w:rsidRDefault="00F53C8B">
          <w:pPr>
            <w:pStyle w:val="TDC1"/>
            <w:tabs>
              <w:tab w:val="right" w:leader="dot" w:pos="8828"/>
            </w:tabs>
            <w:rPr>
              <w:rFonts w:asciiTheme="minorHAnsi" w:eastAsiaTheme="minorEastAsia" w:hAnsiTheme="minorHAnsi" w:cstheme="minorBidi"/>
              <w:noProof/>
              <w:color w:val="auto"/>
              <w:kern w:val="2"/>
              <w14:ligatures w14:val="standardContextual"/>
            </w:rPr>
          </w:pPr>
          <w:hyperlink w:anchor="_Toc223020151" w:history="1">
            <w:r w:rsidRPr="00F53C8B">
              <w:rPr>
                <w:rStyle w:val="Hipervnculo"/>
                <w:rFonts w:eastAsia="Calibri"/>
                <w:noProof/>
              </w:rPr>
              <w:t>R E S U E L V E</w:t>
            </w:r>
            <w:r w:rsidRPr="00F53C8B">
              <w:rPr>
                <w:noProof/>
                <w:webHidden/>
              </w:rPr>
              <w:tab/>
            </w:r>
            <w:r w:rsidRPr="00F53C8B">
              <w:rPr>
                <w:noProof/>
                <w:webHidden/>
              </w:rPr>
              <w:fldChar w:fldCharType="begin"/>
            </w:r>
            <w:r w:rsidRPr="00F53C8B">
              <w:rPr>
                <w:noProof/>
                <w:webHidden/>
              </w:rPr>
              <w:instrText xml:space="preserve"> PAGEREF _Toc223020151 \h </w:instrText>
            </w:r>
            <w:r w:rsidRPr="00F53C8B">
              <w:rPr>
                <w:noProof/>
                <w:webHidden/>
              </w:rPr>
            </w:r>
            <w:r w:rsidRPr="00F53C8B">
              <w:rPr>
                <w:noProof/>
                <w:webHidden/>
              </w:rPr>
              <w:fldChar w:fldCharType="separate"/>
            </w:r>
            <w:r w:rsidRPr="00F53C8B">
              <w:rPr>
                <w:noProof/>
                <w:webHidden/>
              </w:rPr>
              <w:t>28</w:t>
            </w:r>
            <w:r w:rsidRPr="00F53C8B">
              <w:rPr>
                <w:noProof/>
                <w:webHidden/>
              </w:rPr>
              <w:fldChar w:fldCharType="end"/>
            </w:r>
          </w:hyperlink>
        </w:p>
        <w:p w14:paraId="67133820" w14:textId="17231724" w:rsidR="00B52CFA" w:rsidRDefault="00B52CFA" w:rsidP="00F600D4">
          <w:pPr>
            <w:widowControl w:val="0"/>
            <w:pBdr>
              <w:top w:val="nil"/>
              <w:left w:val="nil"/>
              <w:bottom w:val="nil"/>
              <w:right w:val="nil"/>
              <w:between w:val="nil"/>
            </w:pBdr>
            <w:spacing w:line="360" w:lineRule="auto"/>
            <w:ind w:left="720" w:hanging="720"/>
            <w:contextualSpacing/>
            <w:jc w:val="both"/>
          </w:pPr>
          <w:r w:rsidRPr="00F600D4">
            <w:rPr>
              <w:lang w:val="es-ES"/>
            </w:rPr>
            <w:fldChar w:fldCharType="end"/>
          </w:r>
        </w:p>
      </w:sdtContent>
    </w:sdt>
    <w:p w14:paraId="675D148A" w14:textId="77777777" w:rsidR="00B52CFA" w:rsidRDefault="00B52CFA" w:rsidP="009E38E7">
      <w:pPr>
        <w:keepNext/>
        <w:keepLines/>
        <w:pBdr>
          <w:top w:val="nil"/>
          <w:left w:val="nil"/>
          <w:bottom w:val="nil"/>
          <w:right w:val="nil"/>
          <w:between w:val="nil"/>
        </w:pBdr>
        <w:spacing w:line="360" w:lineRule="auto"/>
        <w:contextualSpacing/>
        <w:rPr>
          <w:rFonts w:ascii="Palatino Linotype" w:eastAsia="Palatino Linotype" w:hAnsi="Palatino Linotype" w:cs="Palatino Linotype"/>
          <w:color w:val="000000"/>
          <w:sz w:val="22"/>
          <w:szCs w:val="22"/>
        </w:rPr>
      </w:pPr>
      <w:bookmarkStart w:id="1" w:name="_heading=h.t77kwk8e2ch7" w:colFirst="0" w:colLast="0"/>
      <w:bookmarkEnd w:id="1"/>
    </w:p>
    <w:p w14:paraId="78E9E811" w14:textId="77777777" w:rsidR="00B52CFA" w:rsidRDefault="00B52CFA" w:rsidP="009E38E7">
      <w:pPr>
        <w:spacing w:line="360" w:lineRule="auto"/>
        <w:ind w:right="-28"/>
        <w:contextualSpacing/>
        <w:jc w:val="both"/>
        <w:rPr>
          <w:rFonts w:ascii="Palatino Linotype" w:eastAsia="Palatino Linotype" w:hAnsi="Palatino Linotype" w:cs="Palatino Linotype"/>
          <w:color w:val="000000"/>
          <w:sz w:val="22"/>
          <w:szCs w:val="22"/>
        </w:rPr>
      </w:pPr>
    </w:p>
    <w:p w14:paraId="4078D0A2" w14:textId="77777777" w:rsidR="00B52CFA" w:rsidRDefault="00B52CFA" w:rsidP="009E38E7">
      <w:pPr>
        <w:spacing w:line="360" w:lineRule="auto"/>
        <w:ind w:right="-28"/>
        <w:contextualSpacing/>
        <w:jc w:val="both"/>
        <w:rPr>
          <w:rFonts w:ascii="Palatino Linotype" w:eastAsia="Palatino Linotype" w:hAnsi="Palatino Linotype" w:cs="Palatino Linotype"/>
          <w:color w:val="000000"/>
          <w:sz w:val="22"/>
          <w:szCs w:val="22"/>
        </w:rPr>
      </w:pPr>
    </w:p>
    <w:p w14:paraId="75E8A573" w14:textId="77777777" w:rsidR="00B52CFA" w:rsidRDefault="00B52CFA" w:rsidP="009E38E7">
      <w:pPr>
        <w:spacing w:line="360" w:lineRule="auto"/>
        <w:ind w:right="-28"/>
        <w:contextualSpacing/>
        <w:jc w:val="both"/>
        <w:rPr>
          <w:rFonts w:ascii="Palatino Linotype" w:eastAsia="Palatino Linotype" w:hAnsi="Palatino Linotype" w:cs="Palatino Linotype"/>
          <w:color w:val="000000"/>
          <w:sz w:val="22"/>
          <w:szCs w:val="22"/>
        </w:rPr>
      </w:pPr>
    </w:p>
    <w:p w14:paraId="79201B5E" w14:textId="77777777" w:rsidR="00B52CFA" w:rsidRDefault="00B52CFA" w:rsidP="009E38E7">
      <w:pPr>
        <w:spacing w:line="360" w:lineRule="auto"/>
        <w:ind w:right="-28"/>
        <w:contextualSpacing/>
        <w:jc w:val="both"/>
        <w:rPr>
          <w:rFonts w:ascii="Palatino Linotype" w:eastAsia="Palatino Linotype" w:hAnsi="Palatino Linotype" w:cs="Palatino Linotype"/>
          <w:color w:val="000000"/>
          <w:sz w:val="22"/>
          <w:szCs w:val="22"/>
        </w:rPr>
      </w:pPr>
    </w:p>
    <w:p w14:paraId="5FC6E93F" w14:textId="77777777" w:rsidR="00B52CFA" w:rsidRDefault="00B52CFA" w:rsidP="009E38E7">
      <w:pPr>
        <w:spacing w:line="360" w:lineRule="auto"/>
        <w:ind w:right="-28"/>
        <w:contextualSpacing/>
        <w:jc w:val="both"/>
        <w:rPr>
          <w:rFonts w:ascii="Palatino Linotype" w:eastAsia="Palatino Linotype" w:hAnsi="Palatino Linotype" w:cs="Palatino Linotype"/>
          <w:color w:val="000000"/>
          <w:sz w:val="22"/>
          <w:szCs w:val="22"/>
        </w:rPr>
      </w:pPr>
    </w:p>
    <w:p w14:paraId="6CEEF8B7" w14:textId="77777777" w:rsidR="00B52CFA" w:rsidRDefault="00B52CFA" w:rsidP="009E38E7">
      <w:pPr>
        <w:spacing w:line="360" w:lineRule="auto"/>
        <w:ind w:right="-28"/>
        <w:contextualSpacing/>
        <w:jc w:val="both"/>
        <w:rPr>
          <w:rFonts w:ascii="Palatino Linotype" w:hAnsi="Palatino Linotype" w:cs="Tahoma"/>
          <w:sz w:val="22"/>
          <w:szCs w:val="22"/>
        </w:rPr>
      </w:pPr>
    </w:p>
    <w:p w14:paraId="26C874BA" w14:textId="77777777" w:rsidR="00B52CFA" w:rsidRPr="00633419" w:rsidRDefault="00B52CFA" w:rsidP="009E38E7">
      <w:pPr>
        <w:spacing w:line="360" w:lineRule="auto"/>
        <w:ind w:right="-28"/>
        <w:contextualSpacing/>
        <w:jc w:val="both"/>
        <w:rPr>
          <w:rFonts w:ascii="Palatino Linotype" w:hAnsi="Palatino Linotype" w:cs="Tahoma"/>
          <w:sz w:val="22"/>
          <w:szCs w:val="22"/>
        </w:rPr>
      </w:pPr>
    </w:p>
    <w:p w14:paraId="7332BAF1" w14:textId="60DFF640" w:rsidR="00B52CFA" w:rsidRDefault="00B52CFA" w:rsidP="009E38E7">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lastRenderedPageBreak/>
        <w:t>Resolución del Pleno del Instituto de Transparencia, Acceso a la Información Pública y Protección de Datos Personales del Estado de México y Municipios, con domicilio en Metepec, Estado de México, del veinti</w:t>
      </w:r>
      <w:r w:rsidR="00B024BC">
        <w:rPr>
          <w:rFonts w:ascii="Palatino Linotype" w:eastAsia="Palatino Linotype" w:hAnsi="Palatino Linotype" w:cs="Palatino Linotype"/>
          <w:sz w:val="22"/>
          <w:szCs w:val="22"/>
        </w:rPr>
        <w:t>cinco</w:t>
      </w:r>
      <w:r>
        <w:rPr>
          <w:rFonts w:ascii="Palatino Linotype" w:eastAsia="Palatino Linotype" w:hAnsi="Palatino Linotype" w:cs="Palatino Linotype"/>
          <w:sz w:val="22"/>
          <w:szCs w:val="22"/>
        </w:rPr>
        <w:t xml:space="preserve"> de febrero de dos mil veintiséis.</w:t>
      </w:r>
    </w:p>
    <w:p w14:paraId="7C3A924E" w14:textId="77777777" w:rsidR="00B52CFA" w:rsidRDefault="00B52CFA" w:rsidP="009E38E7">
      <w:pPr>
        <w:spacing w:line="360" w:lineRule="auto"/>
        <w:contextualSpacing/>
        <w:rPr>
          <w:rFonts w:ascii="Palatino Linotype" w:eastAsia="Palatino Linotype" w:hAnsi="Palatino Linotype" w:cs="Palatino Linotype"/>
          <w:sz w:val="22"/>
          <w:szCs w:val="22"/>
        </w:rPr>
      </w:pPr>
    </w:p>
    <w:p w14:paraId="6E0BA3C2" w14:textId="308BEB00" w:rsidR="00B52CFA" w:rsidRDefault="00B52CFA" w:rsidP="009E38E7">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b/>
          <w:color w:val="0D0D0D"/>
          <w:sz w:val="22"/>
          <w:szCs w:val="22"/>
        </w:rPr>
        <w:t xml:space="preserve">VISTO </w:t>
      </w:r>
      <w:r>
        <w:rPr>
          <w:rFonts w:ascii="Palatino Linotype" w:eastAsia="Palatino Linotype" w:hAnsi="Palatino Linotype" w:cs="Palatino Linotype"/>
          <w:color w:val="0D0D0D"/>
          <w:sz w:val="22"/>
          <w:szCs w:val="22"/>
        </w:rPr>
        <w:t xml:space="preserve">el expediente conformado con motivo del Recurso de Revisión </w:t>
      </w:r>
      <w:r w:rsidRPr="007E25E4">
        <w:rPr>
          <w:rFonts w:ascii="Palatino Linotype" w:eastAsia="Palatino Linotype" w:hAnsi="Palatino Linotype" w:cs="Palatino Linotype"/>
          <w:b/>
          <w:sz w:val="22"/>
          <w:szCs w:val="22"/>
        </w:rPr>
        <w:t>014676/INFOEM/IP/RR/2025,</w:t>
      </w:r>
      <w:r w:rsidRPr="007B5C5D">
        <w:rPr>
          <w:rFonts w:ascii="Palatino Linotype" w:eastAsia="Palatino Linotype" w:hAnsi="Palatino Linotype" w:cs="Palatino Linotype"/>
          <w:bCs/>
          <w:sz w:val="22"/>
          <w:szCs w:val="22"/>
        </w:rPr>
        <w:t xml:space="preserve"> </w:t>
      </w:r>
      <w:r w:rsidRPr="007B5C5D">
        <w:rPr>
          <w:rFonts w:ascii="Palatino Linotype" w:eastAsia="Palatino Linotype" w:hAnsi="Palatino Linotype" w:cs="Palatino Linotype"/>
          <w:bCs/>
          <w:color w:val="0D0D0D"/>
          <w:sz w:val="22"/>
          <w:szCs w:val="22"/>
        </w:rPr>
        <w:t xml:space="preserve">interpuesto por </w:t>
      </w:r>
      <w:r w:rsidR="001B7FC5" w:rsidRPr="001B7FC5">
        <w:rPr>
          <w:rFonts w:ascii="Palatino Linotype" w:eastAsia="Palatino Linotype" w:hAnsi="Palatino Linotype" w:cs="Palatino Linotype"/>
          <w:sz w:val="22"/>
          <w:szCs w:val="22"/>
          <w:highlight w:val="black"/>
        </w:rPr>
        <w:t>XXXXXXXXXXXXXXXXXXXXXXXXXXXX</w:t>
      </w:r>
      <w:r w:rsidR="001B7FC5">
        <w:rPr>
          <w:rFonts w:ascii="Palatino Linotype" w:eastAsia="Palatino Linotype" w:hAnsi="Palatino Linotype" w:cs="Palatino Linotype"/>
          <w:sz w:val="22"/>
          <w:szCs w:val="22"/>
        </w:rPr>
        <w:t xml:space="preserve"> </w:t>
      </w:r>
      <w:r>
        <w:rPr>
          <w:rFonts w:ascii="Palatino Linotype" w:eastAsia="Palatino Linotype" w:hAnsi="Palatino Linotype" w:cs="Palatino Linotype"/>
          <w:bCs/>
          <w:sz w:val="22"/>
          <w:szCs w:val="22"/>
        </w:rPr>
        <w:t>en lo sucesivo la</w:t>
      </w:r>
      <w:r w:rsidRPr="007B5C5D">
        <w:rPr>
          <w:rFonts w:ascii="Palatino Linotype" w:eastAsia="Palatino Linotype" w:hAnsi="Palatino Linotype" w:cs="Palatino Linotype"/>
          <w:bCs/>
          <w:sz w:val="22"/>
          <w:szCs w:val="22"/>
        </w:rPr>
        <w:t xml:space="preserve"> </w:t>
      </w:r>
      <w:r w:rsidRPr="007B5C5D">
        <w:rPr>
          <w:rFonts w:ascii="Palatino Linotype" w:eastAsia="Palatino Linotype" w:hAnsi="Palatino Linotype" w:cs="Palatino Linotype"/>
          <w:bCs/>
          <w:color w:val="0D0D0D"/>
          <w:sz w:val="22"/>
          <w:szCs w:val="22"/>
        </w:rPr>
        <w:t xml:space="preserve">Recurrente o Particular, en contra de la respuesta del Sujeto Obligado, </w:t>
      </w:r>
      <w:r w:rsidRPr="007E25E4">
        <w:rPr>
          <w:rFonts w:ascii="Palatino Linotype" w:eastAsia="Palatino Linotype" w:hAnsi="Palatino Linotype" w:cs="Palatino Linotype"/>
          <w:b/>
          <w:color w:val="0D0D0D"/>
          <w:sz w:val="22"/>
          <w:szCs w:val="22"/>
        </w:rPr>
        <w:t>Ayuntamiento de Ecatepec de Morelos</w:t>
      </w:r>
      <w:r w:rsidRPr="007B5C5D">
        <w:rPr>
          <w:rFonts w:ascii="Palatino Linotype" w:eastAsia="Palatino Linotype" w:hAnsi="Palatino Linotype" w:cs="Palatino Linotype"/>
          <w:bCs/>
          <w:color w:val="0D0D0D"/>
          <w:sz w:val="22"/>
          <w:szCs w:val="22"/>
        </w:rPr>
        <w:t>, a</w:t>
      </w:r>
      <w:r>
        <w:rPr>
          <w:rFonts w:ascii="Palatino Linotype" w:eastAsia="Palatino Linotype" w:hAnsi="Palatino Linotype" w:cs="Palatino Linotype"/>
          <w:color w:val="0D0D0D"/>
          <w:sz w:val="22"/>
          <w:szCs w:val="22"/>
        </w:rPr>
        <w:t xml:space="preserve"> la solicitud de acceso a la información pública </w:t>
      </w:r>
      <w:r w:rsidRPr="00B52CFA">
        <w:rPr>
          <w:rFonts w:ascii="Palatino Linotype" w:eastAsia="Palatino Linotype" w:hAnsi="Palatino Linotype" w:cs="Palatino Linotype"/>
          <w:sz w:val="22"/>
          <w:szCs w:val="22"/>
        </w:rPr>
        <w:t>00931/ECATEPEC/IP/2025</w:t>
      </w:r>
      <w:r>
        <w:rPr>
          <w:rFonts w:ascii="Palatino Linotype" w:eastAsia="Palatino Linotype" w:hAnsi="Palatino Linotype" w:cs="Palatino Linotype"/>
          <w:color w:val="0D0D0D"/>
          <w:sz w:val="22"/>
          <w:szCs w:val="22"/>
        </w:rPr>
        <w:t>, se emite la presente Resolución, con base en los Antecedentes y C</w:t>
      </w:r>
      <w:r>
        <w:rPr>
          <w:rFonts w:ascii="Palatino Linotype" w:eastAsia="Palatino Linotype" w:hAnsi="Palatino Linotype" w:cs="Palatino Linotype"/>
          <w:sz w:val="22"/>
          <w:szCs w:val="22"/>
        </w:rPr>
        <w:t>onsiderandos que a continuación se exponen:</w:t>
      </w:r>
    </w:p>
    <w:p w14:paraId="4F963932" w14:textId="77777777" w:rsidR="00B52CFA" w:rsidRDefault="00B52CFA" w:rsidP="009E38E7">
      <w:pPr>
        <w:spacing w:line="360" w:lineRule="auto"/>
        <w:contextualSpacing/>
        <w:jc w:val="both"/>
        <w:rPr>
          <w:rFonts w:ascii="Palatino Linotype" w:eastAsia="Palatino Linotype" w:hAnsi="Palatino Linotype" w:cs="Palatino Linotype"/>
          <w:sz w:val="22"/>
          <w:szCs w:val="22"/>
        </w:rPr>
      </w:pPr>
    </w:p>
    <w:p w14:paraId="511D0669" w14:textId="77777777" w:rsidR="00B52CFA" w:rsidRPr="00633419" w:rsidRDefault="00B52CFA" w:rsidP="009E38E7">
      <w:pPr>
        <w:pStyle w:val="Ttulo1"/>
        <w:spacing w:before="0" w:after="0" w:line="360" w:lineRule="auto"/>
        <w:contextualSpacing/>
        <w:jc w:val="center"/>
        <w:rPr>
          <w:rFonts w:ascii="Palatino Linotype" w:hAnsi="Palatino Linotype"/>
          <w:b/>
          <w:bCs/>
          <w:color w:val="auto"/>
          <w:sz w:val="22"/>
          <w:szCs w:val="22"/>
        </w:rPr>
      </w:pPr>
      <w:bookmarkStart w:id="2" w:name="_Toc223020139"/>
      <w:r w:rsidRPr="00633419">
        <w:rPr>
          <w:rFonts w:ascii="Palatino Linotype" w:hAnsi="Palatino Linotype"/>
          <w:b/>
          <w:bCs/>
          <w:color w:val="auto"/>
          <w:sz w:val="22"/>
          <w:szCs w:val="22"/>
        </w:rPr>
        <w:t>A N T E C E D E N T E S</w:t>
      </w:r>
      <w:bookmarkEnd w:id="2"/>
    </w:p>
    <w:p w14:paraId="618BBC6A" w14:textId="77777777" w:rsidR="00B52CFA" w:rsidRPr="007B5C5D" w:rsidRDefault="00B52CFA" w:rsidP="009E38E7">
      <w:pPr>
        <w:spacing w:line="360" w:lineRule="auto"/>
        <w:contextualSpacing/>
        <w:rPr>
          <w:sz w:val="22"/>
          <w:szCs w:val="22"/>
        </w:rPr>
      </w:pPr>
    </w:p>
    <w:p w14:paraId="48C81948" w14:textId="77777777" w:rsidR="00B52CFA" w:rsidRPr="00633419" w:rsidRDefault="00B52CFA" w:rsidP="009E38E7">
      <w:pPr>
        <w:pStyle w:val="Ttulo2"/>
        <w:spacing w:before="0" w:after="0" w:line="360" w:lineRule="auto"/>
        <w:contextualSpacing/>
        <w:rPr>
          <w:rFonts w:ascii="Palatino Linotype" w:hAnsi="Palatino Linotype"/>
          <w:b/>
          <w:bCs/>
          <w:color w:val="auto"/>
          <w:sz w:val="22"/>
          <w:szCs w:val="22"/>
        </w:rPr>
      </w:pPr>
      <w:bookmarkStart w:id="3" w:name="_Toc223020140"/>
      <w:r w:rsidRPr="00633419">
        <w:rPr>
          <w:rFonts w:ascii="Palatino Linotype" w:hAnsi="Palatino Linotype"/>
          <w:b/>
          <w:bCs/>
          <w:color w:val="auto"/>
          <w:sz w:val="22"/>
          <w:szCs w:val="22"/>
        </w:rPr>
        <w:t>I. Presentación de la solicitud de información</w:t>
      </w:r>
      <w:bookmarkEnd w:id="3"/>
    </w:p>
    <w:p w14:paraId="3F7EB2C7" w14:textId="77777777" w:rsidR="00B52CFA" w:rsidRDefault="00B52CFA" w:rsidP="009E38E7">
      <w:pPr>
        <w:pBdr>
          <w:top w:val="nil"/>
          <w:left w:val="nil"/>
          <w:bottom w:val="nil"/>
          <w:right w:val="nil"/>
          <w:between w:val="nil"/>
        </w:pBdr>
        <w:tabs>
          <w:tab w:val="left" w:pos="567"/>
        </w:tabs>
        <w:spacing w:line="360" w:lineRule="auto"/>
        <w:contextualSpacing/>
        <w:jc w:val="both"/>
        <w:rPr>
          <w:rFonts w:ascii="Palatino Linotype" w:eastAsia="Palatino Linotype" w:hAnsi="Palatino Linotype" w:cs="Palatino Linotype"/>
          <w:color w:val="000000"/>
        </w:rPr>
      </w:pPr>
    </w:p>
    <w:p w14:paraId="7A9D4B0A" w14:textId="7F2CCAF1" w:rsidR="00B52CFA" w:rsidRDefault="00B52CFA" w:rsidP="009E38E7">
      <w:pPr>
        <w:pBdr>
          <w:top w:val="nil"/>
          <w:left w:val="nil"/>
          <w:bottom w:val="nil"/>
          <w:right w:val="nil"/>
          <w:between w:val="nil"/>
        </w:pBdr>
        <w:tabs>
          <w:tab w:val="left" w:pos="567"/>
        </w:tabs>
        <w:spacing w:line="360" w:lineRule="auto"/>
        <w:contextualSpacing/>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Con fecha veinte de noviembre de dos mil veinticinco, el Particular presentó una solicitud de acceso a la información pública, a través del Sistema de Acceso a la Información Mexiquense, en lo sucesivo el SAIMEX, ante el Ayuntamiento de Ecatepec de Morelos, mediante la cual requirió lo siguiente:</w:t>
      </w:r>
    </w:p>
    <w:p w14:paraId="7F54BB29" w14:textId="77777777" w:rsidR="00B52CFA" w:rsidRDefault="00B52CFA" w:rsidP="009E38E7">
      <w:pPr>
        <w:pBdr>
          <w:top w:val="nil"/>
          <w:left w:val="nil"/>
          <w:bottom w:val="nil"/>
          <w:right w:val="nil"/>
          <w:between w:val="nil"/>
        </w:pBdr>
        <w:tabs>
          <w:tab w:val="left" w:pos="567"/>
        </w:tabs>
        <w:spacing w:line="360" w:lineRule="auto"/>
        <w:contextualSpacing/>
        <w:jc w:val="both"/>
        <w:rPr>
          <w:rFonts w:ascii="Palatino Linotype" w:eastAsia="Palatino Linotype" w:hAnsi="Palatino Linotype" w:cs="Palatino Linotype"/>
          <w:b/>
          <w:color w:val="000000"/>
        </w:rPr>
      </w:pPr>
    </w:p>
    <w:p w14:paraId="709D0FE6" w14:textId="77777777" w:rsidR="00B52CFA" w:rsidRDefault="00B52CFA" w:rsidP="009E38E7">
      <w:pPr>
        <w:tabs>
          <w:tab w:val="left" w:pos="4667"/>
        </w:tabs>
        <w:spacing w:line="360" w:lineRule="auto"/>
        <w:ind w:left="567" w:right="567"/>
        <w:contextualSpacing/>
        <w:jc w:val="both"/>
        <w:rPr>
          <w:rFonts w:ascii="Palatino Linotype" w:eastAsia="Palatino Linotype" w:hAnsi="Palatino Linotype" w:cs="Palatino Linotype"/>
          <w:b/>
          <w:i/>
        </w:rPr>
      </w:pPr>
      <w:r>
        <w:rPr>
          <w:rFonts w:ascii="Palatino Linotype" w:eastAsia="Palatino Linotype" w:hAnsi="Palatino Linotype" w:cs="Palatino Linotype"/>
          <w:b/>
          <w:i/>
        </w:rPr>
        <w:t>“DESCRIPCIÓN CLARA Y PRECISA DE LA INFORMACIÓN SOLICITADA</w:t>
      </w:r>
    </w:p>
    <w:p w14:paraId="15427F93" w14:textId="483F7E98" w:rsidR="00B52CFA" w:rsidRPr="00CA747C" w:rsidRDefault="00B52CFA" w:rsidP="009E38E7">
      <w:pPr>
        <w:spacing w:line="360" w:lineRule="auto"/>
        <w:ind w:left="567" w:right="567"/>
        <w:contextualSpacing/>
        <w:jc w:val="both"/>
        <w:rPr>
          <w:rFonts w:ascii="Palatino Linotype" w:eastAsia="Palatino Linotype" w:hAnsi="Palatino Linotype" w:cs="Palatino Linotype"/>
          <w:i/>
        </w:rPr>
      </w:pPr>
      <w:r w:rsidRPr="00B52CFA">
        <w:rPr>
          <w:rFonts w:ascii="Palatino Linotype" w:eastAsia="Palatino Linotype" w:hAnsi="Palatino Linotype" w:cs="Palatino Linotype"/>
          <w:i/>
        </w:rPr>
        <w:t xml:space="preserve">Con el objeto de que se me entregue una respuesta con TRANSPARENCIA, estimare que la respuesta sea suscrita por la H. </w:t>
      </w:r>
      <w:proofErr w:type="gramStart"/>
      <w:r w:rsidRPr="00B52CFA">
        <w:rPr>
          <w:rFonts w:ascii="Palatino Linotype" w:eastAsia="Palatino Linotype" w:hAnsi="Palatino Linotype" w:cs="Palatino Linotype"/>
          <w:i/>
        </w:rPr>
        <w:t>Presidenta</w:t>
      </w:r>
      <w:proofErr w:type="gramEnd"/>
      <w:r w:rsidRPr="00B52CFA">
        <w:rPr>
          <w:rFonts w:ascii="Palatino Linotype" w:eastAsia="Palatino Linotype" w:hAnsi="Palatino Linotype" w:cs="Palatino Linotype"/>
          <w:i/>
        </w:rPr>
        <w:t xml:space="preserve"> Municipal de Ecatepec de Morelos, con todo respeto agradeceré, se me indique el número de Valoraciones de Riesgo y Dictámenes Técnicos, realizados por la Dirección de Medio Ambiente y Ecología en el año 2025, al 21 de noviembre de 2025, relacionados con la poda, derribo y/o trasplante de un árbol ubicados en banquetas de TODO EL MUNICIPIO de Ecatepec de Morelos. 1.- Cuantas son Valoraciones de Riesgo en 2025, por </w:t>
      </w:r>
      <w:r w:rsidRPr="00B52CFA">
        <w:rPr>
          <w:rFonts w:ascii="Palatino Linotype" w:eastAsia="Palatino Linotype" w:hAnsi="Palatino Linotype" w:cs="Palatino Linotype"/>
          <w:i/>
        </w:rPr>
        <w:lastRenderedPageBreak/>
        <w:t>Dependencia. 2. Cuantos son Dictámenes Técnicos en 2025, por Dependencia. 3.- Cuantos derribos ha realizado la Dirección de Medio Ambiente y Ecología en 2025. 4.- Cuantos derribos ha realizado la Dirección de Protección Civil y Bomberos en 2025. 2.- Cuantos ha realizado otras Dependencias, o empresas privadas en 2025</w:t>
      </w:r>
      <w:r>
        <w:rPr>
          <w:rFonts w:ascii="Palatino Linotype" w:eastAsia="Palatino Linotype" w:hAnsi="Palatino Linotype" w:cs="Palatino Linotype"/>
          <w:i/>
        </w:rPr>
        <w:t>.” (Sic).</w:t>
      </w:r>
    </w:p>
    <w:p w14:paraId="3324E67F" w14:textId="77777777" w:rsidR="00B52CFA" w:rsidRDefault="00B52CFA" w:rsidP="009E38E7">
      <w:pPr>
        <w:pBdr>
          <w:top w:val="nil"/>
          <w:left w:val="nil"/>
          <w:bottom w:val="nil"/>
          <w:right w:val="nil"/>
          <w:between w:val="nil"/>
        </w:pBdr>
        <w:tabs>
          <w:tab w:val="left" w:pos="567"/>
        </w:tabs>
        <w:spacing w:line="360" w:lineRule="auto"/>
        <w:ind w:right="567"/>
        <w:contextualSpacing/>
        <w:jc w:val="both"/>
        <w:rPr>
          <w:rFonts w:ascii="Palatino Linotype" w:eastAsia="Palatino Linotype" w:hAnsi="Palatino Linotype" w:cs="Palatino Linotype"/>
          <w:b/>
          <w:i/>
          <w:color w:val="000000"/>
        </w:rPr>
      </w:pPr>
    </w:p>
    <w:p w14:paraId="29AB638A" w14:textId="77777777" w:rsidR="00B52CFA" w:rsidRDefault="00B52CFA" w:rsidP="009E38E7">
      <w:pPr>
        <w:tabs>
          <w:tab w:val="left" w:pos="4667"/>
        </w:tabs>
        <w:spacing w:line="360" w:lineRule="auto"/>
        <w:ind w:left="567" w:right="567"/>
        <w:contextualSpacing/>
        <w:jc w:val="both"/>
        <w:rPr>
          <w:rFonts w:ascii="Palatino Linotype" w:eastAsia="Palatino Linotype" w:hAnsi="Palatino Linotype" w:cs="Palatino Linotype"/>
          <w:i/>
        </w:rPr>
      </w:pPr>
      <w:r>
        <w:rPr>
          <w:rFonts w:ascii="Palatino Linotype" w:eastAsia="Palatino Linotype" w:hAnsi="Palatino Linotype" w:cs="Palatino Linotype"/>
          <w:b/>
          <w:i/>
        </w:rPr>
        <w:t xml:space="preserve">Modalidad de Entrega: </w:t>
      </w:r>
      <w:r>
        <w:rPr>
          <w:rFonts w:ascii="Palatino Linotype" w:eastAsia="Palatino Linotype" w:hAnsi="Palatino Linotype" w:cs="Palatino Linotype"/>
          <w:i/>
        </w:rPr>
        <w:t>A través de SAIMEX.</w:t>
      </w:r>
    </w:p>
    <w:p w14:paraId="2F1670F6" w14:textId="77777777" w:rsidR="00B52CFA" w:rsidRDefault="00B52CFA" w:rsidP="009E38E7">
      <w:pPr>
        <w:spacing w:line="360" w:lineRule="auto"/>
        <w:contextualSpacing/>
      </w:pPr>
      <w:bookmarkStart w:id="4" w:name="_Hlk216887448"/>
      <w:bookmarkStart w:id="5" w:name="_Hlk222331348"/>
    </w:p>
    <w:p w14:paraId="0AF86051" w14:textId="77777777" w:rsidR="00B52CFA" w:rsidRPr="00633419" w:rsidRDefault="00B52CFA" w:rsidP="009E38E7">
      <w:pPr>
        <w:pStyle w:val="Ttulo2"/>
        <w:spacing w:before="0" w:after="0" w:line="360" w:lineRule="auto"/>
        <w:contextualSpacing/>
        <w:rPr>
          <w:rFonts w:ascii="Palatino Linotype" w:eastAsia="Palatino Linotype" w:hAnsi="Palatino Linotype"/>
          <w:b/>
          <w:bCs/>
          <w:color w:val="auto"/>
          <w:sz w:val="22"/>
          <w:szCs w:val="22"/>
        </w:rPr>
      </w:pPr>
      <w:bookmarkStart w:id="6" w:name="_heading=h.270ugglvhyo" w:colFirst="0" w:colLast="0"/>
      <w:bookmarkStart w:id="7" w:name="_Toc223020141"/>
      <w:bookmarkEnd w:id="6"/>
      <w:r w:rsidRPr="00633419">
        <w:rPr>
          <w:rFonts w:ascii="Palatino Linotype" w:eastAsia="Palatino Linotype" w:hAnsi="Palatino Linotype"/>
          <w:b/>
          <w:bCs/>
          <w:color w:val="auto"/>
          <w:sz w:val="22"/>
          <w:szCs w:val="22"/>
        </w:rPr>
        <w:t>II. Respuesta del Sujeto Obligado</w:t>
      </w:r>
      <w:bookmarkEnd w:id="7"/>
    </w:p>
    <w:p w14:paraId="7593B9D2" w14:textId="77777777" w:rsidR="00B52CFA" w:rsidRDefault="00B52CFA" w:rsidP="009E38E7">
      <w:pPr>
        <w:tabs>
          <w:tab w:val="left" w:pos="4667"/>
        </w:tabs>
        <w:spacing w:line="360" w:lineRule="auto"/>
        <w:contextualSpacing/>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w:t>
      </w:r>
    </w:p>
    <w:p w14:paraId="3F4CA88C" w14:textId="51458AFF" w:rsidR="00B52CFA" w:rsidRDefault="00B52CFA" w:rsidP="009E38E7">
      <w:pPr>
        <w:tabs>
          <w:tab w:val="left" w:pos="4667"/>
        </w:tabs>
        <w:spacing w:line="360" w:lineRule="auto"/>
        <w:contextualSpacing/>
        <w:jc w:val="both"/>
        <w:rPr>
          <w:rFonts w:ascii="Palatino Linotype" w:eastAsia="Palatino Linotype" w:hAnsi="Palatino Linotype" w:cs="Palatino Linotype"/>
          <w:sz w:val="22"/>
          <w:szCs w:val="22"/>
        </w:rPr>
      </w:pPr>
      <w:r w:rsidRPr="00CA747C">
        <w:rPr>
          <w:rFonts w:ascii="Palatino Linotype" w:eastAsia="Palatino Linotype" w:hAnsi="Palatino Linotype" w:cs="Palatino Linotype"/>
          <w:sz w:val="22"/>
          <w:szCs w:val="22"/>
        </w:rPr>
        <w:t xml:space="preserve">Con fecha </w:t>
      </w:r>
      <w:r w:rsidR="007746DA">
        <w:rPr>
          <w:rFonts w:ascii="Palatino Linotype" w:eastAsia="Palatino Linotype" w:hAnsi="Palatino Linotype" w:cs="Palatino Linotype"/>
          <w:sz w:val="22"/>
          <w:szCs w:val="22"/>
        </w:rPr>
        <w:t xml:space="preserve">tres </w:t>
      </w:r>
      <w:r>
        <w:rPr>
          <w:rFonts w:ascii="Palatino Linotype" w:eastAsia="Palatino Linotype" w:hAnsi="Palatino Linotype" w:cs="Palatino Linotype"/>
          <w:sz w:val="22"/>
          <w:szCs w:val="22"/>
        </w:rPr>
        <w:t xml:space="preserve">de </w:t>
      </w:r>
      <w:r w:rsidR="007746DA">
        <w:rPr>
          <w:rFonts w:ascii="Palatino Linotype" w:eastAsia="Palatino Linotype" w:hAnsi="Palatino Linotype" w:cs="Palatino Linotype"/>
          <w:sz w:val="22"/>
          <w:szCs w:val="22"/>
        </w:rPr>
        <w:t xml:space="preserve">diciembre </w:t>
      </w:r>
      <w:r w:rsidRPr="00CA747C">
        <w:rPr>
          <w:rFonts w:ascii="Palatino Linotype" w:eastAsia="Palatino Linotype" w:hAnsi="Palatino Linotype" w:cs="Palatino Linotype"/>
          <w:sz w:val="22"/>
          <w:szCs w:val="22"/>
        </w:rPr>
        <w:t>de dos mil veinticinco, el Sujeto Obligado dio respuesta a la solicitud de acceso a la información a través del Sistema de Acceso a la Información Mexiquense (SAIMEX),</w:t>
      </w:r>
      <w:r>
        <w:rPr>
          <w:rFonts w:ascii="Palatino Linotype" w:eastAsia="Palatino Linotype" w:hAnsi="Palatino Linotype" w:cs="Palatino Linotype"/>
          <w:sz w:val="22"/>
          <w:szCs w:val="22"/>
        </w:rPr>
        <w:t xml:space="preserve"> </w:t>
      </w:r>
      <w:r w:rsidRPr="00CA747C">
        <w:rPr>
          <w:rFonts w:ascii="Palatino Linotype" w:eastAsia="Palatino Linotype" w:hAnsi="Palatino Linotype" w:cs="Palatino Linotype"/>
          <w:sz w:val="22"/>
          <w:szCs w:val="22"/>
        </w:rPr>
        <w:t>mediante</w:t>
      </w:r>
      <w:r>
        <w:rPr>
          <w:rFonts w:ascii="Palatino Linotype" w:eastAsia="Palatino Linotype" w:hAnsi="Palatino Linotype" w:cs="Palatino Linotype"/>
          <w:sz w:val="22"/>
          <w:szCs w:val="22"/>
        </w:rPr>
        <w:t xml:space="preserve"> la digitalización de los documentos siguientes:</w:t>
      </w:r>
      <w:r w:rsidRPr="00CA747C">
        <w:rPr>
          <w:rFonts w:ascii="Palatino Linotype" w:eastAsia="Palatino Linotype" w:hAnsi="Palatino Linotype" w:cs="Palatino Linotype"/>
          <w:sz w:val="22"/>
          <w:szCs w:val="22"/>
        </w:rPr>
        <w:t xml:space="preserve"> </w:t>
      </w:r>
    </w:p>
    <w:p w14:paraId="7AEAD50D" w14:textId="77777777" w:rsidR="00B52CFA" w:rsidRDefault="00B52CFA" w:rsidP="009E38E7">
      <w:pPr>
        <w:tabs>
          <w:tab w:val="left" w:pos="4667"/>
        </w:tabs>
        <w:spacing w:line="360" w:lineRule="auto"/>
        <w:contextualSpacing/>
        <w:jc w:val="both"/>
        <w:rPr>
          <w:rFonts w:ascii="Palatino Linotype" w:eastAsia="Palatino Linotype" w:hAnsi="Palatino Linotype" w:cs="Palatino Linotype"/>
          <w:sz w:val="22"/>
          <w:szCs w:val="22"/>
        </w:rPr>
      </w:pPr>
    </w:p>
    <w:p w14:paraId="347078BE" w14:textId="46C61D11" w:rsidR="007746DA" w:rsidRDefault="00B52CFA" w:rsidP="009E38E7">
      <w:pPr>
        <w:tabs>
          <w:tab w:val="left" w:pos="4667"/>
        </w:tabs>
        <w:spacing w:line="360" w:lineRule="auto"/>
        <w:contextualSpacing/>
        <w:jc w:val="both"/>
        <w:rPr>
          <w:rFonts w:eastAsia="Palatino Linotype"/>
        </w:rPr>
      </w:pPr>
      <w:r w:rsidRPr="004C5EC4">
        <w:rPr>
          <w:rFonts w:ascii="Palatino Linotype" w:eastAsia="Palatino Linotype" w:hAnsi="Palatino Linotype" w:cs="Palatino Linotype"/>
          <w:sz w:val="22"/>
          <w:szCs w:val="22"/>
        </w:rPr>
        <w:t>i)</w:t>
      </w:r>
      <w:r>
        <w:rPr>
          <w:rFonts w:ascii="Palatino Linotype" w:eastAsia="Palatino Linotype" w:hAnsi="Palatino Linotype" w:cs="Palatino Linotype"/>
          <w:sz w:val="22"/>
          <w:szCs w:val="22"/>
        </w:rPr>
        <w:t xml:space="preserve"> </w:t>
      </w:r>
      <w:r w:rsidRPr="004C5EC4">
        <w:rPr>
          <w:rFonts w:ascii="Palatino Linotype" w:eastAsia="Palatino Linotype" w:hAnsi="Palatino Linotype" w:cs="Palatino Linotype"/>
          <w:sz w:val="22"/>
          <w:szCs w:val="22"/>
        </w:rPr>
        <w:t xml:space="preserve">Oficio número </w:t>
      </w:r>
      <w:r w:rsidR="007746DA" w:rsidRPr="007746DA">
        <w:rPr>
          <w:rFonts w:ascii="Palatino Linotype" w:eastAsia="Palatino Linotype" w:hAnsi="Palatino Linotype" w:cs="Palatino Linotype"/>
          <w:sz w:val="22"/>
          <w:szCs w:val="22"/>
        </w:rPr>
        <w:t>CT/UT/ECA/1329/2025</w:t>
      </w:r>
      <w:r w:rsidRPr="004C5EC4">
        <w:rPr>
          <w:rFonts w:ascii="Palatino Linotype" w:eastAsia="Palatino Linotype" w:hAnsi="Palatino Linotype" w:cs="Palatino Linotype"/>
          <w:sz w:val="22"/>
          <w:szCs w:val="22"/>
        </w:rPr>
        <w:t xml:space="preserve">, </w:t>
      </w:r>
      <w:r w:rsidR="007746DA">
        <w:rPr>
          <w:rFonts w:ascii="Palatino Linotype" w:eastAsia="Palatino Linotype" w:hAnsi="Palatino Linotype" w:cs="Palatino Linotype"/>
          <w:sz w:val="22"/>
          <w:szCs w:val="22"/>
        </w:rPr>
        <w:t>de fecha de su presentación</w:t>
      </w:r>
      <w:r w:rsidRPr="004C5EC4">
        <w:rPr>
          <w:rFonts w:ascii="Palatino Linotype" w:eastAsia="Palatino Linotype" w:hAnsi="Palatino Linotype" w:cs="Palatino Linotype"/>
          <w:sz w:val="22"/>
          <w:szCs w:val="22"/>
        </w:rPr>
        <w:t>, suscrito por la Titular de la Unidad de Transparencia,</w:t>
      </w:r>
      <w:r w:rsidR="007746DA">
        <w:rPr>
          <w:rFonts w:ascii="Palatino Linotype" w:eastAsia="Palatino Linotype" w:hAnsi="Palatino Linotype" w:cs="Palatino Linotype"/>
          <w:sz w:val="22"/>
          <w:szCs w:val="22"/>
        </w:rPr>
        <w:t xml:space="preserve"> dirigido a la Solicitante</w:t>
      </w:r>
      <w:r w:rsidRPr="004C5EC4">
        <w:rPr>
          <w:rFonts w:ascii="Palatino Linotype" w:eastAsia="Palatino Linotype" w:hAnsi="Palatino Linotype" w:cs="Palatino Linotype"/>
          <w:sz w:val="22"/>
          <w:szCs w:val="22"/>
        </w:rPr>
        <w:t xml:space="preserve"> a través del </w:t>
      </w:r>
      <w:r w:rsidR="007746DA">
        <w:rPr>
          <w:rFonts w:ascii="Palatino Linotype" w:eastAsia="Palatino Linotype" w:hAnsi="Palatino Linotype" w:cs="Palatino Linotype"/>
          <w:sz w:val="22"/>
          <w:szCs w:val="22"/>
        </w:rPr>
        <w:t xml:space="preserve">cual manifiesta que remite las respuestas proporcionadas por las áreas de Dirección de Medio Ambiente y Ecología y la Dirección de Protección Civil y </w:t>
      </w:r>
      <w:proofErr w:type="spellStart"/>
      <w:r w:rsidR="007746DA">
        <w:rPr>
          <w:rFonts w:ascii="Palatino Linotype" w:eastAsia="Palatino Linotype" w:hAnsi="Palatino Linotype" w:cs="Palatino Linotype"/>
          <w:sz w:val="22"/>
          <w:szCs w:val="22"/>
        </w:rPr>
        <w:t>Bombreros</w:t>
      </w:r>
      <w:proofErr w:type="spellEnd"/>
      <w:r w:rsidR="007746DA">
        <w:rPr>
          <w:rFonts w:ascii="Palatino Linotype" w:eastAsia="Palatino Linotype" w:hAnsi="Palatino Linotype" w:cs="Palatino Linotype"/>
          <w:sz w:val="22"/>
          <w:szCs w:val="22"/>
        </w:rPr>
        <w:t>.</w:t>
      </w:r>
    </w:p>
    <w:p w14:paraId="0376E76D" w14:textId="77777777" w:rsidR="007746DA" w:rsidRDefault="007746DA" w:rsidP="009E38E7">
      <w:pPr>
        <w:spacing w:line="360" w:lineRule="auto"/>
        <w:contextualSpacing/>
        <w:rPr>
          <w:rFonts w:eastAsia="Palatino Linotype"/>
        </w:rPr>
      </w:pPr>
    </w:p>
    <w:p w14:paraId="34506E6A" w14:textId="33D6275E" w:rsidR="00B52CFA" w:rsidRPr="004C5EC4" w:rsidRDefault="00B52CFA" w:rsidP="009E38E7">
      <w:pPr>
        <w:tabs>
          <w:tab w:val="left" w:pos="4667"/>
        </w:tabs>
        <w:spacing w:line="360" w:lineRule="auto"/>
        <w:contextualSpacing/>
        <w:jc w:val="both"/>
        <w:rPr>
          <w:rFonts w:ascii="Palatino Linotype" w:eastAsia="Palatino Linotype" w:hAnsi="Palatino Linotype" w:cs="Palatino Linotype"/>
          <w:sz w:val="22"/>
          <w:szCs w:val="22"/>
        </w:rPr>
      </w:pPr>
      <w:proofErr w:type="spellStart"/>
      <w:r w:rsidRPr="004C5EC4">
        <w:rPr>
          <w:rFonts w:ascii="Palatino Linotype" w:eastAsia="Palatino Linotype" w:hAnsi="Palatino Linotype" w:cs="Palatino Linotype"/>
          <w:sz w:val="22"/>
          <w:szCs w:val="22"/>
        </w:rPr>
        <w:t>i</w:t>
      </w:r>
      <w:r>
        <w:rPr>
          <w:rFonts w:ascii="Palatino Linotype" w:eastAsia="Palatino Linotype" w:hAnsi="Palatino Linotype" w:cs="Palatino Linotype"/>
          <w:sz w:val="22"/>
          <w:szCs w:val="22"/>
        </w:rPr>
        <w:t>i</w:t>
      </w:r>
      <w:proofErr w:type="spellEnd"/>
      <w:r w:rsidRPr="004C5EC4">
        <w:rPr>
          <w:rFonts w:ascii="Palatino Linotype" w:eastAsia="Palatino Linotype" w:hAnsi="Palatino Linotype" w:cs="Palatino Linotype"/>
          <w:sz w:val="22"/>
          <w:szCs w:val="22"/>
        </w:rPr>
        <w:t>)</w:t>
      </w:r>
      <w:r>
        <w:rPr>
          <w:rFonts w:ascii="Palatino Linotype" w:eastAsia="Palatino Linotype" w:hAnsi="Palatino Linotype" w:cs="Palatino Linotype"/>
          <w:sz w:val="22"/>
          <w:szCs w:val="22"/>
        </w:rPr>
        <w:t xml:space="preserve"> </w:t>
      </w:r>
      <w:r w:rsidRPr="004C5EC4">
        <w:rPr>
          <w:rFonts w:ascii="Palatino Linotype" w:eastAsia="Palatino Linotype" w:hAnsi="Palatino Linotype" w:cs="Palatino Linotype"/>
          <w:sz w:val="22"/>
          <w:szCs w:val="22"/>
        </w:rPr>
        <w:t xml:space="preserve">Oficio número </w:t>
      </w:r>
      <w:r w:rsidR="007746DA" w:rsidRPr="007746DA">
        <w:rPr>
          <w:rFonts w:ascii="Palatino Linotype" w:eastAsia="Palatino Linotype" w:hAnsi="Palatino Linotype" w:cs="Palatino Linotype"/>
          <w:sz w:val="22"/>
          <w:szCs w:val="22"/>
        </w:rPr>
        <w:t>DMAYEC/ECA/01201/2025</w:t>
      </w:r>
      <w:r w:rsidRPr="004C5EC4">
        <w:rPr>
          <w:rFonts w:ascii="Palatino Linotype" w:eastAsia="Palatino Linotype" w:hAnsi="Palatino Linotype" w:cs="Palatino Linotype"/>
          <w:sz w:val="22"/>
          <w:szCs w:val="22"/>
        </w:rPr>
        <w:t xml:space="preserve">, del veinticuatro de noviembre de dos mil veinticinco, suscrito por la </w:t>
      </w:r>
      <w:proofErr w:type="gramStart"/>
      <w:r w:rsidRPr="004C5EC4">
        <w:rPr>
          <w:rFonts w:ascii="Palatino Linotype" w:eastAsia="Palatino Linotype" w:hAnsi="Palatino Linotype" w:cs="Palatino Linotype"/>
          <w:sz w:val="22"/>
          <w:szCs w:val="22"/>
        </w:rPr>
        <w:t>Directora</w:t>
      </w:r>
      <w:proofErr w:type="gramEnd"/>
      <w:r w:rsidRPr="004C5EC4">
        <w:rPr>
          <w:rFonts w:ascii="Palatino Linotype" w:eastAsia="Palatino Linotype" w:hAnsi="Palatino Linotype" w:cs="Palatino Linotype"/>
          <w:sz w:val="22"/>
          <w:szCs w:val="22"/>
        </w:rPr>
        <w:t xml:space="preserve"> </w:t>
      </w:r>
      <w:r>
        <w:rPr>
          <w:rFonts w:ascii="Palatino Linotype" w:eastAsia="Palatino Linotype" w:hAnsi="Palatino Linotype" w:cs="Palatino Linotype"/>
          <w:sz w:val="22"/>
          <w:szCs w:val="22"/>
        </w:rPr>
        <w:t xml:space="preserve">de </w:t>
      </w:r>
      <w:r w:rsidR="007746DA">
        <w:rPr>
          <w:rFonts w:ascii="Palatino Linotype" w:eastAsia="Palatino Linotype" w:hAnsi="Palatino Linotype" w:cs="Palatino Linotype"/>
          <w:sz w:val="22"/>
          <w:szCs w:val="22"/>
        </w:rPr>
        <w:t>Medio Ambiente</w:t>
      </w:r>
      <w:r>
        <w:rPr>
          <w:rFonts w:ascii="Palatino Linotype" w:eastAsia="Palatino Linotype" w:hAnsi="Palatino Linotype" w:cs="Palatino Linotype"/>
          <w:sz w:val="22"/>
          <w:szCs w:val="22"/>
        </w:rPr>
        <w:t xml:space="preserve">, dirigido a la </w:t>
      </w:r>
      <w:r w:rsidR="007746DA">
        <w:rPr>
          <w:rFonts w:ascii="Palatino Linotype" w:eastAsia="Palatino Linotype" w:hAnsi="Palatino Linotype" w:cs="Palatino Linotype"/>
          <w:sz w:val="22"/>
          <w:szCs w:val="22"/>
        </w:rPr>
        <w:t>Titular de la Unidad de Transparencia</w:t>
      </w:r>
      <w:r w:rsidRPr="004C5EC4">
        <w:rPr>
          <w:rFonts w:ascii="Palatino Linotype" w:eastAsia="Palatino Linotype" w:hAnsi="Palatino Linotype" w:cs="Palatino Linotype"/>
          <w:sz w:val="22"/>
          <w:szCs w:val="22"/>
        </w:rPr>
        <w:t>,</w:t>
      </w:r>
      <w:r>
        <w:rPr>
          <w:rFonts w:ascii="Palatino Linotype" w:eastAsia="Palatino Linotype" w:hAnsi="Palatino Linotype" w:cs="Palatino Linotype"/>
          <w:sz w:val="22"/>
          <w:szCs w:val="22"/>
        </w:rPr>
        <w:t xml:space="preserve"> </w:t>
      </w:r>
      <w:r w:rsidRPr="004C5EC4">
        <w:rPr>
          <w:rFonts w:ascii="Palatino Linotype" w:eastAsia="Palatino Linotype" w:hAnsi="Palatino Linotype" w:cs="Palatino Linotype"/>
          <w:sz w:val="22"/>
          <w:szCs w:val="22"/>
        </w:rPr>
        <w:t xml:space="preserve">a través del cual </w:t>
      </w:r>
      <w:r>
        <w:rPr>
          <w:rFonts w:ascii="Palatino Linotype" w:eastAsia="Palatino Linotype" w:hAnsi="Palatino Linotype" w:cs="Palatino Linotype"/>
          <w:sz w:val="22"/>
          <w:szCs w:val="22"/>
        </w:rPr>
        <w:t>manifiesta y expone lo siguiente:</w:t>
      </w:r>
    </w:p>
    <w:p w14:paraId="0CA8B25A" w14:textId="77777777" w:rsidR="00B52CFA" w:rsidRDefault="00B52CFA" w:rsidP="009E38E7">
      <w:pPr>
        <w:tabs>
          <w:tab w:val="left" w:pos="4667"/>
        </w:tabs>
        <w:spacing w:line="360" w:lineRule="auto"/>
        <w:contextualSpacing/>
        <w:jc w:val="both"/>
        <w:rPr>
          <w:rFonts w:ascii="Palatino Linotype" w:eastAsia="Palatino Linotype" w:hAnsi="Palatino Linotype" w:cs="Palatino Linotype"/>
          <w:sz w:val="22"/>
          <w:szCs w:val="22"/>
        </w:rPr>
      </w:pPr>
    </w:p>
    <w:p w14:paraId="556836B5" w14:textId="4642E62C" w:rsidR="00285A88" w:rsidRDefault="00B52CFA" w:rsidP="009E38E7">
      <w:pPr>
        <w:tabs>
          <w:tab w:val="left" w:pos="4667"/>
        </w:tabs>
        <w:spacing w:line="360" w:lineRule="auto"/>
        <w:ind w:left="567" w:right="567"/>
        <w:contextualSpacing/>
        <w:jc w:val="both"/>
        <w:rPr>
          <w:rFonts w:ascii="Palatino Linotype" w:eastAsia="Palatino Linotype" w:hAnsi="Palatino Linotype" w:cs="Palatino Linotype"/>
          <w:i/>
          <w:iCs/>
        </w:rPr>
      </w:pPr>
      <w:r w:rsidRPr="004C5EC4">
        <w:rPr>
          <w:rFonts w:ascii="Palatino Linotype" w:eastAsia="Palatino Linotype" w:hAnsi="Palatino Linotype" w:cs="Palatino Linotype"/>
          <w:i/>
          <w:iCs/>
        </w:rPr>
        <w:t>“…</w:t>
      </w:r>
      <w:bookmarkEnd w:id="4"/>
      <w:r w:rsidR="00285A88" w:rsidRPr="00285A88">
        <w:rPr>
          <w:rFonts w:ascii="Palatino Linotype" w:eastAsia="Palatino Linotype" w:hAnsi="Palatino Linotype" w:cs="Palatino Linotype"/>
          <w:i/>
          <w:iCs/>
        </w:rPr>
        <w:t xml:space="preserve">Del análisis al contenido de su solicitud y de conformidad y con fundamento en lo dispuesto por los artículos 1.4, 1.5, 1.6, 1.7,1.8 у demás relativos y aplicables del Código Administrativo del Estado de México; 86,87 fracción VI y 96 de la Ley Orgánica Municipal del Estado de México; 1,13,44 fracción IV inciso f, 59 y 60 del Bando Municipal de Ecatepec de Morelos del ejercicio 2025 en relación con lo previsto en los artículos 17 y 59 del Reglamento Interior de la Administración Pública de Ecatepec de Morelos; y lo dispuesto por los artículos 1,3, fracción </w:t>
      </w:r>
      <w:r w:rsidR="00285A88" w:rsidRPr="00285A88">
        <w:rPr>
          <w:rFonts w:ascii="Palatino Linotype" w:eastAsia="Palatino Linotype" w:hAnsi="Palatino Linotype" w:cs="Palatino Linotype"/>
          <w:i/>
          <w:iCs/>
        </w:rPr>
        <w:lastRenderedPageBreak/>
        <w:t xml:space="preserve">XXXIX, 8, 11, 12, 18, 19 segundo párrafo, 21, 23 fracción </w:t>
      </w:r>
      <w:r w:rsidR="00285A88">
        <w:rPr>
          <w:rFonts w:ascii="Palatino Linotype" w:eastAsia="Palatino Linotype" w:hAnsi="Palatino Linotype" w:cs="Palatino Linotype"/>
          <w:i/>
          <w:iCs/>
        </w:rPr>
        <w:t xml:space="preserve"> </w:t>
      </w:r>
      <w:r w:rsidR="00285A88" w:rsidRPr="00285A88">
        <w:rPr>
          <w:rFonts w:ascii="Palatino Linotype" w:eastAsia="Palatino Linotype" w:hAnsi="Palatino Linotype" w:cs="Palatino Linotype"/>
          <w:i/>
          <w:iCs/>
        </w:rPr>
        <w:t xml:space="preserve">1, 24 fracción XI, 58, 59 fracciones I, </w:t>
      </w:r>
      <w:proofErr w:type="spellStart"/>
      <w:r w:rsidR="00285A88" w:rsidRPr="00285A88">
        <w:rPr>
          <w:rFonts w:ascii="Palatino Linotype" w:eastAsia="Palatino Linotype" w:hAnsi="Palatino Linotype" w:cs="Palatino Linotype"/>
          <w:i/>
          <w:iCs/>
        </w:rPr>
        <w:t>IIy</w:t>
      </w:r>
      <w:proofErr w:type="spellEnd"/>
      <w:r w:rsidR="00285A88" w:rsidRPr="00285A88">
        <w:rPr>
          <w:rFonts w:ascii="Palatino Linotype" w:eastAsia="Palatino Linotype" w:hAnsi="Palatino Linotype" w:cs="Palatino Linotype"/>
          <w:i/>
          <w:iCs/>
        </w:rPr>
        <w:t xml:space="preserve"> III, 162, 163 y 173, así como demás relativos, vigentes y aplicables de la Ley de Transparencia y Acceso a la Información Pública del Estado de México y Municipios, en mi calidad de Directora de Medio Ambiente y Ecología del H. Ayuntamiento de Ecatepec de Morelos, de manera atenta y respetuosa, manifiesto a usted: </w:t>
      </w:r>
    </w:p>
    <w:p w14:paraId="2FEDB84A" w14:textId="77777777" w:rsidR="00285A88" w:rsidRDefault="00285A88" w:rsidP="009E38E7">
      <w:pPr>
        <w:tabs>
          <w:tab w:val="left" w:pos="4667"/>
        </w:tabs>
        <w:spacing w:line="360" w:lineRule="auto"/>
        <w:ind w:left="567" w:right="567"/>
        <w:contextualSpacing/>
        <w:jc w:val="both"/>
        <w:rPr>
          <w:rFonts w:ascii="Palatino Linotype" w:eastAsia="Palatino Linotype" w:hAnsi="Palatino Linotype" w:cs="Palatino Linotype"/>
          <w:i/>
          <w:iCs/>
        </w:rPr>
      </w:pPr>
    </w:p>
    <w:p w14:paraId="350D2B69" w14:textId="77777777" w:rsidR="00285A88" w:rsidRDefault="00285A88" w:rsidP="009E38E7">
      <w:pPr>
        <w:tabs>
          <w:tab w:val="left" w:pos="4667"/>
        </w:tabs>
        <w:spacing w:line="360" w:lineRule="auto"/>
        <w:ind w:left="567" w:right="567"/>
        <w:contextualSpacing/>
        <w:jc w:val="both"/>
        <w:rPr>
          <w:rFonts w:ascii="Palatino Linotype" w:eastAsia="Palatino Linotype" w:hAnsi="Palatino Linotype" w:cs="Palatino Linotype"/>
          <w:i/>
          <w:iCs/>
        </w:rPr>
      </w:pPr>
      <w:r w:rsidRPr="00285A88">
        <w:rPr>
          <w:rFonts w:ascii="Palatino Linotype" w:eastAsia="Palatino Linotype" w:hAnsi="Palatino Linotype" w:cs="Palatino Linotype"/>
          <w:i/>
          <w:iCs/>
        </w:rPr>
        <w:t>Se tiene registro que se han realizado en el año 2025, al 21 de noviembre por</w:t>
      </w:r>
      <w:r>
        <w:rPr>
          <w:rFonts w:ascii="Palatino Linotype" w:eastAsia="Palatino Linotype" w:hAnsi="Palatino Linotype" w:cs="Palatino Linotype"/>
          <w:i/>
          <w:iCs/>
        </w:rPr>
        <w:t xml:space="preserve"> la</w:t>
      </w:r>
      <w:r w:rsidRPr="00285A88">
        <w:rPr>
          <w:rFonts w:ascii="Palatino Linotype" w:eastAsia="Palatino Linotype" w:hAnsi="Palatino Linotype" w:cs="Palatino Linotype"/>
          <w:i/>
          <w:iCs/>
        </w:rPr>
        <w:t xml:space="preserve"> Dirección de Medio Ambiente y Ecología: </w:t>
      </w:r>
    </w:p>
    <w:p w14:paraId="24A39D6F" w14:textId="77777777" w:rsidR="00285A88" w:rsidRDefault="00285A88" w:rsidP="009E38E7">
      <w:pPr>
        <w:tabs>
          <w:tab w:val="left" w:pos="4667"/>
        </w:tabs>
        <w:spacing w:line="360" w:lineRule="auto"/>
        <w:ind w:left="567" w:right="567"/>
        <w:contextualSpacing/>
        <w:jc w:val="both"/>
        <w:rPr>
          <w:rFonts w:ascii="Palatino Linotype" w:eastAsia="Palatino Linotype" w:hAnsi="Palatino Linotype" w:cs="Palatino Linotype"/>
          <w:i/>
          <w:iCs/>
        </w:rPr>
      </w:pPr>
    </w:p>
    <w:p w14:paraId="02326BC0" w14:textId="77777777" w:rsidR="00285A88" w:rsidRDefault="00285A88" w:rsidP="009E38E7">
      <w:pPr>
        <w:tabs>
          <w:tab w:val="left" w:pos="4667"/>
        </w:tabs>
        <w:spacing w:line="360" w:lineRule="auto"/>
        <w:ind w:left="567" w:right="567"/>
        <w:contextualSpacing/>
        <w:jc w:val="both"/>
        <w:rPr>
          <w:rFonts w:ascii="Palatino Linotype" w:eastAsia="Palatino Linotype" w:hAnsi="Palatino Linotype" w:cs="Palatino Linotype"/>
          <w:i/>
          <w:iCs/>
        </w:rPr>
      </w:pPr>
      <w:r w:rsidRPr="00285A88">
        <w:rPr>
          <w:rFonts w:ascii="Palatino Linotype" w:eastAsia="Palatino Linotype" w:hAnsi="Palatino Linotype" w:cs="Palatino Linotype"/>
          <w:i/>
          <w:iCs/>
        </w:rPr>
        <w:t xml:space="preserve">1. 709 VALORACIONES DE RIESGO </w:t>
      </w:r>
    </w:p>
    <w:p w14:paraId="6A9FE480" w14:textId="77777777" w:rsidR="00285A88" w:rsidRDefault="00285A88" w:rsidP="009E38E7">
      <w:pPr>
        <w:tabs>
          <w:tab w:val="left" w:pos="4667"/>
        </w:tabs>
        <w:spacing w:line="360" w:lineRule="auto"/>
        <w:ind w:left="567" w:right="567"/>
        <w:contextualSpacing/>
        <w:jc w:val="both"/>
        <w:rPr>
          <w:rFonts w:ascii="Palatino Linotype" w:eastAsia="Palatino Linotype" w:hAnsi="Palatino Linotype" w:cs="Palatino Linotype"/>
          <w:i/>
          <w:iCs/>
        </w:rPr>
      </w:pPr>
      <w:r w:rsidRPr="00285A88">
        <w:rPr>
          <w:rFonts w:ascii="Palatino Linotype" w:eastAsia="Palatino Linotype" w:hAnsi="Palatino Linotype" w:cs="Palatino Linotype"/>
          <w:i/>
          <w:iCs/>
        </w:rPr>
        <w:t xml:space="preserve">2. 907 DICTÁMENES TÉCNICOS </w:t>
      </w:r>
    </w:p>
    <w:p w14:paraId="1A7C26C3" w14:textId="77777777" w:rsidR="00285A88" w:rsidRDefault="00285A88" w:rsidP="009E38E7">
      <w:pPr>
        <w:tabs>
          <w:tab w:val="left" w:pos="4667"/>
        </w:tabs>
        <w:spacing w:line="360" w:lineRule="auto"/>
        <w:ind w:left="567" w:right="567"/>
        <w:contextualSpacing/>
        <w:jc w:val="both"/>
        <w:rPr>
          <w:rFonts w:ascii="Palatino Linotype" w:eastAsia="Palatino Linotype" w:hAnsi="Palatino Linotype" w:cs="Palatino Linotype"/>
          <w:i/>
          <w:iCs/>
        </w:rPr>
      </w:pPr>
      <w:r w:rsidRPr="00285A88">
        <w:rPr>
          <w:rFonts w:ascii="Palatino Linotype" w:eastAsia="Palatino Linotype" w:hAnsi="Palatino Linotype" w:cs="Palatino Linotype"/>
          <w:i/>
          <w:iCs/>
        </w:rPr>
        <w:t xml:space="preserve">3. 63 DERRIBOS (mismos que han sido ejecutados por la Dirección de Protección Civil y Bomberos) </w:t>
      </w:r>
    </w:p>
    <w:p w14:paraId="0006058D" w14:textId="77777777" w:rsidR="00285A88" w:rsidRDefault="00285A88" w:rsidP="009E38E7">
      <w:pPr>
        <w:tabs>
          <w:tab w:val="left" w:pos="4667"/>
        </w:tabs>
        <w:spacing w:line="360" w:lineRule="auto"/>
        <w:ind w:left="567" w:right="567"/>
        <w:contextualSpacing/>
        <w:jc w:val="both"/>
        <w:rPr>
          <w:rFonts w:ascii="Palatino Linotype" w:eastAsia="Palatino Linotype" w:hAnsi="Palatino Linotype" w:cs="Palatino Linotype"/>
          <w:i/>
          <w:iCs/>
        </w:rPr>
      </w:pPr>
    </w:p>
    <w:p w14:paraId="3ECED201" w14:textId="27E7BB37" w:rsidR="00B52CFA" w:rsidRPr="004C5EC4" w:rsidRDefault="00285A88" w:rsidP="009E38E7">
      <w:pPr>
        <w:tabs>
          <w:tab w:val="left" w:pos="4667"/>
        </w:tabs>
        <w:spacing w:line="360" w:lineRule="auto"/>
        <w:ind w:left="567" w:right="567"/>
        <w:contextualSpacing/>
        <w:jc w:val="both"/>
        <w:rPr>
          <w:rFonts w:ascii="Palatino Linotype" w:eastAsia="Palatino Linotype" w:hAnsi="Palatino Linotype" w:cs="Palatino Linotype"/>
          <w:i/>
          <w:iCs/>
        </w:rPr>
      </w:pPr>
      <w:r w:rsidRPr="00285A88">
        <w:rPr>
          <w:rFonts w:ascii="Palatino Linotype" w:eastAsia="Palatino Linotype" w:hAnsi="Palatino Linotype" w:cs="Palatino Linotype"/>
          <w:i/>
          <w:iCs/>
        </w:rPr>
        <w:t xml:space="preserve">En atención al numeral 2., hago de su conocimiento que dentro de esta dirección NO se tiene registro de que se hayan realizado derribos por Dependencias, o empresas privadas en 2025 </w:t>
      </w:r>
      <w:r w:rsidR="00B52CFA" w:rsidRPr="004C5EC4">
        <w:rPr>
          <w:rFonts w:ascii="Palatino Linotype" w:eastAsia="Palatino Linotype" w:hAnsi="Palatino Linotype" w:cs="Palatino Linotype"/>
          <w:i/>
          <w:iCs/>
        </w:rPr>
        <w:t>…”</w:t>
      </w:r>
    </w:p>
    <w:p w14:paraId="1F5B49C1" w14:textId="77777777" w:rsidR="00B52CFA" w:rsidRDefault="00B52CFA" w:rsidP="009E38E7">
      <w:pPr>
        <w:tabs>
          <w:tab w:val="left" w:pos="4667"/>
        </w:tabs>
        <w:spacing w:line="360" w:lineRule="auto"/>
        <w:contextualSpacing/>
        <w:jc w:val="both"/>
        <w:rPr>
          <w:rFonts w:ascii="Palatino Linotype" w:eastAsia="Palatino Linotype" w:hAnsi="Palatino Linotype" w:cs="Palatino Linotype"/>
          <w:sz w:val="22"/>
          <w:szCs w:val="22"/>
        </w:rPr>
      </w:pPr>
    </w:p>
    <w:p w14:paraId="611EB73A" w14:textId="6DB519FD" w:rsidR="00285A88" w:rsidRPr="004C5EC4" w:rsidRDefault="00285A88" w:rsidP="009E38E7">
      <w:pPr>
        <w:tabs>
          <w:tab w:val="left" w:pos="4667"/>
        </w:tabs>
        <w:spacing w:line="360" w:lineRule="auto"/>
        <w:contextualSpacing/>
        <w:jc w:val="both"/>
        <w:rPr>
          <w:rFonts w:ascii="Palatino Linotype" w:eastAsia="Palatino Linotype" w:hAnsi="Palatino Linotype" w:cs="Palatino Linotype"/>
          <w:sz w:val="22"/>
          <w:szCs w:val="22"/>
        </w:rPr>
      </w:pPr>
      <w:proofErr w:type="spellStart"/>
      <w:r w:rsidRPr="004C5EC4">
        <w:rPr>
          <w:rFonts w:ascii="Palatino Linotype" w:eastAsia="Palatino Linotype" w:hAnsi="Palatino Linotype" w:cs="Palatino Linotype"/>
          <w:sz w:val="22"/>
          <w:szCs w:val="22"/>
        </w:rPr>
        <w:t>i</w:t>
      </w:r>
      <w:r>
        <w:rPr>
          <w:rFonts w:ascii="Palatino Linotype" w:eastAsia="Palatino Linotype" w:hAnsi="Palatino Linotype" w:cs="Palatino Linotype"/>
          <w:sz w:val="22"/>
          <w:szCs w:val="22"/>
        </w:rPr>
        <w:t>i</w:t>
      </w:r>
      <w:r w:rsidR="00152065">
        <w:rPr>
          <w:rFonts w:ascii="Palatino Linotype" w:eastAsia="Palatino Linotype" w:hAnsi="Palatino Linotype" w:cs="Palatino Linotype"/>
          <w:sz w:val="22"/>
          <w:szCs w:val="22"/>
        </w:rPr>
        <w:t>i</w:t>
      </w:r>
      <w:proofErr w:type="spellEnd"/>
      <w:r w:rsidRPr="004C5EC4">
        <w:rPr>
          <w:rFonts w:ascii="Palatino Linotype" w:eastAsia="Palatino Linotype" w:hAnsi="Palatino Linotype" w:cs="Palatino Linotype"/>
          <w:sz w:val="22"/>
          <w:szCs w:val="22"/>
        </w:rPr>
        <w:t>)</w:t>
      </w:r>
      <w:r>
        <w:rPr>
          <w:rFonts w:ascii="Palatino Linotype" w:eastAsia="Palatino Linotype" w:hAnsi="Palatino Linotype" w:cs="Palatino Linotype"/>
          <w:sz w:val="22"/>
          <w:szCs w:val="22"/>
        </w:rPr>
        <w:t xml:space="preserve"> </w:t>
      </w:r>
      <w:r w:rsidRPr="004C5EC4">
        <w:rPr>
          <w:rFonts w:ascii="Palatino Linotype" w:eastAsia="Palatino Linotype" w:hAnsi="Palatino Linotype" w:cs="Palatino Linotype"/>
          <w:sz w:val="22"/>
          <w:szCs w:val="22"/>
        </w:rPr>
        <w:t xml:space="preserve">Oficio número </w:t>
      </w:r>
      <w:r w:rsidRPr="00285A88">
        <w:rPr>
          <w:rFonts w:ascii="Palatino Linotype" w:eastAsia="Palatino Linotype" w:hAnsi="Palatino Linotype" w:cs="Palatino Linotype"/>
          <w:sz w:val="22"/>
          <w:szCs w:val="22"/>
        </w:rPr>
        <w:t>DPCB/ECA/3223/2025</w:t>
      </w:r>
      <w:r w:rsidRPr="004C5EC4">
        <w:rPr>
          <w:rFonts w:ascii="Palatino Linotype" w:eastAsia="Palatino Linotype" w:hAnsi="Palatino Linotype" w:cs="Palatino Linotype"/>
          <w:sz w:val="22"/>
          <w:szCs w:val="22"/>
        </w:rPr>
        <w:t>, del veintic</w:t>
      </w:r>
      <w:r>
        <w:rPr>
          <w:rFonts w:ascii="Palatino Linotype" w:eastAsia="Palatino Linotype" w:hAnsi="Palatino Linotype" w:cs="Palatino Linotype"/>
          <w:sz w:val="22"/>
          <w:szCs w:val="22"/>
        </w:rPr>
        <w:t>inc</w:t>
      </w:r>
      <w:r w:rsidRPr="004C5EC4">
        <w:rPr>
          <w:rFonts w:ascii="Palatino Linotype" w:eastAsia="Palatino Linotype" w:hAnsi="Palatino Linotype" w:cs="Palatino Linotype"/>
          <w:sz w:val="22"/>
          <w:szCs w:val="22"/>
        </w:rPr>
        <w:t xml:space="preserve">o de noviembre de dos mil veinticinco, suscrito por </w:t>
      </w:r>
      <w:r>
        <w:rPr>
          <w:rFonts w:ascii="Palatino Linotype" w:eastAsia="Palatino Linotype" w:hAnsi="Palatino Linotype" w:cs="Palatino Linotype"/>
          <w:sz w:val="22"/>
          <w:szCs w:val="22"/>
        </w:rPr>
        <w:t>e</w:t>
      </w:r>
      <w:r w:rsidRPr="004C5EC4">
        <w:rPr>
          <w:rFonts w:ascii="Palatino Linotype" w:eastAsia="Palatino Linotype" w:hAnsi="Palatino Linotype" w:cs="Palatino Linotype"/>
          <w:sz w:val="22"/>
          <w:szCs w:val="22"/>
        </w:rPr>
        <w:t xml:space="preserve">l </w:t>
      </w:r>
      <w:proofErr w:type="gramStart"/>
      <w:r w:rsidRPr="004C5EC4">
        <w:rPr>
          <w:rFonts w:ascii="Palatino Linotype" w:eastAsia="Palatino Linotype" w:hAnsi="Palatino Linotype" w:cs="Palatino Linotype"/>
          <w:sz w:val="22"/>
          <w:szCs w:val="22"/>
        </w:rPr>
        <w:t>Director</w:t>
      </w:r>
      <w:proofErr w:type="gramEnd"/>
      <w:r w:rsidRPr="004C5EC4">
        <w:rPr>
          <w:rFonts w:ascii="Palatino Linotype" w:eastAsia="Palatino Linotype" w:hAnsi="Palatino Linotype" w:cs="Palatino Linotype"/>
          <w:sz w:val="22"/>
          <w:szCs w:val="22"/>
        </w:rPr>
        <w:t xml:space="preserve"> </w:t>
      </w:r>
      <w:r>
        <w:rPr>
          <w:rFonts w:ascii="Palatino Linotype" w:eastAsia="Palatino Linotype" w:hAnsi="Palatino Linotype" w:cs="Palatino Linotype"/>
          <w:sz w:val="22"/>
          <w:szCs w:val="22"/>
        </w:rPr>
        <w:t>de Protección Civil y Bomberos, dirigido a la Titular de la Unidad de Transparencia</w:t>
      </w:r>
      <w:r w:rsidRPr="004C5EC4">
        <w:rPr>
          <w:rFonts w:ascii="Palatino Linotype" w:eastAsia="Palatino Linotype" w:hAnsi="Palatino Linotype" w:cs="Palatino Linotype"/>
          <w:sz w:val="22"/>
          <w:szCs w:val="22"/>
        </w:rPr>
        <w:t>,</w:t>
      </w:r>
      <w:r>
        <w:rPr>
          <w:rFonts w:ascii="Palatino Linotype" w:eastAsia="Palatino Linotype" w:hAnsi="Palatino Linotype" w:cs="Palatino Linotype"/>
          <w:sz w:val="22"/>
          <w:szCs w:val="22"/>
        </w:rPr>
        <w:t xml:space="preserve"> </w:t>
      </w:r>
      <w:r w:rsidRPr="004C5EC4">
        <w:rPr>
          <w:rFonts w:ascii="Palatino Linotype" w:eastAsia="Palatino Linotype" w:hAnsi="Palatino Linotype" w:cs="Palatino Linotype"/>
          <w:sz w:val="22"/>
          <w:szCs w:val="22"/>
        </w:rPr>
        <w:t xml:space="preserve">a través del cual </w:t>
      </w:r>
      <w:r>
        <w:rPr>
          <w:rFonts w:ascii="Palatino Linotype" w:eastAsia="Palatino Linotype" w:hAnsi="Palatino Linotype" w:cs="Palatino Linotype"/>
          <w:sz w:val="22"/>
          <w:szCs w:val="22"/>
        </w:rPr>
        <w:t>manifiesta y expone lo siguiente:</w:t>
      </w:r>
    </w:p>
    <w:p w14:paraId="72681C63" w14:textId="77777777" w:rsidR="00285A88" w:rsidRDefault="00285A88" w:rsidP="009E38E7">
      <w:pPr>
        <w:tabs>
          <w:tab w:val="left" w:pos="4667"/>
        </w:tabs>
        <w:spacing w:line="360" w:lineRule="auto"/>
        <w:contextualSpacing/>
        <w:jc w:val="both"/>
        <w:rPr>
          <w:rFonts w:ascii="Palatino Linotype" w:eastAsia="Palatino Linotype" w:hAnsi="Palatino Linotype" w:cs="Palatino Linotype"/>
          <w:sz w:val="22"/>
          <w:szCs w:val="22"/>
        </w:rPr>
      </w:pPr>
    </w:p>
    <w:p w14:paraId="45A3BCF9" w14:textId="0F84F0EA" w:rsidR="00285A88" w:rsidRDefault="00285A88" w:rsidP="009E38E7">
      <w:pPr>
        <w:tabs>
          <w:tab w:val="left" w:pos="4667"/>
        </w:tabs>
        <w:spacing w:line="360" w:lineRule="auto"/>
        <w:ind w:left="567" w:right="567"/>
        <w:contextualSpacing/>
        <w:jc w:val="both"/>
        <w:rPr>
          <w:rFonts w:ascii="Palatino Linotype" w:eastAsia="Palatino Linotype" w:hAnsi="Palatino Linotype" w:cs="Palatino Linotype"/>
          <w:i/>
          <w:iCs/>
        </w:rPr>
      </w:pPr>
      <w:r w:rsidRPr="004C5EC4">
        <w:rPr>
          <w:rFonts w:ascii="Palatino Linotype" w:eastAsia="Palatino Linotype" w:hAnsi="Palatino Linotype" w:cs="Palatino Linotype"/>
          <w:i/>
          <w:iCs/>
        </w:rPr>
        <w:t>“…</w:t>
      </w:r>
      <w:r w:rsidRPr="00285A88">
        <w:rPr>
          <w:rFonts w:ascii="Palatino Linotype" w:eastAsia="Palatino Linotype" w:hAnsi="Palatino Linotype" w:cs="Palatino Linotype"/>
          <w:i/>
          <w:iCs/>
        </w:rPr>
        <w:t xml:space="preserve">PRIMERO.- Con el objeto de que se me </w:t>
      </w:r>
      <w:proofErr w:type="spellStart"/>
      <w:r w:rsidRPr="00285A88">
        <w:rPr>
          <w:rFonts w:ascii="Palatino Linotype" w:eastAsia="Palatino Linotype" w:hAnsi="Palatino Linotype" w:cs="Palatino Linotype"/>
          <w:i/>
          <w:iCs/>
        </w:rPr>
        <w:t>entreque</w:t>
      </w:r>
      <w:proofErr w:type="spellEnd"/>
      <w:r w:rsidRPr="00285A88">
        <w:rPr>
          <w:rFonts w:ascii="Palatino Linotype" w:eastAsia="Palatino Linotype" w:hAnsi="Palatino Linotype" w:cs="Palatino Linotype"/>
          <w:i/>
          <w:iCs/>
        </w:rPr>
        <w:t xml:space="preserve"> </w:t>
      </w:r>
      <w:proofErr w:type="spellStart"/>
      <w:r w:rsidRPr="00285A88">
        <w:rPr>
          <w:rFonts w:ascii="Palatino Linotype" w:eastAsia="Palatino Linotype" w:hAnsi="Palatino Linotype" w:cs="Palatino Linotype"/>
          <w:i/>
          <w:iCs/>
        </w:rPr>
        <w:t>spuesta</w:t>
      </w:r>
      <w:proofErr w:type="spellEnd"/>
      <w:r w:rsidRPr="00285A88">
        <w:rPr>
          <w:rFonts w:ascii="Palatino Linotype" w:eastAsia="Palatino Linotype" w:hAnsi="Palatino Linotype" w:cs="Palatino Linotype"/>
          <w:i/>
          <w:iCs/>
        </w:rPr>
        <w:t xml:space="preserve"> con TRANSPARENCIA, estimare que la respuesta sea suscrita por la H. Presidenta Municipal de Ecatepec de Morelos, con todo respeto agradeceré, se me indique el número de Valoraciones de Riesgo y Dictámenes Técnicos, realizados por la Dirección de Medio Ambiente y </w:t>
      </w:r>
      <w:proofErr w:type="spellStart"/>
      <w:r w:rsidRPr="00285A88">
        <w:rPr>
          <w:rFonts w:ascii="Palatino Linotype" w:eastAsia="Palatino Linotype" w:hAnsi="Palatino Linotype" w:cs="Palatino Linotype"/>
          <w:i/>
          <w:iCs/>
        </w:rPr>
        <w:t>Ecologla</w:t>
      </w:r>
      <w:proofErr w:type="spellEnd"/>
      <w:r w:rsidRPr="00285A88">
        <w:rPr>
          <w:rFonts w:ascii="Palatino Linotype" w:eastAsia="Palatino Linotype" w:hAnsi="Palatino Linotype" w:cs="Palatino Linotype"/>
          <w:i/>
          <w:iCs/>
        </w:rPr>
        <w:t xml:space="preserve"> en el año 2025, al 21 de noviembre de 2025, relacionados con la poda, derribo y/o trasplante de un árbol ubicados en banquetas de TODO EL MUNICIPIO de Ecatepec de Morelos. </w:t>
      </w:r>
    </w:p>
    <w:p w14:paraId="42EDA783" w14:textId="77777777" w:rsidR="00285A88" w:rsidRDefault="00285A88" w:rsidP="009E38E7">
      <w:pPr>
        <w:tabs>
          <w:tab w:val="left" w:pos="4667"/>
        </w:tabs>
        <w:spacing w:line="360" w:lineRule="auto"/>
        <w:ind w:left="567" w:right="567"/>
        <w:contextualSpacing/>
        <w:jc w:val="both"/>
        <w:rPr>
          <w:rFonts w:ascii="Palatino Linotype" w:eastAsia="Palatino Linotype" w:hAnsi="Palatino Linotype" w:cs="Palatino Linotype"/>
          <w:i/>
          <w:iCs/>
        </w:rPr>
      </w:pPr>
      <w:proofErr w:type="gramStart"/>
      <w:r w:rsidRPr="00285A88">
        <w:rPr>
          <w:rFonts w:ascii="Palatino Linotype" w:eastAsia="Palatino Linotype" w:hAnsi="Palatino Linotype" w:cs="Palatino Linotype"/>
          <w:i/>
          <w:iCs/>
        </w:rPr>
        <w:t>SEGUNDO.-</w:t>
      </w:r>
      <w:proofErr w:type="gramEnd"/>
      <w:r w:rsidRPr="00285A88">
        <w:rPr>
          <w:rFonts w:ascii="Palatino Linotype" w:eastAsia="Palatino Linotype" w:hAnsi="Palatino Linotype" w:cs="Palatino Linotype"/>
          <w:i/>
          <w:iCs/>
        </w:rPr>
        <w:t xml:space="preserve"> Cuantas son Valoraciones de Riesgo en 2025, por Dependencia. </w:t>
      </w:r>
    </w:p>
    <w:p w14:paraId="63486D89" w14:textId="77777777" w:rsidR="00285A88" w:rsidRDefault="00285A88" w:rsidP="009E38E7">
      <w:pPr>
        <w:tabs>
          <w:tab w:val="left" w:pos="4667"/>
        </w:tabs>
        <w:spacing w:line="360" w:lineRule="auto"/>
        <w:ind w:left="567" w:right="567"/>
        <w:contextualSpacing/>
        <w:jc w:val="both"/>
        <w:rPr>
          <w:rFonts w:ascii="Palatino Linotype" w:eastAsia="Palatino Linotype" w:hAnsi="Palatino Linotype" w:cs="Palatino Linotype"/>
          <w:i/>
          <w:iCs/>
        </w:rPr>
      </w:pPr>
      <w:r w:rsidRPr="00285A88">
        <w:rPr>
          <w:rFonts w:ascii="Palatino Linotype" w:eastAsia="Palatino Linotype" w:hAnsi="Palatino Linotype" w:cs="Palatino Linotype"/>
          <w:i/>
          <w:iCs/>
        </w:rPr>
        <w:lastRenderedPageBreak/>
        <w:t xml:space="preserve">TERCERO. Cuantos son Dictámenes Técnicos en 2025, por Dependencia. </w:t>
      </w:r>
    </w:p>
    <w:p w14:paraId="5F1194CB" w14:textId="1D42A87F" w:rsidR="00285A88" w:rsidRDefault="00285A88" w:rsidP="009E38E7">
      <w:pPr>
        <w:tabs>
          <w:tab w:val="left" w:pos="4667"/>
        </w:tabs>
        <w:spacing w:line="360" w:lineRule="auto"/>
        <w:ind w:left="567" w:right="567"/>
        <w:contextualSpacing/>
        <w:jc w:val="both"/>
        <w:rPr>
          <w:rFonts w:ascii="Palatino Linotype" w:eastAsia="Palatino Linotype" w:hAnsi="Palatino Linotype" w:cs="Palatino Linotype"/>
          <w:i/>
          <w:iCs/>
        </w:rPr>
      </w:pPr>
      <w:proofErr w:type="gramStart"/>
      <w:r w:rsidRPr="00285A88">
        <w:rPr>
          <w:rFonts w:ascii="Palatino Linotype" w:eastAsia="Palatino Linotype" w:hAnsi="Palatino Linotype" w:cs="Palatino Linotype"/>
          <w:i/>
          <w:iCs/>
        </w:rPr>
        <w:t>CUARTO.-</w:t>
      </w:r>
      <w:proofErr w:type="gramEnd"/>
      <w:r w:rsidRPr="00285A88">
        <w:rPr>
          <w:rFonts w:ascii="Palatino Linotype" w:eastAsia="Palatino Linotype" w:hAnsi="Palatino Linotype" w:cs="Palatino Linotype"/>
          <w:i/>
          <w:iCs/>
        </w:rPr>
        <w:t xml:space="preserve">Cuantos derribos ha realizado la Dirección de Medio Ambiente y, Ecología en 2025. </w:t>
      </w:r>
      <w:proofErr w:type="gramStart"/>
      <w:r w:rsidRPr="00285A88">
        <w:rPr>
          <w:rFonts w:ascii="Palatino Linotype" w:eastAsia="Palatino Linotype" w:hAnsi="Palatino Linotype" w:cs="Palatino Linotype"/>
          <w:i/>
          <w:iCs/>
        </w:rPr>
        <w:t>QUINTO.-</w:t>
      </w:r>
      <w:proofErr w:type="gramEnd"/>
      <w:r w:rsidRPr="00285A88">
        <w:rPr>
          <w:rFonts w:ascii="Palatino Linotype" w:eastAsia="Palatino Linotype" w:hAnsi="Palatino Linotype" w:cs="Palatino Linotype"/>
          <w:i/>
          <w:iCs/>
        </w:rPr>
        <w:t xml:space="preserve"> Cuantos derribos ha realizado la Dirección de Protección Civil y Bomberos</w:t>
      </w:r>
      <w:r w:rsidR="00152065">
        <w:rPr>
          <w:rFonts w:ascii="Palatino Linotype" w:eastAsia="Palatino Linotype" w:hAnsi="Palatino Linotype" w:cs="Palatino Linotype"/>
          <w:i/>
          <w:iCs/>
        </w:rPr>
        <w:t xml:space="preserve"> </w:t>
      </w:r>
      <w:r w:rsidR="00152065" w:rsidRPr="00152065">
        <w:rPr>
          <w:rFonts w:ascii="Palatino Linotype" w:eastAsia="Palatino Linotype" w:hAnsi="Palatino Linotype" w:cs="Palatino Linotype"/>
          <w:i/>
          <w:iCs/>
        </w:rPr>
        <w:t xml:space="preserve">en 2025. </w:t>
      </w:r>
      <w:proofErr w:type="gramStart"/>
      <w:r w:rsidR="00152065" w:rsidRPr="00152065">
        <w:rPr>
          <w:rFonts w:ascii="Palatino Linotype" w:eastAsia="Palatino Linotype" w:hAnsi="Palatino Linotype" w:cs="Palatino Linotype"/>
          <w:i/>
          <w:iCs/>
        </w:rPr>
        <w:t>SEXTO.-</w:t>
      </w:r>
      <w:proofErr w:type="gramEnd"/>
      <w:r w:rsidR="00152065" w:rsidRPr="00152065">
        <w:rPr>
          <w:rFonts w:ascii="Palatino Linotype" w:eastAsia="Palatino Linotype" w:hAnsi="Palatino Linotype" w:cs="Palatino Linotype"/>
          <w:i/>
          <w:iCs/>
        </w:rPr>
        <w:t xml:space="preserve"> Cuantos ha realizado otras Dependencias, o empresas privadas en 2025.</w:t>
      </w:r>
    </w:p>
    <w:p w14:paraId="0C557A56" w14:textId="77777777" w:rsidR="00152065" w:rsidRDefault="00152065" w:rsidP="009E38E7">
      <w:pPr>
        <w:tabs>
          <w:tab w:val="left" w:pos="4667"/>
        </w:tabs>
        <w:spacing w:line="360" w:lineRule="auto"/>
        <w:ind w:left="567" w:right="567"/>
        <w:contextualSpacing/>
        <w:jc w:val="both"/>
        <w:rPr>
          <w:rFonts w:ascii="Palatino Linotype" w:eastAsia="Palatino Linotype" w:hAnsi="Palatino Linotype" w:cs="Palatino Linotype"/>
          <w:i/>
          <w:iCs/>
        </w:rPr>
      </w:pPr>
    </w:p>
    <w:p w14:paraId="262011BA" w14:textId="5315F499" w:rsidR="00285A88" w:rsidRDefault="00285A88" w:rsidP="009E38E7">
      <w:pPr>
        <w:tabs>
          <w:tab w:val="left" w:pos="4667"/>
        </w:tabs>
        <w:spacing w:line="360" w:lineRule="auto"/>
        <w:ind w:left="567" w:right="567"/>
        <w:contextualSpacing/>
        <w:jc w:val="both"/>
        <w:rPr>
          <w:rFonts w:ascii="Palatino Linotype" w:eastAsia="Palatino Linotype" w:hAnsi="Palatino Linotype" w:cs="Palatino Linotype"/>
          <w:i/>
          <w:iCs/>
        </w:rPr>
      </w:pPr>
      <w:r w:rsidRPr="00285A88">
        <w:rPr>
          <w:rFonts w:ascii="Palatino Linotype" w:eastAsia="Palatino Linotype" w:hAnsi="Palatino Linotype" w:cs="Palatino Linotype"/>
          <w:i/>
          <w:iCs/>
        </w:rPr>
        <w:t xml:space="preserve">Derivado a lo anterior le informo lo siguiente: </w:t>
      </w:r>
    </w:p>
    <w:p w14:paraId="4B9D03E8" w14:textId="77777777" w:rsidR="00285A88" w:rsidRDefault="00285A88" w:rsidP="009E38E7">
      <w:pPr>
        <w:tabs>
          <w:tab w:val="left" w:pos="4667"/>
        </w:tabs>
        <w:spacing w:line="360" w:lineRule="auto"/>
        <w:ind w:left="567" w:right="567"/>
        <w:contextualSpacing/>
        <w:jc w:val="both"/>
        <w:rPr>
          <w:rFonts w:ascii="Palatino Linotype" w:eastAsia="Palatino Linotype" w:hAnsi="Palatino Linotype" w:cs="Palatino Linotype"/>
          <w:i/>
          <w:iCs/>
        </w:rPr>
      </w:pPr>
    </w:p>
    <w:p w14:paraId="14F9A4CC" w14:textId="77777777" w:rsidR="00285A88" w:rsidRDefault="00285A88" w:rsidP="009E38E7">
      <w:pPr>
        <w:tabs>
          <w:tab w:val="left" w:pos="4667"/>
        </w:tabs>
        <w:spacing w:line="360" w:lineRule="auto"/>
        <w:ind w:left="567" w:right="567"/>
        <w:contextualSpacing/>
        <w:jc w:val="both"/>
        <w:rPr>
          <w:rFonts w:ascii="Palatino Linotype" w:eastAsia="Palatino Linotype" w:hAnsi="Palatino Linotype" w:cs="Palatino Linotype"/>
          <w:i/>
          <w:iCs/>
        </w:rPr>
      </w:pPr>
      <w:r w:rsidRPr="00285A88">
        <w:rPr>
          <w:rFonts w:ascii="Palatino Linotype" w:eastAsia="Palatino Linotype" w:hAnsi="Palatino Linotype" w:cs="Palatino Linotype"/>
          <w:i/>
          <w:iCs/>
        </w:rPr>
        <w:t xml:space="preserve">Punto Primero y </w:t>
      </w:r>
      <w:proofErr w:type="spellStart"/>
      <w:proofErr w:type="gramStart"/>
      <w:r w:rsidRPr="00285A88">
        <w:rPr>
          <w:rFonts w:ascii="Palatino Linotype" w:eastAsia="Palatino Linotype" w:hAnsi="Palatino Linotype" w:cs="Palatino Linotype"/>
          <w:i/>
          <w:iCs/>
        </w:rPr>
        <w:t>Sequndo</w:t>
      </w:r>
      <w:proofErr w:type="spellEnd"/>
      <w:r w:rsidRPr="00285A88">
        <w:rPr>
          <w:rFonts w:ascii="Palatino Linotype" w:eastAsia="Palatino Linotype" w:hAnsi="Palatino Linotype" w:cs="Palatino Linotype"/>
          <w:i/>
          <w:iCs/>
        </w:rPr>
        <w:t>.-</w:t>
      </w:r>
      <w:proofErr w:type="gramEnd"/>
      <w:r w:rsidRPr="00285A88">
        <w:rPr>
          <w:rFonts w:ascii="Palatino Linotype" w:eastAsia="Palatino Linotype" w:hAnsi="Palatino Linotype" w:cs="Palatino Linotype"/>
          <w:i/>
          <w:iCs/>
        </w:rPr>
        <w:t xml:space="preserve"> Con el propósito de dar cumplimiento y </w:t>
      </w:r>
      <w:proofErr w:type="spellStart"/>
      <w:r w:rsidRPr="00285A88">
        <w:rPr>
          <w:rFonts w:ascii="Palatino Linotype" w:eastAsia="Palatino Linotype" w:hAnsi="Palatino Linotype" w:cs="Palatino Linotype"/>
          <w:i/>
          <w:iCs/>
        </w:rPr>
        <w:t>sequimiento</w:t>
      </w:r>
      <w:proofErr w:type="spellEnd"/>
      <w:r w:rsidRPr="00285A88">
        <w:rPr>
          <w:rFonts w:ascii="Palatino Linotype" w:eastAsia="Palatino Linotype" w:hAnsi="Palatino Linotype" w:cs="Palatino Linotype"/>
          <w:i/>
          <w:iCs/>
        </w:rPr>
        <w:t xml:space="preserve"> a la solicitud antes referida le ratifico que al realizar búsqueda exhaustiva y minuciosa se localizó el archivo documental de Veintiún (23) Visitas Oculares de Valoraciones de Riesgos de Árboles en el Municipio de Ecatepec de Morelos del 01 de enero al 21 de noviembre del presente año; por lo que se anexa copia simple de valoraciones antes mencionadas. </w:t>
      </w:r>
    </w:p>
    <w:p w14:paraId="08B35B38" w14:textId="77777777" w:rsidR="00285A88" w:rsidRDefault="00285A88" w:rsidP="009E38E7">
      <w:pPr>
        <w:tabs>
          <w:tab w:val="left" w:pos="4667"/>
        </w:tabs>
        <w:spacing w:line="360" w:lineRule="auto"/>
        <w:ind w:left="567" w:right="567"/>
        <w:contextualSpacing/>
        <w:jc w:val="both"/>
        <w:rPr>
          <w:rFonts w:ascii="Palatino Linotype" w:eastAsia="Palatino Linotype" w:hAnsi="Palatino Linotype" w:cs="Palatino Linotype"/>
          <w:i/>
          <w:iCs/>
        </w:rPr>
      </w:pPr>
    </w:p>
    <w:p w14:paraId="378614DC" w14:textId="77777777" w:rsidR="00285A88" w:rsidRDefault="00285A88" w:rsidP="009E38E7">
      <w:pPr>
        <w:tabs>
          <w:tab w:val="left" w:pos="4667"/>
        </w:tabs>
        <w:spacing w:line="360" w:lineRule="auto"/>
        <w:ind w:left="567" w:right="567"/>
        <w:contextualSpacing/>
        <w:jc w:val="both"/>
        <w:rPr>
          <w:rFonts w:ascii="Palatino Linotype" w:eastAsia="Palatino Linotype" w:hAnsi="Palatino Linotype" w:cs="Palatino Linotype"/>
          <w:i/>
          <w:iCs/>
        </w:rPr>
      </w:pPr>
      <w:r w:rsidRPr="00285A88">
        <w:rPr>
          <w:rFonts w:ascii="Palatino Linotype" w:eastAsia="Palatino Linotype" w:hAnsi="Palatino Linotype" w:cs="Palatino Linotype"/>
          <w:i/>
          <w:iCs/>
        </w:rPr>
        <w:t xml:space="preserve">Punto Tercero : le informo de la manera más atenta que el Dictámenes Técnico de Riesgo es emitido por la Dirección de Medio Ambiente y Ecología; lo anterior con fundamento en lo suscrito en el artículo 60 del Bando Municipal vigente y que a su letra dice: La Dirección de Medio Ambiente y Ecología tendrá las siguientes facultades: Fracción VI Analizar y justificar técnicamente los dictámenes de riesgos emitidos por la Dirección de Protección Civil Bomberos para la ejecución de Trabajos en árboles, que por la magnitud del riesgo, se. ejecuten sin previa autorización, así mismo </w:t>
      </w:r>
      <w:proofErr w:type="spellStart"/>
      <w:r w:rsidRPr="00285A88">
        <w:rPr>
          <w:rFonts w:ascii="Palatino Linotype" w:eastAsia="Palatino Linotype" w:hAnsi="Palatino Linotype" w:cs="Palatino Linotype"/>
          <w:i/>
          <w:iCs/>
        </w:rPr>
        <w:t>determingra</w:t>
      </w:r>
      <w:proofErr w:type="spellEnd"/>
      <w:r w:rsidRPr="00285A88">
        <w:rPr>
          <w:rFonts w:ascii="Palatino Linotype" w:eastAsia="Palatino Linotype" w:hAnsi="Palatino Linotype" w:cs="Palatino Linotype"/>
          <w:i/>
          <w:iCs/>
        </w:rPr>
        <w:t xml:space="preserve"> en las autorizaciones que emita si se requiere la intervención de la Dirección de Protección Civil y Bomberos. </w:t>
      </w:r>
    </w:p>
    <w:p w14:paraId="457A9291" w14:textId="77777777" w:rsidR="00285A88" w:rsidRDefault="00285A88" w:rsidP="009E38E7">
      <w:pPr>
        <w:tabs>
          <w:tab w:val="left" w:pos="4667"/>
        </w:tabs>
        <w:spacing w:line="360" w:lineRule="auto"/>
        <w:ind w:left="567" w:right="567"/>
        <w:contextualSpacing/>
        <w:jc w:val="both"/>
        <w:rPr>
          <w:rFonts w:ascii="Palatino Linotype" w:eastAsia="Palatino Linotype" w:hAnsi="Palatino Linotype" w:cs="Palatino Linotype"/>
          <w:i/>
          <w:iCs/>
        </w:rPr>
      </w:pPr>
    </w:p>
    <w:p w14:paraId="1427632D" w14:textId="77777777" w:rsidR="00285A88" w:rsidRDefault="00285A88" w:rsidP="009E38E7">
      <w:pPr>
        <w:tabs>
          <w:tab w:val="left" w:pos="4667"/>
        </w:tabs>
        <w:spacing w:line="360" w:lineRule="auto"/>
        <w:ind w:left="567" w:right="567"/>
        <w:contextualSpacing/>
        <w:jc w:val="both"/>
        <w:rPr>
          <w:rFonts w:ascii="Palatino Linotype" w:eastAsia="Palatino Linotype" w:hAnsi="Palatino Linotype" w:cs="Palatino Linotype"/>
          <w:i/>
          <w:iCs/>
        </w:rPr>
      </w:pPr>
      <w:r w:rsidRPr="00285A88">
        <w:rPr>
          <w:rFonts w:ascii="Palatino Linotype" w:eastAsia="Palatino Linotype" w:hAnsi="Palatino Linotype" w:cs="Palatino Linotype"/>
          <w:i/>
          <w:iCs/>
        </w:rPr>
        <w:t xml:space="preserve">Punto </w:t>
      </w:r>
      <w:proofErr w:type="gramStart"/>
      <w:r w:rsidRPr="00285A88">
        <w:rPr>
          <w:rFonts w:ascii="Palatino Linotype" w:eastAsia="Palatino Linotype" w:hAnsi="Palatino Linotype" w:cs="Palatino Linotype"/>
          <w:i/>
          <w:iCs/>
        </w:rPr>
        <w:t>Cuarto.-</w:t>
      </w:r>
      <w:proofErr w:type="gramEnd"/>
      <w:r w:rsidRPr="00285A88">
        <w:rPr>
          <w:rFonts w:ascii="Palatino Linotype" w:eastAsia="Palatino Linotype" w:hAnsi="Palatino Linotype" w:cs="Palatino Linotype"/>
          <w:i/>
          <w:iCs/>
        </w:rPr>
        <w:t xml:space="preserve"> No omito comentar </w:t>
      </w:r>
      <w:proofErr w:type="gramStart"/>
      <w:r w:rsidRPr="00285A88">
        <w:rPr>
          <w:rFonts w:ascii="Palatino Linotype" w:eastAsia="Palatino Linotype" w:hAnsi="Palatino Linotype" w:cs="Palatino Linotype"/>
          <w:i/>
          <w:iCs/>
        </w:rPr>
        <w:t>que</w:t>
      </w:r>
      <w:proofErr w:type="gramEnd"/>
      <w:r w:rsidRPr="00285A88">
        <w:rPr>
          <w:rFonts w:ascii="Palatino Linotype" w:eastAsia="Palatino Linotype" w:hAnsi="Palatino Linotype" w:cs="Palatino Linotype"/>
          <w:i/>
          <w:iCs/>
        </w:rPr>
        <w:t xml:space="preserve"> en cuanto a los trabajos de poda, derribo y/o trasplante quedan fuera de las atribuciones consignadas a la Dirección que dignamente represento y os trabajos a realizar quedan a cargo de la Dirección de Medio Ambiente y </w:t>
      </w:r>
      <w:proofErr w:type="gramStart"/>
      <w:r w:rsidRPr="00285A88">
        <w:rPr>
          <w:rFonts w:ascii="Palatino Linotype" w:eastAsia="Palatino Linotype" w:hAnsi="Palatino Linotype" w:cs="Palatino Linotype"/>
          <w:i/>
          <w:iCs/>
        </w:rPr>
        <w:t>Ecología</w:t>
      </w:r>
      <w:proofErr w:type="gramEnd"/>
      <w:r w:rsidRPr="00285A88">
        <w:rPr>
          <w:rFonts w:ascii="Palatino Linotype" w:eastAsia="Palatino Linotype" w:hAnsi="Palatino Linotype" w:cs="Palatino Linotype"/>
          <w:i/>
          <w:iCs/>
        </w:rPr>
        <w:t xml:space="preserve"> así como de la Dirección de Servicios Públicos..."[sic]".</w:t>
      </w:r>
    </w:p>
    <w:p w14:paraId="1A1160CA" w14:textId="77777777" w:rsidR="00285A88" w:rsidRDefault="00285A88" w:rsidP="009E38E7">
      <w:pPr>
        <w:tabs>
          <w:tab w:val="left" w:pos="4667"/>
        </w:tabs>
        <w:spacing w:line="360" w:lineRule="auto"/>
        <w:ind w:left="567" w:right="567"/>
        <w:contextualSpacing/>
        <w:jc w:val="both"/>
        <w:rPr>
          <w:rFonts w:ascii="Palatino Linotype" w:eastAsia="Palatino Linotype" w:hAnsi="Palatino Linotype" w:cs="Palatino Linotype"/>
          <w:i/>
          <w:iCs/>
        </w:rPr>
      </w:pPr>
    </w:p>
    <w:p w14:paraId="4E8D5848" w14:textId="77777777" w:rsidR="00285A88" w:rsidRDefault="00285A88" w:rsidP="009E38E7">
      <w:pPr>
        <w:tabs>
          <w:tab w:val="left" w:pos="4667"/>
        </w:tabs>
        <w:spacing w:line="360" w:lineRule="auto"/>
        <w:ind w:left="567" w:right="567"/>
        <w:contextualSpacing/>
        <w:jc w:val="both"/>
        <w:rPr>
          <w:rFonts w:ascii="Palatino Linotype" w:eastAsia="Palatino Linotype" w:hAnsi="Palatino Linotype" w:cs="Palatino Linotype"/>
          <w:i/>
          <w:iCs/>
        </w:rPr>
      </w:pPr>
      <w:r w:rsidRPr="00285A88">
        <w:rPr>
          <w:rFonts w:ascii="Palatino Linotype" w:eastAsia="Palatino Linotype" w:hAnsi="Palatino Linotype" w:cs="Palatino Linotype"/>
          <w:i/>
          <w:iCs/>
        </w:rPr>
        <w:lastRenderedPageBreak/>
        <w:t xml:space="preserve">Punto </w:t>
      </w:r>
      <w:proofErr w:type="gramStart"/>
      <w:r w:rsidRPr="00285A88">
        <w:rPr>
          <w:rFonts w:ascii="Palatino Linotype" w:eastAsia="Palatino Linotype" w:hAnsi="Palatino Linotype" w:cs="Palatino Linotype"/>
          <w:i/>
          <w:iCs/>
        </w:rPr>
        <w:t>Quinto.-</w:t>
      </w:r>
      <w:proofErr w:type="gramEnd"/>
      <w:r w:rsidRPr="00285A88">
        <w:rPr>
          <w:rFonts w:ascii="Palatino Linotype" w:eastAsia="Palatino Linotype" w:hAnsi="Palatino Linotype" w:cs="Palatino Linotype"/>
          <w:i/>
          <w:iCs/>
        </w:rPr>
        <w:t xml:space="preserve"> Le comento que la Dirección que dignamente represento realizo búsqueda exhaustiva y minuciosa localizando en el Departamento del H. Cuerpo de Bomberos cuenta con la documentación de Ciento Ochenta y Un (181) derribos de árboles en Riesgo Inminente. </w:t>
      </w:r>
    </w:p>
    <w:p w14:paraId="2737916B" w14:textId="77777777" w:rsidR="00285A88" w:rsidRDefault="00285A88" w:rsidP="009E38E7">
      <w:pPr>
        <w:tabs>
          <w:tab w:val="left" w:pos="4667"/>
        </w:tabs>
        <w:spacing w:line="360" w:lineRule="auto"/>
        <w:ind w:left="567" w:right="567"/>
        <w:contextualSpacing/>
        <w:jc w:val="both"/>
        <w:rPr>
          <w:rFonts w:ascii="Palatino Linotype" w:eastAsia="Palatino Linotype" w:hAnsi="Palatino Linotype" w:cs="Palatino Linotype"/>
          <w:i/>
          <w:iCs/>
        </w:rPr>
      </w:pPr>
    </w:p>
    <w:p w14:paraId="018E3ED4" w14:textId="3A39BA85" w:rsidR="00285A88" w:rsidRPr="004C5EC4" w:rsidRDefault="00285A88" w:rsidP="009E38E7">
      <w:pPr>
        <w:tabs>
          <w:tab w:val="left" w:pos="4667"/>
        </w:tabs>
        <w:spacing w:line="360" w:lineRule="auto"/>
        <w:ind w:left="567" w:right="567"/>
        <w:contextualSpacing/>
        <w:jc w:val="both"/>
        <w:rPr>
          <w:rFonts w:ascii="Palatino Linotype" w:eastAsia="Palatino Linotype" w:hAnsi="Palatino Linotype" w:cs="Palatino Linotype"/>
          <w:i/>
          <w:iCs/>
        </w:rPr>
      </w:pPr>
      <w:r w:rsidRPr="00285A88">
        <w:rPr>
          <w:rFonts w:ascii="Palatino Linotype" w:eastAsia="Palatino Linotype" w:hAnsi="Palatino Linotype" w:cs="Palatino Linotype"/>
          <w:i/>
          <w:iCs/>
        </w:rPr>
        <w:t xml:space="preserve">Punto </w:t>
      </w:r>
      <w:proofErr w:type="gramStart"/>
      <w:r w:rsidRPr="00285A88">
        <w:rPr>
          <w:rFonts w:ascii="Palatino Linotype" w:eastAsia="Palatino Linotype" w:hAnsi="Palatino Linotype" w:cs="Palatino Linotype"/>
          <w:i/>
          <w:iCs/>
        </w:rPr>
        <w:t>Sexto.-</w:t>
      </w:r>
      <w:proofErr w:type="gramEnd"/>
      <w:r w:rsidRPr="00285A88">
        <w:rPr>
          <w:rFonts w:ascii="Palatino Linotype" w:eastAsia="Palatino Linotype" w:hAnsi="Palatino Linotype" w:cs="Palatino Linotype"/>
          <w:i/>
          <w:iCs/>
        </w:rPr>
        <w:t xml:space="preserve"> Le notifico de la manera más atenta que la dirección a mi </w:t>
      </w:r>
      <w:proofErr w:type="spellStart"/>
      <w:r w:rsidRPr="00285A88">
        <w:rPr>
          <w:rFonts w:ascii="Palatino Linotype" w:eastAsia="Palatino Linotype" w:hAnsi="Palatino Linotype" w:cs="Palatino Linotype"/>
          <w:i/>
          <w:iCs/>
        </w:rPr>
        <w:t>diano</w:t>
      </w:r>
      <w:proofErr w:type="spellEnd"/>
      <w:r w:rsidRPr="00285A88">
        <w:rPr>
          <w:rFonts w:ascii="Palatino Linotype" w:eastAsia="Palatino Linotype" w:hAnsi="Palatino Linotype" w:cs="Palatino Linotype"/>
          <w:i/>
          <w:iCs/>
        </w:rPr>
        <w:t xml:space="preserve"> cargo no cuenta con las facultades de </w:t>
      </w:r>
      <w:proofErr w:type="spellStart"/>
      <w:r w:rsidRPr="00285A88">
        <w:rPr>
          <w:rFonts w:ascii="Palatino Linotype" w:eastAsia="Palatino Linotype" w:hAnsi="Palatino Linotype" w:cs="Palatino Linotype"/>
          <w:i/>
          <w:iCs/>
        </w:rPr>
        <w:t>accesar</w:t>
      </w:r>
      <w:proofErr w:type="spellEnd"/>
      <w:r w:rsidRPr="00285A88">
        <w:rPr>
          <w:rFonts w:ascii="Palatino Linotype" w:eastAsia="Palatino Linotype" w:hAnsi="Palatino Linotype" w:cs="Palatino Linotype"/>
          <w:i/>
          <w:iCs/>
        </w:rPr>
        <w:t xml:space="preserve"> al registro de las empresas y o instancias particulares; por lo que me es imposible facilitar el dato solicitado</w:t>
      </w:r>
      <w:r w:rsidRPr="004C5EC4">
        <w:rPr>
          <w:rFonts w:ascii="Palatino Linotype" w:eastAsia="Palatino Linotype" w:hAnsi="Palatino Linotype" w:cs="Palatino Linotype"/>
          <w:i/>
          <w:iCs/>
        </w:rPr>
        <w:t>…”</w:t>
      </w:r>
    </w:p>
    <w:p w14:paraId="2B99E99E" w14:textId="77777777" w:rsidR="00285A88" w:rsidRPr="00AB032E" w:rsidRDefault="00285A88" w:rsidP="009E38E7">
      <w:pPr>
        <w:tabs>
          <w:tab w:val="left" w:pos="4667"/>
        </w:tabs>
        <w:spacing w:line="360" w:lineRule="auto"/>
        <w:contextualSpacing/>
        <w:jc w:val="both"/>
        <w:rPr>
          <w:rFonts w:ascii="Palatino Linotype" w:eastAsia="Palatino Linotype" w:hAnsi="Palatino Linotype" w:cs="Palatino Linotype"/>
          <w:sz w:val="22"/>
          <w:szCs w:val="22"/>
        </w:rPr>
      </w:pPr>
    </w:p>
    <w:p w14:paraId="0C293F58" w14:textId="77777777" w:rsidR="00B52CFA" w:rsidRPr="00633419" w:rsidRDefault="00B52CFA" w:rsidP="009E38E7">
      <w:pPr>
        <w:pStyle w:val="Ttulo2"/>
        <w:spacing w:before="0" w:after="0" w:line="360" w:lineRule="auto"/>
        <w:contextualSpacing/>
        <w:rPr>
          <w:rFonts w:ascii="Palatino Linotype" w:hAnsi="Palatino Linotype"/>
          <w:b/>
          <w:bCs/>
          <w:color w:val="auto"/>
          <w:sz w:val="22"/>
          <w:szCs w:val="22"/>
        </w:rPr>
      </w:pPr>
      <w:bookmarkStart w:id="8" w:name="_Toc223020142"/>
      <w:r w:rsidRPr="00633419">
        <w:rPr>
          <w:rFonts w:ascii="Palatino Linotype" w:hAnsi="Palatino Linotype"/>
          <w:b/>
          <w:bCs/>
          <w:color w:val="auto"/>
          <w:sz w:val="22"/>
          <w:szCs w:val="22"/>
        </w:rPr>
        <w:t>III. Interposición del Recurso de Revisión</w:t>
      </w:r>
      <w:bookmarkEnd w:id="8"/>
    </w:p>
    <w:p w14:paraId="256FB85C" w14:textId="77777777" w:rsidR="00B52CFA" w:rsidRDefault="00B52CFA" w:rsidP="009E38E7">
      <w:pPr>
        <w:spacing w:line="360" w:lineRule="auto"/>
        <w:contextualSpacing/>
        <w:jc w:val="both"/>
        <w:rPr>
          <w:rFonts w:ascii="Palatino Linotype" w:eastAsia="Palatino Linotype" w:hAnsi="Palatino Linotype" w:cs="Palatino Linotype"/>
          <w:sz w:val="22"/>
          <w:szCs w:val="22"/>
        </w:rPr>
      </w:pPr>
    </w:p>
    <w:p w14:paraId="4A006D66" w14:textId="2909DB6D" w:rsidR="00B52CFA" w:rsidRDefault="00B52CFA" w:rsidP="009E38E7">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Con fecha </w:t>
      </w:r>
      <w:r w:rsidR="00152065">
        <w:rPr>
          <w:rFonts w:ascii="Palatino Linotype" w:eastAsia="Palatino Linotype" w:hAnsi="Palatino Linotype" w:cs="Palatino Linotype"/>
          <w:sz w:val="22"/>
          <w:szCs w:val="22"/>
        </w:rPr>
        <w:t xml:space="preserve">diecinueve </w:t>
      </w:r>
      <w:r>
        <w:rPr>
          <w:rFonts w:ascii="Palatino Linotype" w:eastAsia="Palatino Linotype" w:hAnsi="Palatino Linotype" w:cs="Palatino Linotype"/>
          <w:sz w:val="22"/>
          <w:szCs w:val="22"/>
        </w:rPr>
        <w:t xml:space="preserve">de diciembre de dos mil veinticinco, se recibió en este Instituto, a través del SAIMEX, el Recurso de Revisión interpuesto por la parte Recurrente, en contra de la respuesta del Ayuntamiento de </w:t>
      </w:r>
      <w:r w:rsidR="00152065">
        <w:rPr>
          <w:rFonts w:ascii="Palatino Linotype" w:eastAsia="Palatino Linotype" w:hAnsi="Palatino Linotype" w:cs="Palatino Linotype"/>
          <w:sz w:val="22"/>
          <w:szCs w:val="22"/>
        </w:rPr>
        <w:t>Ecatepec de Morelos</w:t>
      </w:r>
      <w:r>
        <w:rPr>
          <w:rFonts w:ascii="Palatino Linotype" w:eastAsia="Palatino Linotype" w:hAnsi="Palatino Linotype" w:cs="Palatino Linotype"/>
          <w:sz w:val="22"/>
          <w:szCs w:val="22"/>
        </w:rPr>
        <w:t>,</w:t>
      </w:r>
      <w:r>
        <w:rPr>
          <w:rFonts w:ascii="Palatino Linotype" w:eastAsia="Palatino Linotype" w:hAnsi="Palatino Linotype" w:cs="Palatino Linotype"/>
          <w:b/>
          <w:bCs/>
          <w:sz w:val="22"/>
          <w:szCs w:val="22"/>
        </w:rPr>
        <w:t xml:space="preserve"> </w:t>
      </w:r>
      <w:r>
        <w:rPr>
          <w:rFonts w:ascii="Palatino Linotype" w:eastAsia="Palatino Linotype" w:hAnsi="Palatino Linotype" w:cs="Palatino Linotype"/>
          <w:sz w:val="22"/>
          <w:szCs w:val="22"/>
        </w:rPr>
        <w:t>en los siguientes términos:</w:t>
      </w:r>
    </w:p>
    <w:p w14:paraId="0D71C2F1" w14:textId="77777777" w:rsidR="00B52CFA" w:rsidRDefault="00B52CFA" w:rsidP="009E38E7">
      <w:pPr>
        <w:spacing w:line="360" w:lineRule="auto"/>
        <w:contextualSpacing/>
        <w:jc w:val="both"/>
        <w:rPr>
          <w:rFonts w:ascii="Palatino Linotype" w:eastAsia="Palatino Linotype" w:hAnsi="Palatino Linotype" w:cs="Palatino Linotype"/>
          <w:b/>
          <w:sz w:val="22"/>
          <w:szCs w:val="22"/>
        </w:rPr>
      </w:pPr>
    </w:p>
    <w:p w14:paraId="605045B4" w14:textId="77777777" w:rsidR="00B52CFA" w:rsidRPr="004C5EC4" w:rsidRDefault="00B52CFA" w:rsidP="009E38E7">
      <w:pPr>
        <w:spacing w:line="360" w:lineRule="auto"/>
        <w:ind w:left="567" w:right="567"/>
        <w:contextualSpacing/>
        <w:jc w:val="both"/>
        <w:rPr>
          <w:rFonts w:ascii="Palatino Linotype" w:eastAsia="Palatino Linotype" w:hAnsi="Palatino Linotype" w:cs="Palatino Linotype"/>
          <w:i/>
        </w:rPr>
      </w:pPr>
      <w:r w:rsidRPr="004C5EC4">
        <w:rPr>
          <w:rFonts w:ascii="Palatino Linotype" w:eastAsia="Palatino Linotype" w:hAnsi="Palatino Linotype" w:cs="Palatino Linotype"/>
          <w:b/>
          <w:i/>
        </w:rPr>
        <w:t>ACTO IMPUGNADO</w:t>
      </w:r>
    </w:p>
    <w:p w14:paraId="6D0FE9AD" w14:textId="77777777" w:rsidR="00152065" w:rsidRDefault="00B52CFA" w:rsidP="009E38E7">
      <w:pPr>
        <w:spacing w:line="360" w:lineRule="auto"/>
        <w:ind w:left="567" w:right="567"/>
        <w:contextualSpacing/>
        <w:jc w:val="both"/>
        <w:rPr>
          <w:rFonts w:ascii="Palatino Linotype" w:eastAsia="Palatino Linotype" w:hAnsi="Palatino Linotype" w:cs="Palatino Linotype"/>
          <w:i/>
        </w:rPr>
      </w:pPr>
      <w:r w:rsidRPr="004C5EC4">
        <w:rPr>
          <w:rFonts w:ascii="Palatino Linotype" w:eastAsia="Palatino Linotype" w:hAnsi="Palatino Linotype" w:cs="Palatino Linotype"/>
          <w:i/>
        </w:rPr>
        <w:t>“</w:t>
      </w:r>
      <w:r w:rsidR="00152065" w:rsidRPr="00152065">
        <w:rPr>
          <w:rFonts w:ascii="Palatino Linotype" w:hAnsi="Palatino Linotype"/>
          <w:i/>
        </w:rPr>
        <w:t xml:space="preserve">Con el objeto de que se me entregue una respuesta con TRANSPARENCIA, estimare que la respuesta sea suscrita por la H. </w:t>
      </w:r>
      <w:proofErr w:type="gramStart"/>
      <w:r w:rsidR="00152065" w:rsidRPr="00152065">
        <w:rPr>
          <w:rFonts w:ascii="Palatino Linotype" w:hAnsi="Palatino Linotype"/>
          <w:i/>
        </w:rPr>
        <w:t>Presidenta</w:t>
      </w:r>
      <w:proofErr w:type="gramEnd"/>
      <w:r w:rsidR="00152065" w:rsidRPr="00152065">
        <w:rPr>
          <w:rFonts w:ascii="Palatino Linotype" w:hAnsi="Palatino Linotype"/>
          <w:i/>
        </w:rPr>
        <w:t xml:space="preserve"> Municipal de Ecatepec de Morelos, con todo respeto agradeceré, se me indique el número de Valoraciones de Riesgo y Dictámenes Técnicos, realizados por la Dirección de Medio Ambiente y Ecología en el año 2025, al 21 de noviembre de 2025, relacionados con la poda, derribo y/o trasplante de un árbol ubicados en banquetas de TODO EL MUNICIPIO de Ecatepec de Morelos. 1.- Cuantas son Valoraciones de Riesgo en 2025, por Dependencia. 2. Cuantos son Dictámenes Técnicos en 2025, por Dependencia. 3.- Cuantos derribos ha realizado la Dirección de Medio Ambiente y Ecología en 2025. 4.- Cuantos derribos ha realizado la Dirección de Protección Civil y Bomberos en 2025. 2.- Cuantos ha realizado otras Dependencias, o empresas privadas en 2025</w:t>
      </w:r>
      <w:r w:rsidRPr="004C5EC4">
        <w:rPr>
          <w:rFonts w:ascii="Palatino Linotype" w:eastAsia="Palatino Linotype" w:hAnsi="Palatino Linotype" w:cs="Palatino Linotype"/>
          <w:i/>
          <w:color w:val="000000"/>
        </w:rPr>
        <w:t>.</w:t>
      </w:r>
      <w:r w:rsidRPr="004C5EC4">
        <w:rPr>
          <w:rFonts w:ascii="Palatino Linotype" w:eastAsia="Palatino Linotype" w:hAnsi="Palatino Linotype" w:cs="Palatino Linotype"/>
          <w:i/>
        </w:rPr>
        <w:t xml:space="preserve">” </w:t>
      </w:r>
    </w:p>
    <w:p w14:paraId="028F0667" w14:textId="72A98994" w:rsidR="00B52CFA" w:rsidRPr="004C5EC4" w:rsidRDefault="00B52CFA" w:rsidP="009E38E7">
      <w:pPr>
        <w:spacing w:line="360" w:lineRule="auto"/>
        <w:ind w:left="567" w:right="567"/>
        <w:contextualSpacing/>
        <w:jc w:val="both"/>
        <w:rPr>
          <w:rFonts w:ascii="Palatino Linotype" w:hAnsi="Palatino Linotype"/>
          <w:i/>
        </w:rPr>
      </w:pPr>
      <w:r w:rsidRPr="004C5EC4">
        <w:rPr>
          <w:rFonts w:ascii="Palatino Linotype" w:eastAsia="Palatino Linotype" w:hAnsi="Palatino Linotype" w:cs="Palatino Linotype"/>
          <w:i/>
        </w:rPr>
        <w:t>(Sic)</w:t>
      </w:r>
    </w:p>
    <w:p w14:paraId="43F54222" w14:textId="77777777" w:rsidR="00B52CFA" w:rsidRPr="004C5EC4" w:rsidRDefault="00B52CFA" w:rsidP="009E38E7">
      <w:pPr>
        <w:spacing w:line="360" w:lineRule="auto"/>
        <w:ind w:left="567" w:right="567"/>
        <w:contextualSpacing/>
        <w:jc w:val="both"/>
        <w:rPr>
          <w:rFonts w:ascii="Palatino Linotype" w:eastAsia="Palatino Linotype" w:hAnsi="Palatino Linotype" w:cs="Palatino Linotype"/>
          <w:i/>
        </w:rPr>
      </w:pPr>
    </w:p>
    <w:p w14:paraId="32F6EC58" w14:textId="77777777" w:rsidR="00B52CFA" w:rsidRPr="004C5EC4" w:rsidRDefault="00B52CFA" w:rsidP="009E38E7">
      <w:pPr>
        <w:spacing w:line="360" w:lineRule="auto"/>
        <w:ind w:left="567" w:right="567"/>
        <w:contextualSpacing/>
        <w:jc w:val="both"/>
        <w:rPr>
          <w:rFonts w:ascii="Palatino Linotype" w:eastAsia="Palatino Linotype" w:hAnsi="Palatino Linotype" w:cs="Palatino Linotype"/>
          <w:b/>
          <w:i/>
        </w:rPr>
      </w:pPr>
      <w:r w:rsidRPr="004C5EC4">
        <w:rPr>
          <w:rFonts w:ascii="Palatino Linotype" w:eastAsia="Palatino Linotype" w:hAnsi="Palatino Linotype" w:cs="Palatino Linotype"/>
          <w:b/>
          <w:i/>
        </w:rPr>
        <w:t>RAZONES O MOTIVOS DE LA INCONFORMIDAD</w:t>
      </w:r>
    </w:p>
    <w:p w14:paraId="5907C41D" w14:textId="77777777" w:rsidR="00152065" w:rsidRDefault="00B52CFA" w:rsidP="009E38E7">
      <w:pPr>
        <w:spacing w:line="360" w:lineRule="auto"/>
        <w:ind w:left="567" w:right="567"/>
        <w:contextualSpacing/>
        <w:jc w:val="both"/>
        <w:rPr>
          <w:rFonts w:ascii="Palatino Linotype" w:eastAsia="Palatino Linotype" w:hAnsi="Palatino Linotype" w:cs="Palatino Linotype"/>
          <w:i/>
        </w:rPr>
      </w:pPr>
      <w:r w:rsidRPr="004C5EC4">
        <w:rPr>
          <w:rFonts w:ascii="Palatino Linotype" w:eastAsia="Palatino Linotype" w:hAnsi="Palatino Linotype" w:cs="Palatino Linotype"/>
          <w:i/>
          <w:color w:val="000000"/>
        </w:rPr>
        <w:lastRenderedPageBreak/>
        <w:t>“</w:t>
      </w:r>
      <w:r w:rsidR="00152065" w:rsidRPr="00152065">
        <w:rPr>
          <w:rFonts w:ascii="Palatino Linotype" w:eastAsia="Palatino Linotype" w:hAnsi="Palatino Linotype" w:cs="Palatino Linotype"/>
          <w:i/>
          <w:color w:val="000000"/>
        </w:rPr>
        <w:t>La entrega de información está incompleta ya que no "anexa copia de las Valoraciones" y no se precisa quien tiene acceso a los registros para dar respuesta a "Cuantos ha realizado otras Dependencias, o empresas privadas en 2025</w:t>
      </w:r>
      <w:r w:rsidRPr="004C5EC4">
        <w:rPr>
          <w:rFonts w:ascii="Palatino Linotype" w:eastAsia="Palatino Linotype" w:hAnsi="Palatino Linotype" w:cs="Palatino Linotype"/>
          <w:i/>
          <w:color w:val="000000"/>
        </w:rPr>
        <w:t>.</w:t>
      </w:r>
      <w:r>
        <w:rPr>
          <w:rFonts w:ascii="Palatino Linotype" w:eastAsia="Palatino Linotype" w:hAnsi="Palatino Linotype" w:cs="Palatino Linotype"/>
          <w:i/>
        </w:rPr>
        <w:t xml:space="preserve">” </w:t>
      </w:r>
    </w:p>
    <w:p w14:paraId="45D5BC38" w14:textId="7035BFB0" w:rsidR="00B52CFA" w:rsidRDefault="00B52CFA" w:rsidP="009E38E7">
      <w:pPr>
        <w:spacing w:line="360" w:lineRule="auto"/>
        <w:ind w:left="567" w:right="567"/>
        <w:contextualSpacing/>
        <w:jc w:val="both"/>
        <w:rPr>
          <w:rFonts w:ascii="Palatino Linotype" w:eastAsia="Palatino Linotype" w:hAnsi="Palatino Linotype" w:cs="Palatino Linotype"/>
          <w:i/>
        </w:rPr>
      </w:pPr>
      <w:r>
        <w:rPr>
          <w:rFonts w:ascii="Palatino Linotype" w:eastAsia="Palatino Linotype" w:hAnsi="Palatino Linotype" w:cs="Palatino Linotype"/>
          <w:i/>
        </w:rPr>
        <w:t>(Sic)</w:t>
      </w:r>
    </w:p>
    <w:p w14:paraId="33A2786D" w14:textId="77777777" w:rsidR="00B52CFA" w:rsidRDefault="00B52CFA" w:rsidP="009E38E7">
      <w:pPr>
        <w:spacing w:line="360" w:lineRule="auto"/>
        <w:ind w:left="567" w:right="567"/>
        <w:contextualSpacing/>
        <w:jc w:val="both"/>
        <w:rPr>
          <w:rFonts w:ascii="Palatino Linotype" w:eastAsia="Palatino Linotype" w:hAnsi="Palatino Linotype" w:cs="Palatino Linotype"/>
          <w:i/>
        </w:rPr>
      </w:pPr>
    </w:p>
    <w:p w14:paraId="7AF2BD65" w14:textId="77777777" w:rsidR="00B52CFA" w:rsidRPr="00633419" w:rsidRDefault="00B52CFA" w:rsidP="009E38E7">
      <w:pPr>
        <w:pStyle w:val="Ttulo2"/>
        <w:spacing w:before="0" w:after="0" w:line="360" w:lineRule="auto"/>
        <w:contextualSpacing/>
        <w:rPr>
          <w:rFonts w:ascii="Palatino Linotype" w:hAnsi="Palatino Linotype"/>
          <w:b/>
          <w:bCs/>
          <w:color w:val="auto"/>
          <w:sz w:val="22"/>
          <w:szCs w:val="22"/>
        </w:rPr>
      </w:pPr>
      <w:bookmarkStart w:id="9" w:name="_Toc223020143"/>
      <w:r w:rsidRPr="00633419">
        <w:rPr>
          <w:rFonts w:ascii="Palatino Linotype" w:hAnsi="Palatino Linotype"/>
          <w:b/>
          <w:bCs/>
          <w:color w:val="auto"/>
          <w:sz w:val="22"/>
          <w:szCs w:val="22"/>
        </w:rPr>
        <w:t>IV. Trámite del Recurso de Revisión ante este Instituto</w:t>
      </w:r>
      <w:bookmarkEnd w:id="9"/>
    </w:p>
    <w:p w14:paraId="4D58B6B0" w14:textId="77777777" w:rsidR="00B52CFA" w:rsidRDefault="00B52CFA" w:rsidP="009E38E7">
      <w:pPr>
        <w:spacing w:line="360" w:lineRule="auto"/>
        <w:contextualSpacing/>
        <w:jc w:val="both"/>
        <w:rPr>
          <w:rFonts w:ascii="Palatino Linotype" w:eastAsia="Palatino Linotype" w:hAnsi="Palatino Linotype" w:cs="Palatino Linotype"/>
          <w:b/>
          <w:sz w:val="22"/>
          <w:szCs w:val="22"/>
        </w:rPr>
      </w:pPr>
    </w:p>
    <w:p w14:paraId="5F656676" w14:textId="1EF9DF89" w:rsidR="00B52CFA" w:rsidRDefault="00B52CFA" w:rsidP="009E38E7">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b/>
          <w:sz w:val="22"/>
          <w:szCs w:val="22"/>
        </w:rPr>
        <w:t xml:space="preserve">a) Turno del Recurso de Revisión. </w:t>
      </w:r>
      <w:r>
        <w:rPr>
          <w:rFonts w:ascii="Palatino Linotype" w:eastAsia="Palatino Linotype" w:hAnsi="Palatino Linotype" w:cs="Palatino Linotype"/>
          <w:sz w:val="22"/>
          <w:szCs w:val="22"/>
        </w:rPr>
        <w:t xml:space="preserve">El </w:t>
      </w:r>
      <w:r w:rsidR="00152065">
        <w:rPr>
          <w:rFonts w:ascii="Palatino Linotype" w:eastAsia="Palatino Linotype" w:hAnsi="Palatino Linotype" w:cs="Palatino Linotype"/>
          <w:sz w:val="22"/>
          <w:szCs w:val="22"/>
        </w:rPr>
        <w:t xml:space="preserve">diecinueve </w:t>
      </w:r>
      <w:r>
        <w:rPr>
          <w:rFonts w:ascii="Palatino Linotype" w:eastAsia="Palatino Linotype" w:hAnsi="Palatino Linotype" w:cs="Palatino Linotype"/>
          <w:sz w:val="22"/>
          <w:szCs w:val="22"/>
        </w:rPr>
        <w:t xml:space="preserve">de diciembre de dos mil veinticinco, el SAIMEX, asignó el número de expediente </w:t>
      </w:r>
      <w:r>
        <w:rPr>
          <w:rFonts w:ascii="Palatino Linotype" w:eastAsia="Palatino Linotype" w:hAnsi="Palatino Linotype" w:cs="Palatino Linotype"/>
          <w:b/>
          <w:sz w:val="22"/>
          <w:szCs w:val="22"/>
        </w:rPr>
        <w:t>0146</w:t>
      </w:r>
      <w:r w:rsidR="00152065">
        <w:rPr>
          <w:rFonts w:ascii="Palatino Linotype" w:eastAsia="Palatino Linotype" w:hAnsi="Palatino Linotype" w:cs="Palatino Linotype"/>
          <w:b/>
          <w:sz w:val="22"/>
          <w:szCs w:val="22"/>
        </w:rPr>
        <w:t>76</w:t>
      </w:r>
      <w:r>
        <w:rPr>
          <w:rFonts w:ascii="Palatino Linotype" w:eastAsia="Palatino Linotype" w:hAnsi="Palatino Linotype" w:cs="Palatino Linotype"/>
          <w:b/>
          <w:sz w:val="22"/>
          <w:szCs w:val="22"/>
        </w:rPr>
        <w:t>/INFOEM/IP/RR/2025</w:t>
      </w:r>
      <w:r>
        <w:rPr>
          <w:rFonts w:ascii="Palatino Linotype" w:eastAsia="Palatino Linotype" w:hAnsi="Palatino Linotype" w:cs="Palatino Linotype"/>
          <w:sz w:val="22"/>
          <w:szCs w:val="22"/>
        </w:rPr>
        <w:t xml:space="preserve"> al medio de impugnación que nos ocupa, con base en el sistema aprobado por el Pleno de este Organismo Garante y lo turnó al Comisionado </w:t>
      </w:r>
      <w:r>
        <w:rPr>
          <w:rFonts w:ascii="Palatino Linotype" w:eastAsia="Palatino Linotype" w:hAnsi="Palatino Linotype" w:cs="Palatino Linotype"/>
          <w:b/>
          <w:sz w:val="22"/>
          <w:szCs w:val="22"/>
        </w:rPr>
        <w:t>Luis Gustavo Parra Noriega</w:t>
      </w:r>
      <w:r>
        <w:rPr>
          <w:rFonts w:ascii="Palatino Linotype" w:eastAsia="Palatino Linotype" w:hAnsi="Palatino Linotype" w:cs="Palatino Linotype"/>
          <w:sz w:val="22"/>
          <w:szCs w:val="22"/>
        </w:rPr>
        <w:t>, para los efectos del artículo 185, fracción I, de la Ley de Transparencia y Acceso a la Información Pública del Estado de México y Municipios.</w:t>
      </w:r>
    </w:p>
    <w:p w14:paraId="5018A59E" w14:textId="77777777" w:rsidR="00B52CFA" w:rsidRDefault="00B52CFA" w:rsidP="009E38E7">
      <w:pPr>
        <w:spacing w:line="360" w:lineRule="auto"/>
        <w:contextualSpacing/>
        <w:jc w:val="both"/>
        <w:rPr>
          <w:rFonts w:ascii="Palatino Linotype" w:eastAsia="Palatino Linotype" w:hAnsi="Palatino Linotype" w:cs="Palatino Linotype"/>
          <w:b/>
          <w:sz w:val="22"/>
          <w:szCs w:val="22"/>
        </w:rPr>
      </w:pPr>
    </w:p>
    <w:p w14:paraId="5C9675B0" w14:textId="0CBF9DE3" w:rsidR="00B52CFA" w:rsidRDefault="00B52CFA" w:rsidP="009E38E7">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b/>
          <w:sz w:val="22"/>
          <w:szCs w:val="22"/>
        </w:rPr>
        <w:t xml:space="preserve">b) Admisión del Recurso de Revisión. </w:t>
      </w:r>
      <w:r>
        <w:rPr>
          <w:rFonts w:ascii="Palatino Linotype" w:eastAsia="Palatino Linotype" w:hAnsi="Palatino Linotype" w:cs="Palatino Linotype"/>
          <w:sz w:val="22"/>
          <w:szCs w:val="22"/>
        </w:rPr>
        <w:t xml:space="preserve">El </w:t>
      </w:r>
      <w:r w:rsidR="00152065">
        <w:rPr>
          <w:rFonts w:ascii="Palatino Linotype" w:eastAsia="Palatino Linotype" w:hAnsi="Palatino Linotype" w:cs="Palatino Linotype"/>
          <w:sz w:val="22"/>
          <w:szCs w:val="22"/>
        </w:rPr>
        <w:t xml:space="preserve">catorce de enero </w:t>
      </w:r>
      <w:r>
        <w:rPr>
          <w:rFonts w:ascii="Palatino Linotype" w:eastAsia="Palatino Linotype" w:hAnsi="Palatino Linotype" w:cs="Palatino Linotype"/>
          <w:sz w:val="22"/>
          <w:szCs w:val="22"/>
        </w:rPr>
        <w:t>de dos mil veinti</w:t>
      </w:r>
      <w:r w:rsidR="00152065">
        <w:rPr>
          <w:rFonts w:ascii="Palatino Linotype" w:eastAsia="Palatino Linotype" w:hAnsi="Palatino Linotype" w:cs="Palatino Linotype"/>
          <w:sz w:val="22"/>
          <w:szCs w:val="22"/>
        </w:rPr>
        <w:t>séis</w:t>
      </w:r>
      <w:r>
        <w:rPr>
          <w:rFonts w:ascii="Palatino Linotype" w:eastAsia="Palatino Linotype" w:hAnsi="Palatino Linotype" w:cs="Palatino Linotype"/>
          <w:sz w:val="22"/>
          <w:szCs w:val="22"/>
        </w:rPr>
        <w:t>, se acordó la admisión del Recurso de Revisión, interpuesto por la Recurrente, en contra del Sujeto Obligado, en términos del artículo 185, fracciones I y II, de la Ley de Transparencia y Acceso a la Información Pública del Estado de México y Municipios, el cual fue notificado a las partes el mismo día, a través del SAIMEX, en el que se les otorgó un plazo de siete días hábiles posteriores a la misma, para que manifestaran lo que a su derecho conviniera y formularan alegatos.</w:t>
      </w:r>
    </w:p>
    <w:p w14:paraId="132DD23B" w14:textId="77777777" w:rsidR="00B52CFA" w:rsidRDefault="00B52CFA" w:rsidP="009E38E7">
      <w:pPr>
        <w:spacing w:line="360" w:lineRule="auto"/>
        <w:contextualSpacing/>
        <w:jc w:val="both"/>
        <w:rPr>
          <w:rFonts w:ascii="Palatino Linotype" w:eastAsia="Palatino Linotype" w:hAnsi="Palatino Linotype" w:cs="Palatino Linotype"/>
          <w:sz w:val="22"/>
          <w:szCs w:val="22"/>
        </w:rPr>
      </w:pPr>
    </w:p>
    <w:p w14:paraId="5FE6ED7C" w14:textId="0EF87BE1" w:rsidR="00B52CFA" w:rsidRDefault="00B52CFA" w:rsidP="009E38E7">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b/>
          <w:sz w:val="22"/>
          <w:szCs w:val="22"/>
        </w:rPr>
        <w:t xml:space="preserve">c) Informe Justificado. </w:t>
      </w:r>
      <w:r>
        <w:rPr>
          <w:rFonts w:ascii="Palatino Linotype" w:eastAsia="Palatino Linotype" w:hAnsi="Palatino Linotype" w:cs="Palatino Linotype"/>
          <w:sz w:val="22"/>
          <w:szCs w:val="22"/>
        </w:rPr>
        <w:t xml:space="preserve">El </w:t>
      </w:r>
      <w:r w:rsidR="00152065">
        <w:rPr>
          <w:rFonts w:ascii="Palatino Linotype" w:eastAsia="Palatino Linotype" w:hAnsi="Palatino Linotype" w:cs="Palatino Linotype"/>
          <w:sz w:val="22"/>
          <w:szCs w:val="22"/>
        </w:rPr>
        <w:t xml:space="preserve">quince </w:t>
      </w:r>
      <w:r>
        <w:rPr>
          <w:rFonts w:ascii="Palatino Linotype" w:eastAsia="Palatino Linotype" w:hAnsi="Palatino Linotype" w:cs="Palatino Linotype"/>
          <w:sz w:val="22"/>
          <w:szCs w:val="22"/>
        </w:rPr>
        <w:t>de enero de dos mil veintiséis, se recibió, a través del SAIMEX, el informe justificado</w:t>
      </w:r>
      <w:r>
        <w:rPr>
          <w:rFonts w:ascii="Palatino Linotype" w:eastAsia="Palatino Linotype" w:hAnsi="Palatino Linotype" w:cs="Palatino Linotype"/>
          <w:color w:val="0D0D0D"/>
          <w:sz w:val="22"/>
          <w:szCs w:val="22"/>
        </w:rPr>
        <w:t xml:space="preserve"> </w:t>
      </w:r>
      <w:r>
        <w:rPr>
          <w:rFonts w:ascii="Palatino Linotype" w:eastAsia="Palatino Linotype" w:hAnsi="Palatino Linotype" w:cs="Palatino Linotype"/>
          <w:sz w:val="22"/>
          <w:szCs w:val="22"/>
        </w:rPr>
        <w:t>por medio de la digitalización de los documentos siguientes:</w:t>
      </w:r>
    </w:p>
    <w:p w14:paraId="393195E6" w14:textId="77777777" w:rsidR="00B52CFA" w:rsidRDefault="00B52CFA" w:rsidP="009E38E7">
      <w:pPr>
        <w:spacing w:line="360" w:lineRule="auto"/>
        <w:contextualSpacing/>
        <w:jc w:val="both"/>
        <w:rPr>
          <w:rFonts w:ascii="Palatino Linotype" w:eastAsia="Palatino Linotype" w:hAnsi="Palatino Linotype" w:cs="Palatino Linotype"/>
          <w:sz w:val="22"/>
          <w:szCs w:val="22"/>
        </w:rPr>
      </w:pPr>
    </w:p>
    <w:p w14:paraId="6429AC56" w14:textId="2C5C45E9" w:rsidR="00152065" w:rsidRDefault="00152065" w:rsidP="009E38E7">
      <w:pPr>
        <w:tabs>
          <w:tab w:val="left" w:pos="4667"/>
        </w:tabs>
        <w:spacing w:line="360" w:lineRule="auto"/>
        <w:contextualSpacing/>
        <w:jc w:val="both"/>
        <w:rPr>
          <w:rFonts w:eastAsia="Palatino Linotype"/>
        </w:rPr>
      </w:pPr>
      <w:r w:rsidRPr="004C5EC4">
        <w:rPr>
          <w:rFonts w:ascii="Palatino Linotype" w:eastAsia="Palatino Linotype" w:hAnsi="Palatino Linotype" w:cs="Palatino Linotype"/>
          <w:sz w:val="22"/>
          <w:szCs w:val="22"/>
        </w:rPr>
        <w:t>i)</w:t>
      </w:r>
      <w:r>
        <w:rPr>
          <w:rFonts w:ascii="Palatino Linotype" w:eastAsia="Palatino Linotype" w:hAnsi="Palatino Linotype" w:cs="Palatino Linotype"/>
          <w:sz w:val="22"/>
          <w:szCs w:val="22"/>
        </w:rPr>
        <w:t xml:space="preserve"> </w:t>
      </w:r>
      <w:r w:rsidRPr="004C5EC4">
        <w:rPr>
          <w:rFonts w:ascii="Palatino Linotype" w:eastAsia="Palatino Linotype" w:hAnsi="Palatino Linotype" w:cs="Palatino Linotype"/>
          <w:sz w:val="22"/>
          <w:szCs w:val="22"/>
        </w:rPr>
        <w:t xml:space="preserve">Oficio número </w:t>
      </w:r>
      <w:r w:rsidRPr="007746DA">
        <w:rPr>
          <w:rFonts w:ascii="Palatino Linotype" w:eastAsia="Palatino Linotype" w:hAnsi="Palatino Linotype" w:cs="Palatino Linotype"/>
          <w:sz w:val="22"/>
          <w:szCs w:val="22"/>
        </w:rPr>
        <w:t>CT/UT/ECA/</w:t>
      </w:r>
      <w:r>
        <w:rPr>
          <w:rFonts w:ascii="Palatino Linotype" w:eastAsia="Palatino Linotype" w:hAnsi="Palatino Linotype" w:cs="Palatino Linotype"/>
          <w:sz w:val="22"/>
          <w:szCs w:val="22"/>
        </w:rPr>
        <w:t>070</w:t>
      </w:r>
      <w:r w:rsidRPr="007746DA">
        <w:rPr>
          <w:rFonts w:ascii="Palatino Linotype" w:eastAsia="Palatino Linotype" w:hAnsi="Palatino Linotype" w:cs="Palatino Linotype"/>
          <w:sz w:val="22"/>
          <w:szCs w:val="22"/>
        </w:rPr>
        <w:t>/202</w:t>
      </w:r>
      <w:r>
        <w:rPr>
          <w:rFonts w:ascii="Palatino Linotype" w:eastAsia="Palatino Linotype" w:hAnsi="Palatino Linotype" w:cs="Palatino Linotype"/>
          <w:sz w:val="22"/>
          <w:szCs w:val="22"/>
        </w:rPr>
        <w:t>6</w:t>
      </w:r>
      <w:r w:rsidRPr="004C5EC4">
        <w:rPr>
          <w:rFonts w:ascii="Palatino Linotype" w:eastAsia="Palatino Linotype" w:hAnsi="Palatino Linotype" w:cs="Palatino Linotype"/>
          <w:sz w:val="22"/>
          <w:szCs w:val="22"/>
        </w:rPr>
        <w:t xml:space="preserve">, </w:t>
      </w:r>
      <w:r>
        <w:rPr>
          <w:rFonts w:ascii="Palatino Linotype" w:eastAsia="Palatino Linotype" w:hAnsi="Palatino Linotype" w:cs="Palatino Linotype"/>
          <w:sz w:val="22"/>
          <w:szCs w:val="22"/>
        </w:rPr>
        <w:t>de fecha de su presentación</w:t>
      </w:r>
      <w:r w:rsidRPr="004C5EC4">
        <w:rPr>
          <w:rFonts w:ascii="Palatino Linotype" w:eastAsia="Palatino Linotype" w:hAnsi="Palatino Linotype" w:cs="Palatino Linotype"/>
          <w:sz w:val="22"/>
          <w:szCs w:val="22"/>
        </w:rPr>
        <w:t>, suscrito por la Titular de la Unidad de Transparencia,</w:t>
      </w:r>
      <w:r>
        <w:rPr>
          <w:rFonts w:ascii="Palatino Linotype" w:eastAsia="Palatino Linotype" w:hAnsi="Palatino Linotype" w:cs="Palatino Linotype"/>
          <w:sz w:val="22"/>
          <w:szCs w:val="22"/>
        </w:rPr>
        <w:t xml:space="preserve"> dirigido al Comisionado Ponente </w:t>
      </w:r>
      <w:r w:rsidRPr="004C5EC4">
        <w:rPr>
          <w:rFonts w:ascii="Palatino Linotype" w:eastAsia="Palatino Linotype" w:hAnsi="Palatino Linotype" w:cs="Palatino Linotype"/>
          <w:sz w:val="22"/>
          <w:szCs w:val="22"/>
        </w:rPr>
        <w:t xml:space="preserve">a través del </w:t>
      </w:r>
      <w:r>
        <w:rPr>
          <w:rFonts w:ascii="Palatino Linotype" w:eastAsia="Palatino Linotype" w:hAnsi="Palatino Linotype" w:cs="Palatino Linotype"/>
          <w:sz w:val="22"/>
          <w:szCs w:val="22"/>
        </w:rPr>
        <w:t xml:space="preserve">cual </w:t>
      </w:r>
      <w:r>
        <w:rPr>
          <w:rFonts w:ascii="Palatino Linotype" w:eastAsia="Palatino Linotype" w:hAnsi="Palatino Linotype" w:cs="Palatino Linotype"/>
          <w:sz w:val="22"/>
          <w:szCs w:val="22"/>
        </w:rPr>
        <w:lastRenderedPageBreak/>
        <w:t xml:space="preserve">manifiesta que las áreas de Dirección de Medio Ambiente y Ecología y la Dirección de Protección Civil y </w:t>
      </w:r>
      <w:proofErr w:type="spellStart"/>
      <w:r>
        <w:rPr>
          <w:rFonts w:ascii="Palatino Linotype" w:eastAsia="Palatino Linotype" w:hAnsi="Palatino Linotype" w:cs="Palatino Linotype"/>
          <w:sz w:val="22"/>
          <w:szCs w:val="22"/>
        </w:rPr>
        <w:t>Bombreros</w:t>
      </w:r>
      <w:proofErr w:type="spellEnd"/>
      <w:r>
        <w:rPr>
          <w:rFonts w:ascii="Palatino Linotype" w:eastAsia="Palatino Linotype" w:hAnsi="Palatino Linotype" w:cs="Palatino Linotype"/>
          <w:sz w:val="22"/>
          <w:szCs w:val="22"/>
        </w:rPr>
        <w:t xml:space="preserve"> ratifican su respuesta inicial.</w:t>
      </w:r>
    </w:p>
    <w:p w14:paraId="2DC5504F" w14:textId="77777777" w:rsidR="00152065" w:rsidRDefault="00152065" w:rsidP="009E38E7">
      <w:pPr>
        <w:spacing w:line="360" w:lineRule="auto"/>
        <w:contextualSpacing/>
        <w:rPr>
          <w:rFonts w:eastAsia="Palatino Linotype"/>
        </w:rPr>
      </w:pPr>
    </w:p>
    <w:p w14:paraId="05A6C437" w14:textId="2A921330" w:rsidR="00152065" w:rsidRPr="004C5EC4" w:rsidRDefault="00152065" w:rsidP="009E38E7">
      <w:pPr>
        <w:tabs>
          <w:tab w:val="left" w:pos="4667"/>
        </w:tabs>
        <w:spacing w:line="360" w:lineRule="auto"/>
        <w:contextualSpacing/>
        <w:jc w:val="both"/>
        <w:rPr>
          <w:rFonts w:ascii="Palatino Linotype" w:eastAsia="Palatino Linotype" w:hAnsi="Palatino Linotype" w:cs="Palatino Linotype"/>
          <w:sz w:val="22"/>
          <w:szCs w:val="22"/>
        </w:rPr>
      </w:pPr>
      <w:proofErr w:type="spellStart"/>
      <w:r w:rsidRPr="004C5EC4">
        <w:rPr>
          <w:rFonts w:ascii="Palatino Linotype" w:eastAsia="Palatino Linotype" w:hAnsi="Palatino Linotype" w:cs="Palatino Linotype"/>
          <w:sz w:val="22"/>
          <w:szCs w:val="22"/>
        </w:rPr>
        <w:t>i</w:t>
      </w:r>
      <w:r>
        <w:rPr>
          <w:rFonts w:ascii="Palatino Linotype" w:eastAsia="Palatino Linotype" w:hAnsi="Palatino Linotype" w:cs="Palatino Linotype"/>
          <w:sz w:val="22"/>
          <w:szCs w:val="22"/>
        </w:rPr>
        <w:t>i</w:t>
      </w:r>
      <w:proofErr w:type="spellEnd"/>
      <w:r w:rsidRPr="004C5EC4">
        <w:rPr>
          <w:rFonts w:ascii="Palatino Linotype" w:eastAsia="Palatino Linotype" w:hAnsi="Palatino Linotype" w:cs="Palatino Linotype"/>
          <w:sz w:val="22"/>
          <w:szCs w:val="22"/>
        </w:rPr>
        <w:t>)</w:t>
      </w:r>
      <w:r>
        <w:rPr>
          <w:rFonts w:ascii="Palatino Linotype" w:eastAsia="Palatino Linotype" w:hAnsi="Palatino Linotype" w:cs="Palatino Linotype"/>
          <w:sz w:val="22"/>
          <w:szCs w:val="22"/>
        </w:rPr>
        <w:t xml:space="preserve"> </w:t>
      </w:r>
      <w:r w:rsidRPr="004C5EC4">
        <w:rPr>
          <w:rFonts w:ascii="Palatino Linotype" w:eastAsia="Palatino Linotype" w:hAnsi="Palatino Linotype" w:cs="Palatino Linotype"/>
          <w:sz w:val="22"/>
          <w:szCs w:val="22"/>
        </w:rPr>
        <w:t xml:space="preserve">Oficio número </w:t>
      </w:r>
      <w:r w:rsidRPr="007746DA">
        <w:rPr>
          <w:rFonts w:ascii="Palatino Linotype" w:eastAsia="Palatino Linotype" w:hAnsi="Palatino Linotype" w:cs="Palatino Linotype"/>
          <w:sz w:val="22"/>
          <w:szCs w:val="22"/>
        </w:rPr>
        <w:t>DMAYEC/ECA/0</w:t>
      </w:r>
      <w:r>
        <w:rPr>
          <w:rFonts w:ascii="Palatino Linotype" w:eastAsia="Palatino Linotype" w:hAnsi="Palatino Linotype" w:cs="Palatino Linotype"/>
          <w:sz w:val="22"/>
          <w:szCs w:val="22"/>
        </w:rPr>
        <w:t>045</w:t>
      </w:r>
      <w:r w:rsidRPr="007746DA">
        <w:rPr>
          <w:rFonts w:ascii="Palatino Linotype" w:eastAsia="Palatino Linotype" w:hAnsi="Palatino Linotype" w:cs="Palatino Linotype"/>
          <w:sz w:val="22"/>
          <w:szCs w:val="22"/>
        </w:rPr>
        <w:t>/202</w:t>
      </w:r>
      <w:r>
        <w:rPr>
          <w:rFonts w:ascii="Palatino Linotype" w:eastAsia="Palatino Linotype" w:hAnsi="Palatino Linotype" w:cs="Palatino Linotype"/>
          <w:sz w:val="22"/>
          <w:szCs w:val="22"/>
        </w:rPr>
        <w:t>6</w:t>
      </w:r>
      <w:r w:rsidRPr="004C5EC4">
        <w:rPr>
          <w:rFonts w:ascii="Palatino Linotype" w:eastAsia="Palatino Linotype" w:hAnsi="Palatino Linotype" w:cs="Palatino Linotype"/>
          <w:sz w:val="22"/>
          <w:szCs w:val="22"/>
        </w:rPr>
        <w:t xml:space="preserve">, del </w:t>
      </w:r>
      <w:r>
        <w:rPr>
          <w:rFonts w:ascii="Palatino Linotype" w:eastAsia="Palatino Linotype" w:hAnsi="Palatino Linotype" w:cs="Palatino Linotype"/>
          <w:sz w:val="22"/>
          <w:szCs w:val="22"/>
        </w:rPr>
        <w:t xml:space="preserve">trece de enero </w:t>
      </w:r>
      <w:r w:rsidRPr="004C5EC4">
        <w:rPr>
          <w:rFonts w:ascii="Palatino Linotype" w:eastAsia="Palatino Linotype" w:hAnsi="Palatino Linotype" w:cs="Palatino Linotype"/>
          <w:sz w:val="22"/>
          <w:szCs w:val="22"/>
        </w:rPr>
        <w:t>de dos mil veinti</w:t>
      </w:r>
      <w:r>
        <w:rPr>
          <w:rFonts w:ascii="Palatino Linotype" w:eastAsia="Palatino Linotype" w:hAnsi="Palatino Linotype" w:cs="Palatino Linotype"/>
          <w:sz w:val="22"/>
          <w:szCs w:val="22"/>
        </w:rPr>
        <w:t>séis</w:t>
      </w:r>
      <w:r w:rsidRPr="004C5EC4">
        <w:rPr>
          <w:rFonts w:ascii="Palatino Linotype" w:eastAsia="Palatino Linotype" w:hAnsi="Palatino Linotype" w:cs="Palatino Linotype"/>
          <w:sz w:val="22"/>
          <w:szCs w:val="22"/>
        </w:rPr>
        <w:t xml:space="preserve">, suscrito por la </w:t>
      </w:r>
      <w:proofErr w:type="gramStart"/>
      <w:r w:rsidRPr="004C5EC4">
        <w:rPr>
          <w:rFonts w:ascii="Palatino Linotype" w:eastAsia="Palatino Linotype" w:hAnsi="Palatino Linotype" w:cs="Palatino Linotype"/>
          <w:sz w:val="22"/>
          <w:szCs w:val="22"/>
        </w:rPr>
        <w:t>Directora</w:t>
      </w:r>
      <w:proofErr w:type="gramEnd"/>
      <w:r w:rsidRPr="004C5EC4">
        <w:rPr>
          <w:rFonts w:ascii="Palatino Linotype" w:eastAsia="Palatino Linotype" w:hAnsi="Palatino Linotype" w:cs="Palatino Linotype"/>
          <w:sz w:val="22"/>
          <w:szCs w:val="22"/>
        </w:rPr>
        <w:t xml:space="preserve"> </w:t>
      </w:r>
      <w:r>
        <w:rPr>
          <w:rFonts w:ascii="Palatino Linotype" w:eastAsia="Palatino Linotype" w:hAnsi="Palatino Linotype" w:cs="Palatino Linotype"/>
          <w:sz w:val="22"/>
          <w:szCs w:val="22"/>
        </w:rPr>
        <w:t>de Medio Ambiente, dirigido a la Titular de la Unidad de Transparencia</w:t>
      </w:r>
      <w:r w:rsidRPr="004C5EC4">
        <w:rPr>
          <w:rFonts w:ascii="Palatino Linotype" w:eastAsia="Palatino Linotype" w:hAnsi="Palatino Linotype" w:cs="Palatino Linotype"/>
          <w:sz w:val="22"/>
          <w:szCs w:val="22"/>
        </w:rPr>
        <w:t>,</w:t>
      </w:r>
      <w:r>
        <w:rPr>
          <w:rFonts w:ascii="Palatino Linotype" w:eastAsia="Palatino Linotype" w:hAnsi="Palatino Linotype" w:cs="Palatino Linotype"/>
          <w:sz w:val="22"/>
          <w:szCs w:val="22"/>
        </w:rPr>
        <w:t xml:space="preserve"> </w:t>
      </w:r>
      <w:r w:rsidRPr="004C5EC4">
        <w:rPr>
          <w:rFonts w:ascii="Palatino Linotype" w:eastAsia="Palatino Linotype" w:hAnsi="Palatino Linotype" w:cs="Palatino Linotype"/>
          <w:sz w:val="22"/>
          <w:szCs w:val="22"/>
        </w:rPr>
        <w:t xml:space="preserve">a través del cual </w:t>
      </w:r>
      <w:r>
        <w:rPr>
          <w:rFonts w:ascii="Palatino Linotype" w:eastAsia="Palatino Linotype" w:hAnsi="Palatino Linotype" w:cs="Palatino Linotype"/>
          <w:sz w:val="22"/>
          <w:szCs w:val="22"/>
        </w:rPr>
        <w:t>manifiesta y expone lo siguiente:</w:t>
      </w:r>
    </w:p>
    <w:p w14:paraId="69C21977" w14:textId="77777777" w:rsidR="00152065" w:rsidRDefault="00152065" w:rsidP="009E38E7">
      <w:pPr>
        <w:tabs>
          <w:tab w:val="left" w:pos="4667"/>
        </w:tabs>
        <w:spacing w:line="360" w:lineRule="auto"/>
        <w:contextualSpacing/>
        <w:jc w:val="both"/>
        <w:rPr>
          <w:rFonts w:ascii="Palatino Linotype" w:eastAsia="Palatino Linotype" w:hAnsi="Palatino Linotype" w:cs="Palatino Linotype"/>
          <w:sz w:val="22"/>
          <w:szCs w:val="22"/>
        </w:rPr>
      </w:pPr>
    </w:p>
    <w:p w14:paraId="38B7ED87" w14:textId="77777777" w:rsidR="00D8050E" w:rsidRDefault="00152065" w:rsidP="009E38E7">
      <w:pPr>
        <w:tabs>
          <w:tab w:val="left" w:pos="4667"/>
        </w:tabs>
        <w:spacing w:line="360" w:lineRule="auto"/>
        <w:ind w:left="567" w:right="567"/>
        <w:contextualSpacing/>
        <w:jc w:val="both"/>
        <w:rPr>
          <w:rFonts w:ascii="Palatino Linotype" w:eastAsia="Palatino Linotype" w:hAnsi="Palatino Linotype" w:cs="Palatino Linotype"/>
          <w:i/>
          <w:iCs/>
        </w:rPr>
      </w:pPr>
      <w:r w:rsidRPr="004C5EC4">
        <w:rPr>
          <w:rFonts w:ascii="Palatino Linotype" w:eastAsia="Palatino Linotype" w:hAnsi="Palatino Linotype" w:cs="Palatino Linotype"/>
          <w:i/>
          <w:iCs/>
        </w:rPr>
        <w:t>“…</w:t>
      </w:r>
    </w:p>
    <w:p w14:paraId="5657DFDE" w14:textId="60264F2A" w:rsidR="00152065" w:rsidRDefault="00152065" w:rsidP="009E38E7">
      <w:pPr>
        <w:tabs>
          <w:tab w:val="left" w:pos="4667"/>
        </w:tabs>
        <w:spacing w:line="360" w:lineRule="auto"/>
        <w:ind w:left="567" w:right="567"/>
        <w:contextualSpacing/>
        <w:jc w:val="both"/>
        <w:rPr>
          <w:rFonts w:ascii="Palatino Linotype" w:eastAsia="Palatino Linotype" w:hAnsi="Palatino Linotype" w:cs="Palatino Linotype"/>
          <w:i/>
          <w:iCs/>
        </w:rPr>
      </w:pPr>
      <w:r w:rsidRPr="00285A88">
        <w:rPr>
          <w:rFonts w:ascii="Palatino Linotype" w:eastAsia="Palatino Linotype" w:hAnsi="Palatino Linotype" w:cs="Palatino Linotype"/>
          <w:i/>
          <w:iCs/>
        </w:rPr>
        <w:t xml:space="preserve">Del análisis al contenido de su solicitud y de conformidad y con fundamento en lo dispuesto por los artículos 1.4, 1.5, 1.6, 1.7,1.8 у demás relativos y aplicables del Código Administrativo del Estado de México; 86,87 fracción VI y 96 de la Ley Orgánica Municipal del Estado de México; 1,13,44 fracción IV inciso f, 59 y 60 del Bando Municipal de Ecatepec de Morelos del ejercicio 2025 en relación con lo previsto en los artículos 17 y 59 del Reglamento Interior de la Administración Pública de Ecatepec de Morelos; y lo dispuesto por los artículos 1,3, fracción XXXIX, 8, 11, 12, 18, 19 segundo párrafo, 21, 23 fracción </w:t>
      </w:r>
      <w:r>
        <w:rPr>
          <w:rFonts w:ascii="Palatino Linotype" w:eastAsia="Palatino Linotype" w:hAnsi="Palatino Linotype" w:cs="Palatino Linotype"/>
          <w:i/>
          <w:iCs/>
        </w:rPr>
        <w:t xml:space="preserve"> </w:t>
      </w:r>
      <w:r w:rsidRPr="00285A88">
        <w:rPr>
          <w:rFonts w:ascii="Palatino Linotype" w:eastAsia="Palatino Linotype" w:hAnsi="Palatino Linotype" w:cs="Palatino Linotype"/>
          <w:i/>
          <w:iCs/>
        </w:rPr>
        <w:t xml:space="preserve">1, 24 fracción XI, 58, 59 fracciones I, </w:t>
      </w:r>
      <w:proofErr w:type="spellStart"/>
      <w:r w:rsidRPr="00285A88">
        <w:rPr>
          <w:rFonts w:ascii="Palatino Linotype" w:eastAsia="Palatino Linotype" w:hAnsi="Palatino Linotype" w:cs="Palatino Linotype"/>
          <w:i/>
          <w:iCs/>
        </w:rPr>
        <w:t>IIy</w:t>
      </w:r>
      <w:proofErr w:type="spellEnd"/>
      <w:r w:rsidRPr="00285A88">
        <w:rPr>
          <w:rFonts w:ascii="Palatino Linotype" w:eastAsia="Palatino Linotype" w:hAnsi="Palatino Linotype" w:cs="Palatino Linotype"/>
          <w:i/>
          <w:iCs/>
        </w:rPr>
        <w:t xml:space="preserve"> III, 162, 163 y 173, así como demás relativos, vigentes y aplicables de la Ley de Transparencia y Acceso a la Información Pública del Estado de México y Municipios, en mi calidad de Directora de Medio Ambiente y Ecología del H. Ayuntamiento de Ecatepec de Morelos, de manera atenta y respetuosa, manifiesto a usted: </w:t>
      </w:r>
    </w:p>
    <w:p w14:paraId="0434283C" w14:textId="77777777" w:rsidR="00152065" w:rsidRDefault="00152065" w:rsidP="009E38E7">
      <w:pPr>
        <w:tabs>
          <w:tab w:val="left" w:pos="4667"/>
        </w:tabs>
        <w:spacing w:line="360" w:lineRule="auto"/>
        <w:ind w:left="567" w:right="567"/>
        <w:contextualSpacing/>
        <w:jc w:val="both"/>
        <w:rPr>
          <w:rFonts w:ascii="Palatino Linotype" w:eastAsia="Palatino Linotype" w:hAnsi="Palatino Linotype" w:cs="Palatino Linotype"/>
          <w:i/>
          <w:iCs/>
        </w:rPr>
      </w:pPr>
    </w:p>
    <w:p w14:paraId="5FF83E71" w14:textId="77777777" w:rsidR="00152065" w:rsidRDefault="00152065" w:rsidP="009E38E7">
      <w:pPr>
        <w:tabs>
          <w:tab w:val="left" w:pos="4667"/>
        </w:tabs>
        <w:spacing w:line="360" w:lineRule="auto"/>
        <w:ind w:left="567" w:right="567"/>
        <w:contextualSpacing/>
        <w:jc w:val="both"/>
        <w:rPr>
          <w:rFonts w:ascii="Palatino Linotype" w:eastAsia="Palatino Linotype" w:hAnsi="Palatino Linotype" w:cs="Palatino Linotype"/>
          <w:i/>
          <w:iCs/>
        </w:rPr>
      </w:pPr>
      <w:r w:rsidRPr="00285A88">
        <w:rPr>
          <w:rFonts w:ascii="Palatino Linotype" w:eastAsia="Palatino Linotype" w:hAnsi="Palatino Linotype" w:cs="Palatino Linotype"/>
          <w:i/>
          <w:iCs/>
        </w:rPr>
        <w:t>Se tiene registro que se han realizado en el año 2025, al 21 de noviembre por</w:t>
      </w:r>
      <w:r>
        <w:rPr>
          <w:rFonts w:ascii="Palatino Linotype" w:eastAsia="Palatino Linotype" w:hAnsi="Palatino Linotype" w:cs="Palatino Linotype"/>
          <w:i/>
          <w:iCs/>
        </w:rPr>
        <w:t xml:space="preserve"> la</w:t>
      </w:r>
      <w:r w:rsidRPr="00285A88">
        <w:rPr>
          <w:rFonts w:ascii="Palatino Linotype" w:eastAsia="Palatino Linotype" w:hAnsi="Palatino Linotype" w:cs="Palatino Linotype"/>
          <w:i/>
          <w:iCs/>
        </w:rPr>
        <w:t xml:space="preserve"> Dirección de Medio Ambiente y Ecología: </w:t>
      </w:r>
    </w:p>
    <w:p w14:paraId="51805B2D" w14:textId="77777777" w:rsidR="00152065" w:rsidRDefault="00152065" w:rsidP="009E38E7">
      <w:pPr>
        <w:tabs>
          <w:tab w:val="left" w:pos="4667"/>
        </w:tabs>
        <w:spacing w:line="360" w:lineRule="auto"/>
        <w:ind w:left="567" w:right="567"/>
        <w:contextualSpacing/>
        <w:jc w:val="both"/>
        <w:rPr>
          <w:rFonts w:ascii="Palatino Linotype" w:eastAsia="Palatino Linotype" w:hAnsi="Palatino Linotype" w:cs="Palatino Linotype"/>
          <w:i/>
          <w:iCs/>
        </w:rPr>
      </w:pPr>
    </w:p>
    <w:p w14:paraId="4436BD4A" w14:textId="2FF35C73" w:rsidR="00152065" w:rsidRDefault="00152065" w:rsidP="009E38E7">
      <w:pPr>
        <w:tabs>
          <w:tab w:val="left" w:pos="4667"/>
        </w:tabs>
        <w:spacing w:line="360" w:lineRule="auto"/>
        <w:ind w:left="567" w:right="567"/>
        <w:contextualSpacing/>
        <w:jc w:val="both"/>
        <w:rPr>
          <w:rFonts w:ascii="Palatino Linotype" w:eastAsia="Palatino Linotype" w:hAnsi="Palatino Linotype" w:cs="Palatino Linotype"/>
          <w:i/>
          <w:iCs/>
        </w:rPr>
      </w:pPr>
      <w:r w:rsidRPr="00285A88">
        <w:rPr>
          <w:rFonts w:ascii="Palatino Linotype" w:eastAsia="Palatino Linotype" w:hAnsi="Palatino Linotype" w:cs="Palatino Linotype"/>
          <w:i/>
          <w:iCs/>
        </w:rPr>
        <w:t>1. 7</w:t>
      </w:r>
      <w:r w:rsidR="00D8050E">
        <w:rPr>
          <w:rFonts w:ascii="Palatino Linotype" w:eastAsia="Palatino Linotype" w:hAnsi="Palatino Linotype" w:cs="Palatino Linotype"/>
          <w:i/>
          <w:iCs/>
        </w:rPr>
        <w:t>54</w:t>
      </w:r>
      <w:r w:rsidRPr="00285A88">
        <w:rPr>
          <w:rFonts w:ascii="Palatino Linotype" w:eastAsia="Palatino Linotype" w:hAnsi="Palatino Linotype" w:cs="Palatino Linotype"/>
          <w:i/>
          <w:iCs/>
        </w:rPr>
        <w:t xml:space="preserve"> VALORACIONES DE RIESGO </w:t>
      </w:r>
    </w:p>
    <w:p w14:paraId="0308A7F6" w14:textId="627BD817" w:rsidR="00152065" w:rsidRDefault="00152065" w:rsidP="009E38E7">
      <w:pPr>
        <w:tabs>
          <w:tab w:val="left" w:pos="4667"/>
        </w:tabs>
        <w:spacing w:line="360" w:lineRule="auto"/>
        <w:ind w:left="567" w:right="567"/>
        <w:contextualSpacing/>
        <w:jc w:val="both"/>
        <w:rPr>
          <w:rFonts w:ascii="Palatino Linotype" w:eastAsia="Palatino Linotype" w:hAnsi="Palatino Linotype" w:cs="Palatino Linotype"/>
          <w:i/>
          <w:iCs/>
        </w:rPr>
      </w:pPr>
      <w:r w:rsidRPr="00285A88">
        <w:rPr>
          <w:rFonts w:ascii="Palatino Linotype" w:eastAsia="Palatino Linotype" w:hAnsi="Palatino Linotype" w:cs="Palatino Linotype"/>
          <w:i/>
          <w:iCs/>
        </w:rPr>
        <w:t>2. 9</w:t>
      </w:r>
      <w:r w:rsidR="00D8050E">
        <w:rPr>
          <w:rFonts w:ascii="Palatino Linotype" w:eastAsia="Palatino Linotype" w:hAnsi="Palatino Linotype" w:cs="Palatino Linotype"/>
          <w:i/>
          <w:iCs/>
        </w:rPr>
        <w:t>56</w:t>
      </w:r>
      <w:r w:rsidRPr="00285A88">
        <w:rPr>
          <w:rFonts w:ascii="Palatino Linotype" w:eastAsia="Palatino Linotype" w:hAnsi="Palatino Linotype" w:cs="Palatino Linotype"/>
          <w:i/>
          <w:iCs/>
        </w:rPr>
        <w:t xml:space="preserve"> DICTÁMENES TÉCNICOS </w:t>
      </w:r>
    </w:p>
    <w:p w14:paraId="7E20474E" w14:textId="77777777" w:rsidR="00152065" w:rsidRDefault="00152065" w:rsidP="009E38E7">
      <w:pPr>
        <w:tabs>
          <w:tab w:val="left" w:pos="4667"/>
        </w:tabs>
        <w:spacing w:line="360" w:lineRule="auto"/>
        <w:ind w:left="567" w:right="567"/>
        <w:contextualSpacing/>
        <w:jc w:val="both"/>
        <w:rPr>
          <w:rFonts w:ascii="Palatino Linotype" w:eastAsia="Palatino Linotype" w:hAnsi="Palatino Linotype" w:cs="Palatino Linotype"/>
          <w:i/>
          <w:iCs/>
        </w:rPr>
      </w:pPr>
      <w:r w:rsidRPr="00285A88">
        <w:rPr>
          <w:rFonts w:ascii="Palatino Linotype" w:eastAsia="Palatino Linotype" w:hAnsi="Palatino Linotype" w:cs="Palatino Linotype"/>
          <w:i/>
          <w:iCs/>
        </w:rPr>
        <w:t xml:space="preserve">3. 63 DERRIBOS (mismos que han sido ejecutados por la Dirección de Protección Civil y Bomberos) </w:t>
      </w:r>
    </w:p>
    <w:p w14:paraId="375C6B5B" w14:textId="77777777" w:rsidR="00152065" w:rsidRDefault="00152065" w:rsidP="009E38E7">
      <w:pPr>
        <w:tabs>
          <w:tab w:val="left" w:pos="4667"/>
        </w:tabs>
        <w:spacing w:line="360" w:lineRule="auto"/>
        <w:ind w:left="567" w:right="567"/>
        <w:contextualSpacing/>
        <w:jc w:val="both"/>
        <w:rPr>
          <w:rFonts w:ascii="Palatino Linotype" w:eastAsia="Palatino Linotype" w:hAnsi="Palatino Linotype" w:cs="Palatino Linotype"/>
          <w:i/>
          <w:iCs/>
        </w:rPr>
      </w:pPr>
    </w:p>
    <w:p w14:paraId="644FB02B" w14:textId="77777777" w:rsidR="00D8050E" w:rsidRDefault="00152065" w:rsidP="009E38E7">
      <w:pPr>
        <w:tabs>
          <w:tab w:val="left" w:pos="4667"/>
        </w:tabs>
        <w:spacing w:line="360" w:lineRule="auto"/>
        <w:ind w:left="567" w:right="567"/>
        <w:contextualSpacing/>
        <w:jc w:val="both"/>
        <w:rPr>
          <w:rFonts w:ascii="Palatino Linotype" w:eastAsia="Palatino Linotype" w:hAnsi="Palatino Linotype" w:cs="Palatino Linotype"/>
          <w:i/>
          <w:iCs/>
        </w:rPr>
      </w:pPr>
      <w:r w:rsidRPr="00285A88">
        <w:rPr>
          <w:rFonts w:ascii="Palatino Linotype" w:eastAsia="Palatino Linotype" w:hAnsi="Palatino Linotype" w:cs="Palatino Linotype"/>
          <w:i/>
          <w:iCs/>
        </w:rPr>
        <w:lastRenderedPageBreak/>
        <w:t>En atención al numeral 2., hago de su conocimiento que dentro de esta dirección NO se tiene registro de que se hayan realizado derribos por Dependencias, o empresas privadas en 2025</w:t>
      </w:r>
      <w:r w:rsidR="00D8050E">
        <w:rPr>
          <w:rFonts w:ascii="Palatino Linotype" w:eastAsia="Palatino Linotype" w:hAnsi="Palatino Linotype" w:cs="Palatino Linotype"/>
          <w:i/>
          <w:iCs/>
        </w:rPr>
        <w:t>.</w:t>
      </w:r>
    </w:p>
    <w:p w14:paraId="6F8F61BD" w14:textId="04C3BDA9" w:rsidR="00152065" w:rsidRPr="004C5EC4" w:rsidRDefault="00152065" w:rsidP="009E38E7">
      <w:pPr>
        <w:tabs>
          <w:tab w:val="left" w:pos="4667"/>
        </w:tabs>
        <w:spacing w:line="360" w:lineRule="auto"/>
        <w:ind w:left="567" w:right="567"/>
        <w:contextualSpacing/>
        <w:jc w:val="both"/>
        <w:rPr>
          <w:rFonts w:ascii="Palatino Linotype" w:eastAsia="Palatino Linotype" w:hAnsi="Palatino Linotype" w:cs="Palatino Linotype"/>
          <w:i/>
          <w:iCs/>
        </w:rPr>
      </w:pPr>
      <w:r w:rsidRPr="004C5EC4">
        <w:rPr>
          <w:rFonts w:ascii="Palatino Linotype" w:eastAsia="Palatino Linotype" w:hAnsi="Palatino Linotype" w:cs="Palatino Linotype"/>
          <w:i/>
          <w:iCs/>
        </w:rPr>
        <w:t>…”</w:t>
      </w:r>
    </w:p>
    <w:p w14:paraId="6AA58E23" w14:textId="77777777" w:rsidR="00152065" w:rsidRDefault="00152065" w:rsidP="009E38E7">
      <w:pPr>
        <w:tabs>
          <w:tab w:val="left" w:pos="4667"/>
        </w:tabs>
        <w:spacing w:line="360" w:lineRule="auto"/>
        <w:contextualSpacing/>
        <w:jc w:val="both"/>
        <w:rPr>
          <w:rFonts w:ascii="Palatino Linotype" w:eastAsia="Palatino Linotype" w:hAnsi="Palatino Linotype" w:cs="Palatino Linotype"/>
          <w:sz w:val="22"/>
          <w:szCs w:val="22"/>
        </w:rPr>
      </w:pPr>
    </w:p>
    <w:p w14:paraId="6C4AC5EE" w14:textId="3F4002FF" w:rsidR="00152065" w:rsidRPr="004C5EC4" w:rsidRDefault="00152065" w:rsidP="009E38E7">
      <w:pPr>
        <w:tabs>
          <w:tab w:val="left" w:pos="4667"/>
        </w:tabs>
        <w:spacing w:line="360" w:lineRule="auto"/>
        <w:contextualSpacing/>
        <w:jc w:val="both"/>
        <w:rPr>
          <w:rFonts w:ascii="Palatino Linotype" w:eastAsia="Palatino Linotype" w:hAnsi="Palatino Linotype" w:cs="Palatino Linotype"/>
          <w:sz w:val="22"/>
          <w:szCs w:val="22"/>
        </w:rPr>
      </w:pPr>
      <w:proofErr w:type="spellStart"/>
      <w:r w:rsidRPr="004C5EC4">
        <w:rPr>
          <w:rFonts w:ascii="Palatino Linotype" w:eastAsia="Palatino Linotype" w:hAnsi="Palatino Linotype" w:cs="Palatino Linotype"/>
          <w:sz w:val="22"/>
          <w:szCs w:val="22"/>
        </w:rPr>
        <w:t>i</w:t>
      </w:r>
      <w:r>
        <w:rPr>
          <w:rFonts w:ascii="Palatino Linotype" w:eastAsia="Palatino Linotype" w:hAnsi="Palatino Linotype" w:cs="Palatino Linotype"/>
          <w:sz w:val="22"/>
          <w:szCs w:val="22"/>
        </w:rPr>
        <w:t>ii</w:t>
      </w:r>
      <w:proofErr w:type="spellEnd"/>
      <w:r w:rsidRPr="004C5EC4">
        <w:rPr>
          <w:rFonts w:ascii="Palatino Linotype" w:eastAsia="Palatino Linotype" w:hAnsi="Palatino Linotype" w:cs="Palatino Linotype"/>
          <w:sz w:val="22"/>
          <w:szCs w:val="22"/>
        </w:rPr>
        <w:t>)</w:t>
      </w:r>
      <w:r>
        <w:rPr>
          <w:rFonts w:ascii="Palatino Linotype" w:eastAsia="Palatino Linotype" w:hAnsi="Palatino Linotype" w:cs="Palatino Linotype"/>
          <w:sz w:val="22"/>
          <w:szCs w:val="22"/>
        </w:rPr>
        <w:t xml:space="preserve"> </w:t>
      </w:r>
      <w:r w:rsidRPr="004C5EC4">
        <w:rPr>
          <w:rFonts w:ascii="Palatino Linotype" w:eastAsia="Palatino Linotype" w:hAnsi="Palatino Linotype" w:cs="Palatino Linotype"/>
          <w:sz w:val="22"/>
          <w:szCs w:val="22"/>
        </w:rPr>
        <w:t xml:space="preserve">Oficio número </w:t>
      </w:r>
      <w:r w:rsidRPr="00285A88">
        <w:rPr>
          <w:rFonts w:ascii="Palatino Linotype" w:eastAsia="Palatino Linotype" w:hAnsi="Palatino Linotype" w:cs="Palatino Linotype"/>
          <w:sz w:val="22"/>
          <w:szCs w:val="22"/>
        </w:rPr>
        <w:t>DPCB/ECA/</w:t>
      </w:r>
      <w:r w:rsidR="00D8050E">
        <w:rPr>
          <w:rFonts w:ascii="Palatino Linotype" w:eastAsia="Palatino Linotype" w:hAnsi="Palatino Linotype" w:cs="Palatino Linotype"/>
          <w:sz w:val="22"/>
          <w:szCs w:val="22"/>
        </w:rPr>
        <w:t>071</w:t>
      </w:r>
      <w:r w:rsidRPr="00285A88">
        <w:rPr>
          <w:rFonts w:ascii="Palatino Linotype" w:eastAsia="Palatino Linotype" w:hAnsi="Palatino Linotype" w:cs="Palatino Linotype"/>
          <w:sz w:val="22"/>
          <w:szCs w:val="22"/>
        </w:rPr>
        <w:t>/202</w:t>
      </w:r>
      <w:r w:rsidR="00D8050E">
        <w:rPr>
          <w:rFonts w:ascii="Palatino Linotype" w:eastAsia="Palatino Linotype" w:hAnsi="Palatino Linotype" w:cs="Palatino Linotype"/>
          <w:sz w:val="22"/>
          <w:szCs w:val="22"/>
        </w:rPr>
        <w:t>6</w:t>
      </w:r>
      <w:r w:rsidRPr="004C5EC4">
        <w:rPr>
          <w:rFonts w:ascii="Palatino Linotype" w:eastAsia="Palatino Linotype" w:hAnsi="Palatino Linotype" w:cs="Palatino Linotype"/>
          <w:sz w:val="22"/>
          <w:szCs w:val="22"/>
        </w:rPr>
        <w:t xml:space="preserve">, del </w:t>
      </w:r>
      <w:r w:rsidR="00D8050E">
        <w:rPr>
          <w:rFonts w:ascii="Palatino Linotype" w:eastAsia="Palatino Linotype" w:hAnsi="Palatino Linotype" w:cs="Palatino Linotype"/>
          <w:sz w:val="22"/>
          <w:szCs w:val="22"/>
        </w:rPr>
        <w:t xml:space="preserve">trece de enero </w:t>
      </w:r>
      <w:r w:rsidRPr="004C5EC4">
        <w:rPr>
          <w:rFonts w:ascii="Palatino Linotype" w:eastAsia="Palatino Linotype" w:hAnsi="Palatino Linotype" w:cs="Palatino Linotype"/>
          <w:sz w:val="22"/>
          <w:szCs w:val="22"/>
        </w:rPr>
        <w:t>de dos mil veinti</w:t>
      </w:r>
      <w:r w:rsidR="00D8050E">
        <w:rPr>
          <w:rFonts w:ascii="Palatino Linotype" w:eastAsia="Palatino Linotype" w:hAnsi="Palatino Linotype" w:cs="Palatino Linotype"/>
          <w:sz w:val="22"/>
          <w:szCs w:val="22"/>
        </w:rPr>
        <w:t>séis</w:t>
      </w:r>
      <w:r w:rsidRPr="004C5EC4">
        <w:rPr>
          <w:rFonts w:ascii="Palatino Linotype" w:eastAsia="Palatino Linotype" w:hAnsi="Palatino Linotype" w:cs="Palatino Linotype"/>
          <w:sz w:val="22"/>
          <w:szCs w:val="22"/>
        </w:rPr>
        <w:t xml:space="preserve">, suscrito por </w:t>
      </w:r>
      <w:r>
        <w:rPr>
          <w:rFonts w:ascii="Palatino Linotype" w:eastAsia="Palatino Linotype" w:hAnsi="Palatino Linotype" w:cs="Palatino Linotype"/>
          <w:sz w:val="22"/>
          <w:szCs w:val="22"/>
        </w:rPr>
        <w:t>e</w:t>
      </w:r>
      <w:r w:rsidRPr="004C5EC4">
        <w:rPr>
          <w:rFonts w:ascii="Palatino Linotype" w:eastAsia="Palatino Linotype" w:hAnsi="Palatino Linotype" w:cs="Palatino Linotype"/>
          <w:sz w:val="22"/>
          <w:szCs w:val="22"/>
        </w:rPr>
        <w:t xml:space="preserve">l </w:t>
      </w:r>
      <w:proofErr w:type="gramStart"/>
      <w:r w:rsidRPr="004C5EC4">
        <w:rPr>
          <w:rFonts w:ascii="Palatino Linotype" w:eastAsia="Palatino Linotype" w:hAnsi="Palatino Linotype" w:cs="Palatino Linotype"/>
          <w:sz w:val="22"/>
          <w:szCs w:val="22"/>
        </w:rPr>
        <w:t>Director</w:t>
      </w:r>
      <w:proofErr w:type="gramEnd"/>
      <w:r w:rsidRPr="004C5EC4">
        <w:rPr>
          <w:rFonts w:ascii="Palatino Linotype" w:eastAsia="Palatino Linotype" w:hAnsi="Palatino Linotype" w:cs="Palatino Linotype"/>
          <w:sz w:val="22"/>
          <w:szCs w:val="22"/>
        </w:rPr>
        <w:t xml:space="preserve"> </w:t>
      </w:r>
      <w:r>
        <w:rPr>
          <w:rFonts w:ascii="Palatino Linotype" w:eastAsia="Palatino Linotype" w:hAnsi="Palatino Linotype" w:cs="Palatino Linotype"/>
          <w:sz w:val="22"/>
          <w:szCs w:val="22"/>
        </w:rPr>
        <w:t>de Protección Civil y Bomberos, dirigido a la Titular de la Unidad de Transparencia</w:t>
      </w:r>
      <w:r w:rsidRPr="004C5EC4">
        <w:rPr>
          <w:rFonts w:ascii="Palatino Linotype" w:eastAsia="Palatino Linotype" w:hAnsi="Palatino Linotype" w:cs="Palatino Linotype"/>
          <w:sz w:val="22"/>
          <w:szCs w:val="22"/>
        </w:rPr>
        <w:t>,</w:t>
      </w:r>
      <w:r>
        <w:rPr>
          <w:rFonts w:ascii="Palatino Linotype" w:eastAsia="Palatino Linotype" w:hAnsi="Palatino Linotype" w:cs="Palatino Linotype"/>
          <w:sz w:val="22"/>
          <w:szCs w:val="22"/>
        </w:rPr>
        <w:t xml:space="preserve"> </w:t>
      </w:r>
      <w:r w:rsidRPr="004C5EC4">
        <w:rPr>
          <w:rFonts w:ascii="Palatino Linotype" w:eastAsia="Palatino Linotype" w:hAnsi="Palatino Linotype" w:cs="Palatino Linotype"/>
          <w:sz w:val="22"/>
          <w:szCs w:val="22"/>
        </w:rPr>
        <w:t xml:space="preserve">a través del cual </w:t>
      </w:r>
      <w:r w:rsidR="00D8050E">
        <w:rPr>
          <w:rFonts w:ascii="Palatino Linotype" w:eastAsia="Palatino Linotype" w:hAnsi="Palatino Linotype" w:cs="Palatino Linotype"/>
          <w:sz w:val="22"/>
          <w:szCs w:val="22"/>
        </w:rPr>
        <w:t>esencialmente ratifica su respuesta inicial</w:t>
      </w:r>
    </w:p>
    <w:bookmarkEnd w:id="5"/>
    <w:p w14:paraId="4CCDE606" w14:textId="77777777" w:rsidR="00B52CFA" w:rsidRDefault="00B52CFA" w:rsidP="009E38E7">
      <w:pPr>
        <w:spacing w:line="360" w:lineRule="auto"/>
        <w:contextualSpacing/>
        <w:jc w:val="both"/>
        <w:rPr>
          <w:rFonts w:ascii="Palatino Linotype" w:eastAsia="Palatino Linotype" w:hAnsi="Palatino Linotype" w:cs="Palatino Linotype"/>
          <w:b/>
          <w:sz w:val="22"/>
          <w:szCs w:val="22"/>
        </w:rPr>
      </w:pPr>
    </w:p>
    <w:p w14:paraId="11FE55AA" w14:textId="761C4411" w:rsidR="00B52CFA" w:rsidRPr="00F84457" w:rsidRDefault="00B52CFA" w:rsidP="009E38E7">
      <w:pPr>
        <w:spacing w:line="360" w:lineRule="auto"/>
        <w:contextualSpacing/>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d) Vista del informe justificado. </w:t>
      </w:r>
      <w:r>
        <w:rPr>
          <w:rFonts w:ascii="Palatino Linotype" w:eastAsia="Palatino Linotype" w:hAnsi="Palatino Linotype" w:cs="Palatino Linotype"/>
          <w:sz w:val="22"/>
          <w:szCs w:val="22"/>
        </w:rPr>
        <w:t xml:space="preserve">El dieciocho de febrero de dos mil veintiséis, se dictó acuerdo mediante el cual se puso a la vista del Particular, el Informe Justificado entregado por el Sujeto Obligado, el cual fue notificado, a través del SAIMEX, el mismo día. </w:t>
      </w:r>
    </w:p>
    <w:p w14:paraId="65291A4C" w14:textId="77777777" w:rsidR="00B52CFA" w:rsidRDefault="00B52CFA" w:rsidP="009E38E7">
      <w:pPr>
        <w:spacing w:line="360" w:lineRule="auto"/>
        <w:contextualSpacing/>
        <w:jc w:val="both"/>
        <w:rPr>
          <w:rFonts w:ascii="Palatino Linotype" w:eastAsia="Palatino Linotype" w:hAnsi="Palatino Linotype" w:cs="Palatino Linotype"/>
          <w:b/>
          <w:sz w:val="22"/>
          <w:szCs w:val="22"/>
        </w:rPr>
      </w:pPr>
    </w:p>
    <w:p w14:paraId="11316621" w14:textId="44F3E66A" w:rsidR="00F84457" w:rsidRPr="00F84457" w:rsidRDefault="00B52CFA" w:rsidP="009E38E7">
      <w:pPr>
        <w:spacing w:line="360" w:lineRule="auto"/>
        <w:contextualSpacing/>
        <w:jc w:val="both"/>
        <w:rPr>
          <w:rFonts w:ascii="Palatino Linotype" w:eastAsia="Palatino Linotype" w:hAnsi="Palatino Linotype" w:cs="Palatino Linotype"/>
          <w:bCs/>
          <w:sz w:val="22"/>
          <w:szCs w:val="22"/>
        </w:rPr>
      </w:pPr>
      <w:bookmarkStart w:id="10" w:name="_heading=h.9qpj1ejz85lp" w:colFirst="0" w:colLast="0"/>
      <w:bookmarkEnd w:id="10"/>
      <w:r>
        <w:rPr>
          <w:rFonts w:ascii="Palatino Linotype" w:eastAsia="Palatino Linotype" w:hAnsi="Palatino Linotype" w:cs="Palatino Linotype"/>
          <w:b/>
          <w:sz w:val="22"/>
          <w:szCs w:val="22"/>
        </w:rPr>
        <w:t xml:space="preserve">e) </w:t>
      </w:r>
      <w:r w:rsidR="00F84457">
        <w:rPr>
          <w:rFonts w:ascii="Palatino Linotype" w:eastAsia="Palatino Linotype" w:hAnsi="Palatino Linotype" w:cs="Palatino Linotype"/>
          <w:b/>
          <w:sz w:val="22"/>
          <w:szCs w:val="22"/>
        </w:rPr>
        <w:t xml:space="preserve">Manifestaciones. </w:t>
      </w:r>
      <w:r w:rsidR="00F84457">
        <w:rPr>
          <w:rFonts w:ascii="Palatino Linotype" w:eastAsia="Palatino Linotype" w:hAnsi="Palatino Linotype" w:cs="Palatino Linotype"/>
          <w:bCs/>
          <w:sz w:val="22"/>
          <w:szCs w:val="22"/>
        </w:rPr>
        <w:t xml:space="preserve">Con fecha dieciocho de febrero de dos mil veintiséis, la ahora Recurrente proporcionó el oficio número </w:t>
      </w:r>
      <w:r w:rsidR="00F84457" w:rsidRPr="00285A88">
        <w:rPr>
          <w:rFonts w:ascii="Palatino Linotype" w:eastAsia="Palatino Linotype" w:hAnsi="Palatino Linotype" w:cs="Palatino Linotype"/>
          <w:sz w:val="22"/>
          <w:szCs w:val="22"/>
        </w:rPr>
        <w:t>DPCB/ECA/3223/2025</w:t>
      </w:r>
      <w:r w:rsidR="00F84457">
        <w:rPr>
          <w:rFonts w:ascii="Palatino Linotype" w:eastAsia="Palatino Linotype" w:hAnsi="Palatino Linotype" w:cs="Palatino Linotype"/>
          <w:sz w:val="22"/>
          <w:szCs w:val="22"/>
        </w:rPr>
        <w:t xml:space="preserve"> remitido en respuesta, así como los oficios remitidos a través del informe justificado, efecto de inconformarse por que no se le remitieron los documentos señalados en los documentos remitidos. </w:t>
      </w:r>
    </w:p>
    <w:p w14:paraId="21D1C5C2" w14:textId="77777777" w:rsidR="00F84457" w:rsidRDefault="00F84457" w:rsidP="009E38E7">
      <w:pPr>
        <w:spacing w:line="360" w:lineRule="auto"/>
        <w:contextualSpacing/>
        <w:jc w:val="both"/>
        <w:rPr>
          <w:rFonts w:ascii="Palatino Linotype" w:eastAsia="Palatino Linotype" w:hAnsi="Palatino Linotype" w:cs="Palatino Linotype"/>
          <w:b/>
          <w:sz w:val="22"/>
          <w:szCs w:val="22"/>
        </w:rPr>
      </w:pPr>
    </w:p>
    <w:p w14:paraId="018BD392" w14:textId="1220767F" w:rsidR="00B52CFA" w:rsidRDefault="00F84457" w:rsidP="009E38E7">
      <w:pPr>
        <w:spacing w:line="360" w:lineRule="auto"/>
        <w:contextualSpacing/>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f) </w:t>
      </w:r>
      <w:r w:rsidR="00B52CFA">
        <w:rPr>
          <w:rFonts w:ascii="Palatino Linotype" w:eastAsia="Palatino Linotype" w:hAnsi="Palatino Linotype" w:cs="Palatino Linotype"/>
          <w:b/>
          <w:sz w:val="22"/>
          <w:szCs w:val="22"/>
        </w:rPr>
        <w:t>Cierre de instrucción.</w:t>
      </w:r>
      <w:r w:rsidR="00B52CFA">
        <w:rPr>
          <w:rFonts w:ascii="Palatino Linotype" w:eastAsia="Palatino Linotype" w:hAnsi="Palatino Linotype" w:cs="Palatino Linotype"/>
          <w:sz w:val="22"/>
          <w:szCs w:val="22"/>
        </w:rPr>
        <w:t xml:space="preserve"> El veinticuatro de febrero de dos mil veintiséis,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 acto que fue notificado a las partes, mediante el SAIMEX, el mismo día.</w:t>
      </w:r>
    </w:p>
    <w:p w14:paraId="6C4043D4" w14:textId="77777777" w:rsidR="00B52CFA" w:rsidRDefault="00B52CFA" w:rsidP="009E38E7">
      <w:pPr>
        <w:spacing w:line="360" w:lineRule="auto"/>
        <w:contextualSpacing/>
        <w:jc w:val="both"/>
        <w:rPr>
          <w:rFonts w:ascii="Palatino Linotype" w:eastAsia="Palatino Linotype" w:hAnsi="Palatino Linotype" w:cs="Palatino Linotype"/>
          <w:b/>
          <w:sz w:val="22"/>
          <w:szCs w:val="22"/>
        </w:rPr>
      </w:pPr>
    </w:p>
    <w:p w14:paraId="78771A45" w14:textId="77777777" w:rsidR="00B52CFA" w:rsidRDefault="00B52CFA" w:rsidP="009E38E7">
      <w:pPr>
        <w:spacing w:line="360" w:lineRule="auto"/>
        <w:contextualSpacing/>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En razón de que fue debidamente sustanciado el expediente electrónico y no existe diligencia pendiente de desahogo, se emite la resolución que conforme a Derecho proceda, de acuerdo a los siguientes: </w:t>
      </w:r>
    </w:p>
    <w:p w14:paraId="0C37B0FF" w14:textId="77777777" w:rsidR="00B52CFA" w:rsidRDefault="00B52CFA" w:rsidP="009E38E7">
      <w:pPr>
        <w:spacing w:line="360" w:lineRule="auto"/>
        <w:contextualSpacing/>
      </w:pPr>
    </w:p>
    <w:p w14:paraId="4F8DD7B7" w14:textId="77777777" w:rsidR="00B52CFA" w:rsidRDefault="00B52CFA" w:rsidP="009E38E7">
      <w:pPr>
        <w:spacing w:line="360" w:lineRule="auto"/>
        <w:contextualSpacing/>
      </w:pPr>
    </w:p>
    <w:p w14:paraId="0F996059" w14:textId="77777777" w:rsidR="00B52CFA" w:rsidRDefault="00B52CFA" w:rsidP="009E38E7">
      <w:pPr>
        <w:pStyle w:val="Ttulo1"/>
        <w:spacing w:before="0" w:after="0" w:line="360" w:lineRule="auto"/>
        <w:contextualSpacing/>
        <w:jc w:val="center"/>
        <w:rPr>
          <w:rFonts w:ascii="Palatino Linotype" w:eastAsia="Palatino Linotype" w:hAnsi="Palatino Linotype" w:cs="Palatino Linotype"/>
          <w:b/>
          <w:color w:val="000000"/>
          <w:sz w:val="22"/>
          <w:szCs w:val="22"/>
        </w:rPr>
      </w:pPr>
      <w:bookmarkStart w:id="11" w:name="_Toc223020144"/>
      <w:r>
        <w:rPr>
          <w:rFonts w:ascii="Palatino Linotype" w:eastAsia="Palatino Linotype" w:hAnsi="Palatino Linotype" w:cs="Palatino Linotype"/>
          <w:b/>
          <w:color w:val="000000"/>
          <w:sz w:val="22"/>
          <w:szCs w:val="22"/>
        </w:rPr>
        <w:t>C O N S I D E R A N D O S</w:t>
      </w:r>
      <w:bookmarkEnd w:id="11"/>
    </w:p>
    <w:p w14:paraId="0A11FA25" w14:textId="77777777" w:rsidR="00B52CFA" w:rsidRDefault="00B52CFA" w:rsidP="009E38E7">
      <w:pPr>
        <w:spacing w:line="360" w:lineRule="auto"/>
        <w:contextualSpacing/>
      </w:pPr>
    </w:p>
    <w:p w14:paraId="6EB61FAD" w14:textId="77777777" w:rsidR="00B52CFA" w:rsidRDefault="00B52CFA" w:rsidP="009E38E7">
      <w:pPr>
        <w:pStyle w:val="Ttulo2"/>
        <w:spacing w:before="0" w:after="0" w:line="360" w:lineRule="auto"/>
        <w:contextualSpacing/>
        <w:rPr>
          <w:rFonts w:ascii="Palatino Linotype" w:eastAsia="Palatino Linotype" w:hAnsi="Palatino Linotype" w:cs="Palatino Linotype"/>
          <w:b/>
          <w:color w:val="000000"/>
          <w:sz w:val="22"/>
          <w:szCs w:val="22"/>
        </w:rPr>
      </w:pPr>
      <w:bookmarkStart w:id="12" w:name="_Toc223020145"/>
      <w:r>
        <w:rPr>
          <w:rFonts w:ascii="Palatino Linotype" w:eastAsia="Palatino Linotype" w:hAnsi="Palatino Linotype" w:cs="Palatino Linotype"/>
          <w:b/>
          <w:color w:val="000000"/>
          <w:sz w:val="22"/>
          <w:szCs w:val="22"/>
        </w:rPr>
        <w:t>PRIMERO. Competencia</w:t>
      </w:r>
      <w:bookmarkEnd w:id="12"/>
    </w:p>
    <w:p w14:paraId="5BEA1F90" w14:textId="77777777" w:rsidR="00B52CFA" w:rsidRDefault="00B52CFA" w:rsidP="009E38E7">
      <w:pPr>
        <w:spacing w:line="360" w:lineRule="auto"/>
        <w:contextualSpacing/>
      </w:pPr>
    </w:p>
    <w:p w14:paraId="3FC9D0EC" w14:textId="77777777" w:rsidR="00B52CFA" w:rsidRDefault="00B52CFA" w:rsidP="009E38E7">
      <w:pPr>
        <w:spacing w:line="360" w:lineRule="auto"/>
        <w:contextualSpacing/>
        <w:jc w:val="both"/>
        <w:rPr>
          <w:rFonts w:ascii="Palatino Linotype" w:eastAsia="Palatino Linotype" w:hAnsi="Palatino Linotype" w:cs="Palatino Linotype"/>
          <w:sz w:val="22"/>
          <w:szCs w:val="22"/>
        </w:rPr>
      </w:pPr>
      <w:r w:rsidRPr="0069652E">
        <w:rPr>
          <w:rFonts w:ascii="Palatino Linotype" w:eastAsia="Palatino Linotype" w:hAnsi="Palatino Linotype" w:cs="Palatino Linotype"/>
          <w:sz w:val="22"/>
          <w:szCs w:val="22"/>
        </w:rPr>
        <w:t xml:space="preserve">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w:t>
      </w:r>
      <w:bookmarkStart w:id="13" w:name="_Hlk214613917"/>
      <w:r w:rsidRPr="0069652E">
        <w:rPr>
          <w:rFonts w:ascii="Palatino Linotype" w:eastAsia="Palatino Linotype" w:hAnsi="Palatino Linotype" w:cs="Palatino Linotype"/>
          <w:sz w:val="22"/>
          <w:szCs w:val="22"/>
        </w:rPr>
        <w:t xml:space="preserve">párrafos cuadragésimo </w:t>
      </w:r>
      <w:r>
        <w:rPr>
          <w:rFonts w:ascii="Palatino Linotype" w:eastAsia="Palatino Linotype" w:hAnsi="Palatino Linotype" w:cs="Palatino Linotype"/>
          <w:sz w:val="22"/>
          <w:szCs w:val="22"/>
        </w:rPr>
        <w:t>cuarto</w:t>
      </w:r>
      <w:r w:rsidRPr="0069652E">
        <w:rPr>
          <w:rFonts w:ascii="Palatino Linotype" w:eastAsia="Palatino Linotype" w:hAnsi="Palatino Linotype" w:cs="Palatino Linotype"/>
          <w:sz w:val="22"/>
          <w:szCs w:val="22"/>
        </w:rPr>
        <w:t xml:space="preserve">, cuadragésimo </w:t>
      </w:r>
      <w:r>
        <w:rPr>
          <w:rFonts w:ascii="Palatino Linotype" w:eastAsia="Palatino Linotype" w:hAnsi="Palatino Linotype" w:cs="Palatino Linotype"/>
          <w:sz w:val="22"/>
          <w:szCs w:val="22"/>
        </w:rPr>
        <w:t xml:space="preserve">quinto </w:t>
      </w:r>
      <w:r w:rsidRPr="0069652E">
        <w:rPr>
          <w:rFonts w:ascii="Palatino Linotype" w:eastAsia="Palatino Linotype" w:hAnsi="Palatino Linotype" w:cs="Palatino Linotype"/>
          <w:sz w:val="22"/>
          <w:szCs w:val="22"/>
        </w:rPr>
        <w:t xml:space="preserve">y cuadragésimo </w:t>
      </w:r>
      <w:r>
        <w:rPr>
          <w:rFonts w:ascii="Palatino Linotype" w:eastAsia="Palatino Linotype" w:hAnsi="Palatino Linotype" w:cs="Palatino Linotype"/>
          <w:sz w:val="22"/>
          <w:szCs w:val="22"/>
        </w:rPr>
        <w:t>sexto</w:t>
      </w:r>
      <w:bookmarkEnd w:id="13"/>
      <w:r w:rsidRPr="0069652E">
        <w:rPr>
          <w:rFonts w:ascii="Palatino Linotype" w:eastAsia="Palatino Linotype" w:hAnsi="Palatino Linotype" w:cs="Palatino Linotype"/>
          <w:sz w:val="22"/>
          <w:szCs w:val="22"/>
        </w:rPr>
        <w:t>,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3C60C002" w14:textId="77777777" w:rsidR="00B52CFA" w:rsidRDefault="00B52CFA" w:rsidP="009E38E7">
      <w:pPr>
        <w:spacing w:line="360" w:lineRule="auto"/>
        <w:contextualSpacing/>
        <w:jc w:val="both"/>
        <w:rPr>
          <w:rFonts w:ascii="Palatino Linotype" w:eastAsia="Palatino Linotype" w:hAnsi="Palatino Linotype" w:cs="Palatino Linotype"/>
          <w:color w:val="000000"/>
          <w:sz w:val="22"/>
          <w:szCs w:val="22"/>
        </w:rPr>
      </w:pPr>
    </w:p>
    <w:p w14:paraId="66B2D122" w14:textId="77777777" w:rsidR="00B52CFA" w:rsidRDefault="00B52CFA" w:rsidP="009E38E7">
      <w:pPr>
        <w:pStyle w:val="Ttulo2"/>
        <w:spacing w:before="0" w:after="0" w:line="360" w:lineRule="auto"/>
        <w:contextualSpacing/>
        <w:rPr>
          <w:rFonts w:ascii="Palatino Linotype" w:eastAsia="Palatino Linotype" w:hAnsi="Palatino Linotype" w:cs="Palatino Linotype"/>
          <w:b/>
          <w:color w:val="000000"/>
          <w:sz w:val="22"/>
          <w:szCs w:val="22"/>
        </w:rPr>
      </w:pPr>
      <w:bookmarkStart w:id="14" w:name="_Toc223020146"/>
      <w:r>
        <w:rPr>
          <w:rFonts w:ascii="Palatino Linotype" w:eastAsia="Palatino Linotype" w:hAnsi="Palatino Linotype" w:cs="Palatino Linotype"/>
          <w:b/>
          <w:color w:val="000000"/>
          <w:sz w:val="22"/>
          <w:szCs w:val="22"/>
        </w:rPr>
        <w:t>SEGUNDO. Causales de improcedencia y sobreseimiento</w:t>
      </w:r>
      <w:bookmarkEnd w:id="14"/>
    </w:p>
    <w:p w14:paraId="750DFF55" w14:textId="77777777" w:rsidR="00B52CFA" w:rsidRDefault="00B52CFA" w:rsidP="009E38E7">
      <w:pPr>
        <w:spacing w:line="360" w:lineRule="auto"/>
        <w:contextualSpacing/>
        <w:jc w:val="both"/>
        <w:rPr>
          <w:rFonts w:ascii="Palatino Linotype" w:eastAsia="Palatino Linotype" w:hAnsi="Palatino Linotype" w:cs="Palatino Linotype"/>
          <w:b/>
          <w:sz w:val="22"/>
          <w:szCs w:val="22"/>
        </w:rPr>
      </w:pPr>
    </w:p>
    <w:p w14:paraId="350954FE" w14:textId="77777777" w:rsidR="00B52CFA" w:rsidRDefault="00B52CFA" w:rsidP="009E38E7">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De las constancias que forma parte del Recurso de Revisión que se analiza, se advierte que previo al estudio del fondo de la </w:t>
      </w:r>
      <w:r>
        <w:rPr>
          <w:rFonts w:ascii="Palatino Linotype" w:eastAsia="Palatino Linotype" w:hAnsi="Palatino Linotype" w:cs="Palatino Linotype"/>
          <w:i/>
          <w:sz w:val="22"/>
          <w:szCs w:val="22"/>
        </w:rPr>
        <w:t>litis</w:t>
      </w:r>
      <w:r>
        <w:rPr>
          <w:rFonts w:ascii="Palatino Linotype" w:eastAsia="Palatino Linotype" w:hAnsi="Palatino Linotype" w:cs="Palatino Linotype"/>
          <w:sz w:val="22"/>
          <w:szCs w:val="22"/>
        </w:rPr>
        <w:t>, es necesario estudiar las causales de improcedencia y sobreseimiento que se adviertan, para determinar lo que en Derecho proceda.</w:t>
      </w:r>
    </w:p>
    <w:p w14:paraId="420E6A84" w14:textId="77777777" w:rsidR="00B52CFA" w:rsidRDefault="00B52CFA" w:rsidP="009E38E7">
      <w:pPr>
        <w:spacing w:line="360" w:lineRule="auto"/>
        <w:contextualSpacing/>
        <w:jc w:val="both"/>
        <w:rPr>
          <w:rFonts w:ascii="Palatino Linotype" w:eastAsia="Palatino Linotype" w:hAnsi="Palatino Linotype" w:cs="Palatino Linotype"/>
          <w:b/>
          <w:color w:val="000000"/>
          <w:sz w:val="22"/>
          <w:szCs w:val="22"/>
        </w:rPr>
      </w:pPr>
    </w:p>
    <w:p w14:paraId="3E19266A" w14:textId="77777777" w:rsidR="00B52CFA" w:rsidRDefault="00B52CFA" w:rsidP="009E38E7">
      <w:pPr>
        <w:spacing w:line="360" w:lineRule="auto"/>
        <w:contextualSpacing/>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Causales de improcedencia</w:t>
      </w:r>
    </w:p>
    <w:p w14:paraId="65E38FE4" w14:textId="77777777" w:rsidR="00B52CFA" w:rsidRDefault="00B52CFA" w:rsidP="009E38E7">
      <w:pPr>
        <w:spacing w:line="360" w:lineRule="auto"/>
        <w:contextualSpacing/>
        <w:jc w:val="both"/>
        <w:rPr>
          <w:rFonts w:ascii="Palatino Linotype" w:eastAsia="Palatino Linotype" w:hAnsi="Palatino Linotype" w:cs="Palatino Linotype"/>
          <w:sz w:val="22"/>
          <w:szCs w:val="22"/>
        </w:rPr>
      </w:pPr>
    </w:p>
    <w:p w14:paraId="6614006F" w14:textId="77777777" w:rsidR="00B52CFA" w:rsidRDefault="00B52CFA" w:rsidP="009E38E7">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lastRenderedPageBreak/>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28617DAA" w14:textId="77777777" w:rsidR="00B52CFA" w:rsidRDefault="00B52CFA" w:rsidP="009E38E7">
      <w:pPr>
        <w:spacing w:line="360" w:lineRule="auto"/>
        <w:contextualSpacing/>
        <w:jc w:val="both"/>
        <w:rPr>
          <w:rFonts w:ascii="Palatino Linotype" w:eastAsia="Palatino Linotype" w:hAnsi="Palatino Linotype" w:cs="Palatino Linotype"/>
          <w:sz w:val="22"/>
          <w:szCs w:val="22"/>
        </w:rPr>
      </w:pPr>
    </w:p>
    <w:p w14:paraId="3F1EA658" w14:textId="77777777" w:rsidR="00B52CFA" w:rsidRDefault="00B52CFA" w:rsidP="009E38E7">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En el presente caso, no se actualiza ninguna de las causales de improcedencia establecidas en el ordenamiento jurídico previamente señalado, toda vez que: el recurso fue presentado dentro del plazo establecido en el artículo 178 de la Ley la materia; además, que este Instituto no tiene conocimiento de que se encuentre en trámite algún medio de defensa presentado por la Recurrente ante otra instancia; no existió prevención alguna; la veracidad de la respuesta no formó parte del agravio; ni se realizó una consulta o ampliación a los alcances del requerimiento informativo.</w:t>
      </w:r>
    </w:p>
    <w:p w14:paraId="15E051AB" w14:textId="77777777" w:rsidR="00B52CFA" w:rsidRDefault="00B52CFA" w:rsidP="009E38E7">
      <w:pPr>
        <w:spacing w:line="360" w:lineRule="auto"/>
        <w:contextualSpacing/>
        <w:jc w:val="both"/>
        <w:rPr>
          <w:rFonts w:ascii="Palatino Linotype" w:eastAsia="Palatino Linotype" w:hAnsi="Palatino Linotype" w:cs="Palatino Linotype"/>
          <w:sz w:val="22"/>
          <w:szCs w:val="22"/>
        </w:rPr>
      </w:pPr>
    </w:p>
    <w:p w14:paraId="59A9BC79" w14:textId="77777777" w:rsidR="00B52CFA" w:rsidRDefault="00B52CFA" w:rsidP="009E38E7">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Asimismo, se actualiza la causal de procedencia del Recurso de Revisión establecida en el artículo 179, fracción V, de la Ley de Transparencia y Acceso a la Información Pública del Estado de México y Municipios, referente a la entrega de información incompleta.</w:t>
      </w:r>
    </w:p>
    <w:p w14:paraId="5FB0665D" w14:textId="77777777" w:rsidR="00B52CFA" w:rsidRDefault="00B52CFA" w:rsidP="009E38E7">
      <w:pPr>
        <w:spacing w:line="360" w:lineRule="auto"/>
        <w:contextualSpacing/>
        <w:jc w:val="both"/>
        <w:rPr>
          <w:rFonts w:ascii="Palatino Linotype" w:eastAsia="Palatino Linotype" w:hAnsi="Palatino Linotype" w:cs="Palatino Linotype"/>
          <w:sz w:val="22"/>
          <w:szCs w:val="22"/>
        </w:rPr>
      </w:pPr>
    </w:p>
    <w:p w14:paraId="0D53FA05" w14:textId="77777777" w:rsidR="00B52CFA" w:rsidRDefault="00B52CFA" w:rsidP="009E38E7">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b/>
          <w:sz w:val="22"/>
          <w:szCs w:val="22"/>
        </w:rPr>
        <w:t>Causales de sobreseimiento</w:t>
      </w:r>
    </w:p>
    <w:p w14:paraId="69AB4B6F" w14:textId="77777777" w:rsidR="00B52CFA" w:rsidRDefault="00B52CFA" w:rsidP="009E38E7">
      <w:pPr>
        <w:spacing w:line="360" w:lineRule="auto"/>
        <w:contextualSpacing/>
        <w:jc w:val="both"/>
        <w:rPr>
          <w:rFonts w:ascii="Palatino Linotype" w:eastAsia="Palatino Linotype" w:hAnsi="Palatino Linotype" w:cs="Palatino Linotype"/>
          <w:sz w:val="22"/>
          <w:szCs w:val="22"/>
        </w:rPr>
      </w:pPr>
    </w:p>
    <w:p w14:paraId="7F3DBB07" w14:textId="77777777" w:rsidR="00E45021" w:rsidRPr="00BA5295" w:rsidRDefault="00E45021" w:rsidP="009E38E7">
      <w:pPr>
        <w:spacing w:line="360" w:lineRule="auto"/>
        <w:contextualSpacing/>
        <w:jc w:val="both"/>
        <w:rPr>
          <w:rFonts w:ascii="Palatino Linotype" w:hAnsi="Palatino Linotype"/>
          <w:sz w:val="22"/>
          <w:szCs w:val="22"/>
        </w:rPr>
      </w:pPr>
      <w:bookmarkStart w:id="15" w:name="_Hlk216880022"/>
      <w:r w:rsidRPr="00BA5295">
        <w:rPr>
          <w:rFonts w:ascii="Palatino Linotype" w:hAnsi="Palatino Linotype"/>
          <w:sz w:val="22"/>
          <w:szCs w:val="22"/>
        </w:rPr>
        <w:t>Por ser de previo y especial pronunciamiento, este Instituto analiza si se actualiza alguna causal de sobreseimiento.</w:t>
      </w:r>
    </w:p>
    <w:p w14:paraId="7E3CFE70" w14:textId="77777777" w:rsidR="00E45021" w:rsidRPr="00BA5295" w:rsidRDefault="00E45021" w:rsidP="009E38E7">
      <w:pPr>
        <w:spacing w:line="360" w:lineRule="auto"/>
        <w:contextualSpacing/>
        <w:jc w:val="both"/>
        <w:rPr>
          <w:rFonts w:ascii="Palatino Linotype" w:hAnsi="Palatino Linotype"/>
          <w:sz w:val="22"/>
          <w:szCs w:val="22"/>
        </w:rPr>
      </w:pPr>
    </w:p>
    <w:p w14:paraId="04FA1B7B" w14:textId="77777777" w:rsidR="00E45021" w:rsidRPr="00BA5295" w:rsidRDefault="00E45021" w:rsidP="009E38E7">
      <w:pPr>
        <w:spacing w:line="360" w:lineRule="auto"/>
        <w:contextualSpacing/>
        <w:jc w:val="both"/>
        <w:rPr>
          <w:rFonts w:ascii="Palatino Linotype" w:eastAsia="Calibri" w:hAnsi="Palatino Linotype" w:cs="Tahoma"/>
          <w:sz w:val="22"/>
          <w:szCs w:val="22"/>
          <w:lang w:eastAsia="es-ES_tradnl"/>
        </w:rPr>
      </w:pPr>
      <w:r w:rsidRPr="00BA5295">
        <w:rPr>
          <w:rFonts w:ascii="Palatino Linotype" w:hAnsi="Palatino Linotype" w:cs="Tahoma"/>
          <w:sz w:val="22"/>
          <w:szCs w:val="22"/>
        </w:rPr>
        <w:lastRenderedPageBreak/>
        <w:t xml:space="preserve">El artículo 192 de la </w:t>
      </w:r>
      <w:r w:rsidRPr="00BA5295">
        <w:rPr>
          <w:rFonts w:ascii="Palatino Linotype" w:eastAsia="Calibri" w:hAnsi="Palatino Linotype" w:cs="Tahoma"/>
          <w:bCs/>
          <w:sz w:val="22"/>
          <w:szCs w:val="22"/>
          <w:lang w:eastAsia="es-ES_tradnl"/>
        </w:rPr>
        <w:t xml:space="preserve">Ley Transparencia y Acceso a la Información Pública del Estado de México y Municipios, señala las causales por las cuales se puede sobreseer en todo o en parte el Recurso de Revisión; así, </w:t>
      </w:r>
      <w:r w:rsidRPr="00BA5295">
        <w:rPr>
          <w:rFonts w:ascii="Palatino Linotype" w:eastAsia="Calibri" w:hAnsi="Palatino Linotype" w:cs="Tahoma"/>
          <w:sz w:val="22"/>
          <w:szCs w:val="22"/>
          <w:lang w:eastAsia="es-ES_tradnl"/>
        </w:rPr>
        <w:t>del análisis realizado por este Instituto, se advierte que</w:t>
      </w:r>
      <w:r w:rsidRPr="00BA5295">
        <w:rPr>
          <w:rFonts w:ascii="Palatino Linotype" w:eastAsia="Calibri" w:hAnsi="Palatino Linotype" w:cs="Tahoma"/>
          <w:b/>
          <w:sz w:val="22"/>
          <w:szCs w:val="22"/>
          <w:lang w:eastAsia="es-ES_tradnl"/>
        </w:rPr>
        <w:t xml:space="preserve"> no se configuran las causales establecidas en las fracciones I, II, III, y V, </w:t>
      </w:r>
      <w:r w:rsidRPr="00BA5295">
        <w:rPr>
          <w:rFonts w:ascii="Palatino Linotype" w:eastAsia="Calibri" w:hAnsi="Palatino Linotype" w:cs="Tahoma"/>
          <w:sz w:val="22"/>
          <w:szCs w:val="22"/>
          <w:lang w:eastAsia="es-ES_tradnl"/>
        </w:rPr>
        <w:t>toda vez que no hay constancias en el expediente en que se actúa, de que el Recurrente se haya desistido, fallecido, que el Sujeto Obligado hubiese modificado o revocado el acto impugnado o bien, haya quedado sin materia.</w:t>
      </w:r>
    </w:p>
    <w:p w14:paraId="09FCFCDA" w14:textId="77777777" w:rsidR="00E45021" w:rsidRPr="00BA5295" w:rsidRDefault="00E45021" w:rsidP="009E38E7">
      <w:pPr>
        <w:spacing w:line="360" w:lineRule="auto"/>
        <w:contextualSpacing/>
        <w:jc w:val="both"/>
        <w:rPr>
          <w:rFonts w:ascii="Palatino Linotype" w:eastAsia="Calibri" w:hAnsi="Palatino Linotype" w:cs="Tahoma"/>
          <w:b/>
          <w:sz w:val="22"/>
          <w:szCs w:val="22"/>
          <w:lang w:eastAsia="es-ES_tradnl"/>
        </w:rPr>
      </w:pPr>
    </w:p>
    <w:p w14:paraId="497CEF64" w14:textId="77777777" w:rsidR="00E45021" w:rsidRPr="00BA5295" w:rsidRDefault="00E45021" w:rsidP="009E38E7">
      <w:pPr>
        <w:spacing w:line="360" w:lineRule="auto"/>
        <w:contextualSpacing/>
        <w:jc w:val="both"/>
        <w:rPr>
          <w:rFonts w:ascii="Palatino Linotype" w:eastAsia="Calibri" w:hAnsi="Palatino Linotype" w:cs="Tahoma"/>
          <w:bCs/>
          <w:sz w:val="22"/>
          <w:szCs w:val="22"/>
          <w:lang w:val="es-ES" w:eastAsia="es-ES_tradnl"/>
        </w:rPr>
      </w:pPr>
      <w:r w:rsidRPr="00BA5295">
        <w:rPr>
          <w:rFonts w:ascii="Palatino Linotype" w:eastAsia="Calibri" w:hAnsi="Palatino Linotype" w:cs="Tahoma"/>
          <w:sz w:val="22"/>
          <w:szCs w:val="22"/>
          <w:lang w:eastAsia="es-ES_tradnl"/>
        </w:rPr>
        <w:t>No obstante, por lo que hace a la hipótesis prevista en la fracción IV</w:t>
      </w:r>
      <w:r w:rsidRPr="00BA5295">
        <w:rPr>
          <w:rFonts w:ascii="Palatino Linotype" w:eastAsia="Calibri" w:hAnsi="Palatino Linotype" w:cs="Tahoma"/>
          <w:b/>
          <w:bCs/>
          <w:sz w:val="22"/>
          <w:szCs w:val="22"/>
          <w:lang w:eastAsia="es-ES_tradnl"/>
        </w:rPr>
        <w:t>,</w:t>
      </w:r>
      <w:r w:rsidRPr="00BA5295">
        <w:rPr>
          <w:rFonts w:ascii="Palatino Linotype" w:eastAsia="Calibri" w:hAnsi="Palatino Linotype" w:cs="Tahoma"/>
          <w:sz w:val="22"/>
          <w:szCs w:val="22"/>
          <w:lang w:eastAsia="es-ES_tradnl"/>
        </w:rPr>
        <w:t xml:space="preserve"> a saber, que, una vez admitido el Recurso de Revisión, aparezca alguna causal de improcedencia en términos de la presente Ley, </w:t>
      </w:r>
      <w:r w:rsidRPr="00BA5295">
        <w:rPr>
          <w:rFonts w:ascii="Palatino Linotype" w:eastAsia="Calibri" w:hAnsi="Palatino Linotype" w:cs="Tahoma"/>
          <w:bCs/>
          <w:sz w:val="22"/>
          <w:szCs w:val="22"/>
          <w:lang w:eastAsia="es-ES_tradnl"/>
        </w:rPr>
        <w:t>resulta necesario traer a colación</w:t>
      </w:r>
      <w:r w:rsidRPr="00BA5295">
        <w:rPr>
          <w:rFonts w:ascii="Palatino Linotype" w:eastAsia="Calibri" w:hAnsi="Palatino Linotype" w:cs="Tahoma"/>
          <w:bCs/>
          <w:sz w:val="22"/>
          <w:szCs w:val="22"/>
          <w:lang w:val="es-ES" w:eastAsia="es-ES_tradnl"/>
        </w:rPr>
        <w:t xml:space="preserve"> el artículo 191, fracción VII, del ordenamiento jurídico referido, que establecen lo siguiente:</w:t>
      </w:r>
    </w:p>
    <w:p w14:paraId="0EC3B006" w14:textId="77777777" w:rsidR="004377D0" w:rsidRDefault="004377D0" w:rsidP="009E38E7">
      <w:pPr>
        <w:spacing w:line="360" w:lineRule="auto"/>
        <w:ind w:firstLine="567"/>
        <w:contextualSpacing/>
        <w:jc w:val="both"/>
        <w:rPr>
          <w:rFonts w:ascii="Palatino Linotype" w:eastAsia="Calibri" w:hAnsi="Palatino Linotype" w:cs="Tahoma"/>
          <w:bCs/>
          <w:sz w:val="22"/>
          <w:szCs w:val="22"/>
          <w:lang w:val="es-ES" w:eastAsia="es-ES_tradnl"/>
        </w:rPr>
      </w:pPr>
    </w:p>
    <w:p w14:paraId="57D1D908" w14:textId="77777777" w:rsidR="00E45021" w:rsidRPr="0038653B" w:rsidRDefault="00E45021" w:rsidP="009E38E7">
      <w:pPr>
        <w:spacing w:line="360" w:lineRule="auto"/>
        <w:ind w:left="567" w:right="567"/>
        <w:contextualSpacing/>
        <w:jc w:val="both"/>
        <w:rPr>
          <w:rFonts w:ascii="Palatino Linotype" w:eastAsia="Calibri" w:hAnsi="Palatino Linotype" w:cs="Tahoma"/>
          <w:bCs/>
          <w:i/>
          <w:iCs/>
          <w:lang w:eastAsia="es-ES_tradnl"/>
        </w:rPr>
      </w:pPr>
      <w:r w:rsidRPr="0038653B">
        <w:rPr>
          <w:rFonts w:ascii="Palatino Linotype" w:eastAsia="Calibri" w:hAnsi="Palatino Linotype" w:cs="Tahoma"/>
          <w:b/>
          <w:i/>
          <w:iCs/>
          <w:lang w:val="es-ES" w:eastAsia="es-ES_tradnl"/>
        </w:rPr>
        <w:t>“</w:t>
      </w:r>
      <w:r w:rsidRPr="0038653B">
        <w:rPr>
          <w:rFonts w:ascii="Palatino Linotype" w:eastAsia="Calibri" w:hAnsi="Palatino Linotype" w:cs="Tahoma"/>
          <w:b/>
          <w:i/>
          <w:iCs/>
          <w:lang w:eastAsia="es-ES_tradnl"/>
        </w:rPr>
        <w:t>Artículo 191.</w:t>
      </w:r>
      <w:r w:rsidRPr="0038653B">
        <w:rPr>
          <w:rFonts w:ascii="Palatino Linotype" w:eastAsia="Calibri" w:hAnsi="Palatino Linotype" w:cs="Tahoma"/>
          <w:bCs/>
          <w:i/>
          <w:iCs/>
          <w:lang w:eastAsia="es-ES_tradnl"/>
        </w:rPr>
        <w:t xml:space="preserve"> El recurso será desechado por improcedente cuando:</w:t>
      </w:r>
    </w:p>
    <w:p w14:paraId="287FEDBC" w14:textId="77777777" w:rsidR="00E45021" w:rsidRPr="0038653B" w:rsidRDefault="00E45021" w:rsidP="009E38E7">
      <w:pPr>
        <w:spacing w:line="360" w:lineRule="auto"/>
        <w:ind w:left="567" w:right="567"/>
        <w:contextualSpacing/>
        <w:jc w:val="both"/>
        <w:rPr>
          <w:rFonts w:ascii="Palatino Linotype" w:eastAsia="Calibri" w:hAnsi="Palatino Linotype" w:cs="Tahoma"/>
          <w:bCs/>
          <w:i/>
          <w:iCs/>
          <w:lang w:eastAsia="es-ES_tradnl"/>
        </w:rPr>
      </w:pPr>
      <w:r w:rsidRPr="0038653B">
        <w:rPr>
          <w:rFonts w:ascii="Palatino Linotype" w:eastAsia="Calibri" w:hAnsi="Palatino Linotype" w:cs="Tahoma"/>
          <w:bCs/>
          <w:i/>
          <w:iCs/>
          <w:lang w:val="es-ES" w:eastAsia="es-ES_tradnl"/>
        </w:rPr>
        <w:t>…</w:t>
      </w:r>
    </w:p>
    <w:p w14:paraId="4ED0195E" w14:textId="77777777" w:rsidR="00E45021" w:rsidRPr="0038653B" w:rsidRDefault="00E45021" w:rsidP="009E38E7">
      <w:pPr>
        <w:spacing w:line="360" w:lineRule="auto"/>
        <w:ind w:left="567" w:right="567"/>
        <w:contextualSpacing/>
        <w:jc w:val="both"/>
        <w:rPr>
          <w:rFonts w:ascii="Palatino Linotype" w:eastAsia="Calibri" w:hAnsi="Palatino Linotype" w:cs="Tahoma"/>
          <w:bCs/>
          <w:i/>
          <w:iCs/>
          <w:lang w:eastAsia="es-ES_tradnl"/>
        </w:rPr>
      </w:pPr>
      <w:r w:rsidRPr="0038653B">
        <w:rPr>
          <w:rFonts w:ascii="Palatino Linotype" w:eastAsia="Calibri" w:hAnsi="Palatino Linotype" w:cs="Tahoma"/>
          <w:bCs/>
          <w:i/>
          <w:iCs/>
          <w:lang w:eastAsia="es-ES_tradnl"/>
        </w:rPr>
        <w:t>VII. El recurrente amplíe su solicitud en el recurso de revisión, únicamente respecto de los nuevos contenidos.”</w:t>
      </w:r>
    </w:p>
    <w:p w14:paraId="540B8795" w14:textId="4B1CA58E" w:rsidR="004377D0" w:rsidRPr="0038653B" w:rsidRDefault="004377D0" w:rsidP="009E38E7">
      <w:pPr>
        <w:spacing w:line="360" w:lineRule="auto"/>
        <w:ind w:left="567" w:right="567"/>
        <w:contextualSpacing/>
        <w:jc w:val="both"/>
        <w:rPr>
          <w:rFonts w:ascii="Palatino Linotype" w:eastAsia="Calibri" w:hAnsi="Palatino Linotype" w:cs="Tahoma"/>
          <w:bCs/>
          <w:i/>
          <w:iCs/>
          <w:lang w:val="es-ES" w:eastAsia="es-ES_tradnl"/>
        </w:rPr>
      </w:pPr>
    </w:p>
    <w:p w14:paraId="2069FD59" w14:textId="77777777" w:rsidR="00E45021" w:rsidRPr="00BA5295" w:rsidRDefault="00E45021" w:rsidP="009E38E7">
      <w:pPr>
        <w:spacing w:line="360" w:lineRule="auto"/>
        <w:contextualSpacing/>
        <w:jc w:val="both"/>
        <w:rPr>
          <w:rFonts w:ascii="Palatino Linotype" w:eastAsia="Calibri" w:hAnsi="Palatino Linotype" w:cs="Tahoma"/>
          <w:bCs/>
          <w:sz w:val="22"/>
          <w:szCs w:val="22"/>
          <w:lang w:val="es-ES" w:eastAsia="es-ES_tradnl"/>
        </w:rPr>
      </w:pPr>
    </w:p>
    <w:p w14:paraId="1D28FCC7" w14:textId="77777777" w:rsidR="00E45021" w:rsidRPr="00BA5295" w:rsidRDefault="00E45021" w:rsidP="009E38E7">
      <w:pPr>
        <w:spacing w:line="360" w:lineRule="auto"/>
        <w:contextualSpacing/>
        <w:jc w:val="both"/>
        <w:rPr>
          <w:rFonts w:ascii="Palatino Linotype" w:eastAsia="Calibri" w:hAnsi="Palatino Linotype" w:cs="Tahoma"/>
          <w:bCs/>
          <w:sz w:val="22"/>
          <w:szCs w:val="22"/>
          <w:lang w:val="es-ES" w:eastAsia="es-ES_tradnl"/>
        </w:rPr>
      </w:pPr>
      <w:r w:rsidRPr="00BA5295">
        <w:rPr>
          <w:rFonts w:ascii="Palatino Linotype" w:eastAsia="Calibri" w:hAnsi="Palatino Linotype" w:cs="Tahoma"/>
          <w:bCs/>
          <w:sz w:val="22"/>
          <w:szCs w:val="22"/>
          <w:lang w:val="es-ES" w:eastAsia="es-ES_tradnl"/>
        </w:rPr>
        <w:t>Conforme a lo anterior, se logra vislumbrar que la fracción VII, del artículo 191, de la Ley de Transparencia y Acceso a la Información Pública del Estado de México y Municipios, precisa que el Recurso de Revisión será desechado por improcedente, cuando la parte Recurrente amplíe su solicitud en el Medio de Impugnación.</w:t>
      </w:r>
    </w:p>
    <w:p w14:paraId="48760FAC" w14:textId="77777777" w:rsidR="00E45021" w:rsidRPr="00BA5295" w:rsidRDefault="00E45021" w:rsidP="009E38E7">
      <w:pPr>
        <w:spacing w:line="360" w:lineRule="auto"/>
        <w:contextualSpacing/>
        <w:jc w:val="both"/>
        <w:rPr>
          <w:rFonts w:ascii="Palatino Linotype" w:eastAsia="Calibri" w:hAnsi="Palatino Linotype" w:cs="Tahoma"/>
          <w:bCs/>
          <w:sz w:val="22"/>
          <w:szCs w:val="22"/>
          <w:lang w:val="es-ES" w:eastAsia="es-ES_tradnl"/>
        </w:rPr>
      </w:pPr>
    </w:p>
    <w:p w14:paraId="22D0D1D7" w14:textId="4A58097E" w:rsidR="00E45021" w:rsidRPr="00BF0053" w:rsidRDefault="00E45021" w:rsidP="009E38E7">
      <w:pPr>
        <w:widowControl w:val="0"/>
        <w:spacing w:line="360" w:lineRule="auto"/>
        <w:contextualSpacing/>
        <w:jc w:val="both"/>
        <w:rPr>
          <w:rFonts w:ascii="Palatino Linotype" w:hAnsi="Palatino Linotype" w:cs="Tahoma"/>
          <w:b/>
          <w:sz w:val="22"/>
          <w:szCs w:val="22"/>
        </w:rPr>
      </w:pPr>
      <w:r w:rsidRPr="00BA5295">
        <w:rPr>
          <w:rFonts w:ascii="Palatino Linotype" w:eastAsia="Calibri" w:hAnsi="Palatino Linotype" w:cs="Tahoma"/>
          <w:bCs/>
          <w:sz w:val="22"/>
          <w:szCs w:val="22"/>
          <w:lang w:val="es-ES" w:eastAsia="es-ES_tradnl"/>
        </w:rPr>
        <w:t>En ese orden de ideas, de las constancias que obran en el expediente respectivo, se colige que el Particular requirió</w:t>
      </w:r>
      <w:r>
        <w:rPr>
          <w:rFonts w:ascii="Palatino Linotype" w:eastAsia="Calibri" w:hAnsi="Palatino Linotype" w:cs="Tahoma"/>
          <w:bCs/>
          <w:sz w:val="22"/>
          <w:szCs w:val="22"/>
          <w:lang w:val="es-ES" w:eastAsia="es-ES_tradnl"/>
        </w:rPr>
        <w:t xml:space="preserve"> entre otras cosas</w:t>
      </w:r>
      <w:r w:rsidRPr="00BA5295">
        <w:rPr>
          <w:rFonts w:ascii="Palatino Linotype" w:eastAsia="Calibri" w:hAnsi="Palatino Linotype" w:cs="Tahoma"/>
          <w:bCs/>
          <w:sz w:val="22"/>
          <w:szCs w:val="22"/>
          <w:lang w:val="es-ES" w:eastAsia="es-ES_tradnl"/>
        </w:rPr>
        <w:t xml:space="preserve">, </w:t>
      </w:r>
      <w:r w:rsidRPr="00E45021">
        <w:rPr>
          <w:rFonts w:ascii="Palatino Linotype" w:hAnsi="Palatino Linotype" w:cs="Tahoma"/>
          <w:bCs/>
          <w:sz w:val="22"/>
          <w:szCs w:val="22"/>
        </w:rPr>
        <w:t xml:space="preserve">la cantidad de valoraciones de riesgo realizadas por la poda o derribo de árboles en banquetas del municipio, generadas por la Dirección de </w:t>
      </w:r>
      <w:r w:rsidRPr="00E45021">
        <w:rPr>
          <w:rFonts w:ascii="Palatino Linotype" w:hAnsi="Palatino Linotype" w:cs="Tahoma"/>
          <w:bCs/>
          <w:sz w:val="22"/>
          <w:szCs w:val="22"/>
        </w:rPr>
        <w:lastRenderedPageBreak/>
        <w:t>Medio Ambiente y Ecología.</w:t>
      </w:r>
    </w:p>
    <w:p w14:paraId="400EFB20" w14:textId="77777777" w:rsidR="00E45021" w:rsidRDefault="00E45021" w:rsidP="009E38E7">
      <w:pPr>
        <w:widowControl w:val="0"/>
        <w:spacing w:line="360" w:lineRule="auto"/>
        <w:contextualSpacing/>
        <w:jc w:val="both"/>
        <w:rPr>
          <w:rFonts w:ascii="Palatino Linotype" w:eastAsia="Calibri" w:hAnsi="Palatino Linotype" w:cs="Tahoma"/>
          <w:bCs/>
          <w:color w:val="000000"/>
          <w:sz w:val="22"/>
          <w:szCs w:val="22"/>
        </w:rPr>
      </w:pPr>
    </w:p>
    <w:p w14:paraId="2F76B62F" w14:textId="12109EA2" w:rsidR="00E45021" w:rsidRPr="004377D0" w:rsidRDefault="00E45021" w:rsidP="009E38E7">
      <w:pPr>
        <w:spacing w:line="360" w:lineRule="auto"/>
        <w:contextualSpacing/>
        <w:jc w:val="both"/>
        <w:rPr>
          <w:rFonts w:ascii="Palatino Linotype" w:eastAsia="Calibri" w:hAnsi="Palatino Linotype" w:cs="Tahoma"/>
          <w:bCs/>
          <w:color w:val="000000"/>
          <w:sz w:val="22"/>
          <w:szCs w:val="22"/>
        </w:rPr>
      </w:pPr>
      <w:r>
        <w:rPr>
          <w:rFonts w:ascii="Palatino Linotype" w:eastAsia="Calibri" w:hAnsi="Palatino Linotype" w:cs="Tahoma"/>
          <w:bCs/>
          <w:color w:val="000000"/>
          <w:sz w:val="22"/>
          <w:szCs w:val="22"/>
        </w:rPr>
        <w:t>En respuesta como a través del informe justificado, el Sujeto Obligado a través de la propia Dirección de Medio Ambiente y Ecología, proporcionó la cantidad de valoraciones de riesgo con las que contaba. No obstante</w:t>
      </w:r>
      <w:r>
        <w:rPr>
          <w:rFonts w:ascii="Palatino Linotype" w:eastAsia="Palatino Linotype" w:hAnsi="Palatino Linotype" w:cs="Palatino Linotype"/>
          <w:bCs/>
          <w:iCs/>
          <w:color w:val="000000"/>
          <w:sz w:val="22"/>
          <w:szCs w:val="22"/>
        </w:rPr>
        <w:t>, de la información remitida, la ahora Recurrente se inconformó porque no le habían anexado copia de las valoraciones referidas, además de que no se le había precisado la dependencia encargada de los registros solicitados.</w:t>
      </w:r>
    </w:p>
    <w:p w14:paraId="236A6525" w14:textId="77777777" w:rsidR="00E45021" w:rsidRPr="00BA5295" w:rsidRDefault="00E45021" w:rsidP="009E38E7">
      <w:pPr>
        <w:pStyle w:val="NormalWeb"/>
        <w:spacing w:after="0" w:line="360" w:lineRule="auto"/>
        <w:ind w:right="-28"/>
        <w:contextualSpacing/>
        <w:rPr>
          <w:rFonts w:ascii="Palatino Linotype" w:hAnsi="Palatino Linotype" w:cs="Tahoma"/>
          <w:color w:val="auto"/>
          <w:sz w:val="22"/>
          <w:szCs w:val="22"/>
          <w:lang w:val="es-ES"/>
        </w:rPr>
      </w:pPr>
    </w:p>
    <w:p w14:paraId="43B70CC4" w14:textId="63E9E1F4" w:rsidR="00E45021" w:rsidRPr="00BA5295" w:rsidRDefault="00E45021" w:rsidP="009E38E7">
      <w:pPr>
        <w:spacing w:line="360" w:lineRule="auto"/>
        <w:contextualSpacing/>
        <w:jc w:val="both"/>
        <w:rPr>
          <w:rFonts w:ascii="Palatino Linotype" w:eastAsia="Calibri" w:hAnsi="Palatino Linotype" w:cs="Tahoma"/>
          <w:bCs/>
          <w:sz w:val="22"/>
          <w:szCs w:val="22"/>
          <w:lang w:val="es-ES" w:eastAsia="es-ES_tradnl"/>
        </w:rPr>
      </w:pPr>
      <w:r w:rsidRPr="00BA5295">
        <w:rPr>
          <w:rFonts w:ascii="Palatino Linotype" w:eastAsia="Calibri" w:hAnsi="Palatino Linotype" w:cs="Tahoma"/>
          <w:sz w:val="22"/>
          <w:szCs w:val="22"/>
          <w:lang w:eastAsia="es-ES_tradnl"/>
        </w:rPr>
        <w:t>En ese sentido y conforme a lo expuesto, se logra vislumbrar que, del contraste entre el planteamiento formulado en la solicitud de información y las manifestaciones vertidas en el Medio de Impugnación, que el Particular, a través del Recurso pretende obtener información diversa a la inicialmente requerida, pues inicialmente requirió</w:t>
      </w:r>
      <w:r>
        <w:rPr>
          <w:rFonts w:ascii="Palatino Linotype" w:eastAsia="Calibri" w:hAnsi="Palatino Linotype" w:cs="Tahoma"/>
          <w:sz w:val="22"/>
          <w:szCs w:val="22"/>
          <w:lang w:eastAsia="es-ES_tradnl"/>
        </w:rPr>
        <w:t>, l</w:t>
      </w:r>
      <w:r w:rsidR="004377D0">
        <w:rPr>
          <w:rFonts w:ascii="Palatino Linotype" w:eastAsia="Calibri" w:hAnsi="Palatino Linotype" w:cs="Tahoma"/>
          <w:sz w:val="22"/>
          <w:szCs w:val="22"/>
          <w:lang w:eastAsia="es-ES_tradnl"/>
        </w:rPr>
        <w:t>a información estadística con la que se contaba</w:t>
      </w:r>
      <w:r>
        <w:rPr>
          <w:rFonts w:ascii="Palatino Linotype" w:eastAsia="Calibri" w:hAnsi="Palatino Linotype" w:cs="Tahoma"/>
          <w:sz w:val="22"/>
          <w:szCs w:val="22"/>
          <w:lang w:eastAsia="es-ES_tradnl"/>
        </w:rPr>
        <w:t>, y posteriormente solicitó los</w:t>
      </w:r>
      <w:r w:rsidRPr="00BA5295">
        <w:rPr>
          <w:rFonts w:ascii="Palatino Linotype" w:eastAsia="Calibri" w:hAnsi="Palatino Linotype" w:cs="Tahoma"/>
          <w:sz w:val="22"/>
          <w:szCs w:val="22"/>
          <w:lang w:eastAsia="es-ES_tradnl"/>
        </w:rPr>
        <w:t xml:space="preserve"> </w:t>
      </w:r>
      <w:r>
        <w:rPr>
          <w:rFonts w:ascii="Palatino Linotype" w:eastAsia="Calibri" w:hAnsi="Palatino Linotype" w:cs="Tahoma"/>
          <w:sz w:val="22"/>
          <w:szCs w:val="22"/>
          <w:lang w:eastAsia="es-ES_tradnl"/>
        </w:rPr>
        <w:t>documentos</w:t>
      </w:r>
      <w:r w:rsidR="004377D0">
        <w:rPr>
          <w:rFonts w:ascii="Palatino Linotype" w:eastAsia="Calibri" w:hAnsi="Palatino Linotype" w:cs="Tahoma"/>
          <w:sz w:val="22"/>
          <w:szCs w:val="22"/>
          <w:lang w:eastAsia="es-ES_tradnl"/>
        </w:rPr>
        <w:t xml:space="preserve"> relacionados con las valoraciones solicitadas además de la dependencia encargada de los registros solicitados</w:t>
      </w:r>
      <w:r w:rsidRPr="00BA5295">
        <w:rPr>
          <w:rFonts w:ascii="Palatino Linotype" w:eastAsia="Calibri" w:hAnsi="Palatino Linotype" w:cs="Tahoma"/>
          <w:sz w:val="22"/>
          <w:szCs w:val="22"/>
          <w:lang w:eastAsia="es-ES_tradnl"/>
        </w:rPr>
        <w:t>.</w:t>
      </w:r>
    </w:p>
    <w:p w14:paraId="60718A40" w14:textId="77777777" w:rsidR="00E45021" w:rsidRPr="00BA5295" w:rsidRDefault="00E45021" w:rsidP="009E38E7">
      <w:pPr>
        <w:spacing w:line="360" w:lineRule="auto"/>
        <w:contextualSpacing/>
        <w:jc w:val="both"/>
        <w:rPr>
          <w:rFonts w:ascii="Palatino Linotype" w:eastAsia="Calibri" w:hAnsi="Palatino Linotype" w:cs="Tahoma"/>
          <w:sz w:val="22"/>
          <w:szCs w:val="22"/>
          <w:lang w:eastAsia="es-ES_tradnl"/>
        </w:rPr>
      </w:pPr>
    </w:p>
    <w:p w14:paraId="7ED1AB4A" w14:textId="77777777" w:rsidR="00E45021" w:rsidRPr="00BA5295" w:rsidRDefault="00E45021" w:rsidP="009E38E7">
      <w:pPr>
        <w:spacing w:line="360" w:lineRule="auto"/>
        <w:contextualSpacing/>
        <w:jc w:val="both"/>
        <w:rPr>
          <w:rFonts w:ascii="Palatino Linotype" w:hAnsi="Palatino Linotype" w:cs="Tahoma"/>
          <w:b/>
          <w:sz w:val="22"/>
          <w:szCs w:val="22"/>
          <w:lang w:val="es-ES"/>
        </w:rPr>
      </w:pPr>
      <w:r w:rsidRPr="00BA5295">
        <w:rPr>
          <w:rFonts w:ascii="Palatino Linotype" w:hAnsi="Palatino Linotype" w:cs="Tahoma"/>
          <w:sz w:val="22"/>
          <w:szCs w:val="22"/>
          <w:lang w:val="es-ES"/>
        </w:rPr>
        <w:t>Por tal circunstancia, dicha situación no puede constituir materia de estudio del presente Recurso de Revisión, debido a que la solicitud de información debe ser apreciada en los términos en que fue planteada originalmente ante el Sujeto Obligado,</w:t>
      </w:r>
      <w:r w:rsidRPr="00BA5295">
        <w:rPr>
          <w:rFonts w:ascii="Palatino Linotype" w:hAnsi="Palatino Linotype" w:cs="Tahoma"/>
          <w:b/>
          <w:sz w:val="22"/>
          <w:szCs w:val="22"/>
          <w:lang w:val="es-ES"/>
        </w:rPr>
        <w:t xml:space="preserve"> sin variar en el fondo la controversia, ni constituir un nuevo requerimiento informativo. </w:t>
      </w:r>
    </w:p>
    <w:p w14:paraId="4CA52141" w14:textId="77777777" w:rsidR="00E45021" w:rsidRPr="00BA5295" w:rsidRDefault="00E45021" w:rsidP="009E38E7">
      <w:pPr>
        <w:spacing w:line="360" w:lineRule="auto"/>
        <w:contextualSpacing/>
        <w:jc w:val="both"/>
        <w:rPr>
          <w:rFonts w:ascii="Palatino Linotype" w:hAnsi="Palatino Linotype" w:cs="Tahoma"/>
          <w:b/>
          <w:sz w:val="22"/>
          <w:szCs w:val="22"/>
          <w:lang w:val="es-ES"/>
        </w:rPr>
      </w:pPr>
    </w:p>
    <w:p w14:paraId="75F99FB0" w14:textId="77777777" w:rsidR="00E45021" w:rsidRDefault="00E45021" w:rsidP="009E38E7">
      <w:pPr>
        <w:spacing w:line="360" w:lineRule="auto"/>
        <w:contextualSpacing/>
        <w:jc w:val="both"/>
        <w:rPr>
          <w:rFonts w:ascii="Palatino Linotype" w:hAnsi="Palatino Linotype"/>
          <w:sz w:val="22"/>
          <w:szCs w:val="22"/>
        </w:rPr>
      </w:pPr>
      <w:r w:rsidRPr="00BA5295">
        <w:rPr>
          <w:rFonts w:ascii="Palatino Linotype" w:hAnsi="Palatino Linotype"/>
          <w:sz w:val="22"/>
          <w:szCs w:val="22"/>
        </w:rPr>
        <w:t xml:space="preserve">Al respecto, resulta pertinente traer a colación el </w:t>
      </w:r>
      <w:r w:rsidRPr="00BA5295">
        <w:rPr>
          <w:rFonts w:ascii="Palatino Linotype" w:eastAsia="Calibri" w:hAnsi="Palatino Linotype" w:cs="Tahoma"/>
          <w:bCs/>
          <w:sz w:val="22"/>
          <w:szCs w:val="22"/>
          <w:lang w:val="es-ES"/>
        </w:rPr>
        <w:t xml:space="preserve">Criterio Orientador, de la Segunda Época, con clave de control </w:t>
      </w:r>
      <w:r w:rsidRPr="00BA5295">
        <w:rPr>
          <w:rFonts w:ascii="Palatino Linotype" w:eastAsia="Calibri" w:hAnsi="Palatino Linotype" w:cs="Tahoma"/>
          <w:bCs/>
          <w:sz w:val="22"/>
          <w:szCs w:val="22"/>
        </w:rPr>
        <w:t>SO/001/2017,</w:t>
      </w:r>
      <w:r w:rsidRPr="00BA5295">
        <w:rPr>
          <w:rFonts w:ascii="Palatino Linotype" w:hAnsi="Palatino Linotype"/>
          <w:sz w:val="22"/>
          <w:szCs w:val="22"/>
        </w:rPr>
        <w:t xml:space="preserve"> emitido por el entonces Instituto Nacional de Transparencia, Acceso a la Información y Protección de Datos Personales vigente a la fecha de la solicitud, el cual indica que no resulta procedente ampliar vía recurso de revisión, las solicitudes de información:</w:t>
      </w:r>
    </w:p>
    <w:p w14:paraId="0470246B" w14:textId="77777777" w:rsidR="00E45021" w:rsidRPr="00BA5295" w:rsidRDefault="00E45021" w:rsidP="009E38E7">
      <w:pPr>
        <w:spacing w:line="360" w:lineRule="auto"/>
        <w:contextualSpacing/>
        <w:jc w:val="both"/>
        <w:rPr>
          <w:rFonts w:ascii="Palatino Linotype" w:hAnsi="Palatino Linotype"/>
          <w:sz w:val="22"/>
          <w:szCs w:val="22"/>
        </w:rPr>
      </w:pPr>
    </w:p>
    <w:p w14:paraId="5D31CB8D" w14:textId="77777777" w:rsidR="00E45021" w:rsidRDefault="00E45021" w:rsidP="009E38E7">
      <w:pPr>
        <w:spacing w:line="360" w:lineRule="auto"/>
        <w:ind w:left="567" w:right="567"/>
        <w:contextualSpacing/>
        <w:jc w:val="both"/>
        <w:rPr>
          <w:rFonts w:ascii="Palatino Linotype" w:hAnsi="Palatino Linotype"/>
          <w:i/>
          <w:iCs/>
        </w:rPr>
      </w:pPr>
      <w:r w:rsidRPr="001D398A">
        <w:rPr>
          <w:rFonts w:ascii="Palatino Linotype" w:hAnsi="Palatino Linotype"/>
          <w:b/>
          <w:bCs/>
          <w:i/>
          <w:iCs/>
        </w:rPr>
        <w:lastRenderedPageBreak/>
        <w:t>“Es improcedente ampliar las solicitudes de acceso a información, a través de la interposición del recurso de revisión.</w:t>
      </w:r>
      <w:r w:rsidRPr="001D398A">
        <w:rPr>
          <w:rFonts w:ascii="Palatino Linotype" w:hAnsi="Palatino Linotype"/>
          <w:i/>
          <w:iCs/>
        </w:rPr>
        <w:t xml:space="preserve"> En términos de los artículos 155, fracción VII de la Ley General de Transparencia y Acceso a la Información Pública, y 161, fracción VII de la Ley Federal de Transparencia y Acceso a la Información Pública, en aquellos casos en que los recurrentes, mediante su recurso de revisión, amplíen los alcances de la solicitud de información inicial, los nuevos contenidos no podrán constituir materia del procedimiento a sustanciarse por el Instituto Nacional de Transparencia, Acceso a la Información y Protección de Datos Personales; actualizándose la hipótesis de improcedencia respectiva.”</w:t>
      </w:r>
    </w:p>
    <w:p w14:paraId="04F6FE92" w14:textId="6AFF4260" w:rsidR="00F84457" w:rsidRPr="001D398A" w:rsidRDefault="00F84457" w:rsidP="009E38E7">
      <w:pPr>
        <w:spacing w:line="360" w:lineRule="auto"/>
        <w:ind w:left="567" w:right="567"/>
        <w:contextualSpacing/>
        <w:jc w:val="both"/>
        <w:rPr>
          <w:rFonts w:ascii="Palatino Linotype" w:hAnsi="Palatino Linotype"/>
          <w:i/>
          <w:iCs/>
        </w:rPr>
      </w:pPr>
      <w:r>
        <w:rPr>
          <w:rFonts w:ascii="Palatino Linotype" w:hAnsi="Palatino Linotype"/>
          <w:b/>
          <w:bCs/>
          <w:i/>
          <w:iCs/>
        </w:rPr>
        <w:t>…</w:t>
      </w:r>
    </w:p>
    <w:p w14:paraId="5A5AC048" w14:textId="77777777" w:rsidR="00E45021" w:rsidRPr="00BA5295" w:rsidRDefault="00E45021" w:rsidP="009E38E7">
      <w:pPr>
        <w:shd w:val="clear" w:color="auto" w:fill="FFFFFF"/>
        <w:spacing w:line="360" w:lineRule="auto"/>
        <w:ind w:left="567" w:right="567"/>
        <w:contextualSpacing/>
        <w:jc w:val="both"/>
        <w:rPr>
          <w:rFonts w:ascii="Palatino Linotype" w:hAnsi="Palatino Linotype"/>
          <w:sz w:val="22"/>
          <w:szCs w:val="22"/>
        </w:rPr>
      </w:pPr>
    </w:p>
    <w:p w14:paraId="668F5EC0" w14:textId="77777777" w:rsidR="00E45021" w:rsidRPr="00BA5295" w:rsidRDefault="00E45021" w:rsidP="009E38E7">
      <w:pPr>
        <w:shd w:val="clear" w:color="auto" w:fill="FFFFFF"/>
        <w:spacing w:line="360" w:lineRule="auto"/>
        <w:contextualSpacing/>
        <w:jc w:val="both"/>
        <w:rPr>
          <w:rFonts w:ascii="Palatino Linotype" w:hAnsi="Palatino Linotype"/>
          <w:sz w:val="22"/>
          <w:szCs w:val="22"/>
        </w:rPr>
      </w:pPr>
      <w:r w:rsidRPr="00BA5295">
        <w:rPr>
          <w:rFonts w:ascii="Palatino Linotype" w:hAnsi="Palatino Linotype"/>
          <w:sz w:val="22"/>
          <w:szCs w:val="22"/>
        </w:rPr>
        <w:t xml:space="preserve">Además, es importante señalar que el Recurso de Revisión no fue diseñado para impugnar cuestiones que no fueron objeto de la solicitud de información presentada inicialmente, pues de lo contrario tendría que analizarse dicho recurso a la luz de argumentos que no fueron del conocimiento del Sujeto Obligado y, en consecuencia, no fueron comprendidos en la respuesta que se impugna. </w:t>
      </w:r>
    </w:p>
    <w:p w14:paraId="2532C85D" w14:textId="77777777" w:rsidR="00E45021" w:rsidRPr="00BA5295" w:rsidRDefault="00E45021" w:rsidP="009E38E7">
      <w:pPr>
        <w:shd w:val="clear" w:color="auto" w:fill="FFFFFF"/>
        <w:spacing w:line="360" w:lineRule="auto"/>
        <w:contextualSpacing/>
        <w:jc w:val="both"/>
        <w:rPr>
          <w:rFonts w:ascii="Palatino Linotype" w:hAnsi="Palatino Linotype"/>
          <w:sz w:val="22"/>
          <w:szCs w:val="22"/>
        </w:rPr>
      </w:pPr>
    </w:p>
    <w:p w14:paraId="283D5EBE" w14:textId="4A340C7E" w:rsidR="00E45021" w:rsidRDefault="00E45021" w:rsidP="009E38E7">
      <w:pPr>
        <w:spacing w:line="360" w:lineRule="auto"/>
        <w:contextualSpacing/>
        <w:jc w:val="both"/>
        <w:rPr>
          <w:rFonts w:ascii="Palatino Linotype" w:hAnsi="Palatino Linotype" w:cs="Tahoma"/>
          <w:bCs/>
          <w:sz w:val="22"/>
          <w:szCs w:val="22"/>
        </w:rPr>
      </w:pPr>
      <w:r w:rsidRPr="00BA5295">
        <w:rPr>
          <w:rFonts w:ascii="Palatino Linotype" w:hAnsi="Palatino Linotype" w:cs="Tahoma"/>
          <w:bCs/>
          <w:sz w:val="22"/>
          <w:szCs w:val="22"/>
        </w:rPr>
        <w:t>En ese sentido, toda vez qu</w:t>
      </w:r>
      <w:r>
        <w:rPr>
          <w:rFonts w:ascii="Palatino Linotype" w:hAnsi="Palatino Linotype" w:cs="Tahoma"/>
          <w:bCs/>
          <w:sz w:val="22"/>
          <w:szCs w:val="22"/>
        </w:rPr>
        <w:t xml:space="preserve">e el Solicitante al interponer </w:t>
      </w:r>
      <w:r w:rsidRPr="00BA5295">
        <w:rPr>
          <w:rFonts w:ascii="Palatino Linotype" w:hAnsi="Palatino Linotype" w:cs="Tahoma"/>
          <w:bCs/>
          <w:sz w:val="22"/>
          <w:szCs w:val="22"/>
        </w:rPr>
        <w:t>l</w:t>
      </w:r>
      <w:r>
        <w:rPr>
          <w:rFonts w:ascii="Palatino Linotype" w:hAnsi="Palatino Linotype" w:cs="Tahoma"/>
          <w:bCs/>
          <w:sz w:val="22"/>
          <w:szCs w:val="22"/>
        </w:rPr>
        <w:t>os</w:t>
      </w:r>
      <w:r w:rsidRPr="00BA5295">
        <w:rPr>
          <w:rFonts w:ascii="Palatino Linotype" w:hAnsi="Palatino Linotype" w:cs="Tahoma"/>
          <w:bCs/>
          <w:sz w:val="22"/>
          <w:szCs w:val="22"/>
        </w:rPr>
        <w:t xml:space="preserve"> Recurso</w:t>
      </w:r>
      <w:r>
        <w:rPr>
          <w:rFonts w:ascii="Palatino Linotype" w:hAnsi="Palatino Linotype" w:cs="Tahoma"/>
          <w:bCs/>
          <w:sz w:val="22"/>
          <w:szCs w:val="22"/>
        </w:rPr>
        <w:t>s</w:t>
      </w:r>
      <w:r w:rsidRPr="00BA5295">
        <w:rPr>
          <w:rFonts w:ascii="Palatino Linotype" w:hAnsi="Palatino Linotype" w:cs="Tahoma"/>
          <w:bCs/>
          <w:sz w:val="22"/>
          <w:szCs w:val="22"/>
        </w:rPr>
        <w:t xml:space="preserve"> de Revisión, amplió su solicitud de información, al requerir datos no solicitados inicialmente, se actualiza la causal de desechamiento establecida en el diverso 191, fracción VII, </w:t>
      </w:r>
      <w:r w:rsidRPr="00BA5295">
        <w:rPr>
          <w:rFonts w:ascii="Palatino Linotype" w:hAnsi="Palatino Linotype" w:cs="Tahoma"/>
          <w:bCs/>
          <w:sz w:val="22"/>
          <w:szCs w:val="22"/>
          <w:lang w:val="es-ES"/>
        </w:rPr>
        <w:t>de la Ley de la materia; no obstante, toda</w:t>
      </w:r>
      <w:r>
        <w:rPr>
          <w:rFonts w:ascii="Palatino Linotype" w:hAnsi="Palatino Linotype" w:cs="Tahoma"/>
          <w:bCs/>
          <w:sz w:val="22"/>
          <w:szCs w:val="22"/>
          <w:lang w:val="es-ES"/>
        </w:rPr>
        <w:t xml:space="preserve"> vez que fue necesario admitir </w:t>
      </w:r>
      <w:r w:rsidRPr="00BA5295">
        <w:rPr>
          <w:rFonts w:ascii="Palatino Linotype" w:hAnsi="Palatino Linotype" w:cs="Tahoma"/>
          <w:bCs/>
          <w:sz w:val="22"/>
          <w:szCs w:val="22"/>
          <w:lang w:val="es-ES"/>
        </w:rPr>
        <w:t>l</w:t>
      </w:r>
      <w:r>
        <w:rPr>
          <w:rFonts w:ascii="Palatino Linotype" w:hAnsi="Palatino Linotype" w:cs="Tahoma"/>
          <w:bCs/>
          <w:sz w:val="22"/>
          <w:szCs w:val="22"/>
          <w:lang w:val="es-ES"/>
        </w:rPr>
        <w:t>os</w:t>
      </w:r>
      <w:r w:rsidRPr="00BA5295">
        <w:rPr>
          <w:rFonts w:ascii="Palatino Linotype" w:hAnsi="Palatino Linotype" w:cs="Tahoma"/>
          <w:bCs/>
          <w:sz w:val="22"/>
          <w:szCs w:val="22"/>
          <w:lang w:val="es-ES"/>
        </w:rPr>
        <w:t xml:space="preserve"> Medio</w:t>
      </w:r>
      <w:r>
        <w:rPr>
          <w:rFonts w:ascii="Palatino Linotype" w:hAnsi="Palatino Linotype" w:cs="Tahoma"/>
          <w:bCs/>
          <w:sz w:val="22"/>
          <w:szCs w:val="22"/>
          <w:lang w:val="es-ES"/>
        </w:rPr>
        <w:t>s</w:t>
      </w:r>
      <w:r w:rsidRPr="00BA5295">
        <w:rPr>
          <w:rFonts w:ascii="Palatino Linotype" w:hAnsi="Palatino Linotype" w:cs="Tahoma"/>
          <w:bCs/>
          <w:sz w:val="22"/>
          <w:szCs w:val="22"/>
          <w:lang w:val="es-ES"/>
        </w:rPr>
        <w:t xml:space="preserve"> de Impugnación, para verificar dicha circunstancia</w:t>
      </w:r>
      <w:r w:rsidRPr="00BA5295">
        <w:rPr>
          <w:rFonts w:ascii="Palatino Linotype" w:hAnsi="Palatino Linotype" w:cs="Tahoma"/>
          <w:bCs/>
          <w:sz w:val="22"/>
          <w:szCs w:val="22"/>
        </w:rPr>
        <w:t xml:space="preserve">, lo procedente es </w:t>
      </w:r>
      <w:r w:rsidRPr="00BA5295">
        <w:rPr>
          <w:rFonts w:ascii="Palatino Linotype" w:hAnsi="Palatino Linotype" w:cs="Tahoma"/>
          <w:b/>
          <w:bCs/>
          <w:sz w:val="22"/>
          <w:szCs w:val="22"/>
        </w:rPr>
        <w:t xml:space="preserve">SOBRESEER </w:t>
      </w:r>
      <w:r w:rsidR="004377D0">
        <w:rPr>
          <w:rFonts w:ascii="Palatino Linotype" w:hAnsi="Palatino Linotype" w:cs="Tahoma"/>
          <w:b/>
          <w:bCs/>
          <w:sz w:val="22"/>
          <w:szCs w:val="22"/>
        </w:rPr>
        <w:t xml:space="preserve">parcialmente el </w:t>
      </w:r>
      <w:r w:rsidRPr="004377D0">
        <w:rPr>
          <w:rFonts w:ascii="Palatino Linotype" w:hAnsi="Palatino Linotype" w:cs="Tahoma"/>
          <w:b/>
          <w:sz w:val="22"/>
          <w:szCs w:val="22"/>
        </w:rPr>
        <w:t>mismo</w:t>
      </w:r>
      <w:r w:rsidRPr="00BA5295">
        <w:rPr>
          <w:rFonts w:ascii="Palatino Linotype" w:hAnsi="Palatino Linotype" w:cs="Tahoma"/>
          <w:bCs/>
          <w:sz w:val="22"/>
          <w:szCs w:val="22"/>
        </w:rPr>
        <w:t>.</w:t>
      </w:r>
    </w:p>
    <w:p w14:paraId="0065D85D" w14:textId="77777777" w:rsidR="004377D0" w:rsidRDefault="004377D0" w:rsidP="009E38E7">
      <w:pPr>
        <w:spacing w:line="360" w:lineRule="auto"/>
        <w:contextualSpacing/>
        <w:jc w:val="both"/>
        <w:rPr>
          <w:rFonts w:ascii="Palatino Linotype" w:hAnsi="Palatino Linotype" w:cs="Tahoma"/>
          <w:bCs/>
          <w:sz w:val="22"/>
          <w:szCs w:val="22"/>
        </w:rPr>
      </w:pPr>
    </w:p>
    <w:p w14:paraId="110B6384" w14:textId="625C6125" w:rsidR="004377D0" w:rsidRDefault="004377D0" w:rsidP="009E38E7">
      <w:pPr>
        <w:spacing w:line="360" w:lineRule="auto"/>
        <w:contextualSpacing/>
        <w:jc w:val="both"/>
        <w:rPr>
          <w:rFonts w:ascii="Palatino Linotype" w:hAnsi="Palatino Linotype" w:cs="Tahoma"/>
          <w:bCs/>
          <w:sz w:val="22"/>
          <w:szCs w:val="22"/>
        </w:rPr>
      </w:pPr>
      <w:r>
        <w:rPr>
          <w:rFonts w:ascii="Palatino Linotype" w:hAnsi="Palatino Linotype" w:cs="Tahoma"/>
          <w:bCs/>
          <w:sz w:val="22"/>
          <w:szCs w:val="22"/>
        </w:rPr>
        <w:t>Sin embargo, toda vez que no ha quedado sin materia el presente asunto, se procede entrar a su análisis a efecto de determinar lo conducente, circunstancia que se realiza conforme a lo siguiente:</w:t>
      </w:r>
    </w:p>
    <w:p w14:paraId="7948518F" w14:textId="77777777" w:rsidR="004377D0" w:rsidRPr="004377D0" w:rsidRDefault="004377D0" w:rsidP="009E38E7">
      <w:pPr>
        <w:spacing w:line="360" w:lineRule="auto"/>
        <w:contextualSpacing/>
        <w:jc w:val="both"/>
        <w:rPr>
          <w:rFonts w:ascii="Palatino Linotype" w:hAnsi="Palatino Linotype" w:cs="Tahoma"/>
          <w:bCs/>
          <w:sz w:val="22"/>
          <w:szCs w:val="22"/>
        </w:rPr>
      </w:pPr>
    </w:p>
    <w:p w14:paraId="19853CA0" w14:textId="77777777" w:rsidR="00B52CFA" w:rsidRDefault="00B52CFA" w:rsidP="009E38E7">
      <w:pPr>
        <w:pStyle w:val="Ttulo2"/>
        <w:spacing w:before="0" w:after="0" w:line="360" w:lineRule="auto"/>
        <w:contextualSpacing/>
        <w:rPr>
          <w:rFonts w:ascii="Palatino Linotype" w:eastAsia="Palatino Linotype" w:hAnsi="Palatino Linotype" w:cs="Palatino Linotype"/>
          <w:b/>
          <w:color w:val="000000"/>
          <w:sz w:val="22"/>
          <w:szCs w:val="22"/>
        </w:rPr>
      </w:pPr>
      <w:bookmarkStart w:id="16" w:name="_Toc223020147"/>
      <w:r>
        <w:rPr>
          <w:rFonts w:ascii="Palatino Linotype" w:eastAsia="Palatino Linotype" w:hAnsi="Palatino Linotype" w:cs="Palatino Linotype"/>
          <w:b/>
          <w:color w:val="000000"/>
          <w:sz w:val="22"/>
          <w:szCs w:val="22"/>
        </w:rPr>
        <w:lastRenderedPageBreak/>
        <w:t>TERCERO. Determinación de la Controversia</w:t>
      </w:r>
      <w:bookmarkEnd w:id="16"/>
    </w:p>
    <w:p w14:paraId="27737EEC" w14:textId="77777777" w:rsidR="00B52CFA" w:rsidRDefault="00B52CFA" w:rsidP="009E38E7">
      <w:pPr>
        <w:spacing w:line="360" w:lineRule="auto"/>
        <w:contextualSpacing/>
        <w:jc w:val="both"/>
        <w:rPr>
          <w:rFonts w:ascii="Palatino Linotype" w:eastAsia="Palatino Linotype" w:hAnsi="Palatino Linotype" w:cs="Palatino Linotype"/>
          <w:sz w:val="22"/>
          <w:szCs w:val="22"/>
        </w:rPr>
      </w:pPr>
    </w:p>
    <w:p w14:paraId="14D8F170" w14:textId="2E847B08" w:rsidR="00B52CFA" w:rsidRDefault="00B52CFA" w:rsidP="009E38E7">
      <w:pPr>
        <w:spacing w:line="360" w:lineRule="auto"/>
        <w:contextualSpacing/>
        <w:jc w:val="both"/>
        <w:rPr>
          <w:rFonts w:ascii="Palatino Linotype" w:hAnsi="Palatino Linotype" w:cs="Tahoma"/>
          <w:sz w:val="22"/>
          <w:szCs w:val="22"/>
        </w:rPr>
      </w:pPr>
      <w:r w:rsidRPr="0017161F">
        <w:rPr>
          <w:rFonts w:ascii="Palatino Linotype" w:eastAsia="Calibri" w:hAnsi="Palatino Linotype" w:cs="Tahoma"/>
          <w:iCs/>
          <w:sz w:val="22"/>
          <w:szCs w:val="22"/>
          <w:lang w:val="es-ES" w:eastAsia="es-ES_tradnl"/>
        </w:rPr>
        <w:t xml:space="preserve">Una vez realizado el estudio de las constancias que integran el expediente en que se actúa, se desprende </w:t>
      </w:r>
      <w:r w:rsidRPr="0017161F">
        <w:rPr>
          <w:rFonts w:ascii="Palatino Linotype" w:hAnsi="Palatino Linotype" w:cs="Tahoma"/>
          <w:sz w:val="22"/>
          <w:szCs w:val="22"/>
        </w:rPr>
        <w:t>que el Particular requirió</w:t>
      </w:r>
      <w:r w:rsidR="005F56A1">
        <w:rPr>
          <w:rFonts w:ascii="Palatino Linotype" w:hAnsi="Palatino Linotype" w:cs="Tahoma"/>
          <w:sz w:val="22"/>
          <w:szCs w:val="22"/>
        </w:rPr>
        <w:t xml:space="preserve"> respecto de la </w:t>
      </w:r>
      <w:proofErr w:type="gramStart"/>
      <w:r w:rsidR="005F56A1">
        <w:rPr>
          <w:rFonts w:ascii="Palatino Linotype" w:hAnsi="Palatino Linotype" w:cs="Tahoma"/>
          <w:sz w:val="22"/>
          <w:szCs w:val="22"/>
        </w:rPr>
        <w:t>Presidenta</w:t>
      </w:r>
      <w:proofErr w:type="gramEnd"/>
      <w:r w:rsidR="005F56A1">
        <w:rPr>
          <w:rFonts w:ascii="Palatino Linotype" w:hAnsi="Palatino Linotype" w:cs="Tahoma"/>
          <w:sz w:val="22"/>
          <w:szCs w:val="22"/>
        </w:rPr>
        <w:t xml:space="preserve"> Municipal de Ecatepec de Morelos, del primero de enero al veinte </w:t>
      </w:r>
      <w:r>
        <w:rPr>
          <w:rFonts w:ascii="Palatino Linotype" w:hAnsi="Palatino Linotype" w:cs="Tahoma"/>
          <w:sz w:val="22"/>
          <w:szCs w:val="22"/>
        </w:rPr>
        <w:t>de noviembre de dos mil veinticinco, l</w:t>
      </w:r>
      <w:r w:rsidR="005F56A1">
        <w:rPr>
          <w:rFonts w:ascii="Palatino Linotype" w:hAnsi="Palatino Linotype" w:cs="Tahoma"/>
          <w:sz w:val="22"/>
          <w:szCs w:val="22"/>
        </w:rPr>
        <w:t>a</w:t>
      </w:r>
      <w:r>
        <w:rPr>
          <w:rFonts w:ascii="Palatino Linotype" w:hAnsi="Palatino Linotype" w:cs="Tahoma"/>
          <w:sz w:val="22"/>
          <w:szCs w:val="22"/>
        </w:rPr>
        <w:t xml:space="preserve"> </w:t>
      </w:r>
      <w:r w:rsidR="005F56A1">
        <w:rPr>
          <w:rFonts w:ascii="Palatino Linotype" w:hAnsi="Palatino Linotype" w:cs="Tahoma"/>
          <w:sz w:val="22"/>
          <w:szCs w:val="22"/>
        </w:rPr>
        <w:t>información</w:t>
      </w:r>
      <w:r>
        <w:rPr>
          <w:rFonts w:ascii="Palatino Linotype" w:hAnsi="Palatino Linotype" w:cs="Tahoma"/>
          <w:sz w:val="22"/>
          <w:szCs w:val="22"/>
        </w:rPr>
        <w:t xml:space="preserve"> siguiente:</w:t>
      </w:r>
    </w:p>
    <w:p w14:paraId="61B31706" w14:textId="77777777" w:rsidR="00B52CFA" w:rsidRDefault="00B52CFA" w:rsidP="009E38E7">
      <w:pPr>
        <w:spacing w:line="360" w:lineRule="auto"/>
        <w:contextualSpacing/>
        <w:jc w:val="both"/>
        <w:rPr>
          <w:rFonts w:ascii="Palatino Linotype" w:hAnsi="Palatino Linotype" w:cs="Tahoma"/>
          <w:sz w:val="22"/>
          <w:szCs w:val="22"/>
        </w:rPr>
      </w:pPr>
    </w:p>
    <w:p w14:paraId="126346A0" w14:textId="5D9C4665" w:rsidR="00B52CFA" w:rsidRDefault="005F56A1" w:rsidP="009E38E7">
      <w:pPr>
        <w:pStyle w:val="Prrafodelista"/>
        <w:numPr>
          <w:ilvl w:val="0"/>
          <w:numId w:val="11"/>
        </w:numPr>
        <w:spacing w:line="360" w:lineRule="auto"/>
        <w:jc w:val="both"/>
        <w:rPr>
          <w:rFonts w:ascii="Palatino Linotype" w:hAnsi="Palatino Linotype" w:cs="Tahoma"/>
          <w:sz w:val="22"/>
          <w:szCs w:val="22"/>
        </w:rPr>
      </w:pPr>
      <w:r>
        <w:rPr>
          <w:rFonts w:ascii="Palatino Linotype" w:hAnsi="Palatino Linotype" w:cs="Tahoma"/>
          <w:sz w:val="22"/>
          <w:szCs w:val="22"/>
        </w:rPr>
        <w:t>Número dictámenes técnicos realizados por la Dirección de Medio Ambiente y Ecología relacionados con la poda, derribo o trasplante de árboles ubicados en banquetas, del primero de enero al veintiuno de noviembre de dos mil veinticinco;</w:t>
      </w:r>
    </w:p>
    <w:p w14:paraId="730342B5" w14:textId="3D471617" w:rsidR="005F56A1" w:rsidRDefault="005F56A1" w:rsidP="009E38E7">
      <w:pPr>
        <w:pStyle w:val="Prrafodelista"/>
        <w:numPr>
          <w:ilvl w:val="0"/>
          <w:numId w:val="11"/>
        </w:numPr>
        <w:spacing w:line="360" w:lineRule="auto"/>
        <w:jc w:val="both"/>
        <w:rPr>
          <w:rFonts w:ascii="Palatino Linotype" w:hAnsi="Palatino Linotype" w:cs="Tahoma"/>
          <w:sz w:val="22"/>
          <w:szCs w:val="22"/>
        </w:rPr>
      </w:pPr>
      <w:r>
        <w:rPr>
          <w:rFonts w:ascii="Palatino Linotype" w:hAnsi="Palatino Linotype" w:cs="Tahoma"/>
          <w:sz w:val="22"/>
          <w:szCs w:val="22"/>
        </w:rPr>
        <w:t>Cantidad de dictámenes técnicos generados por dependencia;</w:t>
      </w:r>
    </w:p>
    <w:p w14:paraId="75424802" w14:textId="134F15DC" w:rsidR="005F56A1" w:rsidRDefault="005F56A1" w:rsidP="009E38E7">
      <w:pPr>
        <w:pStyle w:val="Prrafodelista"/>
        <w:numPr>
          <w:ilvl w:val="0"/>
          <w:numId w:val="11"/>
        </w:numPr>
        <w:spacing w:line="360" w:lineRule="auto"/>
        <w:jc w:val="both"/>
        <w:rPr>
          <w:rFonts w:ascii="Palatino Linotype" w:hAnsi="Palatino Linotype" w:cs="Tahoma"/>
          <w:sz w:val="22"/>
          <w:szCs w:val="22"/>
        </w:rPr>
      </w:pPr>
      <w:r>
        <w:rPr>
          <w:rFonts w:ascii="Palatino Linotype" w:hAnsi="Palatino Linotype" w:cs="Tahoma"/>
          <w:sz w:val="22"/>
          <w:szCs w:val="22"/>
        </w:rPr>
        <w:t xml:space="preserve">Cantidad de derribos realizados por la Dirección de Medio Ambiente del primero de enero al veinte de noviembre de dos mil veinticinco; </w:t>
      </w:r>
    </w:p>
    <w:p w14:paraId="4A021B88" w14:textId="0B4B373E" w:rsidR="005F56A1" w:rsidRDefault="005F56A1" w:rsidP="009E38E7">
      <w:pPr>
        <w:pStyle w:val="Prrafodelista"/>
        <w:numPr>
          <w:ilvl w:val="0"/>
          <w:numId w:val="11"/>
        </w:numPr>
        <w:spacing w:line="360" w:lineRule="auto"/>
        <w:jc w:val="both"/>
        <w:rPr>
          <w:rFonts w:ascii="Palatino Linotype" w:hAnsi="Palatino Linotype" w:cs="Tahoma"/>
          <w:sz w:val="22"/>
          <w:szCs w:val="22"/>
        </w:rPr>
      </w:pPr>
      <w:r>
        <w:rPr>
          <w:rFonts w:ascii="Palatino Linotype" w:hAnsi="Palatino Linotype" w:cs="Tahoma"/>
          <w:sz w:val="22"/>
          <w:szCs w:val="22"/>
        </w:rPr>
        <w:t>Cantidad de derribos realizados por la Dirección de Protección Civil y Bomberos;</w:t>
      </w:r>
      <w:r w:rsidR="00C64F0F">
        <w:rPr>
          <w:rFonts w:ascii="Palatino Linotype" w:hAnsi="Palatino Linotype" w:cs="Tahoma"/>
          <w:sz w:val="22"/>
          <w:szCs w:val="22"/>
        </w:rPr>
        <w:t xml:space="preserve"> y</w:t>
      </w:r>
    </w:p>
    <w:p w14:paraId="7B095B91" w14:textId="3E151112" w:rsidR="005F56A1" w:rsidRPr="00E8515F" w:rsidRDefault="005F56A1" w:rsidP="009E38E7">
      <w:pPr>
        <w:pStyle w:val="Prrafodelista"/>
        <w:numPr>
          <w:ilvl w:val="0"/>
          <w:numId w:val="11"/>
        </w:numPr>
        <w:spacing w:line="360" w:lineRule="auto"/>
        <w:jc w:val="both"/>
        <w:rPr>
          <w:rFonts w:ascii="Palatino Linotype" w:hAnsi="Palatino Linotype" w:cs="Tahoma"/>
          <w:sz w:val="22"/>
          <w:szCs w:val="22"/>
        </w:rPr>
      </w:pPr>
      <w:r>
        <w:rPr>
          <w:rFonts w:ascii="Palatino Linotype" w:hAnsi="Palatino Linotype" w:cs="Tahoma"/>
          <w:sz w:val="22"/>
          <w:szCs w:val="22"/>
        </w:rPr>
        <w:t>Cantidad de derribos realizados por dependencias o empresas privadas del primero de enero al veinte de noviembre de dos mil veinticinco.</w:t>
      </w:r>
    </w:p>
    <w:p w14:paraId="05992EF0" w14:textId="77777777" w:rsidR="00B52CFA" w:rsidRDefault="00B52CFA" w:rsidP="009E38E7">
      <w:pPr>
        <w:spacing w:line="360" w:lineRule="auto"/>
        <w:contextualSpacing/>
        <w:jc w:val="both"/>
        <w:rPr>
          <w:rFonts w:ascii="Palatino Linotype" w:eastAsia="Palatino Linotype" w:hAnsi="Palatino Linotype" w:cs="Palatino Linotype"/>
          <w:sz w:val="22"/>
          <w:szCs w:val="22"/>
        </w:rPr>
      </w:pPr>
    </w:p>
    <w:p w14:paraId="60AA5340" w14:textId="6E1498DC" w:rsidR="00B52CFA" w:rsidRDefault="00B52CFA" w:rsidP="009E38E7">
      <w:pPr>
        <w:autoSpaceDE w:val="0"/>
        <w:autoSpaceDN w:val="0"/>
        <w:adjustRightInd w:val="0"/>
        <w:spacing w:line="360" w:lineRule="auto"/>
        <w:contextualSpacing/>
        <w:jc w:val="both"/>
        <w:rPr>
          <w:rFonts w:ascii="Palatino Linotype" w:eastAsia="Calibri" w:hAnsi="Palatino Linotype" w:cs="Tahoma"/>
          <w:sz w:val="22"/>
          <w:szCs w:val="22"/>
        </w:rPr>
      </w:pPr>
      <w:r w:rsidRPr="0017161F">
        <w:rPr>
          <w:rFonts w:ascii="Palatino Linotype" w:hAnsi="Palatino Linotype" w:cs="Tahoma"/>
          <w:sz w:val="22"/>
          <w:szCs w:val="22"/>
          <w:lang w:val="es-ES"/>
        </w:rPr>
        <w:t xml:space="preserve">En respuesta, </w:t>
      </w:r>
      <w:r w:rsidR="00657BC4">
        <w:rPr>
          <w:rFonts w:ascii="Palatino Linotype" w:hAnsi="Palatino Linotype" w:cs="Tahoma"/>
          <w:sz w:val="22"/>
          <w:szCs w:val="22"/>
          <w:lang w:val="es-ES"/>
        </w:rPr>
        <w:t>la</w:t>
      </w:r>
      <w:r>
        <w:rPr>
          <w:rFonts w:ascii="Palatino Linotype" w:hAnsi="Palatino Linotype" w:cs="Tahoma"/>
          <w:sz w:val="22"/>
          <w:szCs w:val="22"/>
          <w:lang w:val="es-ES"/>
        </w:rPr>
        <w:t xml:space="preserve"> Dirección </w:t>
      </w:r>
      <w:r w:rsidR="00657BC4">
        <w:rPr>
          <w:rFonts w:ascii="Palatino Linotype" w:hAnsi="Palatino Linotype" w:cs="Tahoma"/>
          <w:sz w:val="22"/>
          <w:szCs w:val="22"/>
          <w:lang w:val="es-ES"/>
        </w:rPr>
        <w:t>de Medio Ambiente y la Dirección de Protección Civil y Bomberos proporcionaron diversa información estadística con la que contaban relacionada con las valoraciones de riesgo, dictámenes técnicos y derribos de árboles requeridos</w:t>
      </w:r>
      <w:r w:rsidRPr="0017161F">
        <w:rPr>
          <w:rFonts w:ascii="Palatino Linotype" w:eastAsia="Calibri" w:hAnsi="Palatino Linotype" w:cs="Tahoma"/>
          <w:color w:val="000000"/>
          <w:sz w:val="22"/>
          <w:szCs w:val="22"/>
          <w:lang w:val="es-ES"/>
        </w:rPr>
        <w:t>;</w:t>
      </w:r>
      <w:r w:rsidRPr="0017161F">
        <w:rPr>
          <w:rFonts w:ascii="Palatino Linotype" w:hAnsi="Palatino Linotype" w:cs="Tahoma"/>
          <w:sz w:val="22"/>
          <w:szCs w:val="22"/>
          <w:lang w:val="es-ES"/>
        </w:rPr>
        <w:t xml:space="preserve"> </w:t>
      </w:r>
      <w:r>
        <w:rPr>
          <w:rFonts w:ascii="Palatino Linotype" w:hAnsi="Palatino Linotype" w:cs="Tahoma"/>
          <w:sz w:val="22"/>
          <w:szCs w:val="22"/>
          <w:lang w:val="es-ES"/>
        </w:rPr>
        <w:t>A</w:t>
      </w:r>
      <w:r w:rsidRPr="0017161F">
        <w:rPr>
          <w:rFonts w:ascii="Palatino Linotype" w:hAnsi="Palatino Linotype" w:cs="Tahoma"/>
          <w:sz w:val="22"/>
          <w:szCs w:val="22"/>
          <w:lang w:val="es-ES"/>
        </w:rPr>
        <w:t>nte dicha circunstancia, l</w:t>
      </w:r>
      <w:r w:rsidR="00657BC4">
        <w:rPr>
          <w:rFonts w:ascii="Palatino Linotype" w:hAnsi="Palatino Linotype" w:cs="Tahoma"/>
          <w:sz w:val="22"/>
          <w:szCs w:val="22"/>
          <w:lang w:val="es-ES"/>
        </w:rPr>
        <w:t>a</w:t>
      </w:r>
      <w:r w:rsidRPr="0017161F">
        <w:rPr>
          <w:rFonts w:ascii="Palatino Linotype" w:hAnsi="Palatino Linotype" w:cs="Tahoma"/>
          <w:sz w:val="22"/>
          <w:szCs w:val="22"/>
          <w:lang w:val="es-ES"/>
        </w:rPr>
        <w:t xml:space="preserve"> Particular</w:t>
      </w:r>
      <w:r>
        <w:rPr>
          <w:rFonts w:ascii="Palatino Linotype" w:hAnsi="Palatino Linotype" w:cs="Tahoma"/>
          <w:sz w:val="22"/>
          <w:szCs w:val="22"/>
          <w:lang w:val="es-ES"/>
        </w:rPr>
        <w:t xml:space="preserve"> </w:t>
      </w:r>
      <w:r w:rsidRPr="0017161F">
        <w:rPr>
          <w:rFonts w:ascii="Palatino Linotype" w:hAnsi="Palatino Linotype" w:cs="Tahoma"/>
          <w:sz w:val="22"/>
          <w:szCs w:val="22"/>
          <w:lang w:val="es-ES"/>
        </w:rPr>
        <w:t xml:space="preserve">se agravió con la </w:t>
      </w:r>
      <w:r>
        <w:rPr>
          <w:rFonts w:ascii="Palatino Linotype" w:hAnsi="Palatino Linotype" w:cs="Tahoma"/>
          <w:sz w:val="22"/>
          <w:szCs w:val="22"/>
        </w:rPr>
        <w:t>entrega de información incompleta</w:t>
      </w:r>
      <w:r w:rsidR="00657BC4">
        <w:rPr>
          <w:rFonts w:ascii="Palatino Linotype" w:hAnsi="Palatino Linotype" w:cs="Tahoma"/>
          <w:sz w:val="22"/>
          <w:szCs w:val="22"/>
        </w:rPr>
        <w:t>, al precisar que no se le había pronunciado copia de las valoraciones de riesgo, las realizadas por otras dependencias o empresas privadas</w:t>
      </w:r>
      <w:r>
        <w:rPr>
          <w:rFonts w:ascii="Palatino Linotype" w:hAnsi="Palatino Linotype" w:cs="Tahoma"/>
          <w:sz w:val="22"/>
          <w:szCs w:val="22"/>
        </w:rPr>
        <w:t xml:space="preserve">; </w:t>
      </w:r>
      <w:r>
        <w:rPr>
          <w:rFonts w:ascii="Palatino Linotype" w:hAnsi="Palatino Linotype" w:cs="Tahoma"/>
          <w:sz w:val="22"/>
          <w:szCs w:val="22"/>
          <w:lang w:val="es-ES"/>
        </w:rPr>
        <w:t xml:space="preserve">circunstancia que </w:t>
      </w:r>
      <w:r w:rsidRPr="0017161F">
        <w:rPr>
          <w:rFonts w:ascii="Palatino Linotype" w:eastAsia="Calibri" w:hAnsi="Palatino Linotype" w:cs="Tahoma"/>
          <w:sz w:val="22"/>
          <w:szCs w:val="22"/>
        </w:rPr>
        <w:t>actualiza la causal de procedencia prevista en la fracci</w:t>
      </w:r>
      <w:r>
        <w:rPr>
          <w:rFonts w:ascii="Palatino Linotype" w:eastAsia="Calibri" w:hAnsi="Palatino Linotype" w:cs="Tahoma"/>
          <w:sz w:val="22"/>
          <w:szCs w:val="22"/>
        </w:rPr>
        <w:t>ón</w:t>
      </w:r>
      <w:r w:rsidRPr="0017161F">
        <w:rPr>
          <w:rFonts w:ascii="Palatino Linotype" w:eastAsia="Calibri" w:hAnsi="Palatino Linotype" w:cs="Tahoma"/>
          <w:sz w:val="22"/>
          <w:szCs w:val="22"/>
        </w:rPr>
        <w:t xml:space="preserve"> </w:t>
      </w:r>
      <w:r>
        <w:rPr>
          <w:rFonts w:ascii="Palatino Linotype" w:eastAsia="Calibri" w:hAnsi="Palatino Linotype" w:cs="Tahoma"/>
          <w:sz w:val="22"/>
          <w:szCs w:val="22"/>
        </w:rPr>
        <w:t>V</w:t>
      </w:r>
      <w:r w:rsidRPr="0017161F">
        <w:rPr>
          <w:rFonts w:ascii="Palatino Linotype" w:eastAsia="Calibri" w:hAnsi="Palatino Linotype" w:cs="Tahoma"/>
          <w:sz w:val="22"/>
          <w:szCs w:val="22"/>
        </w:rPr>
        <w:t xml:space="preserve">, del artículo 179 de la Ley de Transparencia y Acceso a la Información Pública del Estado de México y Municipios. </w:t>
      </w:r>
      <w:r w:rsidR="00657BC4">
        <w:rPr>
          <w:rFonts w:ascii="Palatino Linotype" w:eastAsia="Calibri" w:hAnsi="Palatino Linotype" w:cs="Tahoma"/>
          <w:sz w:val="22"/>
          <w:szCs w:val="22"/>
        </w:rPr>
        <w:t>Así las cosas</w:t>
      </w:r>
      <w:r w:rsidR="002D203D">
        <w:rPr>
          <w:rFonts w:ascii="Palatino Linotype" w:eastAsia="Calibri" w:hAnsi="Palatino Linotype" w:cs="Tahoma"/>
          <w:sz w:val="22"/>
          <w:szCs w:val="22"/>
        </w:rPr>
        <w:t>,</w:t>
      </w:r>
      <w:r w:rsidR="00657BC4">
        <w:rPr>
          <w:rFonts w:ascii="Palatino Linotype" w:eastAsia="Calibri" w:hAnsi="Palatino Linotype" w:cs="Tahoma"/>
          <w:sz w:val="22"/>
          <w:szCs w:val="22"/>
        </w:rPr>
        <w:t xml:space="preserve"> admitido y notificado </w:t>
      </w:r>
      <w:r w:rsidR="00657BC4">
        <w:rPr>
          <w:rFonts w:ascii="Palatino Linotype" w:eastAsia="Calibri" w:hAnsi="Palatino Linotype" w:cs="Tahoma"/>
          <w:sz w:val="22"/>
          <w:szCs w:val="22"/>
        </w:rPr>
        <w:lastRenderedPageBreak/>
        <w:t xml:space="preserve">el recurso de revisión a las partes, el Sujeto Obligado ratificó su respuesta inicial adicionando </w:t>
      </w:r>
      <w:r w:rsidR="002D203D">
        <w:rPr>
          <w:rFonts w:ascii="Palatino Linotype" w:eastAsia="Calibri" w:hAnsi="Palatino Linotype" w:cs="Tahoma"/>
          <w:sz w:val="22"/>
          <w:szCs w:val="22"/>
        </w:rPr>
        <w:t>mayor información estadística relacionada con lo solicitado.</w:t>
      </w:r>
    </w:p>
    <w:p w14:paraId="17D90B4C" w14:textId="77777777" w:rsidR="002D203D" w:rsidRDefault="002D203D" w:rsidP="009E38E7">
      <w:pPr>
        <w:autoSpaceDE w:val="0"/>
        <w:autoSpaceDN w:val="0"/>
        <w:adjustRightInd w:val="0"/>
        <w:spacing w:line="360" w:lineRule="auto"/>
        <w:contextualSpacing/>
        <w:jc w:val="both"/>
        <w:rPr>
          <w:rFonts w:ascii="Palatino Linotype" w:eastAsia="Calibri" w:hAnsi="Palatino Linotype" w:cs="Tahoma"/>
          <w:sz w:val="22"/>
          <w:szCs w:val="22"/>
        </w:rPr>
      </w:pPr>
    </w:p>
    <w:p w14:paraId="562731AA" w14:textId="3AA00489" w:rsidR="00C64F0F" w:rsidRPr="00FE5EA6" w:rsidRDefault="00C64F0F" w:rsidP="009E38E7">
      <w:pPr>
        <w:autoSpaceDE w:val="0"/>
        <w:autoSpaceDN w:val="0"/>
        <w:adjustRightInd w:val="0"/>
        <w:spacing w:line="360" w:lineRule="auto"/>
        <w:contextualSpacing/>
        <w:jc w:val="both"/>
        <w:rPr>
          <w:rFonts w:ascii="Palatino Linotype" w:eastAsia="Calibri" w:hAnsi="Palatino Linotype" w:cs="Tahoma"/>
          <w:color w:val="000000"/>
          <w:sz w:val="22"/>
          <w:szCs w:val="22"/>
        </w:rPr>
      </w:pPr>
      <w:r w:rsidRPr="00FE5EA6">
        <w:rPr>
          <w:rFonts w:ascii="Palatino Linotype" w:eastAsia="Calibri" w:hAnsi="Palatino Linotype" w:cs="Tahoma"/>
          <w:color w:val="000000"/>
          <w:sz w:val="22"/>
          <w:szCs w:val="22"/>
        </w:rPr>
        <w:t>Conforme a lo anterior, se logra vislumbrar que el ahora Recurrente no se agravió de</w:t>
      </w:r>
      <w:r>
        <w:rPr>
          <w:rFonts w:ascii="Palatino Linotype" w:eastAsia="Calibri" w:hAnsi="Palatino Linotype" w:cs="Tahoma"/>
          <w:color w:val="000000"/>
          <w:sz w:val="22"/>
          <w:szCs w:val="22"/>
        </w:rPr>
        <w:t xml:space="preserve"> los dictámenes de riesgo, así como la cantidad de derribos de árboles real</w:t>
      </w:r>
      <w:r w:rsidR="00671AB8">
        <w:rPr>
          <w:rFonts w:ascii="Palatino Linotype" w:eastAsia="Calibri" w:hAnsi="Palatino Linotype" w:cs="Tahoma"/>
          <w:color w:val="000000"/>
          <w:sz w:val="22"/>
          <w:szCs w:val="22"/>
        </w:rPr>
        <w:t>i</w:t>
      </w:r>
      <w:r>
        <w:rPr>
          <w:rFonts w:ascii="Palatino Linotype" w:eastAsia="Calibri" w:hAnsi="Palatino Linotype" w:cs="Tahoma"/>
          <w:color w:val="000000"/>
          <w:sz w:val="22"/>
          <w:szCs w:val="22"/>
        </w:rPr>
        <w:t>zados por parte de la Dirección de Medio Ambiente y Dirección de Protección Civil y Bomberos</w:t>
      </w:r>
      <w:r w:rsidRPr="00FE5EA6">
        <w:rPr>
          <w:rFonts w:ascii="Palatino Linotype" w:eastAsia="Calibri" w:hAnsi="Palatino Linotype" w:cs="Tahoma"/>
          <w:color w:val="000000"/>
          <w:sz w:val="22"/>
          <w:szCs w:val="22"/>
        </w:rPr>
        <w:t xml:space="preserve">, sino porque </w:t>
      </w:r>
      <w:r>
        <w:rPr>
          <w:rFonts w:ascii="Palatino Linotype" w:eastAsia="Calibri" w:hAnsi="Palatino Linotype" w:cs="Tahoma"/>
          <w:color w:val="000000"/>
          <w:sz w:val="22"/>
          <w:szCs w:val="22"/>
        </w:rPr>
        <w:t>no le habían proporcionado las valoraciones de riesgo referidas en respuesta así como de los derribos realizados por otras dependencias o empresas privadas</w:t>
      </w:r>
      <w:r w:rsidRPr="00FE5EA6">
        <w:rPr>
          <w:rFonts w:ascii="Palatino Linotype" w:eastAsia="Calibri" w:hAnsi="Palatino Linotype" w:cs="Tahoma"/>
          <w:color w:val="000000"/>
          <w:sz w:val="22"/>
          <w:szCs w:val="22"/>
        </w:rPr>
        <w:t xml:space="preserve">; por lo que, no se hará pronunciamiento alguno de conformidad con el artículo 195 de la Ley de Transparencia y Acceso a la Información Pública del Estado de México y Municipios, con relación con el diverso 195, fracción IV, de Código de Procedimientos Administrativos del Estado de México, que establece que será improcedente el recurso contra </w:t>
      </w:r>
      <w:r w:rsidRPr="00FE5EA6">
        <w:rPr>
          <w:rFonts w:ascii="Palatino Linotype" w:eastAsia="Calibri" w:hAnsi="Palatino Linotype" w:cs="Tahoma"/>
          <w:b/>
          <w:color w:val="000000"/>
          <w:sz w:val="22"/>
          <w:szCs w:val="22"/>
        </w:rPr>
        <w:t>los actos que se hayan consentido tácitamente,</w:t>
      </w:r>
      <w:r w:rsidRPr="00FE5EA6">
        <w:rPr>
          <w:rFonts w:ascii="Palatino Linotype" w:eastAsia="Calibri" w:hAnsi="Palatino Linotype" w:cs="Tahoma"/>
          <w:color w:val="000000"/>
          <w:sz w:val="22"/>
          <w:szCs w:val="22"/>
        </w:rPr>
        <w:t xml:space="preserve"> entendiéndose por estos cuando el agravio no se haya promovido en el plazo señalado para el efecto.</w:t>
      </w:r>
    </w:p>
    <w:p w14:paraId="38A917C2" w14:textId="77777777" w:rsidR="00C64F0F" w:rsidRPr="00FE5EA6" w:rsidRDefault="00C64F0F" w:rsidP="009E38E7">
      <w:pPr>
        <w:autoSpaceDE w:val="0"/>
        <w:autoSpaceDN w:val="0"/>
        <w:adjustRightInd w:val="0"/>
        <w:spacing w:line="360" w:lineRule="auto"/>
        <w:contextualSpacing/>
        <w:jc w:val="both"/>
        <w:rPr>
          <w:rFonts w:ascii="Palatino Linotype" w:eastAsia="Calibri" w:hAnsi="Palatino Linotype" w:cs="Tahoma"/>
          <w:color w:val="000000"/>
          <w:sz w:val="22"/>
          <w:szCs w:val="22"/>
        </w:rPr>
      </w:pPr>
      <w:r w:rsidRPr="00FE5EA6">
        <w:rPr>
          <w:rFonts w:ascii="Palatino Linotype" w:eastAsia="Calibri" w:hAnsi="Palatino Linotype" w:cs="Tahoma"/>
          <w:color w:val="000000"/>
          <w:sz w:val="22"/>
          <w:szCs w:val="22"/>
        </w:rPr>
        <w:t xml:space="preserve"> </w:t>
      </w:r>
    </w:p>
    <w:p w14:paraId="4A012E84" w14:textId="77777777" w:rsidR="00C64F0F" w:rsidRPr="00FE5EA6" w:rsidRDefault="00C64F0F" w:rsidP="009E38E7">
      <w:pPr>
        <w:autoSpaceDE w:val="0"/>
        <w:autoSpaceDN w:val="0"/>
        <w:adjustRightInd w:val="0"/>
        <w:spacing w:line="360" w:lineRule="auto"/>
        <w:contextualSpacing/>
        <w:jc w:val="both"/>
        <w:rPr>
          <w:rFonts w:ascii="Palatino Linotype" w:eastAsia="Calibri" w:hAnsi="Palatino Linotype" w:cs="Tahoma"/>
          <w:color w:val="000000"/>
          <w:sz w:val="22"/>
          <w:szCs w:val="22"/>
        </w:rPr>
      </w:pPr>
      <w:r w:rsidRPr="00FE5EA6">
        <w:rPr>
          <w:rFonts w:ascii="Palatino Linotype" w:eastAsia="Calibri" w:hAnsi="Palatino Linotype" w:cs="Tahoma"/>
          <w:color w:val="000000"/>
          <w:sz w:val="22"/>
          <w:szCs w:val="22"/>
        </w:rPr>
        <w:t xml:space="preserve">De la misma manera resulta aplicable el criterio sostenido por el Poder Judicial de la Federación de rubro </w:t>
      </w:r>
      <w:r w:rsidRPr="00FE5EA6">
        <w:rPr>
          <w:rFonts w:ascii="Palatino Linotype" w:eastAsia="Calibri" w:hAnsi="Palatino Linotype" w:cs="Tahoma"/>
          <w:b/>
          <w:color w:val="000000"/>
          <w:sz w:val="22"/>
          <w:szCs w:val="22"/>
        </w:rPr>
        <w:t>ACTOS CONSENTIDOS TÁCITAMENTE</w:t>
      </w:r>
      <w:r w:rsidRPr="00FE5EA6">
        <w:rPr>
          <w:rFonts w:ascii="Palatino Linotype" w:eastAsia="Calibri" w:hAnsi="Palatino Linotype" w:cs="Tahoma"/>
          <w:color w:val="000000"/>
          <w:sz w:val="22"/>
          <w:szCs w:val="22"/>
        </w:rPr>
        <w:t>, Tesis VI.2o. J/21, emitida en la novena época, por el Segundo Tribunal Colegiado del Sexto Circuito, publicada en la Gaceta del Semanario Judicial de la Federación en agosto de 1995, página 291, número de registro 204707, del que se desprende que cuando no se reclaman los actos de autoridad en la vía y plazos establecidos en la Ley, se presume que el Particular está conforme con los mismos.</w:t>
      </w:r>
    </w:p>
    <w:p w14:paraId="2A624AE8" w14:textId="77777777" w:rsidR="00C64F0F" w:rsidRPr="00FE5EA6" w:rsidRDefault="00C64F0F" w:rsidP="009E38E7">
      <w:pPr>
        <w:autoSpaceDE w:val="0"/>
        <w:autoSpaceDN w:val="0"/>
        <w:adjustRightInd w:val="0"/>
        <w:spacing w:line="360" w:lineRule="auto"/>
        <w:contextualSpacing/>
        <w:jc w:val="both"/>
        <w:rPr>
          <w:rFonts w:ascii="Palatino Linotype" w:eastAsia="Calibri" w:hAnsi="Palatino Linotype" w:cs="Tahoma"/>
          <w:color w:val="000000"/>
          <w:sz w:val="22"/>
          <w:szCs w:val="22"/>
        </w:rPr>
      </w:pPr>
      <w:r w:rsidRPr="00FE5EA6">
        <w:rPr>
          <w:rFonts w:ascii="Palatino Linotype" w:eastAsia="Calibri" w:hAnsi="Palatino Linotype" w:cs="Tahoma"/>
          <w:color w:val="000000"/>
          <w:sz w:val="22"/>
          <w:szCs w:val="22"/>
        </w:rPr>
        <w:t xml:space="preserve"> </w:t>
      </w:r>
    </w:p>
    <w:p w14:paraId="17E06EAA" w14:textId="77777777" w:rsidR="00C64F0F" w:rsidRPr="00FE5EA6" w:rsidRDefault="00C64F0F" w:rsidP="009E38E7">
      <w:pPr>
        <w:autoSpaceDE w:val="0"/>
        <w:autoSpaceDN w:val="0"/>
        <w:adjustRightInd w:val="0"/>
        <w:spacing w:line="360" w:lineRule="auto"/>
        <w:contextualSpacing/>
        <w:jc w:val="both"/>
        <w:rPr>
          <w:rFonts w:ascii="Palatino Linotype" w:eastAsia="Calibri" w:hAnsi="Palatino Linotype" w:cs="Tahoma"/>
          <w:color w:val="000000"/>
          <w:sz w:val="22"/>
          <w:szCs w:val="22"/>
        </w:rPr>
      </w:pPr>
      <w:r w:rsidRPr="00FE5EA6">
        <w:rPr>
          <w:rFonts w:ascii="Palatino Linotype" w:eastAsia="Calibri" w:hAnsi="Palatino Linotype" w:cs="Tahoma"/>
          <w:color w:val="000000"/>
          <w:sz w:val="22"/>
          <w:szCs w:val="22"/>
        </w:rPr>
        <w:t xml:space="preserve">Por lo cual, en el caso de que la Solicitante no haya manifestado su inconformidad en contra del acto en su totalidad o en cualquiera de sus partes, se tendrá por consentido al no haber realizado argumento alguno que formulara un agravio en su contra, por lo que, en la </w:t>
      </w:r>
      <w:r w:rsidRPr="00FE5EA6">
        <w:rPr>
          <w:rFonts w:ascii="Palatino Linotype" w:eastAsia="Calibri" w:hAnsi="Palatino Linotype" w:cs="Tahoma"/>
          <w:color w:val="000000"/>
          <w:sz w:val="22"/>
          <w:szCs w:val="22"/>
        </w:rPr>
        <w:lastRenderedPageBreak/>
        <w:t xml:space="preserve">especie, se válida la respuesta respecto de los puntos no controvertidos y se arriba a la conclusión de que estos quedaron firmes. </w:t>
      </w:r>
    </w:p>
    <w:p w14:paraId="18023512" w14:textId="77777777" w:rsidR="00C64F0F" w:rsidRPr="00FE5EA6" w:rsidRDefault="00C64F0F" w:rsidP="009E38E7">
      <w:pPr>
        <w:autoSpaceDE w:val="0"/>
        <w:autoSpaceDN w:val="0"/>
        <w:adjustRightInd w:val="0"/>
        <w:spacing w:line="360" w:lineRule="auto"/>
        <w:contextualSpacing/>
        <w:jc w:val="both"/>
        <w:rPr>
          <w:rFonts w:ascii="Palatino Linotype" w:eastAsia="Calibri" w:hAnsi="Palatino Linotype" w:cs="Tahoma"/>
          <w:color w:val="000000"/>
          <w:sz w:val="22"/>
          <w:szCs w:val="22"/>
        </w:rPr>
      </w:pPr>
      <w:r w:rsidRPr="00FE5EA6">
        <w:rPr>
          <w:rFonts w:ascii="Palatino Linotype" w:eastAsia="Calibri" w:hAnsi="Palatino Linotype" w:cs="Tahoma"/>
          <w:color w:val="000000"/>
          <w:sz w:val="22"/>
          <w:szCs w:val="22"/>
        </w:rPr>
        <w:t xml:space="preserve"> </w:t>
      </w:r>
    </w:p>
    <w:p w14:paraId="30A96857" w14:textId="28853A59" w:rsidR="002D203D" w:rsidRDefault="00C64F0F" w:rsidP="009E38E7">
      <w:pPr>
        <w:autoSpaceDE w:val="0"/>
        <w:autoSpaceDN w:val="0"/>
        <w:adjustRightInd w:val="0"/>
        <w:spacing w:line="360" w:lineRule="auto"/>
        <w:contextualSpacing/>
        <w:jc w:val="both"/>
        <w:rPr>
          <w:rFonts w:ascii="Palatino Linotype" w:eastAsia="Calibri" w:hAnsi="Palatino Linotype" w:cs="Tahoma"/>
          <w:sz w:val="22"/>
          <w:szCs w:val="22"/>
        </w:rPr>
      </w:pPr>
      <w:r w:rsidRPr="00FE5EA6">
        <w:rPr>
          <w:rFonts w:ascii="Palatino Linotype" w:eastAsia="Calibri" w:hAnsi="Palatino Linotype" w:cs="Tahoma"/>
          <w:color w:val="000000"/>
          <w:sz w:val="22"/>
          <w:szCs w:val="22"/>
        </w:rPr>
        <w:t>Asimismo, resulta relevante traer a colación el Criterio de Interpretación SO/001/2020, emitido por el Instituto Nacional de Transparencia, Acceso a la Información y Protección de Datos Personales, el cual establece que es improcedente entrar al análisis de las partes de la respuesta del Sujeto Obligado que no fueron impugnadas por la parte Recurrente; por lo que, en el presente caso, se tiene por consentida la información entregada por el Sujeto Obligado, por lo que, únicamente se analiza</w:t>
      </w:r>
      <w:r>
        <w:rPr>
          <w:rFonts w:ascii="Palatino Linotype" w:eastAsia="Calibri" w:hAnsi="Palatino Linotype" w:cs="Tahoma"/>
          <w:color w:val="000000"/>
          <w:sz w:val="22"/>
          <w:szCs w:val="22"/>
        </w:rPr>
        <w:t>rá lo referente a las valoraciones de riesgo referidas en respuesta así como de los derribos realizados por otras dependencias o empresas privadas</w:t>
      </w:r>
      <w:r w:rsidRPr="00FE5EA6">
        <w:rPr>
          <w:rFonts w:ascii="Palatino Linotype" w:eastAsia="Calibri" w:hAnsi="Palatino Linotype" w:cs="Tahoma"/>
          <w:color w:val="000000"/>
          <w:sz w:val="22"/>
          <w:szCs w:val="22"/>
        </w:rPr>
        <w:t>.</w:t>
      </w:r>
    </w:p>
    <w:p w14:paraId="0148A295" w14:textId="77777777" w:rsidR="00B52CFA" w:rsidRDefault="00B52CFA" w:rsidP="009E38E7">
      <w:pPr>
        <w:spacing w:line="360" w:lineRule="auto"/>
        <w:contextualSpacing/>
        <w:jc w:val="both"/>
        <w:rPr>
          <w:rFonts w:ascii="Palatino Linotype" w:eastAsia="Palatino Linotype" w:hAnsi="Palatino Linotype" w:cs="Palatino Linotype"/>
          <w:sz w:val="22"/>
          <w:szCs w:val="22"/>
        </w:rPr>
      </w:pPr>
    </w:p>
    <w:p w14:paraId="5A91E9EC" w14:textId="37EDE49E" w:rsidR="00B52CFA" w:rsidRDefault="00B52CFA" w:rsidP="009E38E7">
      <w:pPr>
        <w:spacing w:line="360" w:lineRule="auto"/>
        <w:contextualSpacing/>
        <w:jc w:val="both"/>
        <w:rPr>
          <w:rFonts w:ascii="Palatino Linotype" w:eastAsia="Palatino Linotype" w:hAnsi="Palatino Linotype" w:cs="Palatino Linotype"/>
          <w:b/>
          <w:sz w:val="22"/>
          <w:szCs w:val="22"/>
        </w:rPr>
      </w:pPr>
      <w:r>
        <w:rPr>
          <w:rFonts w:ascii="Palatino Linotype" w:eastAsia="Palatino Linotype" w:hAnsi="Palatino Linotype" w:cs="Palatino Linotype"/>
          <w:sz w:val="22"/>
          <w:szCs w:val="22"/>
        </w:rPr>
        <w:t xml:space="preserve">Lo anterior, se desprende de las documentales que obran en el expediente de referencia, materia de la presente resolución, consistentes en la solicitud de acceso a la información, la respuesta, el escrito recursal, y el informe justificado instrumentales que se toman en cuenta a efecto de resolver el presente medio de impugnación, conforme a lo dispuesto por el artículo 185, fracción IV, de la Ley de Transparencia y Acceso a la Información Pública del Estado de México y Municipios. </w:t>
      </w:r>
    </w:p>
    <w:p w14:paraId="2AC7DAA1" w14:textId="77777777" w:rsidR="00B52CFA" w:rsidRDefault="00B52CFA" w:rsidP="009E38E7">
      <w:pPr>
        <w:spacing w:line="360" w:lineRule="auto"/>
        <w:contextualSpacing/>
        <w:jc w:val="both"/>
        <w:rPr>
          <w:rFonts w:ascii="Palatino Linotype" w:eastAsia="Palatino Linotype" w:hAnsi="Palatino Linotype" w:cs="Palatino Linotype"/>
          <w:color w:val="000000"/>
          <w:sz w:val="22"/>
          <w:szCs w:val="22"/>
        </w:rPr>
      </w:pPr>
    </w:p>
    <w:p w14:paraId="501B13E6" w14:textId="77777777" w:rsidR="00B52CFA" w:rsidRDefault="00B52CFA" w:rsidP="009E38E7">
      <w:pPr>
        <w:pStyle w:val="Ttulo2"/>
        <w:spacing w:before="0" w:after="0" w:line="360" w:lineRule="auto"/>
        <w:contextualSpacing/>
        <w:jc w:val="both"/>
        <w:rPr>
          <w:rFonts w:ascii="Palatino Linotype" w:eastAsia="Palatino Linotype" w:hAnsi="Palatino Linotype" w:cs="Palatino Linotype"/>
          <w:b/>
          <w:color w:val="000000"/>
          <w:sz w:val="22"/>
          <w:szCs w:val="22"/>
        </w:rPr>
      </w:pPr>
      <w:bookmarkStart w:id="17" w:name="_Toc223020148"/>
      <w:r>
        <w:rPr>
          <w:rFonts w:ascii="Palatino Linotype" w:eastAsia="Palatino Linotype" w:hAnsi="Palatino Linotype" w:cs="Palatino Linotype"/>
          <w:b/>
          <w:color w:val="000000"/>
          <w:sz w:val="22"/>
          <w:szCs w:val="22"/>
        </w:rPr>
        <w:t>CUARTO. Marco normativo aplicable en materia de transparencia y acceso a la información pública</w:t>
      </w:r>
      <w:bookmarkEnd w:id="17"/>
    </w:p>
    <w:p w14:paraId="39D74E59" w14:textId="77777777" w:rsidR="00B52CFA" w:rsidRDefault="00B52CFA" w:rsidP="009E38E7">
      <w:pPr>
        <w:widowControl w:val="0"/>
        <w:spacing w:line="360" w:lineRule="auto"/>
        <w:contextualSpacing/>
        <w:jc w:val="both"/>
        <w:rPr>
          <w:rFonts w:ascii="Palatino Linotype" w:eastAsia="Palatino Linotype" w:hAnsi="Palatino Linotype" w:cs="Palatino Linotype"/>
          <w:sz w:val="22"/>
          <w:szCs w:val="22"/>
        </w:rPr>
      </w:pPr>
    </w:p>
    <w:p w14:paraId="13E58679" w14:textId="77777777" w:rsidR="00B52CFA" w:rsidRDefault="00B52CFA" w:rsidP="009E38E7">
      <w:pPr>
        <w:widowControl w:val="0"/>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67649723" w14:textId="77777777" w:rsidR="00B52CFA" w:rsidRDefault="00B52CFA" w:rsidP="009E38E7">
      <w:pPr>
        <w:widowControl w:val="0"/>
        <w:spacing w:line="360" w:lineRule="auto"/>
        <w:contextualSpacing/>
        <w:jc w:val="both"/>
        <w:rPr>
          <w:rFonts w:ascii="Palatino Linotype" w:eastAsia="Palatino Linotype" w:hAnsi="Palatino Linotype" w:cs="Palatino Linotype"/>
          <w:sz w:val="22"/>
          <w:szCs w:val="22"/>
        </w:rPr>
      </w:pPr>
    </w:p>
    <w:p w14:paraId="190708FC" w14:textId="77777777" w:rsidR="00B52CFA" w:rsidRDefault="00B52CFA" w:rsidP="009E38E7">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lastRenderedPageBreak/>
        <w:t>Por su parte, en materia local, el artículo 5°, fracción I de la Constitución Política del Estado Libre y Soberano de México, es coincidente con la Constitución Política de los Estados Unidos Mexicanos,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3DF07B45" w14:textId="77777777" w:rsidR="00B52CFA" w:rsidRDefault="00B52CFA" w:rsidP="009E38E7">
      <w:pPr>
        <w:widowControl w:val="0"/>
        <w:spacing w:line="360" w:lineRule="auto"/>
        <w:contextualSpacing/>
        <w:jc w:val="both"/>
        <w:rPr>
          <w:rFonts w:ascii="Palatino Linotype" w:eastAsia="Palatino Linotype" w:hAnsi="Palatino Linotype" w:cs="Palatino Linotype"/>
          <w:sz w:val="22"/>
          <w:szCs w:val="22"/>
        </w:rPr>
      </w:pPr>
    </w:p>
    <w:p w14:paraId="4DB5EA18" w14:textId="77777777" w:rsidR="00B52CFA" w:rsidRDefault="00B52CFA" w:rsidP="009E38E7">
      <w:pPr>
        <w:widowControl w:val="0"/>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Por su parte, la Ley de Transparencia y Acceso a la Información Pública del Estado de México y Municipios (Reglamentaria del artículo 5° de la Constitución Local), establece lo siguiente:</w:t>
      </w:r>
    </w:p>
    <w:p w14:paraId="56E2875D" w14:textId="77777777" w:rsidR="00B52CFA" w:rsidRDefault="00B52CFA" w:rsidP="009E38E7">
      <w:pPr>
        <w:widowControl w:val="0"/>
        <w:spacing w:line="360" w:lineRule="auto"/>
        <w:contextualSpacing/>
        <w:jc w:val="both"/>
        <w:rPr>
          <w:rFonts w:ascii="Palatino Linotype" w:eastAsia="Palatino Linotype" w:hAnsi="Palatino Linotype" w:cs="Palatino Linotype"/>
          <w:sz w:val="22"/>
          <w:szCs w:val="22"/>
        </w:rPr>
      </w:pPr>
    </w:p>
    <w:p w14:paraId="4B6FE329" w14:textId="77777777" w:rsidR="00B52CFA" w:rsidRDefault="00B52CFA" w:rsidP="009E38E7">
      <w:pPr>
        <w:widowControl w:val="0"/>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El artículo 12, que, quienes generen, recopilen, administren, manejen, procesen, archiven o conserven información pública serán responsables de la misma.</w:t>
      </w:r>
    </w:p>
    <w:p w14:paraId="1E6A76B6" w14:textId="77777777" w:rsidR="00B52CFA" w:rsidRDefault="00B52CFA" w:rsidP="009E38E7">
      <w:pPr>
        <w:widowControl w:val="0"/>
        <w:spacing w:line="360" w:lineRule="auto"/>
        <w:contextualSpacing/>
        <w:jc w:val="both"/>
        <w:rPr>
          <w:rFonts w:ascii="Palatino Linotype" w:eastAsia="Palatino Linotype" w:hAnsi="Palatino Linotype" w:cs="Palatino Linotype"/>
          <w:sz w:val="22"/>
          <w:szCs w:val="22"/>
        </w:rPr>
      </w:pPr>
    </w:p>
    <w:p w14:paraId="7558DD49" w14:textId="77777777" w:rsidR="00B52CFA" w:rsidRDefault="00B52CFA" w:rsidP="009E38E7">
      <w:pPr>
        <w:widowControl w:val="0"/>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El artículo 18, que, los Sujetos Obligados deberán documentar todo acto que derive del ejercicio de sus facultades, competencias o funciones, considerando desde su origen la eventual publicidad y reutilización de la información que generen.</w:t>
      </w:r>
    </w:p>
    <w:p w14:paraId="6D2E2A0F" w14:textId="77777777" w:rsidR="00B52CFA" w:rsidRDefault="00B52CFA" w:rsidP="009E38E7">
      <w:pPr>
        <w:widowControl w:val="0"/>
        <w:spacing w:line="360" w:lineRule="auto"/>
        <w:contextualSpacing/>
        <w:jc w:val="both"/>
        <w:rPr>
          <w:rFonts w:ascii="Palatino Linotype" w:eastAsia="Palatino Linotype" w:hAnsi="Palatino Linotype" w:cs="Palatino Linotype"/>
          <w:sz w:val="22"/>
          <w:szCs w:val="22"/>
        </w:rPr>
      </w:pPr>
    </w:p>
    <w:p w14:paraId="1F107B0F" w14:textId="77777777" w:rsidR="00B52CFA" w:rsidRDefault="00B52CFA" w:rsidP="009E38E7">
      <w:pPr>
        <w:widowControl w:val="0"/>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564DC0CB" w14:textId="77777777" w:rsidR="00B52CFA" w:rsidRDefault="00B52CFA" w:rsidP="009E38E7">
      <w:pPr>
        <w:widowControl w:val="0"/>
        <w:spacing w:line="360" w:lineRule="auto"/>
        <w:contextualSpacing/>
        <w:jc w:val="both"/>
        <w:rPr>
          <w:rFonts w:ascii="Palatino Linotype" w:eastAsia="Palatino Linotype" w:hAnsi="Palatino Linotype" w:cs="Palatino Linotype"/>
          <w:sz w:val="22"/>
          <w:szCs w:val="22"/>
        </w:rPr>
      </w:pPr>
    </w:p>
    <w:p w14:paraId="7FEA1D7C" w14:textId="77777777" w:rsidR="00B52CFA" w:rsidRDefault="00B52CFA" w:rsidP="009E38E7">
      <w:pPr>
        <w:pStyle w:val="Ttulo2"/>
        <w:spacing w:before="0" w:after="0" w:line="360" w:lineRule="auto"/>
        <w:contextualSpacing/>
        <w:rPr>
          <w:rFonts w:ascii="Palatino Linotype" w:eastAsia="Palatino Linotype" w:hAnsi="Palatino Linotype" w:cs="Palatino Linotype"/>
          <w:b/>
          <w:color w:val="000000"/>
          <w:sz w:val="22"/>
          <w:szCs w:val="22"/>
        </w:rPr>
      </w:pPr>
      <w:bookmarkStart w:id="18" w:name="_Toc223020149"/>
      <w:r>
        <w:rPr>
          <w:rFonts w:ascii="Palatino Linotype" w:eastAsia="Palatino Linotype" w:hAnsi="Palatino Linotype" w:cs="Palatino Linotype"/>
          <w:b/>
          <w:color w:val="000000"/>
          <w:sz w:val="22"/>
          <w:szCs w:val="22"/>
        </w:rPr>
        <w:t>QUINTO. Estudio de Fondo</w:t>
      </w:r>
      <w:bookmarkEnd w:id="18"/>
    </w:p>
    <w:p w14:paraId="537A13E9" w14:textId="77777777" w:rsidR="00B52CFA" w:rsidRDefault="00B52CFA" w:rsidP="009E38E7">
      <w:pPr>
        <w:spacing w:line="360" w:lineRule="auto"/>
        <w:contextualSpacing/>
        <w:jc w:val="both"/>
        <w:rPr>
          <w:rFonts w:ascii="Palatino Linotype" w:eastAsia="Palatino Linotype" w:hAnsi="Palatino Linotype" w:cs="Palatino Linotype"/>
          <w:b/>
          <w:sz w:val="22"/>
          <w:szCs w:val="22"/>
        </w:rPr>
      </w:pPr>
    </w:p>
    <w:p w14:paraId="0D5AA0D9" w14:textId="77777777" w:rsidR="00B52CFA" w:rsidRDefault="00B52CFA" w:rsidP="009E38E7">
      <w:pPr>
        <w:widowControl w:val="0"/>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Expuestas las posturas de las partes, se procede a realizar el análisis del agravio hecho valer </w:t>
      </w:r>
      <w:r>
        <w:rPr>
          <w:rFonts w:ascii="Palatino Linotype" w:eastAsia="Palatino Linotype" w:hAnsi="Palatino Linotype" w:cs="Palatino Linotype"/>
          <w:sz w:val="22"/>
          <w:szCs w:val="22"/>
        </w:rPr>
        <w:lastRenderedPageBreak/>
        <w:t>por el ahora Recurrente, concerniente a la entrega de información incompleta por parte del Sujeto Obligado, por lo que en principio resulta necesario contextualizar la solicitud de información.</w:t>
      </w:r>
    </w:p>
    <w:p w14:paraId="0A585540" w14:textId="77777777" w:rsidR="00A60FA6" w:rsidRDefault="00A60FA6" w:rsidP="009E38E7">
      <w:pPr>
        <w:widowControl w:val="0"/>
        <w:spacing w:line="360" w:lineRule="auto"/>
        <w:contextualSpacing/>
        <w:jc w:val="both"/>
        <w:rPr>
          <w:rFonts w:ascii="Palatino Linotype" w:eastAsia="Palatino Linotype" w:hAnsi="Palatino Linotype" w:cs="Palatino Linotype"/>
          <w:sz w:val="22"/>
          <w:szCs w:val="22"/>
        </w:rPr>
      </w:pPr>
    </w:p>
    <w:p w14:paraId="2EB51170" w14:textId="4C9AD60F" w:rsidR="00D70D3A" w:rsidRPr="00D07FF0" w:rsidRDefault="00D70D3A" w:rsidP="009E38E7">
      <w:pPr>
        <w:spacing w:line="360" w:lineRule="auto"/>
        <w:contextualSpacing/>
        <w:jc w:val="both"/>
        <w:rPr>
          <w:rFonts w:ascii="Palatino Linotype" w:hAnsi="Palatino Linotype" w:cs="Tahoma"/>
          <w:b/>
          <w:sz w:val="22"/>
          <w:szCs w:val="22"/>
        </w:rPr>
      </w:pPr>
      <w:r>
        <w:rPr>
          <w:rFonts w:ascii="Palatino Linotype" w:hAnsi="Palatino Linotype" w:cs="Tahoma"/>
          <w:bCs/>
          <w:sz w:val="22"/>
          <w:szCs w:val="22"/>
        </w:rPr>
        <w:t>En principio</w:t>
      </w:r>
      <w:r w:rsidRPr="00D07FF0">
        <w:rPr>
          <w:rFonts w:ascii="Palatino Linotype" w:hAnsi="Palatino Linotype" w:cs="Tahoma"/>
          <w:bCs/>
          <w:sz w:val="22"/>
          <w:szCs w:val="22"/>
        </w:rPr>
        <w:t xml:space="preserve">, cabe precisar que de conformidad con los artículos 6°, apartado A, de la Constitución Política de los Estados Unidos Mexicanos, 5° de la Constitución Política del Estado Libre y Soberano de México, 4° de la Ley General de Transparencia y Acceso a la Información Pública vigente a la fecha de la solicitud y 4° de la </w:t>
      </w:r>
      <w:r w:rsidRPr="00D07FF0">
        <w:rPr>
          <w:rFonts w:ascii="Palatino Linotype" w:hAnsi="Palatino Linotype" w:cs="Tahoma"/>
          <w:sz w:val="22"/>
          <w:szCs w:val="22"/>
        </w:rPr>
        <w:t xml:space="preserve">Ley </w:t>
      </w:r>
      <w:r w:rsidRPr="00D07FF0">
        <w:rPr>
          <w:rFonts w:ascii="Palatino Linotype" w:hAnsi="Palatino Linotype" w:cs="Tahoma"/>
          <w:bCs/>
          <w:sz w:val="22"/>
          <w:szCs w:val="22"/>
        </w:rPr>
        <w:t xml:space="preserve">de Transparencia y Acceso a la Información Pública del Estado de México y Municipios, </w:t>
      </w:r>
      <w:r w:rsidRPr="00D07FF0">
        <w:rPr>
          <w:rFonts w:ascii="Palatino Linotype" w:hAnsi="Palatino Linotype" w:cs="Tahoma"/>
          <w:b/>
          <w:sz w:val="22"/>
          <w:szCs w:val="22"/>
        </w:rPr>
        <w:t>toda la información generada, obtenida, adquirida, transformada o en posesión de los sujetos obligados es pública y accesible a cualquier persona.</w:t>
      </w:r>
    </w:p>
    <w:p w14:paraId="736AB9F2" w14:textId="77777777" w:rsidR="00D70D3A" w:rsidRPr="00D07FF0" w:rsidRDefault="00D70D3A" w:rsidP="009E38E7">
      <w:pPr>
        <w:spacing w:line="360" w:lineRule="auto"/>
        <w:contextualSpacing/>
        <w:jc w:val="both"/>
        <w:rPr>
          <w:rFonts w:ascii="Palatino Linotype" w:hAnsi="Palatino Linotype" w:cs="Tahoma"/>
          <w:bCs/>
          <w:sz w:val="22"/>
          <w:szCs w:val="22"/>
        </w:rPr>
      </w:pPr>
      <w:r w:rsidRPr="00D07FF0">
        <w:rPr>
          <w:rFonts w:ascii="Palatino Linotype" w:hAnsi="Palatino Linotype" w:cs="Tahoma"/>
          <w:bCs/>
          <w:sz w:val="22"/>
          <w:szCs w:val="22"/>
        </w:rPr>
        <w:t xml:space="preserve"> </w:t>
      </w:r>
    </w:p>
    <w:p w14:paraId="606C64F6" w14:textId="77777777" w:rsidR="00D70D3A" w:rsidRPr="00D07FF0" w:rsidRDefault="00D70D3A" w:rsidP="009E38E7">
      <w:pPr>
        <w:spacing w:line="360" w:lineRule="auto"/>
        <w:contextualSpacing/>
        <w:jc w:val="both"/>
        <w:rPr>
          <w:rFonts w:ascii="Palatino Linotype" w:hAnsi="Palatino Linotype" w:cs="Tahoma"/>
          <w:sz w:val="22"/>
          <w:szCs w:val="22"/>
        </w:rPr>
      </w:pPr>
      <w:r w:rsidRPr="00D07FF0">
        <w:rPr>
          <w:rFonts w:ascii="Palatino Linotype" w:hAnsi="Palatino Linotype" w:cs="Tahoma"/>
          <w:sz w:val="22"/>
          <w:szCs w:val="22"/>
        </w:rPr>
        <w:t>En ese contexto, el artículo 18 de la Ley de Transparencia y Acceso a la Información Pública del Estado de México y Municipios, contempla que los sujetos obligados deberán documentar todo acto que derive del ejercicio de sus facultades, competencias o funciones.</w:t>
      </w:r>
    </w:p>
    <w:p w14:paraId="396A0882" w14:textId="77777777" w:rsidR="00D70D3A" w:rsidRPr="00D07FF0" w:rsidRDefault="00D70D3A" w:rsidP="009E38E7">
      <w:pPr>
        <w:spacing w:line="360" w:lineRule="auto"/>
        <w:contextualSpacing/>
        <w:jc w:val="both"/>
        <w:rPr>
          <w:rFonts w:ascii="Palatino Linotype" w:hAnsi="Palatino Linotype" w:cs="Tahoma"/>
          <w:bCs/>
          <w:sz w:val="22"/>
          <w:szCs w:val="22"/>
        </w:rPr>
      </w:pPr>
      <w:r w:rsidRPr="00D07FF0">
        <w:rPr>
          <w:rFonts w:ascii="Palatino Linotype" w:hAnsi="Palatino Linotype" w:cs="Tahoma"/>
          <w:bCs/>
          <w:sz w:val="22"/>
          <w:szCs w:val="22"/>
        </w:rPr>
        <w:t>Lo anterior toma relevancia, pues según Jarquín, Soledad (2019), en el “Diccionario de Transparencia y Acceso a la Información Pública” (p. 126 y 127), todos los sujetos obligados 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p>
    <w:p w14:paraId="33D54695" w14:textId="77777777" w:rsidR="00D70D3A" w:rsidRPr="00D07FF0" w:rsidRDefault="00D70D3A" w:rsidP="009E38E7">
      <w:pPr>
        <w:spacing w:line="360" w:lineRule="auto"/>
        <w:contextualSpacing/>
        <w:jc w:val="both"/>
        <w:rPr>
          <w:rFonts w:ascii="Palatino Linotype" w:hAnsi="Palatino Linotype" w:cs="Tahoma"/>
          <w:bCs/>
          <w:sz w:val="22"/>
          <w:szCs w:val="22"/>
        </w:rPr>
      </w:pPr>
      <w:r w:rsidRPr="00D07FF0">
        <w:rPr>
          <w:rFonts w:ascii="Palatino Linotype" w:hAnsi="Palatino Linotype" w:cs="Tahoma"/>
          <w:bCs/>
          <w:sz w:val="22"/>
          <w:szCs w:val="22"/>
        </w:rPr>
        <w:t xml:space="preserve"> </w:t>
      </w:r>
    </w:p>
    <w:p w14:paraId="1801966D" w14:textId="77777777" w:rsidR="00D70D3A" w:rsidRPr="00D07FF0" w:rsidRDefault="00D70D3A" w:rsidP="009E38E7">
      <w:pPr>
        <w:spacing w:line="360" w:lineRule="auto"/>
        <w:contextualSpacing/>
        <w:jc w:val="both"/>
        <w:rPr>
          <w:rFonts w:ascii="Palatino Linotype" w:hAnsi="Palatino Linotype" w:cs="Tahoma"/>
          <w:bCs/>
          <w:sz w:val="22"/>
          <w:szCs w:val="22"/>
        </w:rPr>
      </w:pPr>
      <w:r w:rsidRPr="00D07FF0">
        <w:rPr>
          <w:rFonts w:ascii="Palatino Linotype" w:hAnsi="Palatino Linotype" w:cs="Tahoma"/>
          <w:bCs/>
          <w:sz w:val="22"/>
          <w:szCs w:val="22"/>
        </w:rPr>
        <w:t xml:space="preserve">Además, precisa que los documentos son el registro material que da testimonio de las actividades efectuadas por los sujetos obligados con motivo del ejercicio de sus facultades, atribuciones o funciones, los cuales pueden ser escritos, impresos, sonoros, visuales, </w:t>
      </w:r>
      <w:r w:rsidRPr="00D07FF0">
        <w:rPr>
          <w:rFonts w:ascii="Palatino Linotype" w:hAnsi="Palatino Linotype" w:cs="Tahoma"/>
          <w:bCs/>
          <w:sz w:val="22"/>
          <w:szCs w:val="22"/>
        </w:rPr>
        <w:lastRenderedPageBreak/>
        <w:t xml:space="preserve">electrónicos, informáticos, entre otros; asimismo aclara que estos pueden contener valores administrativos, legales, fiscales, contables, históricos, informativos, entre otros. </w:t>
      </w:r>
    </w:p>
    <w:p w14:paraId="0FF49457" w14:textId="77777777" w:rsidR="00D70D3A" w:rsidRPr="00D07FF0" w:rsidRDefault="00D70D3A" w:rsidP="009E38E7">
      <w:pPr>
        <w:spacing w:line="360" w:lineRule="auto"/>
        <w:contextualSpacing/>
        <w:jc w:val="both"/>
        <w:rPr>
          <w:rFonts w:ascii="Palatino Linotype" w:hAnsi="Palatino Linotype" w:cs="Tahoma"/>
          <w:bCs/>
          <w:sz w:val="22"/>
          <w:szCs w:val="22"/>
        </w:rPr>
      </w:pPr>
      <w:r w:rsidRPr="00D07FF0">
        <w:rPr>
          <w:rFonts w:ascii="Palatino Linotype" w:hAnsi="Palatino Linotype" w:cs="Tahoma"/>
          <w:bCs/>
          <w:sz w:val="22"/>
          <w:szCs w:val="22"/>
        </w:rPr>
        <w:t xml:space="preserve"> </w:t>
      </w:r>
    </w:p>
    <w:p w14:paraId="34EB7EAF" w14:textId="77777777" w:rsidR="00D70D3A" w:rsidRDefault="00D70D3A" w:rsidP="009E38E7">
      <w:pPr>
        <w:spacing w:line="360" w:lineRule="auto"/>
        <w:contextualSpacing/>
        <w:jc w:val="both"/>
        <w:rPr>
          <w:rFonts w:ascii="Palatino Linotype" w:hAnsi="Palatino Linotype" w:cs="Tahoma"/>
          <w:bCs/>
          <w:sz w:val="22"/>
          <w:szCs w:val="22"/>
        </w:rPr>
      </w:pPr>
      <w:r w:rsidRPr="00D07FF0">
        <w:rPr>
          <w:rFonts w:ascii="Palatino Linotype" w:hAnsi="Palatino Linotype" w:cs="Tahoma"/>
          <w:bCs/>
          <w:sz w:val="22"/>
          <w:szCs w:val="22"/>
        </w:rPr>
        <w:t xml:space="preserve">En ese contexto, los diversos 12 y 24 de dicho ordenamiento jurídico, prevén que, </w:t>
      </w:r>
      <w:r w:rsidRPr="00D07FF0">
        <w:rPr>
          <w:rFonts w:ascii="Palatino Linotype" w:hAnsi="Palatino Linotype" w:cs="Tahoma"/>
          <w:sz w:val="22"/>
          <w:szCs w:val="22"/>
        </w:rPr>
        <w:t>es deber de los Sujetos Obligados proporcionar la información pública que se les requiera siempre y cuando obre en sus archivos; lo cual no implica que tengan que procesar, generar, resumir, efectuar cálculos o practicar investigaciones a fin de satisfacer la pretensión de los solicitantes</w:t>
      </w:r>
      <w:r w:rsidRPr="00D07FF0">
        <w:rPr>
          <w:rFonts w:ascii="Palatino Linotype" w:hAnsi="Palatino Linotype" w:cs="Tahoma"/>
          <w:bCs/>
          <w:sz w:val="22"/>
          <w:szCs w:val="22"/>
        </w:rPr>
        <w:t>.</w:t>
      </w:r>
    </w:p>
    <w:p w14:paraId="4E04F61B" w14:textId="77777777" w:rsidR="00D70D3A" w:rsidRDefault="00D70D3A" w:rsidP="009E38E7">
      <w:pPr>
        <w:spacing w:line="360" w:lineRule="auto"/>
        <w:contextualSpacing/>
        <w:jc w:val="both"/>
        <w:rPr>
          <w:rFonts w:ascii="Palatino Linotype" w:hAnsi="Palatino Linotype" w:cs="Tahoma"/>
          <w:bCs/>
          <w:sz w:val="22"/>
          <w:szCs w:val="22"/>
        </w:rPr>
      </w:pPr>
    </w:p>
    <w:p w14:paraId="62576B30" w14:textId="1870F0AB" w:rsidR="00D70D3A" w:rsidRDefault="00D70D3A" w:rsidP="009E38E7">
      <w:pPr>
        <w:spacing w:line="360" w:lineRule="auto"/>
        <w:contextualSpacing/>
        <w:jc w:val="both"/>
        <w:rPr>
          <w:rFonts w:ascii="Palatino Linotype" w:hAnsi="Palatino Linotype" w:cs="Tahoma"/>
          <w:sz w:val="22"/>
          <w:szCs w:val="22"/>
        </w:rPr>
      </w:pPr>
      <w:r w:rsidRPr="00D07FF0">
        <w:rPr>
          <w:rFonts w:ascii="Palatino Linotype" w:hAnsi="Palatino Linotype" w:cs="Tahoma"/>
          <w:sz w:val="22"/>
          <w:szCs w:val="22"/>
        </w:rPr>
        <w:t xml:space="preserve">Ahora bien, </w:t>
      </w:r>
      <w:r>
        <w:rPr>
          <w:rFonts w:ascii="Palatino Linotype" w:hAnsi="Palatino Linotype" w:cs="Tahoma"/>
          <w:sz w:val="22"/>
          <w:szCs w:val="22"/>
        </w:rPr>
        <w:t>e</w:t>
      </w:r>
      <w:r w:rsidRPr="00D07FF0">
        <w:rPr>
          <w:rFonts w:ascii="Palatino Linotype" w:hAnsi="Palatino Linotype" w:cs="Tahoma"/>
          <w:sz w:val="22"/>
          <w:szCs w:val="22"/>
        </w:rPr>
        <w:t xml:space="preserve">l artículo </w:t>
      </w:r>
      <w:r>
        <w:rPr>
          <w:rFonts w:ascii="Palatino Linotype" w:hAnsi="Palatino Linotype" w:cs="Tahoma"/>
          <w:sz w:val="22"/>
          <w:szCs w:val="22"/>
        </w:rPr>
        <w:t>13 fracción XII</w:t>
      </w:r>
      <w:r w:rsidRPr="00D07FF0">
        <w:rPr>
          <w:rFonts w:ascii="Palatino Linotype" w:hAnsi="Palatino Linotype" w:cs="Tahoma"/>
          <w:sz w:val="22"/>
          <w:szCs w:val="22"/>
        </w:rPr>
        <w:t xml:space="preserve"> del </w:t>
      </w:r>
      <w:r>
        <w:rPr>
          <w:rFonts w:ascii="Palatino Linotype" w:hAnsi="Palatino Linotype" w:cs="Tahoma"/>
          <w:sz w:val="22"/>
          <w:szCs w:val="22"/>
        </w:rPr>
        <w:t xml:space="preserve">Bando </w:t>
      </w:r>
      <w:r w:rsidRPr="00D07FF0">
        <w:rPr>
          <w:rFonts w:ascii="Palatino Linotype" w:hAnsi="Palatino Linotype" w:cs="Tahoma"/>
          <w:sz w:val="22"/>
          <w:szCs w:val="22"/>
        </w:rPr>
        <w:t>Municipal</w:t>
      </w:r>
      <w:r>
        <w:rPr>
          <w:rFonts w:ascii="Palatino Linotype" w:hAnsi="Palatino Linotype" w:cs="Tahoma"/>
          <w:sz w:val="22"/>
          <w:szCs w:val="22"/>
        </w:rPr>
        <w:t xml:space="preserve"> de Ecatepec de Morelos</w:t>
      </w:r>
      <w:r w:rsidRPr="00D07FF0">
        <w:rPr>
          <w:rFonts w:ascii="Palatino Linotype" w:hAnsi="Palatino Linotype" w:cs="Tahoma"/>
          <w:sz w:val="22"/>
          <w:szCs w:val="22"/>
        </w:rPr>
        <w:t>,</w:t>
      </w:r>
      <w:r>
        <w:rPr>
          <w:rFonts w:ascii="Palatino Linotype" w:hAnsi="Palatino Linotype" w:cs="Tahoma"/>
          <w:sz w:val="22"/>
          <w:szCs w:val="22"/>
        </w:rPr>
        <w:t xml:space="preserve"> </w:t>
      </w:r>
      <w:r w:rsidRPr="00D07FF0">
        <w:rPr>
          <w:rFonts w:ascii="Palatino Linotype" w:hAnsi="Palatino Linotype" w:cs="Tahoma"/>
          <w:sz w:val="22"/>
          <w:szCs w:val="22"/>
        </w:rPr>
        <w:t>dos mil veinticinco,</w:t>
      </w:r>
      <w:r>
        <w:rPr>
          <w:rFonts w:ascii="Palatino Linotype" w:hAnsi="Palatino Linotype" w:cs="Tahoma"/>
          <w:sz w:val="22"/>
          <w:szCs w:val="22"/>
        </w:rPr>
        <w:t xml:space="preserve"> </w:t>
      </w:r>
      <w:r w:rsidRPr="00D07FF0">
        <w:rPr>
          <w:rFonts w:ascii="Palatino Linotype" w:hAnsi="Palatino Linotype" w:cs="Tahoma"/>
          <w:sz w:val="22"/>
          <w:szCs w:val="22"/>
        </w:rPr>
        <w:t xml:space="preserve">establece que </w:t>
      </w:r>
      <w:r>
        <w:rPr>
          <w:rFonts w:ascii="Palatino Linotype" w:hAnsi="Palatino Linotype" w:cs="Tahoma"/>
          <w:sz w:val="22"/>
          <w:szCs w:val="22"/>
        </w:rPr>
        <w:t xml:space="preserve">uno de los fines del ayuntamiento es otorgar servicios públicos esenciales y de calidad a todos los ciudadanos de manera eficiente, equitativa y sostenible, </w:t>
      </w:r>
      <w:r w:rsidR="008B0FC3">
        <w:rPr>
          <w:rFonts w:ascii="Palatino Linotype" w:hAnsi="Palatino Linotype" w:cs="Tahoma"/>
          <w:sz w:val="22"/>
          <w:szCs w:val="22"/>
        </w:rPr>
        <w:t>entre otras acciones se implementará el programa “luces de esperanza” con calles bien iluminadas con energía solar, contemplando el balizamiento, bacheo y poda de árboles, en cuanto a la poda, derribo, trasplante y sustitución de árboles en el territorio municipal, se tendrá que realizar en estricto apego a la normatividad municipal.</w:t>
      </w:r>
    </w:p>
    <w:p w14:paraId="4F04B666" w14:textId="77777777" w:rsidR="008B0FC3" w:rsidRDefault="008B0FC3" w:rsidP="009E38E7">
      <w:pPr>
        <w:spacing w:line="360" w:lineRule="auto"/>
        <w:contextualSpacing/>
        <w:jc w:val="both"/>
        <w:rPr>
          <w:rFonts w:ascii="Palatino Linotype" w:hAnsi="Palatino Linotype" w:cs="Tahoma"/>
          <w:sz w:val="22"/>
          <w:szCs w:val="22"/>
        </w:rPr>
      </w:pPr>
    </w:p>
    <w:p w14:paraId="7153598D" w14:textId="6964FA35" w:rsidR="008B0FC3" w:rsidRDefault="008B0FC3" w:rsidP="009E38E7">
      <w:pPr>
        <w:spacing w:line="360" w:lineRule="auto"/>
        <w:contextualSpacing/>
        <w:jc w:val="both"/>
        <w:rPr>
          <w:rFonts w:ascii="Palatino Linotype" w:hAnsi="Palatino Linotype" w:cs="Tahoma"/>
          <w:sz w:val="22"/>
          <w:szCs w:val="22"/>
        </w:rPr>
      </w:pPr>
      <w:r>
        <w:rPr>
          <w:rFonts w:ascii="Palatino Linotype" w:hAnsi="Palatino Linotype" w:cs="Tahoma"/>
          <w:sz w:val="22"/>
          <w:szCs w:val="22"/>
        </w:rPr>
        <w:t xml:space="preserve">En este contexto, el artículo 44 fracción IV letra f., señala que para el ejercicio de las atribuciones tanto del Ayuntamiento la </w:t>
      </w:r>
      <w:proofErr w:type="gramStart"/>
      <w:r>
        <w:rPr>
          <w:rFonts w:ascii="Palatino Linotype" w:hAnsi="Palatino Linotype" w:cs="Tahoma"/>
          <w:sz w:val="22"/>
          <w:szCs w:val="22"/>
        </w:rPr>
        <w:t>Presidenta</w:t>
      </w:r>
      <w:proofErr w:type="gramEnd"/>
      <w:r>
        <w:rPr>
          <w:rFonts w:ascii="Palatino Linotype" w:hAnsi="Palatino Linotype" w:cs="Tahoma"/>
          <w:sz w:val="22"/>
          <w:szCs w:val="22"/>
        </w:rPr>
        <w:t xml:space="preserve"> municipal se auxiliará de diversas dependencias entre otras</w:t>
      </w:r>
      <w:r w:rsidR="0049000D">
        <w:rPr>
          <w:rFonts w:ascii="Palatino Linotype" w:hAnsi="Palatino Linotype" w:cs="Tahoma"/>
          <w:sz w:val="22"/>
          <w:szCs w:val="22"/>
        </w:rPr>
        <w:t xml:space="preserve"> de la Dirección de Medio Ambiente y Ecología.</w:t>
      </w:r>
      <w:r>
        <w:rPr>
          <w:rFonts w:ascii="Palatino Linotype" w:hAnsi="Palatino Linotype" w:cs="Tahoma"/>
          <w:sz w:val="22"/>
          <w:szCs w:val="22"/>
        </w:rPr>
        <w:t xml:space="preserve"> </w:t>
      </w:r>
    </w:p>
    <w:p w14:paraId="29CFDED4" w14:textId="77777777" w:rsidR="00EA1B1B" w:rsidRDefault="00EA1B1B" w:rsidP="009E38E7">
      <w:pPr>
        <w:spacing w:line="360" w:lineRule="auto"/>
        <w:contextualSpacing/>
        <w:jc w:val="both"/>
        <w:rPr>
          <w:rFonts w:ascii="Palatino Linotype" w:eastAsia="Palatino Linotype" w:hAnsi="Palatino Linotype" w:cs="Palatino Linotype"/>
          <w:bCs/>
          <w:iCs/>
          <w:sz w:val="22"/>
          <w:szCs w:val="22"/>
        </w:rPr>
      </w:pPr>
    </w:p>
    <w:p w14:paraId="15DC2A88" w14:textId="3980C55A" w:rsidR="00EA1B1B" w:rsidRDefault="00EA1B1B" w:rsidP="009E38E7">
      <w:pPr>
        <w:spacing w:line="360" w:lineRule="auto"/>
        <w:contextualSpacing/>
        <w:jc w:val="both"/>
        <w:rPr>
          <w:rFonts w:ascii="Palatino Linotype" w:eastAsia="Palatino Linotype" w:hAnsi="Palatino Linotype" w:cs="Palatino Linotype"/>
          <w:bCs/>
          <w:iCs/>
          <w:sz w:val="22"/>
          <w:szCs w:val="22"/>
        </w:rPr>
      </w:pPr>
      <w:r>
        <w:rPr>
          <w:rFonts w:ascii="Palatino Linotype" w:eastAsia="Palatino Linotype" w:hAnsi="Palatino Linotype" w:cs="Palatino Linotype"/>
          <w:bCs/>
          <w:iCs/>
          <w:sz w:val="22"/>
          <w:szCs w:val="22"/>
        </w:rPr>
        <w:t xml:space="preserve">Además, este Instituto localizó en la cuenta oficial de </w:t>
      </w:r>
      <w:r w:rsidRPr="00EA1B1B">
        <w:rPr>
          <w:rFonts w:ascii="Palatino Linotype" w:eastAsia="Palatino Linotype" w:hAnsi="Palatino Linotype" w:cs="Palatino Linotype"/>
          <w:bCs/>
          <w:i/>
          <w:sz w:val="22"/>
          <w:szCs w:val="22"/>
        </w:rPr>
        <w:t>Facebook</w:t>
      </w:r>
      <w:r>
        <w:rPr>
          <w:rFonts w:ascii="Palatino Linotype" w:eastAsia="Palatino Linotype" w:hAnsi="Palatino Linotype" w:cs="Palatino Linotype"/>
          <w:bCs/>
          <w:i/>
          <w:sz w:val="22"/>
          <w:szCs w:val="22"/>
        </w:rPr>
        <w:t xml:space="preserve"> </w:t>
      </w:r>
      <w:r>
        <w:rPr>
          <w:rFonts w:ascii="Palatino Linotype" w:eastAsia="Palatino Linotype" w:hAnsi="Palatino Linotype" w:cs="Palatino Linotype"/>
          <w:bCs/>
          <w:iCs/>
          <w:sz w:val="22"/>
          <w:szCs w:val="22"/>
        </w:rPr>
        <w:t>de</w:t>
      </w:r>
      <w:r w:rsidR="00CD7F83">
        <w:rPr>
          <w:rFonts w:ascii="Palatino Linotype" w:eastAsia="Palatino Linotype" w:hAnsi="Palatino Linotype" w:cs="Palatino Linotype"/>
          <w:bCs/>
          <w:iCs/>
          <w:sz w:val="22"/>
          <w:szCs w:val="22"/>
        </w:rPr>
        <w:t xml:space="preserve"> </w:t>
      </w:r>
      <w:r>
        <w:rPr>
          <w:rFonts w:ascii="Palatino Linotype" w:eastAsia="Palatino Linotype" w:hAnsi="Palatino Linotype" w:cs="Palatino Linotype"/>
          <w:bCs/>
          <w:iCs/>
          <w:sz w:val="22"/>
          <w:szCs w:val="22"/>
        </w:rPr>
        <w:t>l</w:t>
      </w:r>
      <w:r w:rsidR="00CD7F83">
        <w:rPr>
          <w:rFonts w:ascii="Palatino Linotype" w:eastAsia="Palatino Linotype" w:hAnsi="Palatino Linotype" w:cs="Palatino Linotype"/>
          <w:bCs/>
          <w:iCs/>
          <w:sz w:val="22"/>
          <w:szCs w:val="22"/>
        </w:rPr>
        <w:t xml:space="preserve">a Dirección de Servicios Públicos del Ayuntamiento de Ecatepec, que durante el mes de agosto de dos mil veinticinco realizó trabajos de poda y levantamiento de copa de árboles, circunstancia que se logra colegir conforme a lo siguiente: </w:t>
      </w:r>
      <w:r>
        <w:rPr>
          <w:rFonts w:ascii="Palatino Linotype" w:eastAsia="Palatino Linotype" w:hAnsi="Palatino Linotype" w:cs="Palatino Linotype"/>
          <w:bCs/>
          <w:iCs/>
          <w:sz w:val="22"/>
          <w:szCs w:val="22"/>
        </w:rPr>
        <w:t xml:space="preserve"> </w:t>
      </w:r>
    </w:p>
    <w:p w14:paraId="2B8FCFC1" w14:textId="77777777" w:rsidR="00CD7F83" w:rsidRDefault="00CD7F83" w:rsidP="009E38E7">
      <w:pPr>
        <w:spacing w:line="360" w:lineRule="auto"/>
        <w:contextualSpacing/>
        <w:jc w:val="both"/>
        <w:rPr>
          <w:rFonts w:ascii="Palatino Linotype" w:eastAsia="Palatino Linotype" w:hAnsi="Palatino Linotype" w:cs="Palatino Linotype"/>
          <w:bCs/>
          <w:iCs/>
          <w:sz w:val="22"/>
          <w:szCs w:val="22"/>
        </w:rPr>
      </w:pPr>
    </w:p>
    <w:p w14:paraId="7C58A5D2" w14:textId="1913B438" w:rsidR="00CD7F83" w:rsidRPr="00EA1B1B" w:rsidRDefault="00CD7F83" w:rsidP="009E38E7">
      <w:pPr>
        <w:spacing w:line="360" w:lineRule="auto"/>
        <w:contextualSpacing/>
        <w:jc w:val="center"/>
        <w:rPr>
          <w:rFonts w:ascii="Palatino Linotype" w:eastAsia="Palatino Linotype" w:hAnsi="Palatino Linotype" w:cs="Palatino Linotype"/>
          <w:bCs/>
          <w:iCs/>
          <w:sz w:val="22"/>
          <w:szCs w:val="22"/>
        </w:rPr>
      </w:pPr>
      <w:r>
        <w:rPr>
          <w:rFonts w:ascii="Palatino Linotype" w:eastAsia="Palatino Linotype" w:hAnsi="Palatino Linotype" w:cs="Palatino Linotype"/>
          <w:bCs/>
          <w:iCs/>
          <w:noProof/>
          <w:sz w:val="22"/>
          <w:szCs w:val="22"/>
        </w:rPr>
        <w:lastRenderedPageBreak/>
        <w:drawing>
          <wp:inline distT="0" distB="0" distL="0" distR="0" wp14:anchorId="2ECBBAF8" wp14:editId="382850F7">
            <wp:extent cx="3505200" cy="2086382"/>
            <wp:effectExtent l="0" t="0" r="0" b="9525"/>
            <wp:docPr id="20449763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43129" cy="2108958"/>
                    </a:xfrm>
                    <a:prstGeom prst="rect">
                      <a:avLst/>
                    </a:prstGeom>
                    <a:noFill/>
                  </pic:spPr>
                </pic:pic>
              </a:graphicData>
            </a:graphic>
          </wp:inline>
        </w:drawing>
      </w:r>
    </w:p>
    <w:p w14:paraId="69E48F74" w14:textId="77777777" w:rsidR="00EA1B1B" w:rsidRDefault="00EA1B1B" w:rsidP="009E38E7">
      <w:pPr>
        <w:spacing w:line="360" w:lineRule="auto"/>
        <w:contextualSpacing/>
        <w:jc w:val="both"/>
        <w:rPr>
          <w:rFonts w:ascii="Palatino Linotype" w:eastAsia="Palatino Linotype" w:hAnsi="Palatino Linotype" w:cs="Palatino Linotype"/>
          <w:bCs/>
          <w:iCs/>
          <w:sz w:val="22"/>
          <w:szCs w:val="22"/>
        </w:rPr>
      </w:pPr>
    </w:p>
    <w:p w14:paraId="0574F7BD" w14:textId="3A5855E9" w:rsidR="00BF0053" w:rsidRPr="00126D4A" w:rsidRDefault="00BF0053" w:rsidP="009E38E7">
      <w:pPr>
        <w:spacing w:line="360" w:lineRule="auto"/>
        <w:contextualSpacing/>
        <w:jc w:val="both"/>
        <w:rPr>
          <w:rFonts w:ascii="Palatino Linotype" w:eastAsia="Palatino Linotype" w:hAnsi="Palatino Linotype" w:cs="Palatino Linotype"/>
          <w:bCs/>
          <w:iCs/>
          <w:sz w:val="22"/>
          <w:szCs w:val="22"/>
        </w:rPr>
      </w:pPr>
      <w:r w:rsidRPr="00126D4A">
        <w:rPr>
          <w:rFonts w:ascii="Palatino Linotype" w:eastAsia="Palatino Linotype" w:hAnsi="Palatino Linotype" w:cs="Palatino Linotype"/>
          <w:bCs/>
          <w:iCs/>
          <w:sz w:val="22"/>
          <w:szCs w:val="22"/>
        </w:rPr>
        <w:t>Asimismo, el Criterio orientador, con clave de control SO/008/2023, de la Tercera Época, emitido por el Pleno del entonces Instituto Nacional de Transparencia, Acceso a la Información y Protección de Datos Personales, establece que la información estadística es de naturaleza pública, al ser el producto de un conjunto de resultados cuantitativos obtenidos de un proceso sistemático de captación de datos primarios obtenidos sobre hechos que constan en la documentación que los sujetos obligados poseen, por lo que, dichos datos no se encuentran individualizados o personalizados.</w:t>
      </w:r>
    </w:p>
    <w:p w14:paraId="0D8F3047" w14:textId="77777777" w:rsidR="00BF0053" w:rsidRDefault="00BF0053" w:rsidP="009E38E7">
      <w:pPr>
        <w:widowControl w:val="0"/>
        <w:spacing w:line="360" w:lineRule="auto"/>
        <w:contextualSpacing/>
        <w:jc w:val="both"/>
        <w:rPr>
          <w:rFonts w:ascii="Palatino Linotype" w:hAnsi="Palatino Linotype" w:cs="Tahoma"/>
          <w:bCs/>
          <w:sz w:val="22"/>
          <w:szCs w:val="22"/>
        </w:rPr>
      </w:pPr>
    </w:p>
    <w:p w14:paraId="04DD3347" w14:textId="5FBADE44" w:rsidR="00A60FA6" w:rsidRPr="00BF0053" w:rsidRDefault="00A60FA6" w:rsidP="009E38E7">
      <w:pPr>
        <w:widowControl w:val="0"/>
        <w:spacing w:line="360" w:lineRule="auto"/>
        <w:contextualSpacing/>
        <w:jc w:val="both"/>
        <w:rPr>
          <w:rFonts w:ascii="Palatino Linotype" w:eastAsia="Palatino Linotype" w:hAnsi="Palatino Linotype" w:cs="Palatino Linotype"/>
          <w:sz w:val="22"/>
          <w:szCs w:val="22"/>
        </w:rPr>
      </w:pPr>
      <w:r>
        <w:rPr>
          <w:rFonts w:ascii="Palatino Linotype" w:hAnsi="Palatino Linotype" w:cs="Tahoma"/>
          <w:bCs/>
          <w:sz w:val="22"/>
          <w:szCs w:val="22"/>
        </w:rPr>
        <w:t xml:space="preserve">Conforme a lo anterior, se logra advertir que el Sujeto Obligado cuenta con competencia para conocer sobre lo requerido, y que la pretensión del Particular es conocer </w:t>
      </w:r>
      <w:r w:rsidR="0049000D">
        <w:rPr>
          <w:rFonts w:ascii="Palatino Linotype" w:hAnsi="Palatino Linotype" w:cs="Tahoma"/>
          <w:bCs/>
          <w:sz w:val="22"/>
          <w:szCs w:val="22"/>
        </w:rPr>
        <w:t>l</w:t>
      </w:r>
      <w:r w:rsidR="00BF0053">
        <w:rPr>
          <w:rFonts w:ascii="Palatino Linotype" w:hAnsi="Palatino Linotype" w:cs="Tahoma"/>
          <w:bCs/>
          <w:sz w:val="22"/>
          <w:szCs w:val="22"/>
        </w:rPr>
        <w:t>os</w:t>
      </w:r>
      <w:r w:rsidR="0049000D">
        <w:rPr>
          <w:rFonts w:ascii="Palatino Linotype" w:hAnsi="Palatino Linotype" w:cs="Tahoma"/>
          <w:bCs/>
          <w:sz w:val="22"/>
          <w:szCs w:val="22"/>
        </w:rPr>
        <w:t xml:space="preserve"> </w:t>
      </w:r>
      <w:r w:rsidR="00BF0053">
        <w:rPr>
          <w:rFonts w:ascii="Palatino Linotype" w:hAnsi="Palatino Linotype" w:cs="Tahoma"/>
          <w:bCs/>
          <w:sz w:val="22"/>
          <w:szCs w:val="22"/>
        </w:rPr>
        <w:t xml:space="preserve">documentos que dieran cuenta de </w:t>
      </w:r>
      <w:bookmarkStart w:id="19" w:name="_Hlk222344302"/>
      <w:r w:rsidR="00BF0053">
        <w:rPr>
          <w:rFonts w:ascii="Palatino Linotype" w:hAnsi="Palatino Linotype" w:cs="Tahoma"/>
          <w:bCs/>
          <w:sz w:val="22"/>
          <w:szCs w:val="22"/>
        </w:rPr>
        <w:t>la</w:t>
      </w:r>
      <w:r w:rsidR="00E45021">
        <w:rPr>
          <w:rFonts w:ascii="Palatino Linotype" w:hAnsi="Palatino Linotype" w:cs="Tahoma"/>
          <w:bCs/>
          <w:sz w:val="22"/>
          <w:szCs w:val="22"/>
        </w:rPr>
        <w:t xml:space="preserve"> c</w:t>
      </w:r>
      <w:r w:rsidR="0049000D" w:rsidRPr="00BF0053">
        <w:rPr>
          <w:rFonts w:ascii="Palatino Linotype" w:hAnsi="Palatino Linotype" w:cs="Tahoma"/>
          <w:bCs/>
          <w:sz w:val="22"/>
          <w:szCs w:val="22"/>
        </w:rPr>
        <w:t>antidad</w:t>
      </w:r>
      <w:r w:rsidR="00671AB8">
        <w:rPr>
          <w:rFonts w:ascii="Palatino Linotype" w:hAnsi="Palatino Linotype" w:cs="Tahoma"/>
          <w:bCs/>
          <w:sz w:val="22"/>
          <w:szCs w:val="22"/>
        </w:rPr>
        <w:t xml:space="preserve"> árboles</w:t>
      </w:r>
      <w:r w:rsidR="0049000D" w:rsidRPr="00BF0053">
        <w:rPr>
          <w:rFonts w:ascii="Palatino Linotype" w:hAnsi="Palatino Linotype" w:cs="Tahoma"/>
          <w:bCs/>
          <w:sz w:val="22"/>
          <w:szCs w:val="22"/>
        </w:rPr>
        <w:t xml:space="preserve"> poda</w:t>
      </w:r>
      <w:r w:rsidR="00671AB8">
        <w:rPr>
          <w:rFonts w:ascii="Palatino Linotype" w:hAnsi="Palatino Linotype" w:cs="Tahoma"/>
          <w:bCs/>
          <w:sz w:val="22"/>
          <w:szCs w:val="22"/>
        </w:rPr>
        <w:t>dos,</w:t>
      </w:r>
      <w:r w:rsidR="0049000D" w:rsidRPr="00BF0053">
        <w:rPr>
          <w:rFonts w:ascii="Palatino Linotype" w:hAnsi="Palatino Linotype" w:cs="Tahoma"/>
          <w:bCs/>
          <w:sz w:val="22"/>
          <w:szCs w:val="22"/>
        </w:rPr>
        <w:t xml:space="preserve"> derri</w:t>
      </w:r>
      <w:r w:rsidR="00671AB8">
        <w:rPr>
          <w:rFonts w:ascii="Palatino Linotype" w:hAnsi="Palatino Linotype" w:cs="Tahoma"/>
          <w:bCs/>
          <w:sz w:val="22"/>
          <w:szCs w:val="22"/>
        </w:rPr>
        <w:t>bados o trasplantados</w:t>
      </w:r>
      <w:r w:rsidR="0049000D" w:rsidRPr="00BF0053">
        <w:rPr>
          <w:rFonts w:ascii="Palatino Linotype" w:hAnsi="Palatino Linotype" w:cs="Tahoma"/>
          <w:bCs/>
          <w:sz w:val="22"/>
          <w:szCs w:val="22"/>
        </w:rPr>
        <w:t xml:space="preserve"> realizados por </w:t>
      </w:r>
      <w:r w:rsidR="00671AB8">
        <w:rPr>
          <w:rFonts w:ascii="Palatino Linotype" w:hAnsi="Palatino Linotype" w:cs="Tahoma"/>
          <w:bCs/>
          <w:sz w:val="22"/>
          <w:szCs w:val="22"/>
        </w:rPr>
        <w:t xml:space="preserve">las </w:t>
      </w:r>
      <w:r w:rsidR="0049000D" w:rsidRPr="00BF0053">
        <w:rPr>
          <w:rFonts w:ascii="Palatino Linotype" w:hAnsi="Palatino Linotype" w:cs="Tahoma"/>
          <w:bCs/>
          <w:sz w:val="22"/>
          <w:szCs w:val="22"/>
        </w:rPr>
        <w:t>dependencias municipales y empresas privadas, del primero de enero al veinte de noviembre de dos mil veinticinco.</w:t>
      </w:r>
      <w:bookmarkEnd w:id="19"/>
    </w:p>
    <w:p w14:paraId="26914893" w14:textId="77777777" w:rsidR="00BF0053" w:rsidRDefault="00BF0053" w:rsidP="009E38E7">
      <w:pPr>
        <w:spacing w:after="160" w:line="360" w:lineRule="auto"/>
        <w:contextualSpacing/>
        <w:jc w:val="both"/>
        <w:rPr>
          <w:rFonts w:ascii="Palatino Linotype" w:hAnsi="Palatino Linotype"/>
          <w:bCs/>
          <w:iCs/>
          <w:sz w:val="22"/>
          <w:szCs w:val="22"/>
        </w:rPr>
      </w:pPr>
    </w:p>
    <w:p w14:paraId="2D7A5E73" w14:textId="36CD26A4" w:rsidR="00CD7F83" w:rsidRPr="00CD7F83" w:rsidRDefault="00CD7F83" w:rsidP="009E38E7">
      <w:pPr>
        <w:spacing w:line="360" w:lineRule="auto"/>
        <w:contextualSpacing/>
        <w:jc w:val="both"/>
        <w:rPr>
          <w:rFonts w:ascii="Palatino Linotype" w:hAnsi="Palatino Linotype" w:cs="Tahoma"/>
          <w:b/>
          <w:bCs/>
          <w:iCs/>
          <w:sz w:val="22"/>
          <w:szCs w:val="22"/>
        </w:rPr>
      </w:pPr>
      <w:r w:rsidRPr="001E7B8B">
        <w:rPr>
          <w:rFonts w:ascii="Palatino Linotype" w:hAnsi="Palatino Linotype" w:cs="Tahoma"/>
          <w:bCs/>
          <w:iCs/>
          <w:sz w:val="22"/>
          <w:szCs w:val="22"/>
        </w:rPr>
        <w:t xml:space="preserve">Así, de las constancias que obran en el expediente, se logra vislumbrar que el Sujeto Obligado turnó la solicitud de información a la Dirección de </w:t>
      </w:r>
      <w:r>
        <w:rPr>
          <w:rFonts w:ascii="Palatino Linotype" w:hAnsi="Palatino Linotype" w:cs="Tahoma"/>
          <w:bCs/>
          <w:iCs/>
          <w:sz w:val="22"/>
          <w:szCs w:val="22"/>
        </w:rPr>
        <w:t>Medio Ambiente y Ecología y la Dirección de Protección Civil y Bomberos</w:t>
      </w:r>
      <w:r w:rsidRPr="001E7B8B">
        <w:rPr>
          <w:rFonts w:ascii="Palatino Linotype" w:hAnsi="Palatino Linotype" w:cs="Tahoma"/>
          <w:bCs/>
          <w:iCs/>
          <w:sz w:val="22"/>
          <w:szCs w:val="22"/>
        </w:rPr>
        <w:t xml:space="preserve">, por lo que resulta necesario hacer referencia al procedimiento de búsqueda que deben seguir los Sujetos Obligados para localizar la </w:t>
      </w:r>
      <w:r w:rsidRPr="001E7B8B">
        <w:rPr>
          <w:rFonts w:ascii="Palatino Linotype" w:hAnsi="Palatino Linotype" w:cs="Tahoma"/>
          <w:bCs/>
          <w:iCs/>
          <w:sz w:val="22"/>
          <w:szCs w:val="22"/>
        </w:rPr>
        <w:lastRenderedPageBreak/>
        <w:t>información,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-de acuerdo a las facultades, competencias y funciones-, con el objeto de que dichas áreas realicen una búsqueda exhaustiva y razonable de la información requerida.</w:t>
      </w:r>
    </w:p>
    <w:p w14:paraId="4A863D44" w14:textId="77777777" w:rsidR="00CD7F83" w:rsidRPr="001E7B8B" w:rsidRDefault="00CD7F83" w:rsidP="009E38E7">
      <w:pPr>
        <w:spacing w:line="360" w:lineRule="auto"/>
        <w:contextualSpacing/>
        <w:jc w:val="both"/>
        <w:rPr>
          <w:rFonts w:ascii="Palatino Linotype" w:hAnsi="Palatino Linotype" w:cs="Tahoma"/>
          <w:bCs/>
          <w:iCs/>
          <w:sz w:val="22"/>
          <w:szCs w:val="22"/>
        </w:rPr>
      </w:pPr>
      <w:r w:rsidRPr="001E7B8B">
        <w:rPr>
          <w:rFonts w:ascii="Palatino Linotype" w:hAnsi="Palatino Linotype" w:cs="Tahoma"/>
          <w:bCs/>
          <w:iCs/>
          <w:sz w:val="22"/>
          <w:szCs w:val="22"/>
        </w:rPr>
        <w:t xml:space="preserve"> </w:t>
      </w:r>
    </w:p>
    <w:p w14:paraId="400E8B59" w14:textId="77777777" w:rsidR="009625D3" w:rsidRDefault="00CD7F83" w:rsidP="009E38E7">
      <w:pPr>
        <w:spacing w:line="360" w:lineRule="auto"/>
        <w:contextualSpacing/>
        <w:jc w:val="both"/>
        <w:rPr>
          <w:rFonts w:ascii="Palatino Linotype" w:hAnsi="Palatino Linotype" w:cs="Tahoma"/>
          <w:bCs/>
          <w:iCs/>
          <w:sz w:val="22"/>
          <w:szCs w:val="22"/>
        </w:rPr>
      </w:pPr>
      <w:r>
        <w:rPr>
          <w:rFonts w:ascii="Palatino Linotype" w:hAnsi="Palatino Linotype" w:cs="Tahoma"/>
          <w:bCs/>
          <w:iCs/>
          <w:sz w:val="22"/>
          <w:szCs w:val="22"/>
        </w:rPr>
        <w:t>En este contexto, resulta oportuno</w:t>
      </w:r>
      <w:r w:rsidRPr="001E7B8B">
        <w:rPr>
          <w:rFonts w:ascii="Palatino Linotype" w:hAnsi="Palatino Linotype" w:cs="Tahoma"/>
          <w:bCs/>
          <w:iCs/>
          <w:sz w:val="22"/>
          <w:szCs w:val="22"/>
        </w:rPr>
        <w:t xml:space="preserve"> traer al estudio lo</w:t>
      </w:r>
      <w:r>
        <w:rPr>
          <w:rFonts w:ascii="Palatino Linotype" w:hAnsi="Palatino Linotype" w:cs="Tahoma"/>
          <w:bCs/>
          <w:iCs/>
          <w:sz w:val="22"/>
          <w:szCs w:val="22"/>
        </w:rPr>
        <w:t>s</w:t>
      </w:r>
      <w:r w:rsidRPr="001E7B8B">
        <w:rPr>
          <w:rFonts w:ascii="Palatino Linotype" w:hAnsi="Palatino Linotype" w:cs="Tahoma"/>
          <w:bCs/>
          <w:iCs/>
          <w:sz w:val="22"/>
          <w:szCs w:val="22"/>
        </w:rPr>
        <w:t xml:space="preserve"> artículos </w:t>
      </w:r>
      <w:r>
        <w:rPr>
          <w:rFonts w:ascii="Palatino Linotype" w:hAnsi="Palatino Linotype" w:cs="Tahoma"/>
          <w:bCs/>
          <w:iCs/>
          <w:sz w:val="22"/>
          <w:szCs w:val="22"/>
        </w:rPr>
        <w:t xml:space="preserve">44 </w:t>
      </w:r>
      <w:r w:rsidRPr="001E7B8B">
        <w:rPr>
          <w:rFonts w:ascii="Palatino Linotype" w:hAnsi="Palatino Linotype" w:cs="Tahoma"/>
          <w:bCs/>
          <w:iCs/>
          <w:sz w:val="22"/>
          <w:szCs w:val="22"/>
        </w:rPr>
        <w:t>fracci</w:t>
      </w:r>
      <w:r>
        <w:rPr>
          <w:rFonts w:ascii="Palatino Linotype" w:hAnsi="Palatino Linotype" w:cs="Tahoma"/>
          <w:bCs/>
          <w:iCs/>
          <w:sz w:val="22"/>
          <w:szCs w:val="22"/>
        </w:rPr>
        <w:t>ón</w:t>
      </w:r>
      <w:r w:rsidRPr="001E7B8B">
        <w:rPr>
          <w:rFonts w:ascii="Palatino Linotype" w:hAnsi="Palatino Linotype" w:cs="Tahoma"/>
          <w:bCs/>
          <w:iCs/>
          <w:sz w:val="22"/>
          <w:szCs w:val="22"/>
        </w:rPr>
        <w:t xml:space="preserve"> </w:t>
      </w:r>
      <w:r>
        <w:rPr>
          <w:rFonts w:ascii="Palatino Linotype" w:hAnsi="Palatino Linotype" w:cs="Tahoma"/>
          <w:bCs/>
          <w:iCs/>
          <w:sz w:val="22"/>
          <w:szCs w:val="22"/>
        </w:rPr>
        <w:t>I</w:t>
      </w:r>
      <w:r w:rsidRPr="001E7B8B">
        <w:rPr>
          <w:rFonts w:ascii="Palatino Linotype" w:hAnsi="Palatino Linotype" w:cs="Tahoma"/>
          <w:bCs/>
          <w:iCs/>
          <w:sz w:val="22"/>
          <w:szCs w:val="22"/>
        </w:rPr>
        <w:t>V</w:t>
      </w:r>
      <w:r>
        <w:rPr>
          <w:rFonts w:ascii="Palatino Linotype" w:hAnsi="Palatino Linotype" w:cs="Tahoma"/>
          <w:bCs/>
          <w:iCs/>
          <w:sz w:val="22"/>
          <w:szCs w:val="22"/>
        </w:rPr>
        <w:t xml:space="preserve"> letras f, y p</w:t>
      </w:r>
      <w:r w:rsidR="009625D3">
        <w:rPr>
          <w:rFonts w:ascii="Palatino Linotype" w:hAnsi="Palatino Linotype" w:cs="Tahoma"/>
          <w:bCs/>
          <w:iCs/>
          <w:sz w:val="22"/>
          <w:szCs w:val="22"/>
        </w:rPr>
        <w:t xml:space="preserve">, </w:t>
      </w:r>
      <w:r>
        <w:rPr>
          <w:rFonts w:ascii="Palatino Linotype" w:hAnsi="Palatino Linotype" w:cs="Tahoma"/>
          <w:bCs/>
          <w:iCs/>
          <w:sz w:val="22"/>
          <w:szCs w:val="22"/>
        </w:rPr>
        <w:t>59, 60,</w:t>
      </w:r>
      <w:r w:rsidR="009625D3">
        <w:rPr>
          <w:rFonts w:ascii="Palatino Linotype" w:hAnsi="Palatino Linotype" w:cs="Tahoma"/>
          <w:bCs/>
          <w:iCs/>
          <w:sz w:val="22"/>
          <w:szCs w:val="22"/>
        </w:rPr>
        <w:t xml:space="preserve"> 82, 83 y 84</w:t>
      </w:r>
      <w:r>
        <w:rPr>
          <w:rFonts w:ascii="Palatino Linotype" w:hAnsi="Palatino Linotype" w:cs="Tahoma"/>
          <w:bCs/>
          <w:iCs/>
          <w:sz w:val="22"/>
          <w:szCs w:val="22"/>
        </w:rPr>
        <w:t xml:space="preserve"> </w:t>
      </w:r>
      <w:r w:rsidRPr="001E7B8B">
        <w:rPr>
          <w:rFonts w:ascii="Palatino Linotype" w:hAnsi="Palatino Linotype" w:cs="Tahoma"/>
          <w:bCs/>
          <w:iCs/>
          <w:sz w:val="22"/>
          <w:szCs w:val="22"/>
        </w:rPr>
        <w:t xml:space="preserve">del </w:t>
      </w:r>
      <w:r>
        <w:rPr>
          <w:rFonts w:ascii="Palatino Linotype" w:hAnsi="Palatino Linotype" w:cs="Tahoma"/>
          <w:bCs/>
          <w:iCs/>
          <w:sz w:val="22"/>
          <w:szCs w:val="22"/>
        </w:rPr>
        <w:t>Bando Municipal de Ecatepec de Morelos</w:t>
      </w:r>
      <w:r w:rsidRPr="001E7B8B">
        <w:rPr>
          <w:rFonts w:ascii="Palatino Linotype" w:hAnsi="Palatino Linotype" w:cs="Tahoma"/>
          <w:bCs/>
          <w:iCs/>
          <w:sz w:val="22"/>
          <w:szCs w:val="22"/>
        </w:rPr>
        <w:t xml:space="preserve">, dos mil veinticinco, </w:t>
      </w:r>
      <w:r>
        <w:rPr>
          <w:rFonts w:ascii="Palatino Linotype" w:hAnsi="Palatino Linotype" w:cs="Tahoma"/>
          <w:bCs/>
          <w:iCs/>
          <w:sz w:val="22"/>
          <w:szCs w:val="22"/>
        </w:rPr>
        <w:t>los cuales</w:t>
      </w:r>
      <w:r w:rsidRPr="001E7B8B">
        <w:rPr>
          <w:rFonts w:ascii="Palatino Linotype" w:hAnsi="Palatino Linotype" w:cs="Tahoma"/>
          <w:bCs/>
          <w:iCs/>
          <w:sz w:val="22"/>
          <w:szCs w:val="22"/>
        </w:rPr>
        <w:t xml:space="preserve"> establecen que el Sujeto Obligado para el ejercicio de sus funciones contará con diversas unidades administrativas, entre otras </w:t>
      </w:r>
      <w:r>
        <w:rPr>
          <w:rFonts w:ascii="Palatino Linotype" w:hAnsi="Palatino Linotype" w:cs="Tahoma"/>
          <w:bCs/>
          <w:iCs/>
          <w:sz w:val="22"/>
          <w:szCs w:val="22"/>
        </w:rPr>
        <w:t>la</w:t>
      </w:r>
      <w:r w:rsidR="009625D3">
        <w:rPr>
          <w:rFonts w:ascii="Palatino Linotype" w:hAnsi="Palatino Linotype" w:cs="Tahoma"/>
          <w:bCs/>
          <w:iCs/>
          <w:sz w:val="22"/>
          <w:szCs w:val="22"/>
        </w:rPr>
        <w:t>s siguientes:</w:t>
      </w:r>
      <w:r>
        <w:rPr>
          <w:rFonts w:ascii="Palatino Linotype" w:hAnsi="Palatino Linotype" w:cs="Tahoma"/>
          <w:bCs/>
          <w:iCs/>
          <w:sz w:val="22"/>
          <w:szCs w:val="22"/>
        </w:rPr>
        <w:t xml:space="preserve"> </w:t>
      </w:r>
    </w:p>
    <w:p w14:paraId="15B24649" w14:textId="77777777" w:rsidR="009625D3" w:rsidRDefault="009625D3" w:rsidP="009E38E7">
      <w:pPr>
        <w:spacing w:line="360" w:lineRule="auto"/>
        <w:contextualSpacing/>
        <w:jc w:val="both"/>
        <w:rPr>
          <w:rFonts w:ascii="Palatino Linotype" w:hAnsi="Palatino Linotype" w:cs="Tahoma"/>
          <w:bCs/>
          <w:iCs/>
          <w:sz w:val="22"/>
          <w:szCs w:val="22"/>
        </w:rPr>
      </w:pPr>
    </w:p>
    <w:p w14:paraId="1432959E" w14:textId="72771AEF" w:rsidR="009625D3" w:rsidRPr="009625D3" w:rsidRDefault="009625D3" w:rsidP="009E38E7">
      <w:pPr>
        <w:pStyle w:val="Prrafodelista"/>
        <w:numPr>
          <w:ilvl w:val="0"/>
          <w:numId w:val="16"/>
        </w:numPr>
        <w:spacing w:line="360" w:lineRule="auto"/>
        <w:jc w:val="both"/>
        <w:rPr>
          <w:rFonts w:ascii="Palatino Linotype" w:hAnsi="Palatino Linotype" w:cs="Tahoma"/>
          <w:sz w:val="22"/>
          <w:szCs w:val="22"/>
        </w:rPr>
      </w:pPr>
      <w:r w:rsidRPr="009625D3">
        <w:rPr>
          <w:rFonts w:ascii="Palatino Linotype" w:hAnsi="Palatino Linotype" w:cs="Tahoma"/>
          <w:b/>
          <w:iCs/>
          <w:sz w:val="22"/>
          <w:szCs w:val="22"/>
        </w:rPr>
        <w:t>Dirección de Medio Ambiente y Ecología</w:t>
      </w:r>
      <w:r w:rsidR="00CD7F83" w:rsidRPr="009625D3">
        <w:rPr>
          <w:rFonts w:ascii="Palatino Linotype" w:hAnsi="Palatino Linotype" w:cs="Tahoma"/>
          <w:b/>
          <w:iCs/>
          <w:sz w:val="22"/>
          <w:szCs w:val="22"/>
        </w:rPr>
        <w:t>;</w:t>
      </w:r>
      <w:r w:rsidR="00CD7F83" w:rsidRPr="009625D3">
        <w:rPr>
          <w:rFonts w:ascii="Palatino Linotype" w:hAnsi="Palatino Linotype" w:cs="Tahoma"/>
          <w:bCs/>
          <w:iCs/>
          <w:sz w:val="22"/>
          <w:szCs w:val="22"/>
        </w:rPr>
        <w:t xml:space="preserve"> </w:t>
      </w:r>
      <w:r w:rsidRPr="009625D3">
        <w:rPr>
          <w:rFonts w:ascii="Palatino Linotype" w:hAnsi="Palatino Linotype" w:cs="Tahoma"/>
          <w:sz w:val="22"/>
          <w:szCs w:val="22"/>
        </w:rPr>
        <w:t xml:space="preserve">Tendrá a su cargo la formulación, conducción y evaluación de la política ambiental municipal promoviendo estrategias de reforestación y disminución de gases contaminantes a efecto de combatir el cambio climático y deberá coordinarse con la Secretaría del Medio Ambiente del Gobierno del Estado de México, atendiendo a la Ley General del Equilibrio Ecológico y la Protección al Ambiente, así como la Ley de Cambio Climático del Estado de México, Código para la Biodiversidad del Estado de México y demás ordenamientos legales de la materia. </w:t>
      </w:r>
    </w:p>
    <w:p w14:paraId="73A29846" w14:textId="77777777" w:rsidR="009625D3" w:rsidRDefault="009625D3" w:rsidP="009E38E7">
      <w:pPr>
        <w:spacing w:line="360" w:lineRule="auto"/>
        <w:contextualSpacing/>
        <w:jc w:val="both"/>
        <w:rPr>
          <w:rFonts w:ascii="Palatino Linotype" w:hAnsi="Palatino Linotype" w:cs="Tahoma"/>
          <w:sz w:val="22"/>
          <w:szCs w:val="22"/>
        </w:rPr>
      </w:pPr>
    </w:p>
    <w:p w14:paraId="3FB8B961" w14:textId="77777777" w:rsidR="009625D3" w:rsidRDefault="009625D3" w:rsidP="009E38E7">
      <w:pPr>
        <w:spacing w:line="360" w:lineRule="auto"/>
        <w:contextualSpacing/>
        <w:jc w:val="both"/>
        <w:rPr>
          <w:rFonts w:ascii="Palatino Linotype" w:hAnsi="Palatino Linotype" w:cs="Tahoma"/>
          <w:sz w:val="22"/>
          <w:szCs w:val="22"/>
        </w:rPr>
      </w:pPr>
      <w:r w:rsidRPr="0049000D">
        <w:rPr>
          <w:rFonts w:ascii="Palatino Linotype" w:hAnsi="Palatino Linotype" w:cs="Tahoma"/>
          <w:sz w:val="22"/>
          <w:szCs w:val="22"/>
        </w:rPr>
        <w:t xml:space="preserve">De igual manera, expedirá las autorizaciones a los prestadores de servicio que les permita efectuar carga y descarga, recolección y/o transporte, y/o reúso, y/o tratamiento, y/o disposición final de residuos sólidos urbanos y en su caso de manejo especial establecido, previo el visto bueno de la Dirección de Servicios Públicos, para lo cual se deberán observar la Normas Oficiales, así como las disposiciones previstas en la Ley General del Equilibrio </w:t>
      </w:r>
      <w:r w:rsidRPr="0049000D">
        <w:rPr>
          <w:rFonts w:ascii="Palatino Linotype" w:hAnsi="Palatino Linotype" w:cs="Tahoma"/>
          <w:sz w:val="22"/>
          <w:szCs w:val="22"/>
        </w:rPr>
        <w:lastRenderedPageBreak/>
        <w:t>Ecológico y la Protección al Ambiente, Ley General para la Prevención y Gestión Integral de los Residuos y demás ordenamientos aplicables a la materia.</w:t>
      </w:r>
      <w:r>
        <w:rPr>
          <w:rFonts w:ascii="Palatino Linotype" w:hAnsi="Palatino Linotype" w:cs="Tahoma"/>
          <w:sz w:val="22"/>
          <w:szCs w:val="22"/>
        </w:rPr>
        <w:t xml:space="preserve"> El área en comento, además contará con el ejercicio de distintas atribuciones entre otras las siguientes:</w:t>
      </w:r>
    </w:p>
    <w:p w14:paraId="2CAC9322" w14:textId="77777777" w:rsidR="009625D3" w:rsidRDefault="009625D3" w:rsidP="009E38E7">
      <w:pPr>
        <w:spacing w:line="360" w:lineRule="auto"/>
        <w:contextualSpacing/>
        <w:jc w:val="both"/>
        <w:rPr>
          <w:rFonts w:ascii="Palatino Linotype" w:hAnsi="Palatino Linotype" w:cs="Tahoma"/>
          <w:sz w:val="22"/>
          <w:szCs w:val="22"/>
        </w:rPr>
      </w:pPr>
    </w:p>
    <w:p w14:paraId="73955178" w14:textId="77777777" w:rsidR="009625D3" w:rsidRDefault="009625D3" w:rsidP="009E38E7">
      <w:pPr>
        <w:pStyle w:val="Prrafodelista"/>
        <w:numPr>
          <w:ilvl w:val="0"/>
          <w:numId w:val="12"/>
        </w:numPr>
        <w:spacing w:line="360" w:lineRule="auto"/>
        <w:jc w:val="both"/>
        <w:rPr>
          <w:rFonts w:ascii="Palatino Linotype" w:hAnsi="Palatino Linotype" w:cs="Tahoma"/>
          <w:sz w:val="22"/>
          <w:szCs w:val="22"/>
        </w:rPr>
      </w:pPr>
      <w:r w:rsidRPr="0049000D">
        <w:rPr>
          <w:rFonts w:ascii="Palatino Linotype" w:hAnsi="Palatino Linotype" w:cs="Tahoma"/>
          <w:sz w:val="22"/>
          <w:szCs w:val="22"/>
        </w:rPr>
        <w:t>Recibir, integrar, evaluar y, en su caso, expedir las autorizaciones, licencias, permisos y/o registros de carácter municipal, así como aquellos que son atribución de la Secretaría del Medio Ambiente del Gobierno del Estado de México y que, por los instrumentos legales, le hayan sido legalmente delegados al Municipio;</w:t>
      </w:r>
    </w:p>
    <w:p w14:paraId="42636BCB" w14:textId="77777777" w:rsidR="009625D3" w:rsidRPr="0049000D" w:rsidRDefault="009625D3" w:rsidP="009E38E7">
      <w:pPr>
        <w:pStyle w:val="Prrafodelista"/>
        <w:numPr>
          <w:ilvl w:val="0"/>
          <w:numId w:val="12"/>
        </w:numPr>
        <w:spacing w:line="360" w:lineRule="auto"/>
        <w:jc w:val="both"/>
        <w:rPr>
          <w:rFonts w:ascii="Palatino Linotype" w:hAnsi="Palatino Linotype" w:cs="Tahoma"/>
          <w:b/>
          <w:bCs/>
          <w:sz w:val="22"/>
          <w:szCs w:val="22"/>
        </w:rPr>
      </w:pPr>
      <w:r w:rsidRPr="0049000D">
        <w:rPr>
          <w:rFonts w:ascii="Palatino Linotype" w:hAnsi="Palatino Linotype" w:cs="Tahoma"/>
          <w:b/>
          <w:bCs/>
          <w:sz w:val="22"/>
          <w:szCs w:val="22"/>
        </w:rPr>
        <w:t>Convocar, capacitar e integrar un padrón de podadores acreditados ante la Dirección, los cuales serán los únicos autorizados que podrán ofrecer los servicios de poda, derribo trasplante y/o sustitución de arbolado urbano;</w:t>
      </w:r>
    </w:p>
    <w:p w14:paraId="7B2B26AE" w14:textId="77777777" w:rsidR="009625D3" w:rsidRPr="00EA1B1B" w:rsidRDefault="009625D3" w:rsidP="009E38E7">
      <w:pPr>
        <w:pStyle w:val="Prrafodelista"/>
        <w:numPr>
          <w:ilvl w:val="0"/>
          <w:numId w:val="12"/>
        </w:numPr>
        <w:spacing w:line="360" w:lineRule="auto"/>
        <w:jc w:val="both"/>
        <w:rPr>
          <w:rFonts w:ascii="Palatino Linotype" w:hAnsi="Palatino Linotype" w:cs="Tahoma"/>
          <w:sz w:val="22"/>
          <w:szCs w:val="22"/>
        </w:rPr>
      </w:pPr>
      <w:r w:rsidRPr="0049000D">
        <w:rPr>
          <w:rFonts w:ascii="Palatino Linotype" w:hAnsi="Palatino Linotype" w:cs="Tahoma"/>
          <w:sz w:val="22"/>
          <w:szCs w:val="22"/>
        </w:rPr>
        <w:t>Analizar y justificar técnicamente los dictámenes de riesgo emitidos por la Dirección de Protección Civil y Bomberos para la ejecución de trabajos en árboles que, por la magnitud del riesgo, se ejecuten sin previa autorización; asimismo, determinará en las autorizaciones que emita si se requiere la intervención de la Dirección de Protección Civil y Bomberos derivado del riesgo</w:t>
      </w:r>
      <w:r>
        <w:rPr>
          <w:rFonts w:ascii="Palatino Linotype" w:hAnsi="Palatino Linotype" w:cs="Tahoma"/>
          <w:sz w:val="22"/>
          <w:szCs w:val="22"/>
        </w:rPr>
        <w:t>.</w:t>
      </w:r>
    </w:p>
    <w:p w14:paraId="1AE92B3A" w14:textId="4177DC8B" w:rsidR="00CD7F83" w:rsidRDefault="00CD7F83" w:rsidP="009E38E7">
      <w:pPr>
        <w:spacing w:line="360" w:lineRule="auto"/>
        <w:contextualSpacing/>
        <w:jc w:val="both"/>
        <w:rPr>
          <w:rFonts w:ascii="Palatino Linotype" w:hAnsi="Palatino Linotype" w:cs="Tahoma"/>
          <w:bCs/>
          <w:iCs/>
          <w:sz w:val="22"/>
          <w:szCs w:val="22"/>
        </w:rPr>
      </w:pPr>
    </w:p>
    <w:p w14:paraId="2D369DC8" w14:textId="4A2E3A8E" w:rsidR="009625D3" w:rsidRPr="009625D3" w:rsidRDefault="009625D3" w:rsidP="009E38E7">
      <w:pPr>
        <w:pStyle w:val="Prrafodelista"/>
        <w:numPr>
          <w:ilvl w:val="0"/>
          <w:numId w:val="12"/>
        </w:numPr>
        <w:spacing w:line="360" w:lineRule="auto"/>
        <w:jc w:val="both"/>
        <w:rPr>
          <w:rFonts w:ascii="Palatino Linotype" w:hAnsi="Palatino Linotype" w:cs="Tahoma"/>
          <w:b/>
          <w:iCs/>
          <w:sz w:val="22"/>
          <w:szCs w:val="22"/>
        </w:rPr>
      </w:pPr>
      <w:r w:rsidRPr="009625D3">
        <w:rPr>
          <w:rFonts w:ascii="Palatino Linotype" w:hAnsi="Palatino Linotype" w:cs="Tahoma"/>
          <w:b/>
          <w:iCs/>
          <w:sz w:val="22"/>
          <w:szCs w:val="22"/>
        </w:rPr>
        <w:t>Dirección de Servicios Públicos:</w:t>
      </w:r>
      <w:r>
        <w:rPr>
          <w:rFonts w:ascii="Palatino Linotype" w:hAnsi="Palatino Linotype" w:cs="Tahoma"/>
          <w:b/>
          <w:iCs/>
          <w:sz w:val="22"/>
          <w:szCs w:val="22"/>
        </w:rPr>
        <w:t xml:space="preserve"> </w:t>
      </w:r>
      <w:r>
        <w:rPr>
          <w:rFonts w:ascii="Palatino Linotype" w:hAnsi="Palatino Linotype" w:cs="Tahoma"/>
          <w:bCs/>
          <w:iCs/>
          <w:sz w:val="22"/>
          <w:szCs w:val="22"/>
        </w:rPr>
        <w:t>R</w:t>
      </w:r>
      <w:r w:rsidRPr="009625D3">
        <w:rPr>
          <w:rFonts w:ascii="Palatino Linotype" w:hAnsi="Palatino Linotype" w:cs="Tahoma"/>
          <w:bCs/>
          <w:iCs/>
          <w:sz w:val="22"/>
          <w:szCs w:val="22"/>
        </w:rPr>
        <w:t>esponsable de planificar, ejecutar, supervisar, controlar y mantener en condiciones óptimas los servicios públicos municipales; entre ellos se incluyen: la limpieza y recolección de residuos, el traslado, tratamiento y disposición final de residuos sólidos no peligrosos, el alumbrado público, el rastro municipal, los parques y jardines, así como las áreas verdes municipales y recreativas</w:t>
      </w:r>
      <w:r>
        <w:rPr>
          <w:rFonts w:ascii="Palatino Linotype" w:hAnsi="Palatino Linotype" w:cs="Tahoma"/>
          <w:bCs/>
          <w:iCs/>
          <w:sz w:val="22"/>
          <w:szCs w:val="22"/>
        </w:rPr>
        <w:t>, además le corresponderá el ejercicio de diversas atribuciones, entre otras las siguientes:</w:t>
      </w:r>
    </w:p>
    <w:p w14:paraId="76DA0955" w14:textId="77777777" w:rsidR="009625D3" w:rsidRPr="009625D3" w:rsidRDefault="009625D3" w:rsidP="009E38E7">
      <w:pPr>
        <w:pStyle w:val="Prrafodelista"/>
        <w:spacing w:line="360" w:lineRule="auto"/>
        <w:rPr>
          <w:rFonts w:ascii="Palatino Linotype" w:hAnsi="Palatino Linotype" w:cs="Tahoma"/>
          <w:b/>
          <w:iCs/>
          <w:sz w:val="22"/>
          <w:szCs w:val="22"/>
        </w:rPr>
      </w:pPr>
    </w:p>
    <w:p w14:paraId="2DDF9EC0" w14:textId="375C5496" w:rsidR="009625D3" w:rsidRDefault="009625D3" w:rsidP="009E38E7">
      <w:pPr>
        <w:pStyle w:val="Prrafodelista"/>
        <w:numPr>
          <w:ilvl w:val="0"/>
          <w:numId w:val="12"/>
        </w:numPr>
        <w:spacing w:line="360" w:lineRule="auto"/>
        <w:jc w:val="both"/>
        <w:rPr>
          <w:rFonts w:ascii="Palatino Linotype" w:hAnsi="Palatino Linotype" w:cs="Tahoma"/>
          <w:bCs/>
          <w:iCs/>
          <w:sz w:val="22"/>
          <w:szCs w:val="22"/>
        </w:rPr>
      </w:pPr>
      <w:r w:rsidRPr="009625D3">
        <w:rPr>
          <w:rFonts w:ascii="Palatino Linotype" w:hAnsi="Palatino Linotype" w:cs="Tahoma"/>
          <w:bCs/>
          <w:iCs/>
          <w:sz w:val="22"/>
          <w:szCs w:val="22"/>
        </w:rPr>
        <w:lastRenderedPageBreak/>
        <w:t>Recolección, traslado, tratamiento y disposición final al vertedero municipal de residuos sólidos urbanos deberá llevarse a cabo conforme a las normas técnicas y con los métodos, equipo, frecuencia y condiciones necesarias establecidas por la autoridad, según lo dispuesto en la Ley General de Equilibrio Ecológico y la Protección al Ambiente, el Código para la Biodiversidad del Estado de México y los reglamentos municipales aplicables, de tal manera que no se provoque un impacto negativo al medio ambiente ni se ponga en riesgo a la población en general</w:t>
      </w:r>
      <w:r>
        <w:rPr>
          <w:rFonts w:ascii="Palatino Linotype" w:hAnsi="Palatino Linotype" w:cs="Tahoma"/>
          <w:bCs/>
          <w:iCs/>
          <w:sz w:val="22"/>
          <w:szCs w:val="22"/>
        </w:rPr>
        <w:t>;</w:t>
      </w:r>
    </w:p>
    <w:p w14:paraId="5859A533" w14:textId="77777777" w:rsidR="009625D3" w:rsidRPr="009625D3" w:rsidRDefault="009625D3" w:rsidP="009E38E7">
      <w:pPr>
        <w:pStyle w:val="Prrafodelista"/>
        <w:spacing w:line="360" w:lineRule="auto"/>
        <w:rPr>
          <w:rFonts w:ascii="Palatino Linotype" w:hAnsi="Palatino Linotype" w:cs="Tahoma"/>
          <w:bCs/>
          <w:iCs/>
          <w:sz w:val="22"/>
          <w:szCs w:val="22"/>
        </w:rPr>
      </w:pPr>
    </w:p>
    <w:p w14:paraId="02A6E988" w14:textId="586D0AC5" w:rsidR="009625D3" w:rsidRDefault="009625D3" w:rsidP="009E38E7">
      <w:pPr>
        <w:pStyle w:val="Prrafodelista"/>
        <w:numPr>
          <w:ilvl w:val="0"/>
          <w:numId w:val="12"/>
        </w:numPr>
        <w:spacing w:line="360" w:lineRule="auto"/>
        <w:jc w:val="both"/>
        <w:rPr>
          <w:rFonts w:ascii="Palatino Linotype" w:hAnsi="Palatino Linotype" w:cs="Tahoma"/>
          <w:bCs/>
          <w:iCs/>
          <w:sz w:val="22"/>
          <w:szCs w:val="22"/>
        </w:rPr>
      </w:pPr>
      <w:r w:rsidRPr="009625D3">
        <w:rPr>
          <w:rFonts w:ascii="Palatino Linotype" w:hAnsi="Palatino Linotype" w:cs="Tahoma"/>
          <w:bCs/>
          <w:iCs/>
          <w:sz w:val="22"/>
          <w:szCs w:val="22"/>
        </w:rPr>
        <w:t>Otorgar el Visto Bueno para las autorizaciones expedidas por la Dirección de Desarrollo Urbano, Dirección de Ambiente y Ecología, en relación con las solicitudes de terceros para la recolección, y/o transporte, y/o reúso, y/o tratamiento, y/o disposición final de residuos sólidos urbanos, y en su caso de manejo especial, observando para ello las Normas Oficiales, así como las disposiciones contenidas en la Ley General del Equilibrio Ecológico y la Protección al Ambiente y demás ordenamientos aplicables a la materia</w:t>
      </w:r>
      <w:r>
        <w:rPr>
          <w:rFonts w:ascii="Palatino Linotype" w:hAnsi="Palatino Linotype" w:cs="Tahoma"/>
          <w:bCs/>
          <w:iCs/>
          <w:sz w:val="22"/>
          <w:szCs w:val="22"/>
        </w:rPr>
        <w:t>;</w:t>
      </w:r>
    </w:p>
    <w:p w14:paraId="01979DFC" w14:textId="77777777" w:rsidR="009625D3" w:rsidRPr="009625D3" w:rsidRDefault="009625D3" w:rsidP="009E38E7">
      <w:pPr>
        <w:pStyle w:val="Prrafodelista"/>
        <w:spacing w:line="360" w:lineRule="auto"/>
        <w:rPr>
          <w:rFonts w:ascii="Palatino Linotype" w:hAnsi="Palatino Linotype" w:cs="Tahoma"/>
          <w:bCs/>
          <w:iCs/>
          <w:sz w:val="22"/>
          <w:szCs w:val="22"/>
        </w:rPr>
      </w:pPr>
    </w:p>
    <w:p w14:paraId="2BDE1350" w14:textId="252040D9" w:rsidR="009625D3" w:rsidRDefault="009625D3" w:rsidP="009E38E7">
      <w:pPr>
        <w:pStyle w:val="Prrafodelista"/>
        <w:numPr>
          <w:ilvl w:val="0"/>
          <w:numId w:val="12"/>
        </w:numPr>
        <w:spacing w:line="360" w:lineRule="auto"/>
        <w:jc w:val="both"/>
        <w:rPr>
          <w:rFonts w:ascii="Palatino Linotype" w:hAnsi="Palatino Linotype" w:cs="Tahoma"/>
          <w:bCs/>
          <w:iCs/>
          <w:sz w:val="22"/>
          <w:szCs w:val="22"/>
        </w:rPr>
      </w:pPr>
      <w:r>
        <w:rPr>
          <w:rFonts w:ascii="Palatino Linotype" w:hAnsi="Palatino Linotype" w:cs="Tahoma"/>
          <w:bCs/>
          <w:iCs/>
          <w:sz w:val="22"/>
          <w:szCs w:val="22"/>
        </w:rPr>
        <w:t>R</w:t>
      </w:r>
      <w:r w:rsidRPr="009625D3">
        <w:rPr>
          <w:rFonts w:ascii="Palatino Linotype" w:hAnsi="Palatino Linotype" w:cs="Tahoma"/>
          <w:bCs/>
          <w:iCs/>
          <w:sz w:val="22"/>
          <w:szCs w:val="22"/>
        </w:rPr>
        <w:t>ealizará los servicios de limpieza de lotes baldíos, acarreo y disposición final de residuos sólidos urbanos industriales, comerciales, y los generados por el derribo y poda de árboles, de los cuales incluyen conceptos de escombro, generado de maleza, vegetativo de ramas, troncos pedregosos y hojas, solicitados por las personas físicas o jurídico colectivas, previo pago de los derechos que por ese concepto se generen, de conformidad con el Código Financiero del Estado de México y Municipios vigente, y demás normatividad aplicable</w:t>
      </w:r>
      <w:r>
        <w:rPr>
          <w:rFonts w:ascii="Palatino Linotype" w:hAnsi="Palatino Linotype" w:cs="Tahoma"/>
          <w:bCs/>
          <w:iCs/>
          <w:sz w:val="22"/>
          <w:szCs w:val="22"/>
        </w:rPr>
        <w:t>;</w:t>
      </w:r>
    </w:p>
    <w:p w14:paraId="4F9971BA" w14:textId="77777777" w:rsidR="009625D3" w:rsidRPr="009625D3" w:rsidRDefault="009625D3" w:rsidP="009E38E7">
      <w:pPr>
        <w:pStyle w:val="Prrafodelista"/>
        <w:spacing w:line="360" w:lineRule="auto"/>
        <w:rPr>
          <w:rFonts w:ascii="Palatino Linotype" w:hAnsi="Palatino Linotype" w:cs="Tahoma"/>
          <w:bCs/>
          <w:iCs/>
          <w:sz w:val="22"/>
          <w:szCs w:val="22"/>
        </w:rPr>
      </w:pPr>
    </w:p>
    <w:p w14:paraId="6AF18C1F" w14:textId="396F3899" w:rsidR="009625D3" w:rsidRPr="009625D3" w:rsidRDefault="009625D3" w:rsidP="009E38E7">
      <w:pPr>
        <w:pStyle w:val="Prrafodelista"/>
        <w:numPr>
          <w:ilvl w:val="0"/>
          <w:numId w:val="12"/>
        </w:numPr>
        <w:spacing w:line="360" w:lineRule="auto"/>
        <w:jc w:val="both"/>
        <w:rPr>
          <w:rFonts w:ascii="Palatino Linotype" w:hAnsi="Palatino Linotype" w:cs="Tahoma"/>
          <w:bCs/>
          <w:iCs/>
          <w:sz w:val="22"/>
          <w:szCs w:val="22"/>
        </w:rPr>
      </w:pPr>
      <w:r w:rsidRPr="009625D3">
        <w:rPr>
          <w:rFonts w:ascii="Palatino Linotype" w:hAnsi="Palatino Linotype" w:cs="Tahoma"/>
          <w:bCs/>
          <w:iCs/>
          <w:sz w:val="22"/>
          <w:szCs w:val="22"/>
        </w:rPr>
        <w:t xml:space="preserve">El derribo de árboles en áreas públicas como parques, jardines, plazas cívicas, camellones, glorietas, fuentes, monumentos y panteones municipales se realizará </w:t>
      </w:r>
      <w:r w:rsidRPr="009625D3">
        <w:rPr>
          <w:rFonts w:ascii="Palatino Linotype" w:hAnsi="Palatino Linotype" w:cs="Tahoma"/>
          <w:bCs/>
          <w:iCs/>
          <w:sz w:val="22"/>
          <w:szCs w:val="22"/>
        </w:rPr>
        <w:lastRenderedPageBreak/>
        <w:t>previa evaluación técnica de la Dirección de Medio Ambiente y Ecología; asimismo, cuando sea necesario el dictamen de riesgo, se requerirá evaluación técnica por parte de la Dirección de Protección Civil y Bomberos.</w:t>
      </w:r>
    </w:p>
    <w:p w14:paraId="7E2C1B85" w14:textId="77777777" w:rsidR="00CD7F83" w:rsidRPr="001E7B8B" w:rsidRDefault="00CD7F83" w:rsidP="009E38E7">
      <w:pPr>
        <w:spacing w:line="360" w:lineRule="auto"/>
        <w:contextualSpacing/>
        <w:jc w:val="both"/>
        <w:rPr>
          <w:rFonts w:ascii="Palatino Linotype" w:hAnsi="Palatino Linotype" w:cs="Tahoma"/>
          <w:bCs/>
          <w:iCs/>
          <w:sz w:val="22"/>
          <w:szCs w:val="22"/>
        </w:rPr>
      </w:pPr>
    </w:p>
    <w:p w14:paraId="7D28BA25" w14:textId="774D494C" w:rsidR="00CD7F83" w:rsidRDefault="00CD7F83" w:rsidP="009E38E7">
      <w:pPr>
        <w:spacing w:line="360" w:lineRule="auto"/>
        <w:contextualSpacing/>
        <w:jc w:val="both"/>
        <w:rPr>
          <w:rFonts w:ascii="Palatino Linotype" w:hAnsi="Palatino Linotype"/>
          <w:bCs/>
          <w:iCs/>
          <w:sz w:val="22"/>
          <w:szCs w:val="22"/>
        </w:rPr>
      </w:pPr>
      <w:r w:rsidRPr="001E7B8B">
        <w:rPr>
          <w:rFonts w:ascii="Palatino Linotype" w:hAnsi="Palatino Linotype"/>
          <w:bCs/>
          <w:iCs/>
          <w:sz w:val="22"/>
          <w:szCs w:val="22"/>
        </w:rPr>
        <w:t xml:space="preserve">Conforme a lo anterior se logra observar que el Ayuntamiento de </w:t>
      </w:r>
      <w:r>
        <w:rPr>
          <w:rFonts w:ascii="Palatino Linotype" w:hAnsi="Palatino Linotype"/>
          <w:bCs/>
          <w:iCs/>
          <w:sz w:val="22"/>
          <w:szCs w:val="22"/>
        </w:rPr>
        <w:t>Ecatepec de Morelos</w:t>
      </w:r>
      <w:r w:rsidRPr="001E7B8B">
        <w:rPr>
          <w:rFonts w:ascii="Palatino Linotype" w:hAnsi="Palatino Linotype"/>
          <w:bCs/>
          <w:iCs/>
          <w:sz w:val="22"/>
          <w:szCs w:val="22"/>
        </w:rPr>
        <w:t>,</w:t>
      </w:r>
      <w:r w:rsidR="009625D3">
        <w:rPr>
          <w:rFonts w:ascii="Palatino Linotype" w:hAnsi="Palatino Linotype"/>
          <w:bCs/>
          <w:iCs/>
          <w:sz w:val="22"/>
          <w:szCs w:val="22"/>
        </w:rPr>
        <w:t xml:space="preserve"> cumplió con parte del procedimiento de búsqueda al omitir </w:t>
      </w:r>
      <w:r w:rsidRPr="001E7B8B">
        <w:rPr>
          <w:rFonts w:ascii="Palatino Linotype" w:hAnsi="Palatino Linotype"/>
          <w:bCs/>
          <w:iCs/>
          <w:sz w:val="22"/>
          <w:szCs w:val="22"/>
        </w:rPr>
        <w:t>gestion</w:t>
      </w:r>
      <w:r w:rsidR="009625D3">
        <w:rPr>
          <w:rFonts w:ascii="Palatino Linotype" w:hAnsi="Palatino Linotype"/>
          <w:bCs/>
          <w:iCs/>
          <w:sz w:val="22"/>
          <w:szCs w:val="22"/>
        </w:rPr>
        <w:t>ar</w:t>
      </w:r>
      <w:r w:rsidRPr="001E7B8B">
        <w:rPr>
          <w:rFonts w:ascii="Palatino Linotype" w:hAnsi="Palatino Linotype"/>
          <w:bCs/>
          <w:iCs/>
          <w:sz w:val="22"/>
          <w:szCs w:val="22"/>
        </w:rPr>
        <w:t xml:space="preserve"> la solicitud de información a la </w:t>
      </w:r>
      <w:r w:rsidR="009625D3">
        <w:rPr>
          <w:rFonts w:ascii="Palatino Linotype" w:hAnsi="Palatino Linotype"/>
          <w:bCs/>
          <w:iCs/>
          <w:sz w:val="22"/>
          <w:szCs w:val="22"/>
        </w:rPr>
        <w:t xml:space="preserve">Dirección de Servicios Públicos </w:t>
      </w:r>
      <w:r w:rsidRPr="001E7B8B">
        <w:rPr>
          <w:rFonts w:ascii="Palatino Linotype" w:hAnsi="Palatino Linotype"/>
          <w:bCs/>
          <w:iCs/>
          <w:sz w:val="22"/>
          <w:szCs w:val="22"/>
        </w:rPr>
        <w:t>competente para conocer de lo requerido, por lo que, cumplió con</w:t>
      </w:r>
      <w:r w:rsidR="009625D3">
        <w:rPr>
          <w:rFonts w:ascii="Palatino Linotype" w:hAnsi="Palatino Linotype"/>
          <w:bCs/>
          <w:iCs/>
          <w:sz w:val="22"/>
          <w:szCs w:val="22"/>
        </w:rPr>
        <w:t xml:space="preserve"> parte</w:t>
      </w:r>
      <w:r w:rsidRPr="001E7B8B">
        <w:rPr>
          <w:rFonts w:ascii="Palatino Linotype" w:hAnsi="Palatino Linotype"/>
          <w:bCs/>
          <w:iCs/>
          <w:sz w:val="22"/>
          <w:szCs w:val="22"/>
        </w:rPr>
        <w:t xml:space="preserve"> </w:t>
      </w:r>
      <w:r w:rsidR="009625D3">
        <w:rPr>
          <w:rFonts w:ascii="Palatino Linotype" w:hAnsi="Palatino Linotype"/>
          <w:bCs/>
          <w:iCs/>
          <w:sz w:val="22"/>
          <w:szCs w:val="22"/>
        </w:rPr>
        <w:t>d</w:t>
      </w:r>
      <w:r w:rsidRPr="001E7B8B">
        <w:rPr>
          <w:rFonts w:ascii="Palatino Linotype" w:hAnsi="Palatino Linotype"/>
          <w:bCs/>
          <w:iCs/>
          <w:sz w:val="22"/>
          <w:szCs w:val="22"/>
        </w:rPr>
        <w:t>el procedimiento de búsqueda establecido en el artículo 162 de la Ley de la materia.</w:t>
      </w:r>
    </w:p>
    <w:p w14:paraId="3B3E48CF" w14:textId="77777777" w:rsidR="00B52CFA" w:rsidRDefault="00B52CFA" w:rsidP="009E38E7">
      <w:pPr>
        <w:widowControl w:val="0"/>
        <w:spacing w:line="360" w:lineRule="auto"/>
        <w:contextualSpacing/>
        <w:jc w:val="both"/>
        <w:rPr>
          <w:rFonts w:ascii="Palatino Linotype" w:eastAsia="Calibri" w:hAnsi="Palatino Linotype" w:cs="Tahoma"/>
          <w:bCs/>
          <w:color w:val="000000"/>
          <w:sz w:val="22"/>
          <w:szCs w:val="22"/>
        </w:rPr>
      </w:pPr>
    </w:p>
    <w:p w14:paraId="5BA8BF8A" w14:textId="6B01EEA7" w:rsidR="00EA1B1B" w:rsidRDefault="004377D0" w:rsidP="009E38E7">
      <w:pPr>
        <w:spacing w:line="360" w:lineRule="auto"/>
        <w:contextualSpacing/>
        <w:jc w:val="both"/>
        <w:rPr>
          <w:rFonts w:ascii="Palatino Linotype" w:eastAsia="Calibri" w:hAnsi="Palatino Linotype" w:cs="Tahoma"/>
          <w:bCs/>
          <w:color w:val="000000"/>
          <w:sz w:val="22"/>
          <w:szCs w:val="22"/>
        </w:rPr>
      </w:pPr>
      <w:r>
        <w:rPr>
          <w:rFonts w:ascii="Palatino Linotype" w:eastAsia="Calibri" w:hAnsi="Palatino Linotype" w:cs="Tahoma"/>
          <w:bCs/>
          <w:color w:val="000000"/>
          <w:sz w:val="22"/>
          <w:szCs w:val="22"/>
        </w:rPr>
        <w:t>Ahora bien, e</w:t>
      </w:r>
      <w:r w:rsidR="00B52CFA">
        <w:rPr>
          <w:rFonts w:ascii="Palatino Linotype" w:eastAsia="Calibri" w:hAnsi="Palatino Linotype" w:cs="Tahoma"/>
          <w:bCs/>
          <w:color w:val="000000"/>
          <w:sz w:val="22"/>
          <w:szCs w:val="22"/>
        </w:rPr>
        <w:t>n respuesta</w:t>
      </w:r>
      <w:r w:rsidR="00BF0053">
        <w:rPr>
          <w:rFonts w:ascii="Palatino Linotype" w:eastAsia="Calibri" w:hAnsi="Palatino Linotype" w:cs="Tahoma"/>
          <w:bCs/>
          <w:color w:val="000000"/>
          <w:sz w:val="22"/>
          <w:szCs w:val="22"/>
        </w:rPr>
        <w:t xml:space="preserve"> como a través del informe justificado,</w:t>
      </w:r>
      <w:r w:rsidR="00B52CFA">
        <w:rPr>
          <w:rFonts w:ascii="Palatino Linotype" w:eastAsia="Calibri" w:hAnsi="Palatino Linotype" w:cs="Tahoma"/>
          <w:bCs/>
          <w:color w:val="000000"/>
          <w:sz w:val="22"/>
          <w:szCs w:val="22"/>
        </w:rPr>
        <w:t xml:space="preserve"> el Sujeto Obligado a través de la </w:t>
      </w:r>
      <w:r w:rsidR="00BF0053">
        <w:rPr>
          <w:rFonts w:ascii="Palatino Linotype" w:eastAsia="Calibri" w:hAnsi="Palatino Linotype" w:cs="Tahoma"/>
          <w:bCs/>
          <w:color w:val="000000"/>
          <w:sz w:val="22"/>
          <w:szCs w:val="22"/>
        </w:rPr>
        <w:t>propia Dirección de Medio Ambiente y Ecología</w:t>
      </w:r>
      <w:r w:rsidR="00B41FC5">
        <w:rPr>
          <w:rFonts w:ascii="Palatino Linotype" w:eastAsia="Calibri" w:hAnsi="Palatino Linotype" w:cs="Tahoma"/>
          <w:bCs/>
          <w:color w:val="000000"/>
          <w:sz w:val="22"/>
          <w:szCs w:val="22"/>
        </w:rPr>
        <w:t>,</w:t>
      </w:r>
      <w:r w:rsidR="00BF0053">
        <w:rPr>
          <w:rFonts w:ascii="Palatino Linotype" w:eastAsia="Calibri" w:hAnsi="Palatino Linotype" w:cs="Tahoma"/>
          <w:bCs/>
          <w:color w:val="000000"/>
          <w:sz w:val="22"/>
          <w:szCs w:val="22"/>
        </w:rPr>
        <w:t xml:space="preserve"> </w:t>
      </w:r>
      <w:r w:rsidR="00B52CFA">
        <w:rPr>
          <w:rFonts w:ascii="Palatino Linotype" w:eastAsia="Calibri" w:hAnsi="Palatino Linotype" w:cs="Tahoma"/>
          <w:bCs/>
          <w:color w:val="000000"/>
          <w:sz w:val="22"/>
          <w:szCs w:val="22"/>
        </w:rPr>
        <w:t xml:space="preserve">proporcionó </w:t>
      </w:r>
      <w:r w:rsidR="00BF0053">
        <w:rPr>
          <w:rFonts w:ascii="Palatino Linotype" w:eastAsia="Calibri" w:hAnsi="Palatino Linotype" w:cs="Tahoma"/>
          <w:bCs/>
          <w:color w:val="000000"/>
          <w:sz w:val="22"/>
          <w:szCs w:val="22"/>
        </w:rPr>
        <w:t xml:space="preserve">la cantidad de </w:t>
      </w:r>
      <w:r>
        <w:rPr>
          <w:rFonts w:ascii="Palatino Linotype" w:eastAsia="Calibri" w:hAnsi="Palatino Linotype" w:cs="Tahoma"/>
          <w:bCs/>
          <w:color w:val="000000"/>
          <w:sz w:val="22"/>
          <w:szCs w:val="22"/>
        </w:rPr>
        <w:t>derribo de árboles realizados</w:t>
      </w:r>
      <w:r>
        <w:rPr>
          <w:rFonts w:ascii="Palatino Linotype" w:eastAsia="Calibri" w:hAnsi="Palatino Linotype" w:cs="Tahoma"/>
          <w:b/>
          <w:color w:val="000000"/>
          <w:sz w:val="22"/>
          <w:szCs w:val="22"/>
        </w:rPr>
        <w:t>,</w:t>
      </w:r>
      <w:r w:rsidR="00EA1B1B">
        <w:rPr>
          <w:rFonts w:ascii="Palatino Linotype" w:eastAsia="Calibri" w:hAnsi="Palatino Linotype" w:cs="Tahoma"/>
          <w:b/>
          <w:color w:val="000000"/>
          <w:sz w:val="22"/>
          <w:szCs w:val="22"/>
        </w:rPr>
        <w:t xml:space="preserve"> </w:t>
      </w:r>
      <w:r w:rsidR="00EA1B1B">
        <w:rPr>
          <w:rFonts w:ascii="Palatino Linotype" w:eastAsia="Calibri" w:hAnsi="Palatino Linotype" w:cs="Tahoma"/>
          <w:bCs/>
          <w:color w:val="000000"/>
          <w:sz w:val="22"/>
          <w:szCs w:val="22"/>
        </w:rPr>
        <w:t>además de precisar que no contaba con registro alguno de que se hubieran realizado derribos por dependencias o empresas privadas durante el ejercicio fiscal dos mil veinticinco,</w:t>
      </w:r>
      <w:r>
        <w:rPr>
          <w:rFonts w:ascii="Palatino Linotype" w:eastAsia="Calibri" w:hAnsi="Palatino Linotype" w:cs="Tahoma"/>
          <w:b/>
          <w:color w:val="000000"/>
          <w:sz w:val="22"/>
          <w:szCs w:val="22"/>
        </w:rPr>
        <w:t xml:space="preserve"> </w:t>
      </w:r>
      <w:r w:rsidR="00EA1B1B">
        <w:rPr>
          <w:rFonts w:ascii="Palatino Linotype" w:eastAsia="Calibri" w:hAnsi="Palatino Linotype" w:cs="Tahoma"/>
          <w:bCs/>
          <w:color w:val="000000"/>
          <w:sz w:val="22"/>
          <w:szCs w:val="22"/>
        </w:rPr>
        <w:t>por lo que con dichas manifestaciones aludió que la información era inexistente.</w:t>
      </w:r>
    </w:p>
    <w:p w14:paraId="576750F4" w14:textId="77777777" w:rsidR="00EA1B1B" w:rsidRDefault="00EA1B1B" w:rsidP="009E38E7">
      <w:pPr>
        <w:spacing w:line="360" w:lineRule="auto"/>
        <w:contextualSpacing/>
        <w:jc w:val="both"/>
        <w:rPr>
          <w:rFonts w:ascii="Palatino Linotype" w:eastAsia="Calibri" w:hAnsi="Palatino Linotype" w:cs="Tahoma"/>
          <w:bCs/>
          <w:color w:val="000000"/>
          <w:sz w:val="22"/>
          <w:szCs w:val="22"/>
        </w:rPr>
      </w:pPr>
    </w:p>
    <w:p w14:paraId="2BD8D283" w14:textId="77777777" w:rsidR="00EA1B1B" w:rsidRDefault="00EA1B1B" w:rsidP="009E38E7">
      <w:pPr>
        <w:tabs>
          <w:tab w:val="left" w:pos="4962"/>
        </w:tabs>
        <w:spacing w:line="360" w:lineRule="auto"/>
        <w:contextualSpacing/>
        <w:jc w:val="both"/>
        <w:rPr>
          <w:rFonts w:ascii="Palatino Linotype" w:hAnsi="Palatino Linotype" w:cs="Tahoma"/>
          <w:sz w:val="22"/>
          <w:szCs w:val="22"/>
          <w:lang w:eastAsia="es-ES"/>
        </w:rPr>
      </w:pPr>
      <w:r>
        <w:rPr>
          <w:rFonts w:ascii="Palatino Linotype" w:hAnsi="Palatino Linotype" w:cs="Tahoma"/>
          <w:bCs/>
          <w:iCs/>
          <w:sz w:val="22"/>
          <w:szCs w:val="22"/>
          <w:lang w:val="es-ES" w:eastAsia="es-ES"/>
        </w:rPr>
        <w:t>S</w:t>
      </w:r>
      <w:r w:rsidRPr="00C00438">
        <w:rPr>
          <w:rFonts w:ascii="Palatino Linotype" w:hAnsi="Palatino Linotype" w:cs="Tahoma"/>
          <w:bCs/>
          <w:iCs/>
          <w:sz w:val="22"/>
          <w:szCs w:val="22"/>
          <w:lang w:val="es-ES" w:eastAsia="es-ES"/>
        </w:rPr>
        <w:t>obre el tema, e</w:t>
      </w:r>
      <w:r w:rsidRPr="00C00438">
        <w:rPr>
          <w:rFonts w:ascii="Palatino Linotype" w:hAnsi="Palatino Linotype" w:cs="Tahoma"/>
          <w:bCs/>
          <w:sz w:val="22"/>
          <w:szCs w:val="22"/>
          <w:lang w:val="es-ES_tradnl" w:eastAsia="es-ES"/>
        </w:rPr>
        <w:t xml:space="preserve">l </w:t>
      </w:r>
      <w:r w:rsidRPr="00C00438">
        <w:rPr>
          <w:rFonts w:ascii="Palatino Linotype" w:hAnsi="Palatino Linotype" w:cs="Tahoma"/>
          <w:bCs/>
          <w:sz w:val="22"/>
          <w:szCs w:val="22"/>
          <w:lang w:eastAsia="es-ES"/>
        </w:rPr>
        <w:t xml:space="preserve">Criterio </w:t>
      </w:r>
      <w:r>
        <w:rPr>
          <w:rFonts w:ascii="Palatino Linotype" w:hAnsi="Palatino Linotype" w:cs="Tahoma"/>
          <w:bCs/>
          <w:sz w:val="22"/>
          <w:szCs w:val="22"/>
          <w:lang w:eastAsia="es-ES"/>
        </w:rPr>
        <w:t xml:space="preserve">Orientador con clave de control </w:t>
      </w:r>
      <w:r w:rsidRPr="00C00438">
        <w:rPr>
          <w:rFonts w:ascii="Palatino Linotype" w:hAnsi="Palatino Linotype" w:cs="Tahoma"/>
          <w:bCs/>
          <w:sz w:val="22"/>
          <w:szCs w:val="22"/>
          <w:lang w:eastAsia="es-ES"/>
        </w:rPr>
        <w:t xml:space="preserve">SO/014/2017, emitido por el </w:t>
      </w:r>
      <w:r>
        <w:rPr>
          <w:rFonts w:ascii="Palatino Linotype" w:hAnsi="Palatino Linotype" w:cs="Tahoma"/>
          <w:bCs/>
          <w:sz w:val="22"/>
          <w:szCs w:val="22"/>
          <w:lang w:eastAsia="es-ES"/>
        </w:rPr>
        <w:t xml:space="preserve">entonces </w:t>
      </w:r>
      <w:r w:rsidRPr="00C00438">
        <w:rPr>
          <w:rFonts w:ascii="Palatino Linotype" w:hAnsi="Palatino Linotype" w:cs="Tahoma"/>
          <w:bCs/>
          <w:sz w:val="22"/>
          <w:szCs w:val="22"/>
          <w:lang w:eastAsia="es-ES"/>
        </w:rPr>
        <w:t xml:space="preserve">Instituto Nacional de Transparencia, Acceso a la Información Pública y Protección de Datos Personales en el Estado de México y Municipios, </w:t>
      </w:r>
      <w:r>
        <w:rPr>
          <w:rFonts w:ascii="Palatino Linotype" w:hAnsi="Palatino Linotype" w:cs="Tahoma"/>
          <w:bCs/>
          <w:sz w:val="22"/>
          <w:szCs w:val="22"/>
          <w:lang w:eastAsia="es-ES"/>
        </w:rPr>
        <w:t>el cual señala</w:t>
      </w:r>
      <w:r w:rsidRPr="00C00438">
        <w:rPr>
          <w:rFonts w:ascii="Palatino Linotype" w:hAnsi="Palatino Linotype" w:cs="Tahoma"/>
          <w:sz w:val="22"/>
          <w:szCs w:val="22"/>
          <w:lang w:eastAsia="es-ES"/>
        </w:rPr>
        <w:t xml:space="preserve"> que la inexistencia de la información, es una cuestión de hecho que se le atribuye a la misma, cuando ésta no se encuentra en los archivos del sujeto obligado. </w:t>
      </w:r>
    </w:p>
    <w:p w14:paraId="7405FA90" w14:textId="77777777" w:rsidR="00EA1B1B" w:rsidRDefault="00EA1B1B" w:rsidP="009E38E7">
      <w:pPr>
        <w:tabs>
          <w:tab w:val="left" w:pos="4962"/>
        </w:tabs>
        <w:spacing w:line="360" w:lineRule="auto"/>
        <w:contextualSpacing/>
        <w:jc w:val="both"/>
        <w:rPr>
          <w:rFonts w:ascii="Palatino Linotype" w:hAnsi="Palatino Linotype" w:cs="Tahoma"/>
          <w:sz w:val="22"/>
          <w:szCs w:val="22"/>
          <w:lang w:eastAsia="es-ES"/>
        </w:rPr>
      </w:pPr>
    </w:p>
    <w:p w14:paraId="67806E06" w14:textId="3810B53F" w:rsidR="00EA1B1B" w:rsidRPr="00C00438" w:rsidRDefault="00EA1B1B" w:rsidP="009E38E7">
      <w:pPr>
        <w:tabs>
          <w:tab w:val="left" w:pos="4962"/>
        </w:tabs>
        <w:spacing w:line="360" w:lineRule="auto"/>
        <w:contextualSpacing/>
        <w:jc w:val="both"/>
        <w:rPr>
          <w:rFonts w:ascii="Palatino Linotype" w:hAnsi="Palatino Linotype" w:cs="Tahoma"/>
          <w:sz w:val="22"/>
          <w:szCs w:val="22"/>
          <w:lang w:val="es-ES" w:eastAsia="es-ES"/>
        </w:rPr>
      </w:pPr>
      <w:r w:rsidRPr="00C00438">
        <w:rPr>
          <w:rFonts w:ascii="Palatino Linotype" w:hAnsi="Palatino Linotype" w:cs="Tahoma"/>
          <w:sz w:val="22"/>
          <w:szCs w:val="22"/>
          <w:lang w:val="es-ES" w:eastAsia="es-ES"/>
        </w:rPr>
        <w:t xml:space="preserve">En ese orden de ideas, según Trujillo, Humberto (2019), en el “Diccionario de Transparencia y Acceso a la Información Pública” (p. 171), la inexistencia de la información es cuando la </w:t>
      </w:r>
      <w:r w:rsidRPr="00C00438">
        <w:rPr>
          <w:rFonts w:ascii="Palatino Linotype" w:hAnsi="Palatino Linotype" w:cs="Tahoma"/>
          <w:sz w:val="22"/>
          <w:szCs w:val="22"/>
          <w:lang w:val="es-ES" w:eastAsia="es-ES"/>
        </w:rPr>
        <w:lastRenderedPageBreak/>
        <w:t>información requerida no se encuentra en los archivos públicos, reservados o clasificados, de los sujetos obligados.</w:t>
      </w:r>
    </w:p>
    <w:p w14:paraId="4509BDA9" w14:textId="77777777" w:rsidR="00EA1B1B" w:rsidRPr="00C00438" w:rsidRDefault="00EA1B1B" w:rsidP="009E38E7">
      <w:pPr>
        <w:spacing w:line="360" w:lineRule="auto"/>
        <w:contextualSpacing/>
        <w:jc w:val="both"/>
        <w:rPr>
          <w:rFonts w:ascii="Palatino Linotype" w:hAnsi="Palatino Linotype" w:cs="Tahoma"/>
          <w:sz w:val="22"/>
          <w:szCs w:val="22"/>
          <w:lang w:val="es-ES" w:eastAsia="es-ES"/>
        </w:rPr>
      </w:pPr>
    </w:p>
    <w:p w14:paraId="21BDE24D" w14:textId="77777777" w:rsidR="00EA1B1B" w:rsidRDefault="00EA1B1B" w:rsidP="009E38E7">
      <w:pPr>
        <w:spacing w:line="360" w:lineRule="auto"/>
        <w:contextualSpacing/>
        <w:jc w:val="both"/>
        <w:rPr>
          <w:rFonts w:ascii="Palatino Linotype" w:hAnsi="Palatino Linotype" w:cs="Tahoma"/>
          <w:bCs/>
          <w:sz w:val="22"/>
          <w:szCs w:val="22"/>
          <w:lang w:eastAsia="es-ES"/>
        </w:rPr>
      </w:pPr>
      <w:r w:rsidRPr="00C00438">
        <w:rPr>
          <w:rFonts w:ascii="Palatino Linotype" w:hAnsi="Palatino Linotype" w:cs="Tahoma"/>
          <w:sz w:val="22"/>
          <w:szCs w:val="22"/>
          <w:lang w:val="es-ES" w:eastAsia="es-ES"/>
        </w:rPr>
        <w:t>Así</w:t>
      </w:r>
      <w:r w:rsidRPr="00C00438">
        <w:rPr>
          <w:rFonts w:ascii="Palatino Linotype" w:hAnsi="Palatino Linotype" w:cs="Tahoma"/>
          <w:sz w:val="22"/>
          <w:szCs w:val="22"/>
          <w:lang w:eastAsia="es-ES"/>
        </w:rPr>
        <w:t xml:space="preserve">, es posible concluir que la </w:t>
      </w:r>
      <w:r w:rsidRPr="00C00438">
        <w:rPr>
          <w:rFonts w:ascii="Palatino Linotype" w:hAnsi="Palatino Linotype" w:cs="Tahoma"/>
          <w:b/>
          <w:sz w:val="22"/>
          <w:szCs w:val="22"/>
          <w:lang w:eastAsia="es-ES"/>
        </w:rPr>
        <w:t>inexistencia</w:t>
      </w:r>
      <w:r w:rsidRPr="00C00438">
        <w:rPr>
          <w:rFonts w:ascii="Palatino Linotype" w:hAnsi="Palatino Linotype" w:cs="Tahoma"/>
          <w:sz w:val="22"/>
          <w:szCs w:val="22"/>
          <w:lang w:eastAsia="es-ES"/>
        </w:rPr>
        <w:t xml:space="preserve"> presupone la competencia del sujeto obligado para conocer de la información, pero por alguna circunstancia, la documentación solicitada no obra en sus archivos. </w:t>
      </w:r>
      <w:r w:rsidRPr="00C00438">
        <w:rPr>
          <w:rFonts w:ascii="Palatino Linotype" w:hAnsi="Palatino Linotype" w:cs="Tahoma"/>
          <w:bCs/>
          <w:sz w:val="22"/>
          <w:szCs w:val="22"/>
          <w:lang w:eastAsia="es-ES"/>
        </w:rPr>
        <w:t>Para tal situación, no basta con que los sujetos obligados señalen dicha circunstancia, sino que también debe de señalar las razones por las cuales no cuentan con lo peticionado, es decir, las circunstancias que dan lugar a la inexistencia.</w:t>
      </w:r>
    </w:p>
    <w:p w14:paraId="32D93EDA" w14:textId="77777777" w:rsidR="00A85B2B" w:rsidRPr="00C00438" w:rsidRDefault="00A85B2B" w:rsidP="009E38E7">
      <w:pPr>
        <w:spacing w:line="360" w:lineRule="auto"/>
        <w:contextualSpacing/>
        <w:jc w:val="both"/>
        <w:rPr>
          <w:rFonts w:ascii="Palatino Linotype" w:hAnsi="Palatino Linotype" w:cs="Tahoma"/>
          <w:bCs/>
          <w:sz w:val="22"/>
          <w:szCs w:val="22"/>
          <w:lang w:eastAsia="es-ES"/>
        </w:rPr>
      </w:pPr>
    </w:p>
    <w:p w14:paraId="5818A661" w14:textId="4365CED4" w:rsidR="00EA1B1B" w:rsidRDefault="00EA1B1B" w:rsidP="009E38E7">
      <w:pPr>
        <w:spacing w:line="360" w:lineRule="auto"/>
        <w:contextualSpacing/>
        <w:jc w:val="both"/>
        <w:rPr>
          <w:rFonts w:ascii="Palatino Linotype" w:eastAsia="Palatino Linotype" w:hAnsi="Palatino Linotype" w:cs="Palatino Linotype"/>
          <w:b/>
          <w:bCs/>
          <w:sz w:val="22"/>
          <w:szCs w:val="22"/>
        </w:rPr>
      </w:pPr>
      <w:r w:rsidRPr="008273F6">
        <w:rPr>
          <w:rFonts w:ascii="Palatino Linotype" w:eastAsia="Palatino Linotype" w:hAnsi="Palatino Linotype" w:cs="Palatino Linotype"/>
          <w:sz w:val="22"/>
          <w:szCs w:val="22"/>
        </w:rPr>
        <w:t>En ese contexto,</w:t>
      </w:r>
      <w:r>
        <w:rPr>
          <w:rFonts w:ascii="Palatino Linotype" w:eastAsia="Palatino Linotype" w:hAnsi="Palatino Linotype" w:cs="Palatino Linotype"/>
          <w:sz w:val="22"/>
          <w:szCs w:val="22"/>
        </w:rPr>
        <w:t xml:space="preserve"> se logra colegir que</w:t>
      </w:r>
      <w:r w:rsidR="00C55DBC">
        <w:rPr>
          <w:rFonts w:ascii="Palatino Linotype" w:eastAsia="Palatino Linotype" w:hAnsi="Palatino Linotype" w:cs="Palatino Linotype"/>
          <w:sz w:val="22"/>
          <w:szCs w:val="22"/>
        </w:rPr>
        <w:t xml:space="preserve"> </w:t>
      </w:r>
      <w:r>
        <w:rPr>
          <w:rFonts w:ascii="Palatino Linotype" w:eastAsia="Palatino Linotype" w:hAnsi="Palatino Linotype" w:cs="Palatino Linotype"/>
          <w:sz w:val="22"/>
          <w:szCs w:val="22"/>
        </w:rPr>
        <w:t>si</w:t>
      </w:r>
      <w:r w:rsidR="00C55DBC">
        <w:rPr>
          <w:rFonts w:ascii="Palatino Linotype" w:eastAsia="Palatino Linotype" w:hAnsi="Palatino Linotype" w:cs="Palatino Linotype"/>
          <w:sz w:val="22"/>
          <w:szCs w:val="22"/>
        </w:rPr>
        <w:t xml:space="preserve"> bien, el Sujeto Obligado se pronunció a través de la Dirección de Medio Ambiente y Ecología, lo cierto es que </w:t>
      </w:r>
      <w:r>
        <w:rPr>
          <w:rFonts w:ascii="Palatino Linotype" w:eastAsia="Palatino Linotype" w:hAnsi="Palatino Linotype" w:cs="Palatino Linotype"/>
          <w:sz w:val="22"/>
          <w:szCs w:val="22"/>
        </w:rPr>
        <w:t xml:space="preserve">omitió turnar la solicitud a la </w:t>
      </w:r>
      <w:r>
        <w:rPr>
          <w:rFonts w:ascii="Palatino Linotype" w:eastAsia="Calibri" w:hAnsi="Palatino Linotype" w:cs="Tahoma"/>
          <w:bCs/>
          <w:sz w:val="22"/>
          <w:szCs w:val="22"/>
        </w:rPr>
        <w:t xml:space="preserve">Dirección </w:t>
      </w:r>
      <w:r w:rsidR="00C55DBC">
        <w:rPr>
          <w:rFonts w:ascii="Palatino Linotype" w:eastAsia="Calibri" w:hAnsi="Palatino Linotype" w:cs="Tahoma"/>
          <w:bCs/>
          <w:sz w:val="22"/>
          <w:szCs w:val="22"/>
        </w:rPr>
        <w:t xml:space="preserve">de Servicios Públicos </w:t>
      </w:r>
      <w:r>
        <w:rPr>
          <w:rFonts w:ascii="Palatino Linotype" w:eastAsia="Palatino Linotype" w:hAnsi="Palatino Linotype" w:cs="Palatino Linotype"/>
          <w:sz w:val="22"/>
          <w:szCs w:val="22"/>
        </w:rPr>
        <w:t>encargadas del</w:t>
      </w:r>
      <w:r w:rsidR="00D53680">
        <w:rPr>
          <w:rFonts w:ascii="Palatino Linotype" w:eastAsia="Palatino Linotype" w:hAnsi="Palatino Linotype" w:cs="Palatino Linotype"/>
          <w:sz w:val="22"/>
          <w:szCs w:val="22"/>
        </w:rPr>
        <w:t xml:space="preserve"> derribo</w:t>
      </w:r>
      <w:r w:rsidR="00671AB8">
        <w:rPr>
          <w:rFonts w:ascii="Palatino Linotype" w:eastAsia="Palatino Linotype" w:hAnsi="Palatino Linotype" w:cs="Palatino Linotype"/>
          <w:sz w:val="22"/>
          <w:szCs w:val="22"/>
        </w:rPr>
        <w:t xml:space="preserve"> y poda</w:t>
      </w:r>
      <w:r w:rsidR="00D53680">
        <w:rPr>
          <w:rFonts w:ascii="Palatino Linotype" w:eastAsia="Palatino Linotype" w:hAnsi="Palatino Linotype" w:cs="Palatino Linotype"/>
          <w:sz w:val="22"/>
          <w:szCs w:val="22"/>
        </w:rPr>
        <w:t xml:space="preserve"> de árboles en vías públicas</w:t>
      </w:r>
      <w:r>
        <w:rPr>
          <w:rFonts w:ascii="Palatino Linotype" w:eastAsia="Palatino Linotype" w:hAnsi="Palatino Linotype" w:cs="Palatino Linotype"/>
          <w:sz w:val="22"/>
          <w:szCs w:val="22"/>
        </w:rPr>
        <w:t xml:space="preserve">, lo cual da como resultado que el agravio sea </w:t>
      </w:r>
      <w:r w:rsidRPr="008742BD">
        <w:rPr>
          <w:rFonts w:ascii="Palatino Linotype" w:eastAsia="Palatino Linotype" w:hAnsi="Palatino Linotype" w:cs="Palatino Linotype"/>
          <w:b/>
          <w:bCs/>
          <w:sz w:val="22"/>
          <w:szCs w:val="22"/>
        </w:rPr>
        <w:t>FUNDADO.</w:t>
      </w:r>
    </w:p>
    <w:bookmarkEnd w:id="15"/>
    <w:p w14:paraId="034B9E35" w14:textId="77777777" w:rsidR="00B52CFA" w:rsidRPr="00AC17E4" w:rsidRDefault="00B52CFA" w:rsidP="009E38E7">
      <w:pPr>
        <w:spacing w:line="360" w:lineRule="auto"/>
        <w:contextualSpacing/>
        <w:jc w:val="both"/>
        <w:rPr>
          <w:rFonts w:ascii="Palatino Linotype" w:hAnsi="Palatino Linotype" w:cs="Tahoma"/>
          <w:iCs/>
          <w:sz w:val="22"/>
          <w:szCs w:val="22"/>
        </w:rPr>
      </w:pPr>
    </w:p>
    <w:p w14:paraId="74F4867E" w14:textId="77777777" w:rsidR="00D53680" w:rsidRDefault="00D53680" w:rsidP="009E38E7">
      <w:pPr>
        <w:spacing w:line="360" w:lineRule="auto"/>
        <w:contextualSpacing/>
        <w:jc w:val="both"/>
        <w:rPr>
          <w:rFonts w:ascii="Palatino Linotype" w:hAnsi="Palatino Linotype"/>
          <w:bCs/>
          <w:iCs/>
          <w:sz w:val="22"/>
          <w:szCs w:val="22"/>
        </w:rPr>
      </w:pPr>
      <w:r>
        <w:rPr>
          <w:rFonts w:ascii="Palatino Linotype" w:hAnsi="Palatino Linotype"/>
          <w:bCs/>
          <w:iCs/>
          <w:sz w:val="22"/>
          <w:szCs w:val="22"/>
        </w:rPr>
        <w:t>Conforme a lo anterior, se logra vislumbrar que para atender el requerimiento de información el Ayuntamiento de Ecatepec de Morelos deberá realizar una búsqueda exhaustiva en todas sus unidades administrativas competentes entre las que no podrá omitir a la Dirección de Servicios Públicos a efecto de que proporcione la cantidad de árboles podados o derribados por las dependencias municipales o privadas del primero de enero al veinte de noviembre de dos mil veinticinco.</w:t>
      </w:r>
      <w:r w:rsidR="00B52CFA">
        <w:rPr>
          <w:rFonts w:ascii="Palatino Linotype" w:hAnsi="Palatino Linotype"/>
          <w:bCs/>
          <w:iCs/>
          <w:sz w:val="22"/>
          <w:szCs w:val="22"/>
        </w:rPr>
        <w:t xml:space="preserve"> </w:t>
      </w:r>
    </w:p>
    <w:p w14:paraId="04A28C62" w14:textId="77777777" w:rsidR="00D53680" w:rsidRDefault="00D53680" w:rsidP="009E38E7">
      <w:pPr>
        <w:spacing w:line="360" w:lineRule="auto"/>
        <w:contextualSpacing/>
        <w:jc w:val="both"/>
        <w:rPr>
          <w:rFonts w:ascii="Palatino Linotype" w:hAnsi="Palatino Linotype"/>
          <w:bCs/>
          <w:iCs/>
          <w:sz w:val="22"/>
          <w:szCs w:val="22"/>
        </w:rPr>
      </w:pPr>
    </w:p>
    <w:p w14:paraId="07010B55" w14:textId="2DD4E675" w:rsidR="00B52CFA" w:rsidRPr="005B34C3" w:rsidRDefault="00D53680" w:rsidP="009E38E7">
      <w:pPr>
        <w:spacing w:line="360" w:lineRule="auto"/>
        <w:contextualSpacing/>
        <w:jc w:val="both"/>
        <w:rPr>
          <w:rFonts w:ascii="Palatino Linotype" w:hAnsi="Palatino Linotype"/>
          <w:bCs/>
          <w:iCs/>
          <w:sz w:val="22"/>
          <w:szCs w:val="22"/>
        </w:rPr>
      </w:pPr>
      <w:r>
        <w:rPr>
          <w:rFonts w:ascii="Palatino Linotype" w:hAnsi="Palatino Linotype"/>
          <w:bCs/>
          <w:iCs/>
          <w:sz w:val="22"/>
          <w:szCs w:val="22"/>
        </w:rPr>
        <w:t xml:space="preserve">Dicha circunstancia, </w:t>
      </w:r>
      <w:r w:rsidR="00B52CFA" w:rsidRPr="005B34C3">
        <w:rPr>
          <w:rFonts w:ascii="Palatino Linotype" w:hAnsi="Palatino Linotype"/>
          <w:bCs/>
          <w:iCs/>
          <w:sz w:val="22"/>
          <w:szCs w:val="22"/>
        </w:rPr>
        <w:t>toma sustento en el artículo 12 de la Ley de Transparencia y Acceso a la Información Pública del Estado de México y Municipios, que establece que los sujetos obligados sólo están constreñidos a proporcionar la información pública que obre en sus archivos, en el estado en que esta se encuentre; por lo que, la entrega no comprende el procesamiento de la misma, ni presentarla conforme al interés del Solicitante.</w:t>
      </w:r>
    </w:p>
    <w:p w14:paraId="4E1C7893" w14:textId="77777777" w:rsidR="00B52CFA" w:rsidRPr="005B34C3" w:rsidRDefault="00B52CFA" w:rsidP="009E38E7">
      <w:pPr>
        <w:spacing w:line="360" w:lineRule="auto"/>
        <w:contextualSpacing/>
        <w:jc w:val="both"/>
        <w:rPr>
          <w:rFonts w:ascii="Palatino Linotype" w:hAnsi="Palatino Linotype"/>
          <w:bCs/>
          <w:iCs/>
          <w:sz w:val="22"/>
          <w:szCs w:val="22"/>
        </w:rPr>
      </w:pPr>
      <w:r w:rsidRPr="005B34C3">
        <w:rPr>
          <w:rFonts w:ascii="Palatino Linotype" w:hAnsi="Palatino Linotype"/>
          <w:bCs/>
          <w:iCs/>
          <w:sz w:val="22"/>
          <w:szCs w:val="22"/>
        </w:rPr>
        <w:lastRenderedPageBreak/>
        <w:t xml:space="preserve"> </w:t>
      </w:r>
    </w:p>
    <w:p w14:paraId="354A6ED1" w14:textId="77777777" w:rsidR="00B52CFA" w:rsidRPr="005B34C3" w:rsidRDefault="00B52CFA" w:rsidP="009E38E7">
      <w:pPr>
        <w:spacing w:line="360" w:lineRule="auto"/>
        <w:contextualSpacing/>
        <w:jc w:val="both"/>
        <w:rPr>
          <w:rFonts w:ascii="Palatino Linotype" w:hAnsi="Palatino Linotype"/>
          <w:bCs/>
          <w:iCs/>
          <w:sz w:val="22"/>
          <w:szCs w:val="22"/>
        </w:rPr>
      </w:pPr>
      <w:r w:rsidRPr="005B34C3">
        <w:rPr>
          <w:rFonts w:ascii="Palatino Linotype" w:hAnsi="Palatino Linotype"/>
          <w:bCs/>
          <w:iCs/>
          <w:sz w:val="22"/>
          <w:szCs w:val="22"/>
        </w:rPr>
        <w:t xml:space="preserve">De esta manera, el derecho de acceso a la información pública se satisface en aquellos casos en que se entregue el soporte documental en el que conste la información solicitada, sin necesidad de elaborar documentos </w:t>
      </w:r>
      <w:r w:rsidRPr="005B34C3">
        <w:rPr>
          <w:rFonts w:ascii="Palatino Linotype" w:hAnsi="Palatino Linotype"/>
          <w:bCs/>
          <w:i/>
          <w:iCs/>
          <w:sz w:val="22"/>
          <w:szCs w:val="22"/>
        </w:rPr>
        <w:t>ad hoc</w:t>
      </w:r>
      <w:r w:rsidRPr="005B34C3">
        <w:rPr>
          <w:rFonts w:ascii="Palatino Linotype" w:hAnsi="Palatino Linotype"/>
          <w:bCs/>
          <w:iCs/>
          <w:sz w:val="22"/>
          <w:szCs w:val="22"/>
        </w:rPr>
        <w:t xml:space="preserve">; lo cual, de conformidad con en el artículo 160 de la Ley de Transparencia y Acceso a la Información Pública del Estado de México y Municipios, el cual refiere que los sujetos obligados deberán entregar la información que obre en sus archivos. </w:t>
      </w:r>
    </w:p>
    <w:p w14:paraId="038A272A" w14:textId="77777777" w:rsidR="00B52CFA" w:rsidRPr="005B34C3" w:rsidRDefault="00B52CFA" w:rsidP="009E38E7">
      <w:pPr>
        <w:spacing w:line="360" w:lineRule="auto"/>
        <w:contextualSpacing/>
        <w:jc w:val="both"/>
        <w:rPr>
          <w:rFonts w:ascii="Palatino Linotype" w:hAnsi="Palatino Linotype"/>
          <w:bCs/>
          <w:iCs/>
          <w:sz w:val="22"/>
          <w:szCs w:val="22"/>
        </w:rPr>
      </w:pPr>
      <w:r w:rsidRPr="005B34C3">
        <w:rPr>
          <w:rFonts w:ascii="Palatino Linotype" w:hAnsi="Palatino Linotype"/>
          <w:bCs/>
          <w:iCs/>
          <w:sz w:val="22"/>
          <w:szCs w:val="22"/>
        </w:rPr>
        <w:t xml:space="preserve"> </w:t>
      </w:r>
    </w:p>
    <w:p w14:paraId="4BC75FCC" w14:textId="77777777" w:rsidR="00A85B2B" w:rsidRDefault="00B52CFA" w:rsidP="009E38E7">
      <w:pPr>
        <w:spacing w:line="360" w:lineRule="auto"/>
        <w:contextualSpacing/>
        <w:jc w:val="both"/>
        <w:rPr>
          <w:rFonts w:ascii="Palatino Linotype" w:hAnsi="Palatino Linotype"/>
          <w:bCs/>
          <w:iCs/>
          <w:sz w:val="22"/>
          <w:szCs w:val="22"/>
        </w:rPr>
      </w:pPr>
      <w:r w:rsidRPr="005B34C3">
        <w:rPr>
          <w:rFonts w:ascii="Palatino Linotype" w:hAnsi="Palatino Linotype"/>
          <w:bCs/>
          <w:iCs/>
          <w:sz w:val="22"/>
          <w:szCs w:val="22"/>
        </w:rPr>
        <w:t xml:space="preserve">De tales circunstancias, se concluye que los sujetos obligados únicamente se encuentran constreñidos a proporcionar los documentos que den cuenta de la información solicitada, como obren en sus archivos, sin tener que elaborarlos a las necesidades del Recurrente; por lo que, en el presente caso deberá proporcionar los documentos donde conste </w:t>
      </w:r>
      <w:r>
        <w:rPr>
          <w:rFonts w:ascii="Palatino Linotype" w:hAnsi="Palatino Linotype"/>
          <w:bCs/>
          <w:iCs/>
          <w:sz w:val="22"/>
          <w:szCs w:val="22"/>
        </w:rPr>
        <w:t>la información solicitada.</w:t>
      </w:r>
      <w:r w:rsidR="00091AAC">
        <w:rPr>
          <w:rFonts w:ascii="Palatino Linotype" w:hAnsi="Palatino Linotype"/>
          <w:bCs/>
          <w:iCs/>
          <w:sz w:val="22"/>
          <w:szCs w:val="22"/>
        </w:rPr>
        <w:t xml:space="preserve"> </w:t>
      </w:r>
    </w:p>
    <w:p w14:paraId="7E578881" w14:textId="77777777" w:rsidR="00A85B2B" w:rsidRDefault="00A85B2B" w:rsidP="009E38E7">
      <w:pPr>
        <w:spacing w:line="360" w:lineRule="auto"/>
        <w:contextualSpacing/>
        <w:jc w:val="both"/>
        <w:rPr>
          <w:rFonts w:ascii="Palatino Linotype" w:hAnsi="Palatino Linotype"/>
          <w:bCs/>
          <w:iCs/>
          <w:sz w:val="22"/>
          <w:szCs w:val="22"/>
        </w:rPr>
      </w:pPr>
    </w:p>
    <w:p w14:paraId="21408BE5" w14:textId="3AB2F46B" w:rsidR="00B52CFA" w:rsidRDefault="00091AAC" w:rsidP="009E38E7">
      <w:pPr>
        <w:spacing w:line="360" w:lineRule="auto"/>
        <w:contextualSpacing/>
        <w:jc w:val="both"/>
        <w:rPr>
          <w:rFonts w:ascii="Palatino Linotype" w:hAnsi="Palatino Linotype"/>
          <w:bCs/>
          <w:iCs/>
          <w:sz w:val="22"/>
          <w:szCs w:val="22"/>
        </w:rPr>
      </w:pPr>
      <w:r>
        <w:rPr>
          <w:rFonts w:ascii="Palatino Linotype" w:hAnsi="Palatino Linotype"/>
          <w:bCs/>
          <w:iCs/>
          <w:sz w:val="22"/>
          <w:szCs w:val="22"/>
        </w:rPr>
        <w:t xml:space="preserve">Ahora bien, toda vez que en el presente caso únicamente se trata de información estadística, se considera que no contiene información clasificable </w:t>
      </w:r>
      <w:proofErr w:type="gramStart"/>
      <w:r>
        <w:rPr>
          <w:rFonts w:ascii="Palatino Linotype" w:hAnsi="Palatino Linotype"/>
          <w:bCs/>
          <w:iCs/>
          <w:sz w:val="22"/>
          <w:szCs w:val="22"/>
        </w:rPr>
        <w:t>y</w:t>
      </w:r>
      <w:proofErr w:type="gramEnd"/>
      <w:r>
        <w:rPr>
          <w:rFonts w:ascii="Palatino Linotype" w:hAnsi="Palatino Linotype"/>
          <w:bCs/>
          <w:iCs/>
          <w:sz w:val="22"/>
          <w:szCs w:val="22"/>
        </w:rPr>
        <w:t xml:space="preserve"> por lo tanto, deberá entregar los documentos de manera íntegra.</w:t>
      </w:r>
    </w:p>
    <w:p w14:paraId="18699FA9" w14:textId="77777777" w:rsidR="00B52CFA" w:rsidRPr="001E4C98" w:rsidRDefault="00B52CFA" w:rsidP="009E38E7">
      <w:pPr>
        <w:spacing w:line="360" w:lineRule="auto"/>
        <w:contextualSpacing/>
        <w:jc w:val="both"/>
        <w:rPr>
          <w:rFonts w:ascii="Palatino Linotype" w:hAnsi="Palatino Linotype"/>
          <w:color w:val="000000"/>
          <w:sz w:val="22"/>
          <w:szCs w:val="22"/>
          <w:lang w:eastAsia="es-ES_tradnl"/>
        </w:rPr>
      </w:pPr>
    </w:p>
    <w:p w14:paraId="623C6568" w14:textId="77777777" w:rsidR="00B52CFA" w:rsidRPr="001F4BBD" w:rsidRDefault="00B52CFA" w:rsidP="009E38E7">
      <w:pPr>
        <w:pStyle w:val="Ttulo2"/>
        <w:spacing w:before="0" w:after="0" w:line="360" w:lineRule="auto"/>
        <w:contextualSpacing/>
        <w:rPr>
          <w:rFonts w:ascii="Palatino Linotype" w:hAnsi="Palatino Linotype"/>
          <w:b/>
          <w:bCs/>
          <w:color w:val="auto"/>
          <w:sz w:val="22"/>
          <w:szCs w:val="22"/>
        </w:rPr>
      </w:pPr>
      <w:bookmarkStart w:id="20" w:name="_Toc201094206"/>
      <w:bookmarkStart w:id="21" w:name="_Toc202357457"/>
      <w:bookmarkStart w:id="22" w:name="_Toc223020150"/>
      <w:r w:rsidRPr="001F4BBD">
        <w:rPr>
          <w:rFonts w:ascii="Palatino Linotype" w:hAnsi="Palatino Linotype"/>
          <w:b/>
          <w:bCs/>
          <w:color w:val="auto"/>
          <w:sz w:val="22"/>
          <w:szCs w:val="22"/>
        </w:rPr>
        <w:t>SEXTO. Decisión</w:t>
      </w:r>
      <w:bookmarkEnd w:id="20"/>
      <w:bookmarkEnd w:id="21"/>
      <w:bookmarkEnd w:id="22"/>
    </w:p>
    <w:p w14:paraId="420B44D0" w14:textId="77777777" w:rsidR="00B52CFA" w:rsidRPr="004E3B5A" w:rsidRDefault="00B52CFA" w:rsidP="009E38E7">
      <w:pPr>
        <w:spacing w:line="360" w:lineRule="auto"/>
        <w:contextualSpacing/>
        <w:jc w:val="both"/>
        <w:rPr>
          <w:rFonts w:ascii="Palatino Linotype" w:eastAsia="Palatino Linotype" w:hAnsi="Palatino Linotype" w:cs="Palatino Linotype"/>
          <w:sz w:val="22"/>
          <w:szCs w:val="22"/>
        </w:rPr>
      </w:pPr>
    </w:p>
    <w:p w14:paraId="455BA6F8" w14:textId="5D6768AE" w:rsidR="00B52CFA" w:rsidRDefault="00B52CFA" w:rsidP="009E38E7">
      <w:pPr>
        <w:tabs>
          <w:tab w:val="left" w:pos="4962"/>
        </w:tabs>
        <w:spacing w:line="360" w:lineRule="auto"/>
        <w:contextualSpacing/>
        <w:jc w:val="both"/>
        <w:rPr>
          <w:rFonts w:ascii="Palatino Linotype" w:hAnsi="Palatino Linotype" w:cs="Tahoma"/>
          <w:sz w:val="22"/>
          <w:szCs w:val="22"/>
        </w:rPr>
      </w:pPr>
      <w:r w:rsidRPr="00B71E3E">
        <w:rPr>
          <w:rFonts w:ascii="Palatino Linotype" w:hAnsi="Palatino Linotype" w:cs="Arial"/>
          <w:sz w:val="22"/>
          <w:szCs w:val="22"/>
        </w:rPr>
        <w:t>C</w:t>
      </w:r>
      <w:r w:rsidRPr="00B71E3E">
        <w:rPr>
          <w:rFonts w:ascii="Palatino Linotype" w:hAnsi="Palatino Linotype" w:cs="Tahoma"/>
          <w:sz w:val="22"/>
          <w:szCs w:val="22"/>
        </w:rPr>
        <w:t xml:space="preserve">on fundamento en el artículo 186, fracción III, de la Ley de Transparencia y Acceso a la Información Pública del Estado de México y Municipios, este Instituto considera procedente </w:t>
      </w:r>
      <w:r>
        <w:rPr>
          <w:rFonts w:ascii="Palatino Linotype" w:hAnsi="Palatino Linotype" w:cs="Tahoma"/>
          <w:b/>
          <w:sz w:val="22"/>
          <w:szCs w:val="22"/>
        </w:rPr>
        <w:t>MODIFI</w:t>
      </w:r>
      <w:r w:rsidRPr="00B71E3E">
        <w:rPr>
          <w:rFonts w:ascii="Palatino Linotype" w:hAnsi="Palatino Linotype" w:cs="Tahoma"/>
          <w:b/>
          <w:sz w:val="22"/>
          <w:szCs w:val="22"/>
        </w:rPr>
        <w:t>CAR</w:t>
      </w:r>
      <w:r w:rsidRPr="00B71E3E">
        <w:rPr>
          <w:rFonts w:ascii="Palatino Linotype" w:hAnsi="Palatino Linotype" w:cs="Tahoma"/>
          <w:sz w:val="22"/>
          <w:szCs w:val="22"/>
        </w:rPr>
        <w:t xml:space="preserve"> la respuesta otorgada a la solicitud</w:t>
      </w:r>
      <w:r>
        <w:rPr>
          <w:rFonts w:ascii="Palatino Linotype" w:hAnsi="Palatino Linotype" w:cs="Tahoma"/>
          <w:sz w:val="22"/>
          <w:szCs w:val="22"/>
        </w:rPr>
        <w:t xml:space="preserve"> </w:t>
      </w:r>
      <w:r w:rsidRPr="00B71E3E">
        <w:rPr>
          <w:rFonts w:ascii="Palatino Linotype" w:hAnsi="Palatino Linotype" w:cs="Tahoma"/>
          <w:sz w:val="22"/>
          <w:szCs w:val="22"/>
        </w:rPr>
        <w:t xml:space="preserve">de información </w:t>
      </w:r>
      <w:r w:rsidR="00D53680" w:rsidRPr="00B52CFA">
        <w:rPr>
          <w:rFonts w:ascii="Palatino Linotype" w:eastAsia="Palatino Linotype" w:hAnsi="Palatino Linotype" w:cs="Palatino Linotype"/>
          <w:sz w:val="22"/>
          <w:szCs w:val="22"/>
        </w:rPr>
        <w:t>00931/ECATEPEC/IP/2025</w:t>
      </w:r>
      <w:r w:rsidRPr="00B71E3E">
        <w:rPr>
          <w:rFonts w:ascii="Palatino Linotype" w:hAnsi="Palatino Linotype" w:cs="Tahoma"/>
          <w:bCs/>
          <w:sz w:val="22"/>
          <w:szCs w:val="22"/>
        </w:rPr>
        <w:t>, a efecto de que,</w:t>
      </w:r>
      <w:r w:rsidRPr="00B71E3E">
        <w:rPr>
          <w:rFonts w:ascii="Palatino Linotype" w:hAnsi="Palatino Linotype" w:cs="Tahoma"/>
          <w:sz w:val="22"/>
          <w:szCs w:val="22"/>
        </w:rPr>
        <w:t xml:space="preserve"> proporcione </w:t>
      </w:r>
      <w:r>
        <w:rPr>
          <w:rFonts w:ascii="Palatino Linotype" w:hAnsi="Palatino Linotype" w:cs="Tahoma"/>
          <w:sz w:val="22"/>
          <w:szCs w:val="22"/>
        </w:rPr>
        <w:t xml:space="preserve">en su caso en </w:t>
      </w:r>
      <w:r w:rsidRPr="00B71E3E">
        <w:rPr>
          <w:rFonts w:ascii="Palatino Linotype" w:hAnsi="Palatino Linotype" w:cs="Tahoma"/>
          <w:sz w:val="22"/>
          <w:szCs w:val="22"/>
        </w:rPr>
        <w:t>versión</w:t>
      </w:r>
      <w:r>
        <w:rPr>
          <w:rFonts w:ascii="Palatino Linotype" w:hAnsi="Palatino Linotype" w:cs="Tahoma"/>
          <w:sz w:val="22"/>
          <w:szCs w:val="22"/>
        </w:rPr>
        <w:t xml:space="preserve"> pública la información solicitada</w:t>
      </w:r>
      <w:r w:rsidRPr="00B71E3E">
        <w:rPr>
          <w:rFonts w:ascii="Palatino Linotype" w:hAnsi="Palatino Linotype" w:cs="Tahoma"/>
          <w:sz w:val="22"/>
          <w:szCs w:val="22"/>
        </w:rPr>
        <w:t>.</w:t>
      </w:r>
    </w:p>
    <w:p w14:paraId="682155E7" w14:textId="77777777" w:rsidR="00B52CFA" w:rsidRPr="008A27E9" w:rsidRDefault="00B52CFA" w:rsidP="009E38E7">
      <w:pPr>
        <w:tabs>
          <w:tab w:val="left" w:pos="4962"/>
        </w:tabs>
        <w:spacing w:line="360" w:lineRule="auto"/>
        <w:contextualSpacing/>
        <w:jc w:val="both"/>
        <w:rPr>
          <w:rFonts w:ascii="Palatino Linotype" w:hAnsi="Palatino Linotype" w:cs="Tahoma"/>
          <w:sz w:val="22"/>
          <w:szCs w:val="22"/>
        </w:rPr>
      </w:pPr>
    </w:p>
    <w:p w14:paraId="61E968A4" w14:textId="77777777" w:rsidR="00B52CFA" w:rsidRPr="00D86ECA" w:rsidRDefault="00B52CFA" w:rsidP="009E38E7">
      <w:pPr>
        <w:spacing w:line="360" w:lineRule="auto"/>
        <w:contextualSpacing/>
        <w:jc w:val="both"/>
        <w:rPr>
          <w:rFonts w:ascii="Palatino Linotype" w:hAnsi="Palatino Linotype"/>
          <w:b/>
          <w:color w:val="000000"/>
          <w:sz w:val="22"/>
          <w:szCs w:val="22"/>
        </w:rPr>
      </w:pPr>
      <w:bookmarkStart w:id="23" w:name="_Toc199369393"/>
      <w:r w:rsidRPr="00D86ECA">
        <w:rPr>
          <w:rFonts w:ascii="Palatino Linotype" w:hAnsi="Palatino Linotype"/>
          <w:b/>
          <w:color w:val="000000"/>
          <w:sz w:val="22"/>
          <w:szCs w:val="22"/>
        </w:rPr>
        <w:lastRenderedPageBreak/>
        <w:t>Términos de la Resolución para el Recurrente</w:t>
      </w:r>
    </w:p>
    <w:p w14:paraId="526040BB" w14:textId="77777777" w:rsidR="00B52CFA" w:rsidRPr="00D86ECA" w:rsidRDefault="00B52CFA" w:rsidP="009E38E7">
      <w:pPr>
        <w:spacing w:line="360" w:lineRule="auto"/>
        <w:contextualSpacing/>
        <w:jc w:val="both"/>
        <w:rPr>
          <w:rFonts w:ascii="Palatino Linotype" w:hAnsi="Palatino Linotype"/>
          <w:b/>
          <w:color w:val="FF0000"/>
          <w:sz w:val="22"/>
          <w:szCs w:val="22"/>
        </w:rPr>
      </w:pPr>
    </w:p>
    <w:p w14:paraId="51A02804" w14:textId="2CC0CD68" w:rsidR="00B52CFA" w:rsidRPr="00D86ECA" w:rsidRDefault="00B52CFA" w:rsidP="009E38E7">
      <w:pPr>
        <w:spacing w:line="360" w:lineRule="auto"/>
        <w:contextualSpacing/>
        <w:jc w:val="both"/>
        <w:rPr>
          <w:rFonts w:ascii="Palatino Linotype" w:hAnsi="Palatino Linotype"/>
          <w:color w:val="000000"/>
          <w:sz w:val="22"/>
          <w:szCs w:val="22"/>
        </w:rPr>
      </w:pPr>
      <w:r w:rsidRPr="00D86ECA">
        <w:rPr>
          <w:rFonts w:ascii="Palatino Linotype" w:hAnsi="Palatino Linotype"/>
          <w:color w:val="000000"/>
          <w:sz w:val="22"/>
          <w:szCs w:val="22"/>
        </w:rPr>
        <w:t xml:space="preserve">Se le hace del conocimiento al Particular, que, en el presente caso, se le concede </w:t>
      </w:r>
      <w:r>
        <w:rPr>
          <w:rFonts w:ascii="Palatino Linotype" w:hAnsi="Palatino Linotype"/>
          <w:color w:val="000000"/>
          <w:sz w:val="22"/>
          <w:szCs w:val="22"/>
        </w:rPr>
        <w:t xml:space="preserve">la </w:t>
      </w:r>
      <w:r w:rsidRPr="00D86ECA">
        <w:rPr>
          <w:rFonts w:ascii="Palatino Linotype" w:hAnsi="Palatino Linotype"/>
          <w:color w:val="000000"/>
          <w:sz w:val="22"/>
          <w:szCs w:val="22"/>
        </w:rPr>
        <w:t xml:space="preserve">razón, pues el </w:t>
      </w:r>
      <w:r>
        <w:rPr>
          <w:rFonts w:ascii="Palatino Linotype" w:hAnsi="Palatino Linotype" w:cs="Tahoma"/>
          <w:color w:val="0D0D0D" w:themeColor="text1" w:themeTint="F2"/>
          <w:sz w:val="22"/>
          <w:szCs w:val="22"/>
        </w:rPr>
        <w:t xml:space="preserve">Ayuntamiento de </w:t>
      </w:r>
      <w:r w:rsidR="00D53680">
        <w:rPr>
          <w:rFonts w:ascii="Palatino Linotype" w:hAnsi="Palatino Linotype" w:cs="Tahoma"/>
          <w:color w:val="0D0D0D" w:themeColor="text1" w:themeTint="F2"/>
          <w:sz w:val="22"/>
          <w:szCs w:val="22"/>
        </w:rPr>
        <w:t>Ecatepec de Morelos</w:t>
      </w:r>
      <w:r w:rsidRPr="00D86ECA">
        <w:rPr>
          <w:rFonts w:ascii="Palatino Linotype" w:hAnsi="Palatino Linotype"/>
          <w:color w:val="000000"/>
          <w:sz w:val="22"/>
          <w:szCs w:val="22"/>
        </w:rPr>
        <w:t>,</w:t>
      </w:r>
      <w:r>
        <w:rPr>
          <w:rFonts w:ascii="Palatino Linotype" w:hAnsi="Palatino Linotype"/>
          <w:color w:val="000000"/>
          <w:sz w:val="22"/>
          <w:szCs w:val="22"/>
        </w:rPr>
        <w:t xml:space="preserve"> si bien proporcionó parte de la información requerida, lo cierto es que omitió la entrega de la </w:t>
      </w:r>
      <w:r w:rsidRPr="00D86ECA">
        <w:rPr>
          <w:rFonts w:ascii="Palatino Linotype" w:hAnsi="Palatino Linotype"/>
          <w:color w:val="000000"/>
          <w:sz w:val="22"/>
          <w:szCs w:val="22"/>
        </w:rPr>
        <w:t>información de manera completa. La labor del Instituto, es apoyar a la población para acceder a la información pública y garantizar la protección de los datos personales.</w:t>
      </w:r>
    </w:p>
    <w:p w14:paraId="082BF261" w14:textId="77777777" w:rsidR="00B52CFA" w:rsidRDefault="00B52CFA" w:rsidP="009E38E7">
      <w:pPr>
        <w:spacing w:line="360" w:lineRule="auto"/>
        <w:ind w:right="-93"/>
        <w:contextualSpacing/>
        <w:jc w:val="both"/>
        <w:rPr>
          <w:rFonts w:ascii="Palatino Linotype" w:hAnsi="Palatino Linotype"/>
          <w:color w:val="000000"/>
          <w:sz w:val="22"/>
          <w:szCs w:val="22"/>
        </w:rPr>
      </w:pPr>
    </w:p>
    <w:p w14:paraId="18FE2D4F" w14:textId="77777777" w:rsidR="00B52CFA" w:rsidRDefault="00B52CFA" w:rsidP="009E38E7">
      <w:pPr>
        <w:spacing w:line="360" w:lineRule="auto"/>
        <w:ind w:right="-93"/>
        <w:contextualSpacing/>
        <w:jc w:val="both"/>
        <w:rPr>
          <w:rFonts w:ascii="Palatino Linotype" w:hAnsi="Palatino Linotype"/>
          <w:color w:val="000000"/>
          <w:sz w:val="22"/>
          <w:szCs w:val="22"/>
        </w:rPr>
      </w:pPr>
      <w:r w:rsidRPr="00D86ECA">
        <w:rPr>
          <w:rFonts w:ascii="Palatino Linotype" w:hAnsi="Palatino Linotype"/>
          <w:color w:val="000000"/>
          <w:sz w:val="22"/>
          <w:szCs w:val="22"/>
        </w:rPr>
        <w:t>Por lo expuesto y fundado, este Pleno:</w:t>
      </w:r>
    </w:p>
    <w:p w14:paraId="6A1D00C5" w14:textId="77777777" w:rsidR="00B52CFA" w:rsidRPr="00D86ECA" w:rsidRDefault="00B52CFA" w:rsidP="009E38E7">
      <w:pPr>
        <w:spacing w:line="360" w:lineRule="auto"/>
        <w:ind w:right="-93"/>
        <w:contextualSpacing/>
        <w:jc w:val="both"/>
        <w:rPr>
          <w:rFonts w:ascii="Palatino Linotype" w:hAnsi="Palatino Linotype"/>
          <w:color w:val="000000"/>
          <w:sz w:val="22"/>
          <w:szCs w:val="22"/>
        </w:rPr>
      </w:pPr>
    </w:p>
    <w:p w14:paraId="75B373EF" w14:textId="77777777" w:rsidR="00B52CFA" w:rsidRPr="00903CC5" w:rsidRDefault="00B52CFA" w:rsidP="009E38E7">
      <w:pPr>
        <w:pStyle w:val="Ttulo1"/>
        <w:spacing w:before="0" w:after="0" w:line="360" w:lineRule="auto"/>
        <w:contextualSpacing/>
        <w:jc w:val="center"/>
        <w:rPr>
          <w:rFonts w:ascii="Palatino Linotype" w:eastAsia="Calibri" w:hAnsi="Palatino Linotype"/>
          <w:b/>
          <w:bCs/>
          <w:color w:val="auto"/>
          <w:sz w:val="22"/>
          <w:szCs w:val="22"/>
        </w:rPr>
      </w:pPr>
      <w:bookmarkStart w:id="24" w:name="_Toc201094207"/>
      <w:bookmarkStart w:id="25" w:name="_Toc202357458"/>
      <w:bookmarkStart w:id="26" w:name="_Toc223020151"/>
      <w:r w:rsidRPr="00903CC5">
        <w:rPr>
          <w:rFonts w:ascii="Palatino Linotype" w:eastAsia="Calibri" w:hAnsi="Palatino Linotype"/>
          <w:b/>
          <w:bCs/>
          <w:color w:val="auto"/>
          <w:sz w:val="22"/>
          <w:szCs w:val="22"/>
        </w:rPr>
        <w:t>R E S U E L V E</w:t>
      </w:r>
      <w:bookmarkEnd w:id="23"/>
      <w:bookmarkEnd w:id="24"/>
      <w:bookmarkEnd w:id="25"/>
      <w:bookmarkEnd w:id="26"/>
    </w:p>
    <w:p w14:paraId="00738706" w14:textId="77777777" w:rsidR="00B52CFA" w:rsidRPr="00B71E3E" w:rsidRDefault="00B52CFA" w:rsidP="009E38E7">
      <w:pPr>
        <w:spacing w:line="360" w:lineRule="auto"/>
        <w:ind w:right="-28"/>
        <w:contextualSpacing/>
        <w:jc w:val="both"/>
        <w:rPr>
          <w:rFonts w:ascii="Palatino Linotype" w:hAnsi="Palatino Linotype" w:cs="Tahoma"/>
          <w:b/>
          <w:bCs/>
          <w:sz w:val="22"/>
          <w:szCs w:val="22"/>
        </w:rPr>
      </w:pPr>
    </w:p>
    <w:p w14:paraId="6B0F9392" w14:textId="5CE53A7F" w:rsidR="00B52CFA" w:rsidRPr="00B71E3E" w:rsidRDefault="00B52CFA" w:rsidP="009E38E7">
      <w:pPr>
        <w:widowControl w:val="0"/>
        <w:spacing w:line="360" w:lineRule="auto"/>
        <w:contextualSpacing/>
        <w:jc w:val="both"/>
        <w:rPr>
          <w:rFonts w:ascii="Palatino Linotype" w:eastAsia="Calibri" w:hAnsi="Palatino Linotype"/>
          <w:b/>
          <w:bCs/>
          <w:sz w:val="22"/>
          <w:szCs w:val="22"/>
        </w:rPr>
      </w:pPr>
      <w:r w:rsidRPr="00B71E3E">
        <w:rPr>
          <w:rFonts w:ascii="Palatino Linotype" w:eastAsia="Calibri" w:hAnsi="Palatino Linotype"/>
          <w:b/>
          <w:bCs/>
          <w:sz w:val="22"/>
          <w:szCs w:val="22"/>
        </w:rPr>
        <w:t xml:space="preserve">PRIMERO. </w:t>
      </w:r>
      <w:r w:rsidRPr="00B71E3E">
        <w:rPr>
          <w:rFonts w:ascii="Palatino Linotype" w:eastAsia="Calibri" w:hAnsi="Palatino Linotype"/>
          <w:sz w:val="22"/>
          <w:szCs w:val="22"/>
        </w:rPr>
        <w:t xml:space="preserve">Se </w:t>
      </w:r>
      <w:r>
        <w:rPr>
          <w:rFonts w:ascii="Palatino Linotype" w:eastAsia="Calibri" w:hAnsi="Palatino Linotype"/>
          <w:b/>
          <w:bCs/>
          <w:sz w:val="22"/>
          <w:szCs w:val="22"/>
        </w:rPr>
        <w:t>MODIFICA</w:t>
      </w:r>
      <w:r w:rsidRPr="00B71E3E">
        <w:rPr>
          <w:rFonts w:ascii="Palatino Linotype" w:eastAsia="Calibri" w:hAnsi="Palatino Linotype"/>
          <w:b/>
          <w:bCs/>
          <w:sz w:val="22"/>
          <w:szCs w:val="22"/>
        </w:rPr>
        <w:t xml:space="preserve"> </w:t>
      </w:r>
      <w:r w:rsidRPr="00B71E3E">
        <w:rPr>
          <w:rFonts w:ascii="Palatino Linotype" w:eastAsia="Calibri" w:hAnsi="Palatino Linotype"/>
          <w:sz w:val="22"/>
          <w:szCs w:val="22"/>
        </w:rPr>
        <w:t>la</w:t>
      </w:r>
      <w:r w:rsidRPr="00B71E3E">
        <w:rPr>
          <w:rFonts w:ascii="Palatino Linotype" w:eastAsia="Calibri" w:hAnsi="Palatino Linotype"/>
          <w:b/>
          <w:bCs/>
          <w:sz w:val="22"/>
          <w:szCs w:val="22"/>
        </w:rPr>
        <w:t xml:space="preserve"> </w:t>
      </w:r>
      <w:r w:rsidRPr="00B71E3E">
        <w:rPr>
          <w:rFonts w:ascii="Palatino Linotype" w:eastAsia="Calibri" w:hAnsi="Palatino Linotype"/>
          <w:sz w:val="22"/>
          <w:szCs w:val="22"/>
        </w:rPr>
        <w:t xml:space="preserve">respuesta entregada por el </w:t>
      </w:r>
      <w:r>
        <w:rPr>
          <w:rFonts w:ascii="Palatino Linotype" w:hAnsi="Palatino Linotype" w:cs="Tahoma"/>
          <w:color w:val="0D0D0D" w:themeColor="text1" w:themeTint="F2"/>
          <w:sz w:val="22"/>
          <w:szCs w:val="22"/>
        </w:rPr>
        <w:t xml:space="preserve">Ayuntamiento de </w:t>
      </w:r>
      <w:r w:rsidR="00D53680">
        <w:rPr>
          <w:rFonts w:ascii="Palatino Linotype" w:hAnsi="Palatino Linotype" w:cs="Tahoma"/>
          <w:color w:val="0D0D0D" w:themeColor="text1" w:themeTint="F2"/>
          <w:sz w:val="22"/>
          <w:szCs w:val="22"/>
        </w:rPr>
        <w:t>Ecatepec de Morelos</w:t>
      </w:r>
      <w:r>
        <w:rPr>
          <w:rFonts w:ascii="Palatino Linotype" w:hAnsi="Palatino Linotype" w:cs="Tahoma"/>
          <w:color w:val="0D0D0D" w:themeColor="text1" w:themeTint="F2"/>
          <w:sz w:val="22"/>
          <w:szCs w:val="22"/>
        </w:rPr>
        <w:t>,</w:t>
      </w:r>
      <w:r w:rsidRPr="00B71E3E">
        <w:rPr>
          <w:rFonts w:ascii="Palatino Linotype" w:eastAsia="Calibri" w:hAnsi="Palatino Linotype"/>
          <w:sz w:val="22"/>
          <w:szCs w:val="22"/>
        </w:rPr>
        <w:t xml:space="preserve"> a la solicitud de información</w:t>
      </w:r>
      <w:r>
        <w:rPr>
          <w:rFonts w:ascii="Palatino Linotype" w:eastAsia="Calibri" w:hAnsi="Palatino Linotype"/>
          <w:sz w:val="22"/>
          <w:szCs w:val="22"/>
        </w:rPr>
        <w:t xml:space="preserve"> </w:t>
      </w:r>
      <w:r w:rsidR="00D53680" w:rsidRPr="00B52CFA">
        <w:rPr>
          <w:rFonts w:ascii="Palatino Linotype" w:eastAsia="Palatino Linotype" w:hAnsi="Palatino Linotype" w:cs="Palatino Linotype"/>
          <w:sz w:val="22"/>
          <w:szCs w:val="22"/>
        </w:rPr>
        <w:t>00931/ECATEPEC/IP/2025</w:t>
      </w:r>
      <w:r w:rsidR="00D53680">
        <w:rPr>
          <w:rFonts w:ascii="Palatino Linotype" w:eastAsia="Palatino Linotype" w:hAnsi="Palatino Linotype" w:cs="Palatino Linotype"/>
          <w:sz w:val="22"/>
          <w:szCs w:val="22"/>
        </w:rPr>
        <w:t xml:space="preserve"> </w:t>
      </w:r>
      <w:r w:rsidRPr="00B71E3E">
        <w:rPr>
          <w:rFonts w:ascii="Palatino Linotype" w:eastAsia="Calibri" w:hAnsi="Palatino Linotype"/>
          <w:sz w:val="22"/>
          <w:szCs w:val="22"/>
        </w:rPr>
        <w:t>por resultar</w:t>
      </w:r>
      <w:r>
        <w:rPr>
          <w:rFonts w:ascii="Palatino Linotype" w:eastAsia="Calibri" w:hAnsi="Palatino Linotype"/>
          <w:sz w:val="22"/>
          <w:szCs w:val="22"/>
        </w:rPr>
        <w:t xml:space="preserve"> </w:t>
      </w:r>
      <w:r w:rsidRPr="00B71E3E">
        <w:rPr>
          <w:rFonts w:ascii="Palatino Linotype" w:eastAsia="Calibri" w:hAnsi="Palatino Linotype"/>
          <w:b/>
          <w:bCs/>
          <w:caps/>
          <w:sz w:val="22"/>
          <w:szCs w:val="22"/>
        </w:rPr>
        <w:t>fundadas</w:t>
      </w:r>
      <w:r w:rsidRPr="00B71E3E">
        <w:rPr>
          <w:rFonts w:ascii="Palatino Linotype" w:eastAsia="Calibri" w:hAnsi="Palatino Linotype"/>
          <w:sz w:val="22"/>
          <w:szCs w:val="22"/>
        </w:rPr>
        <w:t xml:space="preserve"> las razones o motivos de inconformidad hechos valer por el Recurrente, en términos de los considerandos QUINTO y SEXTO de la presente Resolución.</w:t>
      </w:r>
    </w:p>
    <w:p w14:paraId="4F9D3031" w14:textId="77777777" w:rsidR="00B52CFA" w:rsidRPr="00B71E3E" w:rsidRDefault="00B52CFA" w:rsidP="009E38E7">
      <w:pPr>
        <w:widowControl w:val="0"/>
        <w:spacing w:line="360" w:lineRule="auto"/>
        <w:contextualSpacing/>
        <w:jc w:val="both"/>
        <w:rPr>
          <w:rFonts w:ascii="Palatino Linotype" w:eastAsia="Calibri" w:hAnsi="Palatino Linotype"/>
          <w:sz w:val="22"/>
          <w:szCs w:val="22"/>
        </w:rPr>
      </w:pPr>
    </w:p>
    <w:p w14:paraId="5C4E993F" w14:textId="64539804" w:rsidR="00B52CFA" w:rsidRDefault="00B52CFA" w:rsidP="009E38E7">
      <w:pPr>
        <w:spacing w:line="360" w:lineRule="auto"/>
        <w:contextualSpacing/>
        <w:jc w:val="both"/>
        <w:rPr>
          <w:rFonts w:ascii="Palatino Linotype" w:eastAsia="Calibri" w:hAnsi="Palatino Linotype" w:cs="Tahoma"/>
          <w:sz w:val="22"/>
          <w:szCs w:val="22"/>
        </w:rPr>
      </w:pPr>
      <w:r w:rsidRPr="00B71E3E">
        <w:rPr>
          <w:rFonts w:ascii="Palatino Linotype" w:hAnsi="Palatino Linotype"/>
          <w:b/>
          <w:sz w:val="22"/>
          <w:szCs w:val="22"/>
        </w:rPr>
        <w:t xml:space="preserve">SEGUNDO. </w:t>
      </w:r>
      <w:r w:rsidRPr="00B71E3E">
        <w:rPr>
          <w:rFonts w:ascii="Palatino Linotype" w:hAnsi="Palatino Linotype"/>
          <w:sz w:val="22"/>
          <w:szCs w:val="22"/>
        </w:rPr>
        <w:t xml:space="preserve">Se </w:t>
      </w:r>
      <w:r w:rsidRPr="00B71E3E">
        <w:rPr>
          <w:rFonts w:ascii="Palatino Linotype" w:hAnsi="Palatino Linotype"/>
          <w:b/>
          <w:sz w:val="22"/>
          <w:szCs w:val="22"/>
        </w:rPr>
        <w:t>ORDENA</w:t>
      </w:r>
      <w:r w:rsidRPr="00B71E3E">
        <w:rPr>
          <w:rFonts w:ascii="Palatino Linotype" w:hAnsi="Palatino Linotype"/>
          <w:sz w:val="22"/>
          <w:szCs w:val="22"/>
        </w:rPr>
        <w:t xml:space="preserve"> al Ente Recurrido</w:t>
      </w:r>
      <w:r w:rsidRPr="00B71E3E">
        <w:rPr>
          <w:rFonts w:ascii="Palatino Linotype" w:hAnsi="Palatino Linotype"/>
          <w:b/>
          <w:sz w:val="22"/>
          <w:szCs w:val="22"/>
        </w:rPr>
        <w:t xml:space="preserve">, </w:t>
      </w:r>
      <w:r w:rsidRPr="00B71E3E">
        <w:rPr>
          <w:rFonts w:ascii="Palatino Linotype" w:hAnsi="Palatino Linotype" w:cs="Tahoma"/>
          <w:sz w:val="22"/>
          <w:szCs w:val="22"/>
        </w:rPr>
        <w:t xml:space="preserve">a efecto de que </w:t>
      </w:r>
      <w:r w:rsidRPr="00B71E3E">
        <w:rPr>
          <w:rFonts w:ascii="Palatino Linotype" w:eastAsia="Calibri" w:hAnsi="Palatino Linotype" w:cs="Tahoma"/>
          <w:sz w:val="22"/>
          <w:szCs w:val="22"/>
        </w:rPr>
        <w:t>entregue, a través del SAIMEX, previa búsqueda exhaustiva y razonable</w:t>
      </w:r>
      <w:r>
        <w:rPr>
          <w:rFonts w:ascii="Palatino Linotype" w:eastAsia="Calibri" w:hAnsi="Palatino Linotype" w:cs="Tahoma"/>
          <w:sz w:val="22"/>
          <w:szCs w:val="22"/>
        </w:rPr>
        <w:t xml:space="preserve"> en sus unidades administrativas competentes, los documentos </w:t>
      </w:r>
      <w:r w:rsidR="00091AAC">
        <w:rPr>
          <w:rFonts w:ascii="Palatino Linotype" w:eastAsia="Calibri" w:hAnsi="Palatino Linotype" w:cs="Tahoma"/>
          <w:sz w:val="22"/>
          <w:szCs w:val="22"/>
        </w:rPr>
        <w:t>donde conste</w:t>
      </w:r>
      <w:r>
        <w:rPr>
          <w:rFonts w:ascii="Palatino Linotype" w:eastAsia="Calibri" w:hAnsi="Palatino Linotype" w:cs="Tahoma"/>
          <w:sz w:val="22"/>
          <w:szCs w:val="22"/>
        </w:rPr>
        <w:t xml:space="preserve"> lo siguiente:</w:t>
      </w:r>
    </w:p>
    <w:p w14:paraId="648D241D" w14:textId="77777777" w:rsidR="00671AB8" w:rsidRDefault="00671AB8" w:rsidP="009E38E7">
      <w:pPr>
        <w:spacing w:line="360" w:lineRule="auto"/>
        <w:contextualSpacing/>
        <w:jc w:val="both"/>
        <w:rPr>
          <w:rFonts w:ascii="Palatino Linotype" w:eastAsia="Calibri" w:hAnsi="Palatino Linotype" w:cs="Tahoma"/>
          <w:sz w:val="22"/>
          <w:szCs w:val="22"/>
        </w:rPr>
      </w:pPr>
    </w:p>
    <w:p w14:paraId="4E59F0BC" w14:textId="2BECBCB5" w:rsidR="00B52CFA" w:rsidRPr="00671AB8" w:rsidRDefault="00091AAC" w:rsidP="009E38E7">
      <w:pPr>
        <w:pStyle w:val="Prrafodelista"/>
        <w:widowControl w:val="0"/>
        <w:numPr>
          <w:ilvl w:val="0"/>
          <w:numId w:val="17"/>
        </w:numPr>
        <w:spacing w:line="360" w:lineRule="auto"/>
        <w:jc w:val="both"/>
        <w:rPr>
          <w:rFonts w:ascii="Palatino Linotype" w:eastAsia="Palatino Linotype" w:hAnsi="Palatino Linotype" w:cs="Palatino Linotype"/>
          <w:sz w:val="22"/>
          <w:szCs w:val="22"/>
        </w:rPr>
      </w:pPr>
      <w:r>
        <w:rPr>
          <w:rFonts w:ascii="Palatino Linotype" w:hAnsi="Palatino Linotype" w:cs="Tahoma"/>
          <w:bCs/>
          <w:sz w:val="22"/>
          <w:szCs w:val="22"/>
        </w:rPr>
        <w:t>El número total de</w:t>
      </w:r>
      <w:r w:rsidR="00671AB8">
        <w:rPr>
          <w:rFonts w:ascii="Palatino Linotype" w:hAnsi="Palatino Linotype" w:cs="Tahoma"/>
          <w:bCs/>
          <w:sz w:val="22"/>
          <w:szCs w:val="22"/>
        </w:rPr>
        <w:t xml:space="preserve"> árboles</w:t>
      </w:r>
      <w:r w:rsidR="00671AB8" w:rsidRPr="00BF0053">
        <w:rPr>
          <w:rFonts w:ascii="Palatino Linotype" w:hAnsi="Palatino Linotype" w:cs="Tahoma"/>
          <w:bCs/>
          <w:sz w:val="22"/>
          <w:szCs w:val="22"/>
        </w:rPr>
        <w:t xml:space="preserve"> poda</w:t>
      </w:r>
      <w:r w:rsidR="00671AB8">
        <w:rPr>
          <w:rFonts w:ascii="Palatino Linotype" w:hAnsi="Palatino Linotype" w:cs="Tahoma"/>
          <w:bCs/>
          <w:sz w:val="22"/>
          <w:szCs w:val="22"/>
        </w:rPr>
        <w:t>dos,</w:t>
      </w:r>
      <w:r w:rsidR="00671AB8" w:rsidRPr="00BF0053">
        <w:rPr>
          <w:rFonts w:ascii="Palatino Linotype" w:hAnsi="Palatino Linotype" w:cs="Tahoma"/>
          <w:bCs/>
          <w:sz w:val="22"/>
          <w:szCs w:val="22"/>
        </w:rPr>
        <w:t xml:space="preserve"> derri</w:t>
      </w:r>
      <w:r w:rsidR="00671AB8">
        <w:rPr>
          <w:rFonts w:ascii="Palatino Linotype" w:hAnsi="Palatino Linotype" w:cs="Tahoma"/>
          <w:bCs/>
          <w:sz w:val="22"/>
          <w:szCs w:val="22"/>
        </w:rPr>
        <w:t>bados o trasplantados</w:t>
      </w:r>
      <w:r w:rsidR="00671AB8" w:rsidRPr="00BF0053">
        <w:rPr>
          <w:rFonts w:ascii="Palatino Linotype" w:hAnsi="Palatino Linotype" w:cs="Tahoma"/>
          <w:bCs/>
          <w:sz w:val="22"/>
          <w:szCs w:val="22"/>
        </w:rPr>
        <w:t xml:space="preserve"> realizados por </w:t>
      </w:r>
      <w:r w:rsidR="00671AB8">
        <w:rPr>
          <w:rFonts w:ascii="Palatino Linotype" w:hAnsi="Palatino Linotype" w:cs="Tahoma"/>
          <w:bCs/>
          <w:sz w:val="22"/>
          <w:szCs w:val="22"/>
        </w:rPr>
        <w:t xml:space="preserve">las </w:t>
      </w:r>
      <w:r w:rsidR="00671AB8" w:rsidRPr="00BF0053">
        <w:rPr>
          <w:rFonts w:ascii="Palatino Linotype" w:hAnsi="Palatino Linotype" w:cs="Tahoma"/>
          <w:bCs/>
          <w:sz w:val="22"/>
          <w:szCs w:val="22"/>
        </w:rPr>
        <w:t xml:space="preserve">dependencias municipales y empresas privadas, del primero de enero al veinte de noviembre de dos mil </w:t>
      </w:r>
      <w:r w:rsidRPr="00BF0053">
        <w:rPr>
          <w:rFonts w:ascii="Palatino Linotype" w:hAnsi="Palatino Linotype" w:cs="Tahoma"/>
          <w:bCs/>
          <w:sz w:val="22"/>
          <w:szCs w:val="22"/>
        </w:rPr>
        <w:t>veinticinco.</w:t>
      </w:r>
    </w:p>
    <w:p w14:paraId="715F2C95" w14:textId="77777777" w:rsidR="00B52CFA" w:rsidRPr="00FC40F3" w:rsidRDefault="00B52CFA" w:rsidP="009E38E7">
      <w:pPr>
        <w:pStyle w:val="Prrafodelista"/>
        <w:tabs>
          <w:tab w:val="left" w:pos="4962"/>
        </w:tabs>
        <w:spacing w:line="360" w:lineRule="auto"/>
        <w:jc w:val="both"/>
        <w:rPr>
          <w:rFonts w:ascii="Palatino Linotype" w:eastAsia="Calibri" w:hAnsi="Palatino Linotype" w:cs="Tahoma"/>
          <w:color w:val="000000"/>
          <w:sz w:val="22"/>
          <w:szCs w:val="22"/>
        </w:rPr>
      </w:pPr>
    </w:p>
    <w:p w14:paraId="67354245" w14:textId="52C6F424" w:rsidR="00B52CFA" w:rsidRDefault="00B52CFA" w:rsidP="009E38E7">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lastRenderedPageBreak/>
        <w:t xml:space="preserve">Para el caso, de que no contara con </w:t>
      </w:r>
      <w:r w:rsidR="00671AB8">
        <w:rPr>
          <w:rFonts w:ascii="Palatino Linotype" w:eastAsia="Palatino Linotype" w:hAnsi="Palatino Linotype" w:cs="Palatino Linotype"/>
          <w:sz w:val="22"/>
          <w:szCs w:val="22"/>
        </w:rPr>
        <w:t xml:space="preserve">el grado de desagregación requerida y relacionada con empresas privadas </w:t>
      </w:r>
      <w:r>
        <w:rPr>
          <w:rFonts w:ascii="Palatino Linotype" w:eastAsia="Palatino Linotype" w:hAnsi="Palatino Linotype" w:cs="Palatino Linotype"/>
          <w:sz w:val="22"/>
          <w:szCs w:val="22"/>
        </w:rPr>
        <w:t xml:space="preserve">al no haberse generado, bastará con que lo haga del conocimiento del Particular de manera precisa y clara. </w:t>
      </w:r>
    </w:p>
    <w:p w14:paraId="013C479B" w14:textId="77777777" w:rsidR="00B52CFA" w:rsidRDefault="00B52CFA" w:rsidP="009E38E7">
      <w:pPr>
        <w:spacing w:line="360" w:lineRule="auto"/>
        <w:contextualSpacing/>
        <w:jc w:val="both"/>
        <w:rPr>
          <w:rFonts w:ascii="Palatino Linotype" w:hAnsi="Palatino Linotype" w:cs="Tahoma"/>
          <w:bCs/>
          <w:iCs/>
          <w:sz w:val="22"/>
          <w:szCs w:val="22"/>
        </w:rPr>
      </w:pPr>
    </w:p>
    <w:p w14:paraId="0093C66D" w14:textId="77777777" w:rsidR="00B52CFA" w:rsidRPr="00B71E3E" w:rsidRDefault="00B52CFA" w:rsidP="009E38E7">
      <w:pPr>
        <w:spacing w:line="360" w:lineRule="auto"/>
        <w:contextualSpacing/>
        <w:jc w:val="both"/>
        <w:rPr>
          <w:rFonts w:ascii="Palatino Linotype" w:eastAsia="Calibri" w:hAnsi="Palatino Linotype" w:cs="Tahoma"/>
          <w:iCs/>
          <w:sz w:val="22"/>
          <w:szCs w:val="22"/>
        </w:rPr>
      </w:pPr>
      <w:r w:rsidRPr="00B71E3E">
        <w:rPr>
          <w:rFonts w:ascii="Palatino Linotype" w:eastAsia="Calibri" w:hAnsi="Palatino Linotype" w:cs="Tahoma"/>
          <w:b/>
          <w:bCs/>
          <w:iCs/>
          <w:sz w:val="22"/>
          <w:szCs w:val="22"/>
        </w:rPr>
        <w:t>TERCERO. NOTIFÍQUESE POR SAIMEX</w:t>
      </w:r>
      <w:r w:rsidRPr="00B71E3E">
        <w:rPr>
          <w:rFonts w:ascii="Palatino Linotype" w:eastAsia="Calibri" w:hAnsi="Palatino Linotype" w:cs="Tahoma"/>
          <w:iCs/>
          <w:sz w:val="22"/>
          <w:szCs w:val="22"/>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se le apercibe que en caso de negarse a cumplir la presente resolución o hacerlo de manera parcial, se le impondrá una medida de apremio de conformidad con lo previsto en los artículos 198, 200, fracción III, 214, 215 y 216 de la Ley referida.</w:t>
      </w:r>
    </w:p>
    <w:p w14:paraId="402FF128" w14:textId="77777777" w:rsidR="00B52CFA" w:rsidRPr="00B71E3E" w:rsidRDefault="00B52CFA" w:rsidP="009E38E7">
      <w:pPr>
        <w:spacing w:line="360" w:lineRule="auto"/>
        <w:contextualSpacing/>
        <w:jc w:val="both"/>
        <w:rPr>
          <w:rFonts w:ascii="Palatino Linotype" w:eastAsia="Calibri" w:hAnsi="Palatino Linotype" w:cs="Tahoma"/>
          <w:iCs/>
          <w:sz w:val="22"/>
          <w:szCs w:val="22"/>
        </w:rPr>
      </w:pPr>
      <w:r w:rsidRPr="00B71E3E">
        <w:rPr>
          <w:rFonts w:ascii="Palatino Linotype" w:eastAsia="Calibri" w:hAnsi="Palatino Linotype" w:cs="Tahoma"/>
          <w:iCs/>
          <w:sz w:val="22"/>
          <w:szCs w:val="22"/>
        </w:rPr>
        <w:t xml:space="preserve"> </w:t>
      </w:r>
    </w:p>
    <w:p w14:paraId="0A435B4B" w14:textId="77777777" w:rsidR="00B52CFA" w:rsidRPr="00B71E3E" w:rsidRDefault="00B52CFA" w:rsidP="009E38E7">
      <w:pPr>
        <w:spacing w:line="360" w:lineRule="auto"/>
        <w:contextualSpacing/>
        <w:jc w:val="both"/>
        <w:rPr>
          <w:rFonts w:ascii="Palatino Linotype" w:eastAsia="Calibri" w:hAnsi="Palatino Linotype" w:cs="Tahoma"/>
          <w:iCs/>
          <w:sz w:val="22"/>
          <w:szCs w:val="22"/>
        </w:rPr>
      </w:pPr>
      <w:r w:rsidRPr="00B71E3E">
        <w:rPr>
          <w:rFonts w:ascii="Palatino Linotype" w:eastAsia="Calibri" w:hAnsi="Palatino Linotype" w:cs="Tahoma"/>
          <w:iCs/>
          <w:sz w:val="22"/>
          <w:szCs w:val="22"/>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5512099D" w14:textId="77777777" w:rsidR="00B52CFA" w:rsidRPr="00B71E3E" w:rsidRDefault="00B52CFA" w:rsidP="009E38E7">
      <w:pPr>
        <w:spacing w:line="360" w:lineRule="auto"/>
        <w:contextualSpacing/>
        <w:jc w:val="both"/>
        <w:rPr>
          <w:rFonts w:ascii="Palatino Linotype" w:eastAsia="Calibri" w:hAnsi="Palatino Linotype" w:cs="Tahoma"/>
          <w:iCs/>
          <w:sz w:val="22"/>
          <w:szCs w:val="22"/>
        </w:rPr>
      </w:pPr>
      <w:r w:rsidRPr="00B71E3E">
        <w:rPr>
          <w:rFonts w:ascii="Palatino Linotype" w:eastAsia="Calibri" w:hAnsi="Palatino Linotype" w:cs="Tahoma"/>
          <w:iCs/>
          <w:sz w:val="22"/>
          <w:szCs w:val="22"/>
        </w:rPr>
        <w:t xml:space="preserve"> </w:t>
      </w:r>
    </w:p>
    <w:p w14:paraId="30079CCF" w14:textId="77777777" w:rsidR="00B52CFA" w:rsidRDefault="00B52CFA" w:rsidP="009E38E7">
      <w:pPr>
        <w:spacing w:line="360" w:lineRule="auto"/>
        <w:contextualSpacing/>
        <w:jc w:val="both"/>
        <w:rPr>
          <w:rFonts w:ascii="Palatino Linotype" w:eastAsia="Calibri" w:hAnsi="Palatino Linotype" w:cs="Tahoma"/>
          <w:iCs/>
          <w:sz w:val="22"/>
          <w:szCs w:val="22"/>
        </w:rPr>
      </w:pPr>
      <w:r w:rsidRPr="00B71E3E">
        <w:rPr>
          <w:rFonts w:ascii="Palatino Linotype" w:eastAsia="Calibri" w:hAnsi="Palatino Linotype" w:cs="Tahoma"/>
          <w:b/>
          <w:bCs/>
          <w:iCs/>
          <w:sz w:val="22"/>
          <w:szCs w:val="22"/>
        </w:rPr>
        <w:t>CUARTO. NOTIFÍQUESE POR SAIMEX</w:t>
      </w:r>
      <w:r w:rsidRPr="00B71E3E">
        <w:rPr>
          <w:rFonts w:ascii="Palatino Linotype" w:eastAsia="Calibri" w:hAnsi="Palatino Linotype" w:cs="Tahoma"/>
          <w:iCs/>
          <w:sz w:val="22"/>
          <w:szCs w:val="22"/>
        </w:rPr>
        <w:t xml:space="preserve"> al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2F1783B2" w14:textId="77777777" w:rsidR="00B52CFA" w:rsidRDefault="00B52CFA" w:rsidP="009E38E7">
      <w:pPr>
        <w:spacing w:line="360" w:lineRule="auto"/>
        <w:contextualSpacing/>
        <w:jc w:val="both"/>
        <w:rPr>
          <w:rFonts w:ascii="Palatino Linotype" w:eastAsia="Calibri" w:hAnsi="Palatino Linotype" w:cs="Tahoma"/>
          <w:iCs/>
          <w:sz w:val="22"/>
          <w:szCs w:val="22"/>
        </w:rPr>
      </w:pPr>
    </w:p>
    <w:p w14:paraId="34241CFB" w14:textId="228587D0" w:rsidR="00B52CFA" w:rsidRDefault="00B52CFA" w:rsidP="009E38E7">
      <w:pPr>
        <w:spacing w:line="360" w:lineRule="auto"/>
        <w:contextualSpacing/>
        <w:jc w:val="both"/>
        <w:rPr>
          <w:rFonts w:ascii="Palatino Linotype" w:hAnsi="Palatino Linotype" w:cs="Tahoma"/>
          <w:bCs/>
          <w:iCs/>
          <w:sz w:val="22"/>
          <w:szCs w:val="22"/>
        </w:rPr>
      </w:pPr>
      <w:r w:rsidRPr="00B71E3E">
        <w:rPr>
          <w:rFonts w:ascii="Palatino Linotype" w:eastAsia="Calibri" w:hAnsi="Palatino Linotype" w:cs="Tahoma"/>
          <w:iCs/>
          <w:sz w:val="22"/>
          <w:szCs w:val="22"/>
        </w:rPr>
        <w:t xml:space="preserve">ASÍ LO RESUELVE, POR </w:t>
      </w:r>
      <w:r w:rsidRPr="00B71E3E">
        <w:rPr>
          <w:rFonts w:ascii="Palatino Linotype" w:eastAsia="Calibri" w:hAnsi="Palatino Linotype" w:cs="Tahoma"/>
          <w:b/>
          <w:bCs/>
          <w:iCs/>
          <w:sz w:val="22"/>
          <w:szCs w:val="22"/>
        </w:rPr>
        <w:t>UNANIMIDAD</w:t>
      </w:r>
      <w:r w:rsidRPr="00B71E3E">
        <w:rPr>
          <w:rFonts w:ascii="Palatino Linotype" w:eastAsia="Calibri" w:hAnsi="Palatino Linotype" w:cs="Tahoma"/>
          <w:iCs/>
          <w:sz w:val="22"/>
          <w:szCs w:val="22"/>
        </w:rPr>
        <w:t xml:space="preserve"> DE VOTOS EL PLENO DEL INSTITUTO DE TRANSPARENCIA, ACCESO A LA INFORMACIÓN PÚBLICA Y PROTECCIÓN DE </w:t>
      </w:r>
      <w:r w:rsidRPr="00B71E3E">
        <w:rPr>
          <w:rFonts w:ascii="Palatino Linotype" w:eastAsia="Calibri" w:hAnsi="Palatino Linotype" w:cs="Tahoma"/>
          <w:iCs/>
          <w:sz w:val="22"/>
          <w:szCs w:val="22"/>
        </w:rPr>
        <w:lastRenderedPageBreak/>
        <w:t xml:space="preserve">DATOS PERSONALES DEL ESTADO DE MÉXICO Y MUNICIPIOS, CONFORMADO POR LOS COMISIONADOS JOSÉ MARTÍNEZ VILCHIS, MARÍA DEL ROSARIO MEJÍA AYALA, SHARON CRISTINA MORALES MARTÍNEZ, LUIS GUSTAVO PARRA NORIEGA Y GUADALUPE RAMÍREZ PEÑA, EN LA </w:t>
      </w:r>
      <w:r w:rsidR="00671AB8">
        <w:rPr>
          <w:rFonts w:ascii="Palatino Linotype" w:eastAsia="Calibri" w:hAnsi="Palatino Linotype" w:cs="Tahoma"/>
          <w:iCs/>
          <w:sz w:val="22"/>
          <w:szCs w:val="22"/>
        </w:rPr>
        <w:t xml:space="preserve">SÉPTIMA </w:t>
      </w:r>
      <w:r w:rsidRPr="00B71E3E">
        <w:rPr>
          <w:rFonts w:ascii="Palatino Linotype" w:eastAsia="Calibri" w:hAnsi="Palatino Linotype" w:cs="Tahoma"/>
          <w:iCs/>
          <w:sz w:val="22"/>
          <w:szCs w:val="22"/>
        </w:rPr>
        <w:t xml:space="preserve">SESIÓN ORDINARIA, CELEBRADA EL </w:t>
      </w:r>
      <w:r w:rsidR="00671AB8">
        <w:rPr>
          <w:rFonts w:ascii="Palatino Linotype" w:eastAsia="Calibri" w:hAnsi="Palatino Linotype" w:cs="Tahoma"/>
          <w:iCs/>
          <w:sz w:val="22"/>
          <w:szCs w:val="22"/>
        </w:rPr>
        <w:t xml:space="preserve">VEINTICINCO DE FEBERERO </w:t>
      </w:r>
      <w:r w:rsidRPr="00B71E3E">
        <w:rPr>
          <w:rFonts w:ascii="Palatino Linotype" w:eastAsia="Calibri" w:hAnsi="Palatino Linotype" w:cs="Tahoma"/>
          <w:iCs/>
          <w:sz w:val="22"/>
          <w:szCs w:val="22"/>
        </w:rPr>
        <w:t>DE DOS MIL VEINTI</w:t>
      </w:r>
      <w:r w:rsidR="00671AB8">
        <w:rPr>
          <w:rFonts w:ascii="Palatino Linotype" w:eastAsia="Calibri" w:hAnsi="Palatino Linotype" w:cs="Tahoma"/>
          <w:iCs/>
          <w:sz w:val="22"/>
          <w:szCs w:val="22"/>
        </w:rPr>
        <w:t>SÉIS</w:t>
      </w:r>
      <w:r w:rsidRPr="00B71E3E">
        <w:rPr>
          <w:rFonts w:ascii="Palatino Linotype" w:eastAsia="Calibri" w:hAnsi="Palatino Linotype" w:cs="Tahoma"/>
          <w:iCs/>
          <w:sz w:val="22"/>
          <w:szCs w:val="22"/>
        </w:rPr>
        <w:t>, ANTE EL SECRETARIO TÉCNICO DEL PLENO, ALEXIS TAPIA RAMÍREZ.</w:t>
      </w:r>
    </w:p>
    <w:p w14:paraId="68789070" w14:textId="77777777" w:rsidR="00B52CFA" w:rsidRDefault="00B52CFA" w:rsidP="009E38E7">
      <w:pPr>
        <w:spacing w:line="360" w:lineRule="auto"/>
        <w:contextualSpacing/>
        <w:jc w:val="both"/>
        <w:rPr>
          <w:rFonts w:ascii="Palatino Linotype" w:eastAsia="Palatino Linotype" w:hAnsi="Palatino Linotype" w:cs="Palatino Linotype"/>
          <w:sz w:val="22"/>
          <w:szCs w:val="22"/>
        </w:rPr>
      </w:pPr>
    </w:p>
    <w:p w14:paraId="744A0EEC" w14:textId="77777777" w:rsidR="00B52CFA" w:rsidRDefault="00B52CFA" w:rsidP="009E38E7">
      <w:pPr>
        <w:spacing w:line="360" w:lineRule="auto"/>
        <w:contextualSpacing/>
        <w:rPr>
          <w:rFonts w:ascii="Palatino Linotype" w:eastAsia="Palatino Linotype" w:hAnsi="Palatino Linotype" w:cs="Palatino Linotype"/>
        </w:rPr>
      </w:pPr>
    </w:p>
    <w:p w14:paraId="582B65B3" w14:textId="77777777" w:rsidR="00B52CFA" w:rsidRDefault="00B52CFA" w:rsidP="009E38E7">
      <w:pPr>
        <w:spacing w:line="360" w:lineRule="auto"/>
        <w:contextualSpacing/>
        <w:rPr>
          <w:rFonts w:ascii="Palatino Linotype" w:eastAsia="Palatino Linotype" w:hAnsi="Palatino Linotype" w:cs="Palatino Linotype"/>
        </w:rPr>
      </w:pPr>
    </w:p>
    <w:p w14:paraId="13E96882" w14:textId="77777777" w:rsidR="00B52CFA" w:rsidRDefault="00B52CFA" w:rsidP="009E38E7">
      <w:pPr>
        <w:spacing w:line="360" w:lineRule="auto"/>
        <w:contextualSpacing/>
        <w:rPr>
          <w:rFonts w:ascii="Palatino Linotype" w:eastAsia="Palatino Linotype" w:hAnsi="Palatino Linotype" w:cs="Palatino Linotype"/>
        </w:rPr>
      </w:pPr>
    </w:p>
    <w:p w14:paraId="7C5B0CF4" w14:textId="77777777" w:rsidR="00B52CFA" w:rsidRDefault="00B52CFA" w:rsidP="009E38E7">
      <w:pPr>
        <w:spacing w:line="360" w:lineRule="auto"/>
        <w:contextualSpacing/>
        <w:rPr>
          <w:rFonts w:ascii="Palatino Linotype" w:eastAsia="Palatino Linotype" w:hAnsi="Palatino Linotype" w:cs="Palatino Linotype"/>
        </w:rPr>
      </w:pPr>
    </w:p>
    <w:p w14:paraId="4C0CE2A7" w14:textId="77777777" w:rsidR="00B52CFA" w:rsidRDefault="00B52CFA" w:rsidP="009E38E7">
      <w:pPr>
        <w:spacing w:line="360" w:lineRule="auto"/>
        <w:contextualSpacing/>
        <w:rPr>
          <w:rFonts w:ascii="Palatino Linotype" w:eastAsia="Palatino Linotype" w:hAnsi="Palatino Linotype" w:cs="Palatino Linotype"/>
        </w:rPr>
      </w:pPr>
    </w:p>
    <w:p w14:paraId="255FFDCE" w14:textId="77777777" w:rsidR="00B52CFA" w:rsidRDefault="00B52CFA" w:rsidP="009E38E7">
      <w:pPr>
        <w:spacing w:line="360" w:lineRule="auto"/>
        <w:contextualSpacing/>
        <w:rPr>
          <w:rFonts w:ascii="Palatino Linotype" w:eastAsia="Palatino Linotype" w:hAnsi="Palatino Linotype" w:cs="Palatino Linotype"/>
        </w:rPr>
      </w:pPr>
    </w:p>
    <w:p w14:paraId="6E989935" w14:textId="77777777" w:rsidR="00B52CFA" w:rsidRDefault="00B52CFA" w:rsidP="009E38E7">
      <w:pPr>
        <w:spacing w:line="360" w:lineRule="auto"/>
        <w:contextualSpacing/>
        <w:rPr>
          <w:rFonts w:ascii="Palatino Linotype" w:eastAsia="Palatino Linotype" w:hAnsi="Palatino Linotype" w:cs="Palatino Linotype"/>
        </w:rPr>
      </w:pPr>
    </w:p>
    <w:p w14:paraId="6F3A6A21" w14:textId="77777777" w:rsidR="00B52CFA" w:rsidRDefault="00B52CFA" w:rsidP="009E38E7">
      <w:pPr>
        <w:spacing w:line="360" w:lineRule="auto"/>
        <w:contextualSpacing/>
        <w:rPr>
          <w:rFonts w:ascii="Palatino Linotype" w:eastAsia="Palatino Linotype" w:hAnsi="Palatino Linotype" w:cs="Palatino Linotype"/>
        </w:rPr>
      </w:pPr>
    </w:p>
    <w:p w14:paraId="2F067923" w14:textId="77777777" w:rsidR="00B52CFA" w:rsidRDefault="00B52CFA" w:rsidP="009E38E7">
      <w:pPr>
        <w:spacing w:line="360" w:lineRule="auto"/>
        <w:contextualSpacing/>
        <w:rPr>
          <w:rFonts w:ascii="Palatino Linotype" w:eastAsia="Palatino Linotype" w:hAnsi="Palatino Linotype" w:cs="Palatino Linotype"/>
        </w:rPr>
      </w:pPr>
    </w:p>
    <w:p w14:paraId="26620504" w14:textId="77777777" w:rsidR="00B52CFA" w:rsidRDefault="00B52CFA" w:rsidP="009E38E7">
      <w:pPr>
        <w:spacing w:line="360" w:lineRule="auto"/>
        <w:contextualSpacing/>
        <w:rPr>
          <w:rFonts w:ascii="Palatino Linotype" w:eastAsia="Palatino Linotype" w:hAnsi="Palatino Linotype" w:cs="Palatino Linotype"/>
        </w:rPr>
      </w:pPr>
    </w:p>
    <w:p w14:paraId="19672101" w14:textId="77777777" w:rsidR="00B52CFA" w:rsidRDefault="00B52CFA" w:rsidP="009E38E7">
      <w:pPr>
        <w:spacing w:line="360" w:lineRule="auto"/>
        <w:contextualSpacing/>
        <w:rPr>
          <w:rFonts w:ascii="Palatino Linotype" w:eastAsia="Palatino Linotype" w:hAnsi="Palatino Linotype" w:cs="Palatino Linotype"/>
        </w:rPr>
      </w:pPr>
    </w:p>
    <w:p w14:paraId="2469DFD5" w14:textId="77777777" w:rsidR="00B52CFA" w:rsidRDefault="00B52CFA" w:rsidP="009E38E7">
      <w:pPr>
        <w:spacing w:line="360" w:lineRule="auto"/>
        <w:contextualSpacing/>
        <w:rPr>
          <w:rFonts w:ascii="Palatino Linotype" w:eastAsia="Palatino Linotype" w:hAnsi="Palatino Linotype" w:cs="Palatino Linotype"/>
        </w:rPr>
      </w:pPr>
    </w:p>
    <w:p w14:paraId="0CBCB843" w14:textId="77777777" w:rsidR="00B52CFA" w:rsidRDefault="00B52CFA" w:rsidP="009E38E7">
      <w:pPr>
        <w:spacing w:line="360" w:lineRule="auto"/>
        <w:contextualSpacing/>
        <w:rPr>
          <w:rFonts w:ascii="Palatino Linotype" w:eastAsia="Palatino Linotype" w:hAnsi="Palatino Linotype" w:cs="Palatino Linotype"/>
        </w:rPr>
      </w:pPr>
    </w:p>
    <w:p w14:paraId="3EF59990" w14:textId="77777777" w:rsidR="00B52CFA" w:rsidRDefault="00B52CFA" w:rsidP="009E38E7">
      <w:pPr>
        <w:spacing w:line="360" w:lineRule="auto"/>
        <w:contextualSpacing/>
        <w:rPr>
          <w:rFonts w:ascii="Palatino Linotype" w:eastAsia="Palatino Linotype" w:hAnsi="Palatino Linotype" w:cs="Palatino Linotype"/>
        </w:rPr>
      </w:pPr>
    </w:p>
    <w:p w14:paraId="6F10FE21" w14:textId="77777777" w:rsidR="00B52CFA" w:rsidRDefault="00B52CFA" w:rsidP="009E38E7">
      <w:pPr>
        <w:spacing w:line="360" w:lineRule="auto"/>
        <w:contextualSpacing/>
      </w:pPr>
    </w:p>
    <w:p w14:paraId="79F22980" w14:textId="77777777" w:rsidR="00B52CFA" w:rsidRDefault="00B52CFA" w:rsidP="009E38E7">
      <w:pPr>
        <w:spacing w:line="360" w:lineRule="auto"/>
        <w:contextualSpacing/>
      </w:pPr>
    </w:p>
    <w:p w14:paraId="5A2F1AE5" w14:textId="77777777" w:rsidR="00B52CFA" w:rsidRDefault="00B52CFA" w:rsidP="009E38E7">
      <w:pPr>
        <w:spacing w:line="360" w:lineRule="auto"/>
        <w:contextualSpacing/>
      </w:pPr>
    </w:p>
    <w:p w14:paraId="5C27A5B9" w14:textId="77777777" w:rsidR="00B52CFA" w:rsidRDefault="00B52CFA" w:rsidP="009E38E7">
      <w:pPr>
        <w:spacing w:line="360" w:lineRule="auto"/>
        <w:contextualSpacing/>
      </w:pPr>
    </w:p>
    <w:p w14:paraId="780D7E93" w14:textId="77777777" w:rsidR="00B52CFA" w:rsidRDefault="00B52CFA" w:rsidP="009E38E7">
      <w:pPr>
        <w:spacing w:line="360" w:lineRule="auto"/>
        <w:contextualSpacing/>
      </w:pPr>
    </w:p>
    <w:p w14:paraId="38BDBB79" w14:textId="77777777" w:rsidR="00B52CFA" w:rsidRDefault="00B52CFA" w:rsidP="009E38E7">
      <w:pPr>
        <w:spacing w:line="360" w:lineRule="auto"/>
        <w:contextualSpacing/>
      </w:pPr>
    </w:p>
    <w:p w14:paraId="61CDE45A" w14:textId="77777777" w:rsidR="00B52CFA" w:rsidRDefault="00B52CFA" w:rsidP="009E38E7">
      <w:pPr>
        <w:spacing w:line="360" w:lineRule="auto"/>
        <w:contextualSpacing/>
      </w:pPr>
    </w:p>
    <w:p w14:paraId="32BE30E8" w14:textId="77777777" w:rsidR="00B52CFA" w:rsidRDefault="00B52CFA" w:rsidP="009E38E7">
      <w:pPr>
        <w:spacing w:line="360" w:lineRule="auto"/>
        <w:contextualSpacing/>
      </w:pPr>
    </w:p>
    <w:p w14:paraId="4566F073" w14:textId="77777777" w:rsidR="00B52CFA" w:rsidRDefault="00B52CFA" w:rsidP="009E38E7">
      <w:pPr>
        <w:spacing w:line="360" w:lineRule="auto"/>
        <w:contextualSpacing/>
      </w:pPr>
    </w:p>
    <w:p w14:paraId="19234026" w14:textId="77777777" w:rsidR="00B52CFA" w:rsidRDefault="00B52CFA" w:rsidP="009E38E7">
      <w:pPr>
        <w:spacing w:line="360" w:lineRule="auto"/>
        <w:contextualSpacing/>
      </w:pPr>
    </w:p>
    <w:p w14:paraId="7860B982" w14:textId="77777777" w:rsidR="00B52CFA" w:rsidRDefault="00B52CFA" w:rsidP="009E38E7">
      <w:pPr>
        <w:spacing w:line="360" w:lineRule="auto"/>
        <w:contextualSpacing/>
      </w:pPr>
    </w:p>
    <w:p w14:paraId="31B9A9E9" w14:textId="77777777" w:rsidR="00B52CFA" w:rsidRDefault="00B52CFA" w:rsidP="009E38E7">
      <w:pPr>
        <w:spacing w:line="360" w:lineRule="auto"/>
        <w:contextualSpacing/>
      </w:pPr>
    </w:p>
    <w:p w14:paraId="3AB828E3" w14:textId="77777777" w:rsidR="00B52CFA" w:rsidRDefault="00B52CFA" w:rsidP="009E38E7">
      <w:pPr>
        <w:spacing w:line="360" w:lineRule="auto"/>
        <w:contextualSpacing/>
      </w:pPr>
    </w:p>
    <w:p w14:paraId="46054CC1" w14:textId="77777777" w:rsidR="00B52CFA" w:rsidRDefault="00B52CFA" w:rsidP="009E38E7">
      <w:pPr>
        <w:spacing w:line="360" w:lineRule="auto"/>
        <w:contextualSpacing/>
      </w:pPr>
    </w:p>
    <w:p w14:paraId="545E5C1B" w14:textId="77777777" w:rsidR="00B52CFA" w:rsidRDefault="00B52CFA" w:rsidP="009E38E7">
      <w:pPr>
        <w:spacing w:line="360" w:lineRule="auto"/>
        <w:contextualSpacing/>
      </w:pPr>
    </w:p>
    <w:p w14:paraId="43006966" w14:textId="77777777" w:rsidR="00B52CFA" w:rsidRDefault="00B52CFA" w:rsidP="009E38E7">
      <w:pPr>
        <w:spacing w:line="360" w:lineRule="auto"/>
        <w:contextualSpacing/>
      </w:pPr>
    </w:p>
    <w:bookmarkEnd w:id="0"/>
    <w:p w14:paraId="01D855FC" w14:textId="77777777" w:rsidR="00B52CFA" w:rsidRDefault="00B52CFA" w:rsidP="009E38E7">
      <w:pPr>
        <w:spacing w:line="360" w:lineRule="auto"/>
        <w:contextualSpacing/>
      </w:pPr>
    </w:p>
    <w:p w14:paraId="6367558C" w14:textId="77777777" w:rsidR="00B52CFA" w:rsidRDefault="00B52CFA" w:rsidP="009E38E7">
      <w:pPr>
        <w:spacing w:line="360" w:lineRule="auto"/>
        <w:contextualSpacing/>
      </w:pPr>
    </w:p>
    <w:p w14:paraId="0E49D420" w14:textId="77777777" w:rsidR="00B52CFA" w:rsidRDefault="00B52CFA" w:rsidP="009E38E7">
      <w:pPr>
        <w:spacing w:line="360" w:lineRule="auto"/>
        <w:contextualSpacing/>
      </w:pPr>
    </w:p>
    <w:p w14:paraId="415B8832" w14:textId="77777777" w:rsidR="00B01980" w:rsidRDefault="00B01980" w:rsidP="009E38E7">
      <w:pPr>
        <w:spacing w:line="360" w:lineRule="auto"/>
        <w:contextualSpacing/>
      </w:pPr>
    </w:p>
    <w:sectPr w:rsidR="00B01980" w:rsidSect="00B52CFA">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5E76C" w14:textId="77777777" w:rsidR="00B12451" w:rsidRDefault="00B12451" w:rsidP="00B52CFA">
      <w:r>
        <w:separator/>
      </w:r>
    </w:p>
  </w:endnote>
  <w:endnote w:type="continuationSeparator" w:id="0">
    <w:p w14:paraId="357135B0" w14:textId="77777777" w:rsidR="00B12451" w:rsidRDefault="00B12451" w:rsidP="00B52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F2270" w14:textId="77777777" w:rsidR="00B52CFA" w:rsidRDefault="00B52CFA">
    <w:pPr>
      <w:pBdr>
        <w:top w:val="nil"/>
        <w:left w:val="nil"/>
        <w:bottom w:val="nil"/>
        <w:right w:val="nil"/>
        <w:between w:val="nil"/>
      </w:pBdr>
      <w:tabs>
        <w:tab w:val="center" w:pos="4419"/>
        <w:tab w:val="right" w:pos="8838"/>
      </w:tabs>
      <w:jc w:val="right"/>
      <w:rPr>
        <w:color w:val="000000"/>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PAGE</w:instrText>
    </w:r>
    <w:r>
      <w:rPr>
        <w:rFonts w:ascii="Palatino Linotype" w:eastAsia="Palatino Linotype" w:hAnsi="Palatino Linotype" w:cs="Palatino Linotype"/>
        <w:b/>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NUMPAGES</w:instrText>
    </w:r>
    <w:r>
      <w:rPr>
        <w:rFonts w:ascii="Palatino Linotype" w:eastAsia="Palatino Linotype" w:hAnsi="Palatino Linotype" w:cs="Palatino Linotype"/>
        <w:b/>
        <w:color w:val="000000"/>
        <w:sz w:val="22"/>
        <w:szCs w:val="22"/>
      </w:rPr>
      <w:fldChar w:fldCharType="separate"/>
    </w:r>
    <w:r>
      <w:rPr>
        <w:rFonts w:ascii="Palatino Linotype" w:eastAsia="Palatino Linotype" w:hAnsi="Palatino Linotype" w:cs="Palatino Linotype"/>
        <w:b/>
        <w:noProof/>
        <w:color w:val="000000"/>
        <w:sz w:val="22"/>
        <w:szCs w:val="22"/>
      </w:rPr>
      <w:t>80</w:t>
    </w:r>
    <w:r>
      <w:rPr>
        <w:rFonts w:ascii="Palatino Linotype" w:eastAsia="Palatino Linotype" w:hAnsi="Palatino Linotype" w:cs="Palatino Linotype"/>
        <w:b/>
        <w:color w:val="000000"/>
        <w:sz w:val="22"/>
        <w:szCs w:val="22"/>
      </w:rPr>
      <w:fldChar w:fldCharType="end"/>
    </w:r>
  </w:p>
  <w:p w14:paraId="6FD9145A" w14:textId="77777777" w:rsidR="00B52CFA" w:rsidRDefault="00B52CFA">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5E70B" w14:textId="77777777" w:rsidR="00B52CFA" w:rsidRDefault="00B52CFA">
    <w:pPr>
      <w:pBdr>
        <w:top w:val="nil"/>
        <w:left w:val="nil"/>
        <w:bottom w:val="nil"/>
        <w:right w:val="nil"/>
        <w:between w:val="nil"/>
      </w:pBdr>
      <w:tabs>
        <w:tab w:val="center" w:pos="4419"/>
        <w:tab w:val="right" w:pos="8838"/>
      </w:tabs>
      <w:jc w:val="right"/>
      <w:rPr>
        <w:color w:val="000000"/>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PAGE</w:instrText>
    </w:r>
    <w:r>
      <w:rPr>
        <w:rFonts w:ascii="Palatino Linotype" w:eastAsia="Palatino Linotype" w:hAnsi="Palatino Linotype" w:cs="Palatino Linotype"/>
        <w:b/>
        <w:color w:val="000000"/>
        <w:sz w:val="22"/>
        <w:szCs w:val="22"/>
      </w:rPr>
      <w:fldChar w:fldCharType="separate"/>
    </w:r>
    <w:r>
      <w:rPr>
        <w:rFonts w:ascii="Palatino Linotype" w:eastAsia="Palatino Linotype" w:hAnsi="Palatino Linotype" w:cs="Palatino Linotype"/>
        <w:b/>
        <w:noProof/>
        <w:color w:val="000000"/>
        <w:sz w:val="22"/>
        <w:szCs w:val="22"/>
      </w:rPr>
      <w:t>79</w:t>
    </w:r>
    <w:r>
      <w:rPr>
        <w:rFonts w:ascii="Palatino Linotype" w:eastAsia="Palatino Linotype" w:hAnsi="Palatino Linotype" w:cs="Palatino Linotype"/>
        <w:b/>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NUMPAGES</w:instrText>
    </w:r>
    <w:r>
      <w:rPr>
        <w:rFonts w:ascii="Palatino Linotype" w:eastAsia="Palatino Linotype" w:hAnsi="Palatino Linotype" w:cs="Palatino Linotype"/>
        <w:b/>
        <w:color w:val="000000"/>
        <w:sz w:val="22"/>
        <w:szCs w:val="22"/>
      </w:rPr>
      <w:fldChar w:fldCharType="separate"/>
    </w:r>
    <w:r>
      <w:rPr>
        <w:rFonts w:ascii="Palatino Linotype" w:eastAsia="Palatino Linotype" w:hAnsi="Palatino Linotype" w:cs="Palatino Linotype"/>
        <w:b/>
        <w:noProof/>
        <w:color w:val="000000"/>
        <w:sz w:val="22"/>
        <w:szCs w:val="22"/>
      </w:rPr>
      <w:t>80</w:t>
    </w:r>
    <w:r>
      <w:rPr>
        <w:rFonts w:ascii="Palatino Linotype" w:eastAsia="Palatino Linotype" w:hAnsi="Palatino Linotype" w:cs="Palatino Linotype"/>
        <w:b/>
        <w:color w:val="000000"/>
        <w:sz w:val="22"/>
        <w:szCs w:val="22"/>
      </w:rPr>
      <w:fldChar w:fldCharType="end"/>
    </w:r>
  </w:p>
  <w:p w14:paraId="090D8C8E" w14:textId="77777777" w:rsidR="00B52CFA" w:rsidRDefault="00B52CFA">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1670F" w14:textId="77777777" w:rsidR="00B52CFA" w:rsidRDefault="00B52CFA">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PAGE</w:instrText>
    </w:r>
    <w:r>
      <w:rPr>
        <w:rFonts w:ascii="Palatino Linotype" w:eastAsia="Palatino Linotype" w:hAnsi="Palatino Linotype" w:cs="Palatino Linotype"/>
        <w:b/>
        <w:color w:val="000000"/>
        <w:sz w:val="22"/>
        <w:szCs w:val="22"/>
      </w:rPr>
      <w:fldChar w:fldCharType="separate"/>
    </w:r>
    <w:r>
      <w:rPr>
        <w:rFonts w:ascii="Palatino Linotype" w:eastAsia="Palatino Linotype" w:hAnsi="Palatino Linotype" w:cs="Palatino Linotype"/>
        <w:b/>
        <w:noProof/>
        <w:color w:val="000000"/>
        <w:sz w:val="22"/>
        <w:szCs w:val="22"/>
      </w:rPr>
      <w:t>1</w:t>
    </w:r>
    <w:r>
      <w:rPr>
        <w:rFonts w:ascii="Palatino Linotype" w:eastAsia="Palatino Linotype" w:hAnsi="Palatino Linotype" w:cs="Palatino Linotype"/>
        <w:b/>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NUMPAGES</w:instrText>
    </w:r>
    <w:r>
      <w:rPr>
        <w:rFonts w:ascii="Palatino Linotype" w:eastAsia="Palatino Linotype" w:hAnsi="Palatino Linotype" w:cs="Palatino Linotype"/>
        <w:b/>
        <w:color w:val="000000"/>
        <w:sz w:val="22"/>
        <w:szCs w:val="22"/>
      </w:rPr>
      <w:fldChar w:fldCharType="separate"/>
    </w:r>
    <w:r>
      <w:rPr>
        <w:rFonts w:ascii="Palatino Linotype" w:eastAsia="Palatino Linotype" w:hAnsi="Palatino Linotype" w:cs="Palatino Linotype"/>
        <w:b/>
        <w:noProof/>
        <w:color w:val="000000"/>
        <w:sz w:val="22"/>
        <w:szCs w:val="22"/>
      </w:rPr>
      <w:t>80</w:t>
    </w:r>
    <w:r>
      <w:rPr>
        <w:rFonts w:ascii="Palatino Linotype" w:eastAsia="Palatino Linotype" w:hAnsi="Palatino Linotype" w:cs="Palatino Linotype"/>
        <w:b/>
        <w:color w:val="000000"/>
        <w:sz w:val="22"/>
        <w:szCs w:val="22"/>
      </w:rPr>
      <w:fldChar w:fldCharType="end"/>
    </w:r>
  </w:p>
  <w:p w14:paraId="3FFB95E6" w14:textId="77777777" w:rsidR="00B52CFA" w:rsidRDefault="00B52CFA">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D9C05" w14:textId="77777777" w:rsidR="00B12451" w:rsidRDefault="00B12451" w:rsidP="00B52CFA">
      <w:r>
        <w:separator/>
      </w:r>
    </w:p>
  </w:footnote>
  <w:footnote w:type="continuationSeparator" w:id="0">
    <w:p w14:paraId="53D81E5B" w14:textId="77777777" w:rsidR="00B12451" w:rsidRDefault="00B12451" w:rsidP="00B52C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341B9" w14:textId="77777777" w:rsidR="00B52CFA" w:rsidRDefault="00B52CFA">
    <w:pPr>
      <w:widowControl w:val="0"/>
      <w:pBdr>
        <w:top w:val="nil"/>
        <w:left w:val="nil"/>
        <w:bottom w:val="nil"/>
        <w:right w:val="nil"/>
        <w:between w:val="nil"/>
      </w:pBdr>
      <w:spacing w:line="276" w:lineRule="auto"/>
    </w:pPr>
  </w:p>
  <w:tbl>
    <w:tblPr>
      <w:tblW w:w="9705" w:type="dxa"/>
      <w:tblLayout w:type="fixed"/>
      <w:tblLook w:val="0400" w:firstRow="0" w:lastRow="0" w:firstColumn="0" w:lastColumn="0" w:noHBand="0" w:noVBand="1"/>
    </w:tblPr>
    <w:tblGrid>
      <w:gridCol w:w="2972"/>
      <w:gridCol w:w="6733"/>
    </w:tblGrid>
    <w:tr w:rsidR="00B52CFA" w14:paraId="604B7A06" w14:textId="77777777">
      <w:trPr>
        <w:trHeight w:val="1435"/>
      </w:trPr>
      <w:tc>
        <w:tcPr>
          <w:tcW w:w="2972" w:type="dxa"/>
        </w:tcPr>
        <w:p w14:paraId="42ED26E8" w14:textId="77777777" w:rsidR="00B52CFA" w:rsidRDefault="00B52CFA">
          <w:pPr>
            <w:tabs>
              <w:tab w:val="right" w:pos="4273"/>
            </w:tabs>
            <w:spacing w:line="256" w:lineRule="auto"/>
            <w:rPr>
              <w:rFonts w:ascii="Garamond" w:eastAsia="Garamond" w:hAnsi="Garamond" w:cs="Garamond"/>
              <w:sz w:val="22"/>
              <w:szCs w:val="22"/>
            </w:rPr>
          </w:pPr>
        </w:p>
      </w:tc>
      <w:tc>
        <w:tcPr>
          <w:tcW w:w="6733" w:type="dxa"/>
        </w:tcPr>
        <w:p w14:paraId="1EFA5DD0" w14:textId="77777777" w:rsidR="00B52CFA" w:rsidRDefault="00B52CFA">
          <w:pPr>
            <w:widowControl w:val="0"/>
            <w:pBdr>
              <w:top w:val="nil"/>
              <w:left w:val="nil"/>
              <w:bottom w:val="nil"/>
              <w:right w:val="nil"/>
              <w:between w:val="nil"/>
            </w:pBdr>
            <w:spacing w:line="276" w:lineRule="auto"/>
            <w:rPr>
              <w:rFonts w:ascii="Garamond" w:eastAsia="Garamond" w:hAnsi="Garamond" w:cs="Garamond"/>
              <w:sz w:val="22"/>
              <w:szCs w:val="22"/>
            </w:rPr>
          </w:pPr>
        </w:p>
        <w:tbl>
          <w:tblPr>
            <w:tblW w:w="5535" w:type="dxa"/>
            <w:tblInd w:w="322" w:type="dxa"/>
            <w:tblBorders>
              <w:top w:val="nil"/>
              <w:left w:val="nil"/>
              <w:bottom w:val="nil"/>
              <w:right w:val="nil"/>
              <w:insideH w:val="nil"/>
              <w:insideV w:val="nil"/>
            </w:tblBorders>
            <w:tblLayout w:type="fixed"/>
            <w:tblLook w:val="0400" w:firstRow="0" w:lastRow="0" w:firstColumn="0" w:lastColumn="0" w:noHBand="0" w:noVBand="1"/>
          </w:tblPr>
          <w:tblGrid>
            <w:gridCol w:w="2447"/>
            <w:gridCol w:w="3088"/>
          </w:tblGrid>
          <w:tr w:rsidR="00B52CFA" w14:paraId="3126B97A" w14:textId="77777777">
            <w:trPr>
              <w:trHeight w:val="144"/>
            </w:trPr>
            <w:tc>
              <w:tcPr>
                <w:tcW w:w="2447" w:type="dxa"/>
              </w:tcPr>
              <w:p w14:paraId="05EDABA3" w14:textId="77777777" w:rsidR="00B52CFA" w:rsidRDefault="00B52CFA">
                <w:pPr>
                  <w:tabs>
                    <w:tab w:val="right" w:pos="8838"/>
                  </w:tabs>
                  <w:ind w:left="-69"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088" w:type="dxa"/>
              </w:tcPr>
              <w:p w14:paraId="09DE531A" w14:textId="77777777" w:rsidR="00B52CFA" w:rsidRDefault="00B52CFA">
                <w:pPr>
                  <w:tabs>
                    <w:tab w:val="right" w:pos="8838"/>
                  </w:tabs>
                  <w:ind w:left="-74" w:right="-105"/>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02946/INFOEM/IP/RR/2021</w:t>
                </w:r>
              </w:p>
            </w:tc>
          </w:tr>
          <w:tr w:rsidR="00B52CFA" w14:paraId="35C069C6" w14:textId="77777777">
            <w:trPr>
              <w:trHeight w:val="283"/>
            </w:trPr>
            <w:tc>
              <w:tcPr>
                <w:tcW w:w="2447" w:type="dxa"/>
              </w:tcPr>
              <w:p w14:paraId="35A65D87" w14:textId="77777777" w:rsidR="00B52CFA" w:rsidRDefault="00B52CFA">
                <w:pPr>
                  <w:tabs>
                    <w:tab w:val="right" w:pos="8838"/>
                  </w:tabs>
                  <w:ind w:left="-7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088" w:type="dxa"/>
              </w:tcPr>
              <w:p w14:paraId="4A5EE693" w14:textId="77777777" w:rsidR="00B52CFA" w:rsidRDefault="00B52CFA">
                <w:pPr>
                  <w:tabs>
                    <w:tab w:val="left" w:pos="2834"/>
                    <w:tab w:val="right" w:pos="8838"/>
                  </w:tabs>
                  <w:ind w:left="-74" w:right="-105"/>
                  <w:jc w:val="both"/>
                  <w:rPr>
                    <w:rFonts w:ascii="Palatino Linotype" w:eastAsia="Palatino Linotype" w:hAnsi="Palatino Linotype" w:cs="Palatino Linotype"/>
                    <w:b/>
                    <w:sz w:val="22"/>
                    <w:szCs w:val="22"/>
                  </w:rPr>
                </w:pPr>
                <w:r>
                  <w:rPr>
                    <w:rFonts w:ascii="Palatino Linotype" w:eastAsia="Palatino Linotype" w:hAnsi="Palatino Linotype" w:cs="Palatino Linotype"/>
                    <w:sz w:val="22"/>
                    <w:szCs w:val="22"/>
                  </w:rPr>
                  <w:t>Ayuntamiento de San Antonio la Isla</w:t>
                </w:r>
              </w:p>
            </w:tc>
          </w:tr>
          <w:tr w:rsidR="00B52CFA" w14:paraId="6213A860" w14:textId="77777777">
            <w:trPr>
              <w:trHeight w:val="283"/>
            </w:trPr>
            <w:tc>
              <w:tcPr>
                <w:tcW w:w="2447" w:type="dxa"/>
              </w:tcPr>
              <w:p w14:paraId="31A698A3" w14:textId="77777777" w:rsidR="00B52CFA" w:rsidRDefault="00B52CFA">
                <w:pPr>
                  <w:tabs>
                    <w:tab w:val="right" w:pos="8838"/>
                  </w:tabs>
                  <w:ind w:left="-7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088" w:type="dxa"/>
              </w:tcPr>
              <w:p w14:paraId="5F3A7889" w14:textId="77777777" w:rsidR="00B52CFA" w:rsidRDefault="00B52CFA">
                <w:pPr>
                  <w:tabs>
                    <w:tab w:val="right" w:pos="8838"/>
                  </w:tabs>
                  <w:ind w:left="-74" w:right="-105"/>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Luis Gustavo Parra Noriega</w:t>
                </w:r>
              </w:p>
              <w:p w14:paraId="612EF902" w14:textId="77777777" w:rsidR="00B52CFA" w:rsidRDefault="00B52CFA">
                <w:pPr>
                  <w:tabs>
                    <w:tab w:val="right" w:pos="8838"/>
                  </w:tabs>
                  <w:ind w:left="-74" w:right="-105"/>
                  <w:jc w:val="both"/>
                  <w:rPr>
                    <w:rFonts w:ascii="Palatino Linotype" w:eastAsia="Palatino Linotype" w:hAnsi="Palatino Linotype" w:cs="Palatino Linotype"/>
                    <w:b/>
                    <w:sz w:val="22"/>
                    <w:szCs w:val="22"/>
                  </w:rPr>
                </w:pPr>
              </w:p>
            </w:tc>
          </w:tr>
        </w:tbl>
        <w:p w14:paraId="272F653C" w14:textId="77777777" w:rsidR="00B52CFA" w:rsidRDefault="00B52CFA">
          <w:pPr>
            <w:tabs>
              <w:tab w:val="right" w:pos="8838"/>
            </w:tabs>
            <w:spacing w:line="256" w:lineRule="auto"/>
            <w:ind w:left="-28"/>
            <w:jc w:val="both"/>
            <w:rPr>
              <w:rFonts w:ascii="Arial" w:eastAsia="Arial" w:hAnsi="Arial" w:cs="Arial"/>
              <w:b/>
              <w:sz w:val="22"/>
              <w:szCs w:val="22"/>
            </w:rPr>
          </w:pPr>
        </w:p>
      </w:tc>
    </w:tr>
  </w:tbl>
  <w:p w14:paraId="4A95201B" w14:textId="77777777" w:rsidR="00B52CFA" w:rsidRDefault="00B52CFA">
    <w:pPr>
      <w:pBdr>
        <w:top w:val="nil"/>
        <w:left w:val="nil"/>
        <w:bottom w:val="nil"/>
        <w:right w:val="nil"/>
        <w:between w:val="nil"/>
      </w:pBdr>
      <w:tabs>
        <w:tab w:val="center" w:pos="4419"/>
        <w:tab w:val="right" w:pos="8838"/>
      </w:tabs>
      <w:rPr>
        <w:color w:val="000000"/>
      </w:rPr>
    </w:pPr>
    <w:r>
      <w:rPr>
        <w:rFonts w:ascii="Garamond" w:eastAsia="Garamond" w:hAnsi="Garamond" w:cs="Garamond"/>
        <w:noProof/>
        <w:color w:val="000000"/>
        <w:sz w:val="22"/>
        <w:szCs w:val="22"/>
      </w:rPr>
      <w:drawing>
        <wp:anchor distT="0" distB="0" distL="0" distR="0" simplePos="0" relativeHeight="251657728" behindDoc="1" locked="0" layoutInCell="1" hidden="0" allowOverlap="1" wp14:anchorId="7A091479" wp14:editId="4963693B">
          <wp:simplePos x="0" y="0"/>
          <wp:positionH relativeFrom="margin">
            <wp:posOffset>-1381124</wp:posOffset>
          </wp:positionH>
          <wp:positionV relativeFrom="margin">
            <wp:posOffset>-1611629</wp:posOffset>
          </wp:positionV>
          <wp:extent cx="5612130" cy="7308215"/>
          <wp:effectExtent l="0" t="0" r="0" b="0"/>
          <wp:wrapNone/>
          <wp:docPr id="205032824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612130" cy="730821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E273E" w14:textId="77777777" w:rsidR="00B52CFA" w:rsidRDefault="00B52CFA">
    <w:pPr>
      <w:widowControl w:val="0"/>
      <w:pBdr>
        <w:top w:val="nil"/>
        <w:left w:val="nil"/>
        <w:bottom w:val="nil"/>
        <w:right w:val="nil"/>
        <w:between w:val="nil"/>
      </w:pBdr>
      <w:spacing w:line="276" w:lineRule="auto"/>
      <w:rPr>
        <w:color w:val="000000"/>
      </w:rPr>
    </w:pPr>
  </w:p>
  <w:tbl>
    <w:tblPr>
      <w:tblW w:w="9356" w:type="dxa"/>
      <w:tblLayout w:type="fixed"/>
      <w:tblLook w:val="0400" w:firstRow="0" w:lastRow="0" w:firstColumn="0" w:lastColumn="0" w:noHBand="0" w:noVBand="1"/>
    </w:tblPr>
    <w:tblGrid>
      <w:gridCol w:w="1985"/>
      <w:gridCol w:w="7371"/>
    </w:tblGrid>
    <w:tr w:rsidR="00B52CFA" w14:paraId="34D4B0DD" w14:textId="77777777">
      <w:trPr>
        <w:trHeight w:val="1435"/>
      </w:trPr>
      <w:tc>
        <w:tcPr>
          <w:tcW w:w="1985" w:type="dxa"/>
        </w:tcPr>
        <w:p w14:paraId="435463D1" w14:textId="77777777" w:rsidR="00B52CFA" w:rsidRDefault="00B52CFA">
          <w:pPr>
            <w:tabs>
              <w:tab w:val="right" w:pos="4273"/>
            </w:tabs>
            <w:spacing w:line="256" w:lineRule="auto"/>
            <w:rPr>
              <w:rFonts w:ascii="Garamond" w:eastAsia="Garamond" w:hAnsi="Garamond" w:cs="Garamond"/>
              <w:sz w:val="22"/>
              <w:szCs w:val="22"/>
            </w:rPr>
          </w:pPr>
        </w:p>
      </w:tc>
      <w:tc>
        <w:tcPr>
          <w:tcW w:w="7371" w:type="dxa"/>
        </w:tcPr>
        <w:p w14:paraId="17863127" w14:textId="77777777" w:rsidR="00B52CFA" w:rsidRDefault="00B52CFA">
          <w:pPr>
            <w:rPr>
              <w:sz w:val="28"/>
              <w:szCs w:val="28"/>
            </w:rPr>
          </w:pPr>
        </w:p>
        <w:tbl>
          <w:tblPr>
            <w:tblW w:w="9200" w:type="dxa"/>
            <w:tblInd w:w="168" w:type="dxa"/>
            <w:tblBorders>
              <w:top w:val="nil"/>
              <w:left w:val="nil"/>
              <w:bottom w:val="nil"/>
              <w:right w:val="nil"/>
              <w:insideH w:val="nil"/>
              <w:insideV w:val="nil"/>
            </w:tblBorders>
            <w:tblLayout w:type="fixed"/>
            <w:tblLook w:val="0400" w:firstRow="0" w:lastRow="0" w:firstColumn="0" w:lastColumn="0" w:noHBand="0" w:noVBand="1"/>
          </w:tblPr>
          <w:tblGrid>
            <w:gridCol w:w="2841"/>
            <w:gridCol w:w="3963"/>
            <w:gridCol w:w="2396"/>
          </w:tblGrid>
          <w:tr w:rsidR="00B52CFA" w14:paraId="5FF5138F" w14:textId="77777777" w:rsidTr="0038653B">
            <w:trPr>
              <w:trHeight w:val="194"/>
            </w:trPr>
            <w:tc>
              <w:tcPr>
                <w:tcW w:w="2841" w:type="dxa"/>
              </w:tcPr>
              <w:p w14:paraId="1218720C" w14:textId="77777777" w:rsidR="00B52CFA" w:rsidRDefault="00B52CFA">
                <w:pPr>
                  <w:tabs>
                    <w:tab w:val="right" w:pos="8838"/>
                  </w:tabs>
                  <w:ind w:left="-11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Recurso de Revisión:</w:t>
                </w:r>
              </w:p>
            </w:tc>
            <w:tc>
              <w:tcPr>
                <w:tcW w:w="3963" w:type="dxa"/>
              </w:tcPr>
              <w:p w14:paraId="4EDBF7C5" w14:textId="4CB20213" w:rsidR="00B52CFA" w:rsidRDefault="00B52CFA">
                <w:pPr>
                  <w:tabs>
                    <w:tab w:val="right" w:pos="8838"/>
                  </w:tabs>
                  <w:ind w:left="-114" w:right="-105"/>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014676/INFOEM/IP/RR/2025</w:t>
                </w:r>
              </w:p>
            </w:tc>
            <w:tc>
              <w:tcPr>
                <w:tcW w:w="2396" w:type="dxa"/>
              </w:tcPr>
              <w:p w14:paraId="67BD305B" w14:textId="77777777" w:rsidR="00B52CFA" w:rsidRDefault="00B52CFA">
                <w:pPr>
                  <w:tabs>
                    <w:tab w:val="right" w:pos="8838"/>
                  </w:tabs>
                  <w:ind w:left="-114" w:right="-105"/>
                  <w:jc w:val="both"/>
                  <w:rPr>
                    <w:rFonts w:ascii="Palatino Linotype" w:eastAsia="Palatino Linotype" w:hAnsi="Palatino Linotype" w:cs="Palatino Linotype"/>
                    <w:sz w:val="22"/>
                    <w:szCs w:val="22"/>
                  </w:rPr>
                </w:pPr>
              </w:p>
            </w:tc>
          </w:tr>
          <w:tr w:rsidR="00B52CFA" w14:paraId="7E8C5ADF" w14:textId="77777777" w:rsidTr="0038653B">
            <w:trPr>
              <w:trHeight w:val="88"/>
            </w:trPr>
            <w:tc>
              <w:tcPr>
                <w:tcW w:w="2841" w:type="dxa"/>
              </w:tcPr>
              <w:p w14:paraId="57FC427E" w14:textId="77777777" w:rsidR="00B52CFA" w:rsidRDefault="00B52CFA">
                <w:pPr>
                  <w:tabs>
                    <w:tab w:val="right" w:pos="8838"/>
                  </w:tabs>
                  <w:ind w:left="-11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Sujeto Obligado:</w:t>
                </w:r>
              </w:p>
            </w:tc>
            <w:tc>
              <w:tcPr>
                <w:tcW w:w="3963" w:type="dxa"/>
              </w:tcPr>
              <w:p w14:paraId="038FCB0C" w14:textId="5979B7A8" w:rsidR="00B52CFA" w:rsidRDefault="00B52CFA">
                <w:pPr>
                  <w:tabs>
                    <w:tab w:val="left" w:pos="2834"/>
                    <w:tab w:val="right" w:pos="8838"/>
                  </w:tabs>
                  <w:ind w:left="-114"/>
                  <w:jc w:val="both"/>
                  <w:rPr>
                    <w:rFonts w:ascii="Palatino Linotype" w:eastAsia="Palatino Linotype" w:hAnsi="Palatino Linotype" w:cs="Palatino Linotype"/>
                    <w:b/>
                    <w:sz w:val="32"/>
                    <w:szCs w:val="32"/>
                  </w:rPr>
                </w:pPr>
                <w:r>
                  <w:rPr>
                    <w:rFonts w:ascii="Palatino Linotype" w:eastAsia="Palatino Linotype" w:hAnsi="Palatino Linotype" w:cs="Palatino Linotype"/>
                    <w:sz w:val="22"/>
                    <w:szCs w:val="22"/>
                  </w:rPr>
                  <w:t>Ayuntamiento de Ecatepec de Morelos</w:t>
                </w:r>
              </w:p>
            </w:tc>
            <w:tc>
              <w:tcPr>
                <w:tcW w:w="2396" w:type="dxa"/>
              </w:tcPr>
              <w:p w14:paraId="3E6D34B8" w14:textId="77777777" w:rsidR="00B52CFA" w:rsidRDefault="00B52CFA">
                <w:pPr>
                  <w:tabs>
                    <w:tab w:val="left" w:pos="2834"/>
                    <w:tab w:val="right" w:pos="8838"/>
                  </w:tabs>
                  <w:ind w:left="-114"/>
                  <w:jc w:val="both"/>
                  <w:rPr>
                    <w:rFonts w:ascii="Palatino Linotype" w:eastAsia="Palatino Linotype" w:hAnsi="Palatino Linotype" w:cs="Palatino Linotype"/>
                    <w:sz w:val="22"/>
                    <w:szCs w:val="22"/>
                  </w:rPr>
                </w:pPr>
              </w:p>
            </w:tc>
          </w:tr>
          <w:tr w:rsidR="00B52CFA" w14:paraId="1CB7D4B0" w14:textId="77777777" w:rsidTr="0038653B">
            <w:trPr>
              <w:trHeight w:val="383"/>
            </w:trPr>
            <w:tc>
              <w:tcPr>
                <w:tcW w:w="2841" w:type="dxa"/>
              </w:tcPr>
              <w:p w14:paraId="698709A8" w14:textId="77777777" w:rsidR="00B52CFA" w:rsidRDefault="00B52CFA">
                <w:pPr>
                  <w:tabs>
                    <w:tab w:val="right" w:pos="8838"/>
                  </w:tabs>
                  <w:ind w:left="-11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Comisionado Ponente:</w:t>
                </w:r>
              </w:p>
            </w:tc>
            <w:tc>
              <w:tcPr>
                <w:tcW w:w="3963" w:type="dxa"/>
              </w:tcPr>
              <w:p w14:paraId="7C8A5A8E" w14:textId="77777777" w:rsidR="00B52CFA" w:rsidRDefault="00B52CFA">
                <w:pPr>
                  <w:tabs>
                    <w:tab w:val="right" w:pos="8838"/>
                  </w:tabs>
                  <w:ind w:left="-114" w:right="-105"/>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Luis Gustavo Parra Noriega</w:t>
                </w:r>
              </w:p>
            </w:tc>
            <w:tc>
              <w:tcPr>
                <w:tcW w:w="2396" w:type="dxa"/>
              </w:tcPr>
              <w:p w14:paraId="62C0E255" w14:textId="77777777" w:rsidR="00B52CFA" w:rsidRDefault="00B52CFA">
                <w:pPr>
                  <w:tabs>
                    <w:tab w:val="right" w:pos="8838"/>
                  </w:tabs>
                  <w:ind w:left="-114" w:right="-105"/>
                  <w:jc w:val="both"/>
                  <w:rPr>
                    <w:rFonts w:ascii="Palatino Linotype" w:eastAsia="Palatino Linotype" w:hAnsi="Palatino Linotype" w:cs="Palatino Linotype"/>
                    <w:sz w:val="22"/>
                    <w:szCs w:val="22"/>
                  </w:rPr>
                </w:pPr>
              </w:p>
            </w:tc>
          </w:tr>
        </w:tbl>
        <w:p w14:paraId="53671670" w14:textId="77777777" w:rsidR="00B52CFA" w:rsidRDefault="00B52CFA">
          <w:pPr>
            <w:tabs>
              <w:tab w:val="right" w:pos="8838"/>
            </w:tabs>
            <w:spacing w:line="256" w:lineRule="auto"/>
            <w:ind w:left="-28"/>
            <w:jc w:val="both"/>
            <w:rPr>
              <w:rFonts w:ascii="Arial" w:eastAsia="Arial" w:hAnsi="Arial" w:cs="Arial"/>
              <w:b/>
              <w:sz w:val="22"/>
              <w:szCs w:val="22"/>
            </w:rPr>
          </w:pPr>
        </w:p>
      </w:tc>
    </w:tr>
  </w:tbl>
  <w:p w14:paraId="5E91D085" w14:textId="77777777" w:rsidR="00B52CFA" w:rsidRDefault="00B52CFA">
    <w:pPr>
      <w:pBdr>
        <w:top w:val="nil"/>
        <w:left w:val="nil"/>
        <w:bottom w:val="nil"/>
        <w:right w:val="nil"/>
        <w:between w:val="nil"/>
      </w:pBdr>
      <w:tabs>
        <w:tab w:val="center" w:pos="4419"/>
        <w:tab w:val="right" w:pos="8838"/>
      </w:tabs>
      <w:rPr>
        <w:color w:val="000000"/>
      </w:rPr>
    </w:pPr>
    <w:r>
      <w:rPr>
        <w:rFonts w:ascii="Garamond" w:eastAsia="Garamond" w:hAnsi="Garamond" w:cs="Garamond"/>
        <w:noProof/>
        <w:color w:val="000000"/>
        <w:sz w:val="22"/>
        <w:szCs w:val="22"/>
      </w:rPr>
      <w:drawing>
        <wp:anchor distT="0" distB="0" distL="0" distR="0" simplePos="0" relativeHeight="251656704" behindDoc="1" locked="0" layoutInCell="1" hidden="0" allowOverlap="1" wp14:anchorId="05C8DF45" wp14:editId="0629FD96">
          <wp:simplePos x="0" y="0"/>
          <wp:positionH relativeFrom="margin">
            <wp:posOffset>-1153159</wp:posOffset>
          </wp:positionH>
          <wp:positionV relativeFrom="margin">
            <wp:posOffset>-1539239</wp:posOffset>
          </wp:positionV>
          <wp:extent cx="7835900" cy="10203815"/>
          <wp:effectExtent l="0" t="0" r="0" b="0"/>
          <wp:wrapNone/>
          <wp:docPr id="205032824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835900" cy="1020381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D8FB3" w14:textId="0D4A9B07" w:rsidR="00B52CFA" w:rsidRDefault="00000000">
    <w:pPr>
      <w:widowControl w:val="0"/>
      <w:pBdr>
        <w:top w:val="nil"/>
        <w:left w:val="nil"/>
        <w:bottom w:val="nil"/>
        <w:right w:val="nil"/>
        <w:between w:val="nil"/>
      </w:pBdr>
      <w:spacing w:line="276" w:lineRule="auto"/>
      <w:rPr>
        <w:color w:val="000000"/>
      </w:rPr>
    </w:pPr>
    <w:r>
      <w:rPr>
        <w:rFonts w:ascii="Garamond" w:eastAsia="Garamond" w:hAnsi="Garamond" w:cs="Garamond"/>
        <w:color w:val="000000"/>
        <w:sz w:val="22"/>
        <w:szCs w:val="22"/>
      </w:rPr>
      <w:pict w14:anchorId="13F21A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82.05pt;margin-top:-123.05pt;width:663.5pt;height:12in;z-index:-251657728;mso-wrap-edited:f;mso-width-percent:0;mso-height-percent:0;mso-position-horizontal-relative:margin;mso-position-vertical-relative:margin;mso-width-percent:0;mso-height-percent:0">
          <v:imagedata r:id="rId1" o:title="image1"/>
          <w10:wrap anchorx="margin" anchory="margin"/>
        </v:shape>
      </w:pict>
    </w:r>
  </w:p>
  <w:tbl>
    <w:tblPr>
      <w:tblW w:w="9214" w:type="dxa"/>
      <w:tblLayout w:type="fixed"/>
      <w:tblLook w:val="0400" w:firstRow="0" w:lastRow="0" w:firstColumn="0" w:lastColumn="0" w:noHBand="0" w:noVBand="1"/>
    </w:tblPr>
    <w:tblGrid>
      <w:gridCol w:w="1560"/>
      <w:gridCol w:w="7654"/>
    </w:tblGrid>
    <w:tr w:rsidR="00B52CFA" w14:paraId="66162951" w14:textId="77777777">
      <w:trPr>
        <w:trHeight w:val="1435"/>
      </w:trPr>
      <w:tc>
        <w:tcPr>
          <w:tcW w:w="1560" w:type="dxa"/>
        </w:tcPr>
        <w:p w14:paraId="616E7D06" w14:textId="77777777" w:rsidR="00B52CFA" w:rsidRDefault="00B52CFA">
          <w:pPr>
            <w:tabs>
              <w:tab w:val="right" w:pos="4273"/>
            </w:tabs>
            <w:spacing w:line="256" w:lineRule="auto"/>
            <w:rPr>
              <w:rFonts w:ascii="Garamond" w:eastAsia="Garamond" w:hAnsi="Garamond" w:cs="Garamond"/>
              <w:sz w:val="22"/>
              <w:szCs w:val="22"/>
            </w:rPr>
          </w:pPr>
        </w:p>
      </w:tc>
      <w:tc>
        <w:tcPr>
          <w:tcW w:w="7654" w:type="dxa"/>
        </w:tcPr>
        <w:tbl>
          <w:tblPr>
            <w:tblW w:w="8752" w:type="dxa"/>
            <w:tblBorders>
              <w:top w:val="nil"/>
              <w:left w:val="nil"/>
              <w:bottom w:val="nil"/>
              <w:right w:val="nil"/>
              <w:insideH w:val="nil"/>
              <w:insideV w:val="nil"/>
            </w:tblBorders>
            <w:tblLayout w:type="fixed"/>
            <w:tblLook w:val="0400" w:firstRow="0" w:lastRow="0" w:firstColumn="0" w:lastColumn="0" w:noHBand="0" w:noVBand="1"/>
          </w:tblPr>
          <w:tblGrid>
            <w:gridCol w:w="3429"/>
            <w:gridCol w:w="3969"/>
            <w:gridCol w:w="1354"/>
          </w:tblGrid>
          <w:tr w:rsidR="00B52CFA" w14:paraId="58981CA6" w14:textId="77777777" w:rsidTr="00F84457">
            <w:trPr>
              <w:gridAfter w:val="1"/>
              <w:wAfter w:w="1354" w:type="dxa"/>
              <w:trHeight w:val="154"/>
            </w:trPr>
            <w:tc>
              <w:tcPr>
                <w:tcW w:w="3429" w:type="dxa"/>
              </w:tcPr>
              <w:p w14:paraId="66BF3574" w14:textId="03FE1DB3" w:rsidR="00B52CFA" w:rsidRDefault="00B52CFA">
                <w:pPr>
                  <w:tabs>
                    <w:tab w:val="right" w:pos="8838"/>
                  </w:tabs>
                  <w:ind w:left="-69"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Recurso de Revisión:</w:t>
                </w:r>
              </w:p>
            </w:tc>
            <w:tc>
              <w:tcPr>
                <w:tcW w:w="3969" w:type="dxa"/>
              </w:tcPr>
              <w:p w14:paraId="5072A105" w14:textId="74C0F757" w:rsidR="00B52CFA" w:rsidRDefault="00B52CFA">
                <w:pPr>
                  <w:tabs>
                    <w:tab w:val="right" w:pos="8838"/>
                  </w:tabs>
                  <w:ind w:left="-74" w:right="-105"/>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014676/INFOEM/IP/RR/2025 </w:t>
                </w:r>
              </w:p>
            </w:tc>
          </w:tr>
          <w:tr w:rsidR="00B52CFA" w14:paraId="7729FD1A" w14:textId="77777777" w:rsidTr="00F84457">
            <w:trPr>
              <w:gridAfter w:val="1"/>
              <w:wAfter w:w="1354" w:type="dxa"/>
              <w:trHeight w:val="154"/>
            </w:trPr>
            <w:tc>
              <w:tcPr>
                <w:tcW w:w="3429" w:type="dxa"/>
              </w:tcPr>
              <w:p w14:paraId="5E8FF25B" w14:textId="4363FE80" w:rsidR="00B52CFA" w:rsidRDefault="00B52CFA">
                <w:pPr>
                  <w:tabs>
                    <w:tab w:val="right" w:pos="8838"/>
                  </w:tabs>
                  <w:ind w:left="-7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Recurrente:</w:t>
                </w:r>
              </w:p>
            </w:tc>
            <w:tc>
              <w:tcPr>
                <w:tcW w:w="3969" w:type="dxa"/>
              </w:tcPr>
              <w:p w14:paraId="53517608" w14:textId="2E030CB6" w:rsidR="00B52CFA" w:rsidRDefault="001B7FC5">
                <w:pPr>
                  <w:tabs>
                    <w:tab w:val="left" w:pos="3122"/>
                    <w:tab w:val="right" w:pos="8838"/>
                  </w:tabs>
                  <w:ind w:left="-74" w:right="-105"/>
                  <w:jc w:val="both"/>
                  <w:rPr>
                    <w:rFonts w:ascii="Palatino Linotype" w:eastAsia="Palatino Linotype" w:hAnsi="Palatino Linotype" w:cs="Palatino Linotype"/>
                    <w:sz w:val="22"/>
                    <w:szCs w:val="22"/>
                  </w:rPr>
                </w:pPr>
                <w:r w:rsidRPr="001B7FC5">
                  <w:rPr>
                    <w:rFonts w:ascii="Palatino Linotype" w:eastAsia="Palatino Linotype" w:hAnsi="Palatino Linotype" w:cs="Palatino Linotype"/>
                    <w:sz w:val="22"/>
                    <w:szCs w:val="22"/>
                    <w:highlight w:val="black"/>
                  </w:rPr>
                  <w:t>XXXXXXXXXXXXXXXXXXXXXXXXXXXXXXX</w:t>
                </w:r>
              </w:p>
            </w:tc>
          </w:tr>
          <w:tr w:rsidR="00B52CFA" w14:paraId="00DCAAE2" w14:textId="77777777" w:rsidTr="00F84457">
            <w:trPr>
              <w:gridAfter w:val="1"/>
              <w:wAfter w:w="1354" w:type="dxa"/>
              <w:trHeight w:val="306"/>
            </w:trPr>
            <w:tc>
              <w:tcPr>
                <w:tcW w:w="3429" w:type="dxa"/>
              </w:tcPr>
              <w:p w14:paraId="20DFB360" w14:textId="03934D02" w:rsidR="00B52CFA" w:rsidRDefault="00B52CFA">
                <w:pPr>
                  <w:tabs>
                    <w:tab w:val="right" w:pos="8838"/>
                  </w:tabs>
                  <w:ind w:left="-7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Sujeto Obligado:</w:t>
                </w:r>
              </w:p>
            </w:tc>
            <w:tc>
              <w:tcPr>
                <w:tcW w:w="3969" w:type="dxa"/>
              </w:tcPr>
              <w:p w14:paraId="40F13720" w14:textId="5616BDE0" w:rsidR="00B52CFA" w:rsidRDefault="00B52CFA">
                <w:pPr>
                  <w:tabs>
                    <w:tab w:val="left" w:pos="2834"/>
                    <w:tab w:val="right" w:pos="8838"/>
                  </w:tabs>
                  <w:ind w:left="-74"/>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Ayuntamiento de Ecatepec de Morelos</w:t>
                </w:r>
              </w:p>
            </w:tc>
          </w:tr>
          <w:tr w:rsidR="00B52CFA" w14:paraId="585DED9C" w14:textId="77777777" w:rsidTr="00F84457">
            <w:trPr>
              <w:trHeight w:val="306"/>
            </w:trPr>
            <w:tc>
              <w:tcPr>
                <w:tcW w:w="3429" w:type="dxa"/>
              </w:tcPr>
              <w:p w14:paraId="2C9454ED" w14:textId="47013899" w:rsidR="00B52CFA" w:rsidRDefault="00B52CFA">
                <w:pPr>
                  <w:tabs>
                    <w:tab w:val="right" w:pos="8838"/>
                  </w:tabs>
                  <w:ind w:left="-7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Comisionado Ponente:</w:t>
                </w:r>
              </w:p>
            </w:tc>
            <w:tc>
              <w:tcPr>
                <w:tcW w:w="5323" w:type="dxa"/>
                <w:gridSpan w:val="2"/>
              </w:tcPr>
              <w:p w14:paraId="518AE41C" w14:textId="77777777" w:rsidR="00B52CFA" w:rsidRDefault="00B52CFA">
                <w:pPr>
                  <w:tabs>
                    <w:tab w:val="right" w:pos="8838"/>
                  </w:tabs>
                  <w:ind w:left="-74" w:right="-105"/>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Luis Gustavo Parra Noriega</w:t>
                </w:r>
              </w:p>
            </w:tc>
          </w:tr>
        </w:tbl>
        <w:p w14:paraId="26715D54" w14:textId="77777777" w:rsidR="00B52CFA" w:rsidRDefault="00B52CFA">
          <w:pPr>
            <w:tabs>
              <w:tab w:val="right" w:pos="8838"/>
            </w:tabs>
            <w:spacing w:line="256" w:lineRule="auto"/>
            <w:ind w:left="-28"/>
            <w:jc w:val="both"/>
            <w:rPr>
              <w:rFonts w:ascii="Arial" w:eastAsia="Arial" w:hAnsi="Arial" w:cs="Arial"/>
              <w:b/>
              <w:sz w:val="22"/>
              <w:szCs w:val="22"/>
            </w:rPr>
          </w:pPr>
        </w:p>
      </w:tc>
    </w:tr>
  </w:tbl>
  <w:p w14:paraId="7B3C0567" w14:textId="04961906" w:rsidR="00B52CFA" w:rsidRDefault="00B52CFA">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310C1"/>
    <w:multiLevelType w:val="multilevel"/>
    <w:tmpl w:val="EB46A3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DA203DB"/>
    <w:multiLevelType w:val="hybridMultilevel"/>
    <w:tmpl w:val="FD52FF8A"/>
    <w:lvl w:ilvl="0" w:tplc="2500E424">
      <w:start w:val="5"/>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A3745D7"/>
    <w:multiLevelType w:val="multilevel"/>
    <w:tmpl w:val="14A691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3B61C99"/>
    <w:multiLevelType w:val="hybridMultilevel"/>
    <w:tmpl w:val="C592EF9C"/>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5473003"/>
    <w:multiLevelType w:val="multilevel"/>
    <w:tmpl w:val="240A1DC0"/>
    <w:lvl w:ilvl="0">
      <w:start w:val="1"/>
      <w:numFmt w:val="decimal"/>
      <w:lvlText w:val="%1."/>
      <w:lvlJc w:val="left"/>
      <w:pPr>
        <w:ind w:left="1636" w:hanging="360"/>
      </w:pPr>
      <w:rPr>
        <w:rFonts w:ascii="Times New Roman" w:hAnsi="Times New Roman" w:cs="Times New Roman" w:hint="default"/>
        <w:b w:val="0"/>
        <w:bCs/>
      </w:rPr>
    </w:lvl>
    <w:lvl w:ilvl="1">
      <w:start w:val="1"/>
      <w:numFmt w:val="lowerLetter"/>
      <w:lvlText w:val="%2."/>
      <w:lvlJc w:val="left"/>
      <w:pPr>
        <w:ind w:left="2160" w:hanging="360"/>
      </w:pPr>
      <w:rPr>
        <w:rFonts w:ascii="Times New Roman" w:hAnsi="Times New Roman" w:cs="Times New Roman" w:hint="default"/>
      </w:rPr>
    </w:lvl>
    <w:lvl w:ilvl="2">
      <w:start w:val="1"/>
      <w:numFmt w:val="lowerRoman"/>
      <w:lvlText w:val="%3."/>
      <w:lvlJc w:val="right"/>
      <w:pPr>
        <w:ind w:left="2880" w:hanging="180"/>
      </w:pPr>
      <w:rPr>
        <w:rFonts w:ascii="Times New Roman" w:hAnsi="Times New Roman" w:cs="Times New Roman" w:hint="default"/>
      </w:rPr>
    </w:lvl>
    <w:lvl w:ilvl="3">
      <w:start w:val="1"/>
      <w:numFmt w:val="decimal"/>
      <w:lvlText w:val="%4."/>
      <w:lvlJc w:val="left"/>
      <w:pPr>
        <w:ind w:left="3600" w:hanging="360"/>
      </w:pPr>
      <w:rPr>
        <w:rFonts w:ascii="Times New Roman" w:hAnsi="Times New Roman" w:cs="Times New Roman" w:hint="default"/>
      </w:rPr>
    </w:lvl>
    <w:lvl w:ilvl="4">
      <w:start w:val="1"/>
      <w:numFmt w:val="lowerLetter"/>
      <w:lvlText w:val="%5."/>
      <w:lvlJc w:val="left"/>
      <w:pPr>
        <w:ind w:left="4320" w:hanging="360"/>
      </w:pPr>
      <w:rPr>
        <w:rFonts w:ascii="Times New Roman" w:hAnsi="Times New Roman" w:cs="Times New Roman" w:hint="default"/>
      </w:rPr>
    </w:lvl>
    <w:lvl w:ilvl="5">
      <w:start w:val="1"/>
      <w:numFmt w:val="lowerRoman"/>
      <w:lvlText w:val="%6."/>
      <w:lvlJc w:val="right"/>
      <w:pPr>
        <w:ind w:left="5040" w:hanging="180"/>
      </w:pPr>
      <w:rPr>
        <w:rFonts w:ascii="Times New Roman" w:hAnsi="Times New Roman" w:cs="Times New Roman" w:hint="default"/>
      </w:rPr>
    </w:lvl>
    <w:lvl w:ilvl="6">
      <w:start w:val="1"/>
      <w:numFmt w:val="decimal"/>
      <w:lvlText w:val="%7."/>
      <w:lvlJc w:val="left"/>
      <w:pPr>
        <w:ind w:left="5760" w:hanging="360"/>
      </w:pPr>
      <w:rPr>
        <w:rFonts w:ascii="Times New Roman" w:hAnsi="Times New Roman" w:cs="Times New Roman" w:hint="default"/>
      </w:rPr>
    </w:lvl>
    <w:lvl w:ilvl="7">
      <w:start w:val="1"/>
      <w:numFmt w:val="lowerLetter"/>
      <w:lvlText w:val="%8."/>
      <w:lvlJc w:val="left"/>
      <w:pPr>
        <w:ind w:left="6480" w:hanging="360"/>
      </w:pPr>
      <w:rPr>
        <w:rFonts w:ascii="Times New Roman" w:hAnsi="Times New Roman" w:cs="Times New Roman" w:hint="default"/>
      </w:rPr>
    </w:lvl>
    <w:lvl w:ilvl="8">
      <w:start w:val="1"/>
      <w:numFmt w:val="lowerRoman"/>
      <w:lvlText w:val="%9."/>
      <w:lvlJc w:val="right"/>
      <w:pPr>
        <w:ind w:left="7200" w:hanging="180"/>
      </w:pPr>
      <w:rPr>
        <w:rFonts w:ascii="Times New Roman" w:hAnsi="Times New Roman" w:cs="Times New Roman" w:hint="default"/>
      </w:rPr>
    </w:lvl>
  </w:abstractNum>
  <w:abstractNum w:abstractNumId="5" w15:restartNumberingAfterBreak="0">
    <w:nsid w:val="37B149E9"/>
    <w:multiLevelType w:val="multilevel"/>
    <w:tmpl w:val="53068B9E"/>
    <w:lvl w:ilvl="0">
      <w:start w:val="1"/>
      <w:numFmt w:val="decimal"/>
      <w:lvlText w:val="%1."/>
      <w:lvlJc w:val="left"/>
      <w:pPr>
        <w:tabs>
          <w:tab w:val="num" w:pos="720"/>
        </w:tabs>
        <w:ind w:left="720" w:hanging="360"/>
      </w:pPr>
      <w:rPr>
        <w:rFonts w:ascii="Times New Roman" w:hAnsi="Times New Roman" w:cs="Times New Roman" w:hint="default"/>
        <w:b/>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6" w15:restartNumberingAfterBreak="0">
    <w:nsid w:val="42D348D7"/>
    <w:multiLevelType w:val="hybridMultilevel"/>
    <w:tmpl w:val="03F668E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52D1F34"/>
    <w:multiLevelType w:val="multilevel"/>
    <w:tmpl w:val="78A4A3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5A50C2A"/>
    <w:multiLevelType w:val="hybridMultilevel"/>
    <w:tmpl w:val="B7689E60"/>
    <w:lvl w:ilvl="0" w:tplc="DE4226B0">
      <w:start w:val="7"/>
      <w:numFmt w:val="bullet"/>
      <w:lvlText w:val="-"/>
      <w:lvlJc w:val="left"/>
      <w:pPr>
        <w:ind w:left="720" w:hanging="360"/>
      </w:pPr>
      <w:rPr>
        <w:rFonts w:ascii="Palatino Linotype" w:eastAsia="Times New Roman" w:hAnsi="Palatino Linotype"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64629E3"/>
    <w:multiLevelType w:val="multilevel"/>
    <w:tmpl w:val="41AA89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9377A64"/>
    <w:multiLevelType w:val="hybridMultilevel"/>
    <w:tmpl w:val="03F668EA"/>
    <w:lvl w:ilvl="0" w:tplc="0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DDD4A64"/>
    <w:multiLevelType w:val="hybridMultilevel"/>
    <w:tmpl w:val="39920326"/>
    <w:lvl w:ilvl="0" w:tplc="0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EA3591B"/>
    <w:multiLevelType w:val="hybridMultilevel"/>
    <w:tmpl w:val="3E14F700"/>
    <w:lvl w:ilvl="0" w:tplc="0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F563743"/>
    <w:multiLevelType w:val="hybridMultilevel"/>
    <w:tmpl w:val="97E4830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3FD3EF1"/>
    <w:multiLevelType w:val="hybridMultilevel"/>
    <w:tmpl w:val="D2884D30"/>
    <w:lvl w:ilvl="0" w:tplc="501E0226">
      <w:start w:val="7"/>
      <w:numFmt w:val="bullet"/>
      <w:lvlText w:val="-"/>
      <w:lvlJc w:val="left"/>
      <w:pPr>
        <w:ind w:left="720" w:hanging="360"/>
      </w:pPr>
      <w:rPr>
        <w:rFonts w:ascii="Palatino Linotype" w:eastAsia="Times New Roman" w:hAnsi="Palatino Linotype" w:cs="Tahoma"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C9A034B"/>
    <w:multiLevelType w:val="hybridMultilevel"/>
    <w:tmpl w:val="33084262"/>
    <w:lvl w:ilvl="0" w:tplc="080A0001">
      <w:start w:val="1"/>
      <w:numFmt w:val="bullet"/>
      <w:lvlText w:val=""/>
      <w:lvlJc w:val="left"/>
      <w:pPr>
        <w:ind w:left="720" w:hanging="360"/>
      </w:pPr>
      <w:rPr>
        <w:rFonts w:ascii="Symbol" w:hAnsi="Symbol"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CB152FA"/>
    <w:multiLevelType w:val="hybridMultilevel"/>
    <w:tmpl w:val="84B0FE60"/>
    <w:lvl w:ilvl="0" w:tplc="E5162902">
      <w:start w:val="4"/>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061442707">
    <w:abstractNumId w:val="2"/>
  </w:num>
  <w:num w:numId="2" w16cid:durableId="1737511572">
    <w:abstractNumId w:val="13"/>
  </w:num>
  <w:num w:numId="3" w16cid:durableId="159349234">
    <w:abstractNumId w:val="15"/>
  </w:num>
  <w:num w:numId="4" w16cid:durableId="2090426194">
    <w:abstractNumId w:val="9"/>
  </w:num>
  <w:num w:numId="5" w16cid:durableId="364405322">
    <w:abstractNumId w:val="8"/>
  </w:num>
  <w:num w:numId="6" w16cid:durableId="2074430676">
    <w:abstractNumId w:val="0"/>
  </w:num>
  <w:num w:numId="7" w16cid:durableId="8132589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99309353">
    <w:abstractNumId w:val="12"/>
  </w:num>
  <w:num w:numId="9" w16cid:durableId="255672437">
    <w:abstractNumId w:val="1"/>
  </w:num>
  <w:num w:numId="10" w16cid:durableId="1368064045">
    <w:abstractNumId w:val="7"/>
  </w:num>
  <w:num w:numId="11" w16cid:durableId="589972921">
    <w:abstractNumId w:val="11"/>
  </w:num>
  <w:num w:numId="12" w16cid:durableId="882207503">
    <w:abstractNumId w:val="16"/>
  </w:num>
  <w:num w:numId="13" w16cid:durableId="438960444">
    <w:abstractNumId w:val="10"/>
  </w:num>
  <w:num w:numId="14" w16cid:durableId="358625304">
    <w:abstractNumId w:val="6"/>
  </w:num>
  <w:num w:numId="15" w16cid:durableId="20528731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30111631">
    <w:abstractNumId w:val="14"/>
  </w:num>
  <w:num w:numId="17" w16cid:durableId="13020779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CFA"/>
    <w:rsid w:val="000776B0"/>
    <w:rsid w:val="00091AAC"/>
    <w:rsid w:val="000A77FC"/>
    <w:rsid w:val="00152065"/>
    <w:rsid w:val="00183EE3"/>
    <w:rsid w:val="001A4181"/>
    <w:rsid w:val="001B7FC5"/>
    <w:rsid w:val="00285A88"/>
    <w:rsid w:val="002D203D"/>
    <w:rsid w:val="0038653B"/>
    <w:rsid w:val="004377D0"/>
    <w:rsid w:val="0049000D"/>
    <w:rsid w:val="00543563"/>
    <w:rsid w:val="005F56A1"/>
    <w:rsid w:val="00657BC4"/>
    <w:rsid w:val="00671AB8"/>
    <w:rsid w:val="00697F04"/>
    <w:rsid w:val="00704081"/>
    <w:rsid w:val="007746DA"/>
    <w:rsid w:val="007D2523"/>
    <w:rsid w:val="007E25E4"/>
    <w:rsid w:val="00812AC6"/>
    <w:rsid w:val="008704E0"/>
    <w:rsid w:val="008B0FC3"/>
    <w:rsid w:val="008F16CF"/>
    <w:rsid w:val="009625D3"/>
    <w:rsid w:val="00992162"/>
    <w:rsid w:val="009E38E7"/>
    <w:rsid w:val="00A30FF4"/>
    <w:rsid w:val="00A60FA6"/>
    <w:rsid w:val="00A85B2B"/>
    <w:rsid w:val="00B01980"/>
    <w:rsid w:val="00B024BC"/>
    <w:rsid w:val="00B12451"/>
    <w:rsid w:val="00B40CDC"/>
    <w:rsid w:val="00B41FC5"/>
    <w:rsid w:val="00B52CFA"/>
    <w:rsid w:val="00BF0053"/>
    <w:rsid w:val="00C1115B"/>
    <w:rsid w:val="00C55DBC"/>
    <w:rsid w:val="00C64F0F"/>
    <w:rsid w:val="00CD7F83"/>
    <w:rsid w:val="00D53680"/>
    <w:rsid w:val="00D70D3A"/>
    <w:rsid w:val="00D8050E"/>
    <w:rsid w:val="00E45021"/>
    <w:rsid w:val="00EA1B1B"/>
    <w:rsid w:val="00F53C8B"/>
    <w:rsid w:val="00F600D4"/>
    <w:rsid w:val="00F844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0E79E"/>
  <w15:chartTrackingRefBased/>
  <w15:docId w15:val="{0F4D7830-B63E-4FC3-BAC5-06EFCEB8D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52CFA"/>
    <w:pPr>
      <w:spacing w:after="0" w:line="240" w:lineRule="auto"/>
    </w:pPr>
    <w:rPr>
      <w:rFonts w:ascii="Times New Roman" w:eastAsia="Times New Roman" w:hAnsi="Times New Roman" w:cs="Times New Roman"/>
      <w:kern w:val="0"/>
      <w:sz w:val="20"/>
      <w:szCs w:val="20"/>
      <w:lang w:eastAsia="es-MX"/>
      <w14:ligatures w14:val="none"/>
    </w:rPr>
  </w:style>
  <w:style w:type="paragraph" w:styleId="Ttulo1">
    <w:name w:val="heading 1"/>
    <w:basedOn w:val="Normal"/>
    <w:next w:val="Normal"/>
    <w:link w:val="Ttulo1Car"/>
    <w:uiPriority w:val="9"/>
    <w:qFormat/>
    <w:rsid w:val="00B52CF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B52CF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B52CF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B52CF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B52CF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B52CF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52CF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52CF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52CF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52CF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B52CF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B52CF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B52CF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B52CF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B52CF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52CF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52CF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52CFA"/>
    <w:rPr>
      <w:rFonts w:eastAsiaTheme="majorEastAsia" w:cstheme="majorBidi"/>
      <w:color w:val="272727" w:themeColor="text1" w:themeTint="D8"/>
    </w:rPr>
  </w:style>
  <w:style w:type="paragraph" w:styleId="Ttulo">
    <w:name w:val="Title"/>
    <w:basedOn w:val="Normal"/>
    <w:next w:val="Normal"/>
    <w:link w:val="TtuloCar"/>
    <w:uiPriority w:val="10"/>
    <w:qFormat/>
    <w:rsid w:val="00B52CF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52CF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52CF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52CF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52CFA"/>
    <w:pPr>
      <w:spacing w:before="160"/>
      <w:jc w:val="center"/>
    </w:pPr>
    <w:rPr>
      <w:i/>
      <w:iCs/>
      <w:color w:val="404040" w:themeColor="text1" w:themeTint="BF"/>
    </w:rPr>
  </w:style>
  <w:style w:type="character" w:customStyle="1" w:styleId="CitaCar">
    <w:name w:val="Cita Car"/>
    <w:basedOn w:val="Fuentedeprrafopredeter"/>
    <w:link w:val="Cita"/>
    <w:uiPriority w:val="29"/>
    <w:rsid w:val="00B52CFA"/>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52CFA"/>
    <w:pPr>
      <w:ind w:left="720"/>
      <w:contextualSpacing/>
    </w:pPr>
  </w:style>
  <w:style w:type="character" w:styleId="nfasisintenso">
    <w:name w:val="Intense Emphasis"/>
    <w:basedOn w:val="Fuentedeprrafopredeter"/>
    <w:uiPriority w:val="21"/>
    <w:qFormat/>
    <w:rsid w:val="00B52CFA"/>
    <w:rPr>
      <w:i/>
      <w:iCs/>
      <w:color w:val="2F5496" w:themeColor="accent1" w:themeShade="BF"/>
    </w:rPr>
  </w:style>
  <w:style w:type="paragraph" w:styleId="Citadestacada">
    <w:name w:val="Intense Quote"/>
    <w:basedOn w:val="Normal"/>
    <w:next w:val="Normal"/>
    <w:link w:val="CitadestacadaCar"/>
    <w:uiPriority w:val="30"/>
    <w:qFormat/>
    <w:rsid w:val="00B52C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B52CFA"/>
    <w:rPr>
      <w:i/>
      <w:iCs/>
      <w:color w:val="2F5496" w:themeColor="accent1" w:themeShade="BF"/>
    </w:rPr>
  </w:style>
  <w:style w:type="character" w:styleId="Referenciaintensa">
    <w:name w:val="Intense Reference"/>
    <w:basedOn w:val="Fuentedeprrafopredeter"/>
    <w:uiPriority w:val="32"/>
    <w:qFormat/>
    <w:rsid w:val="00B52CFA"/>
    <w:rPr>
      <w:b/>
      <w:bCs/>
      <w:smallCaps/>
      <w:color w:val="2F5496" w:themeColor="accent1" w:themeShade="BF"/>
      <w:spacing w:val="5"/>
    </w:rPr>
  </w:style>
  <w:style w:type="character" w:styleId="Hipervnculo">
    <w:name w:val="Hyperlink"/>
    <w:aliases w:val="Hipervínculo1,Hipervínculo11,Hipervínculo12,Hipervínculo13,Hipervínculo14,Hipervínculo15"/>
    <w:basedOn w:val="Fuentedeprrafopredeter"/>
    <w:uiPriority w:val="99"/>
    <w:unhideWhenUsed/>
    <w:qFormat/>
    <w:rsid w:val="00B52CFA"/>
    <w:rPr>
      <w:color w:val="0563C1" w:themeColor="hyperlink"/>
      <w:u w:val="single"/>
    </w:rPr>
  </w:style>
  <w:style w:type="paragraph" w:styleId="TtuloTDC">
    <w:name w:val="TOC Heading"/>
    <w:basedOn w:val="Ttulo1"/>
    <w:next w:val="Normal"/>
    <w:uiPriority w:val="39"/>
    <w:unhideWhenUsed/>
    <w:qFormat/>
    <w:rsid w:val="00B52CFA"/>
    <w:pPr>
      <w:spacing w:before="240" w:after="0"/>
      <w:outlineLvl w:val="9"/>
    </w:pPr>
    <w:rPr>
      <w:sz w:val="32"/>
      <w:szCs w:val="32"/>
    </w:rPr>
  </w:style>
  <w:style w:type="paragraph" w:styleId="TDC1">
    <w:name w:val="toc 1"/>
    <w:basedOn w:val="Normal"/>
    <w:next w:val="Normal"/>
    <w:autoRedefine/>
    <w:uiPriority w:val="39"/>
    <w:unhideWhenUsed/>
    <w:rsid w:val="00B52CFA"/>
    <w:pPr>
      <w:spacing w:after="100" w:line="254" w:lineRule="auto"/>
      <w:jc w:val="both"/>
    </w:pPr>
    <w:rPr>
      <w:rFonts w:ascii="Palatino Linotype" w:eastAsia="Palatino Linotype" w:hAnsi="Palatino Linotype" w:cs="Palatino Linotype"/>
      <w:color w:val="000000" w:themeColor="text1"/>
      <w:sz w:val="22"/>
      <w:szCs w:val="22"/>
    </w:rPr>
  </w:style>
  <w:style w:type="paragraph" w:styleId="TDC2">
    <w:name w:val="toc 2"/>
    <w:basedOn w:val="Normal"/>
    <w:next w:val="Normal"/>
    <w:autoRedefine/>
    <w:uiPriority w:val="39"/>
    <w:unhideWhenUsed/>
    <w:rsid w:val="00B52CFA"/>
    <w:pPr>
      <w:spacing w:after="100" w:line="254" w:lineRule="auto"/>
      <w:ind w:left="220"/>
      <w:jc w:val="both"/>
    </w:pPr>
    <w:rPr>
      <w:rFonts w:ascii="Palatino Linotype" w:eastAsia="Palatino Linotype" w:hAnsi="Palatino Linotype" w:cs="Palatino Linotype"/>
      <w:color w:val="000000" w:themeColor="text1"/>
      <w:sz w:val="22"/>
      <w:szCs w:val="22"/>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B52CFA"/>
  </w:style>
  <w:style w:type="table" w:styleId="Tablaconcuadrcula">
    <w:name w:val="Table Grid"/>
    <w:basedOn w:val="Tablanormal"/>
    <w:uiPriority w:val="39"/>
    <w:rsid w:val="00B41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45021"/>
    <w:pPr>
      <w:spacing w:after="160" w:line="256" w:lineRule="auto"/>
      <w:jc w:val="both"/>
    </w:pPr>
    <w:rPr>
      <w:rFonts w:eastAsiaTheme="minorHAnsi"/>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31</Pages>
  <Words>7479</Words>
  <Characters>41137</Characters>
  <Application>Microsoft Office Word</Application>
  <DocSecurity>0</DocSecurity>
  <Lines>342</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PEÑA VARA</dc:creator>
  <cp:keywords/>
  <dc:description/>
  <cp:lastModifiedBy>IVAN PEÑA VARA</cp:lastModifiedBy>
  <cp:revision>3</cp:revision>
  <dcterms:created xsi:type="dcterms:W3CDTF">2026-02-27T04:09:00Z</dcterms:created>
  <dcterms:modified xsi:type="dcterms:W3CDTF">2026-04-09T23:46:00Z</dcterms:modified>
</cp:coreProperties>
</file>