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5EF" w:rsidRPr="004467F3" w:rsidRDefault="002367BD">
      <w:pPr>
        <w:spacing w:line="360" w:lineRule="auto"/>
        <w:jc w:val="both"/>
        <w:rPr>
          <w:rFonts w:ascii="Palatino Linotype" w:eastAsia="Palatino Linotype" w:hAnsi="Palatino Linotype" w:cs="Palatino Linotype"/>
        </w:rPr>
      </w:pPr>
      <w:bookmarkStart w:id="0" w:name="_GoBack"/>
      <w:bookmarkEnd w:id="0"/>
      <w:r w:rsidRPr="004467F3">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w:t>
      </w:r>
      <w:r w:rsidR="004467F3">
        <w:rPr>
          <w:rFonts w:ascii="Palatino Linotype" w:eastAsia="Palatino Linotype" w:hAnsi="Palatino Linotype" w:cs="Palatino Linotype"/>
        </w:rPr>
        <w:t xml:space="preserve"> de México; de fecha</w:t>
      </w:r>
      <w:r w:rsidR="00D11CD8" w:rsidRPr="004467F3">
        <w:rPr>
          <w:rFonts w:ascii="Palatino Linotype" w:eastAsia="Palatino Linotype" w:hAnsi="Palatino Linotype" w:cs="Palatino Linotype"/>
        </w:rPr>
        <w:t xml:space="preserve"> trece </w:t>
      </w:r>
      <w:r w:rsidR="004467F3">
        <w:rPr>
          <w:rFonts w:ascii="Palatino Linotype" w:eastAsia="Palatino Linotype" w:hAnsi="Palatino Linotype" w:cs="Palatino Linotype"/>
        </w:rPr>
        <w:t xml:space="preserve">(13) </w:t>
      </w:r>
      <w:r w:rsidR="00D11CD8" w:rsidRPr="004467F3">
        <w:rPr>
          <w:rFonts w:ascii="Palatino Linotype" w:eastAsia="Palatino Linotype" w:hAnsi="Palatino Linotype" w:cs="Palatino Linotype"/>
        </w:rPr>
        <w:t>de mayo de dos mil veintiséis</w:t>
      </w:r>
      <w:r w:rsidRPr="004467F3">
        <w:rPr>
          <w:rFonts w:ascii="Palatino Linotype" w:eastAsia="Palatino Linotype" w:hAnsi="Palatino Linotype" w:cs="Palatino Linotype"/>
        </w:rPr>
        <w:t>.</w:t>
      </w:r>
    </w:p>
    <w:p w:rsidR="003B25EF" w:rsidRPr="004467F3" w:rsidRDefault="003B25EF">
      <w:pPr>
        <w:jc w:val="both"/>
        <w:rPr>
          <w:rFonts w:ascii="Palatino Linotype" w:eastAsia="Palatino Linotype" w:hAnsi="Palatino Linotype" w:cs="Palatino Linotype"/>
        </w:rPr>
      </w:pPr>
    </w:p>
    <w:p w:rsidR="003B25EF" w:rsidRPr="004467F3" w:rsidRDefault="002367BD">
      <w:pPr>
        <w:spacing w:line="360" w:lineRule="auto"/>
        <w:jc w:val="both"/>
        <w:rPr>
          <w:rFonts w:ascii="Palatino Linotype" w:eastAsia="Palatino Linotype" w:hAnsi="Palatino Linotype" w:cs="Palatino Linotype"/>
        </w:rPr>
      </w:pPr>
      <w:r w:rsidRPr="004467F3">
        <w:rPr>
          <w:rFonts w:ascii="Palatino Linotype" w:eastAsia="Palatino Linotype" w:hAnsi="Palatino Linotype" w:cs="Palatino Linotype"/>
          <w:b/>
          <w:bCs/>
        </w:rPr>
        <w:t>VISTO</w:t>
      </w:r>
      <w:r w:rsidRPr="004467F3">
        <w:rPr>
          <w:rFonts w:ascii="Palatino Linotype" w:eastAsia="Palatino Linotype" w:hAnsi="Palatino Linotype" w:cs="Palatino Linotype"/>
        </w:rPr>
        <w:t xml:space="preserve"> el expediente electrónico formado con motivo del recurso de revisión </w:t>
      </w:r>
      <w:r w:rsidR="006629C2" w:rsidRPr="004467F3">
        <w:rPr>
          <w:rFonts w:ascii="Palatino Linotype" w:eastAsia="Palatino Linotype" w:hAnsi="Palatino Linotype" w:cs="Palatino Linotype"/>
          <w:b/>
          <w:bCs/>
        </w:rPr>
        <w:t>0165</w:t>
      </w:r>
      <w:r w:rsidR="00B93242" w:rsidRPr="004467F3">
        <w:rPr>
          <w:rFonts w:ascii="Palatino Linotype" w:eastAsia="Palatino Linotype" w:hAnsi="Palatino Linotype" w:cs="Palatino Linotype"/>
          <w:b/>
          <w:bCs/>
        </w:rPr>
        <w:t>8</w:t>
      </w:r>
      <w:r w:rsidR="006629C2" w:rsidRPr="004467F3">
        <w:rPr>
          <w:rFonts w:ascii="Palatino Linotype" w:eastAsia="Palatino Linotype" w:hAnsi="Palatino Linotype" w:cs="Palatino Linotype"/>
          <w:b/>
          <w:bCs/>
        </w:rPr>
        <w:t>/INFOEM/IP/RR/2026</w:t>
      </w:r>
      <w:r w:rsidRPr="004467F3">
        <w:rPr>
          <w:rFonts w:ascii="Palatino Linotype" w:eastAsia="Palatino Linotype" w:hAnsi="Palatino Linotype" w:cs="Palatino Linotype"/>
          <w:b/>
          <w:bCs/>
        </w:rPr>
        <w:t xml:space="preserve">, </w:t>
      </w:r>
      <w:r w:rsidRPr="004467F3">
        <w:rPr>
          <w:rFonts w:ascii="Palatino Linotype" w:eastAsia="Palatino Linotype" w:hAnsi="Palatino Linotype" w:cs="Palatino Linotype"/>
        </w:rPr>
        <w:t xml:space="preserve">promovido por </w:t>
      </w:r>
      <w:r w:rsidR="00D11CD8" w:rsidRPr="004467F3">
        <w:rPr>
          <w:rFonts w:ascii="Palatino Linotype" w:eastAsia="Palatino Linotype" w:hAnsi="Palatino Linotype" w:cs="Palatino Linotype"/>
          <w:b/>
          <w:bCs/>
        </w:rPr>
        <w:t>un</w:t>
      </w:r>
      <w:r w:rsidRPr="004467F3">
        <w:rPr>
          <w:rFonts w:ascii="Palatino Linotype" w:eastAsia="Palatino Linotype" w:hAnsi="Palatino Linotype" w:cs="Palatino Linotype"/>
        </w:rPr>
        <w:t xml:space="preserve"> </w:t>
      </w:r>
      <w:r w:rsidRPr="004467F3">
        <w:rPr>
          <w:rFonts w:ascii="Palatino Linotype" w:eastAsia="Palatino Linotype" w:hAnsi="Palatino Linotype" w:cs="Palatino Linotype"/>
          <w:b/>
          <w:bCs/>
        </w:rPr>
        <w:t>RECURRENTE,</w:t>
      </w:r>
      <w:r w:rsidR="00B93242" w:rsidRPr="004467F3">
        <w:rPr>
          <w:rFonts w:ascii="Palatino Linotype" w:eastAsia="Palatino Linotype" w:hAnsi="Palatino Linotype" w:cs="Palatino Linotype"/>
        </w:rPr>
        <w:t xml:space="preserve"> en contra de la respuesta de</w:t>
      </w:r>
      <w:r w:rsidR="00D11CD8" w:rsidRPr="004467F3">
        <w:rPr>
          <w:rFonts w:ascii="Palatino Linotype" w:eastAsia="Palatino Linotype" w:hAnsi="Palatino Linotype" w:cs="Palatino Linotype"/>
        </w:rPr>
        <w:t xml:space="preserve"> </w:t>
      </w:r>
      <w:r w:rsidR="00B93242" w:rsidRPr="004467F3">
        <w:rPr>
          <w:rFonts w:ascii="Palatino Linotype" w:eastAsia="Palatino Linotype" w:hAnsi="Palatino Linotype" w:cs="Palatino Linotype"/>
        </w:rPr>
        <w:t>l</w:t>
      </w:r>
      <w:r w:rsidR="00D11CD8" w:rsidRPr="004467F3">
        <w:rPr>
          <w:rFonts w:ascii="Palatino Linotype" w:eastAsia="Palatino Linotype" w:hAnsi="Palatino Linotype" w:cs="Palatino Linotype"/>
        </w:rPr>
        <w:t>a</w:t>
      </w:r>
      <w:r w:rsidR="00B93242" w:rsidRPr="004467F3">
        <w:rPr>
          <w:rFonts w:ascii="Palatino Linotype" w:eastAsia="Palatino Linotype" w:hAnsi="Palatino Linotype" w:cs="Palatino Linotype"/>
        </w:rPr>
        <w:t xml:space="preserve"> </w:t>
      </w:r>
      <w:r w:rsidR="006629C2" w:rsidRPr="004467F3">
        <w:rPr>
          <w:rFonts w:ascii="Palatino Linotype" w:eastAsia="Palatino Linotype" w:hAnsi="Palatino Linotype" w:cs="Palatino Linotype"/>
          <w:b/>
        </w:rPr>
        <w:t>Secretaría de Bienestar</w:t>
      </w:r>
      <w:r w:rsidRPr="004467F3">
        <w:rPr>
          <w:rFonts w:ascii="Palatino Linotype" w:eastAsia="Palatino Linotype" w:hAnsi="Palatino Linotype" w:cs="Palatino Linotype"/>
          <w:b/>
          <w:bCs/>
        </w:rPr>
        <w:t xml:space="preserve">, </w:t>
      </w:r>
      <w:r w:rsidRPr="004467F3">
        <w:rPr>
          <w:rFonts w:ascii="Palatino Linotype" w:eastAsia="Palatino Linotype" w:hAnsi="Palatino Linotype" w:cs="Palatino Linotype"/>
        </w:rPr>
        <w:t>en adelante el</w:t>
      </w:r>
      <w:r w:rsidRPr="004467F3">
        <w:rPr>
          <w:rFonts w:ascii="Palatino Linotype" w:eastAsia="Palatino Linotype" w:hAnsi="Palatino Linotype" w:cs="Palatino Linotype"/>
          <w:b/>
          <w:bCs/>
        </w:rPr>
        <w:t xml:space="preserve"> SUJETO OBLIGADO</w:t>
      </w:r>
      <w:r w:rsidRPr="004467F3">
        <w:rPr>
          <w:rFonts w:ascii="Palatino Linotype" w:eastAsia="Palatino Linotype" w:hAnsi="Palatino Linotype" w:cs="Palatino Linotype"/>
        </w:rPr>
        <w:t>, por lo que se procede a dictar la presente resolución, con base en los siguientes:</w:t>
      </w:r>
    </w:p>
    <w:p w:rsidR="003B25EF" w:rsidRPr="004467F3" w:rsidRDefault="003B25EF">
      <w:pPr>
        <w:jc w:val="both"/>
        <w:rPr>
          <w:rFonts w:ascii="Palatino Linotype" w:eastAsia="Palatino Linotype" w:hAnsi="Palatino Linotype" w:cs="Palatino Linotype"/>
        </w:rPr>
      </w:pPr>
    </w:p>
    <w:p w:rsidR="003B25EF" w:rsidRPr="004467F3" w:rsidRDefault="002367BD">
      <w:pPr>
        <w:keepNext/>
        <w:keepLines/>
        <w:spacing w:line="360" w:lineRule="auto"/>
        <w:jc w:val="center"/>
        <w:rPr>
          <w:rFonts w:ascii="Palatino Linotype" w:eastAsia="Palatino Linotype" w:hAnsi="Palatino Linotype" w:cs="Palatino Linotype"/>
          <w:b/>
          <w:bCs/>
        </w:rPr>
      </w:pPr>
      <w:r w:rsidRPr="004467F3">
        <w:rPr>
          <w:rFonts w:ascii="Palatino Linotype" w:eastAsia="Palatino Linotype" w:hAnsi="Palatino Linotype" w:cs="Palatino Linotype"/>
          <w:b/>
          <w:bCs/>
        </w:rPr>
        <w:t>A N T E C E D E N T E S</w:t>
      </w:r>
    </w:p>
    <w:p w:rsidR="003B25EF" w:rsidRPr="004467F3" w:rsidRDefault="003B25EF">
      <w:pPr>
        <w:rPr>
          <w:rFonts w:ascii="Palatino Linotype" w:eastAsia="Palatino Linotype" w:hAnsi="Palatino Linotype" w:cs="Palatino Linotype"/>
        </w:rPr>
      </w:pPr>
    </w:p>
    <w:p w:rsidR="003B25EF" w:rsidRPr="004467F3" w:rsidRDefault="002367BD">
      <w:pPr>
        <w:numPr>
          <w:ilvl w:val="0"/>
          <w:numId w:val="2"/>
        </w:numPr>
        <w:spacing w:line="360" w:lineRule="auto"/>
        <w:ind w:left="0" w:firstLine="0"/>
        <w:jc w:val="both"/>
        <w:rPr>
          <w:rFonts w:ascii="Palatino Linotype" w:eastAsia="Palatino Linotype" w:hAnsi="Palatino Linotype" w:cs="Palatino Linotype"/>
        </w:rPr>
      </w:pPr>
      <w:r w:rsidRPr="004467F3">
        <w:rPr>
          <w:rFonts w:ascii="Palatino Linotype" w:eastAsia="Palatino Linotype" w:hAnsi="Palatino Linotype" w:cs="Palatino Linotype"/>
        </w:rPr>
        <w:t xml:space="preserve">El </w:t>
      </w:r>
      <w:r w:rsidR="006629C2" w:rsidRPr="004467F3">
        <w:rPr>
          <w:rFonts w:ascii="Palatino Linotype" w:eastAsia="Palatino Linotype" w:hAnsi="Palatino Linotype" w:cs="Palatino Linotype"/>
        </w:rPr>
        <w:t>quince de enero de dos mil veintiséis</w:t>
      </w:r>
      <w:r w:rsidRPr="004467F3">
        <w:rPr>
          <w:rFonts w:ascii="Palatino Linotype" w:eastAsia="Palatino Linotype" w:hAnsi="Palatino Linotype" w:cs="Palatino Linotype"/>
        </w:rPr>
        <w:t>, la</w:t>
      </w:r>
      <w:r w:rsidRPr="004467F3">
        <w:rPr>
          <w:rFonts w:ascii="Palatino Linotype" w:eastAsia="Palatino Linotype" w:hAnsi="Palatino Linotype" w:cs="Palatino Linotype"/>
          <w:b/>
          <w:bCs/>
        </w:rPr>
        <w:t xml:space="preserve"> RECURRENTE </w:t>
      </w:r>
      <w:r w:rsidRPr="004467F3">
        <w:rPr>
          <w:rFonts w:ascii="Palatino Linotype" w:eastAsia="Palatino Linotype" w:hAnsi="Palatino Linotype" w:cs="Palatino Linotype"/>
        </w:rPr>
        <w:t xml:space="preserve">presentó ante el </w:t>
      </w:r>
      <w:r w:rsidRPr="004467F3">
        <w:rPr>
          <w:rFonts w:ascii="Palatino Linotype" w:eastAsia="Palatino Linotype" w:hAnsi="Palatino Linotype" w:cs="Palatino Linotype"/>
          <w:b/>
          <w:bCs/>
        </w:rPr>
        <w:t>SUJETO OBLIGADO,</w:t>
      </w:r>
      <w:r w:rsidRPr="004467F3">
        <w:rPr>
          <w:rFonts w:ascii="Palatino Linotype" w:eastAsia="Palatino Linotype" w:hAnsi="Palatino Linotype" w:cs="Palatino Linotype"/>
        </w:rPr>
        <w:t xml:space="preserve"> a través del el Sistema de Acceso a la Información Mexiquense </w:t>
      </w:r>
      <w:r w:rsidRPr="004467F3">
        <w:rPr>
          <w:rFonts w:ascii="Palatino Linotype" w:eastAsia="Palatino Linotype" w:hAnsi="Palatino Linotype" w:cs="Palatino Linotype"/>
          <w:b/>
          <w:bCs/>
        </w:rPr>
        <w:t>(SAIMEX),</w:t>
      </w:r>
      <w:r w:rsidRPr="004467F3">
        <w:rPr>
          <w:rFonts w:ascii="Palatino Linotype" w:eastAsia="Palatino Linotype" w:hAnsi="Palatino Linotype" w:cs="Palatino Linotype"/>
        </w:rPr>
        <w:t xml:space="preserve"> la solicitud de información pública </w:t>
      </w:r>
      <w:r w:rsidR="006629C2" w:rsidRPr="004467F3">
        <w:rPr>
          <w:rFonts w:ascii="Palatino Linotype" w:eastAsia="Palatino Linotype" w:hAnsi="Palatino Linotype" w:cs="Palatino Linotype"/>
          <w:b/>
          <w:bCs/>
        </w:rPr>
        <w:t>00015</w:t>
      </w:r>
      <w:r w:rsidRPr="004467F3">
        <w:rPr>
          <w:rFonts w:ascii="Palatino Linotype" w:eastAsia="Palatino Linotype" w:hAnsi="Palatino Linotype" w:cs="Palatino Linotype"/>
          <w:b/>
          <w:bCs/>
        </w:rPr>
        <w:t>/</w:t>
      </w:r>
      <w:r w:rsidR="006629C2" w:rsidRPr="004467F3">
        <w:rPr>
          <w:rFonts w:ascii="Palatino Linotype" w:eastAsia="Palatino Linotype" w:hAnsi="Palatino Linotype" w:cs="Palatino Linotype"/>
          <w:b/>
          <w:bCs/>
        </w:rPr>
        <w:t>BIENESTAR/IP/2026</w:t>
      </w:r>
      <w:r w:rsidRPr="004467F3">
        <w:rPr>
          <w:rFonts w:ascii="Palatino Linotype" w:eastAsia="Palatino Linotype" w:hAnsi="Palatino Linotype" w:cs="Palatino Linotype"/>
        </w:rPr>
        <w:t>, en la que solicitó:</w:t>
      </w:r>
    </w:p>
    <w:p w:rsidR="003B25EF" w:rsidRPr="004467F3" w:rsidRDefault="003B25EF">
      <w:pPr>
        <w:jc w:val="both"/>
        <w:rPr>
          <w:rFonts w:ascii="Palatino Linotype" w:eastAsia="Palatino Linotype" w:hAnsi="Palatino Linotype" w:cs="Palatino Linotype"/>
          <w:i/>
          <w:iCs/>
        </w:rPr>
      </w:pPr>
    </w:p>
    <w:p w:rsidR="003B25EF" w:rsidRPr="004467F3" w:rsidRDefault="002367BD" w:rsidP="00B93242">
      <w:pPr>
        <w:ind w:left="567" w:right="567"/>
        <w:jc w:val="both"/>
        <w:rPr>
          <w:rFonts w:ascii="Palatino Linotype" w:eastAsia="Palatino Linotype" w:hAnsi="Palatino Linotype" w:cs="Palatino Linotype"/>
          <w:i/>
          <w:iCs/>
          <w:color w:val="000000"/>
        </w:rPr>
      </w:pPr>
      <w:r w:rsidRPr="004467F3">
        <w:rPr>
          <w:rFonts w:ascii="Palatino Linotype" w:eastAsia="Palatino Linotype" w:hAnsi="Palatino Linotype" w:cs="Palatino Linotype"/>
          <w:i/>
          <w:iCs/>
          <w:color w:val="000000"/>
        </w:rPr>
        <w:t>“</w:t>
      </w:r>
      <w:r w:rsidR="006629C2" w:rsidRPr="004467F3">
        <w:rPr>
          <w:rFonts w:ascii="Palatino Linotype" w:hAnsi="Palatino Linotype"/>
          <w:i/>
          <w:color w:val="000000"/>
        </w:rPr>
        <w:t>Solicito los curriculums de todo el personal de la Secretaría de Bienestar, dado de alta en el mes de diciembre de 2025</w:t>
      </w:r>
      <w:r w:rsidRPr="004467F3">
        <w:rPr>
          <w:rFonts w:ascii="Palatino Linotype" w:eastAsia="Palatino Linotype" w:hAnsi="Palatino Linotype" w:cs="Palatino Linotype"/>
          <w:i/>
          <w:iCs/>
          <w:color w:val="000000"/>
        </w:rPr>
        <w:t xml:space="preserve">” (Sic) </w:t>
      </w:r>
    </w:p>
    <w:p w:rsidR="003B25EF" w:rsidRPr="004467F3" w:rsidRDefault="003B25EF" w:rsidP="00B93242">
      <w:pPr>
        <w:pBdr>
          <w:top w:val="nil"/>
          <w:left w:val="nil"/>
          <w:bottom w:val="nil"/>
          <w:right w:val="nil"/>
          <w:between w:val="nil"/>
        </w:pBdr>
        <w:jc w:val="both"/>
        <w:rPr>
          <w:rFonts w:ascii="Palatino Linotype" w:eastAsia="Palatino Linotype" w:hAnsi="Palatino Linotype" w:cs="Palatino Linotype"/>
          <w:color w:val="000000"/>
        </w:rPr>
      </w:pPr>
    </w:p>
    <w:p w:rsidR="003B25EF" w:rsidRPr="004467F3" w:rsidRDefault="002367BD">
      <w:pPr>
        <w:numPr>
          <w:ilvl w:val="0"/>
          <w:numId w:val="2"/>
        </w:numPr>
        <w:spacing w:line="360" w:lineRule="auto"/>
        <w:ind w:left="0" w:firstLine="0"/>
        <w:jc w:val="both"/>
        <w:rPr>
          <w:rFonts w:ascii="Palatino Linotype" w:eastAsia="Palatino Linotype" w:hAnsi="Palatino Linotype" w:cs="Palatino Linotype"/>
        </w:rPr>
      </w:pPr>
      <w:r w:rsidRPr="004467F3">
        <w:rPr>
          <w:rFonts w:ascii="Palatino Linotype" w:eastAsia="Palatino Linotype" w:hAnsi="Palatino Linotype" w:cs="Palatino Linotype"/>
        </w:rPr>
        <w:t xml:space="preserve">Se hace constar que se señaló como modalidad de entrega de la información a través del </w:t>
      </w:r>
      <w:r w:rsidRPr="004467F3">
        <w:rPr>
          <w:rFonts w:ascii="Palatino Linotype" w:eastAsia="Palatino Linotype" w:hAnsi="Palatino Linotype" w:cs="Palatino Linotype"/>
          <w:b/>
          <w:bCs/>
        </w:rPr>
        <w:t>SAIMEX.</w:t>
      </w:r>
    </w:p>
    <w:p w:rsidR="003B25EF" w:rsidRPr="004467F3" w:rsidRDefault="003B25EF">
      <w:pPr>
        <w:jc w:val="both"/>
        <w:rPr>
          <w:rFonts w:ascii="Palatino Linotype" w:eastAsia="Palatino Linotype" w:hAnsi="Palatino Linotype" w:cs="Palatino Linotype"/>
          <w:b/>
          <w:bCs/>
        </w:rPr>
      </w:pPr>
    </w:p>
    <w:p w:rsidR="003B25EF" w:rsidRPr="004467F3" w:rsidRDefault="00B93242">
      <w:pPr>
        <w:numPr>
          <w:ilvl w:val="0"/>
          <w:numId w:val="2"/>
        </w:numPr>
        <w:spacing w:line="360" w:lineRule="auto"/>
        <w:ind w:left="0" w:firstLine="0"/>
        <w:jc w:val="both"/>
        <w:rPr>
          <w:rFonts w:ascii="Palatino Linotype" w:eastAsia="Palatino Linotype" w:hAnsi="Palatino Linotype" w:cs="Palatino Linotype"/>
        </w:rPr>
      </w:pPr>
      <w:r w:rsidRPr="004467F3">
        <w:rPr>
          <w:rFonts w:ascii="Palatino Linotype" w:eastAsia="Palatino Linotype" w:hAnsi="Palatino Linotype" w:cs="Palatino Linotype"/>
        </w:rPr>
        <w:t xml:space="preserve">El </w:t>
      </w:r>
      <w:r w:rsidR="006629C2" w:rsidRPr="004467F3">
        <w:rPr>
          <w:rFonts w:ascii="Palatino Linotype" w:eastAsia="Palatino Linotype" w:hAnsi="Palatino Linotype" w:cs="Palatino Linotype"/>
        </w:rPr>
        <w:t>seis de febrero de dos mil veintiséis</w:t>
      </w:r>
      <w:r w:rsidR="002367BD" w:rsidRPr="004467F3">
        <w:rPr>
          <w:rFonts w:ascii="Palatino Linotype" w:eastAsia="Palatino Linotype" w:hAnsi="Palatino Linotype" w:cs="Palatino Linotype"/>
        </w:rPr>
        <w:t xml:space="preserve">, el </w:t>
      </w:r>
      <w:r w:rsidR="002367BD" w:rsidRPr="004467F3">
        <w:rPr>
          <w:rFonts w:ascii="Palatino Linotype" w:eastAsia="Palatino Linotype" w:hAnsi="Palatino Linotype" w:cs="Palatino Linotype"/>
          <w:b/>
          <w:bCs/>
        </w:rPr>
        <w:t>SUJETO OBLIGADO</w:t>
      </w:r>
      <w:r w:rsidR="002367BD" w:rsidRPr="004467F3">
        <w:rPr>
          <w:rFonts w:ascii="Palatino Linotype" w:eastAsia="Palatino Linotype" w:hAnsi="Palatino Linotype" w:cs="Palatino Linotype"/>
          <w:b/>
          <w:bCs/>
          <w:i/>
          <w:iCs/>
        </w:rPr>
        <w:t xml:space="preserve"> </w:t>
      </w:r>
      <w:r w:rsidR="002367BD" w:rsidRPr="004467F3">
        <w:rPr>
          <w:rFonts w:ascii="Palatino Linotype" w:eastAsia="Palatino Linotype" w:hAnsi="Palatino Linotype" w:cs="Palatino Linotype"/>
        </w:rPr>
        <w:t>dio respuesta a la solicitud de información, en los siguientes términos:</w:t>
      </w:r>
    </w:p>
    <w:p w:rsidR="003B25EF" w:rsidRPr="004467F3" w:rsidRDefault="003B25EF">
      <w:pPr>
        <w:ind w:right="-592"/>
        <w:jc w:val="both"/>
        <w:rPr>
          <w:rFonts w:ascii="Palatino Linotype" w:eastAsia="Palatino Linotype" w:hAnsi="Palatino Linotype" w:cs="Palatino Linotype"/>
          <w:i/>
          <w:iCs/>
        </w:rPr>
      </w:pPr>
    </w:p>
    <w:p w:rsidR="003B25EF" w:rsidRPr="004467F3" w:rsidRDefault="002367BD" w:rsidP="006629C2">
      <w:pPr>
        <w:ind w:left="567" w:right="567"/>
        <w:jc w:val="both"/>
        <w:rPr>
          <w:rFonts w:ascii="Palatino Linotype" w:eastAsia="Palatino Linotype" w:hAnsi="Palatino Linotype" w:cs="Palatino Linotype"/>
          <w:i/>
          <w:iCs/>
        </w:rPr>
      </w:pPr>
      <w:r w:rsidRPr="004467F3">
        <w:rPr>
          <w:rFonts w:ascii="Palatino Linotype" w:eastAsia="Palatino Linotype" w:hAnsi="Palatino Linotype" w:cs="Palatino Linotype"/>
          <w:i/>
          <w:iCs/>
          <w:color w:val="000000"/>
        </w:rPr>
        <w:t>“</w:t>
      </w:r>
      <w:r w:rsidR="006629C2" w:rsidRPr="004467F3">
        <w:rPr>
          <w:rFonts w:ascii="Palatino Linotype" w:hAnsi="Palatino Linotype"/>
          <w:i/>
          <w:color w:val="000000"/>
        </w:rPr>
        <w:t>Se anexa oficio de respuesta número SBIENESTAREDOMEX/UT/015/2026, de fecha 6 de febrero de 2026, así como en versión pública los curriculum vitae de las personas servidoras públicas dadas de alta en el mes de diciembre de 2025 y el Acuerdo CTSB-EXT-007-001/2026, de 3 de febrero de 2026, donde se clasificaron como confidenciales los datos personales contenidos en los curriculum vitae</w:t>
      </w:r>
      <w:r w:rsidRPr="004467F3">
        <w:rPr>
          <w:rFonts w:ascii="Palatino Linotype" w:eastAsia="Palatino Linotype" w:hAnsi="Palatino Linotype" w:cs="Palatino Linotype"/>
          <w:i/>
          <w:iCs/>
          <w:color w:val="000000"/>
        </w:rPr>
        <w:t xml:space="preserve">” (Sic) </w:t>
      </w:r>
    </w:p>
    <w:p w:rsidR="003B25EF" w:rsidRPr="004467F3" w:rsidRDefault="002367BD">
      <w:pPr>
        <w:ind w:right="567"/>
        <w:jc w:val="both"/>
        <w:rPr>
          <w:rFonts w:ascii="Palatino Linotype" w:eastAsia="Palatino Linotype" w:hAnsi="Palatino Linotype" w:cs="Palatino Linotype"/>
          <w:b/>
        </w:rPr>
      </w:pPr>
      <w:r w:rsidRPr="004467F3">
        <w:rPr>
          <w:rFonts w:ascii="Palatino Linotype" w:eastAsia="Palatino Linotype" w:hAnsi="Palatino Linotype" w:cs="Palatino Linotype"/>
          <w:b/>
        </w:rPr>
        <w:lastRenderedPageBreak/>
        <w:t>Archivos electrónicos adjuntos:</w:t>
      </w:r>
    </w:p>
    <w:p w:rsidR="003B25EF" w:rsidRPr="004467F3" w:rsidRDefault="003B25EF">
      <w:pPr>
        <w:ind w:right="567"/>
        <w:jc w:val="both"/>
        <w:rPr>
          <w:rFonts w:ascii="Palatino Linotype" w:eastAsia="Palatino Linotype" w:hAnsi="Palatino Linotype" w:cs="Palatino Linotype"/>
          <w:b/>
          <w:bCs/>
          <w:color w:val="434343"/>
        </w:rPr>
      </w:pPr>
    </w:p>
    <w:p w:rsidR="006629C2" w:rsidRPr="004467F3" w:rsidRDefault="00957EF2" w:rsidP="005E7774">
      <w:pPr>
        <w:ind w:left="567" w:right="567"/>
        <w:jc w:val="both"/>
        <w:rPr>
          <w:rFonts w:ascii="Palatino Linotype" w:hAnsi="Palatino Linotype"/>
        </w:rPr>
      </w:pPr>
      <w:hyperlink r:id="rId8" w:tgtFrame="_blank" w:history="1">
        <w:r w:rsidR="006629C2" w:rsidRPr="004467F3">
          <w:rPr>
            <w:rStyle w:val="Hipervnculo"/>
            <w:rFonts w:ascii="Palatino Linotype" w:hAnsi="Palatino Linotype" w:cs="Arial"/>
            <w:b/>
            <w:bCs/>
            <w:color w:val="auto"/>
            <w:u w:val="none"/>
          </w:rPr>
          <w:t>CURRICULUM VITAE DE DICIEMBRE DE 2025.pdf</w:t>
        </w:r>
      </w:hyperlink>
      <w:r w:rsidR="006629C2" w:rsidRPr="004467F3">
        <w:rPr>
          <w:rFonts w:ascii="Palatino Linotype" w:hAnsi="Palatino Linotype"/>
        </w:rPr>
        <w:t>:</w:t>
      </w:r>
      <w:r w:rsidR="005E7774" w:rsidRPr="004467F3">
        <w:rPr>
          <w:rFonts w:ascii="Palatino Linotype" w:hAnsi="Palatino Linotype"/>
        </w:rPr>
        <w:t xml:space="preserve"> Copia digitalizada de siete currículos vitae.</w:t>
      </w:r>
    </w:p>
    <w:p w:rsidR="005E7774" w:rsidRPr="004467F3" w:rsidRDefault="005E7774" w:rsidP="005E7774">
      <w:pPr>
        <w:ind w:left="567" w:right="567"/>
        <w:jc w:val="both"/>
        <w:rPr>
          <w:rFonts w:ascii="Palatino Linotype" w:hAnsi="Palatino Linotype"/>
        </w:rPr>
      </w:pPr>
    </w:p>
    <w:p w:rsidR="006629C2" w:rsidRPr="004467F3" w:rsidRDefault="00957EF2" w:rsidP="005E7774">
      <w:pPr>
        <w:ind w:left="567" w:right="567"/>
        <w:jc w:val="both"/>
        <w:rPr>
          <w:rFonts w:ascii="Palatino Linotype" w:hAnsi="Palatino Linotype"/>
        </w:rPr>
      </w:pPr>
      <w:hyperlink r:id="rId9" w:tgtFrame="_blank" w:history="1">
        <w:r w:rsidR="006629C2" w:rsidRPr="004467F3">
          <w:rPr>
            <w:rStyle w:val="Hipervnculo"/>
            <w:rFonts w:ascii="Palatino Linotype" w:hAnsi="Palatino Linotype" w:cs="Arial"/>
            <w:b/>
            <w:bCs/>
            <w:color w:val="auto"/>
            <w:u w:val="none"/>
          </w:rPr>
          <w:t>015-ACUERDO-EXT-07.pdf</w:t>
        </w:r>
      </w:hyperlink>
      <w:r w:rsidR="006629C2" w:rsidRPr="004467F3">
        <w:rPr>
          <w:rFonts w:ascii="Palatino Linotype" w:hAnsi="Palatino Linotype"/>
        </w:rPr>
        <w:t>:</w:t>
      </w:r>
      <w:r w:rsidR="005E7774" w:rsidRPr="004467F3">
        <w:rPr>
          <w:rFonts w:ascii="Palatino Linotype" w:hAnsi="Palatino Linotype"/>
        </w:rPr>
        <w:t xml:space="preserve"> Acuerdo del Comité de Transparencia de la Secretaría de Bienestar número CTSB-EXT-007-001/2026 de fecha 3 de febrero de 2026, mediante el cual, se aprobó la versión pública de los currículos vitae requeridos en la solicitud de información 00015/BIENESTAR/IP/2026.</w:t>
      </w:r>
    </w:p>
    <w:p w:rsidR="005E7774" w:rsidRPr="004467F3" w:rsidRDefault="005E7774" w:rsidP="005E7774">
      <w:pPr>
        <w:ind w:left="567" w:right="567"/>
        <w:jc w:val="both"/>
        <w:rPr>
          <w:rFonts w:ascii="Palatino Linotype" w:hAnsi="Palatino Linotype"/>
        </w:rPr>
      </w:pPr>
    </w:p>
    <w:p w:rsidR="006629C2" w:rsidRPr="004467F3" w:rsidRDefault="00957EF2" w:rsidP="005E7774">
      <w:pPr>
        <w:ind w:left="567" w:right="567"/>
        <w:jc w:val="both"/>
        <w:rPr>
          <w:rFonts w:ascii="Palatino Linotype" w:eastAsia="Palatino Linotype" w:hAnsi="Palatino Linotype" w:cs="Palatino Linotype"/>
          <w:b/>
          <w:bCs/>
        </w:rPr>
      </w:pPr>
      <w:hyperlink r:id="rId10" w:tgtFrame="_blank" w:history="1">
        <w:r w:rsidR="006629C2" w:rsidRPr="004467F3">
          <w:rPr>
            <w:rStyle w:val="Hipervnculo"/>
            <w:rFonts w:ascii="Palatino Linotype" w:hAnsi="Palatino Linotype" w:cs="Arial"/>
            <w:b/>
            <w:bCs/>
            <w:color w:val="auto"/>
            <w:u w:val="none"/>
          </w:rPr>
          <w:t>015 - C. Ciudadano - Unidad de Transparencia - 015.pdf</w:t>
        </w:r>
      </w:hyperlink>
      <w:r w:rsidR="006629C2" w:rsidRPr="004467F3">
        <w:rPr>
          <w:rFonts w:ascii="Palatino Linotype" w:hAnsi="Palatino Linotype"/>
        </w:rPr>
        <w:t>:</w:t>
      </w:r>
      <w:r w:rsidR="005E7774" w:rsidRPr="004467F3">
        <w:rPr>
          <w:rFonts w:ascii="Palatino Linotype" w:hAnsi="Palatino Linotype"/>
        </w:rPr>
        <w:t xml:space="preserve"> Oficio suscrito por la Titular de la Unidad de Transparencia, mediante el cual, </w:t>
      </w:r>
      <w:r w:rsidR="0060519A" w:rsidRPr="004467F3">
        <w:rPr>
          <w:rFonts w:ascii="Palatino Linotype" w:hAnsi="Palatino Linotype"/>
        </w:rPr>
        <w:t xml:space="preserve">se aprobó la propuesta de clasificación de los currículos vitae solicitados, </w:t>
      </w:r>
      <w:r w:rsidR="00E4587B" w:rsidRPr="004467F3">
        <w:rPr>
          <w:rFonts w:ascii="Palatino Linotype" w:hAnsi="Palatino Linotype"/>
        </w:rPr>
        <w:t xml:space="preserve">presentada </w:t>
      </w:r>
      <w:r w:rsidR="0060519A" w:rsidRPr="004467F3">
        <w:rPr>
          <w:rFonts w:ascii="Palatino Linotype" w:hAnsi="Palatino Linotype"/>
        </w:rPr>
        <w:t>por</w:t>
      </w:r>
      <w:r w:rsidR="005E7774" w:rsidRPr="004467F3">
        <w:rPr>
          <w:rFonts w:ascii="Palatino Linotype" w:hAnsi="Palatino Linotype"/>
        </w:rPr>
        <w:t xml:space="preserve"> la Dirección de Administración de Personal</w:t>
      </w:r>
      <w:r w:rsidR="0060519A" w:rsidRPr="004467F3">
        <w:rPr>
          <w:rFonts w:ascii="Palatino Linotype" w:hAnsi="Palatino Linotype"/>
        </w:rPr>
        <w:t xml:space="preserve"> en el ámbito de su competencia.</w:t>
      </w:r>
    </w:p>
    <w:p w:rsidR="00B93242" w:rsidRPr="004467F3" w:rsidRDefault="00B93242">
      <w:pPr>
        <w:ind w:right="-592"/>
        <w:jc w:val="both"/>
        <w:rPr>
          <w:rFonts w:ascii="Palatino Linotype" w:eastAsia="Palatino Linotype" w:hAnsi="Palatino Linotype" w:cs="Palatino Linotype"/>
          <w:b/>
          <w:bCs/>
        </w:rPr>
      </w:pPr>
    </w:p>
    <w:p w:rsidR="003B25EF" w:rsidRPr="004467F3" w:rsidRDefault="002367BD">
      <w:pPr>
        <w:numPr>
          <w:ilvl w:val="0"/>
          <w:numId w:val="2"/>
        </w:numPr>
        <w:spacing w:line="360" w:lineRule="auto"/>
        <w:ind w:left="0" w:right="1" w:firstLine="0"/>
        <w:jc w:val="both"/>
        <w:rPr>
          <w:rFonts w:ascii="Palatino Linotype" w:eastAsia="Palatino Linotype" w:hAnsi="Palatino Linotype" w:cs="Palatino Linotype"/>
        </w:rPr>
      </w:pPr>
      <w:r w:rsidRPr="004467F3">
        <w:rPr>
          <w:rFonts w:ascii="Palatino Linotype" w:eastAsia="Palatino Linotype" w:hAnsi="Palatino Linotype" w:cs="Palatino Linotype"/>
        </w:rPr>
        <w:t xml:space="preserve">El </w:t>
      </w:r>
      <w:r w:rsidR="006629C2" w:rsidRPr="004467F3">
        <w:rPr>
          <w:rFonts w:ascii="Palatino Linotype" w:eastAsia="Palatino Linotype" w:hAnsi="Palatino Linotype" w:cs="Palatino Linotype"/>
        </w:rPr>
        <w:t>nueve de febrero de dos mil veintiséis</w:t>
      </w:r>
      <w:r w:rsidRPr="004467F3">
        <w:rPr>
          <w:rFonts w:ascii="Palatino Linotype" w:eastAsia="Palatino Linotype" w:hAnsi="Palatino Linotype" w:cs="Palatino Linotype"/>
        </w:rPr>
        <w:t>,</w:t>
      </w:r>
      <w:r w:rsidRPr="004467F3">
        <w:rPr>
          <w:rFonts w:ascii="Palatino Linotype" w:eastAsia="Palatino Linotype" w:hAnsi="Palatino Linotype" w:cs="Palatino Linotype"/>
          <w:b/>
          <w:bCs/>
        </w:rPr>
        <w:t xml:space="preserve"> </w:t>
      </w:r>
      <w:r w:rsidRPr="004467F3">
        <w:rPr>
          <w:rFonts w:ascii="Palatino Linotype" w:eastAsia="Palatino Linotype" w:hAnsi="Palatino Linotype" w:cs="Palatino Linotype"/>
        </w:rPr>
        <w:t xml:space="preserve">el </w:t>
      </w:r>
      <w:r w:rsidRPr="004467F3">
        <w:rPr>
          <w:rFonts w:ascii="Palatino Linotype" w:eastAsia="Palatino Linotype" w:hAnsi="Palatino Linotype" w:cs="Palatino Linotype"/>
          <w:b/>
          <w:bCs/>
        </w:rPr>
        <w:t>RECURRENTE</w:t>
      </w:r>
      <w:r w:rsidRPr="004467F3">
        <w:rPr>
          <w:rFonts w:ascii="Palatino Linotype" w:eastAsia="Palatino Linotype" w:hAnsi="Palatino Linotype" w:cs="Palatino Linotype"/>
        </w:rPr>
        <w:t xml:space="preserve"> interpuso el recurso de revisión en contra de la respuesta, señalando como:</w:t>
      </w:r>
    </w:p>
    <w:p w:rsidR="003B25EF" w:rsidRPr="004467F3" w:rsidRDefault="003B25EF">
      <w:pPr>
        <w:ind w:right="1"/>
        <w:jc w:val="both"/>
        <w:rPr>
          <w:rFonts w:ascii="Palatino Linotype" w:eastAsia="Palatino Linotype" w:hAnsi="Palatino Linotype" w:cs="Palatino Linotype"/>
        </w:rPr>
      </w:pPr>
    </w:p>
    <w:p w:rsidR="003B25EF" w:rsidRPr="004467F3" w:rsidRDefault="002367BD">
      <w:pPr>
        <w:ind w:left="567" w:right="567"/>
        <w:jc w:val="both"/>
        <w:rPr>
          <w:rFonts w:ascii="Palatino Linotype" w:eastAsia="Palatino Linotype" w:hAnsi="Palatino Linotype" w:cs="Palatino Linotype"/>
          <w:i/>
          <w:iCs/>
        </w:rPr>
      </w:pPr>
      <w:r w:rsidRPr="004467F3">
        <w:rPr>
          <w:rFonts w:ascii="Palatino Linotype" w:eastAsia="Palatino Linotype" w:hAnsi="Palatino Linotype" w:cs="Palatino Linotype"/>
          <w:b/>
          <w:bCs/>
        </w:rPr>
        <w:t>Acto impugnado</w:t>
      </w:r>
      <w:r w:rsidRPr="004467F3">
        <w:rPr>
          <w:rFonts w:ascii="Palatino Linotype" w:eastAsia="Palatino Linotype" w:hAnsi="Palatino Linotype" w:cs="Palatino Linotype"/>
          <w:b/>
          <w:bCs/>
          <w:i/>
          <w:iCs/>
        </w:rPr>
        <w:t>:</w:t>
      </w:r>
      <w:r w:rsidRPr="004467F3">
        <w:rPr>
          <w:rFonts w:ascii="Palatino Linotype" w:eastAsia="Palatino Linotype" w:hAnsi="Palatino Linotype" w:cs="Palatino Linotype"/>
          <w:i/>
          <w:iCs/>
          <w:color w:val="000000"/>
        </w:rPr>
        <w:t xml:space="preserve"> “</w:t>
      </w:r>
      <w:r w:rsidR="006629C2" w:rsidRPr="004467F3">
        <w:rPr>
          <w:rFonts w:ascii="Palatino Linotype" w:hAnsi="Palatino Linotype"/>
          <w:i/>
          <w:color w:val="000000"/>
        </w:rPr>
        <w:t>La información proporcionada en los anexos no coincide.</w:t>
      </w:r>
      <w:r w:rsidRPr="004467F3">
        <w:rPr>
          <w:rFonts w:ascii="Palatino Linotype" w:eastAsia="Palatino Linotype" w:hAnsi="Palatino Linotype" w:cs="Palatino Linotype"/>
          <w:i/>
          <w:iCs/>
          <w:color w:val="000000"/>
        </w:rPr>
        <w:t>” (Sic)</w:t>
      </w:r>
    </w:p>
    <w:p w:rsidR="003B25EF" w:rsidRPr="004467F3" w:rsidRDefault="003B25EF">
      <w:pPr>
        <w:ind w:left="567" w:right="567"/>
        <w:jc w:val="both"/>
        <w:rPr>
          <w:rFonts w:ascii="Palatino Linotype" w:eastAsia="Palatino Linotype" w:hAnsi="Palatino Linotype" w:cs="Palatino Linotype"/>
        </w:rPr>
      </w:pPr>
    </w:p>
    <w:p w:rsidR="003B25EF" w:rsidRPr="004467F3" w:rsidRDefault="002367BD" w:rsidP="006629C2">
      <w:pPr>
        <w:ind w:left="567" w:right="567"/>
        <w:jc w:val="both"/>
        <w:rPr>
          <w:rFonts w:ascii="Palatino Linotype" w:eastAsia="Palatino Linotype" w:hAnsi="Palatino Linotype" w:cs="Palatino Linotype"/>
          <w:b/>
          <w:i/>
          <w:iCs/>
          <w:color w:val="000000"/>
        </w:rPr>
      </w:pPr>
      <w:r w:rsidRPr="004467F3">
        <w:rPr>
          <w:rFonts w:ascii="Palatino Linotype" w:eastAsia="Palatino Linotype" w:hAnsi="Palatino Linotype" w:cs="Palatino Linotype"/>
          <w:b/>
          <w:bCs/>
        </w:rPr>
        <w:t xml:space="preserve">Razones o Motivos de inconformidad: </w:t>
      </w:r>
      <w:r w:rsidRPr="004467F3">
        <w:rPr>
          <w:rFonts w:ascii="Palatino Linotype" w:eastAsia="Palatino Linotype" w:hAnsi="Palatino Linotype" w:cs="Palatino Linotype"/>
          <w:i/>
          <w:iCs/>
          <w:color w:val="000000"/>
        </w:rPr>
        <w:t>“</w:t>
      </w:r>
      <w:r w:rsidR="006629C2" w:rsidRPr="004467F3">
        <w:rPr>
          <w:rFonts w:ascii="Palatino Linotype" w:hAnsi="Palatino Linotype"/>
          <w:i/>
          <w:color w:val="000000"/>
        </w:rPr>
        <w:t>El archivo pdf con nombre CURRÍCULUM VITAE DE DICIEMBRE DE 2025, no corresponde al listado de nombres del personal que enlistan en el oficio número SBIENESTAREDOMEX/UT/015/2026.</w:t>
      </w:r>
      <w:r w:rsidRPr="004467F3">
        <w:rPr>
          <w:rFonts w:ascii="Palatino Linotype" w:eastAsia="Palatino Linotype" w:hAnsi="Palatino Linotype" w:cs="Palatino Linotype"/>
          <w:b/>
          <w:i/>
          <w:iCs/>
          <w:color w:val="000000"/>
        </w:rPr>
        <w:t>” (Sic)</w:t>
      </w:r>
    </w:p>
    <w:p w:rsidR="003B25EF" w:rsidRPr="004467F3" w:rsidRDefault="003B25EF">
      <w:pPr>
        <w:ind w:right="568"/>
        <w:jc w:val="both"/>
        <w:rPr>
          <w:rFonts w:ascii="Palatino Linotype" w:eastAsia="Palatino Linotype" w:hAnsi="Palatino Linotype" w:cs="Palatino Linotype"/>
          <w:b/>
          <w:bCs/>
        </w:rPr>
      </w:pPr>
    </w:p>
    <w:p w:rsidR="003B25EF" w:rsidRPr="004467F3" w:rsidRDefault="002367BD">
      <w:pPr>
        <w:numPr>
          <w:ilvl w:val="0"/>
          <w:numId w:val="2"/>
        </w:numPr>
        <w:spacing w:line="360" w:lineRule="auto"/>
        <w:ind w:left="0" w:right="1" w:firstLine="0"/>
        <w:jc w:val="both"/>
        <w:rPr>
          <w:rFonts w:ascii="Palatino Linotype" w:eastAsia="Palatino Linotype" w:hAnsi="Palatino Linotype" w:cs="Palatino Linotype"/>
        </w:rPr>
      </w:pPr>
      <w:r w:rsidRPr="004467F3">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4467F3">
        <w:rPr>
          <w:rFonts w:ascii="Palatino Linotype" w:eastAsia="Palatino Linotype" w:hAnsi="Palatino Linotype" w:cs="Palatino Linotype"/>
          <w:b/>
          <w:bCs/>
        </w:rPr>
        <w:t xml:space="preserve">Ley de Transparencia y Acceso a la Información Pública del Estado de México y Municipios </w:t>
      </w:r>
      <w:r w:rsidRPr="004467F3">
        <w:rPr>
          <w:rFonts w:ascii="Palatino Linotype" w:eastAsia="Palatino Linotype" w:hAnsi="Palatino Linotype" w:cs="Palatino Linotype"/>
        </w:rPr>
        <w:t xml:space="preserve">se turna a la </w:t>
      </w:r>
      <w:r w:rsidRPr="004467F3">
        <w:rPr>
          <w:rFonts w:ascii="Palatino Linotype" w:eastAsia="Palatino Linotype" w:hAnsi="Palatino Linotype" w:cs="Palatino Linotype"/>
          <w:b/>
          <w:bCs/>
        </w:rPr>
        <w:t xml:space="preserve">Comisionada María del Rosario Mejía Ayala, </w:t>
      </w:r>
      <w:r w:rsidRPr="004467F3">
        <w:rPr>
          <w:rFonts w:ascii="Palatino Linotype" w:eastAsia="Palatino Linotype" w:hAnsi="Palatino Linotype" w:cs="Palatino Linotype"/>
        </w:rPr>
        <w:t xml:space="preserve">para su análisis. </w:t>
      </w:r>
    </w:p>
    <w:p w:rsidR="003B25EF" w:rsidRPr="004467F3" w:rsidRDefault="003B25EF">
      <w:pPr>
        <w:ind w:right="-592"/>
        <w:jc w:val="both"/>
        <w:rPr>
          <w:rFonts w:ascii="Palatino Linotype" w:eastAsia="Palatino Linotype" w:hAnsi="Palatino Linotype" w:cs="Palatino Linotype"/>
        </w:rPr>
      </w:pPr>
    </w:p>
    <w:p w:rsidR="00AB5D5F" w:rsidRPr="004467F3" w:rsidRDefault="002367BD" w:rsidP="00AB5D5F">
      <w:pPr>
        <w:numPr>
          <w:ilvl w:val="0"/>
          <w:numId w:val="2"/>
        </w:numPr>
        <w:spacing w:line="360" w:lineRule="auto"/>
        <w:ind w:left="0" w:right="1" w:firstLine="0"/>
        <w:jc w:val="both"/>
        <w:rPr>
          <w:rFonts w:ascii="Palatino Linotype" w:eastAsia="Palatino Linotype" w:hAnsi="Palatino Linotype" w:cs="Palatino Linotype"/>
          <w:color w:val="000000"/>
        </w:rPr>
      </w:pPr>
      <w:r w:rsidRPr="004467F3">
        <w:rPr>
          <w:rFonts w:ascii="Palatino Linotype" w:eastAsia="Palatino Linotype" w:hAnsi="Palatino Linotype" w:cs="Palatino Linotype"/>
        </w:rPr>
        <w:t>La Comisionada Ponente con fundamento en lo dispuesto por el artículo 185 fracción II de la ley de la materia, a trav</w:t>
      </w:r>
      <w:r w:rsidR="00B93242" w:rsidRPr="004467F3">
        <w:rPr>
          <w:rFonts w:ascii="Palatino Linotype" w:eastAsia="Palatino Linotype" w:hAnsi="Palatino Linotype" w:cs="Palatino Linotype"/>
        </w:rPr>
        <w:t xml:space="preserve">és del acuerdo de admisión del </w:t>
      </w:r>
      <w:r w:rsidR="006629C2" w:rsidRPr="004467F3">
        <w:rPr>
          <w:rFonts w:ascii="Palatino Linotype" w:eastAsia="Palatino Linotype" w:hAnsi="Palatino Linotype" w:cs="Palatino Linotype"/>
        </w:rPr>
        <w:t>diez de febrero de dos mil veintiséis</w:t>
      </w:r>
      <w:r w:rsidRPr="004467F3">
        <w:rPr>
          <w:rFonts w:ascii="Palatino Linotype" w:eastAsia="Palatino Linotype" w:hAnsi="Palatino Linotype" w:cs="Palatino Linotype"/>
        </w:rPr>
        <w:t xml:space="preserve">, puso a disposición de las partes el expediente electrónico vía </w:t>
      </w:r>
      <w:r w:rsidRPr="004467F3">
        <w:rPr>
          <w:rFonts w:ascii="Palatino Linotype" w:eastAsia="Palatino Linotype" w:hAnsi="Palatino Linotype" w:cs="Palatino Linotype"/>
          <w:b/>
          <w:bCs/>
        </w:rPr>
        <w:t xml:space="preserve">SAIMEX </w:t>
      </w:r>
      <w:r w:rsidRPr="004467F3">
        <w:rPr>
          <w:rFonts w:ascii="Palatino Linotype" w:eastAsia="Palatino Linotype" w:hAnsi="Palatino Linotype" w:cs="Palatino Linotype"/>
        </w:rPr>
        <w:t xml:space="preserve">a efecto de </w:t>
      </w:r>
      <w:r w:rsidRPr="004467F3">
        <w:rPr>
          <w:rFonts w:ascii="Palatino Linotype" w:eastAsia="Palatino Linotype" w:hAnsi="Palatino Linotype" w:cs="Palatino Linotype"/>
        </w:rPr>
        <w:lastRenderedPageBreak/>
        <w:t xml:space="preserve">que en un plazo máximo de siete días manifestara lo que a derecho conviniera, ofreciera pruebas y alegatos según corresponda al caso concreto, de esta forma para que el </w:t>
      </w:r>
      <w:r w:rsidRPr="004467F3">
        <w:rPr>
          <w:rFonts w:ascii="Palatino Linotype" w:eastAsia="Palatino Linotype" w:hAnsi="Palatino Linotype" w:cs="Palatino Linotype"/>
          <w:b/>
          <w:bCs/>
        </w:rPr>
        <w:t>SUJETO OBLIGADO</w:t>
      </w:r>
      <w:r w:rsidRPr="004467F3">
        <w:rPr>
          <w:rFonts w:ascii="Palatino Linotype" w:eastAsia="Palatino Linotype" w:hAnsi="Palatino Linotype" w:cs="Palatino Linotype"/>
        </w:rPr>
        <w:t xml:space="preserve"> presentará el informe justificado procedente. </w:t>
      </w:r>
    </w:p>
    <w:p w:rsidR="004467F3" w:rsidRPr="004467F3" w:rsidRDefault="004467F3" w:rsidP="004467F3">
      <w:pPr>
        <w:spacing w:line="360" w:lineRule="auto"/>
        <w:ind w:right="1"/>
        <w:jc w:val="both"/>
        <w:rPr>
          <w:rFonts w:ascii="Palatino Linotype" w:eastAsia="Palatino Linotype" w:hAnsi="Palatino Linotype" w:cs="Palatino Linotype"/>
          <w:color w:val="000000"/>
        </w:rPr>
      </w:pPr>
    </w:p>
    <w:p w:rsidR="00B93242" w:rsidRPr="004467F3" w:rsidRDefault="002367BD">
      <w:pPr>
        <w:numPr>
          <w:ilvl w:val="0"/>
          <w:numId w:val="2"/>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r w:rsidRPr="004467F3">
        <w:rPr>
          <w:rFonts w:ascii="Palatino Linotype" w:eastAsia="Palatino Linotype" w:hAnsi="Palatino Linotype" w:cs="Palatino Linotype"/>
        </w:rPr>
        <w:t xml:space="preserve">El </w:t>
      </w:r>
      <w:r w:rsidR="006629C2" w:rsidRPr="004467F3">
        <w:rPr>
          <w:rFonts w:ascii="Palatino Linotype" w:eastAsia="Palatino Linotype" w:hAnsi="Palatino Linotype" w:cs="Palatino Linotype"/>
        </w:rPr>
        <w:t>veinte de febrero de dos mil veintiséis</w:t>
      </w:r>
      <w:r w:rsidR="00B93242" w:rsidRPr="004467F3">
        <w:rPr>
          <w:rFonts w:ascii="Palatino Linotype" w:eastAsia="Palatino Linotype" w:hAnsi="Palatino Linotype" w:cs="Palatino Linotype"/>
        </w:rPr>
        <w:t xml:space="preserve">, el </w:t>
      </w:r>
      <w:r w:rsidRPr="004467F3">
        <w:rPr>
          <w:rFonts w:ascii="Palatino Linotype" w:eastAsia="Palatino Linotype" w:hAnsi="Palatino Linotype" w:cs="Palatino Linotype"/>
          <w:b/>
          <w:bCs/>
        </w:rPr>
        <w:t>SUJETO OBLIGADO</w:t>
      </w:r>
      <w:r w:rsidRPr="004467F3">
        <w:rPr>
          <w:rFonts w:ascii="Palatino Linotype" w:eastAsia="Palatino Linotype" w:hAnsi="Palatino Linotype" w:cs="Palatino Linotype"/>
        </w:rPr>
        <w:t xml:space="preserve"> </w:t>
      </w:r>
      <w:r w:rsidR="00B93242" w:rsidRPr="004467F3">
        <w:rPr>
          <w:rFonts w:ascii="Palatino Linotype" w:eastAsia="Palatino Linotype" w:hAnsi="Palatino Linotype" w:cs="Palatino Linotype"/>
        </w:rPr>
        <w:t>rindió</w:t>
      </w:r>
      <w:r w:rsidRPr="004467F3">
        <w:rPr>
          <w:rFonts w:ascii="Palatino Linotype" w:eastAsia="Palatino Linotype" w:hAnsi="Palatino Linotype" w:cs="Palatino Linotype"/>
        </w:rPr>
        <w:t xml:space="preserve"> el inform</w:t>
      </w:r>
      <w:r w:rsidR="00B93242" w:rsidRPr="004467F3">
        <w:rPr>
          <w:rFonts w:ascii="Palatino Linotype" w:eastAsia="Palatino Linotype" w:hAnsi="Palatino Linotype" w:cs="Palatino Linotype"/>
        </w:rPr>
        <w:t xml:space="preserve">e justificado correspondiente, </w:t>
      </w:r>
      <w:r w:rsidR="00E3589A" w:rsidRPr="004467F3">
        <w:rPr>
          <w:rFonts w:ascii="Palatino Linotype" w:eastAsia="Palatino Linotype" w:hAnsi="Palatino Linotype" w:cs="Palatino Linotype"/>
        </w:rPr>
        <w:t>mediante los siguientes archivos electrónicos:</w:t>
      </w:r>
    </w:p>
    <w:p w:rsidR="00B93242" w:rsidRPr="004467F3" w:rsidRDefault="00B93242" w:rsidP="00AC2040">
      <w:pPr>
        <w:rPr>
          <w:rFonts w:ascii="Palatino Linotype" w:eastAsia="Palatino Linotype" w:hAnsi="Palatino Linotype" w:cs="Palatino Linotype"/>
          <w:b/>
          <w:color w:val="000000"/>
        </w:rPr>
      </w:pPr>
    </w:p>
    <w:p w:rsidR="006629C2" w:rsidRPr="004467F3" w:rsidRDefault="00957EF2" w:rsidP="006E1306">
      <w:pPr>
        <w:ind w:left="567" w:right="567"/>
        <w:jc w:val="both"/>
        <w:rPr>
          <w:rFonts w:ascii="Palatino Linotype" w:hAnsi="Palatino Linotype" w:cs="Arial"/>
          <w:b/>
          <w:bCs/>
        </w:rPr>
      </w:pPr>
      <w:hyperlink r:id="rId11" w:history="1">
        <w:r w:rsidR="006629C2" w:rsidRPr="004467F3">
          <w:rPr>
            <w:rStyle w:val="Hipervnculo"/>
            <w:rFonts w:ascii="Palatino Linotype" w:hAnsi="Palatino Linotype" w:cs="Arial"/>
            <w:b/>
            <w:bCs/>
            <w:color w:val="auto"/>
            <w:u w:val="none"/>
          </w:rPr>
          <w:t>015 - C. Ciudadano - Informe Justificado - RR - 01658 - Unidad de Transparencia - 015.pdf</w:t>
        </w:r>
      </w:hyperlink>
      <w:r w:rsidR="006629C2" w:rsidRPr="004467F3">
        <w:rPr>
          <w:rFonts w:ascii="Palatino Linotype" w:hAnsi="Palatino Linotype" w:cs="Arial"/>
        </w:rPr>
        <w:t>:</w:t>
      </w:r>
      <w:r w:rsidR="009F2EA6" w:rsidRPr="004467F3">
        <w:rPr>
          <w:rFonts w:ascii="Palatino Linotype" w:hAnsi="Palatino Linotype" w:cs="Arial"/>
        </w:rPr>
        <w:t xml:space="preserve"> Oficio suscrito por Titular de la Unidad de Transparencia, </w:t>
      </w:r>
      <w:r w:rsidR="006E1306" w:rsidRPr="004467F3">
        <w:rPr>
          <w:rFonts w:ascii="Palatino Linotype" w:hAnsi="Palatino Linotype" w:cs="Arial"/>
        </w:rPr>
        <w:t>mediante</w:t>
      </w:r>
      <w:r w:rsidR="009F2EA6" w:rsidRPr="004467F3">
        <w:rPr>
          <w:rFonts w:ascii="Palatino Linotype" w:hAnsi="Palatino Linotype" w:cs="Arial"/>
        </w:rPr>
        <w:t xml:space="preserve"> el cual, </w:t>
      </w:r>
      <w:r w:rsidR="006E1306" w:rsidRPr="004467F3">
        <w:rPr>
          <w:rFonts w:ascii="Palatino Linotype" w:hAnsi="Palatino Linotype" w:cs="Arial"/>
        </w:rPr>
        <w:t>señaló</w:t>
      </w:r>
      <w:r w:rsidR="009F2EA6" w:rsidRPr="004467F3">
        <w:rPr>
          <w:rFonts w:ascii="Palatino Linotype" w:hAnsi="Palatino Linotype" w:cs="Arial"/>
        </w:rPr>
        <w:t xml:space="preserve"> que </w:t>
      </w:r>
      <w:r w:rsidR="006E1306" w:rsidRPr="004467F3">
        <w:rPr>
          <w:rFonts w:ascii="Palatino Linotype" w:hAnsi="Palatino Linotype" w:cs="Arial"/>
        </w:rPr>
        <w:t xml:space="preserve">en respuesta </w:t>
      </w:r>
      <w:r w:rsidR="009F2EA6" w:rsidRPr="004467F3">
        <w:rPr>
          <w:rFonts w:ascii="Palatino Linotype" w:hAnsi="Palatino Linotype" w:cs="Arial"/>
        </w:rPr>
        <w:t>se adjuntó el archivo electrónico incorrecto</w:t>
      </w:r>
      <w:r w:rsidR="006E1306" w:rsidRPr="004467F3">
        <w:rPr>
          <w:rFonts w:ascii="Palatino Linotype" w:hAnsi="Palatino Linotype" w:cs="Arial"/>
        </w:rPr>
        <w:t xml:space="preserve"> </w:t>
      </w:r>
      <w:r w:rsidR="009F2EA6" w:rsidRPr="004467F3">
        <w:rPr>
          <w:rFonts w:ascii="Palatino Linotype" w:hAnsi="Palatino Linotype" w:cs="Arial"/>
        </w:rPr>
        <w:t xml:space="preserve">que contiene los currículos vitae de los servidores </w:t>
      </w:r>
      <w:r w:rsidR="006E1306" w:rsidRPr="004467F3">
        <w:rPr>
          <w:rFonts w:ascii="Palatino Linotype" w:hAnsi="Palatino Linotype" w:cs="Arial"/>
        </w:rPr>
        <w:t>públicos</w:t>
      </w:r>
      <w:r w:rsidR="009F2EA6" w:rsidRPr="004467F3">
        <w:rPr>
          <w:rFonts w:ascii="Palatino Linotype" w:hAnsi="Palatino Linotype" w:cs="Arial"/>
        </w:rPr>
        <w:t xml:space="preserve"> que se dieron de alta en noviembre</w:t>
      </w:r>
      <w:r w:rsidR="006E1306" w:rsidRPr="004467F3">
        <w:rPr>
          <w:rFonts w:ascii="Palatino Linotype" w:hAnsi="Palatino Linotype" w:cs="Arial"/>
        </w:rPr>
        <w:t xml:space="preserve">, los cuales, no corresponden a los solicitados inicialmente, por lo que lo que refirió proporcionar la documentación correcta, para subsanar dicho error. </w:t>
      </w:r>
    </w:p>
    <w:p w:rsidR="006629C2" w:rsidRPr="004467F3" w:rsidRDefault="006629C2" w:rsidP="006E1306">
      <w:pPr>
        <w:ind w:left="567" w:right="567"/>
        <w:jc w:val="both"/>
        <w:rPr>
          <w:rFonts w:ascii="Palatino Linotype" w:hAnsi="Palatino Linotype" w:cs="Arial"/>
        </w:rPr>
      </w:pPr>
    </w:p>
    <w:p w:rsidR="006629C2" w:rsidRPr="004467F3" w:rsidRDefault="00957EF2" w:rsidP="006E1306">
      <w:pPr>
        <w:ind w:left="567" w:right="567"/>
        <w:jc w:val="both"/>
        <w:rPr>
          <w:rFonts w:ascii="Palatino Linotype" w:hAnsi="Palatino Linotype" w:cs="Arial"/>
        </w:rPr>
      </w:pPr>
      <w:hyperlink r:id="rId12" w:history="1">
        <w:r w:rsidR="006629C2" w:rsidRPr="004467F3">
          <w:rPr>
            <w:rStyle w:val="Hipervnculo"/>
            <w:rFonts w:ascii="Palatino Linotype" w:hAnsi="Palatino Linotype" w:cs="Arial"/>
            <w:b/>
            <w:bCs/>
            <w:color w:val="auto"/>
            <w:u w:val="none"/>
          </w:rPr>
          <w:t>CURRICULUM VITAE DE DICIEMBRE DE 2025.pdf</w:t>
        </w:r>
      </w:hyperlink>
      <w:r w:rsidR="006629C2" w:rsidRPr="004467F3">
        <w:rPr>
          <w:rFonts w:ascii="Palatino Linotype" w:hAnsi="Palatino Linotype"/>
        </w:rPr>
        <w:t>:</w:t>
      </w:r>
      <w:r w:rsidR="00E4587B" w:rsidRPr="004467F3">
        <w:rPr>
          <w:rFonts w:ascii="Palatino Linotype" w:hAnsi="Palatino Linotype"/>
        </w:rPr>
        <w:t xml:space="preserve"> Copia digitalizada de nueve currículos vitae en versión pública</w:t>
      </w:r>
      <w:r w:rsidR="009F2EA6" w:rsidRPr="004467F3">
        <w:rPr>
          <w:rFonts w:ascii="Palatino Linotype" w:hAnsi="Palatino Linotype"/>
        </w:rPr>
        <w:t>.</w:t>
      </w:r>
    </w:p>
    <w:p w:rsidR="006629C2" w:rsidRPr="004467F3" w:rsidRDefault="006629C2" w:rsidP="00AC2040">
      <w:pPr>
        <w:rPr>
          <w:rFonts w:ascii="Palatino Linotype" w:eastAsia="Palatino Linotype" w:hAnsi="Palatino Linotype" w:cs="Palatino Linotype"/>
        </w:rPr>
      </w:pPr>
    </w:p>
    <w:p w:rsidR="00B93242" w:rsidRPr="004467F3" w:rsidRDefault="00B93242" w:rsidP="00B93242">
      <w:pPr>
        <w:numPr>
          <w:ilvl w:val="0"/>
          <w:numId w:val="2"/>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r w:rsidRPr="004467F3">
        <w:rPr>
          <w:rFonts w:ascii="Palatino Linotype" w:eastAsia="Palatino Linotype" w:hAnsi="Palatino Linotype" w:cs="Palatino Linotype"/>
        </w:rPr>
        <w:t>P</w:t>
      </w:r>
      <w:r w:rsidR="002367BD" w:rsidRPr="004467F3">
        <w:rPr>
          <w:rFonts w:ascii="Palatino Linotype" w:eastAsia="Palatino Linotype" w:hAnsi="Palatino Linotype" w:cs="Palatino Linotype"/>
        </w:rPr>
        <w:t>or su parte,</w:t>
      </w:r>
      <w:r w:rsidR="002367BD" w:rsidRPr="004467F3">
        <w:rPr>
          <w:rFonts w:ascii="Palatino Linotype" w:eastAsia="Palatino Linotype" w:hAnsi="Palatino Linotype" w:cs="Palatino Linotype"/>
          <w:color w:val="000000"/>
        </w:rPr>
        <w:t xml:space="preserve"> la parte </w:t>
      </w:r>
      <w:r w:rsidR="002367BD" w:rsidRPr="004467F3">
        <w:rPr>
          <w:rFonts w:ascii="Palatino Linotype" w:eastAsia="Palatino Linotype" w:hAnsi="Palatino Linotype" w:cs="Palatino Linotype"/>
          <w:b/>
          <w:bCs/>
          <w:color w:val="000000"/>
        </w:rPr>
        <w:t>RECURRENTE</w:t>
      </w:r>
      <w:r w:rsidR="002367BD" w:rsidRPr="004467F3">
        <w:rPr>
          <w:rFonts w:ascii="Palatino Linotype" w:eastAsia="Palatino Linotype" w:hAnsi="Palatino Linotype" w:cs="Palatino Linotype"/>
          <w:color w:val="000000"/>
        </w:rPr>
        <w:t xml:space="preserve"> dejó de realizar manifestaciones que a su derecho conviniera y asistiera.</w:t>
      </w:r>
    </w:p>
    <w:p w:rsidR="000E694D" w:rsidRPr="004467F3" w:rsidRDefault="000E694D" w:rsidP="00AC2040">
      <w:pPr>
        <w:rPr>
          <w:rFonts w:ascii="Palatino Linotype" w:eastAsia="Palatino Linotype" w:hAnsi="Palatino Linotype" w:cs="Palatino Linotype"/>
          <w:b/>
          <w:bCs/>
        </w:rPr>
      </w:pPr>
    </w:p>
    <w:p w:rsidR="00B93242" w:rsidRPr="004467F3" w:rsidRDefault="00B93242" w:rsidP="00B93242">
      <w:pPr>
        <w:numPr>
          <w:ilvl w:val="0"/>
          <w:numId w:val="2"/>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r w:rsidRPr="004467F3">
        <w:rPr>
          <w:rFonts w:ascii="Palatino Linotype" w:eastAsia="Palatino Linotype" w:hAnsi="Palatino Linotype" w:cs="Palatino Linotype"/>
          <w:bCs/>
        </w:rPr>
        <w:t xml:space="preserve">El </w:t>
      </w:r>
      <w:r w:rsidR="006629C2" w:rsidRPr="004467F3">
        <w:rPr>
          <w:rFonts w:ascii="Palatino Linotype" w:eastAsia="Palatino Linotype" w:hAnsi="Palatino Linotype" w:cs="Palatino Linotype"/>
          <w:bCs/>
        </w:rPr>
        <w:t xml:space="preserve">veintinueve de abril </w:t>
      </w:r>
      <w:r w:rsidR="00E3589A" w:rsidRPr="004467F3">
        <w:rPr>
          <w:rFonts w:ascii="Palatino Linotype" w:eastAsia="Palatino Linotype" w:hAnsi="Palatino Linotype" w:cs="Palatino Linotype"/>
          <w:bCs/>
        </w:rPr>
        <w:t>de dos mil veintiséis</w:t>
      </w:r>
      <w:r w:rsidRPr="004467F3">
        <w:rPr>
          <w:rFonts w:ascii="Palatino Linotype" w:eastAsia="Palatino Linotype" w:hAnsi="Palatino Linotype" w:cs="Palatino Linotype"/>
          <w:bCs/>
        </w:rPr>
        <w:t>, se notificó el</w:t>
      </w:r>
      <w:r w:rsidRPr="004467F3">
        <w:rPr>
          <w:rFonts w:ascii="Palatino Linotype" w:eastAsia="Palatino Linotype" w:hAnsi="Palatino Linotype" w:cs="Palatino Linotype"/>
          <w:color w:val="000000"/>
        </w:rPr>
        <w:t xml:space="preserve"> </w:t>
      </w:r>
      <w:r w:rsidRPr="004467F3">
        <w:rPr>
          <w:rFonts w:ascii="Palatino Linotype" w:eastAsia="Palatino Linotype" w:hAnsi="Palatino Linotype" w:cs="Palatino Linotype"/>
          <w:bCs/>
        </w:rPr>
        <w:t>acuerdo mediante el cual se aprobó la ampliación de plazo para emitir resolución.</w:t>
      </w:r>
    </w:p>
    <w:p w:rsidR="00B93242" w:rsidRPr="004467F3" w:rsidRDefault="00B93242" w:rsidP="00AC2040">
      <w:pPr>
        <w:rPr>
          <w:rFonts w:ascii="Palatino Linotype" w:eastAsia="Palatino Linotype" w:hAnsi="Palatino Linotype" w:cs="Palatino Linotype"/>
        </w:rPr>
      </w:pPr>
    </w:p>
    <w:p w:rsidR="003B25EF" w:rsidRPr="004467F3" w:rsidRDefault="002367BD">
      <w:pPr>
        <w:numPr>
          <w:ilvl w:val="0"/>
          <w:numId w:val="2"/>
        </w:numPr>
        <w:spacing w:line="360" w:lineRule="auto"/>
        <w:ind w:left="0" w:right="1" w:firstLine="0"/>
        <w:jc w:val="both"/>
        <w:rPr>
          <w:rFonts w:ascii="Palatino Linotype" w:eastAsia="Palatino Linotype" w:hAnsi="Palatino Linotype" w:cs="Palatino Linotype"/>
          <w:b/>
          <w:bCs/>
        </w:rPr>
      </w:pPr>
      <w:r w:rsidRPr="004467F3">
        <w:rPr>
          <w:rFonts w:ascii="Palatino Linotype" w:eastAsia="Palatino Linotype" w:hAnsi="Palatino Linotype" w:cs="Palatino Linotype"/>
        </w:rPr>
        <w:t xml:space="preserve">La Comisionada Ponente decretó el cierre de instrucción mediante el acuerdo del </w:t>
      </w:r>
      <w:r w:rsidR="006629C2" w:rsidRPr="004467F3">
        <w:rPr>
          <w:rFonts w:ascii="Palatino Linotype" w:eastAsia="Palatino Linotype" w:hAnsi="Palatino Linotype" w:cs="Palatino Linotype"/>
        </w:rPr>
        <w:t>veintinueve de abril</w:t>
      </w:r>
      <w:r w:rsidRPr="004467F3">
        <w:rPr>
          <w:rFonts w:ascii="Palatino Linotype" w:eastAsia="Palatino Linotype" w:hAnsi="Palatino Linotype" w:cs="Palatino Linotype"/>
        </w:rPr>
        <w:t xml:space="preserve"> de dos mil veintiséis.</w:t>
      </w:r>
      <w:r w:rsidR="004467F3">
        <w:rPr>
          <w:rFonts w:ascii="Palatino Linotype" w:eastAsia="Palatino Linotype" w:hAnsi="Palatino Linotype" w:cs="Palatino Linotype"/>
        </w:rPr>
        <w:t xml:space="preserve"> --------------------------------------------------------------------</w:t>
      </w:r>
    </w:p>
    <w:p w:rsidR="004467F3" w:rsidRDefault="004467F3" w:rsidP="004467F3">
      <w:pPr>
        <w:pStyle w:val="Prrafodelista"/>
        <w:rPr>
          <w:rFonts w:ascii="Palatino Linotype" w:eastAsia="Palatino Linotype" w:hAnsi="Palatino Linotype" w:cs="Palatino Linotype"/>
          <w:b/>
          <w:bCs/>
        </w:rPr>
      </w:pPr>
    </w:p>
    <w:p w:rsidR="004467F3" w:rsidRPr="004467F3" w:rsidRDefault="004467F3" w:rsidP="004467F3">
      <w:pPr>
        <w:spacing w:line="360" w:lineRule="auto"/>
        <w:ind w:right="1"/>
        <w:jc w:val="both"/>
        <w:rPr>
          <w:rFonts w:ascii="Palatino Linotype" w:eastAsia="Palatino Linotype" w:hAnsi="Palatino Linotype" w:cs="Palatino Linotype"/>
          <w:b/>
          <w:bCs/>
        </w:rPr>
      </w:pPr>
    </w:p>
    <w:p w:rsidR="003B25EF" w:rsidRPr="004467F3" w:rsidRDefault="003B25EF">
      <w:pPr>
        <w:rPr>
          <w:rFonts w:ascii="Palatino Linotype" w:eastAsia="Palatino Linotype" w:hAnsi="Palatino Linotype" w:cs="Palatino Linotype"/>
          <w:b/>
          <w:bCs/>
        </w:rPr>
      </w:pPr>
    </w:p>
    <w:p w:rsidR="003B25EF" w:rsidRPr="004467F3" w:rsidRDefault="002367BD">
      <w:pPr>
        <w:keepNext/>
        <w:keepLines/>
        <w:spacing w:line="360" w:lineRule="auto"/>
        <w:ind w:right="-592"/>
        <w:jc w:val="center"/>
        <w:rPr>
          <w:rFonts w:ascii="Palatino Linotype" w:eastAsia="Palatino Linotype" w:hAnsi="Palatino Linotype" w:cs="Palatino Linotype"/>
          <w:b/>
          <w:bCs/>
        </w:rPr>
      </w:pPr>
      <w:r w:rsidRPr="004467F3">
        <w:rPr>
          <w:rFonts w:ascii="Palatino Linotype" w:eastAsia="Palatino Linotype" w:hAnsi="Palatino Linotype" w:cs="Palatino Linotype"/>
          <w:b/>
          <w:bCs/>
        </w:rPr>
        <w:lastRenderedPageBreak/>
        <w:t xml:space="preserve">C O N S I D E R A N D O </w:t>
      </w:r>
    </w:p>
    <w:p w:rsidR="003B25EF" w:rsidRPr="004467F3" w:rsidRDefault="003B25EF">
      <w:pPr>
        <w:keepNext/>
        <w:keepLines/>
        <w:ind w:right="-592"/>
        <w:rPr>
          <w:rFonts w:ascii="Palatino Linotype" w:eastAsia="Palatino Linotype" w:hAnsi="Palatino Linotype" w:cs="Palatino Linotype"/>
        </w:rPr>
      </w:pPr>
    </w:p>
    <w:p w:rsidR="003B25EF" w:rsidRPr="004467F3" w:rsidRDefault="002367BD">
      <w:pPr>
        <w:keepNext/>
        <w:keepLines/>
        <w:spacing w:line="360" w:lineRule="auto"/>
        <w:ind w:right="-592"/>
        <w:rPr>
          <w:rFonts w:ascii="Palatino Linotype" w:eastAsia="Palatino Linotype" w:hAnsi="Palatino Linotype" w:cs="Palatino Linotype"/>
          <w:b/>
          <w:bCs/>
        </w:rPr>
      </w:pPr>
      <w:r w:rsidRPr="004467F3">
        <w:rPr>
          <w:rFonts w:ascii="Palatino Linotype" w:eastAsia="Palatino Linotype" w:hAnsi="Palatino Linotype" w:cs="Palatino Linotype"/>
          <w:b/>
          <w:bCs/>
        </w:rPr>
        <w:t>PRIMERO. De la competencia.</w:t>
      </w:r>
    </w:p>
    <w:p w:rsidR="003B25EF" w:rsidRPr="004467F3" w:rsidRDefault="002367BD">
      <w:pPr>
        <w:numPr>
          <w:ilvl w:val="0"/>
          <w:numId w:val="2"/>
        </w:numPr>
        <w:spacing w:line="360" w:lineRule="auto"/>
        <w:ind w:left="0" w:right="1" w:firstLine="0"/>
        <w:jc w:val="both"/>
        <w:rPr>
          <w:rFonts w:ascii="Palatino Linotype" w:eastAsia="Palatino Linotype" w:hAnsi="Palatino Linotype" w:cs="Palatino Linotype"/>
          <w:b/>
          <w:bCs/>
        </w:rPr>
      </w:pPr>
      <w:bookmarkStart w:id="1" w:name="_heading=h.3znysh7" w:colFirst="0" w:colLast="0"/>
      <w:bookmarkEnd w:id="1"/>
      <w:r w:rsidRPr="004467F3">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rsidR="003B25EF" w:rsidRPr="004467F3" w:rsidRDefault="003B25EF">
      <w:pPr>
        <w:spacing w:line="360" w:lineRule="auto"/>
        <w:ind w:left="644" w:right="1"/>
        <w:jc w:val="both"/>
        <w:rPr>
          <w:rFonts w:ascii="Palatino Linotype" w:eastAsia="Palatino Linotype" w:hAnsi="Palatino Linotype" w:cs="Palatino Linotype"/>
        </w:rPr>
      </w:pPr>
      <w:bookmarkStart w:id="2" w:name="_heading=h.2v230knidey2" w:colFirst="0" w:colLast="0"/>
      <w:bookmarkEnd w:id="2"/>
    </w:p>
    <w:p w:rsidR="003B25EF" w:rsidRPr="004467F3" w:rsidRDefault="002367BD">
      <w:pPr>
        <w:keepNext/>
        <w:keepLines/>
        <w:spacing w:line="360" w:lineRule="auto"/>
        <w:ind w:right="1"/>
        <w:rPr>
          <w:rFonts w:ascii="Palatino Linotype" w:eastAsia="Palatino Linotype" w:hAnsi="Palatino Linotype" w:cs="Palatino Linotype"/>
          <w:b/>
          <w:bCs/>
        </w:rPr>
      </w:pPr>
      <w:r w:rsidRPr="004467F3">
        <w:rPr>
          <w:rFonts w:ascii="Palatino Linotype" w:eastAsia="Palatino Linotype" w:hAnsi="Palatino Linotype" w:cs="Palatino Linotype"/>
          <w:b/>
          <w:bCs/>
        </w:rPr>
        <w:t>SEGUNDO. De la oportunidad y procedencia.</w:t>
      </w:r>
    </w:p>
    <w:p w:rsidR="003B25EF" w:rsidRPr="004467F3" w:rsidRDefault="002367BD">
      <w:pPr>
        <w:numPr>
          <w:ilvl w:val="0"/>
          <w:numId w:val="2"/>
        </w:numPr>
        <w:spacing w:line="360" w:lineRule="auto"/>
        <w:ind w:left="0" w:right="1" w:firstLine="0"/>
        <w:jc w:val="both"/>
        <w:rPr>
          <w:rFonts w:ascii="Palatino Linotype" w:eastAsia="Palatino Linotype" w:hAnsi="Palatino Linotype" w:cs="Palatino Linotype"/>
          <w:b/>
          <w:bCs/>
        </w:rPr>
      </w:pPr>
      <w:bookmarkStart w:id="3" w:name="_heading=h.3dy6vkm" w:colFirst="0" w:colLast="0"/>
      <w:bookmarkEnd w:id="3"/>
      <w:r w:rsidRPr="004467F3">
        <w:rPr>
          <w:rFonts w:ascii="Palatino Linotype" w:eastAsia="Palatino Linotype" w:hAnsi="Palatino Linotype" w:cs="Palatino Linotype"/>
        </w:rPr>
        <w:t xml:space="preserve">El medio de impugnación fue presentado a través del </w:t>
      </w:r>
      <w:r w:rsidRPr="004467F3">
        <w:rPr>
          <w:rFonts w:ascii="Palatino Linotype" w:eastAsia="Palatino Linotype" w:hAnsi="Palatino Linotype" w:cs="Palatino Linotype"/>
          <w:b/>
          <w:bCs/>
        </w:rPr>
        <w:t>SAIMEX,</w:t>
      </w:r>
      <w:r w:rsidRPr="004467F3">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4467F3">
        <w:rPr>
          <w:rFonts w:ascii="Palatino Linotype" w:eastAsia="Palatino Linotype" w:hAnsi="Palatino Linotype" w:cs="Palatino Linotype"/>
          <w:b/>
          <w:bCs/>
        </w:rPr>
        <w:t>SUJETO OBLIGADO</w:t>
      </w:r>
      <w:r w:rsidRPr="004467F3">
        <w:rPr>
          <w:rFonts w:ascii="Palatino Linotype" w:eastAsia="Palatino Linotype" w:hAnsi="Palatino Linotype" w:cs="Palatino Linotype"/>
        </w:rPr>
        <w:t xml:space="preserve"> entregó respuesta el </w:t>
      </w:r>
      <w:r w:rsidR="006629C2" w:rsidRPr="004467F3">
        <w:rPr>
          <w:rFonts w:ascii="Palatino Linotype" w:eastAsia="Palatino Linotype" w:hAnsi="Palatino Linotype" w:cs="Palatino Linotype"/>
        </w:rPr>
        <w:t>seis de febrero de dos mil veintiséis</w:t>
      </w:r>
      <w:r w:rsidRPr="004467F3">
        <w:rPr>
          <w:rFonts w:ascii="Palatino Linotype" w:eastAsia="Palatino Linotype" w:hAnsi="Palatino Linotype" w:cs="Palatino Linotype"/>
        </w:rPr>
        <w:t xml:space="preserve">, de tal forma que el plazo para interponer el recurso de revisión transcurrió del </w:t>
      </w:r>
      <w:r w:rsidR="005E7774" w:rsidRPr="004467F3">
        <w:rPr>
          <w:rFonts w:ascii="Palatino Linotype" w:eastAsia="Palatino Linotype" w:hAnsi="Palatino Linotype" w:cs="Palatino Linotype"/>
        </w:rPr>
        <w:t>nueve al veintisiete de febrero de dos mil veintiséis</w:t>
      </w:r>
      <w:r w:rsidRPr="004467F3">
        <w:rPr>
          <w:rFonts w:ascii="Palatino Linotype" w:eastAsia="Palatino Linotype" w:hAnsi="Palatino Linotype" w:cs="Palatino Linotype"/>
        </w:rPr>
        <w:t xml:space="preserve">; en consecuencia, presentó su inconformidad el </w:t>
      </w:r>
      <w:r w:rsidR="005E7774" w:rsidRPr="004467F3">
        <w:rPr>
          <w:rFonts w:ascii="Palatino Linotype" w:eastAsia="Palatino Linotype" w:hAnsi="Palatino Linotype" w:cs="Palatino Linotype"/>
        </w:rPr>
        <w:t>siete de febrero de dos mil veintiséis</w:t>
      </w:r>
      <w:r w:rsidRPr="004467F3">
        <w:rPr>
          <w:rFonts w:ascii="Palatino Linotype" w:eastAsia="Palatino Linotype" w:hAnsi="Palatino Linotype" w:cs="Palatino Linotype"/>
        </w:rPr>
        <w:t xml:space="preserve">, por lo que se encuentra dentro de los márgenes temporales previstos en el artículo 178 de la </w:t>
      </w:r>
      <w:r w:rsidRPr="004467F3">
        <w:rPr>
          <w:rFonts w:ascii="Palatino Linotype" w:eastAsia="Palatino Linotype" w:hAnsi="Palatino Linotype" w:cs="Palatino Linotype"/>
          <w:b/>
          <w:bCs/>
        </w:rPr>
        <w:t xml:space="preserve">Ley de Transparencia y Acceso a la Información Pública del Estado de México y Municipios </w:t>
      </w:r>
      <w:r w:rsidRPr="004467F3">
        <w:rPr>
          <w:rFonts w:ascii="Palatino Linotype" w:eastAsia="Palatino Linotype" w:hAnsi="Palatino Linotype" w:cs="Palatino Linotype"/>
        </w:rPr>
        <w:t>vigente.</w:t>
      </w:r>
    </w:p>
    <w:p w:rsidR="003B25EF" w:rsidRPr="004467F3" w:rsidRDefault="003B25EF">
      <w:pPr>
        <w:ind w:right="1"/>
        <w:jc w:val="both"/>
        <w:rPr>
          <w:rFonts w:ascii="Palatino Linotype" w:eastAsia="Palatino Linotype" w:hAnsi="Palatino Linotype" w:cs="Palatino Linotype"/>
          <w:b/>
          <w:bCs/>
        </w:rPr>
      </w:pPr>
    </w:p>
    <w:p w:rsidR="003B25EF" w:rsidRPr="004467F3" w:rsidRDefault="002367BD">
      <w:pPr>
        <w:numPr>
          <w:ilvl w:val="0"/>
          <w:numId w:val="2"/>
        </w:numPr>
        <w:spacing w:line="360" w:lineRule="auto"/>
        <w:ind w:left="0" w:right="1" w:firstLine="0"/>
        <w:jc w:val="both"/>
        <w:rPr>
          <w:rFonts w:ascii="Palatino Linotype" w:eastAsia="Palatino Linotype" w:hAnsi="Palatino Linotype" w:cs="Palatino Linotype"/>
          <w:b/>
          <w:bCs/>
        </w:rPr>
      </w:pPr>
      <w:r w:rsidRPr="004467F3">
        <w:rPr>
          <w:rFonts w:ascii="Palatino Linotype" w:eastAsia="Palatino Linotype" w:hAnsi="Palatino Linotype" w:cs="Palatino Linotype"/>
        </w:rPr>
        <w:t xml:space="preserve">Por otro lado, el escrito contiene las formalidades previstas por el artículo 180 último párrafo de la Ley de la materia actual, por lo que es procedente que este Instituto de </w:t>
      </w:r>
      <w:r w:rsidRPr="004467F3">
        <w:rPr>
          <w:rFonts w:ascii="Palatino Linotype" w:eastAsia="Palatino Linotype" w:hAnsi="Palatino Linotype" w:cs="Palatino Linotype"/>
        </w:rPr>
        <w:lastRenderedPageBreak/>
        <w:t>Transparencia, Acceso a la Información Pública y Protección de Datos Personales del Estado de México y Municipios, conozca y resuelva el presente recurso.</w:t>
      </w:r>
    </w:p>
    <w:p w:rsidR="003B25EF" w:rsidRPr="004467F3" w:rsidRDefault="002367BD">
      <w:pPr>
        <w:pStyle w:val="Ttulo1"/>
        <w:spacing w:line="360" w:lineRule="auto"/>
        <w:rPr>
          <w:rFonts w:ascii="Palatino Linotype" w:eastAsia="Palatino Linotype" w:hAnsi="Palatino Linotype" w:cs="Palatino Linotype"/>
          <w:b w:val="0"/>
          <w:bCs w:val="0"/>
          <w:sz w:val="24"/>
          <w:szCs w:val="24"/>
        </w:rPr>
      </w:pPr>
      <w:r w:rsidRPr="004467F3">
        <w:rPr>
          <w:rFonts w:ascii="Palatino Linotype" w:eastAsia="Palatino Linotype" w:hAnsi="Palatino Linotype" w:cs="Palatino Linotype"/>
          <w:sz w:val="24"/>
          <w:szCs w:val="24"/>
        </w:rPr>
        <w:t xml:space="preserve">TERCERO. </w:t>
      </w:r>
      <w:r w:rsidR="00AB5D5F" w:rsidRPr="004467F3">
        <w:rPr>
          <w:rFonts w:ascii="Palatino Linotype" w:eastAsia="Palatino Linotype" w:hAnsi="Palatino Linotype" w:cs="Palatino Linotype"/>
          <w:sz w:val="24"/>
          <w:szCs w:val="24"/>
        </w:rPr>
        <w:t>De las causales de sobreseimiento.</w:t>
      </w:r>
    </w:p>
    <w:p w:rsidR="00AB5D5F" w:rsidRPr="004467F3" w:rsidRDefault="00AB5D5F" w:rsidP="00AB5D5F">
      <w:pPr>
        <w:numPr>
          <w:ilvl w:val="0"/>
          <w:numId w:val="2"/>
        </w:numPr>
        <w:spacing w:line="360" w:lineRule="auto"/>
        <w:ind w:left="0" w:right="1" w:firstLine="0"/>
        <w:jc w:val="both"/>
        <w:rPr>
          <w:rFonts w:ascii="Palatino Linotype" w:eastAsia="Palatino Linotype" w:hAnsi="Palatino Linotype" w:cs="Palatino Linotype"/>
          <w:b/>
          <w:bCs/>
          <w:i/>
          <w:iCs/>
        </w:rPr>
      </w:pPr>
      <w:bookmarkStart w:id="4" w:name="_heading=h.2pqa4mglkgv2" w:colFirst="0" w:colLast="0"/>
      <w:bookmarkEnd w:id="4"/>
      <w:r w:rsidRPr="004467F3">
        <w:rPr>
          <w:rFonts w:ascii="Palatino Linotype" w:eastAsia="Palatino Linotype" w:hAnsi="Palatino Linotype" w:cs="Palatino Linotype"/>
        </w:rPr>
        <w:t xml:space="preserve">El recurso de revisión tiene como finalidad reparar cualquier posible afectación al derecho de acceso a la información pública en términos del Título Octavo de la Ley de Transparencia, Acceso a la Información Pública del Estado de México y Municipios, y determinar la confirmación; revocación o modificación; desechamiento o </w:t>
      </w:r>
      <w:r w:rsidRPr="004467F3">
        <w:rPr>
          <w:rFonts w:ascii="Palatino Linotype" w:eastAsia="Palatino Linotype" w:hAnsi="Palatino Linotype" w:cs="Palatino Linotype"/>
          <w:b/>
          <w:bCs/>
          <w:u w:val="single"/>
        </w:rPr>
        <w:t>sobreseimiento</w:t>
      </w:r>
      <w:r w:rsidRPr="004467F3">
        <w:rPr>
          <w:rFonts w:ascii="Palatino Linotype" w:eastAsia="Palatino Linotype" w:hAnsi="Palatino Linotype" w:cs="Palatino Linotype"/>
        </w:rPr>
        <w:t xml:space="preserve">; y en su caso ordenar la entrega de la información con respecto a la respuesta emitida por el </w:t>
      </w:r>
      <w:r w:rsidRPr="004467F3">
        <w:rPr>
          <w:rFonts w:ascii="Palatino Linotype" w:eastAsia="Palatino Linotype" w:hAnsi="Palatino Linotype" w:cs="Palatino Linotype"/>
          <w:b/>
          <w:bCs/>
        </w:rPr>
        <w:t>SUJETO</w:t>
      </w:r>
      <w:r w:rsidRPr="004467F3">
        <w:rPr>
          <w:rFonts w:ascii="Palatino Linotype" w:eastAsia="Palatino Linotype" w:hAnsi="Palatino Linotype" w:cs="Palatino Linotype"/>
        </w:rPr>
        <w:t xml:space="preserve"> </w:t>
      </w:r>
      <w:r w:rsidRPr="004467F3">
        <w:rPr>
          <w:rFonts w:ascii="Palatino Linotype" w:eastAsia="Palatino Linotype" w:hAnsi="Palatino Linotype" w:cs="Palatino Linotype"/>
          <w:b/>
          <w:bCs/>
        </w:rPr>
        <w:t>OBLIGADO</w:t>
      </w:r>
      <w:r w:rsidRPr="004467F3">
        <w:rPr>
          <w:rFonts w:ascii="Palatino Linotype" w:eastAsia="Palatino Linotype" w:hAnsi="Palatino Linotype" w:cs="Palatino Linotype"/>
        </w:rPr>
        <w:t>.</w:t>
      </w:r>
      <w:bookmarkStart w:id="5" w:name="_heading=h.sg69pjfuscz6" w:colFirst="0" w:colLast="0"/>
      <w:bookmarkEnd w:id="5"/>
    </w:p>
    <w:p w:rsidR="005E7774" w:rsidRPr="004467F3" w:rsidRDefault="005E7774" w:rsidP="005E7774">
      <w:pPr>
        <w:spacing w:line="360" w:lineRule="auto"/>
        <w:ind w:right="1"/>
        <w:jc w:val="both"/>
        <w:rPr>
          <w:rFonts w:ascii="Palatino Linotype" w:eastAsia="Palatino Linotype" w:hAnsi="Palatino Linotype" w:cs="Palatino Linotype"/>
          <w:b/>
          <w:bCs/>
          <w:i/>
          <w:iCs/>
        </w:rPr>
      </w:pPr>
    </w:p>
    <w:p w:rsidR="00AB5D5F" w:rsidRPr="004467F3" w:rsidRDefault="00AB5D5F" w:rsidP="00AB5D5F">
      <w:pPr>
        <w:numPr>
          <w:ilvl w:val="0"/>
          <w:numId w:val="2"/>
        </w:numPr>
        <w:spacing w:line="360" w:lineRule="auto"/>
        <w:ind w:left="0" w:right="1" w:firstLine="0"/>
        <w:jc w:val="both"/>
        <w:rPr>
          <w:rFonts w:ascii="Palatino Linotype" w:eastAsia="Palatino Linotype" w:hAnsi="Palatino Linotype" w:cs="Palatino Linotype"/>
          <w:b/>
          <w:bCs/>
          <w:i/>
          <w:iCs/>
        </w:rPr>
      </w:pPr>
      <w:r w:rsidRPr="004467F3">
        <w:rPr>
          <w:rFonts w:ascii="Palatino Linotype" w:eastAsia="Palatino Linotype" w:hAnsi="Palatino Linotype" w:cs="Palatino Linotype"/>
        </w:rPr>
        <w:t xml:space="preserve">De acuerdo al precepto legal contenido en la fracción III del artículo 192 de la </w:t>
      </w:r>
      <w:r w:rsidRPr="004467F3">
        <w:rPr>
          <w:rFonts w:ascii="Palatino Linotype" w:eastAsia="Palatino Linotype" w:hAnsi="Palatino Linotype" w:cs="Palatino Linotype"/>
          <w:b/>
          <w:bCs/>
        </w:rPr>
        <w:t>Ley de Transparencia y Acceso a la Información Pública del Estado de México y Municipios</w:t>
      </w:r>
      <w:r w:rsidRPr="004467F3">
        <w:rPr>
          <w:rFonts w:ascii="Palatino Linotype" w:eastAsia="Palatino Linotype" w:hAnsi="Palatino Linotype" w:cs="Palatino Linotype"/>
        </w:rPr>
        <w:t>, el recurso será sobreseído, en todo o en parte, cuando una vez admitido, el sujeto obligado responsable del acto lo modifique o revoque de tal manera que el recurso de revisión quede sin materia; de ahí que la actualización de alguno de éste trae como consecuencia que el medio de impugnación se concluya sin que se analice el objeto de estudio planteado, es decir se sobresea.</w:t>
      </w:r>
      <w:bookmarkStart w:id="6" w:name="_heading=h.1s8w4nri8zt8" w:colFirst="0" w:colLast="0"/>
      <w:bookmarkEnd w:id="6"/>
    </w:p>
    <w:p w:rsidR="00AB5D5F" w:rsidRPr="004467F3" w:rsidRDefault="00AB5D5F" w:rsidP="00AB5D5F">
      <w:pPr>
        <w:spacing w:line="360" w:lineRule="auto"/>
        <w:ind w:right="1"/>
        <w:jc w:val="both"/>
        <w:rPr>
          <w:rFonts w:ascii="Palatino Linotype" w:eastAsia="Palatino Linotype" w:hAnsi="Palatino Linotype" w:cs="Palatino Linotype"/>
          <w:b/>
          <w:bCs/>
          <w:i/>
          <w:iCs/>
        </w:rPr>
      </w:pPr>
    </w:p>
    <w:p w:rsidR="00AB5D5F" w:rsidRPr="004467F3" w:rsidRDefault="00AB5D5F" w:rsidP="00AB5D5F">
      <w:pPr>
        <w:numPr>
          <w:ilvl w:val="0"/>
          <w:numId w:val="2"/>
        </w:numPr>
        <w:spacing w:line="360" w:lineRule="auto"/>
        <w:ind w:left="0" w:right="1" w:firstLine="0"/>
        <w:jc w:val="both"/>
        <w:rPr>
          <w:rFonts w:ascii="Palatino Linotype" w:eastAsia="Palatino Linotype" w:hAnsi="Palatino Linotype" w:cs="Palatino Linotype"/>
          <w:b/>
          <w:bCs/>
          <w:i/>
          <w:iCs/>
        </w:rPr>
      </w:pPr>
      <w:r w:rsidRPr="004467F3">
        <w:rPr>
          <w:rFonts w:ascii="Palatino Linotype" w:eastAsia="Palatino Linotype" w:hAnsi="Palatino Linotype" w:cs="Palatino Linotype"/>
        </w:rPr>
        <w:t xml:space="preserve">Para los efectos de esta resolución, es oportuno precisar los alcances jurídicos de la fracción III de la disposición legal transcrita. Así, procede el sobreseimiento del recurso de revisión cuando el </w:t>
      </w:r>
      <w:r w:rsidRPr="004467F3">
        <w:rPr>
          <w:rFonts w:ascii="Palatino Linotype" w:eastAsia="Palatino Linotype" w:hAnsi="Palatino Linotype" w:cs="Palatino Linotype"/>
          <w:b/>
          <w:bCs/>
        </w:rPr>
        <w:t>SUJETO OBLIGADO</w:t>
      </w:r>
      <w:r w:rsidRPr="004467F3">
        <w:rPr>
          <w:rFonts w:ascii="Palatino Linotype" w:eastAsia="Palatino Linotype" w:hAnsi="Palatino Linotype" w:cs="Palatino Linotype"/>
        </w:rPr>
        <w:t>:</w:t>
      </w:r>
    </w:p>
    <w:p w:rsidR="00AB5D5F" w:rsidRPr="004467F3" w:rsidRDefault="00AB5D5F" w:rsidP="00AB5D5F">
      <w:pPr>
        <w:pBdr>
          <w:top w:val="nil"/>
          <w:left w:val="nil"/>
          <w:bottom w:val="nil"/>
          <w:right w:val="nil"/>
          <w:between w:val="nil"/>
        </w:pBdr>
        <w:spacing w:line="360" w:lineRule="auto"/>
        <w:ind w:right="1"/>
        <w:jc w:val="both"/>
        <w:rPr>
          <w:rFonts w:ascii="Palatino Linotype" w:eastAsia="Palatino Linotype" w:hAnsi="Palatino Linotype" w:cs="Palatino Linotype"/>
        </w:rPr>
      </w:pPr>
      <w:bookmarkStart w:id="7" w:name="_heading=h.fupgdu5fe99i" w:colFirst="0" w:colLast="0"/>
      <w:bookmarkEnd w:id="7"/>
    </w:p>
    <w:p w:rsidR="00AB5D5F" w:rsidRPr="004467F3" w:rsidRDefault="00AB5D5F" w:rsidP="00AB5D5F">
      <w:pPr>
        <w:numPr>
          <w:ilvl w:val="0"/>
          <w:numId w:val="15"/>
        </w:numPr>
        <w:ind w:left="567" w:right="565" w:firstLine="0"/>
        <w:jc w:val="both"/>
        <w:rPr>
          <w:rFonts w:ascii="Palatino Linotype" w:eastAsia="Palatino Linotype" w:hAnsi="Palatino Linotype" w:cs="Palatino Linotype"/>
        </w:rPr>
      </w:pPr>
      <w:r w:rsidRPr="004467F3">
        <w:rPr>
          <w:rFonts w:ascii="Palatino Linotype" w:eastAsia="Palatino Linotype" w:hAnsi="Palatino Linotype" w:cs="Palatino Linotype"/>
          <w:b/>
          <w:bCs/>
        </w:rPr>
        <w:t>Modifique el acto impugnado:</w:t>
      </w:r>
      <w:r w:rsidRPr="004467F3">
        <w:rPr>
          <w:rFonts w:ascii="Palatino Linotype" w:eastAsia="Palatino Linotype" w:hAnsi="Palatino Linotype" w:cs="Palatino Linotype"/>
        </w:rPr>
        <w:t xml:space="preserve"> Se actualiza cuando el </w:t>
      </w:r>
      <w:r w:rsidRPr="004467F3">
        <w:rPr>
          <w:rFonts w:ascii="Palatino Linotype" w:eastAsia="Palatino Linotype" w:hAnsi="Palatino Linotype" w:cs="Palatino Linotype"/>
          <w:b/>
          <w:bCs/>
        </w:rPr>
        <w:t>SUJETO OBLIGADO</w:t>
      </w:r>
      <w:r w:rsidRPr="004467F3">
        <w:rPr>
          <w:rFonts w:ascii="Palatino Linotype" w:eastAsia="Palatino Linotype" w:hAnsi="Palatino Linotype" w:cs="Palatino Linotype"/>
        </w:rPr>
        <w:t xml:space="preserve"> después de haber otorgado una respuesta y hasta antes de dictada la resolución del </w:t>
      </w:r>
      <w:r w:rsidRPr="004467F3">
        <w:rPr>
          <w:rFonts w:ascii="Palatino Linotype" w:eastAsia="Palatino Linotype" w:hAnsi="Palatino Linotype" w:cs="Palatino Linotype"/>
        </w:rPr>
        <w:lastRenderedPageBreak/>
        <w:t>recurso de revisión, emite una diversa en la que subsane las deficiencias que hubiera tenido.</w:t>
      </w:r>
    </w:p>
    <w:p w:rsidR="00AB5D5F" w:rsidRPr="004467F3" w:rsidRDefault="00AB5D5F" w:rsidP="00AB5D5F">
      <w:pPr>
        <w:ind w:left="567" w:right="565"/>
        <w:jc w:val="both"/>
        <w:rPr>
          <w:rFonts w:ascii="Palatino Linotype" w:eastAsia="Palatino Linotype" w:hAnsi="Palatino Linotype" w:cs="Palatino Linotype"/>
        </w:rPr>
      </w:pPr>
    </w:p>
    <w:p w:rsidR="00AB5D5F" w:rsidRPr="004467F3" w:rsidRDefault="00AB5D5F" w:rsidP="00AB5D5F">
      <w:pPr>
        <w:numPr>
          <w:ilvl w:val="0"/>
          <w:numId w:val="15"/>
        </w:numPr>
        <w:ind w:left="567" w:right="565" w:firstLine="0"/>
        <w:jc w:val="both"/>
        <w:rPr>
          <w:rFonts w:ascii="Palatino Linotype" w:eastAsia="Palatino Linotype" w:hAnsi="Palatino Linotype" w:cs="Palatino Linotype"/>
        </w:rPr>
      </w:pPr>
      <w:r w:rsidRPr="004467F3">
        <w:rPr>
          <w:rFonts w:ascii="Palatino Linotype" w:eastAsia="Palatino Linotype" w:hAnsi="Palatino Linotype" w:cs="Palatino Linotype"/>
          <w:b/>
          <w:bCs/>
        </w:rPr>
        <w:t>Revoque el acto impugnado:</w:t>
      </w:r>
      <w:r w:rsidRPr="004467F3">
        <w:rPr>
          <w:rFonts w:ascii="Palatino Linotype" w:eastAsia="Palatino Linotype" w:hAnsi="Palatino Linotype" w:cs="Palatino Linotype"/>
        </w:rPr>
        <w:t xml:space="preserve"> En este supuesto, el </w:t>
      </w:r>
      <w:r w:rsidRPr="004467F3">
        <w:rPr>
          <w:rFonts w:ascii="Palatino Linotype" w:eastAsia="Palatino Linotype" w:hAnsi="Palatino Linotype" w:cs="Palatino Linotype"/>
          <w:b/>
          <w:bCs/>
        </w:rPr>
        <w:t>SUJETO OBLIGADO</w:t>
      </w:r>
      <w:r w:rsidRPr="004467F3">
        <w:rPr>
          <w:rFonts w:ascii="Palatino Linotype" w:eastAsia="Palatino Linotype" w:hAnsi="Palatino Linotype" w:cs="Palatino Linotype"/>
        </w:rPr>
        <w:t xml:space="preserve"> deja sin efectos la primera respuesta y en su lugar emite otra que satisfaga lo solicitado por el Particular en un primer momento.</w:t>
      </w:r>
    </w:p>
    <w:p w:rsidR="00AB5D5F" w:rsidRPr="004467F3" w:rsidRDefault="00AB5D5F" w:rsidP="00AB5D5F">
      <w:pPr>
        <w:pBdr>
          <w:top w:val="nil"/>
          <w:left w:val="nil"/>
          <w:bottom w:val="nil"/>
          <w:right w:val="nil"/>
          <w:between w:val="nil"/>
        </w:pBdr>
        <w:spacing w:line="360" w:lineRule="auto"/>
        <w:ind w:right="1"/>
        <w:jc w:val="both"/>
        <w:rPr>
          <w:rFonts w:ascii="Palatino Linotype" w:eastAsia="Palatino Linotype" w:hAnsi="Palatino Linotype" w:cs="Palatino Linotype"/>
        </w:rPr>
      </w:pPr>
      <w:bookmarkStart w:id="8" w:name="_heading=h.omj532vijpit" w:colFirst="0" w:colLast="0"/>
      <w:bookmarkEnd w:id="8"/>
    </w:p>
    <w:p w:rsidR="00AB5D5F" w:rsidRPr="004467F3" w:rsidRDefault="00AB5D5F" w:rsidP="00AB5D5F">
      <w:pPr>
        <w:pStyle w:val="Prrafodelista"/>
        <w:numPr>
          <w:ilvl w:val="0"/>
          <w:numId w:val="2"/>
        </w:numPr>
        <w:spacing w:line="360" w:lineRule="auto"/>
        <w:ind w:left="0" w:right="1" w:firstLine="0"/>
        <w:jc w:val="both"/>
        <w:rPr>
          <w:rFonts w:ascii="Palatino Linotype" w:hAnsi="Palatino Linotype"/>
          <w:sz w:val="24"/>
        </w:rPr>
      </w:pPr>
      <w:r w:rsidRPr="004467F3">
        <w:rPr>
          <w:rFonts w:ascii="Palatino Linotype" w:eastAsia="Palatino Linotype" w:hAnsi="Palatino Linotype" w:cs="Palatino Linotype"/>
          <w:sz w:val="24"/>
        </w:rPr>
        <w:t>Las consecuencias jurídicas de esta modificación o revocación es que el recurso de revisión interpuesto quede sin efectos o sin materia. Un acto impugnado queda sin efectos, cuando aun existiendo jurídicamente, no genera consecuencia legal alguna; queda sin materia, cuando ha sido satisfecha la pretensión del Particular, ya sea porque se hizo la entrega de la información solicitada o porque se completó la misma.</w:t>
      </w:r>
      <w:bookmarkStart w:id="9" w:name="_heading=h.njvx0k4cp9m5" w:colFirst="0" w:colLast="0"/>
      <w:bookmarkStart w:id="10" w:name="_heading=h.jvxafcoza8s" w:colFirst="0" w:colLast="0"/>
      <w:bookmarkEnd w:id="9"/>
      <w:bookmarkEnd w:id="10"/>
    </w:p>
    <w:p w:rsidR="00AB5D5F" w:rsidRPr="004467F3" w:rsidRDefault="00AB5D5F" w:rsidP="00AB5D5F">
      <w:pPr>
        <w:pStyle w:val="Prrafodelista"/>
        <w:spacing w:line="360" w:lineRule="auto"/>
        <w:ind w:left="0" w:right="1"/>
        <w:jc w:val="both"/>
        <w:rPr>
          <w:rFonts w:ascii="Palatino Linotype" w:hAnsi="Palatino Linotype"/>
          <w:sz w:val="24"/>
        </w:rPr>
      </w:pPr>
    </w:p>
    <w:p w:rsidR="006E1306" w:rsidRPr="004467F3" w:rsidRDefault="00AB5D5F" w:rsidP="006E1306">
      <w:pPr>
        <w:pStyle w:val="Prrafodelista"/>
        <w:numPr>
          <w:ilvl w:val="0"/>
          <w:numId w:val="2"/>
        </w:numPr>
        <w:spacing w:line="360" w:lineRule="auto"/>
        <w:ind w:left="0" w:right="1" w:firstLine="0"/>
        <w:jc w:val="both"/>
        <w:rPr>
          <w:rFonts w:ascii="Palatino Linotype" w:hAnsi="Palatino Linotype"/>
          <w:sz w:val="24"/>
        </w:rPr>
      </w:pPr>
      <w:r w:rsidRPr="004467F3">
        <w:rPr>
          <w:rFonts w:ascii="Palatino Linotype" w:eastAsia="Palatino Linotype" w:hAnsi="Palatino Linotype" w:cs="Palatino Linotype"/>
          <w:sz w:val="24"/>
        </w:rPr>
        <w:t xml:space="preserve">En el presente caso, el </w:t>
      </w:r>
      <w:r w:rsidRPr="004467F3">
        <w:rPr>
          <w:rFonts w:ascii="Palatino Linotype" w:eastAsia="Palatino Linotype" w:hAnsi="Palatino Linotype" w:cs="Palatino Linotype"/>
          <w:b/>
          <w:bCs/>
          <w:sz w:val="24"/>
        </w:rPr>
        <w:t>RECURRENTE</w:t>
      </w:r>
      <w:r w:rsidR="006E1306" w:rsidRPr="004467F3">
        <w:rPr>
          <w:rFonts w:ascii="Palatino Linotype" w:eastAsia="Palatino Linotype" w:hAnsi="Palatino Linotype" w:cs="Palatino Linotype"/>
          <w:sz w:val="24"/>
        </w:rPr>
        <w:t xml:space="preserve"> solicitó </w:t>
      </w:r>
      <w:r w:rsidR="006E1306" w:rsidRPr="004467F3">
        <w:rPr>
          <w:rFonts w:ascii="Palatino Linotype" w:hAnsi="Palatino Linotype"/>
          <w:color w:val="000000"/>
          <w:sz w:val="24"/>
        </w:rPr>
        <w:t>el</w:t>
      </w:r>
      <w:r w:rsidR="006E1306" w:rsidRPr="004467F3">
        <w:rPr>
          <w:rFonts w:ascii="Palatino Linotype" w:hAnsi="Palatino Linotype"/>
          <w:b/>
          <w:color w:val="000000"/>
          <w:sz w:val="24"/>
        </w:rPr>
        <w:t xml:space="preserve"> currículo vitae de todo el personal dado de alta en diciembre de dos mil veinticinco.</w:t>
      </w:r>
    </w:p>
    <w:p w:rsidR="00AB5D5F" w:rsidRPr="004467F3" w:rsidRDefault="00AB5D5F" w:rsidP="00AB5D5F">
      <w:pPr>
        <w:spacing w:line="360" w:lineRule="auto"/>
        <w:ind w:right="1"/>
        <w:jc w:val="both"/>
        <w:rPr>
          <w:rFonts w:ascii="Palatino Linotype" w:eastAsia="Palatino Linotype" w:hAnsi="Palatino Linotype" w:cs="Palatino Linotype"/>
          <w:b/>
          <w:bCs/>
          <w:i/>
          <w:iCs/>
        </w:rPr>
      </w:pPr>
    </w:p>
    <w:p w:rsidR="00AB5D5F" w:rsidRPr="004467F3" w:rsidRDefault="00AB5D5F" w:rsidP="00AB5D5F">
      <w:pPr>
        <w:numPr>
          <w:ilvl w:val="0"/>
          <w:numId w:val="2"/>
        </w:numPr>
        <w:spacing w:line="360" w:lineRule="auto"/>
        <w:ind w:left="0" w:right="1" w:firstLine="0"/>
        <w:jc w:val="both"/>
        <w:rPr>
          <w:rFonts w:ascii="Palatino Linotype" w:eastAsia="Palatino Linotype" w:hAnsi="Palatino Linotype" w:cs="Palatino Linotype"/>
          <w:b/>
          <w:bCs/>
          <w:iCs/>
        </w:rPr>
      </w:pPr>
      <w:r w:rsidRPr="004467F3">
        <w:rPr>
          <w:rFonts w:ascii="Palatino Linotype" w:eastAsia="Palatino Linotype" w:hAnsi="Palatino Linotype" w:cs="Palatino Linotype"/>
          <w:bCs/>
          <w:iCs/>
        </w:rPr>
        <w:t>El</w:t>
      </w:r>
      <w:r w:rsidRPr="004467F3">
        <w:rPr>
          <w:rFonts w:ascii="Palatino Linotype" w:eastAsia="Palatino Linotype" w:hAnsi="Palatino Linotype" w:cs="Palatino Linotype"/>
          <w:b/>
          <w:bCs/>
          <w:iCs/>
        </w:rPr>
        <w:t xml:space="preserve"> SUJETO OBLIGADO </w:t>
      </w:r>
      <w:r w:rsidRPr="004467F3">
        <w:rPr>
          <w:rFonts w:ascii="Palatino Linotype" w:eastAsia="Palatino Linotype" w:hAnsi="Palatino Linotype" w:cs="Palatino Linotype"/>
          <w:bCs/>
          <w:iCs/>
        </w:rPr>
        <w:t xml:space="preserve">emitió respuesta en términos del </w:t>
      </w:r>
      <w:r w:rsidRPr="004467F3">
        <w:rPr>
          <w:rFonts w:ascii="Palatino Linotype" w:eastAsia="Palatino Linotype" w:hAnsi="Palatino Linotype" w:cs="Palatino Linotype"/>
          <w:b/>
          <w:bCs/>
          <w:iCs/>
        </w:rPr>
        <w:t>párrafo 3</w:t>
      </w:r>
      <w:r w:rsidRPr="004467F3">
        <w:rPr>
          <w:rFonts w:ascii="Palatino Linotype" w:eastAsia="Palatino Linotype" w:hAnsi="Palatino Linotype" w:cs="Palatino Linotype"/>
          <w:bCs/>
          <w:iCs/>
        </w:rPr>
        <w:t xml:space="preserve"> de la presente resolución.</w:t>
      </w:r>
    </w:p>
    <w:p w:rsidR="00885082" w:rsidRPr="004467F3" w:rsidRDefault="00885082" w:rsidP="00AB5D5F">
      <w:pPr>
        <w:rPr>
          <w:rFonts w:ascii="Palatino Linotype" w:eastAsia="Palatino Linotype" w:hAnsi="Palatino Linotype" w:cs="Palatino Linotype"/>
          <w:b/>
          <w:bCs/>
        </w:rPr>
      </w:pPr>
    </w:p>
    <w:p w:rsidR="00C12AAA" w:rsidRPr="004467F3" w:rsidRDefault="00885082" w:rsidP="00C12AAA">
      <w:pPr>
        <w:numPr>
          <w:ilvl w:val="0"/>
          <w:numId w:val="2"/>
        </w:numPr>
        <w:spacing w:line="360" w:lineRule="auto"/>
        <w:ind w:left="0" w:right="1" w:firstLine="0"/>
        <w:jc w:val="both"/>
        <w:rPr>
          <w:rFonts w:ascii="Palatino Linotype" w:eastAsia="Palatino Linotype" w:hAnsi="Palatino Linotype" w:cs="Palatino Linotype"/>
          <w:bCs/>
        </w:rPr>
      </w:pPr>
      <w:r w:rsidRPr="004467F3">
        <w:rPr>
          <w:rFonts w:ascii="Palatino Linotype" w:eastAsia="Palatino Linotype" w:hAnsi="Palatino Linotype" w:cs="Palatino Linotype"/>
          <w:bCs/>
        </w:rPr>
        <w:t xml:space="preserve">Inconforme con la respuesta, el Solicitante interpuso el recurso de revisión, mediante el cual, </w:t>
      </w:r>
      <w:r w:rsidRPr="004467F3">
        <w:rPr>
          <w:rFonts w:ascii="Palatino Linotype" w:eastAsia="Palatino Linotype" w:hAnsi="Palatino Linotype" w:cs="Palatino Linotype"/>
          <w:b/>
          <w:bCs/>
        </w:rPr>
        <w:t xml:space="preserve">manifestó </w:t>
      </w:r>
      <w:r w:rsidR="00C12AAA" w:rsidRPr="004467F3">
        <w:rPr>
          <w:rFonts w:ascii="Palatino Linotype" w:eastAsia="Palatino Linotype" w:hAnsi="Palatino Linotype" w:cs="Palatino Linotype"/>
          <w:b/>
          <w:bCs/>
        </w:rPr>
        <w:t xml:space="preserve">que </w:t>
      </w:r>
      <w:r w:rsidR="006E1306" w:rsidRPr="004467F3">
        <w:rPr>
          <w:rFonts w:ascii="Palatino Linotype" w:eastAsia="Palatino Linotype" w:hAnsi="Palatino Linotype" w:cs="Palatino Linotype"/>
          <w:b/>
          <w:bCs/>
        </w:rPr>
        <w:t>la información proporcionada en los anexos no coincide</w:t>
      </w:r>
      <w:r w:rsidR="006E1306" w:rsidRPr="004467F3">
        <w:rPr>
          <w:rFonts w:ascii="Palatino Linotype" w:eastAsia="Palatino Linotype" w:hAnsi="Palatino Linotype" w:cs="Palatino Linotype"/>
          <w:bCs/>
        </w:rPr>
        <w:t xml:space="preserve"> </w:t>
      </w:r>
    </w:p>
    <w:p w:rsidR="00C12AAA" w:rsidRPr="004467F3" w:rsidRDefault="00C12AAA" w:rsidP="00C12AAA">
      <w:pPr>
        <w:pStyle w:val="Prrafodelista"/>
        <w:spacing w:line="360" w:lineRule="auto"/>
        <w:ind w:left="0" w:right="1"/>
        <w:jc w:val="both"/>
        <w:rPr>
          <w:rFonts w:ascii="Palatino Linotype" w:eastAsia="Palatino Linotype" w:hAnsi="Palatino Linotype" w:cs="Palatino Linotype"/>
          <w:b/>
          <w:bCs/>
          <w:sz w:val="24"/>
        </w:rPr>
      </w:pPr>
    </w:p>
    <w:p w:rsidR="00C12AAA" w:rsidRPr="004467F3" w:rsidRDefault="00C12AAA" w:rsidP="00C12AAA">
      <w:pPr>
        <w:pStyle w:val="Prrafodelista"/>
        <w:numPr>
          <w:ilvl w:val="0"/>
          <w:numId w:val="2"/>
        </w:numPr>
        <w:spacing w:line="360" w:lineRule="auto"/>
        <w:ind w:left="0" w:right="1" w:firstLine="0"/>
        <w:jc w:val="both"/>
        <w:rPr>
          <w:rFonts w:ascii="Palatino Linotype" w:eastAsia="Palatino Linotype" w:hAnsi="Palatino Linotype" w:cs="Palatino Linotype"/>
          <w:b/>
          <w:bCs/>
          <w:sz w:val="24"/>
        </w:rPr>
      </w:pPr>
      <w:r w:rsidRPr="004467F3">
        <w:rPr>
          <w:rFonts w:ascii="Palatino Linotype" w:eastAsia="Palatino Linotype" w:hAnsi="Palatino Linotype" w:cs="Palatino Linotype"/>
          <w:bCs/>
          <w:sz w:val="24"/>
        </w:rPr>
        <w:t>Así, mediante un acto jurídico posterior como lo es el informe justificado, el</w:t>
      </w:r>
      <w:r w:rsidRPr="004467F3">
        <w:rPr>
          <w:rFonts w:ascii="Palatino Linotype" w:eastAsia="Palatino Linotype" w:hAnsi="Palatino Linotype" w:cs="Palatino Linotype"/>
          <w:b/>
          <w:bCs/>
          <w:sz w:val="24"/>
        </w:rPr>
        <w:t xml:space="preserve"> SUJETO OBLIGADO </w:t>
      </w:r>
      <w:r w:rsidRPr="004467F3">
        <w:rPr>
          <w:rFonts w:ascii="Palatino Linotype" w:eastAsia="Palatino Linotype" w:hAnsi="Palatino Linotype" w:cs="Palatino Linotype"/>
          <w:bCs/>
          <w:sz w:val="24"/>
        </w:rPr>
        <w:t xml:space="preserve">realizó la siguiente precisión: </w:t>
      </w:r>
    </w:p>
    <w:p w:rsidR="006E1306" w:rsidRPr="004467F3" w:rsidRDefault="006E1306" w:rsidP="006E1306">
      <w:pPr>
        <w:pStyle w:val="Prrafodelista"/>
        <w:spacing w:line="360" w:lineRule="auto"/>
        <w:ind w:left="0" w:right="1"/>
        <w:jc w:val="both"/>
        <w:rPr>
          <w:rFonts w:ascii="Palatino Linotype" w:eastAsia="Palatino Linotype" w:hAnsi="Palatino Linotype" w:cs="Palatino Linotype"/>
          <w:b/>
          <w:bCs/>
          <w:sz w:val="24"/>
        </w:rPr>
      </w:pPr>
    </w:p>
    <w:p w:rsidR="006E1306" w:rsidRPr="004467F3" w:rsidRDefault="006E1306" w:rsidP="006E1306">
      <w:pPr>
        <w:pStyle w:val="Prrafodelista"/>
        <w:spacing w:line="360" w:lineRule="auto"/>
        <w:ind w:left="0" w:right="1"/>
        <w:jc w:val="center"/>
        <w:rPr>
          <w:rFonts w:ascii="Palatino Linotype" w:eastAsia="Palatino Linotype" w:hAnsi="Palatino Linotype" w:cs="Palatino Linotype"/>
          <w:b/>
          <w:i/>
          <w:color w:val="000000"/>
          <w:sz w:val="24"/>
        </w:rPr>
      </w:pPr>
      <w:r w:rsidRPr="004467F3">
        <w:rPr>
          <w:rFonts w:ascii="Palatino Linotype" w:eastAsia="Palatino Linotype" w:hAnsi="Palatino Linotype" w:cs="Palatino Linotype"/>
          <w:b/>
          <w:i/>
          <w:color w:val="000000"/>
          <w:sz w:val="24"/>
        </w:rPr>
        <w:t>(…)</w:t>
      </w:r>
    </w:p>
    <w:p w:rsidR="006E1306" w:rsidRPr="004467F3" w:rsidRDefault="006E1306" w:rsidP="006E1306">
      <w:pPr>
        <w:pStyle w:val="Prrafodelista"/>
        <w:spacing w:line="360" w:lineRule="auto"/>
        <w:ind w:left="0" w:right="1"/>
        <w:jc w:val="center"/>
        <w:rPr>
          <w:rFonts w:ascii="Palatino Linotype" w:eastAsia="Palatino Linotype" w:hAnsi="Palatino Linotype" w:cs="Palatino Linotype"/>
          <w:b/>
          <w:bCs/>
          <w:sz w:val="24"/>
        </w:rPr>
      </w:pPr>
      <w:r w:rsidRPr="004467F3">
        <w:rPr>
          <w:rFonts w:ascii="Palatino Linotype" w:eastAsia="Palatino Linotype" w:hAnsi="Palatino Linotype" w:cs="Palatino Linotype"/>
          <w:b/>
          <w:bCs/>
          <w:noProof/>
          <w:sz w:val="24"/>
        </w:rPr>
        <w:lastRenderedPageBreak/>
        <w:drawing>
          <wp:inline distT="0" distB="0" distL="0" distR="0" wp14:anchorId="4CE428AC" wp14:editId="5FD14430">
            <wp:extent cx="5258534" cy="207674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58534" cy="2076740"/>
                    </a:xfrm>
                    <a:prstGeom prst="rect">
                      <a:avLst/>
                    </a:prstGeom>
                  </pic:spPr>
                </pic:pic>
              </a:graphicData>
            </a:graphic>
          </wp:inline>
        </w:drawing>
      </w:r>
    </w:p>
    <w:p w:rsidR="00C12AAA" w:rsidRPr="004467F3" w:rsidRDefault="006E1306" w:rsidP="006E1306">
      <w:pPr>
        <w:spacing w:line="360" w:lineRule="auto"/>
        <w:ind w:right="1"/>
        <w:jc w:val="center"/>
        <w:rPr>
          <w:rFonts w:ascii="Palatino Linotype" w:eastAsia="Palatino Linotype" w:hAnsi="Palatino Linotype" w:cs="Palatino Linotype"/>
          <w:b/>
          <w:bCs/>
        </w:rPr>
      </w:pPr>
      <w:r w:rsidRPr="004467F3">
        <w:rPr>
          <w:rFonts w:ascii="Palatino Linotype" w:eastAsia="Palatino Linotype" w:hAnsi="Palatino Linotype" w:cs="Palatino Linotype"/>
          <w:b/>
          <w:bCs/>
        </w:rPr>
        <w:t>(…)</w:t>
      </w:r>
    </w:p>
    <w:p w:rsidR="006E1306" w:rsidRPr="004467F3" w:rsidRDefault="006E1306" w:rsidP="00C12AAA">
      <w:pPr>
        <w:spacing w:line="360" w:lineRule="auto"/>
        <w:ind w:right="1"/>
        <w:jc w:val="both"/>
        <w:rPr>
          <w:rFonts w:ascii="Palatino Linotype" w:eastAsia="Palatino Linotype" w:hAnsi="Palatino Linotype" w:cs="Palatino Linotype"/>
          <w:b/>
          <w:bCs/>
        </w:rPr>
      </w:pPr>
    </w:p>
    <w:p w:rsidR="006E1306" w:rsidRPr="004467F3" w:rsidRDefault="006E1306" w:rsidP="006E1306">
      <w:pPr>
        <w:numPr>
          <w:ilvl w:val="0"/>
          <w:numId w:val="2"/>
        </w:numPr>
        <w:spacing w:line="360" w:lineRule="auto"/>
        <w:ind w:left="0" w:right="1" w:firstLine="0"/>
        <w:jc w:val="both"/>
        <w:rPr>
          <w:rFonts w:ascii="Palatino Linotype" w:eastAsia="Palatino Linotype" w:hAnsi="Palatino Linotype" w:cs="Palatino Linotype"/>
          <w:bCs/>
        </w:rPr>
      </w:pPr>
      <w:r w:rsidRPr="004467F3">
        <w:rPr>
          <w:rFonts w:ascii="Palatino Linotype" w:eastAsia="Palatino Linotype" w:hAnsi="Palatino Linotype" w:cs="Palatino Linotype"/>
          <w:bCs/>
        </w:rPr>
        <w:t xml:space="preserve">Asimismo, </w:t>
      </w:r>
      <w:r w:rsidR="00C37522" w:rsidRPr="004467F3">
        <w:rPr>
          <w:rFonts w:ascii="Palatino Linotype" w:eastAsia="Palatino Linotype" w:hAnsi="Palatino Linotype" w:cs="Palatino Linotype"/>
          <w:bCs/>
        </w:rPr>
        <w:t xml:space="preserve">mediante el archivo electrónico denominado </w:t>
      </w:r>
      <w:r w:rsidR="00C37522" w:rsidRPr="004467F3">
        <w:rPr>
          <w:rFonts w:ascii="Palatino Linotype" w:eastAsia="Palatino Linotype" w:hAnsi="Palatino Linotype" w:cs="Palatino Linotype"/>
          <w:b/>
          <w:bCs/>
        </w:rPr>
        <w:t xml:space="preserve">CURRICULUM VITAE DE DICIEMBRE DE 2025.pdf </w:t>
      </w:r>
      <w:r w:rsidRPr="004467F3">
        <w:rPr>
          <w:rFonts w:ascii="Palatino Linotype" w:eastAsia="Palatino Linotype" w:hAnsi="Palatino Linotype" w:cs="Palatino Linotype"/>
          <w:bCs/>
        </w:rPr>
        <w:t xml:space="preserve">remitió los currículos vitae correspondientes, </w:t>
      </w:r>
      <w:r w:rsidR="00C37522" w:rsidRPr="004467F3">
        <w:rPr>
          <w:rFonts w:ascii="Palatino Linotype" w:eastAsia="Palatino Linotype" w:hAnsi="Palatino Linotype" w:cs="Palatino Linotype"/>
          <w:bCs/>
        </w:rPr>
        <w:t>los cuales,</w:t>
      </w:r>
      <w:r w:rsidRPr="004467F3">
        <w:rPr>
          <w:rFonts w:ascii="Palatino Linotype" w:eastAsia="Palatino Linotype" w:hAnsi="Palatino Linotype" w:cs="Palatino Linotype"/>
          <w:bCs/>
        </w:rPr>
        <w:t xml:space="preserve"> que guardan relación con el listado proporcionado en respuesta.</w:t>
      </w:r>
    </w:p>
    <w:p w:rsidR="006E1306" w:rsidRPr="004467F3" w:rsidRDefault="006E1306" w:rsidP="006E1306">
      <w:pPr>
        <w:spacing w:line="360" w:lineRule="auto"/>
        <w:ind w:right="1"/>
        <w:jc w:val="both"/>
        <w:rPr>
          <w:rFonts w:ascii="Palatino Linotype" w:eastAsia="Palatino Linotype" w:hAnsi="Palatino Linotype" w:cs="Palatino Linotype"/>
          <w:bCs/>
        </w:rPr>
      </w:pPr>
    </w:p>
    <w:p w:rsidR="00C12AAA" w:rsidRPr="004467F3" w:rsidRDefault="00B2019C" w:rsidP="004D0003">
      <w:pPr>
        <w:numPr>
          <w:ilvl w:val="0"/>
          <w:numId w:val="2"/>
        </w:numPr>
        <w:spacing w:line="360" w:lineRule="auto"/>
        <w:ind w:left="0" w:right="1" w:firstLine="0"/>
        <w:jc w:val="both"/>
        <w:rPr>
          <w:rFonts w:ascii="Palatino Linotype" w:eastAsia="Palatino Linotype" w:hAnsi="Palatino Linotype" w:cs="Palatino Linotype"/>
          <w:b/>
          <w:bCs/>
        </w:rPr>
      </w:pPr>
      <w:r w:rsidRPr="004467F3">
        <w:rPr>
          <w:rFonts w:ascii="Palatino Linotype" w:eastAsia="Palatino Linotype" w:hAnsi="Palatino Linotype" w:cs="Palatino Linotype"/>
          <w:bCs/>
        </w:rPr>
        <w:t xml:space="preserve">De lo expuesto, se advierte que </w:t>
      </w:r>
      <w:r w:rsidR="00C37522" w:rsidRPr="004467F3">
        <w:rPr>
          <w:rFonts w:ascii="Palatino Linotype" w:eastAsia="Palatino Linotype" w:hAnsi="Palatino Linotype" w:cs="Palatino Linotype"/>
          <w:bCs/>
        </w:rPr>
        <w:t xml:space="preserve">el </w:t>
      </w:r>
      <w:r w:rsidR="00C37522" w:rsidRPr="004467F3">
        <w:rPr>
          <w:rFonts w:ascii="Palatino Linotype" w:eastAsia="Palatino Linotype" w:hAnsi="Palatino Linotype" w:cs="Palatino Linotype"/>
          <w:b/>
          <w:bCs/>
        </w:rPr>
        <w:t>SUJETO OBLIGADO</w:t>
      </w:r>
      <w:r w:rsidR="00C37522" w:rsidRPr="004467F3">
        <w:rPr>
          <w:rFonts w:ascii="Palatino Linotype" w:eastAsia="Palatino Linotype" w:hAnsi="Palatino Linotype" w:cs="Palatino Linotype"/>
          <w:bCs/>
        </w:rPr>
        <w:t xml:space="preserve"> subsano el error cometido en respuesta, mismo del que se adolece el Particular mediante el recurso de revisión.</w:t>
      </w:r>
    </w:p>
    <w:p w:rsidR="00C12AAA" w:rsidRPr="004467F3" w:rsidRDefault="00C12AAA" w:rsidP="00B2019C">
      <w:pPr>
        <w:spacing w:line="360" w:lineRule="auto"/>
        <w:ind w:right="1"/>
        <w:jc w:val="both"/>
        <w:rPr>
          <w:rFonts w:ascii="Palatino Linotype" w:eastAsia="Palatino Linotype" w:hAnsi="Palatino Linotype" w:cs="Palatino Linotype"/>
          <w:b/>
          <w:bCs/>
        </w:rPr>
      </w:pPr>
    </w:p>
    <w:p w:rsidR="00B2019C" w:rsidRPr="004467F3" w:rsidRDefault="00B2019C" w:rsidP="00B2019C">
      <w:pPr>
        <w:numPr>
          <w:ilvl w:val="0"/>
          <w:numId w:val="2"/>
        </w:numPr>
        <w:spacing w:line="360" w:lineRule="auto"/>
        <w:ind w:left="0" w:right="1" w:firstLine="0"/>
        <w:jc w:val="both"/>
        <w:rPr>
          <w:rFonts w:ascii="Palatino Linotype" w:eastAsia="Palatino Linotype" w:hAnsi="Palatino Linotype" w:cs="Palatino Linotype"/>
          <w:b/>
          <w:bCs/>
        </w:rPr>
      </w:pPr>
      <w:r w:rsidRPr="004467F3">
        <w:rPr>
          <w:rFonts w:ascii="Palatino Linotype" w:eastAsia="Palatino Linotype" w:hAnsi="Palatino Linotype" w:cs="Palatino Linotype"/>
        </w:rPr>
        <w:t xml:space="preserve">Precisado lo anterior, cabe </w:t>
      </w:r>
      <w:r w:rsidRPr="004467F3">
        <w:rPr>
          <w:rFonts w:ascii="Palatino Linotype" w:eastAsia="Palatino Linotype" w:hAnsi="Palatino Linotype" w:cs="Palatino Linotype"/>
          <w:color w:val="000000"/>
        </w:rPr>
        <w:t>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rsidR="00B2019C" w:rsidRPr="004467F3" w:rsidRDefault="00B2019C" w:rsidP="00B2019C">
      <w:pPr>
        <w:pStyle w:val="Prrafodelista"/>
        <w:pBdr>
          <w:top w:val="nil"/>
          <w:left w:val="nil"/>
          <w:bottom w:val="nil"/>
          <w:right w:val="nil"/>
          <w:between w:val="nil"/>
        </w:pBdr>
        <w:spacing w:line="360" w:lineRule="auto"/>
        <w:ind w:left="0" w:right="1"/>
        <w:jc w:val="both"/>
        <w:rPr>
          <w:rFonts w:ascii="Palatino Linotype" w:eastAsia="Palatino Linotype" w:hAnsi="Palatino Linotype" w:cs="Palatino Linotype"/>
          <w:b/>
          <w:bCs/>
          <w:sz w:val="24"/>
        </w:rPr>
      </w:pPr>
    </w:p>
    <w:p w:rsidR="00B2019C" w:rsidRPr="004467F3" w:rsidRDefault="00B2019C" w:rsidP="00B2019C">
      <w:pPr>
        <w:pStyle w:val="Prrafodelista"/>
        <w:numPr>
          <w:ilvl w:val="0"/>
          <w:numId w:val="2"/>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sz w:val="24"/>
        </w:rPr>
      </w:pPr>
      <w:r w:rsidRPr="004467F3">
        <w:rPr>
          <w:rFonts w:ascii="Palatino Linotype" w:eastAsia="Palatino Linotype" w:hAnsi="Palatino Linotype" w:cs="Palatino Linotype"/>
          <w:color w:val="000000"/>
          <w:sz w:val="24"/>
        </w:rPr>
        <w:lastRenderedPageBreak/>
        <w:t>En este sentido, para atender las solicitudes de información, los Sujetos Obligados contarán con un área denominada Unidad de Transparencia</w:t>
      </w:r>
      <w:r w:rsidRPr="004467F3">
        <w:rPr>
          <w:rFonts w:ascii="Palatino Linotype" w:eastAsia="Palatino Linotype" w:hAnsi="Palatino Linotype"/>
          <w:sz w:val="24"/>
          <w:vertAlign w:val="superscript"/>
        </w:rPr>
        <w:footnoteReference w:id="1"/>
      </w:r>
      <w:r w:rsidRPr="004467F3">
        <w:rPr>
          <w:rFonts w:ascii="Palatino Linotype" w:eastAsia="Palatino Linotype" w:hAnsi="Palatino Linotype" w:cs="Palatino Linotype"/>
          <w:color w:val="000000"/>
          <w:sz w:val="24"/>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sidRPr="004467F3">
        <w:rPr>
          <w:rFonts w:ascii="Palatino Linotype" w:eastAsia="Palatino Linotype" w:hAnsi="Palatino Linotype" w:cs="Palatino Linotype"/>
          <w:b/>
          <w:bCs/>
          <w:color w:val="000000"/>
          <w:sz w:val="24"/>
        </w:rPr>
        <w:t xml:space="preserve"> </w:t>
      </w:r>
      <w:r w:rsidRPr="004467F3">
        <w:rPr>
          <w:rFonts w:ascii="Palatino Linotype" w:eastAsia="Palatino Linotype" w:hAnsi="Palatino Linotype" w:cs="Palatino Linotype"/>
          <w:color w:val="000000"/>
          <w:sz w:val="24"/>
        </w:rPr>
        <w:t>en los términos de la Ley General y la Ley de Transparencia y Acceso a la Información Pública del Estado de México y Municipios</w:t>
      </w:r>
      <w:r w:rsidRPr="004467F3">
        <w:rPr>
          <w:rFonts w:ascii="Palatino Linotype" w:eastAsia="Palatino Linotype" w:hAnsi="Palatino Linotype"/>
          <w:sz w:val="24"/>
          <w:vertAlign w:val="superscript"/>
        </w:rPr>
        <w:footnoteReference w:id="2"/>
      </w:r>
      <w:r w:rsidRPr="004467F3">
        <w:rPr>
          <w:rFonts w:ascii="Palatino Linotype" w:eastAsia="Palatino Linotype" w:hAnsi="Palatino Linotype" w:cs="Palatino Linotype"/>
          <w:color w:val="000000"/>
          <w:sz w:val="24"/>
        </w:rPr>
        <w:t>.</w:t>
      </w:r>
    </w:p>
    <w:p w:rsidR="00B2019C" w:rsidRPr="004467F3" w:rsidRDefault="00B2019C" w:rsidP="00B2019C">
      <w:pPr>
        <w:spacing w:line="360" w:lineRule="auto"/>
        <w:ind w:right="1"/>
        <w:jc w:val="both"/>
        <w:rPr>
          <w:rFonts w:ascii="Palatino Linotype" w:eastAsia="Palatino Linotype" w:hAnsi="Palatino Linotype" w:cs="Palatino Linotype"/>
        </w:rPr>
      </w:pPr>
    </w:p>
    <w:p w:rsidR="00B2019C" w:rsidRPr="004467F3" w:rsidRDefault="00B2019C" w:rsidP="00B2019C">
      <w:pPr>
        <w:numPr>
          <w:ilvl w:val="0"/>
          <w:numId w:val="2"/>
        </w:numPr>
        <w:spacing w:line="360" w:lineRule="auto"/>
        <w:ind w:left="0" w:right="1" w:firstLine="0"/>
        <w:jc w:val="both"/>
        <w:rPr>
          <w:rFonts w:ascii="Palatino Linotype" w:eastAsia="Palatino Linotype" w:hAnsi="Palatino Linotype" w:cs="Palatino Linotype"/>
        </w:rPr>
      </w:pPr>
      <w:r w:rsidRPr="004467F3">
        <w:rPr>
          <w:rFonts w:ascii="Palatino Linotype" w:eastAsia="Palatino Linotype" w:hAnsi="Palatino Linotype" w:cs="Palatino Linotype"/>
          <w:color w:val="000000"/>
        </w:rPr>
        <w:t>De conformidad con lo dispuesto en la Ley de Transparencia y Acceso a la Información Pública del Estado de México y Municipios, las Unidades de Transparencia tendrán, entre sus atribuciones, las siguientes:</w:t>
      </w:r>
    </w:p>
    <w:p w:rsidR="00B2019C" w:rsidRPr="004467F3" w:rsidRDefault="00B2019C" w:rsidP="00B2019C">
      <w:pPr>
        <w:numPr>
          <w:ilvl w:val="1"/>
          <w:numId w:val="16"/>
        </w:numPr>
        <w:pBdr>
          <w:top w:val="nil"/>
          <w:left w:val="nil"/>
          <w:bottom w:val="nil"/>
          <w:right w:val="nil"/>
          <w:between w:val="nil"/>
        </w:pBdr>
        <w:spacing w:before="240"/>
        <w:ind w:left="709" w:right="616" w:hanging="142"/>
        <w:jc w:val="both"/>
        <w:rPr>
          <w:rFonts w:ascii="Palatino Linotype" w:eastAsia="Palatino Linotype" w:hAnsi="Palatino Linotype" w:cs="Palatino Linotype"/>
          <w:color w:val="000000"/>
        </w:rPr>
      </w:pPr>
      <w:r w:rsidRPr="004467F3">
        <w:rPr>
          <w:rFonts w:ascii="Palatino Linotype" w:eastAsia="Palatino Linotype" w:hAnsi="Palatino Linotype" w:cs="Palatino Linotype"/>
          <w:color w:val="000000"/>
        </w:rPr>
        <w:t>Recibir, tramitar y dar respuesta a las solicitudes de acceso a la información;</w:t>
      </w:r>
    </w:p>
    <w:p w:rsidR="00B2019C" w:rsidRPr="004467F3" w:rsidRDefault="00B2019C" w:rsidP="00B2019C">
      <w:pPr>
        <w:numPr>
          <w:ilvl w:val="1"/>
          <w:numId w:val="16"/>
        </w:numPr>
        <w:pBdr>
          <w:top w:val="nil"/>
          <w:left w:val="nil"/>
          <w:bottom w:val="nil"/>
          <w:right w:val="nil"/>
          <w:between w:val="nil"/>
        </w:pBdr>
        <w:ind w:left="709" w:right="616" w:hanging="142"/>
        <w:jc w:val="both"/>
        <w:rPr>
          <w:rFonts w:ascii="Palatino Linotype" w:eastAsia="Palatino Linotype" w:hAnsi="Palatino Linotype" w:cs="Palatino Linotype"/>
          <w:color w:val="000000"/>
        </w:rPr>
      </w:pPr>
      <w:r w:rsidRPr="004467F3">
        <w:rPr>
          <w:rFonts w:ascii="Palatino Linotype" w:eastAsia="Palatino Linotype" w:hAnsi="Palatino Linotype" w:cs="Palatino Linotype"/>
          <w:color w:val="000000"/>
        </w:rPr>
        <w:t xml:space="preserve">Realizar, con efectividad, los trámites internos necesarios para la atención de las solicitudes de acceso a la información; </w:t>
      </w:r>
    </w:p>
    <w:p w:rsidR="00B2019C" w:rsidRPr="004467F3" w:rsidRDefault="00B2019C" w:rsidP="00B2019C">
      <w:pPr>
        <w:numPr>
          <w:ilvl w:val="1"/>
          <w:numId w:val="16"/>
        </w:numPr>
        <w:pBdr>
          <w:top w:val="nil"/>
          <w:left w:val="nil"/>
          <w:bottom w:val="nil"/>
          <w:right w:val="nil"/>
          <w:between w:val="nil"/>
        </w:pBdr>
        <w:ind w:left="709" w:right="616" w:hanging="142"/>
        <w:jc w:val="both"/>
        <w:rPr>
          <w:rFonts w:ascii="Palatino Linotype" w:eastAsia="Palatino Linotype" w:hAnsi="Palatino Linotype" w:cs="Palatino Linotype"/>
          <w:color w:val="000000"/>
        </w:rPr>
      </w:pPr>
      <w:r w:rsidRPr="004467F3">
        <w:rPr>
          <w:rFonts w:ascii="Palatino Linotype" w:eastAsia="Palatino Linotype" w:hAnsi="Palatino Linotype" w:cs="Palatino Linotype"/>
          <w:color w:val="000000"/>
        </w:rPr>
        <w:t xml:space="preserve">Entregar, en su caso, a los particulares la información solicitada; y </w:t>
      </w:r>
    </w:p>
    <w:p w:rsidR="00B2019C" w:rsidRPr="004467F3" w:rsidRDefault="00B2019C" w:rsidP="00B2019C">
      <w:pPr>
        <w:numPr>
          <w:ilvl w:val="1"/>
          <w:numId w:val="16"/>
        </w:numPr>
        <w:pBdr>
          <w:top w:val="nil"/>
          <w:left w:val="nil"/>
          <w:bottom w:val="nil"/>
          <w:right w:val="nil"/>
          <w:between w:val="nil"/>
        </w:pBdr>
        <w:spacing w:after="240"/>
        <w:ind w:left="709" w:right="616" w:hanging="142"/>
        <w:jc w:val="both"/>
        <w:rPr>
          <w:rFonts w:ascii="Palatino Linotype" w:eastAsia="Palatino Linotype" w:hAnsi="Palatino Linotype" w:cs="Palatino Linotype"/>
          <w:color w:val="000000"/>
        </w:rPr>
      </w:pPr>
      <w:r w:rsidRPr="004467F3">
        <w:rPr>
          <w:rFonts w:ascii="Palatino Linotype" w:eastAsia="Palatino Linotype" w:hAnsi="Palatino Linotype" w:cs="Palatino Linotype"/>
          <w:color w:val="000000"/>
        </w:rPr>
        <w:t>Efectuar las notificaciones a los solicitantes.</w:t>
      </w:r>
    </w:p>
    <w:p w:rsidR="00B2019C" w:rsidRPr="004467F3" w:rsidRDefault="00B2019C" w:rsidP="00B2019C">
      <w:pPr>
        <w:spacing w:line="360" w:lineRule="auto"/>
        <w:ind w:right="1"/>
        <w:jc w:val="both"/>
        <w:rPr>
          <w:rFonts w:ascii="Palatino Linotype" w:eastAsia="Palatino Linotype" w:hAnsi="Palatino Linotype" w:cs="Palatino Linotype"/>
        </w:rPr>
      </w:pPr>
    </w:p>
    <w:p w:rsidR="00B2019C" w:rsidRPr="004467F3" w:rsidRDefault="00B2019C" w:rsidP="00B2019C">
      <w:pPr>
        <w:numPr>
          <w:ilvl w:val="0"/>
          <w:numId w:val="2"/>
        </w:numPr>
        <w:spacing w:line="360" w:lineRule="auto"/>
        <w:ind w:left="0" w:right="1" w:firstLine="0"/>
        <w:jc w:val="both"/>
        <w:rPr>
          <w:rFonts w:ascii="Palatino Linotype" w:eastAsia="Palatino Linotype" w:hAnsi="Palatino Linotype" w:cs="Palatino Linotype"/>
        </w:rPr>
      </w:pPr>
      <w:r w:rsidRPr="004467F3">
        <w:rPr>
          <w:rFonts w:ascii="Palatino Linotype" w:eastAsia="Palatino Linotype" w:hAnsi="Palatino Linotype" w:cs="Palatino Linotype"/>
          <w:color w:val="000000"/>
        </w:rPr>
        <w:t xml:space="preserve">Otros sujetos del proceso de atención a las solicitudes de información son los servidores públicos habilitados, quienes serán designados por el titular del </w:t>
      </w:r>
      <w:r w:rsidRPr="004467F3">
        <w:rPr>
          <w:rFonts w:ascii="Palatino Linotype" w:eastAsia="Palatino Linotype" w:hAnsi="Palatino Linotype" w:cs="Palatino Linotype"/>
          <w:b/>
          <w:bCs/>
          <w:color w:val="000000"/>
        </w:rPr>
        <w:t xml:space="preserve">SUJETO OBLIGADO </w:t>
      </w:r>
      <w:r w:rsidRPr="004467F3">
        <w:rPr>
          <w:rFonts w:ascii="Palatino Linotype" w:eastAsia="Palatino Linotype" w:hAnsi="Palatino Linotype" w:cs="Palatino Linotype"/>
          <w:color w:val="000000"/>
        </w:rPr>
        <w:t>a propuesta del responsable de la Unidad de Transparencia</w:t>
      </w:r>
      <w:r w:rsidRPr="004467F3">
        <w:rPr>
          <w:rFonts w:ascii="Palatino Linotype" w:eastAsia="Palatino Linotype" w:hAnsi="Palatino Linotype" w:cs="Palatino Linotype"/>
          <w:color w:val="000000"/>
          <w:vertAlign w:val="superscript"/>
        </w:rPr>
        <w:footnoteReference w:id="3"/>
      </w:r>
      <w:r w:rsidRPr="004467F3">
        <w:rPr>
          <w:rFonts w:ascii="Palatino Linotype" w:eastAsia="Palatino Linotype" w:hAnsi="Palatino Linotype" w:cs="Palatino Linotype"/>
          <w:color w:val="000000"/>
        </w:rPr>
        <w:t xml:space="preserve"> y tendrán, entre sus atribuciones, las siguientes</w:t>
      </w:r>
      <w:r w:rsidRPr="004467F3">
        <w:rPr>
          <w:rFonts w:ascii="Palatino Linotype" w:eastAsia="Palatino Linotype" w:hAnsi="Palatino Linotype" w:cs="Palatino Linotype"/>
          <w:color w:val="000000"/>
          <w:vertAlign w:val="superscript"/>
        </w:rPr>
        <w:footnoteReference w:id="4"/>
      </w:r>
      <w:r w:rsidRPr="004467F3">
        <w:rPr>
          <w:rFonts w:ascii="Palatino Linotype" w:eastAsia="Palatino Linotype" w:hAnsi="Palatino Linotype" w:cs="Palatino Linotype"/>
          <w:color w:val="000000"/>
        </w:rPr>
        <w:t>:</w:t>
      </w:r>
    </w:p>
    <w:p w:rsidR="00B2019C" w:rsidRPr="004467F3" w:rsidRDefault="00B2019C" w:rsidP="00B2019C">
      <w:pPr>
        <w:numPr>
          <w:ilvl w:val="1"/>
          <w:numId w:val="17"/>
        </w:numPr>
        <w:pBdr>
          <w:top w:val="nil"/>
          <w:left w:val="nil"/>
          <w:bottom w:val="nil"/>
          <w:right w:val="nil"/>
          <w:between w:val="nil"/>
        </w:pBdr>
        <w:spacing w:before="240"/>
        <w:ind w:left="709" w:right="565" w:hanging="142"/>
        <w:jc w:val="both"/>
        <w:rPr>
          <w:rFonts w:ascii="Palatino Linotype" w:eastAsia="Palatino Linotype" w:hAnsi="Palatino Linotype" w:cs="Palatino Linotype"/>
          <w:color w:val="000000"/>
        </w:rPr>
      </w:pPr>
      <w:r w:rsidRPr="004467F3">
        <w:rPr>
          <w:rFonts w:ascii="Palatino Linotype" w:eastAsia="Palatino Linotype" w:hAnsi="Palatino Linotype" w:cs="Palatino Linotype"/>
          <w:color w:val="000000"/>
        </w:rPr>
        <w:lastRenderedPageBreak/>
        <w:t>Localizar la información que le solicite la Unidad de Transparencia; y</w:t>
      </w:r>
    </w:p>
    <w:p w:rsidR="00B2019C" w:rsidRPr="004467F3" w:rsidRDefault="00B2019C" w:rsidP="00B2019C">
      <w:pPr>
        <w:numPr>
          <w:ilvl w:val="1"/>
          <w:numId w:val="17"/>
        </w:numPr>
        <w:pBdr>
          <w:top w:val="nil"/>
          <w:left w:val="nil"/>
          <w:bottom w:val="nil"/>
          <w:right w:val="nil"/>
          <w:between w:val="nil"/>
        </w:pBdr>
        <w:spacing w:after="240"/>
        <w:ind w:left="709" w:right="565" w:hanging="142"/>
        <w:jc w:val="both"/>
        <w:rPr>
          <w:rFonts w:ascii="Palatino Linotype" w:eastAsia="Palatino Linotype" w:hAnsi="Palatino Linotype" w:cs="Palatino Linotype"/>
          <w:color w:val="000000"/>
        </w:rPr>
      </w:pPr>
      <w:r w:rsidRPr="004467F3">
        <w:rPr>
          <w:rFonts w:ascii="Palatino Linotype" w:eastAsia="Palatino Linotype" w:hAnsi="Palatino Linotype" w:cs="Palatino Linotype"/>
          <w:color w:val="000000"/>
        </w:rPr>
        <w:t>Proporcionar la información que obre en los archivos y que le sea solicitada por la Unidad de Transparencia.</w:t>
      </w:r>
    </w:p>
    <w:p w:rsidR="00B2019C" w:rsidRPr="004467F3" w:rsidRDefault="00B2019C" w:rsidP="00B2019C">
      <w:pPr>
        <w:spacing w:line="360" w:lineRule="auto"/>
        <w:ind w:right="1"/>
        <w:jc w:val="both"/>
        <w:rPr>
          <w:rFonts w:ascii="Palatino Linotype" w:eastAsia="Palatino Linotype" w:hAnsi="Palatino Linotype" w:cs="Palatino Linotype"/>
        </w:rPr>
      </w:pPr>
    </w:p>
    <w:p w:rsidR="00B2019C" w:rsidRPr="004467F3" w:rsidRDefault="00B2019C" w:rsidP="00B2019C">
      <w:pPr>
        <w:numPr>
          <w:ilvl w:val="0"/>
          <w:numId w:val="2"/>
        </w:numPr>
        <w:spacing w:line="360" w:lineRule="auto"/>
        <w:ind w:left="0" w:right="1" w:firstLine="0"/>
        <w:jc w:val="both"/>
        <w:rPr>
          <w:rFonts w:ascii="Palatino Linotype" w:eastAsia="Palatino Linotype" w:hAnsi="Palatino Linotype" w:cs="Palatino Linotype"/>
        </w:rPr>
      </w:pPr>
      <w:r w:rsidRPr="004467F3">
        <w:rPr>
          <w:rFonts w:ascii="Palatino Linotype" w:eastAsia="Palatino Linotype" w:hAnsi="Palatino Linotype" w:cs="Palatino Linotype"/>
          <w:color w:val="000000"/>
        </w:rPr>
        <w:t xml:space="preserve">De tal manera que cada una de las áreas administrativas del </w:t>
      </w:r>
      <w:r w:rsidRPr="004467F3">
        <w:rPr>
          <w:rFonts w:ascii="Palatino Linotype" w:eastAsia="Palatino Linotype" w:hAnsi="Palatino Linotype" w:cs="Palatino Linotype"/>
          <w:b/>
          <w:bCs/>
          <w:color w:val="000000"/>
        </w:rPr>
        <w:t>SUJETO OBLIGADO</w:t>
      </w:r>
      <w:r w:rsidRPr="004467F3">
        <w:rPr>
          <w:rFonts w:ascii="Palatino Linotype" w:eastAsia="Palatino Linotype" w:hAnsi="Palatino Linotype" w:cs="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rsidR="00B2019C" w:rsidRPr="004467F3" w:rsidRDefault="00B2019C" w:rsidP="00B2019C">
      <w:pPr>
        <w:spacing w:line="360" w:lineRule="auto"/>
        <w:ind w:right="1"/>
        <w:jc w:val="both"/>
        <w:rPr>
          <w:rFonts w:ascii="Palatino Linotype" w:eastAsia="Palatino Linotype" w:hAnsi="Palatino Linotype" w:cs="Palatino Linotype"/>
        </w:rPr>
      </w:pPr>
    </w:p>
    <w:p w:rsidR="00B2019C" w:rsidRPr="004467F3" w:rsidRDefault="00B2019C" w:rsidP="00B2019C">
      <w:pPr>
        <w:numPr>
          <w:ilvl w:val="0"/>
          <w:numId w:val="2"/>
        </w:numPr>
        <w:spacing w:line="360" w:lineRule="auto"/>
        <w:ind w:left="0" w:right="1" w:firstLine="0"/>
        <w:jc w:val="both"/>
        <w:rPr>
          <w:rFonts w:ascii="Palatino Linotype" w:eastAsia="Palatino Linotype" w:hAnsi="Palatino Linotype" w:cs="Palatino Linotype"/>
        </w:rPr>
      </w:pPr>
      <w:r w:rsidRPr="004467F3">
        <w:rPr>
          <w:rFonts w:ascii="Palatino Linotype" w:eastAsia="Palatino Linotype" w:hAnsi="Palatino Linotype" w:cs="Palatino Linotype"/>
          <w:color w:val="000000"/>
        </w:rPr>
        <w:t>Aunado a lo anterior, la Ley de Transparencia y Acceso a la Información Pública del Estado de México y Municipios, en su artículo 53, establece las funciones correspondientes a esta Unidad; mismas que se inserta a continuación:</w:t>
      </w:r>
    </w:p>
    <w:p w:rsidR="00B2019C" w:rsidRPr="004467F3" w:rsidRDefault="00B2019C" w:rsidP="00B2019C">
      <w:pPr>
        <w:ind w:right="1"/>
        <w:jc w:val="both"/>
        <w:rPr>
          <w:rFonts w:ascii="Palatino Linotype" w:eastAsia="Palatino Linotype" w:hAnsi="Palatino Linotype" w:cs="Palatino Linotype"/>
          <w:color w:val="000000"/>
        </w:rPr>
      </w:pPr>
    </w:p>
    <w:p w:rsidR="00B2019C" w:rsidRPr="004467F3" w:rsidRDefault="00B2019C" w:rsidP="00B2019C">
      <w:pPr>
        <w:pBdr>
          <w:top w:val="nil"/>
          <w:left w:val="nil"/>
          <w:bottom w:val="nil"/>
          <w:right w:val="nil"/>
          <w:between w:val="nil"/>
        </w:pBdr>
        <w:tabs>
          <w:tab w:val="left" w:pos="426"/>
        </w:tabs>
        <w:spacing w:before="240"/>
        <w:ind w:left="567" w:right="616"/>
        <w:jc w:val="both"/>
        <w:rPr>
          <w:rFonts w:ascii="Palatino Linotype" w:eastAsia="Palatino Linotype" w:hAnsi="Palatino Linotype" w:cs="Palatino Linotype"/>
          <w:i/>
          <w:iCs/>
          <w:color w:val="000000"/>
        </w:rPr>
      </w:pPr>
      <w:r w:rsidRPr="004467F3">
        <w:rPr>
          <w:rFonts w:ascii="Palatino Linotype" w:eastAsia="Palatino Linotype" w:hAnsi="Palatino Linotype" w:cs="Palatino Linotype"/>
          <w:b/>
          <w:bCs/>
          <w:i/>
          <w:iCs/>
          <w:color w:val="000000"/>
        </w:rPr>
        <w:t>“Artículo 53</w:t>
      </w:r>
      <w:r w:rsidRPr="004467F3">
        <w:rPr>
          <w:rFonts w:ascii="Palatino Linotype" w:eastAsia="Palatino Linotype" w:hAnsi="Palatino Linotype" w:cs="Palatino Linotype"/>
          <w:i/>
          <w:iCs/>
          <w:color w:val="000000"/>
        </w:rPr>
        <w:t xml:space="preserve">. Las Unidades de Transparencia tendrán las siguientes funciones: </w:t>
      </w:r>
    </w:p>
    <w:p w:rsidR="00B2019C" w:rsidRPr="004467F3"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p>
    <w:p w:rsidR="00B2019C" w:rsidRPr="004467F3"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4467F3">
        <w:rPr>
          <w:rFonts w:ascii="Palatino Linotype" w:eastAsia="Palatino Linotype" w:hAnsi="Palatino Linotype" w:cs="Palatino Linotype"/>
          <w:i/>
          <w:iCs/>
          <w:color w:val="000000"/>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rsidR="00B2019C" w:rsidRPr="004467F3"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b/>
          <w:bCs/>
          <w:i/>
          <w:iCs/>
          <w:color w:val="000000"/>
        </w:rPr>
      </w:pPr>
      <w:r w:rsidRPr="004467F3">
        <w:rPr>
          <w:rFonts w:ascii="Palatino Linotype" w:eastAsia="Palatino Linotype" w:hAnsi="Palatino Linotype" w:cs="Palatino Linotype"/>
          <w:b/>
          <w:bCs/>
          <w:i/>
          <w:iCs/>
          <w:color w:val="000000"/>
        </w:rPr>
        <w:t xml:space="preserve">II. Recibir, tramitar y dar respuesta a las solicitudes de acceso a la información; </w:t>
      </w:r>
    </w:p>
    <w:p w:rsidR="00B2019C" w:rsidRPr="004467F3"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4467F3">
        <w:rPr>
          <w:rFonts w:ascii="Palatino Linotype" w:eastAsia="Palatino Linotype" w:hAnsi="Palatino Linotype" w:cs="Palatino Linotype"/>
          <w:i/>
          <w:iCs/>
          <w:color w:val="000000"/>
        </w:rPr>
        <w:t xml:space="preserve">III. Auxiliar a los particulares en la elaboración de solicitudes de acceso a la información y, en su caso, orientarlos sobre los sujetos obligados competentes conforme a la normatividad aplicable; </w:t>
      </w:r>
    </w:p>
    <w:p w:rsidR="00B2019C" w:rsidRPr="004467F3"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b/>
          <w:bCs/>
          <w:i/>
          <w:iCs/>
          <w:color w:val="000000"/>
        </w:rPr>
      </w:pPr>
      <w:r w:rsidRPr="004467F3">
        <w:rPr>
          <w:rFonts w:ascii="Palatino Linotype" w:eastAsia="Palatino Linotype" w:hAnsi="Palatino Linotype" w:cs="Palatino Linotype"/>
          <w:b/>
          <w:bCs/>
          <w:i/>
          <w:iCs/>
          <w:color w:val="000000"/>
        </w:rPr>
        <w:t xml:space="preserve">IV. Realizar, con efectividad, los trámites internos necesarios para la atención de las solicitudes de acceso a la información; </w:t>
      </w:r>
    </w:p>
    <w:p w:rsidR="00B2019C" w:rsidRPr="004467F3"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4467F3">
        <w:rPr>
          <w:rFonts w:ascii="Palatino Linotype" w:eastAsia="Palatino Linotype" w:hAnsi="Palatino Linotype" w:cs="Palatino Linotype"/>
          <w:i/>
          <w:iCs/>
          <w:color w:val="000000"/>
        </w:rPr>
        <w:t xml:space="preserve">V. Entregar, en su caso, a los particulares la información solicitada; </w:t>
      </w:r>
    </w:p>
    <w:p w:rsidR="00B2019C" w:rsidRPr="004467F3"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4467F3">
        <w:rPr>
          <w:rFonts w:ascii="Palatino Linotype" w:eastAsia="Palatino Linotype" w:hAnsi="Palatino Linotype" w:cs="Palatino Linotype"/>
          <w:i/>
          <w:iCs/>
          <w:color w:val="000000"/>
        </w:rPr>
        <w:t xml:space="preserve">VI. Efectuar las notificaciones a los solicitantes; </w:t>
      </w:r>
    </w:p>
    <w:p w:rsidR="00B2019C" w:rsidRPr="004467F3"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4467F3">
        <w:rPr>
          <w:rFonts w:ascii="Palatino Linotype" w:eastAsia="Palatino Linotype" w:hAnsi="Palatino Linotype" w:cs="Palatino Linotype"/>
          <w:i/>
          <w:iCs/>
          <w:color w:val="000000"/>
        </w:rPr>
        <w:t xml:space="preserve">VII. Proponer al Comité de Transparencia, los procedimientos internos que aseguren la mayor eficiencia en la gestión de las solicitudes de acceso a la información, conforme a la normatividad aplicable; </w:t>
      </w:r>
    </w:p>
    <w:p w:rsidR="00B2019C" w:rsidRPr="004467F3"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4467F3">
        <w:rPr>
          <w:rFonts w:ascii="Palatino Linotype" w:eastAsia="Palatino Linotype" w:hAnsi="Palatino Linotype" w:cs="Palatino Linotype"/>
          <w:i/>
          <w:iCs/>
          <w:color w:val="000000"/>
        </w:rPr>
        <w:lastRenderedPageBreak/>
        <w:t xml:space="preserve">VIII. Proponer a quien preside el Comité de Transparencia, personal habilitado que sea necesario para recibir y dar trámite a las solicitudes de acceso a la información; </w:t>
      </w:r>
    </w:p>
    <w:p w:rsidR="00B2019C" w:rsidRPr="004467F3"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b/>
          <w:bCs/>
          <w:i/>
          <w:iCs/>
          <w:color w:val="000000"/>
        </w:rPr>
      </w:pPr>
      <w:r w:rsidRPr="004467F3">
        <w:rPr>
          <w:rFonts w:ascii="Palatino Linotype" w:eastAsia="Palatino Linotype" w:hAnsi="Palatino Linotype" w:cs="Palatino Linotype"/>
          <w:b/>
          <w:bCs/>
          <w:i/>
          <w:iCs/>
          <w:color w:val="000000"/>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rsidR="00B2019C" w:rsidRPr="004467F3"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4467F3">
        <w:rPr>
          <w:rFonts w:ascii="Palatino Linotype" w:eastAsia="Palatino Linotype" w:hAnsi="Palatino Linotype" w:cs="Palatino Linotype"/>
          <w:i/>
          <w:iCs/>
          <w:color w:val="000000"/>
        </w:rPr>
        <w:t xml:space="preserve">X. Presentar ante el Comité, el proyecto de clasificación de información; </w:t>
      </w:r>
    </w:p>
    <w:p w:rsidR="00B2019C" w:rsidRPr="004467F3"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4467F3">
        <w:rPr>
          <w:rFonts w:ascii="Palatino Linotype" w:eastAsia="Palatino Linotype" w:hAnsi="Palatino Linotype" w:cs="Palatino Linotype"/>
          <w:i/>
          <w:iCs/>
          <w:color w:val="000000"/>
        </w:rPr>
        <w:t xml:space="preserve">XI. Promover e implementar políticas de transparencia proactiva procurando su accesibilidad; </w:t>
      </w:r>
    </w:p>
    <w:p w:rsidR="00B2019C" w:rsidRPr="004467F3"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4467F3">
        <w:rPr>
          <w:rFonts w:ascii="Palatino Linotype" w:eastAsia="Palatino Linotype" w:hAnsi="Palatino Linotype" w:cs="Palatino Linotype"/>
          <w:i/>
          <w:iCs/>
          <w:color w:val="000000"/>
        </w:rPr>
        <w:t xml:space="preserve">XII. Fomentar la transparencia y accesibilidad al interior del sujeto obligado; </w:t>
      </w:r>
    </w:p>
    <w:p w:rsidR="00B2019C" w:rsidRPr="004467F3"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4467F3">
        <w:rPr>
          <w:rFonts w:ascii="Palatino Linotype" w:eastAsia="Palatino Linotype" w:hAnsi="Palatino Linotype" w:cs="Palatino Linotype"/>
          <w:i/>
          <w:iCs/>
          <w:color w:val="000000"/>
        </w:rPr>
        <w:t>XIII. Hacer del conocimiento de la instancia competente la probable responsabilidad por el incumplimiento de las obligaciones previstas en la presente Ley; y</w:t>
      </w:r>
    </w:p>
    <w:p w:rsidR="00B2019C" w:rsidRPr="004467F3"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4467F3">
        <w:rPr>
          <w:rFonts w:ascii="Palatino Linotype" w:eastAsia="Palatino Linotype" w:hAnsi="Palatino Linotype" w:cs="Palatino Linotype"/>
          <w:i/>
          <w:iCs/>
          <w:color w:val="000000"/>
        </w:rPr>
        <w:t>XIV. Las demás que resulten necesarias para facilitar el acceso a la información y aquellas que se desprenden de la presente Ley y demás disposiciones jurídicas aplicables. (…)</w:t>
      </w:r>
    </w:p>
    <w:p w:rsidR="00B2019C" w:rsidRPr="004467F3" w:rsidRDefault="00B2019C" w:rsidP="00B2019C">
      <w:pPr>
        <w:pBdr>
          <w:top w:val="nil"/>
          <w:left w:val="nil"/>
          <w:bottom w:val="nil"/>
          <w:right w:val="nil"/>
          <w:between w:val="nil"/>
        </w:pBdr>
        <w:tabs>
          <w:tab w:val="left" w:pos="426"/>
        </w:tabs>
        <w:spacing w:after="240"/>
        <w:ind w:left="567" w:right="616"/>
        <w:jc w:val="both"/>
        <w:rPr>
          <w:rFonts w:ascii="Palatino Linotype" w:eastAsia="Palatino Linotype" w:hAnsi="Palatino Linotype" w:cs="Palatino Linotype"/>
          <w:i/>
          <w:iCs/>
          <w:color w:val="000000"/>
        </w:rPr>
      </w:pPr>
      <w:r w:rsidRPr="004467F3">
        <w:rPr>
          <w:rFonts w:ascii="Palatino Linotype" w:eastAsia="Palatino Linotype" w:hAnsi="Palatino Linotype" w:cs="Palatino Linotype"/>
          <w:i/>
          <w:iCs/>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rsidR="00B2019C" w:rsidRPr="004467F3" w:rsidRDefault="00B2019C" w:rsidP="00B2019C">
      <w:pPr>
        <w:spacing w:line="360" w:lineRule="auto"/>
        <w:ind w:right="1"/>
        <w:jc w:val="both"/>
        <w:rPr>
          <w:rFonts w:ascii="Palatino Linotype" w:eastAsia="Palatino Linotype" w:hAnsi="Palatino Linotype" w:cs="Palatino Linotype"/>
        </w:rPr>
      </w:pPr>
    </w:p>
    <w:p w:rsidR="00B2019C" w:rsidRPr="004467F3" w:rsidRDefault="00B2019C" w:rsidP="00B2019C">
      <w:pPr>
        <w:numPr>
          <w:ilvl w:val="0"/>
          <w:numId w:val="2"/>
        </w:numPr>
        <w:spacing w:line="360" w:lineRule="auto"/>
        <w:ind w:left="0" w:right="1" w:firstLine="0"/>
        <w:jc w:val="both"/>
        <w:rPr>
          <w:rFonts w:ascii="Palatino Linotype" w:eastAsia="Palatino Linotype" w:hAnsi="Palatino Linotype" w:cs="Palatino Linotype"/>
        </w:rPr>
      </w:pPr>
      <w:r w:rsidRPr="004467F3">
        <w:rPr>
          <w:rFonts w:ascii="Palatino Linotype" w:eastAsia="Palatino Linotype" w:hAnsi="Palatino Linotype" w:cs="Palatino Linotype"/>
          <w:color w:val="000000"/>
        </w:rPr>
        <w:t xml:space="preserve">De lo expuesto y con relación a lo solicitado, se tiene que, la Unidad de Transparencia es la encargada de </w:t>
      </w:r>
      <w:r w:rsidRPr="004467F3">
        <w:rPr>
          <w:rFonts w:ascii="Palatino Linotype" w:eastAsia="Palatino Linotype" w:hAnsi="Palatino Linotype" w:cs="Palatino Linotype"/>
        </w:rPr>
        <w:t>recibir, tramitar y dar respuesta a las solicitudes de acceso a la información</w:t>
      </w:r>
      <w:r w:rsidRPr="004467F3">
        <w:rPr>
          <w:rFonts w:ascii="Palatino Linotype" w:eastAsia="Palatino Linotype" w:hAnsi="Palatino Linotype" w:cs="Palatino Linotype"/>
          <w:color w:val="000000"/>
        </w:rPr>
        <w:t>.</w:t>
      </w:r>
    </w:p>
    <w:p w:rsidR="00B2019C" w:rsidRPr="004467F3" w:rsidRDefault="00B2019C" w:rsidP="00B2019C">
      <w:pPr>
        <w:spacing w:line="360" w:lineRule="auto"/>
        <w:ind w:right="1"/>
        <w:jc w:val="both"/>
        <w:rPr>
          <w:rFonts w:ascii="Palatino Linotype" w:eastAsia="Palatino Linotype" w:hAnsi="Palatino Linotype" w:cs="Palatino Linotype"/>
        </w:rPr>
      </w:pPr>
    </w:p>
    <w:p w:rsidR="00B2019C" w:rsidRPr="004467F3" w:rsidRDefault="00B2019C" w:rsidP="00B2019C">
      <w:pPr>
        <w:pStyle w:val="Prrafodelista"/>
        <w:numPr>
          <w:ilvl w:val="0"/>
          <w:numId w:val="2"/>
        </w:numPr>
        <w:spacing w:line="360" w:lineRule="auto"/>
        <w:ind w:left="0" w:right="1" w:firstLine="0"/>
        <w:jc w:val="both"/>
        <w:rPr>
          <w:rFonts w:ascii="Palatino Linotype" w:eastAsia="Palatino Linotype" w:hAnsi="Palatino Linotype" w:cs="Palatino Linotype"/>
          <w:sz w:val="24"/>
        </w:rPr>
      </w:pPr>
      <w:r w:rsidRPr="004467F3">
        <w:rPr>
          <w:rFonts w:ascii="Palatino Linotype" w:eastAsia="Palatino Linotype" w:hAnsi="Palatino Linotype" w:cs="Palatino Linotype"/>
          <w:sz w:val="24"/>
        </w:rPr>
        <w:t xml:space="preserve">En este sentido, se reitera que existió un pronunciamiento por parte del </w:t>
      </w:r>
      <w:r w:rsidRPr="004467F3">
        <w:rPr>
          <w:rFonts w:ascii="Palatino Linotype" w:eastAsia="Palatino Linotype" w:hAnsi="Palatino Linotype" w:cs="Palatino Linotype"/>
          <w:b/>
          <w:bCs/>
          <w:sz w:val="24"/>
        </w:rPr>
        <w:t>SUJETO OBLIGADO</w:t>
      </w:r>
      <w:r w:rsidRPr="004467F3">
        <w:rPr>
          <w:rFonts w:ascii="Palatino Linotype" w:eastAsia="Palatino Linotype" w:hAnsi="Palatino Linotype" w:cs="Palatino Linotype"/>
          <w:sz w:val="24"/>
        </w:rPr>
        <w:t>, a través d</w:t>
      </w:r>
      <w:r w:rsidR="00C37522" w:rsidRPr="004467F3">
        <w:rPr>
          <w:rFonts w:ascii="Palatino Linotype" w:hAnsi="Palatino Linotype"/>
          <w:sz w:val="24"/>
        </w:rPr>
        <w:t xml:space="preserve">e </w:t>
      </w:r>
      <w:r w:rsidR="00C37522" w:rsidRPr="004467F3">
        <w:rPr>
          <w:rFonts w:ascii="Palatino Linotype" w:hAnsi="Palatino Linotype" w:cs="Arial"/>
          <w:bCs/>
          <w:sz w:val="24"/>
        </w:rPr>
        <w:t>la</w:t>
      </w:r>
      <w:r w:rsidR="00C37522" w:rsidRPr="004467F3">
        <w:rPr>
          <w:rFonts w:ascii="Palatino Linotype" w:hAnsi="Palatino Linotype" w:cs="Arial"/>
          <w:b/>
          <w:bCs/>
          <w:sz w:val="24"/>
        </w:rPr>
        <w:t xml:space="preserve"> Dirección de Administración de Personal.</w:t>
      </w:r>
    </w:p>
    <w:p w:rsidR="00B2019C" w:rsidRPr="004467F3" w:rsidRDefault="00B2019C" w:rsidP="00B2019C">
      <w:pPr>
        <w:spacing w:line="360" w:lineRule="auto"/>
        <w:ind w:right="1"/>
        <w:jc w:val="both"/>
        <w:rPr>
          <w:rFonts w:ascii="Palatino Linotype" w:eastAsia="Palatino Linotype" w:hAnsi="Palatino Linotype" w:cs="Palatino Linotype"/>
          <w:b/>
          <w:bCs/>
        </w:rPr>
      </w:pPr>
    </w:p>
    <w:p w:rsidR="00B2019C" w:rsidRPr="004467F3" w:rsidRDefault="00B2019C" w:rsidP="00B2019C">
      <w:pPr>
        <w:numPr>
          <w:ilvl w:val="0"/>
          <w:numId w:val="2"/>
        </w:numPr>
        <w:spacing w:line="360" w:lineRule="auto"/>
        <w:ind w:left="0" w:right="1" w:firstLine="0"/>
        <w:jc w:val="both"/>
        <w:rPr>
          <w:rFonts w:ascii="Palatino Linotype" w:eastAsia="Palatino Linotype" w:hAnsi="Palatino Linotype" w:cs="Palatino Linotype"/>
          <w:bCs/>
        </w:rPr>
      </w:pPr>
      <w:r w:rsidRPr="004467F3">
        <w:rPr>
          <w:rFonts w:ascii="Palatino Linotype" w:eastAsia="Palatino Linotype" w:hAnsi="Palatino Linotype" w:cs="Palatino Linotype"/>
          <w:bCs/>
        </w:rPr>
        <w:t xml:space="preserve">En </w:t>
      </w:r>
      <w:r w:rsidRPr="004467F3">
        <w:rPr>
          <w:rFonts w:ascii="Palatino Linotype" w:eastAsia="Palatino Linotype" w:hAnsi="Palatino Linotype" w:cs="Palatino Linotype"/>
        </w:rPr>
        <w:t>consecuencia,</w:t>
      </w:r>
      <w:r w:rsidRPr="004467F3">
        <w:rPr>
          <w:rFonts w:ascii="Palatino Linotype" w:eastAsia="Palatino Linotype" w:hAnsi="Palatino Linotype" w:cs="Palatino Linotype"/>
          <w:b/>
          <w:bCs/>
        </w:rPr>
        <w:t xml:space="preserve"> </w:t>
      </w:r>
      <w:r w:rsidRPr="004467F3">
        <w:rPr>
          <w:rFonts w:ascii="Palatino Linotype" w:eastAsia="Palatino Linotype" w:hAnsi="Palatino Linotype" w:cs="Palatino Linotype"/>
          <w:color w:val="000000"/>
        </w:rPr>
        <w:t xml:space="preserve">se presume que, </w:t>
      </w:r>
      <w:r w:rsidRPr="004467F3">
        <w:rPr>
          <w:rFonts w:ascii="Palatino Linotype" w:eastAsia="Palatino Linotype" w:hAnsi="Palatino Linotype" w:cs="Palatino Linotype"/>
          <w:b/>
          <w:bCs/>
        </w:rPr>
        <w:t>al haber existido un pronunciamiento por parte del SUJETO OBLIGADO y modificar la respuesta a través del informe justificado,</w:t>
      </w:r>
      <w:r w:rsidRPr="004467F3">
        <w:rPr>
          <w:rFonts w:ascii="Palatino Linotype" w:eastAsia="Palatino Linotype" w:hAnsi="Palatino Linotype" w:cs="Palatino Linotype"/>
        </w:rPr>
        <w:t xml:space="preserve"> </w:t>
      </w:r>
      <w:r w:rsidRPr="004467F3">
        <w:rPr>
          <w:rFonts w:ascii="Palatino Linotype" w:eastAsia="Palatino Linotype" w:hAnsi="Palatino Linotype" w:cs="Palatino Linotype"/>
          <w:b/>
          <w:bCs/>
        </w:rPr>
        <w:t>asimismo,</w:t>
      </w:r>
      <w:r w:rsidRPr="004467F3">
        <w:rPr>
          <w:rFonts w:ascii="Palatino Linotype" w:eastAsia="Palatino Linotype" w:hAnsi="Palatino Linotype" w:cs="Palatino Linotype"/>
        </w:rPr>
        <w:t xml:space="preserve"> </w:t>
      </w:r>
      <w:r w:rsidRPr="004467F3">
        <w:rPr>
          <w:rFonts w:ascii="Palatino Linotype" w:eastAsia="Palatino Linotype" w:hAnsi="Palatino Linotype" w:cs="Palatino Linotype"/>
          <w:b/>
          <w:bCs/>
        </w:rPr>
        <w:lastRenderedPageBreak/>
        <w:t>atender el requerimiento del Particular,</w:t>
      </w:r>
      <w:r w:rsidRPr="004467F3">
        <w:rPr>
          <w:rFonts w:ascii="Palatino Linotype" w:eastAsia="Palatino Linotype" w:hAnsi="Palatino Linotype" w:cs="Palatino Linotype"/>
        </w:rPr>
        <w:t xml:space="preserve"> este Instituto no está facultado para manifestarse sobre la veracidad, pues no existe precepto legal alguno en la Ley de la materia que lo faculte para que, vía recurso de revisión, pueda pronunciarse al respecto.</w:t>
      </w:r>
    </w:p>
    <w:p w:rsidR="00B2019C" w:rsidRPr="004467F3" w:rsidRDefault="00B2019C" w:rsidP="00B2019C">
      <w:pPr>
        <w:ind w:right="1"/>
        <w:rPr>
          <w:rFonts w:ascii="Palatino Linotype" w:eastAsia="Palatino Linotype" w:hAnsi="Palatino Linotype" w:cs="Palatino Linotype"/>
          <w:color w:val="000000"/>
        </w:rPr>
      </w:pPr>
    </w:p>
    <w:p w:rsidR="00B2019C" w:rsidRPr="004467F3" w:rsidRDefault="00B2019C" w:rsidP="00B2019C">
      <w:pPr>
        <w:pStyle w:val="Prrafodelista"/>
        <w:numPr>
          <w:ilvl w:val="0"/>
          <w:numId w:val="2"/>
        </w:numPr>
        <w:spacing w:line="360" w:lineRule="auto"/>
        <w:ind w:left="0" w:right="1" w:firstLine="0"/>
        <w:jc w:val="both"/>
        <w:rPr>
          <w:rFonts w:ascii="Palatino Linotype" w:eastAsia="Palatino Linotype" w:hAnsi="Palatino Linotype" w:cs="Palatino Linotype"/>
          <w:b/>
          <w:bCs/>
          <w:sz w:val="24"/>
        </w:rPr>
      </w:pPr>
      <w:r w:rsidRPr="004467F3">
        <w:rPr>
          <w:rFonts w:ascii="Palatino Linotype" w:eastAsia="Palatino Linotype" w:hAnsi="Palatino Linotype" w:cs="Palatino Linotype"/>
          <w:color w:val="000000"/>
          <w:sz w:val="24"/>
        </w:rPr>
        <w:t xml:space="preserve">Así, </w:t>
      </w:r>
      <w:r w:rsidRPr="004467F3">
        <w:rPr>
          <w:rFonts w:ascii="Palatino Linotype" w:eastAsia="Palatino Linotype" w:hAnsi="Palatino Linotype" w:cs="Palatino Linotype"/>
          <w:sz w:val="24"/>
        </w:rPr>
        <w:t xml:space="preserve">este Pleno advierte que el </w:t>
      </w:r>
      <w:r w:rsidRPr="004467F3">
        <w:rPr>
          <w:rFonts w:ascii="Palatino Linotype" w:eastAsia="Palatino Linotype" w:hAnsi="Palatino Linotype" w:cs="Palatino Linotype"/>
          <w:b/>
          <w:bCs/>
          <w:sz w:val="24"/>
        </w:rPr>
        <w:t>SUJETO OBLIGADO</w:t>
      </w:r>
      <w:r w:rsidRPr="004467F3">
        <w:rPr>
          <w:rFonts w:ascii="Palatino Linotype" w:eastAsia="Palatino Linotype" w:hAnsi="Palatino Linotype" w:cs="Palatino Linotype"/>
          <w:sz w:val="24"/>
        </w:rPr>
        <w:t xml:space="preserve"> </w:t>
      </w:r>
      <w:r w:rsidRPr="004467F3">
        <w:rPr>
          <w:rFonts w:ascii="Palatino Linotype" w:eastAsia="Palatino Linotype" w:hAnsi="Palatino Linotype" w:cs="Palatino Linotype"/>
          <w:b/>
          <w:bCs/>
          <w:sz w:val="24"/>
        </w:rPr>
        <w:t xml:space="preserve">modificó </w:t>
      </w:r>
      <w:r w:rsidRPr="004467F3">
        <w:rPr>
          <w:rFonts w:ascii="Palatino Linotype" w:eastAsia="Palatino Linotype" w:hAnsi="Palatino Linotype" w:cs="Palatino Linotype"/>
          <w:sz w:val="24"/>
        </w:rPr>
        <w:t>el acto que le dio origen al recurso de revisión, lo que trae como consecuencia que el mismo quede sin materia, actualizándose de este modo, la hipótesis jurídica contenida en la fracción III del artículo 192 de la Ley de Transparencia Local.</w:t>
      </w:r>
    </w:p>
    <w:p w:rsidR="00B2019C" w:rsidRPr="004467F3" w:rsidRDefault="00B2019C" w:rsidP="00B2019C">
      <w:pPr>
        <w:pStyle w:val="Prrafodelista"/>
        <w:spacing w:line="360" w:lineRule="auto"/>
        <w:ind w:left="0" w:right="1"/>
        <w:jc w:val="both"/>
        <w:rPr>
          <w:rFonts w:ascii="Palatino Linotype" w:eastAsia="Palatino Linotype" w:hAnsi="Palatino Linotype" w:cs="Palatino Linotype"/>
          <w:b/>
          <w:bCs/>
          <w:sz w:val="24"/>
        </w:rPr>
      </w:pPr>
    </w:p>
    <w:p w:rsidR="00B2019C" w:rsidRPr="004467F3" w:rsidRDefault="00B2019C" w:rsidP="00B2019C">
      <w:pPr>
        <w:numPr>
          <w:ilvl w:val="0"/>
          <w:numId w:val="2"/>
        </w:numPr>
        <w:spacing w:line="360" w:lineRule="auto"/>
        <w:ind w:left="0" w:right="1" w:firstLine="0"/>
        <w:jc w:val="both"/>
        <w:rPr>
          <w:rFonts w:ascii="Palatino Linotype" w:eastAsia="Palatino Linotype" w:hAnsi="Palatino Linotype" w:cs="Palatino Linotype"/>
          <w:b/>
          <w:bCs/>
        </w:rPr>
      </w:pPr>
      <w:r w:rsidRPr="004467F3">
        <w:rPr>
          <w:rFonts w:ascii="Palatino Linotype" w:eastAsia="Palatino Linotype" w:hAnsi="Palatino Linotype" w:cs="Palatino Linotype"/>
        </w:rPr>
        <w:t xml:space="preserve">Por lo tanto, bajo los principios de certeza, eficacia y objetividad, establecidos en el artículo 9 de la Ley de Transparencia y Acceso a la Información Pública del Estado de México y Municipios, y derivado de que la información requerida corresponde con atribuciones de un Sujeto Obligado distinto al que le fue presentada la solicitud, como ya fue establecido, se dejan a salvo los derechos de la parte </w:t>
      </w:r>
      <w:r w:rsidRPr="004467F3">
        <w:rPr>
          <w:rFonts w:ascii="Palatino Linotype" w:eastAsia="Palatino Linotype" w:hAnsi="Palatino Linotype" w:cs="Palatino Linotype"/>
          <w:b/>
          <w:bCs/>
        </w:rPr>
        <w:t>RECURRENTE</w:t>
      </w:r>
      <w:r w:rsidRPr="004467F3">
        <w:rPr>
          <w:rFonts w:ascii="Palatino Linotype" w:eastAsia="Palatino Linotype" w:hAnsi="Palatino Linotype" w:cs="Palatino Linotype"/>
        </w:rPr>
        <w:t xml:space="preserve"> para que pueda realizar la solicitud de información ante el Sujeto Obligado correspondiente.</w:t>
      </w:r>
    </w:p>
    <w:p w:rsidR="00B2019C" w:rsidRPr="004467F3" w:rsidRDefault="00B2019C" w:rsidP="00B2019C">
      <w:pPr>
        <w:spacing w:line="360" w:lineRule="auto"/>
        <w:ind w:right="1"/>
        <w:jc w:val="both"/>
        <w:rPr>
          <w:rFonts w:ascii="Palatino Linotype" w:eastAsia="Palatino Linotype" w:hAnsi="Palatino Linotype" w:cs="Palatino Linotype"/>
          <w:b/>
          <w:bCs/>
        </w:rPr>
      </w:pPr>
    </w:p>
    <w:p w:rsidR="00B2019C" w:rsidRPr="004467F3" w:rsidRDefault="00B2019C" w:rsidP="00B2019C">
      <w:pPr>
        <w:numPr>
          <w:ilvl w:val="0"/>
          <w:numId w:val="2"/>
        </w:numPr>
        <w:spacing w:line="360" w:lineRule="auto"/>
        <w:ind w:left="0" w:right="1" w:firstLine="0"/>
        <w:jc w:val="both"/>
        <w:rPr>
          <w:rFonts w:ascii="Palatino Linotype" w:eastAsia="Palatino Linotype" w:hAnsi="Palatino Linotype" w:cs="Palatino Linotype"/>
          <w:b/>
          <w:bCs/>
        </w:rPr>
      </w:pPr>
      <w:r w:rsidRPr="004467F3">
        <w:rPr>
          <w:rFonts w:ascii="Palatino Linotype" w:eastAsia="Palatino Linotype" w:hAnsi="Palatino Linotype" w:cs="Palatino Linotype"/>
          <w:color w:val="000000"/>
        </w:rPr>
        <w:t xml:space="preserve">Ahora bien, </w:t>
      </w:r>
      <w:r w:rsidRPr="004467F3">
        <w:rPr>
          <w:rFonts w:ascii="Palatino Linotype" w:eastAsia="Palatino Linotype" w:hAnsi="Palatino Linotype" w:cs="Palatino Linotype"/>
        </w:rPr>
        <w:t>el sistema de medios de impugnación en esta materia se centra en el análisis de los agravios o motivos de inconformidad, los que deben tener relación directa con el acto de autoridad que lo motiva. En consecuencia, los motivos de la inconformidad deben versar sobre la respuesta de información proporcionada por los Sujetos Obligados o la negativa de entrega de esta, derivada de la solicitud de información pública.</w:t>
      </w:r>
    </w:p>
    <w:p w:rsidR="00B2019C" w:rsidRPr="004467F3" w:rsidRDefault="00B2019C" w:rsidP="00B2019C">
      <w:pPr>
        <w:spacing w:line="360" w:lineRule="auto"/>
        <w:ind w:right="1"/>
        <w:jc w:val="both"/>
        <w:rPr>
          <w:rFonts w:ascii="Palatino Linotype" w:eastAsia="Palatino Linotype" w:hAnsi="Palatino Linotype" w:cs="Palatino Linotype"/>
          <w:b/>
          <w:bCs/>
        </w:rPr>
      </w:pPr>
    </w:p>
    <w:p w:rsidR="00B2019C" w:rsidRPr="004467F3" w:rsidRDefault="00B2019C" w:rsidP="00B2019C">
      <w:pPr>
        <w:numPr>
          <w:ilvl w:val="0"/>
          <w:numId w:val="2"/>
        </w:numPr>
        <w:spacing w:line="360" w:lineRule="auto"/>
        <w:ind w:left="0" w:right="1" w:firstLine="0"/>
        <w:jc w:val="both"/>
        <w:rPr>
          <w:rFonts w:ascii="Palatino Linotype" w:eastAsia="Palatino Linotype" w:hAnsi="Palatino Linotype" w:cs="Palatino Linotype"/>
          <w:b/>
          <w:bCs/>
        </w:rPr>
      </w:pPr>
      <w:r w:rsidRPr="004467F3">
        <w:rPr>
          <w:rFonts w:ascii="Palatino Linotype" w:eastAsia="Palatino Linotype" w:hAnsi="Palatino Linotype" w:cs="Palatino Linotype"/>
          <w:color w:val="000000"/>
        </w:rPr>
        <w:t xml:space="preserve">De </w:t>
      </w:r>
      <w:r w:rsidRPr="004467F3">
        <w:rPr>
          <w:rFonts w:ascii="Palatino Linotype" w:eastAsia="Palatino Linotype" w:hAnsi="Palatino Linotype" w:cs="Palatino Linotype"/>
        </w:rPr>
        <w:t xml:space="preserve">este modo, cuando el </w:t>
      </w:r>
      <w:r w:rsidRPr="004467F3">
        <w:rPr>
          <w:rFonts w:ascii="Palatino Linotype" w:eastAsia="Palatino Linotype" w:hAnsi="Palatino Linotype" w:cs="Palatino Linotype"/>
          <w:b/>
          <w:bCs/>
        </w:rPr>
        <w:t xml:space="preserve">SUJETO OBLIGADO, </w:t>
      </w:r>
      <w:r w:rsidRPr="004467F3">
        <w:rPr>
          <w:rFonts w:ascii="Palatino Linotype" w:eastAsia="Palatino Linotype" w:hAnsi="Palatino Linotype" w:cs="Palatino Linotype"/>
        </w:rPr>
        <w:t xml:space="preserve">antes de que se dicte resolución definitiva, entrega la información solicitada o completa la información que en un primer momento fue incompleta o no correspondió con lo solicitado; el recurso de revisión que al </w:t>
      </w:r>
      <w:r w:rsidRPr="004467F3">
        <w:rPr>
          <w:rFonts w:ascii="Palatino Linotype" w:eastAsia="Palatino Linotype" w:hAnsi="Palatino Linotype" w:cs="Palatino Linotype"/>
        </w:rPr>
        <w:lastRenderedPageBreak/>
        <w:t xml:space="preserve">efecto se haya interpuesto queda sin materia lo que imposibilita el estudio de fondo de la </w:t>
      </w:r>
      <w:r w:rsidRPr="004467F3">
        <w:rPr>
          <w:rFonts w:ascii="Palatino Linotype" w:eastAsia="Palatino Linotype" w:hAnsi="Palatino Linotype" w:cs="Palatino Linotype"/>
          <w:i/>
          <w:iCs/>
        </w:rPr>
        <w:t>litis</w:t>
      </w:r>
      <w:r w:rsidRPr="004467F3">
        <w:rPr>
          <w:rFonts w:ascii="Palatino Linotype" w:eastAsia="Palatino Linotype" w:hAnsi="Palatino Linotype" w:cs="Palatino Linotype"/>
        </w:rPr>
        <w:t xml:space="preserve"> planteada, debido a que la afectación en su esfera de derechos fue restituida por la propia autoridad que emitió el acto motivo de impugnación.</w:t>
      </w:r>
    </w:p>
    <w:p w:rsidR="00B2019C" w:rsidRPr="004467F3" w:rsidRDefault="00B2019C" w:rsidP="00B2019C">
      <w:pPr>
        <w:spacing w:line="360" w:lineRule="auto"/>
        <w:ind w:right="1"/>
        <w:jc w:val="both"/>
        <w:rPr>
          <w:rFonts w:ascii="Palatino Linotype" w:eastAsia="Palatino Linotype" w:hAnsi="Palatino Linotype" w:cs="Palatino Linotype"/>
          <w:b/>
          <w:bCs/>
        </w:rPr>
      </w:pPr>
    </w:p>
    <w:p w:rsidR="00B2019C" w:rsidRPr="004467F3" w:rsidRDefault="00B2019C" w:rsidP="00B2019C">
      <w:pPr>
        <w:numPr>
          <w:ilvl w:val="0"/>
          <w:numId w:val="2"/>
        </w:numPr>
        <w:spacing w:line="360" w:lineRule="auto"/>
        <w:ind w:left="0" w:right="1" w:firstLine="0"/>
        <w:jc w:val="both"/>
        <w:rPr>
          <w:rFonts w:ascii="Palatino Linotype" w:eastAsia="Palatino Linotype" w:hAnsi="Palatino Linotype" w:cs="Palatino Linotype"/>
          <w:b/>
          <w:bCs/>
        </w:rPr>
      </w:pPr>
      <w:r w:rsidRPr="004467F3">
        <w:rPr>
          <w:rFonts w:ascii="Palatino Linotype" w:eastAsia="Palatino Linotype" w:hAnsi="Palatino Linotype" w:cs="Palatino Linotype"/>
          <w:color w:val="000000"/>
        </w:rPr>
        <w:t xml:space="preserve">Sirve </w:t>
      </w:r>
      <w:r w:rsidRPr="004467F3">
        <w:rPr>
          <w:rFonts w:ascii="Palatino Linotype" w:eastAsia="Palatino Linotype" w:hAnsi="Palatino Linotype" w:cs="Palatino Linotype"/>
        </w:rPr>
        <w:t>de sustento a lo anterior la siguiente jurisprudencia por contradicción, cuyo rubro, texto y datos de identificación son los siguientes:</w:t>
      </w:r>
    </w:p>
    <w:p w:rsidR="00B2019C" w:rsidRPr="004467F3" w:rsidRDefault="00B2019C" w:rsidP="00B2019C">
      <w:pPr>
        <w:spacing w:line="360" w:lineRule="auto"/>
        <w:ind w:right="1"/>
        <w:jc w:val="both"/>
        <w:rPr>
          <w:rFonts w:ascii="Palatino Linotype" w:eastAsia="Palatino Linotype" w:hAnsi="Palatino Linotype" w:cs="Palatino Linotype"/>
          <w:color w:val="000000"/>
        </w:rPr>
      </w:pPr>
    </w:p>
    <w:p w:rsidR="00B2019C" w:rsidRPr="004467F3" w:rsidRDefault="00B2019C" w:rsidP="00B2019C">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4467F3">
        <w:rPr>
          <w:rFonts w:ascii="Palatino Linotype" w:eastAsia="Palatino Linotype" w:hAnsi="Palatino Linotype" w:cs="Palatino Linotype"/>
          <w:b/>
          <w:bCs/>
          <w:i/>
          <w:iCs/>
          <w:color w:val="000000"/>
        </w:rPr>
        <w:t>CESACIÓN DE EFECTOS DEL ACTO RECLAMADO POR VIOLACIÓN AL ARTÍCULO 8o. DE LA CONSTITUCIÓN POLÍTICA DE LOS ESTADOS UNIDOS MEXICANOS. OPERA CUANDO LA AUTORIDAD RESPONSABLE AL RENDIR SU INFORME JUSTIFICADO EXHIBE LA CONTESTACIÓN A LA PETICIÓN FORMULADA, QUEDANDO EXPEDITOS LOS DERECHOS DEL QUEJOSO PARA AMPLIAR SU DEMANDA INICIAL, PROMOVER OTRO JUICIO DE AMPARO O EL MEDIO ORDINARIO DE DEFENSA QUE PROCEDA.</w:t>
      </w:r>
      <w:r w:rsidRPr="004467F3">
        <w:rPr>
          <w:rFonts w:ascii="Palatino Linotype" w:eastAsia="Palatino Linotype" w:hAnsi="Palatino Linotype" w:cs="Palatino Linotype"/>
          <w:i/>
          <w:iCs/>
          <w:color w:val="000000"/>
        </w:rPr>
        <w:t xml:space="preserve"> De la interpretación de los artículos 73, fracción XVI y 80 de la Ley de Amparo, se concluye que la causa de improcedencia del juicio de garantías consistente en la cesación de efectos del acto reclamado, se actualiza cuando ante la insubsistencia del mismo, todos sus efectos desaparecen o se destruyen de forma inmediata, total e incondicionalmente, de manera que las cosas vuelvan al estado que tenían antes de la violación constitucional. Ahora bien, el hecho de que la autoridad responsable al rendir su informe justificado exhiba la respuesta expresa a la petición de la parte quejosa, producida durante la tramitación del juicio de amparo, significa, por una parte, que los efectos de la falta de contestación desaparecieron, de manera que las cosas volvieron al estado que tenían antes de la violación al artículo 8o. de la Constitución Política de los Estados Unidos Mexicanos, y por otra, que respecto del contenido de dicha contestación, el quejoso puede ampliar su demanda inicial, promover otro juicio de amparo o el medio ordinario de defensa que proceda, toda vez que se trata de un nuevo acto.</w:t>
      </w:r>
    </w:p>
    <w:p w:rsidR="00B2019C" w:rsidRPr="004467F3" w:rsidRDefault="00B2019C" w:rsidP="00B2019C">
      <w:pPr>
        <w:spacing w:line="360" w:lineRule="auto"/>
        <w:ind w:right="1"/>
        <w:jc w:val="both"/>
        <w:rPr>
          <w:rFonts w:ascii="Palatino Linotype" w:eastAsia="Palatino Linotype" w:hAnsi="Palatino Linotype" w:cs="Palatino Linotype"/>
          <w:b/>
          <w:bCs/>
        </w:rPr>
      </w:pPr>
    </w:p>
    <w:p w:rsidR="00B2019C" w:rsidRPr="004467F3" w:rsidRDefault="00B2019C" w:rsidP="00B2019C">
      <w:pPr>
        <w:numPr>
          <w:ilvl w:val="0"/>
          <w:numId w:val="2"/>
        </w:numPr>
        <w:spacing w:line="360" w:lineRule="auto"/>
        <w:ind w:left="0" w:right="1" w:firstLine="0"/>
        <w:jc w:val="both"/>
        <w:rPr>
          <w:rFonts w:ascii="Palatino Linotype" w:eastAsia="Palatino Linotype" w:hAnsi="Palatino Linotype" w:cs="Palatino Linotype"/>
          <w:b/>
          <w:bCs/>
        </w:rPr>
      </w:pPr>
      <w:r w:rsidRPr="004467F3">
        <w:rPr>
          <w:rFonts w:ascii="Palatino Linotype" w:eastAsia="Palatino Linotype" w:hAnsi="Palatino Linotype" w:cs="Palatino Linotype"/>
          <w:color w:val="000000"/>
        </w:rPr>
        <w:t xml:space="preserve">La </w:t>
      </w:r>
      <w:r w:rsidRPr="004467F3">
        <w:rPr>
          <w:rFonts w:ascii="Palatino Linotype" w:eastAsia="Palatino Linotype" w:hAnsi="Palatino Linotype" w:cs="Palatino Linotype"/>
        </w:rPr>
        <w:t>anterior jurisprudencia resulta aplicable al presente asunto, en dos aspectos:</w:t>
      </w:r>
    </w:p>
    <w:p w:rsidR="00B2019C" w:rsidRPr="004467F3" w:rsidRDefault="00B2019C" w:rsidP="00B2019C">
      <w:pPr>
        <w:numPr>
          <w:ilvl w:val="0"/>
          <w:numId w:val="18"/>
        </w:numPr>
        <w:ind w:left="567" w:right="616" w:firstLine="0"/>
        <w:jc w:val="both"/>
        <w:rPr>
          <w:rFonts w:ascii="Palatino Linotype" w:eastAsia="Palatino Linotype" w:hAnsi="Palatino Linotype" w:cs="Palatino Linotype"/>
        </w:rPr>
      </w:pPr>
      <w:r w:rsidRPr="004467F3">
        <w:rPr>
          <w:rFonts w:ascii="Palatino Linotype" w:eastAsia="Palatino Linotype" w:hAnsi="Palatino Linotype" w:cs="Palatino Linotype"/>
          <w:b/>
          <w:bCs/>
        </w:rPr>
        <w:t>La cesación de los efectos perniciosos del acto de autoridad:</w:t>
      </w:r>
      <w:r w:rsidRPr="004467F3">
        <w:rPr>
          <w:rFonts w:ascii="Palatino Linotype" w:eastAsia="Palatino Linotype" w:hAnsi="Palatino Linotype" w:cs="Palatino Linotype"/>
        </w:rPr>
        <w:t xml:space="preserve"> Al respecto, la Ley de Transparencia contempla la figura jurídica del sobreseimiento cuando el </w:t>
      </w:r>
      <w:r w:rsidRPr="004467F3">
        <w:rPr>
          <w:rFonts w:ascii="Palatino Linotype" w:eastAsia="Palatino Linotype" w:hAnsi="Palatino Linotype" w:cs="Palatino Linotype"/>
          <w:b/>
          <w:bCs/>
        </w:rPr>
        <w:t>SUJETO OBLIGADO</w:t>
      </w:r>
      <w:r w:rsidRPr="004467F3">
        <w:rPr>
          <w:rFonts w:ascii="Palatino Linotype" w:eastAsia="Palatino Linotype" w:hAnsi="Palatino Linotype" w:cs="Palatino Linotype"/>
        </w:rPr>
        <w:t xml:space="preserve"> de </w:t>
      </w:r>
      <w:r w:rsidRPr="004467F3">
        <w:rPr>
          <w:rFonts w:ascii="Palatino Linotype" w:eastAsia="Palatino Linotype" w:hAnsi="Palatino Linotype" w:cs="Palatino Linotype"/>
          <w:i/>
          <w:iCs/>
        </w:rPr>
        <w:t>motu proprio</w:t>
      </w:r>
      <w:r w:rsidRPr="004467F3">
        <w:rPr>
          <w:rFonts w:ascii="Palatino Linotype" w:eastAsia="Palatino Linotype" w:hAnsi="Palatino Linotype" w:cs="Palatino Linotype"/>
        </w:rPr>
        <w:t xml:space="preserve"> modifica o revoca de tal manera el acto </w:t>
      </w:r>
      <w:r w:rsidRPr="004467F3">
        <w:rPr>
          <w:rFonts w:ascii="Palatino Linotype" w:eastAsia="Palatino Linotype" w:hAnsi="Palatino Linotype" w:cs="Palatino Linotype"/>
        </w:rPr>
        <w:lastRenderedPageBreak/>
        <w:t>motivo de la impugnación que lo deja sin materia; es decir, cesan los efectos de éste y el derecho de acceso a la información pública se encuentra satisfecho.</w:t>
      </w:r>
    </w:p>
    <w:p w:rsidR="00B2019C" w:rsidRPr="004467F3" w:rsidRDefault="00B2019C" w:rsidP="00B2019C">
      <w:pPr>
        <w:ind w:left="567" w:right="616"/>
        <w:rPr>
          <w:rFonts w:ascii="Palatino Linotype" w:eastAsia="Palatino Linotype" w:hAnsi="Palatino Linotype" w:cs="Palatino Linotype"/>
        </w:rPr>
      </w:pPr>
    </w:p>
    <w:p w:rsidR="00B2019C" w:rsidRPr="004467F3" w:rsidRDefault="00B2019C" w:rsidP="00B2019C">
      <w:pPr>
        <w:numPr>
          <w:ilvl w:val="0"/>
          <w:numId w:val="18"/>
        </w:numPr>
        <w:ind w:left="567" w:right="616" w:firstLine="0"/>
        <w:jc w:val="both"/>
        <w:rPr>
          <w:rFonts w:ascii="Palatino Linotype" w:eastAsia="Palatino Linotype" w:hAnsi="Palatino Linotype" w:cs="Palatino Linotype"/>
        </w:rPr>
      </w:pPr>
      <w:r w:rsidRPr="004467F3">
        <w:rPr>
          <w:rFonts w:ascii="Palatino Linotype" w:eastAsia="Palatino Linotype" w:hAnsi="Palatino Linotype" w:cs="Palatino Linotype"/>
          <w:b/>
          <w:bCs/>
        </w:rPr>
        <w:t>El momento procesal para modificar el acto impugnado:</w:t>
      </w:r>
      <w:r w:rsidRPr="004467F3">
        <w:rPr>
          <w:rFonts w:ascii="Palatino Linotype" w:eastAsia="Palatino Linotype" w:hAnsi="Palatino Linotype" w:cs="Palatino Linotype"/>
        </w:rPr>
        <w:t xml:space="preserve"> Para que se actualice el sobreseimiento de un recurso de revisión, el </w:t>
      </w:r>
      <w:r w:rsidRPr="004467F3">
        <w:rPr>
          <w:rFonts w:ascii="Palatino Linotype" w:eastAsia="Palatino Linotype" w:hAnsi="Palatino Linotype" w:cs="Palatino Linotype"/>
          <w:b/>
          <w:bCs/>
        </w:rPr>
        <w:t>SUJETO OBLIGADO</w:t>
      </w:r>
      <w:r w:rsidRPr="004467F3">
        <w:rPr>
          <w:rFonts w:ascii="Palatino Linotype" w:eastAsia="Palatino Linotype" w:hAnsi="Palatino Linotype" w:cs="Palatino Linotype"/>
        </w:rPr>
        <w:t xml:space="preserve"> puede entregar o completar la información al momento de rendir su informe de justificación o </w:t>
      </w:r>
      <w:r w:rsidRPr="004467F3">
        <w:rPr>
          <w:rFonts w:ascii="Palatino Linotype" w:eastAsia="Palatino Linotype" w:hAnsi="Palatino Linotype" w:cs="Palatino Linotype"/>
          <w:b/>
          <w:bCs/>
          <w:u w:val="single"/>
        </w:rPr>
        <w:t>posteriormente</w:t>
      </w:r>
      <w:r w:rsidRPr="004467F3">
        <w:rPr>
          <w:rFonts w:ascii="Palatino Linotype" w:eastAsia="Palatino Linotype" w:hAnsi="Palatino Linotype" w:cs="Palatino Linotype"/>
        </w:rPr>
        <w:t xml:space="preserve"> a éste, siempre y cuando el Pleno del Instituto no haya dictado resolución definitiva.</w:t>
      </w:r>
    </w:p>
    <w:p w:rsidR="00B2019C" w:rsidRPr="004467F3" w:rsidRDefault="00B2019C" w:rsidP="00B2019C">
      <w:pPr>
        <w:spacing w:line="360" w:lineRule="auto"/>
        <w:ind w:right="1"/>
        <w:jc w:val="both"/>
        <w:rPr>
          <w:rFonts w:ascii="Palatino Linotype" w:eastAsia="Palatino Linotype" w:hAnsi="Palatino Linotype" w:cs="Palatino Linotype"/>
          <w:b/>
          <w:bCs/>
        </w:rPr>
      </w:pPr>
    </w:p>
    <w:p w:rsidR="00B2019C" w:rsidRPr="004467F3" w:rsidRDefault="00B2019C" w:rsidP="00B2019C">
      <w:pPr>
        <w:numPr>
          <w:ilvl w:val="0"/>
          <w:numId w:val="2"/>
        </w:numPr>
        <w:spacing w:line="360" w:lineRule="auto"/>
        <w:ind w:left="0" w:right="1" w:firstLine="0"/>
        <w:jc w:val="both"/>
        <w:rPr>
          <w:rFonts w:ascii="Palatino Linotype" w:eastAsia="Palatino Linotype" w:hAnsi="Palatino Linotype" w:cs="Palatino Linotype"/>
          <w:b/>
          <w:bCs/>
        </w:rPr>
      </w:pPr>
      <w:r w:rsidRPr="004467F3">
        <w:rPr>
          <w:rFonts w:ascii="Palatino Linotype" w:eastAsia="Palatino Linotype" w:hAnsi="Palatino Linotype" w:cs="Palatino Linotype"/>
          <w:color w:val="000000"/>
        </w:rPr>
        <w:t xml:space="preserve">Eduardo Pallares, </w:t>
      </w:r>
      <w:r w:rsidRPr="004467F3">
        <w:rPr>
          <w:rFonts w:ascii="Palatino Linotype" w:eastAsia="Palatino Linotype" w:hAnsi="Palatino Linotype" w:cs="Palatino Linotype"/>
        </w:rPr>
        <w:t xml:space="preserve">en su artículo </w:t>
      </w:r>
      <w:r w:rsidRPr="004467F3">
        <w:rPr>
          <w:rFonts w:ascii="Palatino Linotype" w:eastAsia="Palatino Linotype" w:hAnsi="Palatino Linotype" w:cs="Palatino Linotype"/>
          <w:i/>
          <w:iCs/>
        </w:rPr>
        <w:t>“La caducidad y el sobreseimiento en el amparo”</w:t>
      </w:r>
      <w:r w:rsidRPr="004467F3">
        <w:rPr>
          <w:rFonts w:ascii="Palatino Linotype" w:eastAsia="Palatino Linotype" w:hAnsi="Palatino Linotype" w:cs="Palatino Linotype"/>
        </w:rPr>
        <w:t xml:space="preserve">, cita la definición de Aguilera Paz, aduciendo que se </w:t>
      </w:r>
      <w:r w:rsidRPr="004467F3">
        <w:rPr>
          <w:rFonts w:ascii="Palatino Linotype" w:eastAsia="Palatino Linotype" w:hAnsi="Palatino Linotype" w:cs="Palatino Linotype"/>
          <w:i/>
          <w:iCs/>
        </w:rPr>
        <w:t>“...entiende por sobreseimiento en el tecnicismo forense, el hecho de cesar en el procedimiento o curso de la causa, por no existir méritos bastantes para entrar en un juicio o para entablar la contienda judicial que debe ser objeto del mismo...”</w:t>
      </w:r>
      <w:r w:rsidRPr="004467F3">
        <w:rPr>
          <w:rFonts w:ascii="Palatino Linotype" w:eastAsia="Palatino Linotype" w:hAnsi="Palatino Linotype" w:cs="Palatino Linotype"/>
        </w:rPr>
        <w:t>. Asimismo, señala que existe el sobreseimiento provisional y el definitivo</w:t>
      </w:r>
      <w:r w:rsidRPr="004467F3">
        <w:rPr>
          <w:rFonts w:ascii="Palatino Linotype" w:eastAsia="Palatino Linotype" w:hAnsi="Palatino Linotype" w:cs="Palatino Linotype"/>
          <w:i/>
          <w:iCs/>
        </w:rPr>
        <w:t>: “...el definitivo es una verdadera sentencia que pone fin al juicio, y que una vez dictada, produce cosa juzgada, mientras que el provisorio tiene por efectos suspender la prosecución de la causa...”</w:t>
      </w:r>
    </w:p>
    <w:p w:rsidR="00B2019C" w:rsidRPr="004467F3" w:rsidRDefault="00B2019C" w:rsidP="00B2019C">
      <w:pPr>
        <w:spacing w:line="360" w:lineRule="auto"/>
        <w:ind w:right="1"/>
        <w:jc w:val="both"/>
        <w:rPr>
          <w:rFonts w:ascii="Palatino Linotype" w:eastAsia="Palatino Linotype" w:hAnsi="Palatino Linotype" w:cs="Palatino Linotype"/>
          <w:b/>
          <w:bCs/>
        </w:rPr>
      </w:pPr>
    </w:p>
    <w:p w:rsidR="00B2019C" w:rsidRPr="004467F3" w:rsidRDefault="00B2019C" w:rsidP="00B2019C">
      <w:pPr>
        <w:numPr>
          <w:ilvl w:val="0"/>
          <w:numId w:val="2"/>
        </w:numPr>
        <w:spacing w:line="360" w:lineRule="auto"/>
        <w:ind w:left="0" w:right="1" w:firstLine="0"/>
        <w:jc w:val="both"/>
        <w:rPr>
          <w:rFonts w:ascii="Palatino Linotype" w:eastAsia="Palatino Linotype" w:hAnsi="Palatino Linotype" w:cs="Palatino Linotype"/>
          <w:b/>
          <w:bCs/>
        </w:rPr>
      </w:pPr>
      <w:r w:rsidRPr="004467F3">
        <w:rPr>
          <w:rFonts w:ascii="Palatino Linotype" w:eastAsia="Palatino Linotype" w:hAnsi="Palatino Linotype" w:cs="Palatino Linotype"/>
          <w:color w:val="000000"/>
        </w:rPr>
        <w:t xml:space="preserve">Así, </w:t>
      </w:r>
      <w:r w:rsidRPr="004467F3">
        <w:rPr>
          <w:rFonts w:ascii="Palatino Linotype" w:eastAsia="Palatino Linotype" w:hAnsi="Palatino Linotype" w:cs="Palatino Linotype"/>
        </w:rPr>
        <w:t xml:space="preserve">para la doctrina el sobreseimiento provoca que un procedimiento se suspenda o se resuelva en definitiva </w:t>
      </w:r>
      <w:r w:rsidRPr="004467F3">
        <w:rPr>
          <w:rFonts w:ascii="Palatino Linotype" w:eastAsia="Palatino Linotype" w:hAnsi="Palatino Linotype" w:cs="Palatino Linotype"/>
          <w:b/>
          <w:bCs/>
          <w:u w:val="single"/>
        </w:rPr>
        <w:t xml:space="preserve">sin que se entre al estudio de los agravios o motivos de inconformidad. </w:t>
      </w:r>
      <w:r w:rsidRPr="004467F3">
        <w:rPr>
          <w:rFonts w:ascii="Palatino Linotype" w:eastAsia="Palatino Linotype" w:hAnsi="Palatino Linotype" w:cs="Palatino Linotype"/>
        </w:rPr>
        <w:t>Este mismo criterio es compartido por el más alto tribunal del país en múltiples jurisprudencias, por lo que a continuación se agrega una de ellas que sirve como orientador en esta resolución:</w:t>
      </w:r>
    </w:p>
    <w:p w:rsidR="00B2019C" w:rsidRPr="004467F3" w:rsidRDefault="00B2019C" w:rsidP="00B2019C">
      <w:pPr>
        <w:spacing w:line="360" w:lineRule="auto"/>
        <w:ind w:right="1"/>
        <w:jc w:val="both"/>
        <w:rPr>
          <w:rFonts w:ascii="Palatino Linotype" w:eastAsia="Palatino Linotype" w:hAnsi="Palatino Linotype" w:cs="Palatino Linotype"/>
          <w:color w:val="000000"/>
        </w:rPr>
      </w:pPr>
    </w:p>
    <w:p w:rsidR="00B2019C" w:rsidRPr="004467F3" w:rsidRDefault="00B2019C" w:rsidP="00B2019C">
      <w:pPr>
        <w:ind w:left="567" w:right="565"/>
        <w:jc w:val="both"/>
        <w:rPr>
          <w:rFonts w:ascii="Palatino Linotype" w:eastAsia="Palatino Linotype" w:hAnsi="Palatino Linotype" w:cs="Palatino Linotype"/>
          <w:i/>
          <w:iCs/>
        </w:rPr>
      </w:pPr>
      <w:r w:rsidRPr="004467F3">
        <w:rPr>
          <w:rFonts w:ascii="Palatino Linotype" w:eastAsia="Palatino Linotype" w:hAnsi="Palatino Linotype" w:cs="Palatino Linotype"/>
          <w:b/>
          <w:bCs/>
          <w:i/>
          <w:iCs/>
        </w:rPr>
        <w:t>SOBRESEIMIENTO EN EL JUICIO DE AMPARO DIRECTO. IMPIDE EL ESTUDIO DE LAS VIOLACIONES PROCESALES PLANTEADAS EN LOS CONCEPTOS DE VIOLACIÓN. El sobreseimiento</w:t>
      </w:r>
      <w:r w:rsidRPr="004467F3">
        <w:rPr>
          <w:rFonts w:ascii="Palatino Linotype" w:eastAsia="Palatino Linotype" w:hAnsi="Palatino Linotype" w:cs="Palatino Linotype"/>
          <w:i/>
          <w:iCs/>
        </w:rPr>
        <w:t xml:space="preserve"> en el juicio de amparo directo </w:t>
      </w:r>
      <w:r w:rsidRPr="004467F3">
        <w:rPr>
          <w:rFonts w:ascii="Palatino Linotype" w:eastAsia="Palatino Linotype" w:hAnsi="Palatino Linotype" w:cs="Palatino Linotype"/>
          <w:b/>
          <w:bCs/>
          <w:i/>
          <w:iCs/>
        </w:rPr>
        <w:t>provoca la terminación de la controversia planteada</w:t>
      </w:r>
      <w:r w:rsidRPr="004467F3">
        <w:rPr>
          <w:rFonts w:ascii="Palatino Linotype" w:eastAsia="Palatino Linotype" w:hAnsi="Palatino Linotype" w:cs="Palatino Linotype"/>
          <w:i/>
          <w:iCs/>
        </w:rPr>
        <w:t xml:space="preserve"> por el quejoso en la demanda de amparo</w:t>
      </w:r>
      <w:r w:rsidRPr="004467F3">
        <w:rPr>
          <w:rFonts w:ascii="Palatino Linotype" w:eastAsia="Palatino Linotype" w:hAnsi="Palatino Linotype" w:cs="Palatino Linotype"/>
          <w:b/>
          <w:bCs/>
          <w:i/>
          <w:iCs/>
        </w:rPr>
        <w:t>, sin hacer un pronunciamiento de fondo sobre la legalidad o ilegalidad de la sentencia reclamada</w:t>
      </w:r>
      <w:r w:rsidRPr="004467F3">
        <w:rPr>
          <w:rFonts w:ascii="Palatino Linotype" w:eastAsia="Palatino Linotype" w:hAnsi="Palatino Linotype" w:cs="Palatino Linotype"/>
          <w:i/>
          <w:iCs/>
        </w:rPr>
        <w:t xml:space="preserve">. </w:t>
      </w:r>
      <w:r w:rsidRPr="004467F3">
        <w:rPr>
          <w:rFonts w:ascii="Palatino Linotype" w:eastAsia="Palatino Linotype" w:hAnsi="Palatino Linotype" w:cs="Palatino Linotype"/>
          <w:b/>
          <w:bCs/>
          <w:i/>
          <w:iCs/>
        </w:rPr>
        <w:t xml:space="preserve">Por consiguiente, si al sobreseerse en el juicio de amparo no </w:t>
      </w:r>
      <w:r w:rsidRPr="004467F3">
        <w:rPr>
          <w:rFonts w:ascii="Palatino Linotype" w:eastAsia="Palatino Linotype" w:hAnsi="Palatino Linotype" w:cs="Palatino Linotype"/>
          <w:b/>
          <w:bCs/>
          <w:i/>
          <w:iCs/>
        </w:rPr>
        <w:lastRenderedPageBreak/>
        <w:t>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w:t>
      </w:r>
      <w:r w:rsidRPr="004467F3">
        <w:rPr>
          <w:rFonts w:ascii="Palatino Linotype" w:eastAsia="Palatino Linotype" w:hAnsi="Palatino Linotype" w:cs="Palatino Linotype"/>
          <w:i/>
          <w:iCs/>
        </w:rPr>
        <w:t>.</w:t>
      </w:r>
    </w:p>
    <w:p w:rsidR="00B2019C" w:rsidRPr="004467F3" w:rsidRDefault="00B2019C" w:rsidP="00B2019C">
      <w:pPr>
        <w:spacing w:line="360" w:lineRule="auto"/>
        <w:ind w:right="1"/>
        <w:jc w:val="both"/>
        <w:rPr>
          <w:rFonts w:ascii="Palatino Linotype" w:eastAsia="Palatino Linotype" w:hAnsi="Palatino Linotype" w:cs="Palatino Linotype"/>
          <w:b/>
          <w:bCs/>
        </w:rPr>
      </w:pPr>
    </w:p>
    <w:p w:rsidR="002739FA" w:rsidRPr="004467F3" w:rsidRDefault="00B2019C" w:rsidP="002739FA">
      <w:pPr>
        <w:numPr>
          <w:ilvl w:val="0"/>
          <w:numId w:val="2"/>
        </w:numPr>
        <w:spacing w:line="360" w:lineRule="auto"/>
        <w:ind w:left="0" w:right="1" w:firstLine="0"/>
        <w:jc w:val="both"/>
        <w:rPr>
          <w:rFonts w:ascii="Palatino Linotype" w:eastAsia="Palatino Linotype" w:hAnsi="Palatino Linotype" w:cs="Palatino Linotype"/>
          <w:b/>
          <w:bCs/>
        </w:rPr>
      </w:pPr>
      <w:r w:rsidRPr="004467F3">
        <w:rPr>
          <w:rFonts w:ascii="Palatino Linotype" w:eastAsia="Palatino Linotype" w:hAnsi="Palatino Linotype" w:cs="Palatino Linotype"/>
          <w:color w:val="000000"/>
        </w:rPr>
        <w:t xml:space="preserve">Consecuentemente, </w:t>
      </w:r>
      <w:r w:rsidRPr="004467F3">
        <w:rPr>
          <w:rFonts w:ascii="Palatino Linotype" w:eastAsia="Palatino Linotype" w:hAnsi="Palatino Linotype" w:cs="Palatino Linotype"/>
        </w:rPr>
        <w:t>por lo que hace a los motivos de inconformidad, los mismos devienen inatendibles por actualizarse la figura del sobreseimiento, misma que impide el estudio de los agravios planteados, máxime que se ha dado cumplimiento al derecho de acceso a la información.</w:t>
      </w:r>
    </w:p>
    <w:p w:rsidR="00C37522" w:rsidRPr="004467F3" w:rsidRDefault="00C37522" w:rsidP="00C37522">
      <w:pPr>
        <w:spacing w:line="360" w:lineRule="auto"/>
        <w:ind w:right="1"/>
        <w:jc w:val="both"/>
        <w:rPr>
          <w:rFonts w:ascii="Palatino Linotype" w:eastAsia="Palatino Linotype" w:hAnsi="Palatino Linotype" w:cs="Palatino Linotype"/>
          <w:b/>
          <w:bCs/>
        </w:rPr>
      </w:pPr>
    </w:p>
    <w:p w:rsidR="00B2019C" w:rsidRPr="004467F3" w:rsidRDefault="00B2019C" w:rsidP="00B2019C">
      <w:pPr>
        <w:numPr>
          <w:ilvl w:val="0"/>
          <w:numId w:val="2"/>
        </w:numPr>
        <w:spacing w:line="360" w:lineRule="auto"/>
        <w:ind w:left="0" w:right="1" w:firstLine="0"/>
        <w:jc w:val="both"/>
        <w:rPr>
          <w:rFonts w:ascii="Palatino Linotype" w:eastAsia="Palatino Linotype" w:hAnsi="Palatino Linotype" w:cs="Palatino Linotype"/>
          <w:b/>
          <w:bCs/>
        </w:rPr>
      </w:pPr>
      <w:r w:rsidRPr="004467F3">
        <w:rPr>
          <w:rFonts w:ascii="Palatino Linotype" w:eastAsia="Palatino Linotype" w:hAnsi="Palatino Linotype" w:cs="Palatino Linotype"/>
          <w:color w:val="000000"/>
        </w:rPr>
        <w:t xml:space="preserve">Bajo </w:t>
      </w:r>
      <w:r w:rsidRPr="004467F3">
        <w:rPr>
          <w:rFonts w:ascii="Palatino Linotype" w:eastAsia="Palatino Linotype" w:hAnsi="Palatino Linotype" w:cs="Palatino Linotype"/>
        </w:rPr>
        <w:t xml:space="preserve">ese tenor y en términos del artículo 186 fracción I este Pleno determina el </w:t>
      </w:r>
      <w:r w:rsidRPr="004467F3">
        <w:rPr>
          <w:rFonts w:ascii="Palatino Linotype" w:eastAsia="Palatino Linotype" w:hAnsi="Palatino Linotype" w:cs="Palatino Linotype"/>
          <w:b/>
          <w:bCs/>
        </w:rPr>
        <w:t xml:space="preserve">SOBRESEIMIENTO </w:t>
      </w:r>
      <w:r w:rsidRPr="004467F3">
        <w:rPr>
          <w:rFonts w:ascii="Palatino Linotype" w:eastAsia="Palatino Linotype" w:hAnsi="Palatino Linotype" w:cs="Palatino Linotype"/>
        </w:rPr>
        <w:t>del presente recurso de revisión, toda vez que la afectación al derecho de acceso a la información pública establecido constitucionalmente a favor del Particular ha sido resarcida.</w:t>
      </w:r>
    </w:p>
    <w:p w:rsidR="00836197" w:rsidRPr="004467F3" w:rsidRDefault="00836197" w:rsidP="00836197">
      <w:pPr>
        <w:spacing w:line="360" w:lineRule="auto"/>
        <w:ind w:right="1"/>
        <w:jc w:val="both"/>
        <w:rPr>
          <w:rFonts w:ascii="Palatino Linotype" w:eastAsia="Palatino Linotype" w:hAnsi="Palatino Linotype" w:cs="Palatino Linotype"/>
          <w:b/>
          <w:bCs/>
        </w:rPr>
      </w:pPr>
    </w:p>
    <w:p w:rsidR="00C37522" w:rsidRPr="004467F3" w:rsidRDefault="00697FC3" w:rsidP="00C37522">
      <w:pPr>
        <w:numPr>
          <w:ilvl w:val="0"/>
          <w:numId w:val="2"/>
        </w:numPr>
        <w:pBdr>
          <w:top w:val="nil"/>
          <w:left w:val="nil"/>
          <w:bottom w:val="nil"/>
          <w:right w:val="nil"/>
          <w:between w:val="nil"/>
        </w:pBdr>
        <w:spacing w:before="120" w:line="360" w:lineRule="auto"/>
        <w:ind w:left="0" w:firstLine="0"/>
        <w:jc w:val="both"/>
        <w:rPr>
          <w:rFonts w:ascii="Palatino Linotype" w:eastAsia="Palatino Linotype" w:hAnsi="Palatino Linotype" w:cs="Palatino Linotype"/>
          <w:color w:val="000000"/>
        </w:rPr>
      </w:pPr>
      <w:r w:rsidRPr="004467F3">
        <w:rPr>
          <w:rFonts w:ascii="Palatino Linotype" w:eastAsia="Palatino Linotype" w:hAnsi="Palatino Linotype" w:cs="Palatino Linotype"/>
          <w:color w:val="222222"/>
        </w:rPr>
        <w:t xml:space="preserve">Por lo anteriormente expuesto y fundado, este </w:t>
      </w:r>
      <w:r w:rsidRPr="004467F3">
        <w:rPr>
          <w:rFonts w:ascii="Palatino Linotype" w:eastAsia="Palatino Linotype" w:hAnsi="Palatino Linotype" w:cs="Palatino Linotype"/>
          <w:b/>
          <w:bCs/>
          <w:color w:val="222222"/>
        </w:rPr>
        <w:t>ÓRGANO GARANTE</w:t>
      </w:r>
      <w:r w:rsidRPr="004467F3">
        <w:rPr>
          <w:rFonts w:ascii="Palatino Linotype" w:eastAsia="Palatino Linotype" w:hAnsi="Palatino Linotype" w:cs="Palatino Linotype"/>
          <w:color w:val="222222"/>
        </w:rPr>
        <w:t xml:space="preserve"> emite los siguientes:</w:t>
      </w:r>
    </w:p>
    <w:p w:rsidR="003B25EF" w:rsidRPr="004467F3" w:rsidRDefault="002367BD" w:rsidP="00697FC3">
      <w:pPr>
        <w:keepNext/>
        <w:keepLines/>
        <w:spacing w:line="360" w:lineRule="auto"/>
        <w:ind w:right="-592"/>
        <w:jc w:val="center"/>
        <w:rPr>
          <w:rFonts w:ascii="Palatino Linotype" w:eastAsia="Palatino Linotype" w:hAnsi="Palatino Linotype" w:cs="Palatino Linotype"/>
          <w:b/>
          <w:bCs/>
          <w:color w:val="000000"/>
        </w:rPr>
      </w:pPr>
      <w:bookmarkStart w:id="11" w:name="_heading=h.2iiaupqekx5t" w:colFirst="0" w:colLast="0"/>
      <w:bookmarkEnd w:id="11"/>
      <w:r w:rsidRPr="004467F3">
        <w:rPr>
          <w:rFonts w:ascii="Palatino Linotype" w:eastAsia="Palatino Linotype" w:hAnsi="Palatino Linotype" w:cs="Palatino Linotype"/>
          <w:b/>
          <w:bCs/>
          <w:color w:val="000000"/>
        </w:rPr>
        <w:t>R E S O L U T I V O S</w:t>
      </w:r>
      <w:bookmarkStart w:id="12" w:name="_heading=h.8tgq9am2xy6v" w:colFirst="0" w:colLast="0"/>
      <w:bookmarkEnd w:id="12"/>
    </w:p>
    <w:p w:rsidR="00697FC3" w:rsidRPr="004467F3" w:rsidRDefault="00697FC3" w:rsidP="00697FC3">
      <w:pPr>
        <w:keepNext/>
        <w:keepLines/>
        <w:spacing w:line="360" w:lineRule="auto"/>
        <w:ind w:right="-592"/>
        <w:jc w:val="center"/>
        <w:rPr>
          <w:rFonts w:ascii="Palatino Linotype" w:eastAsia="Palatino Linotype" w:hAnsi="Palatino Linotype" w:cs="Palatino Linotype"/>
          <w:b/>
          <w:bCs/>
          <w:color w:val="000000"/>
        </w:rPr>
      </w:pPr>
    </w:p>
    <w:p w:rsidR="00B2019C" w:rsidRPr="004467F3" w:rsidRDefault="00D11CD8" w:rsidP="00B2019C">
      <w:pPr>
        <w:spacing w:line="360" w:lineRule="auto"/>
        <w:jc w:val="both"/>
        <w:rPr>
          <w:rFonts w:ascii="Palatino Linotype" w:eastAsia="Palatino Linotype" w:hAnsi="Palatino Linotype" w:cs="Palatino Linotype"/>
          <w:b/>
          <w:bCs/>
        </w:rPr>
      </w:pPr>
      <w:r w:rsidRPr="004467F3">
        <w:rPr>
          <w:rFonts w:ascii="Palatino Linotype" w:eastAsia="Palatino Linotype" w:hAnsi="Palatino Linotype" w:cs="Palatino Linotype"/>
          <w:b/>
        </w:rPr>
        <w:t>PRIMERO.</w:t>
      </w:r>
      <w:r w:rsidRPr="004467F3">
        <w:rPr>
          <w:rFonts w:ascii="Palatino Linotype" w:eastAsia="Palatino Linotype" w:hAnsi="Palatino Linotype" w:cs="Palatino Linotype"/>
        </w:rPr>
        <w:t xml:space="preserve"> </w:t>
      </w:r>
      <w:r w:rsidR="00B2019C" w:rsidRPr="004467F3">
        <w:rPr>
          <w:rFonts w:ascii="Palatino Linotype" w:eastAsia="Palatino Linotype" w:hAnsi="Palatino Linotype" w:cs="Palatino Linotype"/>
        </w:rPr>
        <w:t xml:space="preserve">Se </w:t>
      </w:r>
      <w:r w:rsidR="00B2019C" w:rsidRPr="004467F3">
        <w:rPr>
          <w:rFonts w:ascii="Palatino Linotype" w:eastAsia="Palatino Linotype" w:hAnsi="Palatino Linotype" w:cs="Palatino Linotype"/>
          <w:b/>
          <w:bCs/>
        </w:rPr>
        <w:t>SOBRESEE</w:t>
      </w:r>
      <w:r w:rsidR="00B2019C" w:rsidRPr="004467F3">
        <w:rPr>
          <w:rFonts w:ascii="Palatino Linotype" w:eastAsia="Palatino Linotype" w:hAnsi="Palatino Linotype" w:cs="Palatino Linotype"/>
        </w:rPr>
        <w:t xml:space="preserve"> el recurso de revisión número </w:t>
      </w:r>
      <w:r w:rsidR="00C37522" w:rsidRPr="004467F3">
        <w:rPr>
          <w:rFonts w:ascii="Palatino Linotype" w:eastAsia="Palatino Linotype" w:hAnsi="Palatino Linotype" w:cs="Palatino Linotype"/>
          <w:b/>
          <w:bCs/>
        </w:rPr>
        <w:t>01658</w:t>
      </w:r>
      <w:r w:rsidR="001E76AD" w:rsidRPr="004467F3">
        <w:rPr>
          <w:rFonts w:ascii="Palatino Linotype" w:eastAsia="Palatino Linotype" w:hAnsi="Palatino Linotype" w:cs="Palatino Linotype"/>
          <w:b/>
          <w:bCs/>
        </w:rPr>
        <w:t>/INFOEM/IP/RR/2026</w:t>
      </w:r>
      <w:r w:rsidR="00B2019C" w:rsidRPr="004467F3">
        <w:rPr>
          <w:rFonts w:ascii="Palatino Linotype" w:eastAsia="Palatino Linotype" w:hAnsi="Palatino Linotype" w:cs="Palatino Linotype"/>
          <w:b/>
          <w:bCs/>
        </w:rPr>
        <w:t xml:space="preserve"> </w:t>
      </w:r>
      <w:r w:rsidR="00B2019C" w:rsidRPr="004467F3">
        <w:rPr>
          <w:rFonts w:ascii="Palatino Linotype" w:eastAsia="Palatino Linotype" w:hAnsi="Palatino Linotype" w:cs="Palatino Linotype"/>
        </w:rPr>
        <w:t>conforme al artículo 192 fracción III</w:t>
      </w:r>
      <w:r w:rsidRPr="004467F3">
        <w:rPr>
          <w:rFonts w:ascii="Palatino Linotype" w:eastAsia="Palatino Linotype" w:hAnsi="Palatino Linotype" w:cs="Palatino Linotype"/>
        </w:rPr>
        <w:t>,</w:t>
      </w:r>
      <w:r w:rsidR="00B2019C" w:rsidRPr="004467F3">
        <w:rPr>
          <w:rFonts w:ascii="Palatino Linotype" w:eastAsia="Palatino Linotype" w:hAnsi="Palatino Linotype" w:cs="Palatino Linotype"/>
        </w:rPr>
        <w:t xml:space="preserve"> de la Ley de Transparencia y Acceso a la Información Pública del Estado de México y Municipios, porque al </w:t>
      </w:r>
      <w:r w:rsidR="00B2019C" w:rsidRPr="004467F3">
        <w:rPr>
          <w:rFonts w:ascii="Palatino Linotype" w:eastAsia="Palatino Linotype" w:hAnsi="Palatino Linotype" w:cs="Palatino Linotype"/>
          <w:b/>
          <w:bCs/>
        </w:rPr>
        <w:t>modificar la respuesta a través del informe justificado y atender lo solicitado</w:t>
      </w:r>
      <w:r w:rsidR="00B2019C" w:rsidRPr="004467F3">
        <w:rPr>
          <w:rFonts w:ascii="Palatino Linotype" w:eastAsia="Palatino Linotype" w:hAnsi="Palatino Linotype" w:cs="Palatino Linotype"/>
        </w:rPr>
        <w:t xml:space="preserve">, el recurso de revisión quedó sin materia en términos del Considerando </w:t>
      </w:r>
      <w:r w:rsidR="00B2019C" w:rsidRPr="004467F3">
        <w:rPr>
          <w:rFonts w:ascii="Palatino Linotype" w:eastAsia="Palatino Linotype" w:hAnsi="Palatino Linotype" w:cs="Palatino Linotype"/>
          <w:b/>
          <w:bCs/>
        </w:rPr>
        <w:t>TERCERO</w:t>
      </w:r>
      <w:r w:rsidR="00B2019C" w:rsidRPr="004467F3">
        <w:rPr>
          <w:rFonts w:ascii="Palatino Linotype" w:eastAsia="Palatino Linotype" w:hAnsi="Palatino Linotype" w:cs="Palatino Linotype"/>
        </w:rPr>
        <w:t xml:space="preserve"> de la presente resolución.</w:t>
      </w:r>
    </w:p>
    <w:p w:rsidR="00B2019C" w:rsidRPr="004467F3" w:rsidRDefault="00B2019C" w:rsidP="00B2019C">
      <w:pPr>
        <w:jc w:val="both"/>
        <w:rPr>
          <w:rFonts w:ascii="Palatino Linotype" w:eastAsia="Palatino Linotype" w:hAnsi="Palatino Linotype" w:cs="Palatino Linotype"/>
          <w:b/>
          <w:bCs/>
        </w:rPr>
      </w:pPr>
    </w:p>
    <w:p w:rsidR="00B2019C" w:rsidRPr="004467F3" w:rsidRDefault="00D11CD8" w:rsidP="00B2019C">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4467F3">
        <w:rPr>
          <w:rFonts w:ascii="Palatino Linotype" w:eastAsia="Palatino Linotype" w:hAnsi="Palatino Linotype" w:cs="Palatino Linotype"/>
          <w:b/>
          <w:bCs/>
          <w:color w:val="000000"/>
        </w:rPr>
        <w:lastRenderedPageBreak/>
        <w:t>SEGUNDO. Notifíquese</w:t>
      </w:r>
      <w:r w:rsidR="00B2019C" w:rsidRPr="004467F3">
        <w:rPr>
          <w:rFonts w:ascii="Palatino Linotype" w:eastAsia="Palatino Linotype" w:hAnsi="Palatino Linotype" w:cs="Palatino Linotype"/>
          <w:b/>
          <w:bCs/>
          <w:color w:val="000000"/>
        </w:rPr>
        <w:t xml:space="preserve"> </w:t>
      </w:r>
      <w:r w:rsidR="00B2019C" w:rsidRPr="004467F3">
        <w:rPr>
          <w:rFonts w:ascii="Palatino Linotype" w:eastAsia="Palatino Linotype" w:hAnsi="Palatino Linotype" w:cs="Palatino Linotype"/>
          <w:color w:val="000000"/>
        </w:rPr>
        <w:t xml:space="preserve">a través del Sistema de Acceso a la Información Mexiquense </w:t>
      </w:r>
      <w:r w:rsidR="00B2019C" w:rsidRPr="004467F3">
        <w:rPr>
          <w:rFonts w:ascii="Palatino Linotype" w:eastAsia="Palatino Linotype" w:hAnsi="Palatino Linotype" w:cs="Palatino Linotype"/>
          <w:b/>
          <w:bCs/>
          <w:color w:val="000000"/>
        </w:rPr>
        <w:t xml:space="preserve">(SAIMEX) </w:t>
      </w:r>
      <w:r w:rsidR="00B2019C" w:rsidRPr="004467F3">
        <w:rPr>
          <w:rFonts w:ascii="Palatino Linotype" w:eastAsia="Palatino Linotype" w:hAnsi="Palatino Linotype" w:cs="Palatino Linotype"/>
          <w:color w:val="000000"/>
        </w:rPr>
        <w:t>la presente resolución al Titular de la Unidad de Transparencia del</w:t>
      </w:r>
      <w:r w:rsidR="00B2019C" w:rsidRPr="004467F3">
        <w:rPr>
          <w:rFonts w:ascii="Palatino Linotype" w:eastAsia="Palatino Linotype" w:hAnsi="Palatino Linotype" w:cs="Palatino Linotype"/>
          <w:b/>
          <w:bCs/>
          <w:color w:val="000000"/>
        </w:rPr>
        <w:t xml:space="preserve"> SUJETO OBLIGADO.</w:t>
      </w:r>
    </w:p>
    <w:p w:rsidR="00B2019C" w:rsidRPr="004467F3" w:rsidRDefault="00B2019C" w:rsidP="00B2019C">
      <w:pPr>
        <w:pBdr>
          <w:top w:val="nil"/>
          <w:left w:val="nil"/>
          <w:bottom w:val="nil"/>
          <w:right w:val="nil"/>
          <w:between w:val="nil"/>
        </w:pBdr>
        <w:jc w:val="both"/>
        <w:rPr>
          <w:rFonts w:ascii="Palatino Linotype" w:eastAsia="Palatino Linotype" w:hAnsi="Palatino Linotype" w:cs="Palatino Linotype"/>
          <w:color w:val="000000"/>
        </w:rPr>
      </w:pPr>
    </w:p>
    <w:p w:rsidR="00B2019C" w:rsidRPr="004467F3" w:rsidRDefault="00B2019C" w:rsidP="00B2019C">
      <w:pPr>
        <w:tabs>
          <w:tab w:val="left" w:pos="8080"/>
        </w:tabs>
        <w:spacing w:line="360" w:lineRule="auto"/>
        <w:ind w:right="49"/>
        <w:jc w:val="both"/>
        <w:rPr>
          <w:rFonts w:ascii="Palatino Linotype" w:eastAsia="Palatino Linotype" w:hAnsi="Palatino Linotype" w:cs="Palatino Linotype"/>
          <w:b/>
          <w:bCs/>
        </w:rPr>
      </w:pPr>
      <w:r w:rsidRPr="004467F3">
        <w:rPr>
          <w:rFonts w:ascii="Palatino Linotype" w:eastAsia="Palatino Linotype" w:hAnsi="Palatino Linotype" w:cs="Palatino Linotype"/>
          <w:b/>
          <w:bCs/>
        </w:rPr>
        <w:t xml:space="preserve">TERCERO. Notifíquese </w:t>
      </w:r>
      <w:r w:rsidRPr="004467F3">
        <w:rPr>
          <w:rFonts w:ascii="Palatino Linotype" w:eastAsia="Palatino Linotype" w:hAnsi="Palatino Linotype" w:cs="Palatino Linotype"/>
        </w:rPr>
        <w:t>a</w:t>
      </w:r>
      <w:r w:rsidRPr="004467F3">
        <w:rPr>
          <w:rFonts w:ascii="Palatino Linotype" w:eastAsia="Palatino Linotype" w:hAnsi="Palatino Linotype" w:cs="Palatino Linotype"/>
          <w:b/>
          <w:bCs/>
        </w:rPr>
        <w:t xml:space="preserve"> </w:t>
      </w:r>
      <w:r w:rsidRPr="004467F3">
        <w:rPr>
          <w:rFonts w:ascii="Palatino Linotype" w:eastAsia="Palatino Linotype" w:hAnsi="Palatino Linotype" w:cs="Palatino Linotype"/>
        </w:rPr>
        <w:t xml:space="preserve">la parte </w:t>
      </w:r>
      <w:r w:rsidRPr="004467F3">
        <w:rPr>
          <w:rFonts w:ascii="Palatino Linotype" w:eastAsia="Palatino Linotype" w:hAnsi="Palatino Linotype" w:cs="Palatino Linotype"/>
          <w:b/>
          <w:bCs/>
        </w:rPr>
        <w:t>RECURRENTE</w:t>
      </w:r>
      <w:r w:rsidRPr="004467F3">
        <w:rPr>
          <w:rFonts w:ascii="Palatino Linotype" w:eastAsia="Palatino Linotype" w:hAnsi="Palatino Linotype" w:cs="Palatino Linotype"/>
        </w:rPr>
        <w:t xml:space="preserve"> la presente resolución a través del Sistema de Acceso a la Información Mexiquense </w:t>
      </w:r>
      <w:r w:rsidRPr="004467F3">
        <w:rPr>
          <w:rFonts w:ascii="Palatino Linotype" w:eastAsia="Palatino Linotype" w:hAnsi="Palatino Linotype" w:cs="Palatino Linotype"/>
          <w:b/>
          <w:bCs/>
        </w:rPr>
        <w:t>(SAIMEX).</w:t>
      </w:r>
    </w:p>
    <w:p w:rsidR="00B2019C" w:rsidRPr="004467F3" w:rsidRDefault="00B2019C" w:rsidP="00B2019C">
      <w:pPr>
        <w:tabs>
          <w:tab w:val="left" w:pos="8080"/>
        </w:tabs>
        <w:ind w:right="49"/>
        <w:jc w:val="both"/>
        <w:rPr>
          <w:rFonts w:ascii="Palatino Linotype" w:eastAsia="Palatino Linotype" w:hAnsi="Palatino Linotype" w:cs="Palatino Linotype"/>
          <w:b/>
          <w:bCs/>
        </w:rPr>
      </w:pPr>
    </w:p>
    <w:p w:rsidR="00697FC3" w:rsidRPr="004467F3" w:rsidRDefault="00B2019C" w:rsidP="00B2019C">
      <w:pPr>
        <w:spacing w:before="240" w:after="240" w:line="360" w:lineRule="auto"/>
        <w:ind w:right="1"/>
        <w:jc w:val="both"/>
        <w:rPr>
          <w:rFonts w:ascii="Palatino Linotype" w:eastAsia="Palatino Linotype" w:hAnsi="Palatino Linotype" w:cs="Palatino Linotype"/>
        </w:rPr>
      </w:pPr>
      <w:r w:rsidRPr="004467F3">
        <w:rPr>
          <w:rFonts w:ascii="Palatino Linotype" w:eastAsia="Palatino Linotype" w:hAnsi="Palatino Linotype" w:cs="Palatino Linotype"/>
          <w:b/>
          <w:bCs/>
        </w:rPr>
        <w:t xml:space="preserve">CUARTO. </w:t>
      </w:r>
      <w:r w:rsidRPr="004467F3">
        <w:rPr>
          <w:rFonts w:ascii="Palatino Linotype" w:eastAsia="Palatino Linotype" w:hAnsi="Palatino Linotype" w:cs="Palatino Linotype"/>
        </w:rPr>
        <w:t xml:space="preserve">Se hace del conocimiento de la parte </w:t>
      </w:r>
      <w:r w:rsidRPr="004467F3">
        <w:rPr>
          <w:rFonts w:ascii="Palatino Linotype" w:eastAsia="Palatino Linotype" w:hAnsi="Palatino Linotype" w:cs="Palatino Linotype"/>
          <w:b/>
          <w:bCs/>
        </w:rPr>
        <w:t>RECURRENTE</w:t>
      </w:r>
      <w:r w:rsidRPr="004467F3">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D11CD8" w:rsidRPr="004467F3" w:rsidRDefault="00D11CD8" w:rsidP="00D11CD8">
      <w:pPr>
        <w:spacing w:before="240" w:after="240" w:line="360" w:lineRule="auto"/>
        <w:ind w:firstLine="1"/>
        <w:jc w:val="both"/>
        <w:rPr>
          <w:rFonts w:ascii="Palatino Linotype" w:hAnsi="Palatino Linotype"/>
        </w:rPr>
      </w:pPr>
      <w:bookmarkStart w:id="13" w:name="_heading=h.k06rde75t38" w:colFirst="0" w:colLast="0"/>
      <w:bookmarkStart w:id="14" w:name="_Hlk99014733"/>
      <w:bookmarkEnd w:id="13"/>
      <w:r w:rsidRPr="004467F3">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4467F3">
        <w:rPr>
          <w:rFonts w:ascii="Palatino Linotype" w:hAnsi="Palatino Linotype" w:cs="Palatino Linotype"/>
          <w:color w:val="000000" w:themeColor="text1"/>
        </w:rPr>
        <w:t>ALEXIS TAPIA RAMÍREZ.</w:t>
      </w:r>
    </w:p>
    <w:bookmarkEnd w:id="14"/>
    <w:p w:rsidR="003B25EF" w:rsidRPr="004467F3" w:rsidRDefault="003B25EF">
      <w:pPr>
        <w:spacing w:line="360" w:lineRule="auto"/>
        <w:ind w:right="-592"/>
        <w:jc w:val="both"/>
        <w:rPr>
          <w:rFonts w:ascii="Palatino Linotype" w:eastAsia="Palatino Linotype" w:hAnsi="Palatino Linotype" w:cs="Palatino Linotype"/>
        </w:rPr>
      </w:pPr>
    </w:p>
    <w:p w:rsidR="003B25EF" w:rsidRPr="004467F3" w:rsidRDefault="003B25EF">
      <w:pPr>
        <w:spacing w:line="360" w:lineRule="auto"/>
        <w:ind w:right="-592"/>
        <w:jc w:val="both"/>
        <w:rPr>
          <w:rFonts w:ascii="Palatino Linotype" w:eastAsia="Palatino Linotype" w:hAnsi="Palatino Linotype" w:cs="Palatino Linotype"/>
        </w:rPr>
      </w:pPr>
    </w:p>
    <w:p w:rsidR="003B25EF" w:rsidRPr="004467F3" w:rsidRDefault="003B25EF">
      <w:pPr>
        <w:spacing w:line="360" w:lineRule="auto"/>
        <w:ind w:right="-592"/>
        <w:jc w:val="both"/>
        <w:rPr>
          <w:rFonts w:ascii="Palatino Linotype" w:eastAsia="Palatino Linotype" w:hAnsi="Palatino Linotype" w:cs="Palatino Linotype"/>
        </w:rPr>
      </w:pPr>
    </w:p>
    <w:p w:rsidR="003B25EF" w:rsidRPr="004467F3" w:rsidRDefault="003B25EF">
      <w:pPr>
        <w:spacing w:line="360" w:lineRule="auto"/>
        <w:ind w:right="-592"/>
        <w:rPr>
          <w:rFonts w:ascii="Palatino Linotype" w:eastAsia="Palatino Linotype" w:hAnsi="Palatino Linotype" w:cs="Palatino Linotype"/>
        </w:rPr>
      </w:pPr>
    </w:p>
    <w:p w:rsidR="003B25EF" w:rsidRPr="004467F3" w:rsidRDefault="003B25EF">
      <w:pPr>
        <w:spacing w:line="360" w:lineRule="auto"/>
        <w:ind w:right="-592"/>
        <w:rPr>
          <w:rFonts w:ascii="Palatino Linotype" w:eastAsia="Palatino Linotype" w:hAnsi="Palatino Linotype" w:cs="Palatino Linotype"/>
        </w:rPr>
      </w:pPr>
    </w:p>
    <w:p w:rsidR="003B25EF" w:rsidRPr="004467F3" w:rsidRDefault="003B25EF">
      <w:pPr>
        <w:spacing w:line="360" w:lineRule="auto"/>
        <w:ind w:right="-592"/>
        <w:rPr>
          <w:rFonts w:ascii="Palatino Linotype" w:eastAsia="Palatino Linotype" w:hAnsi="Palatino Linotype" w:cs="Palatino Linotype"/>
        </w:rPr>
      </w:pPr>
    </w:p>
    <w:p w:rsidR="003B25EF" w:rsidRPr="004467F3" w:rsidRDefault="003B25EF">
      <w:pPr>
        <w:spacing w:line="360" w:lineRule="auto"/>
        <w:ind w:right="-592"/>
        <w:rPr>
          <w:rFonts w:ascii="Palatino Linotype" w:eastAsia="Palatino Linotype" w:hAnsi="Palatino Linotype" w:cs="Palatino Linotype"/>
        </w:rPr>
      </w:pPr>
    </w:p>
    <w:p w:rsidR="003B25EF" w:rsidRPr="004467F3" w:rsidRDefault="003B25EF">
      <w:pPr>
        <w:spacing w:line="360" w:lineRule="auto"/>
        <w:ind w:right="-592"/>
        <w:rPr>
          <w:rFonts w:ascii="Palatino Linotype" w:eastAsia="Palatino Linotype" w:hAnsi="Palatino Linotype" w:cs="Palatino Linotype"/>
        </w:rPr>
      </w:pPr>
    </w:p>
    <w:p w:rsidR="003B25EF" w:rsidRPr="004467F3" w:rsidRDefault="003B25EF">
      <w:pPr>
        <w:spacing w:line="360" w:lineRule="auto"/>
        <w:ind w:right="-592"/>
        <w:rPr>
          <w:rFonts w:ascii="Palatino Linotype" w:eastAsia="Palatino Linotype" w:hAnsi="Palatino Linotype" w:cs="Palatino Linotype"/>
        </w:rPr>
      </w:pPr>
    </w:p>
    <w:p w:rsidR="003B25EF" w:rsidRPr="004467F3" w:rsidRDefault="003B25EF">
      <w:pPr>
        <w:ind w:right="-592"/>
        <w:rPr>
          <w:rFonts w:ascii="Palatino Linotype" w:eastAsia="Palatino Linotype" w:hAnsi="Palatino Linotype" w:cs="Palatino Linotype"/>
        </w:rPr>
      </w:pPr>
    </w:p>
    <w:p w:rsidR="003B25EF" w:rsidRPr="004467F3" w:rsidRDefault="003B25EF">
      <w:pPr>
        <w:ind w:right="-592"/>
        <w:rPr>
          <w:rFonts w:ascii="Palatino Linotype" w:eastAsia="Palatino Linotype" w:hAnsi="Palatino Linotype" w:cs="Palatino Linotype"/>
        </w:rPr>
      </w:pPr>
    </w:p>
    <w:sectPr w:rsidR="003B25EF" w:rsidRPr="004467F3" w:rsidSect="004467F3">
      <w:headerReference w:type="even" r:id="rId14"/>
      <w:headerReference w:type="default" r:id="rId15"/>
      <w:footerReference w:type="default" r:id="rId16"/>
      <w:headerReference w:type="first" r:id="rId17"/>
      <w:footerReference w:type="first" r:id="rId18"/>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7EF2" w:rsidRDefault="00957EF2">
      <w:r>
        <w:separator/>
      </w:r>
    </w:p>
  </w:endnote>
  <w:endnote w:type="continuationSeparator" w:id="0">
    <w:p w:rsidR="00957EF2" w:rsidRDefault="00957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embedRegular r:id="rId1" w:fontKey="{49D0C217-4C63-4BB9-BB87-8170BF290423}"/>
    <w:embedBold r:id="rId2" w:fontKey="{81210A8E-8D2E-4684-9A56-1AF884D713CB}"/>
    <w:embedItalic r:id="rId3" w:fontKey="{D2E0D059-EC06-4913-B10C-6FA444FC054F}"/>
    <w:embedBoldItalic r:id="rId4" w:fontKey="{63003905-DBE0-4A90-8F09-9211A5112619}"/>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5" w:fontKey="{C390AB77-0F85-421D-BD6C-A3B9A54A03E2}"/>
    <w:embedBold r:id="rId6" w:fontKey="{3E1805F0-21D8-412A-B6CD-E9255EBAF999}"/>
  </w:font>
  <w:font w:name="Calibri Light">
    <w:panose1 w:val="020F0302020204030204"/>
    <w:charset w:val="00"/>
    <w:family w:val="swiss"/>
    <w:pitch w:val="variable"/>
    <w:sig w:usb0="E4002EFF" w:usb1="C200247B" w:usb2="00000009" w:usb3="00000000" w:csb0="000001FF" w:csb1="00000000"/>
    <w:embedRegular r:id="rId7" w:fontKey="{A511BE35-939A-4AD7-9222-4BF75FF6E3E9}"/>
  </w:font>
  <w:font w:name="Century Gothic">
    <w:panose1 w:val="020B0502020202020204"/>
    <w:charset w:val="00"/>
    <w:family w:val="swiss"/>
    <w:pitch w:val="variable"/>
    <w:sig w:usb0="00000287" w:usb1="00000000" w:usb2="00000000" w:usb3="00000000" w:csb0="0000009F" w:csb1="00000000"/>
    <w:embedRegular r:id="rId8" w:fontKey="{A5DAD441-91C2-4CC5-AFE5-A2179B036828}"/>
  </w:font>
  <w:font w:name="Segoe UI">
    <w:panose1 w:val="020B0502040204020203"/>
    <w:charset w:val="00"/>
    <w:family w:val="swiss"/>
    <w:pitch w:val="variable"/>
    <w:sig w:usb0="E4002EFF" w:usb1="C000E47F" w:usb2="00000009" w:usb3="00000000" w:csb0="000001FF" w:csb1="00000000"/>
    <w:embedRegular r:id="rId9" w:fontKey="{D582C66D-E418-444A-AC37-4C4778099F1B}"/>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0" w:fontKey="{E9503C25-CE6E-4E0D-9F38-6DD806FA6442}"/>
  </w:font>
  <w:font w:name="Garamond">
    <w:panose1 w:val="02020404030301010803"/>
    <w:charset w:val="00"/>
    <w:family w:val="roman"/>
    <w:pitch w:val="variable"/>
    <w:sig w:usb0="00000287" w:usb1="00000000" w:usb2="00000000" w:usb3="00000000" w:csb0="0000009F" w:csb1="00000000"/>
    <w:embedRegular r:id="rId11" w:fontKey="{FD683F1E-8242-4D07-9399-47AC5067999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774" w:rsidRPr="004467F3" w:rsidRDefault="005E7774">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4467F3">
      <w:rPr>
        <w:rFonts w:ascii="Palatino Linotype" w:hAnsi="Palatino Linotype"/>
        <w:color w:val="000000"/>
        <w:sz w:val="22"/>
      </w:rPr>
      <w:t xml:space="preserve">Página </w:t>
    </w:r>
    <w:r w:rsidRPr="004467F3">
      <w:rPr>
        <w:rFonts w:ascii="Palatino Linotype" w:hAnsi="Palatino Linotype"/>
        <w:b/>
        <w:bCs/>
        <w:color w:val="000000"/>
        <w:sz w:val="22"/>
      </w:rPr>
      <w:fldChar w:fldCharType="begin"/>
    </w:r>
    <w:r w:rsidRPr="004467F3">
      <w:rPr>
        <w:rFonts w:ascii="Palatino Linotype" w:hAnsi="Palatino Linotype"/>
        <w:b/>
        <w:bCs/>
        <w:color w:val="000000"/>
        <w:sz w:val="22"/>
      </w:rPr>
      <w:instrText>PAGE</w:instrText>
    </w:r>
    <w:r w:rsidRPr="004467F3">
      <w:rPr>
        <w:rFonts w:ascii="Palatino Linotype" w:hAnsi="Palatino Linotype"/>
        <w:b/>
        <w:bCs/>
        <w:color w:val="000000"/>
        <w:sz w:val="22"/>
      </w:rPr>
      <w:fldChar w:fldCharType="separate"/>
    </w:r>
    <w:r w:rsidR="004467F3">
      <w:rPr>
        <w:rFonts w:ascii="Palatino Linotype" w:hAnsi="Palatino Linotype"/>
        <w:b/>
        <w:bCs/>
        <w:noProof/>
        <w:color w:val="000000"/>
        <w:sz w:val="22"/>
      </w:rPr>
      <w:t>16</w:t>
    </w:r>
    <w:r w:rsidRPr="004467F3">
      <w:rPr>
        <w:rFonts w:ascii="Palatino Linotype" w:hAnsi="Palatino Linotype"/>
        <w:b/>
        <w:bCs/>
        <w:color w:val="000000"/>
        <w:sz w:val="22"/>
      </w:rPr>
      <w:fldChar w:fldCharType="end"/>
    </w:r>
    <w:r w:rsidRPr="004467F3">
      <w:rPr>
        <w:rFonts w:ascii="Palatino Linotype" w:hAnsi="Palatino Linotype"/>
        <w:color w:val="000000"/>
        <w:sz w:val="22"/>
      </w:rPr>
      <w:t xml:space="preserve"> de </w:t>
    </w:r>
    <w:r w:rsidRPr="004467F3">
      <w:rPr>
        <w:rFonts w:ascii="Palatino Linotype" w:hAnsi="Palatino Linotype"/>
        <w:b/>
        <w:bCs/>
        <w:color w:val="000000"/>
        <w:sz w:val="22"/>
      </w:rPr>
      <w:fldChar w:fldCharType="begin"/>
    </w:r>
    <w:r w:rsidRPr="004467F3">
      <w:rPr>
        <w:rFonts w:ascii="Palatino Linotype" w:hAnsi="Palatino Linotype"/>
        <w:b/>
        <w:bCs/>
        <w:color w:val="000000"/>
        <w:sz w:val="22"/>
      </w:rPr>
      <w:instrText>NUMPAGES</w:instrText>
    </w:r>
    <w:r w:rsidRPr="004467F3">
      <w:rPr>
        <w:rFonts w:ascii="Palatino Linotype" w:hAnsi="Palatino Linotype"/>
        <w:b/>
        <w:bCs/>
        <w:color w:val="000000"/>
        <w:sz w:val="22"/>
      </w:rPr>
      <w:fldChar w:fldCharType="separate"/>
    </w:r>
    <w:r w:rsidR="004467F3">
      <w:rPr>
        <w:rFonts w:ascii="Palatino Linotype" w:hAnsi="Palatino Linotype"/>
        <w:b/>
        <w:bCs/>
        <w:noProof/>
        <w:color w:val="000000"/>
        <w:sz w:val="22"/>
      </w:rPr>
      <w:t>16</w:t>
    </w:r>
    <w:r w:rsidRPr="004467F3">
      <w:rPr>
        <w:rFonts w:ascii="Palatino Linotype" w:hAnsi="Palatino Linotype"/>
        <w:b/>
        <w:bCs/>
        <w:color w:val="000000"/>
        <w:sz w:val="22"/>
      </w:rPr>
      <w:fldChar w:fldCharType="end"/>
    </w:r>
  </w:p>
  <w:p w:rsidR="005E7774" w:rsidRDefault="005E7774">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774" w:rsidRPr="004467F3" w:rsidRDefault="005E7774">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4467F3">
      <w:rPr>
        <w:rFonts w:ascii="Palatino Linotype" w:hAnsi="Palatino Linotype"/>
        <w:color w:val="000000"/>
        <w:sz w:val="22"/>
      </w:rPr>
      <w:t xml:space="preserve">Página </w:t>
    </w:r>
    <w:r w:rsidRPr="004467F3">
      <w:rPr>
        <w:rFonts w:ascii="Palatino Linotype" w:hAnsi="Palatino Linotype"/>
        <w:b/>
        <w:bCs/>
        <w:color w:val="000000"/>
        <w:sz w:val="22"/>
      </w:rPr>
      <w:fldChar w:fldCharType="begin"/>
    </w:r>
    <w:r w:rsidRPr="004467F3">
      <w:rPr>
        <w:rFonts w:ascii="Palatino Linotype" w:hAnsi="Palatino Linotype"/>
        <w:b/>
        <w:bCs/>
        <w:color w:val="000000"/>
        <w:sz w:val="22"/>
      </w:rPr>
      <w:instrText>PAGE</w:instrText>
    </w:r>
    <w:r w:rsidRPr="004467F3">
      <w:rPr>
        <w:rFonts w:ascii="Palatino Linotype" w:hAnsi="Palatino Linotype"/>
        <w:b/>
        <w:bCs/>
        <w:color w:val="000000"/>
        <w:sz w:val="22"/>
      </w:rPr>
      <w:fldChar w:fldCharType="separate"/>
    </w:r>
    <w:r w:rsidR="004467F3">
      <w:rPr>
        <w:rFonts w:ascii="Palatino Linotype" w:hAnsi="Palatino Linotype"/>
        <w:b/>
        <w:bCs/>
        <w:noProof/>
        <w:color w:val="000000"/>
        <w:sz w:val="22"/>
      </w:rPr>
      <w:t>1</w:t>
    </w:r>
    <w:r w:rsidRPr="004467F3">
      <w:rPr>
        <w:rFonts w:ascii="Palatino Linotype" w:hAnsi="Palatino Linotype"/>
        <w:b/>
        <w:bCs/>
        <w:color w:val="000000"/>
        <w:sz w:val="22"/>
      </w:rPr>
      <w:fldChar w:fldCharType="end"/>
    </w:r>
    <w:r w:rsidRPr="004467F3">
      <w:rPr>
        <w:rFonts w:ascii="Palatino Linotype" w:hAnsi="Palatino Linotype"/>
        <w:color w:val="000000"/>
        <w:sz w:val="22"/>
      </w:rPr>
      <w:t xml:space="preserve"> de </w:t>
    </w:r>
    <w:r w:rsidRPr="004467F3">
      <w:rPr>
        <w:rFonts w:ascii="Palatino Linotype" w:hAnsi="Palatino Linotype"/>
        <w:b/>
        <w:bCs/>
        <w:color w:val="000000"/>
        <w:sz w:val="22"/>
      </w:rPr>
      <w:fldChar w:fldCharType="begin"/>
    </w:r>
    <w:r w:rsidRPr="004467F3">
      <w:rPr>
        <w:rFonts w:ascii="Palatino Linotype" w:hAnsi="Palatino Linotype"/>
        <w:b/>
        <w:bCs/>
        <w:color w:val="000000"/>
        <w:sz w:val="22"/>
      </w:rPr>
      <w:instrText>NUMPAGES</w:instrText>
    </w:r>
    <w:r w:rsidRPr="004467F3">
      <w:rPr>
        <w:rFonts w:ascii="Palatino Linotype" w:hAnsi="Palatino Linotype"/>
        <w:b/>
        <w:bCs/>
        <w:color w:val="000000"/>
        <w:sz w:val="22"/>
      </w:rPr>
      <w:fldChar w:fldCharType="separate"/>
    </w:r>
    <w:r w:rsidR="004467F3">
      <w:rPr>
        <w:rFonts w:ascii="Palatino Linotype" w:hAnsi="Palatino Linotype"/>
        <w:b/>
        <w:bCs/>
        <w:noProof/>
        <w:color w:val="000000"/>
        <w:sz w:val="22"/>
      </w:rPr>
      <w:t>16</w:t>
    </w:r>
    <w:r w:rsidRPr="004467F3">
      <w:rPr>
        <w:rFonts w:ascii="Palatino Linotype" w:hAnsi="Palatino Linotype"/>
        <w:b/>
        <w:bCs/>
        <w:color w:val="000000"/>
        <w:sz w:val="22"/>
      </w:rPr>
      <w:fldChar w:fldCharType="end"/>
    </w:r>
  </w:p>
  <w:p w:rsidR="005E7774" w:rsidRDefault="005E7774">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7EF2" w:rsidRDefault="00957EF2">
      <w:r>
        <w:separator/>
      </w:r>
    </w:p>
  </w:footnote>
  <w:footnote w:type="continuationSeparator" w:id="0">
    <w:p w:rsidR="00957EF2" w:rsidRDefault="00957EF2">
      <w:r>
        <w:continuationSeparator/>
      </w:r>
    </w:p>
  </w:footnote>
  <w:footnote w:id="1">
    <w:p w:rsidR="005E7774" w:rsidRDefault="005E7774" w:rsidP="00B2019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50, Ley de Transparencia y Acceso a la Información Pública del Estado de México y Municipios.</w:t>
      </w:r>
    </w:p>
  </w:footnote>
  <w:footnote w:id="2">
    <w:p w:rsidR="005E7774" w:rsidRDefault="005E7774" w:rsidP="00B2019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51, Ídem.</w:t>
      </w:r>
    </w:p>
  </w:footnote>
  <w:footnote w:id="3">
    <w:p w:rsidR="005E7774" w:rsidRDefault="005E7774" w:rsidP="00B2019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58, Ley de Transparencia y Acceso a la Información Pública del Estado de México y Municipios.</w:t>
      </w:r>
    </w:p>
  </w:footnote>
  <w:footnote w:id="4">
    <w:p w:rsidR="005E7774" w:rsidRDefault="005E7774" w:rsidP="00B2019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59,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774" w:rsidRDefault="00957EF2">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d"/>
      <w:tblW w:w="10348" w:type="dxa"/>
      <w:tblInd w:w="0" w:type="dxa"/>
      <w:tblLayout w:type="fixed"/>
      <w:tblLook w:val="0400" w:firstRow="0" w:lastRow="0" w:firstColumn="0" w:lastColumn="0" w:noHBand="0" w:noVBand="1"/>
    </w:tblPr>
    <w:tblGrid>
      <w:gridCol w:w="2268"/>
      <w:gridCol w:w="8080"/>
    </w:tblGrid>
    <w:tr w:rsidR="005E7774" w:rsidTr="004467F3">
      <w:trPr>
        <w:trHeight w:val="1435"/>
      </w:trPr>
      <w:tc>
        <w:tcPr>
          <w:tcW w:w="2268" w:type="dxa"/>
          <w:shd w:val="clear" w:color="auto" w:fill="auto"/>
        </w:tcPr>
        <w:p w:rsidR="005E7774" w:rsidRDefault="005E7774">
          <w:pPr>
            <w:tabs>
              <w:tab w:val="right" w:pos="4273"/>
            </w:tabs>
            <w:rPr>
              <w:rFonts w:ascii="Garamond" w:eastAsia="Garamond" w:hAnsi="Garamond" w:cs="Garamond"/>
              <w:sz w:val="16"/>
              <w:szCs w:val="16"/>
            </w:rPr>
          </w:pPr>
        </w:p>
      </w:tc>
      <w:tc>
        <w:tcPr>
          <w:tcW w:w="8080" w:type="dxa"/>
          <w:shd w:val="clear" w:color="auto" w:fill="auto"/>
        </w:tcPr>
        <w:tbl>
          <w:tblPr>
            <w:tblStyle w:val="ae"/>
            <w:tblW w:w="7654" w:type="dxa"/>
            <w:tblInd w:w="594" w:type="dxa"/>
            <w:tblLayout w:type="fixed"/>
            <w:tblLook w:val="0400" w:firstRow="0" w:lastRow="0" w:firstColumn="0" w:lastColumn="0" w:noHBand="0" w:noVBand="1"/>
          </w:tblPr>
          <w:tblGrid>
            <w:gridCol w:w="3543"/>
            <w:gridCol w:w="4111"/>
          </w:tblGrid>
          <w:tr w:rsidR="005E7774" w:rsidTr="004467F3">
            <w:trPr>
              <w:trHeight w:val="150"/>
            </w:trPr>
            <w:tc>
              <w:tcPr>
                <w:tcW w:w="3543" w:type="dxa"/>
                <w:shd w:val="clear" w:color="auto" w:fill="auto"/>
              </w:tcPr>
              <w:p w:rsidR="005E7774" w:rsidRPr="004467F3" w:rsidRDefault="005E7774">
                <w:pPr>
                  <w:tabs>
                    <w:tab w:val="right" w:pos="8838"/>
                  </w:tabs>
                  <w:ind w:left="850" w:right="-105"/>
                  <w:jc w:val="both"/>
                  <w:rPr>
                    <w:rFonts w:ascii="Palatino Linotype" w:eastAsia="Palatino Linotype" w:hAnsi="Palatino Linotype" w:cs="Palatino Linotype"/>
                    <w:b/>
                    <w:bCs/>
                    <w:szCs w:val="18"/>
                  </w:rPr>
                </w:pPr>
                <w:r w:rsidRPr="004467F3">
                  <w:rPr>
                    <w:rFonts w:ascii="Palatino Linotype" w:eastAsia="Palatino Linotype" w:hAnsi="Palatino Linotype" w:cs="Palatino Linotype"/>
                    <w:b/>
                    <w:bCs/>
                    <w:szCs w:val="18"/>
                  </w:rPr>
                  <w:t>Recurso de Revisión:</w:t>
                </w:r>
              </w:p>
            </w:tc>
            <w:tc>
              <w:tcPr>
                <w:tcW w:w="4111" w:type="dxa"/>
                <w:shd w:val="clear" w:color="auto" w:fill="auto"/>
              </w:tcPr>
              <w:p w:rsidR="005E7774" w:rsidRPr="004467F3" w:rsidRDefault="005E7774">
                <w:pPr>
                  <w:tabs>
                    <w:tab w:val="right" w:pos="8838"/>
                  </w:tabs>
                  <w:ind w:right="-781"/>
                  <w:jc w:val="both"/>
                  <w:rPr>
                    <w:rFonts w:ascii="Palatino Linotype" w:eastAsia="Palatino Linotype" w:hAnsi="Palatino Linotype" w:cs="Palatino Linotype"/>
                    <w:szCs w:val="18"/>
                  </w:rPr>
                </w:pPr>
                <w:r w:rsidRPr="004467F3">
                  <w:rPr>
                    <w:rFonts w:ascii="Palatino Linotype" w:eastAsia="Palatino Linotype" w:hAnsi="Palatino Linotype" w:cs="Palatino Linotype"/>
                    <w:szCs w:val="18"/>
                  </w:rPr>
                  <w:t>0165</w:t>
                </w:r>
                <w:r w:rsidR="003B6B65" w:rsidRPr="004467F3">
                  <w:rPr>
                    <w:rFonts w:ascii="Palatino Linotype" w:eastAsia="Palatino Linotype" w:hAnsi="Palatino Linotype" w:cs="Palatino Linotype"/>
                    <w:szCs w:val="18"/>
                  </w:rPr>
                  <w:t>8/INFOEM/IP/RR/2026</w:t>
                </w:r>
              </w:p>
            </w:tc>
          </w:tr>
          <w:tr w:rsidR="005E7774" w:rsidTr="004467F3">
            <w:trPr>
              <w:trHeight w:val="295"/>
            </w:trPr>
            <w:tc>
              <w:tcPr>
                <w:tcW w:w="3543" w:type="dxa"/>
                <w:shd w:val="clear" w:color="auto" w:fill="auto"/>
              </w:tcPr>
              <w:p w:rsidR="005E7774" w:rsidRPr="004467F3" w:rsidRDefault="005E7774">
                <w:pPr>
                  <w:tabs>
                    <w:tab w:val="right" w:pos="8838"/>
                  </w:tabs>
                  <w:ind w:left="850" w:right="-105"/>
                  <w:jc w:val="both"/>
                  <w:rPr>
                    <w:rFonts w:ascii="Palatino Linotype" w:eastAsia="Palatino Linotype" w:hAnsi="Palatino Linotype" w:cs="Palatino Linotype"/>
                    <w:b/>
                    <w:bCs/>
                    <w:szCs w:val="18"/>
                  </w:rPr>
                </w:pPr>
                <w:r w:rsidRPr="004467F3">
                  <w:rPr>
                    <w:rFonts w:ascii="Palatino Linotype" w:eastAsia="Palatino Linotype" w:hAnsi="Palatino Linotype" w:cs="Palatino Linotype"/>
                    <w:b/>
                    <w:bCs/>
                    <w:szCs w:val="18"/>
                  </w:rPr>
                  <w:t>Sujeto Obligado:</w:t>
                </w:r>
              </w:p>
            </w:tc>
            <w:tc>
              <w:tcPr>
                <w:tcW w:w="4111" w:type="dxa"/>
                <w:shd w:val="clear" w:color="auto" w:fill="auto"/>
              </w:tcPr>
              <w:p w:rsidR="005E7774" w:rsidRPr="004467F3" w:rsidRDefault="005E7774" w:rsidP="00B93242">
                <w:pPr>
                  <w:tabs>
                    <w:tab w:val="left" w:pos="3122"/>
                    <w:tab w:val="right" w:pos="8838"/>
                  </w:tabs>
                  <w:ind w:right="-1552"/>
                  <w:rPr>
                    <w:rFonts w:ascii="Palatino Linotype" w:eastAsia="Palatino Linotype" w:hAnsi="Palatino Linotype" w:cs="Palatino Linotype"/>
                    <w:szCs w:val="18"/>
                  </w:rPr>
                </w:pPr>
                <w:r w:rsidRPr="004467F3">
                  <w:rPr>
                    <w:rFonts w:ascii="Palatino Linotype" w:eastAsia="Palatino Linotype" w:hAnsi="Palatino Linotype" w:cs="Palatino Linotype"/>
                    <w:szCs w:val="18"/>
                  </w:rPr>
                  <w:t>Secretaría de Bienestar</w:t>
                </w:r>
              </w:p>
            </w:tc>
          </w:tr>
          <w:tr w:rsidR="005E7774" w:rsidTr="004467F3">
            <w:trPr>
              <w:trHeight w:val="295"/>
            </w:trPr>
            <w:tc>
              <w:tcPr>
                <w:tcW w:w="3543" w:type="dxa"/>
                <w:shd w:val="clear" w:color="auto" w:fill="auto"/>
              </w:tcPr>
              <w:p w:rsidR="005E7774" w:rsidRPr="004467F3" w:rsidRDefault="005E7774">
                <w:pPr>
                  <w:tabs>
                    <w:tab w:val="right" w:pos="8838"/>
                  </w:tabs>
                  <w:ind w:left="850" w:right="-105"/>
                  <w:jc w:val="both"/>
                  <w:rPr>
                    <w:rFonts w:ascii="Palatino Linotype" w:eastAsia="Palatino Linotype" w:hAnsi="Palatino Linotype" w:cs="Palatino Linotype"/>
                    <w:b/>
                    <w:bCs/>
                    <w:szCs w:val="18"/>
                  </w:rPr>
                </w:pPr>
                <w:r w:rsidRPr="004467F3">
                  <w:rPr>
                    <w:rFonts w:ascii="Palatino Linotype" w:eastAsia="Palatino Linotype" w:hAnsi="Palatino Linotype" w:cs="Palatino Linotype"/>
                    <w:b/>
                    <w:bCs/>
                    <w:szCs w:val="18"/>
                  </w:rPr>
                  <w:t>Comisionada ponente:</w:t>
                </w:r>
              </w:p>
            </w:tc>
            <w:tc>
              <w:tcPr>
                <w:tcW w:w="4111" w:type="dxa"/>
                <w:shd w:val="clear" w:color="auto" w:fill="auto"/>
              </w:tcPr>
              <w:p w:rsidR="005E7774" w:rsidRPr="004467F3" w:rsidRDefault="005E7774">
                <w:pPr>
                  <w:tabs>
                    <w:tab w:val="right" w:pos="8838"/>
                  </w:tabs>
                  <w:ind w:right="-781"/>
                  <w:jc w:val="both"/>
                  <w:rPr>
                    <w:rFonts w:ascii="Palatino Linotype" w:eastAsia="Palatino Linotype" w:hAnsi="Palatino Linotype" w:cs="Palatino Linotype"/>
                    <w:szCs w:val="18"/>
                  </w:rPr>
                </w:pPr>
                <w:r w:rsidRPr="004467F3">
                  <w:rPr>
                    <w:rFonts w:ascii="Palatino Linotype" w:eastAsia="Palatino Linotype" w:hAnsi="Palatino Linotype" w:cs="Palatino Linotype"/>
                    <w:szCs w:val="18"/>
                  </w:rPr>
                  <w:t>María del Rosario Mejía Ayala</w:t>
                </w:r>
              </w:p>
              <w:p w:rsidR="005E7774" w:rsidRPr="004467F3" w:rsidRDefault="005E7774">
                <w:pPr>
                  <w:tabs>
                    <w:tab w:val="right" w:pos="8838"/>
                  </w:tabs>
                  <w:ind w:left="141" w:right="-781"/>
                  <w:jc w:val="both"/>
                  <w:rPr>
                    <w:rFonts w:ascii="Palatino Linotype" w:eastAsia="Palatino Linotype" w:hAnsi="Palatino Linotype" w:cs="Palatino Linotype"/>
                    <w:szCs w:val="18"/>
                  </w:rPr>
                </w:pPr>
              </w:p>
            </w:tc>
          </w:tr>
        </w:tbl>
        <w:p w:rsidR="005E7774" w:rsidRDefault="005E7774">
          <w:pPr>
            <w:tabs>
              <w:tab w:val="right" w:pos="8838"/>
            </w:tabs>
            <w:ind w:left="-28"/>
            <w:jc w:val="both"/>
            <w:rPr>
              <w:rFonts w:ascii="Arial" w:eastAsia="Arial" w:hAnsi="Arial" w:cs="Arial"/>
              <w:b/>
              <w:bCs/>
              <w:sz w:val="18"/>
              <w:szCs w:val="18"/>
            </w:rPr>
          </w:pPr>
        </w:p>
      </w:tc>
    </w:tr>
  </w:tbl>
  <w:p w:rsidR="005E7774" w:rsidRDefault="00957EF2">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
      <w:tblW w:w="10065" w:type="dxa"/>
      <w:tblInd w:w="0" w:type="dxa"/>
      <w:tblLayout w:type="fixed"/>
      <w:tblLook w:val="0400" w:firstRow="0" w:lastRow="0" w:firstColumn="0" w:lastColumn="0" w:noHBand="0" w:noVBand="1"/>
    </w:tblPr>
    <w:tblGrid>
      <w:gridCol w:w="2265"/>
      <w:gridCol w:w="7800"/>
    </w:tblGrid>
    <w:tr w:rsidR="005E7774">
      <w:trPr>
        <w:trHeight w:val="1435"/>
      </w:trPr>
      <w:tc>
        <w:tcPr>
          <w:tcW w:w="2265" w:type="dxa"/>
          <w:shd w:val="clear" w:color="auto" w:fill="auto"/>
        </w:tcPr>
        <w:p w:rsidR="005E7774" w:rsidRDefault="005E7774">
          <w:pPr>
            <w:tabs>
              <w:tab w:val="right" w:pos="4273"/>
            </w:tabs>
            <w:rPr>
              <w:rFonts w:ascii="Garamond" w:eastAsia="Garamond" w:hAnsi="Garamond" w:cs="Garamond"/>
              <w:sz w:val="22"/>
              <w:szCs w:val="22"/>
            </w:rPr>
          </w:pPr>
        </w:p>
      </w:tc>
      <w:tc>
        <w:tcPr>
          <w:tcW w:w="7800" w:type="dxa"/>
          <w:shd w:val="clear" w:color="auto" w:fill="auto"/>
        </w:tcPr>
        <w:tbl>
          <w:tblPr>
            <w:tblStyle w:val="af0"/>
            <w:tblW w:w="7410" w:type="dxa"/>
            <w:tblInd w:w="1448" w:type="dxa"/>
            <w:tblLayout w:type="fixed"/>
            <w:tblLook w:val="0400" w:firstRow="0" w:lastRow="0" w:firstColumn="0" w:lastColumn="0" w:noHBand="0" w:noVBand="1"/>
          </w:tblPr>
          <w:tblGrid>
            <w:gridCol w:w="2490"/>
            <w:gridCol w:w="4920"/>
          </w:tblGrid>
          <w:tr w:rsidR="005E7774" w:rsidTr="004F77E5">
            <w:trPr>
              <w:trHeight w:val="144"/>
            </w:trPr>
            <w:tc>
              <w:tcPr>
                <w:tcW w:w="2490" w:type="dxa"/>
                <w:shd w:val="clear" w:color="auto" w:fill="auto"/>
              </w:tcPr>
              <w:p w:rsidR="005E7774" w:rsidRPr="004467F3" w:rsidRDefault="005E7774">
                <w:pPr>
                  <w:tabs>
                    <w:tab w:val="right" w:pos="8838"/>
                  </w:tabs>
                  <w:ind w:left="-264" w:right="-105" w:firstLine="195"/>
                  <w:rPr>
                    <w:rFonts w:ascii="Palatino Linotype" w:eastAsia="Palatino Linotype" w:hAnsi="Palatino Linotype" w:cs="Palatino Linotype"/>
                    <w:b/>
                    <w:bCs/>
                    <w:szCs w:val="18"/>
                  </w:rPr>
                </w:pPr>
                <w:r w:rsidRPr="004467F3">
                  <w:rPr>
                    <w:rFonts w:ascii="Palatino Linotype" w:eastAsia="Palatino Linotype" w:hAnsi="Palatino Linotype" w:cs="Palatino Linotype"/>
                    <w:b/>
                    <w:bCs/>
                    <w:szCs w:val="18"/>
                  </w:rPr>
                  <w:t>Recurso de Revisión:</w:t>
                </w:r>
              </w:p>
            </w:tc>
            <w:tc>
              <w:tcPr>
                <w:tcW w:w="4920" w:type="dxa"/>
                <w:shd w:val="clear" w:color="auto" w:fill="auto"/>
              </w:tcPr>
              <w:p w:rsidR="005E7774" w:rsidRPr="004467F3" w:rsidRDefault="005E7774">
                <w:pPr>
                  <w:tabs>
                    <w:tab w:val="right" w:pos="8838"/>
                  </w:tabs>
                  <w:ind w:right="-1552"/>
                  <w:rPr>
                    <w:rFonts w:ascii="Palatino Linotype" w:eastAsia="Palatino Linotype" w:hAnsi="Palatino Linotype" w:cs="Palatino Linotype"/>
                    <w:szCs w:val="18"/>
                  </w:rPr>
                </w:pPr>
                <w:r w:rsidRPr="004467F3">
                  <w:rPr>
                    <w:rFonts w:ascii="Palatino Linotype" w:eastAsia="Palatino Linotype" w:hAnsi="Palatino Linotype" w:cs="Palatino Linotype"/>
                    <w:szCs w:val="18"/>
                  </w:rPr>
                  <w:t>0165</w:t>
                </w:r>
                <w:r w:rsidR="003B6B65" w:rsidRPr="004467F3">
                  <w:rPr>
                    <w:rFonts w:ascii="Palatino Linotype" w:eastAsia="Palatino Linotype" w:hAnsi="Palatino Linotype" w:cs="Palatino Linotype"/>
                    <w:szCs w:val="18"/>
                  </w:rPr>
                  <w:t>8/INFOEM/IP/RR/2026</w:t>
                </w:r>
              </w:p>
            </w:tc>
          </w:tr>
          <w:tr w:rsidR="005E7774" w:rsidTr="004F77E5">
            <w:trPr>
              <w:trHeight w:val="144"/>
            </w:trPr>
            <w:tc>
              <w:tcPr>
                <w:tcW w:w="2490" w:type="dxa"/>
                <w:shd w:val="clear" w:color="auto" w:fill="auto"/>
              </w:tcPr>
              <w:p w:rsidR="005E7774" w:rsidRPr="004467F3" w:rsidRDefault="005E7774">
                <w:pPr>
                  <w:tabs>
                    <w:tab w:val="right" w:pos="8838"/>
                  </w:tabs>
                  <w:ind w:left="-74" w:right="-105"/>
                  <w:rPr>
                    <w:rFonts w:ascii="Palatino Linotype" w:eastAsia="Palatino Linotype" w:hAnsi="Palatino Linotype" w:cs="Palatino Linotype"/>
                    <w:b/>
                    <w:bCs/>
                    <w:szCs w:val="18"/>
                  </w:rPr>
                </w:pPr>
                <w:r w:rsidRPr="004467F3">
                  <w:rPr>
                    <w:rFonts w:ascii="Palatino Linotype" w:eastAsia="Palatino Linotype" w:hAnsi="Palatino Linotype" w:cs="Palatino Linotype"/>
                    <w:b/>
                    <w:bCs/>
                    <w:szCs w:val="18"/>
                  </w:rPr>
                  <w:t>Recurrente:</w:t>
                </w:r>
              </w:p>
            </w:tc>
            <w:tc>
              <w:tcPr>
                <w:tcW w:w="4920" w:type="dxa"/>
                <w:shd w:val="clear" w:color="auto" w:fill="auto"/>
              </w:tcPr>
              <w:p w:rsidR="005E7774" w:rsidRPr="004467F3" w:rsidRDefault="005E7774">
                <w:pPr>
                  <w:tabs>
                    <w:tab w:val="left" w:pos="3122"/>
                    <w:tab w:val="right" w:pos="8838"/>
                  </w:tabs>
                  <w:ind w:right="-1552"/>
                  <w:rPr>
                    <w:rFonts w:ascii="Palatino Linotype" w:eastAsia="Palatino Linotype" w:hAnsi="Palatino Linotype" w:cs="Palatino Linotype"/>
                    <w:szCs w:val="18"/>
                  </w:rPr>
                </w:pPr>
              </w:p>
            </w:tc>
          </w:tr>
          <w:tr w:rsidR="005E7774" w:rsidTr="004F77E5">
            <w:trPr>
              <w:trHeight w:val="80"/>
            </w:trPr>
            <w:tc>
              <w:tcPr>
                <w:tcW w:w="2490" w:type="dxa"/>
                <w:shd w:val="clear" w:color="auto" w:fill="auto"/>
              </w:tcPr>
              <w:p w:rsidR="005E7774" w:rsidRPr="004467F3" w:rsidRDefault="005E7774">
                <w:pPr>
                  <w:tabs>
                    <w:tab w:val="right" w:pos="8838"/>
                  </w:tabs>
                  <w:ind w:left="-74" w:right="-105"/>
                  <w:rPr>
                    <w:rFonts w:ascii="Palatino Linotype" w:eastAsia="Palatino Linotype" w:hAnsi="Palatino Linotype" w:cs="Palatino Linotype"/>
                    <w:b/>
                    <w:bCs/>
                    <w:szCs w:val="18"/>
                  </w:rPr>
                </w:pPr>
                <w:r w:rsidRPr="004467F3">
                  <w:rPr>
                    <w:rFonts w:ascii="Palatino Linotype" w:eastAsia="Palatino Linotype" w:hAnsi="Palatino Linotype" w:cs="Palatino Linotype"/>
                    <w:b/>
                    <w:bCs/>
                    <w:szCs w:val="18"/>
                  </w:rPr>
                  <w:t>Sujeto Obligado:</w:t>
                </w:r>
              </w:p>
            </w:tc>
            <w:tc>
              <w:tcPr>
                <w:tcW w:w="4920" w:type="dxa"/>
                <w:shd w:val="clear" w:color="auto" w:fill="auto"/>
              </w:tcPr>
              <w:p w:rsidR="005E7774" w:rsidRPr="004467F3" w:rsidRDefault="005E7774" w:rsidP="00B93242">
                <w:pPr>
                  <w:tabs>
                    <w:tab w:val="left" w:pos="3122"/>
                    <w:tab w:val="right" w:pos="8838"/>
                  </w:tabs>
                  <w:ind w:right="-1552"/>
                  <w:rPr>
                    <w:rFonts w:ascii="Palatino Linotype" w:eastAsia="Palatino Linotype" w:hAnsi="Palatino Linotype" w:cs="Palatino Linotype"/>
                    <w:szCs w:val="18"/>
                  </w:rPr>
                </w:pPr>
                <w:r w:rsidRPr="004467F3">
                  <w:rPr>
                    <w:rFonts w:ascii="Palatino Linotype" w:eastAsia="Palatino Linotype" w:hAnsi="Palatino Linotype" w:cs="Palatino Linotype"/>
                    <w:szCs w:val="18"/>
                  </w:rPr>
                  <w:t>Secretaría de Bienestar</w:t>
                </w:r>
              </w:p>
            </w:tc>
          </w:tr>
          <w:tr w:rsidR="005E7774" w:rsidTr="004F77E5">
            <w:trPr>
              <w:trHeight w:val="283"/>
            </w:trPr>
            <w:tc>
              <w:tcPr>
                <w:tcW w:w="2490" w:type="dxa"/>
                <w:shd w:val="clear" w:color="auto" w:fill="auto"/>
              </w:tcPr>
              <w:p w:rsidR="005E7774" w:rsidRPr="004467F3" w:rsidRDefault="005E7774" w:rsidP="004467F3">
                <w:pPr>
                  <w:tabs>
                    <w:tab w:val="right" w:pos="8838"/>
                  </w:tabs>
                  <w:ind w:left="-115" w:right="-105"/>
                  <w:rPr>
                    <w:rFonts w:ascii="Palatino Linotype" w:eastAsia="Palatino Linotype" w:hAnsi="Palatino Linotype" w:cs="Palatino Linotype"/>
                    <w:b/>
                    <w:bCs/>
                    <w:szCs w:val="18"/>
                  </w:rPr>
                </w:pPr>
                <w:r w:rsidRPr="004467F3">
                  <w:rPr>
                    <w:rFonts w:ascii="Palatino Linotype" w:eastAsia="Palatino Linotype" w:hAnsi="Palatino Linotype" w:cs="Palatino Linotype"/>
                    <w:b/>
                    <w:bCs/>
                    <w:szCs w:val="18"/>
                  </w:rPr>
                  <w:t>Comisionada ponente:</w:t>
                </w:r>
              </w:p>
            </w:tc>
            <w:tc>
              <w:tcPr>
                <w:tcW w:w="4920" w:type="dxa"/>
                <w:shd w:val="clear" w:color="auto" w:fill="auto"/>
              </w:tcPr>
              <w:p w:rsidR="005E7774" w:rsidRPr="004467F3" w:rsidRDefault="005E7774">
                <w:pPr>
                  <w:tabs>
                    <w:tab w:val="right" w:pos="8838"/>
                  </w:tabs>
                  <w:ind w:right="-1552"/>
                  <w:rPr>
                    <w:rFonts w:ascii="Palatino Linotype" w:eastAsia="Palatino Linotype" w:hAnsi="Palatino Linotype" w:cs="Palatino Linotype"/>
                    <w:szCs w:val="18"/>
                  </w:rPr>
                </w:pPr>
                <w:r w:rsidRPr="004467F3">
                  <w:rPr>
                    <w:rFonts w:ascii="Palatino Linotype" w:eastAsia="Palatino Linotype" w:hAnsi="Palatino Linotype" w:cs="Palatino Linotype"/>
                    <w:szCs w:val="18"/>
                  </w:rPr>
                  <w:t>María del Rosario Mejía Ayala</w:t>
                </w:r>
              </w:p>
              <w:p w:rsidR="005E7774" w:rsidRPr="004467F3" w:rsidRDefault="005E7774">
                <w:pPr>
                  <w:tabs>
                    <w:tab w:val="right" w:pos="8838"/>
                  </w:tabs>
                  <w:ind w:right="-1552"/>
                  <w:rPr>
                    <w:rFonts w:ascii="Palatino Linotype" w:eastAsia="Palatino Linotype" w:hAnsi="Palatino Linotype" w:cs="Palatino Linotype"/>
                    <w:szCs w:val="18"/>
                  </w:rPr>
                </w:pPr>
              </w:p>
            </w:tc>
          </w:tr>
        </w:tbl>
        <w:p w:rsidR="005E7774" w:rsidRDefault="005E7774">
          <w:pPr>
            <w:tabs>
              <w:tab w:val="right" w:pos="8838"/>
            </w:tabs>
            <w:ind w:left="-28"/>
            <w:jc w:val="both"/>
            <w:rPr>
              <w:rFonts w:ascii="Arial" w:eastAsia="Arial" w:hAnsi="Arial" w:cs="Arial"/>
              <w:b/>
              <w:bCs/>
              <w:sz w:val="22"/>
              <w:szCs w:val="22"/>
            </w:rPr>
          </w:pPr>
        </w:p>
      </w:tc>
    </w:tr>
  </w:tbl>
  <w:p w:rsidR="005E7774" w:rsidRDefault="00957EF2">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9A172B"/>
    <w:multiLevelType w:val="multilevel"/>
    <w:tmpl w:val="00889E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78A0D39"/>
    <w:multiLevelType w:val="multilevel"/>
    <w:tmpl w:val="DE0E5EBC"/>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B976873"/>
    <w:multiLevelType w:val="multilevel"/>
    <w:tmpl w:val="94842292"/>
    <w:lvl w:ilvl="0">
      <w:start w:val="1"/>
      <w:numFmt w:val="decimal"/>
      <w:pStyle w:val="Listaconvietas3"/>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0A74619"/>
    <w:multiLevelType w:val="multilevel"/>
    <w:tmpl w:val="DD521FD4"/>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bCs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5116AC4"/>
    <w:multiLevelType w:val="multilevel"/>
    <w:tmpl w:val="70AE1E4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5CE3AE1"/>
    <w:multiLevelType w:val="multilevel"/>
    <w:tmpl w:val="12EAF834"/>
    <w:lvl w:ilvl="0">
      <w:start w:val="1"/>
      <w:numFmt w:val="bullet"/>
      <w:lvlText w:val="●"/>
      <w:lvlJc w:val="left"/>
      <w:pPr>
        <w:ind w:left="2382" w:hanging="360"/>
      </w:pPr>
      <w:rPr>
        <w:u w:val="none"/>
      </w:rPr>
    </w:lvl>
    <w:lvl w:ilvl="1">
      <w:start w:val="1"/>
      <w:numFmt w:val="bullet"/>
      <w:lvlText w:val="o"/>
      <w:lvlJc w:val="left"/>
      <w:pPr>
        <w:ind w:left="3102" w:hanging="360"/>
      </w:pPr>
      <w:rPr>
        <w:u w:val="none"/>
      </w:rPr>
    </w:lvl>
    <w:lvl w:ilvl="2">
      <w:start w:val="1"/>
      <w:numFmt w:val="bullet"/>
      <w:lvlText w:val="▪"/>
      <w:lvlJc w:val="left"/>
      <w:pPr>
        <w:ind w:left="3822" w:hanging="360"/>
      </w:pPr>
      <w:rPr>
        <w:u w:val="none"/>
      </w:rPr>
    </w:lvl>
    <w:lvl w:ilvl="3">
      <w:start w:val="1"/>
      <w:numFmt w:val="bullet"/>
      <w:lvlText w:val="●"/>
      <w:lvlJc w:val="left"/>
      <w:pPr>
        <w:ind w:left="4542" w:hanging="360"/>
      </w:pPr>
      <w:rPr>
        <w:u w:val="none"/>
      </w:rPr>
    </w:lvl>
    <w:lvl w:ilvl="4">
      <w:start w:val="1"/>
      <w:numFmt w:val="bullet"/>
      <w:lvlText w:val="o"/>
      <w:lvlJc w:val="left"/>
      <w:pPr>
        <w:ind w:left="5262" w:hanging="360"/>
      </w:pPr>
      <w:rPr>
        <w:u w:val="none"/>
      </w:rPr>
    </w:lvl>
    <w:lvl w:ilvl="5">
      <w:start w:val="1"/>
      <w:numFmt w:val="bullet"/>
      <w:lvlText w:val="▪"/>
      <w:lvlJc w:val="left"/>
      <w:pPr>
        <w:ind w:left="5982" w:hanging="360"/>
      </w:pPr>
      <w:rPr>
        <w:u w:val="none"/>
      </w:rPr>
    </w:lvl>
    <w:lvl w:ilvl="6">
      <w:start w:val="1"/>
      <w:numFmt w:val="bullet"/>
      <w:lvlText w:val="●"/>
      <w:lvlJc w:val="left"/>
      <w:pPr>
        <w:ind w:left="6702" w:hanging="360"/>
      </w:pPr>
      <w:rPr>
        <w:u w:val="none"/>
      </w:rPr>
    </w:lvl>
    <w:lvl w:ilvl="7">
      <w:start w:val="1"/>
      <w:numFmt w:val="bullet"/>
      <w:lvlText w:val="o"/>
      <w:lvlJc w:val="left"/>
      <w:pPr>
        <w:ind w:left="7422" w:hanging="360"/>
      </w:pPr>
      <w:rPr>
        <w:u w:val="none"/>
      </w:rPr>
    </w:lvl>
    <w:lvl w:ilvl="8">
      <w:start w:val="1"/>
      <w:numFmt w:val="bullet"/>
      <w:lvlText w:val="▪"/>
      <w:lvlJc w:val="left"/>
      <w:pPr>
        <w:ind w:left="8142" w:hanging="360"/>
      </w:pPr>
      <w:rPr>
        <w:u w:val="none"/>
      </w:rPr>
    </w:lvl>
  </w:abstractNum>
  <w:abstractNum w:abstractNumId="6" w15:restartNumberingAfterBreak="0">
    <w:nsid w:val="47042056"/>
    <w:multiLevelType w:val="multilevel"/>
    <w:tmpl w:val="65BC6F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90A3CAC"/>
    <w:multiLevelType w:val="hybridMultilevel"/>
    <w:tmpl w:val="4B3814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EA71FED"/>
    <w:multiLevelType w:val="multilevel"/>
    <w:tmpl w:val="D7A6AEA8"/>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2111F5D"/>
    <w:multiLevelType w:val="hybridMultilevel"/>
    <w:tmpl w:val="B73859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8A63217"/>
    <w:multiLevelType w:val="multilevel"/>
    <w:tmpl w:val="96F0F61C"/>
    <w:lvl w:ilvl="0">
      <w:start w:val="1"/>
      <w:numFmt w:val="decimal"/>
      <w:lvlText w:val="%1."/>
      <w:lvlJc w:val="left"/>
      <w:pPr>
        <w:ind w:left="925"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FBD1911"/>
    <w:multiLevelType w:val="multilevel"/>
    <w:tmpl w:val="A120D07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98555CF"/>
    <w:multiLevelType w:val="multilevel"/>
    <w:tmpl w:val="3CE20A62"/>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3" w15:restartNumberingAfterBreak="0">
    <w:nsid w:val="71A04B08"/>
    <w:multiLevelType w:val="multilevel"/>
    <w:tmpl w:val="5DB8D732"/>
    <w:lvl w:ilvl="0">
      <w:start w:val="1"/>
      <w:numFmt w:val="decimal"/>
      <w:lvlText w:val="%1."/>
      <w:lvlJc w:val="left"/>
      <w:pPr>
        <w:ind w:left="644"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2271145"/>
    <w:multiLevelType w:val="multilevel"/>
    <w:tmpl w:val="90883D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27B3499"/>
    <w:multiLevelType w:val="multilevel"/>
    <w:tmpl w:val="17824A86"/>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2F04217"/>
    <w:multiLevelType w:val="multilevel"/>
    <w:tmpl w:val="44386498"/>
    <w:lvl w:ilvl="0">
      <w:start w:val="1"/>
      <w:numFmt w:val="upperRoman"/>
      <w:lvlText w:val="%1."/>
      <w:lvlJc w:val="left"/>
      <w:pPr>
        <w:ind w:left="1080" w:hanging="720"/>
      </w:pPr>
      <w:rPr>
        <w:rFonts w:ascii="Times New Roman" w:hAnsi="Times New Roman"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7" w15:restartNumberingAfterBreak="0">
    <w:nsid w:val="74AE1110"/>
    <w:multiLevelType w:val="multilevel"/>
    <w:tmpl w:val="790C312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AEB4B5B"/>
    <w:multiLevelType w:val="multilevel"/>
    <w:tmpl w:val="69822232"/>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0"/>
  </w:num>
  <w:num w:numId="3">
    <w:abstractNumId w:val="13"/>
  </w:num>
  <w:num w:numId="4">
    <w:abstractNumId w:val="3"/>
  </w:num>
  <w:num w:numId="5">
    <w:abstractNumId w:val="0"/>
  </w:num>
  <w:num w:numId="6">
    <w:abstractNumId w:val="14"/>
  </w:num>
  <w:num w:numId="7">
    <w:abstractNumId w:val="6"/>
  </w:num>
  <w:num w:numId="8">
    <w:abstractNumId w:val="7"/>
  </w:num>
  <w:num w:numId="9">
    <w:abstractNumId w:val="15"/>
  </w:num>
  <w:num w:numId="10">
    <w:abstractNumId w:val="11"/>
  </w:num>
  <w:num w:numId="11">
    <w:abstractNumId w:val="1"/>
  </w:num>
  <w:num w:numId="12">
    <w:abstractNumId w:val="17"/>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5"/>
  </w:num>
  <w:num w:numId="16">
    <w:abstractNumId w:val="2"/>
  </w:num>
  <w:num w:numId="17">
    <w:abstractNumId w:val="8"/>
  </w:num>
  <w:num w:numId="18">
    <w:abstractNumId w:val="1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5EF"/>
    <w:rsid w:val="00025A81"/>
    <w:rsid w:val="00050AE0"/>
    <w:rsid w:val="000A2C28"/>
    <w:rsid w:val="000E694D"/>
    <w:rsid w:val="001234D8"/>
    <w:rsid w:val="001956D3"/>
    <w:rsid w:val="001B6D20"/>
    <w:rsid w:val="001E76AD"/>
    <w:rsid w:val="001F7F8E"/>
    <w:rsid w:val="00204309"/>
    <w:rsid w:val="002367BD"/>
    <w:rsid w:val="0026022B"/>
    <w:rsid w:val="002739FA"/>
    <w:rsid w:val="002C5965"/>
    <w:rsid w:val="002E6273"/>
    <w:rsid w:val="00393AD5"/>
    <w:rsid w:val="003B25EF"/>
    <w:rsid w:val="003B6B65"/>
    <w:rsid w:val="00404C22"/>
    <w:rsid w:val="004467F3"/>
    <w:rsid w:val="00461509"/>
    <w:rsid w:val="004D0003"/>
    <w:rsid w:val="004D2213"/>
    <w:rsid w:val="004F77E5"/>
    <w:rsid w:val="00556A2C"/>
    <w:rsid w:val="0058777C"/>
    <w:rsid w:val="005E7774"/>
    <w:rsid w:val="00603C37"/>
    <w:rsid w:val="0060519A"/>
    <w:rsid w:val="006629C2"/>
    <w:rsid w:val="00697E75"/>
    <w:rsid w:val="00697FC3"/>
    <w:rsid w:val="006E1306"/>
    <w:rsid w:val="006F44AF"/>
    <w:rsid w:val="007362A3"/>
    <w:rsid w:val="0073707D"/>
    <w:rsid w:val="007D771C"/>
    <w:rsid w:val="008174FF"/>
    <w:rsid w:val="00836197"/>
    <w:rsid w:val="008568DE"/>
    <w:rsid w:val="00885082"/>
    <w:rsid w:val="008D77A8"/>
    <w:rsid w:val="00957EF2"/>
    <w:rsid w:val="009F1301"/>
    <w:rsid w:val="009F2EA6"/>
    <w:rsid w:val="00A649F2"/>
    <w:rsid w:val="00AB5D5F"/>
    <w:rsid w:val="00AC2040"/>
    <w:rsid w:val="00AF0614"/>
    <w:rsid w:val="00B2019C"/>
    <w:rsid w:val="00B93242"/>
    <w:rsid w:val="00BA7E5D"/>
    <w:rsid w:val="00BD6A3F"/>
    <w:rsid w:val="00BE593B"/>
    <w:rsid w:val="00C12AAA"/>
    <w:rsid w:val="00C37522"/>
    <w:rsid w:val="00C51BE4"/>
    <w:rsid w:val="00D11CD8"/>
    <w:rsid w:val="00D825B4"/>
    <w:rsid w:val="00DC1351"/>
    <w:rsid w:val="00E3589A"/>
    <w:rsid w:val="00E4587B"/>
    <w:rsid w:val="00F04239"/>
    <w:rsid w:val="00F96A02"/>
    <w:rsid w:val="00FF5E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9C788C8D-8D86-4585-A37E-196D866B5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2Car">
    <w:name w:val="Título 2 Car"/>
    <w:basedOn w:val="Fuentedeprrafopredeter"/>
    <w:uiPriority w:val="9"/>
    <w:rsid w:val="00835EC8"/>
    <w:rPr>
      <w:rFonts w:asciiTheme="majorHAnsi" w:eastAsiaTheme="majorEastAsia" w:hAnsiTheme="majorHAnsi" w:cstheme="majorBidi"/>
      <w:color w:val="2E74B5" w:themeColor="accent1" w:themeShade="BF"/>
      <w:sz w:val="26"/>
      <w:szCs w:val="26"/>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35EC8"/>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835EC8"/>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835EC8"/>
    <w:rPr>
      <w:color w:val="0563C1"/>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835EC8"/>
    <w:rPr>
      <w:vertAlign w:val="superscript"/>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835EC8"/>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35EC8"/>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835EC8"/>
    <w:rPr>
      <w:rFonts w:ascii="Times New Roman" w:eastAsia="Times New Roman" w:hAnsi="Times New Roman" w:cs="Times New Roman"/>
      <w:sz w:val="20"/>
      <w:szCs w:val="20"/>
      <w:lang w:eastAsia="es-MX"/>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character" w:styleId="Refdecomentario">
    <w:name w:val="annotation reference"/>
    <w:basedOn w:val="Fuentedeprrafopredeter"/>
    <w:uiPriority w:val="99"/>
    <w:semiHidden/>
    <w:unhideWhenUsed/>
    <w:rsid w:val="009D378D"/>
    <w:rPr>
      <w:sz w:val="16"/>
      <w:szCs w:val="16"/>
    </w:rPr>
  </w:style>
  <w:style w:type="paragraph" w:styleId="Textocomentario">
    <w:name w:val="annotation text"/>
    <w:basedOn w:val="Normal"/>
    <w:link w:val="TextocomentarioCar"/>
    <w:uiPriority w:val="99"/>
    <w:semiHidden/>
    <w:unhideWhenUsed/>
    <w:rsid w:val="009D378D"/>
    <w:rPr>
      <w:sz w:val="20"/>
      <w:szCs w:val="20"/>
    </w:rPr>
  </w:style>
  <w:style w:type="character" w:customStyle="1" w:styleId="TextocomentarioCar">
    <w:name w:val="Texto comentario Car"/>
    <w:basedOn w:val="Fuentedeprrafopredeter"/>
    <w:link w:val="Textocomentario"/>
    <w:uiPriority w:val="99"/>
    <w:semiHidden/>
    <w:rsid w:val="009D378D"/>
    <w:rPr>
      <w:sz w:val="20"/>
      <w:szCs w:val="20"/>
    </w:rPr>
  </w:style>
  <w:style w:type="paragraph" w:styleId="Asuntodelcomentario">
    <w:name w:val="annotation subject"/>
    <w:basedOn w:val="Textocomentario"/>
    <w:next w:val="Textocomentario"/>
    <w:link w:val="AsuntodelcomentarioCar"/>
    <w:uiPriority w:val="99"/>
    <w:semiHidden/>
    <w:unhideWhenUsed/>
    <w:rsid w:val="009D378D"/>
    <w:rPr>
      <w:b/>
      <w:bCs/>
    </w:rPr>
  </w:style>
  <w:style w:type="character" w:customStyle="1" w:styleId="AsuntodelcomentarioCar">
    <w:name w:val="Asunto del comentario Car"/>
    <w:basedOn w:val="TextocomentarioCar"/>
    <w:link w:val="Asuntodelcomentario"/>
    <w:uiPriority w:val="99"/>
    <w:semiHidden/>
    <w:rsid w:val="009D378D"/>
    <w:rPr>
      <w:b/>
      <w:bCs/>
      <w:sz w:val="20"/>
      <w:szCs w:val="20"/>
    </w:rPr>
  </w:style>
  <w:style w:type="paragraph" w:styleId="Textodeglobo">
    <w:name w:val="Balloon Text"/>
    <w:basedOn w:val="Normal"/>
    <w:link w:val="TextodegloboCar"/>
    <w:uiPriority w:val="99"/>
    <w:semiHidden/>
    <w:unhideWhenUsed/>
    <w:rsid w:val="009D378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D378D"/>
    <w:rPr>
      <w:rFonts w:ascii="Segoe UI" w:hAnsi="Segoe UI" w:cs="Segoe UI"/>
      <w:sz w:val="18"/>
      <w:szCs w:val="18"/>
    </w:rPr>
  </w:style>
  <w:style w:type="paragraph" w:styleId="Piedepgina">
    <w:name w:val="footer"/>
    <w:basedOn w:val="Normal"/>
    <w:link w:val="PiedepginaCar"/>
    <w:uiPriority w:val="99"/>
    <w:unhideWhenUsed/>
    <w:rsid w:val="008936E7"/>
    <w:pPr>
      <w:tabs>
        <w:tab w:val="center" w:pos="4419"/>
        <w:tab w:val="right" w:pos="8838"/>
      </w:tabs>
    </w:pPr>
  </w:style>
  <w:style w:type="character" w:customStyle="1" w:styleId="PiedepginaCar">
    <w:name w:val="Pie de página Car"/>
    <w:basedOn w:val="Fuentedeprrafopredeter"/>
    <w:link w:val="Piedepgina"/>
    <w:uiPriority w:val="99"/>
    <w:rsid w:val="008936E7"/>
  </w:style>
  <w:style w:type="table" w:customStyle="1" w:styleId="Tablanormal13">
    <w:name w:val="Tabla normal 13"/>
    <w:basedOn w:val="Tablanormal"/>
    <w:next w:val="Tablanormal1"/>
    <w:uiPriority w:val="41"/>
    <w:rsid w:val="00AF5D34"/>
    <w:rPr>
      <w:rFonts w:asciiTheme="minorHAnsi" w:eastAsiaTheme="minorHAnsi" w:hAnsiTheme="minorHAnsi" w:cstheme="minorBid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AF5D3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visitado">
    <w:name w:val="FollowedHyperlink"/>
    <w:basedOn w:val="Fuentedeprrafopredeter"/>
    <w:uiPriority w:val="99"/>
    <w:semiHidden/>
    <w:unhideWhenUsed/>
    <w:rsid w:val="000D6271"/>
    <w:rPr>
      <w:color w:val="954F72" w:themeColor="followedHyperlink"/>
      <w:u w:val="single"/>
    </w:rPr>
  </w:style>
  <w:style w:type="table" w:styleId="Tablaconcuadrcula">
    <w:name w:val="Table Grid"/>
    <w:basedOn w:val="Tablanormal"/>
    <w:uiPriority w:val="39"/>
    <w:rsid w:val="000D62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TableNormal2"/>
    <w:tblPr>
      <w:tblStyleRowBandSize w:val="1"/>
      <w:tblStyleColBandSize w:val="1"/>
      <w:tblCellMar>
        <w:left w:w="108" w:type="dxa"/>
        <w:right w:w="108" w:type="dxa"/>
      </w:tblCellMar>
    </w:tblPr>
  </w:style>
  <w:style w:type="table" w:customStyle="1" w:styleId="a4">
    <w:basedOn w:val="TableNormal2"/>
    <w:rPr>
      <w:rFonts w:ascii="Calibri" w:eastAsia="Calibri" w:hAnsi="Calibri" w:cs="Calibri"/>
      <w:sz w:val="22"/>
      <w:szCs w:val="22"/>
    </w:r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tblPr>
      <w:tblStyleRowBandSize w:val="1"/>
      <w:tblStyleColBandSize w:val="1"/>
      <w:tblCellMar>
        <w:left w:w="115" w:type="dxa"/>
        <w:right w:w="115" w:type="dxa"/>
      </w:tblCellMar>
    </w:tblPr>
  </w:style>
  <w:style w:type="table" w:customStyle="1" w:styleId="a7">
    <w:basedOn w:val="TableNormal2"/>
    <w:tblPr>
      <w:tblStyleRowBandSize w:val="1"/>
      <w:tblStyleColBandSize w:val="1"/>
      <w:tblCellMar>
        <w:left w:w="115" w:type="dxa"/>
        <w:right w:w="115" w:type="dxa"/>
      </w:tblCellMar>
    </w:tblPr>
  </w:style>
  <w:style w:type="table" w:customStyle="1" w:styleId="a8">
    <w:basedOn w:val="TableNormal2"/>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850EB3"/>
    <w:pPr>
      <w:spacing w:before="100" w:beforeAutospacing="1" w:after="100" w:afterAutospacing="1"/>
    </w:pPr>
  </w:style>
  <w:style w:type="paragraph" w:customStyle="1" w:styleId="m5907675151158779931gmail-msolistparagraph">
    <w:name w:val="m_5907675151158779931gmail-msolistparagraph"/>
    <w:basedOn w:val="Normal"/>
    <w:rsid w:val="00F32383"/>
    <w:pPr>
      <w:spacing w:before="100" w:beforeAutospacing="1" w:after="100" w:afterAutospacing="1"/>
    </w:pPr>
  </w:style>
  <w:style w:type="paragraph" w:styleId="Textoindependiente">
    <w:name w:val="Body Text"/>
    <w:basedOn w:val="Normal"/>
    <w:link w:val="TextoindependienteCar"/>
    <w:rsid w:val="00FD0C3F"/>
    <w:pPr>
      <w:jc w:val="both"/>
    </w:pPr>
    <w:rPr>
      <w:rFonts w:ascii="Arial" w:hAnsi="Arial"/>
      <w:szCs w:val="20"/>
      <w:lang w:val="es-ES_tradnl" w:eastAsia="es-ES"/>
    </w:rPr>
  </w:style>
  <w:style w:type="character" w:customStyle="1" w:styleId="TextoindependienteCar">
    <w:name w:val="Texto independiente Car"/>
    <w:basedOn w:val="Fuentedeprrafopredeter"/>
    <w:link w:val="Textoindependiente"/>
    <w:rsid w:val="00FD0C3F"/>
    <w:rPr>
      <w:rFonts w:ascii="Arial" w:hAnsi="Arial"/>
      <w:szCs w:val="20"/>
      <w:lang w:val="es-ES_tradnl" w:eastAsia="es-ES"/>
    </w:rPr>
  </w:style>
  <w:style w:type="paragraph" w:styleId="Sinespaciado">
    <w:name w:val="No Spacing"/>
    <w:aliases w:val="Francesa,INAI,Fundamentos"/>
    <w:link w:val="SinespaciadoCar"/>
    <w:uiPriority w:val="1"/>
    <w:qFormat/>
    <w:rsid w:val="00AC68B1"/>
    <w:rPr>
      <w:rFonts w:asciiTheme="minorHAnsi" w:eastAsiaTheme="minorEastAsia" w:hAnsiTheme="minorHAnsi" w:cstheme="minorBidi"/>
      <w:lang w:val="es-ES_tradnl" w:eastAsia="es-ES"/>
    </w:rPr>
  </w:style>
  <w:style w:type="character" w:customStyle="1" w:styleId="SinespaciadoCar">
    <w:name w:val="Sin espaciado Car"/>
    <w:aliases w:val="Francesa Car,INAI Car,Fundamentos Car"/>
    <w:link w:val="Sinespaciado"/>
    <w:uiPriority w:val="1"/>
    <w:qFormat/>
    <w:locked/>
    <w:rsid w:val="00AC68B1"/>
    <w:rPr>
      <w:rFonts w:asciiTheme="minorHAnsi" w:eastAsiaTheme="minorEastAsia" w:hAnsiTheme="minorHAnsi" w:cstheme="minorBidi"/>
      <w:lang w:val="es-ES_tradnl" w:eastAsia="es-ES"/>
    </w:rPr>
  </w:style>
  <w:style w:type="character" w:customStyle="1" w:styleId="uv3um">
    <w:name w:val="uv3um"/>
    <w:basedOn w:val="Fuentedeprrafopredeter"/>
    <w:rsid w:val="004D0BA4"/>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paragraph" w:styleId="Lista2">
    <w:name w:val="List 2"/>
    <w:basedOn w:val="Normal"/>
    <w:uiPriority w:val="99"/>
    <w:unhideWhenUsed/>
    <w:rsid w:val="001640EA"/>
    <w:pPr>
      <w:ind w:left="566" w:hanging="283"/>
      <w:contextualSpacing/>
    </w:pPr>
    <w:rPr>
      <w:rFonts w:asciiTheme="minorHAnsi" w:eastAsiaTheme="minorEastAsia" w:hAnsiTheme="minorHAnsi" w:cstheme="minorBidi"/>
      <w:lang w:val="es-ES_tradnl" w:eastAsia="es-ES"/>
    </w:rPr>
  </w:style>
  <w:style w:type="paragraph" w:styleId="Sangradetextonormal">
    <w:name w:val="Body Text Indent"/>
    <w:basedOn w:val="Normal"/>
    <w:link w:val="SangradetextonormalCar"/>
    <w:uiPriority w:val="99"/>
    <w:unhideWhenUsed/>
    <w:rsid w:val="001640EA"/>
    <w:pPr>
      <w:spacing w:after="120"/>
      <w:ind w:left="283"/>
    </w:pPr>
    <w:rPr>
      <w:rFonts w:asciiTheme="minorHAnsi" w:eastAsiaTheme="minorEastAsia" w:hAnsiTheme="minorHAnsi" w:cstheme="minorBidi"/>
      <w:lang w:val="es-ES_tradnl" w:eastAsia="es-ES"/>
    </w:rPr>
  </w:style>
  <w:style w:type="character" w:customStyle="1" w:styleId="SangradetextonormalCar">
    <w:name w:val="Sangría de texto normal Car"/>
    <w:basedOn w:val="Fuentedeprrafopredeter"/>
    <w:link w:val="Sangradetextonormal"/>
    <w:uiPriority w:val="99"/>
    <w:rsid w:val="001640EA"/>
    <w:rPr>
      <w:rFonts w:asciiTheme="minorHAnsi" w:eastAsiaTheme="minorEastAsia" w:hAnsiTheme="minorHAnsi" w:cstheme="minorBidi"/>
      <w:lang w:val="es-ES_tradnl" w:eastAsia="es-ES"/>
    </w:rPr>
  </w:style>
  <w:style w:type="paragraph" w:styleId="Textoindependienteprimerasangra2">
    <w:name w:val="Body Text First Indent 2"/>
    <w:basedOn w:val="Sangradetextonormal"/>
    <w:link w:val="Textoindependienteprimerasangra2Car"/>
    <w:uiPriority w:val="99"/>
    <w:unhideWhenUsed/>
    <w:rsid w:val="001640EA"/>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640EA"/>
    <w:rPr>
      <w:rFonts w:asciiTheme="minorHAnsi" w:eastAsiaTheme="minorEastAsia" w:hAnsiTheme="minorHAnsi" w:cstheme="minorBidi"/>
      <w:lang w:val="es-ES_tradnl" w:eastAsia="es-ES"/>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B2019C"/>
    <w:pPr>
      <w:numPr>
        <w:numId w:val="1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6793098">
      <w:bodyDiv w:val="1"/>
      <w:marLeft w:val="0"/>
      <w:marRight w:val="0"/>
      <w:marTop w:val="0"/>
      <w:marBottom w:val="0"/>
      <w:divBdr>
        <w:top w:val="none" w:sz="0" w:space="0" w:color="auto"/>
        <w:left w:val="none" w:sz="0" w:space="0" w:color="auto"/>
        <w:bottom w:val="none" w:sz="0" w:space="0" w:color="auto"/>
        <w:right w:val="none" w:sz="0" w:space="0" w:color="auto"/>
      </w:divBdr>
    </w:div>
    <w:div w:id="1387871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678177.page" TargetMode="Externa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aimex.org.mx/saimex/solicitud/downloadAttach/2692097.page"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imex.org.mx/saimex/solicitud/downloadAttach/2692096.pag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saimex.org.mx/saimex/solicitud/downloadAttach/2678179.pag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aimex.org.mx/saimex/solicitud/downloadAttach/2678178.page"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EW8WI44P+WzqufRbs96Xlx3EA==">CgMxLjAyCWguM3pueXNoNzIOaC4ydjIzMGtuaWRleTIyCWguM2R5NnZrbTIOaC4ycHFhNG1nbGtndjIyDmguMmlpYXVwcWVreDV0Mg5oLjh0Z3E5YW0yeHk2djIOaC5jeWxkMWlhOThlMTAyDmguYzRuenNweGl0Z2U3Mg1oLmswNnJkZTc1dDM4OAByITEwVlA3YnkxbEw1T1JrUFhObWp6RFl3WlR5d3dIaTUwRQ==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16</Pages>
  <Words>3826</Words>
  <Characters>21043</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24820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INFOEM521</dc:creator>
  <cp:lastModifiedBy>Cuenta Microsoft</cp:lastModifiedBy>
  <cp:revision>8</cp:revision>
  <cp:lastPrinted>2026-05-14T17:34:00Z</cp:lastPrinted>
  <dcterms:created xsi:type="dcterms:W3CDTF">2026-04-29T18:02:00Z</dcterms:created>
  <dcterms:modified xsi:type="dcterms:W3CDTF">2026-05-15T19:50:00Z</dcterms:modified>
</cp:coreProperties>
</file>