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322" w:rsidRPr="00FA5387" w:rsidRDefault="00660322" w:rsidP="00660322">
      <w:pPr>
        <w:pStyle w:val="Prrafodelista"/>
        <w:spacing w:line="360" w:lineRule="auto"/>
        <w:ind w:left="0"/>
        <w:jc w:val="both"/>
        <w:rPr>
          <w:rFonts w:ascii="Palatino Linotype" w:eastAsia="Calibri" w:hAnsi="Palatino Linotype" w:cs="Arial"/>
          <w:b/>
          <w:sz w:val="24"/>
        </w:rPr>
      </w:pPr>
      <w:bookmarkStart w:id="0" w:name="_GoBack"/>
      <w:bookmarkEnd w:id="0"/>
      <w:r w:rsidRPr="00FA5387">
        <w:rPr>
          <w:rFonts w:ascii="Palatino Linotype" w:eastAsia="Calibri" w:hAnsi="Palatino Linotype" w:cs="Arial"/>
          <w:sz w:val="24"/>
        </w:rPr>
        <w:t>Resolución del Pleno del Instituto de Transparencia, Acceso a la Información Pública y Protección de Datos Personales del Estado de México y Municipios, con domicilio</w:t>
      </w:r>
      <w:r w:rsidR="00FA5387">
        <w:rPr>
          <w:rFonts w:ascii="Palatino Linotype" w:eastAsia="Calibri" w:hAnsi="Palatino Linotype" w:cs="Arial"/>
          <w:sz w:val="24"/>
        </w:rPr>
        <w:t xml:space="preserve"> en Metepec, Estado de México; </w:t>
      </w:r>
      <w:r w:rsidR="00FA5387" w:rsidRPr="00FA5387">
        <w:rPr>
          <w:rFonts w:ascii="Palatino Linotype" w:eastAsia="Calibri" w:hAnsi="Palatino Linotype" w:cs="Arial"/>
          <w:b/>
          <w:sz w:val="24"/>
        </w:rPr>
        <w:t>de fecha</w:t>
      </w:r>
      <w:r w:rsidRPr="00FA5387">
        <w:rPr>
          <w:rFonts w:ascii="Palatino Linotype" w:eastAsia="Calibri" w:hAnsi="Palatino Linotype" w:cs="Arial"/>
          <w:b/>
          <w:sz w:val="24"/>
        </w:rPr>
        <w:t xml:space="preserve"> </w:t>
      </w:r>
      <w:r w:rsidR="00360B80" w:rsidRPr="00FA5387">
        <w:rPr>
          <w:rFonts w:ascii="Palatino Linotype" w:eastAsia="Calibri" w:hAnsi="Palatino Linotype" w:cs="Arial"/>
          <w:b/>
          <w:sz w:val="24"/>
        </w:rPr>
        <w:t xml:space="preserve">cinco </w:t>
      </w:r>
      <w:r w:rsidR="00FA5387" w:rsidRPr="00FA5387">
        <w:rPr>
          <w:rFonts w:ascii="Palatino Linotype" w:eastAsia="Calibri" w:hAnsi="Palatino Linotype" w:cs="Arial"/>
          <w:b/>
          <w:sz w:val="24"/>
        </w:rPr>
        <w:t xml:space="preserve">(05) </w:t>
      </w:r>
      <w:r w:rsidR="00360B80" w:rsidRPr="00FA5387">
        <w:rPr>
          <w:rFonts w:ascii="Palatino Linotype" w:eastAsia="Calibri" w:hAnsi="Palatino Linotype" w:cs="Arial"/>
          <w:b/>
          <w:sz w:val="24"/>
        </w:rPr>
        <w:t>de marzo</w:t>
      </w:r>
      <w:r w:rsidR="003C07F7" w:rsidRPr="00FA5387">
        <w:rPr>
          <w:rFonts w:ascii="Palatino Linotype" w:eastAsia="Calibri" w:hAnsi="Palatino Linotype" w:cs="Arial"/>
          <w:b/>
          <w:sz w:val="24"/>
        </w:rPr>
        <w:t xml:space="preserve"> de dos mil veintiséis</w:t>
      </w:r>
      <w:r w:rsidRPr="00FA5387">
        <w:rPr>
          <w:rFonts w:ascii="Palatino Linotype" w:eastAsia="Calibri" w:hAnsi="Palatino Linotype" w:cs="Arial"/>
          <w:b/>
          <w:sz w:val="24"/>
        </w:rPr>
        <w:t>.</w:t>
      </w:r>
    </w:p>
    <w:p w:rsidR="00660322" w:rsidRPr="00FA5387" w:rsidRDefault="00660322" w:rsidP="00660322">
      <w:pPr>
        <w:pStyle w:val="Prrafodelista"/>
        <w:spacing w:line="360" w:lineRule="auto"/>
        <w:ind w:left="0"/>
        <w:jc w:val="both"/>
        <w:rPr>
          <w:rFonts w:ascii="Palatino Linotype" w:eastAsia="Calibri" w:hAnsi="Palatino Linotype" w:cs="Arial"/>
          <w:sz w:val="24"/>
        </w:rPr>
      </w:pPr>
    </w:p>
    <w:p w:rsidR="00660322" w:rsidRPr="00FA5387" w:rsidRDefault="00660322" w:rsidP="00660322">
      <w:pPr>
        <w:pStyle w:val="Prrafodelista"/>
        <w:spacing w:line="360" w:lineRule="auto"/>
        <w:ind w:left="0"/>
        <w:jc w:val="both"/>
        <w:rPr>
          <w:rFonts w:ascii="Palatino Linotype" w:eastAsia="Calibri" w:hAnsi="Palatino Linotype" w:cs="Arial"/>
          <w:sz w:val="24"/>
        </w:rPr>
      </w:pPr>
      <w:r w:rsidRPr="00FA5387">
        <w:rPr>
          <w:rFonts w:ascii="Palatino Linotype" w:eastAsia="Calibri" w:hAnsi="Palatino Linotype" w:cs="Arial"/>
          <w:b/>
          <w:sz w:val="24"/>
        </w:rPr>
        <w:t>VISTOS</w:t>
      </w:r>
      <w:r w:rsidRPr="00FA5387">
        <w:rPr>
          <w:rFonts w:ascii="Palatino Linotype" w:eastAsia="Calibri" w:hAnsi="Palatino Linotype" w:cs="Arial"/>
          <w:sz w:val="24"/>
        </w:rPr>
        <w:t xml:space="preserve"> los expedientes electrónicos formados con motivo de los Recursos de Revisión </w:t>
      </w:r>
      <w:r w:rsidR="00D27977" w:rsidRPr="00FA5387">
        <w:rPr>
          <w:rFonts w:ascii="Palatino Linotype" w:eastAsia="Calibri" w:hAnsi="Palatino Linotype" w:cs="Arial"/>
          <w:b/>
          <w:sz w:val="24"/>
        </w:rPr>
        <w:t>01523/INFOEM/IP/RR/2026, 01528/INFOEM/IP/RR/2026, 01533/INFOEM/IP/RR/2026, 01538/INFOEM/IP/RR/2026, 01543/INFOEM/IP/RR/2026, 01548/INFOEM/IP/RR/2026, 01553/INFOEM/IP/RR/2026, 01558/INFOEM/IP/RR/2026, 01563/INFOEM/IP/RR/2026, 01568/INFOEM/IP/RR/2026, 01573/INFOEM/IP/RR/2026, 01578/INFOEM/IP/RR/2026, 01583/INFOEM/IP/RR/2026, 01588/INFOEM/IP/RR/2026, 01593/INFOEM/IP/RR/2026, 01598/INFOEM/IP/RR/2026, 01603/INFOEM/IP/RR/2026, 01608/INFOEM/IP/RR/2026, 01613/INFOEM/IP/RR/2026, y 01618/INFOEM/IP/RR/2026</w:t>
      </w:r>
      <w:r w:rsidR="003C07F7" w:rsidRPr="00FA5387">
        <w:rPr>
          <w:rFonts w:ascii="Palatino Linotype" w:eastAsia="Calibri" w:hAnsi="Palatino Linotype" w:cs="Arial"/>
          <w:b/>
          <w:sz w:val="24"/>
        </w:rPr>
        <w:t xml:space="preserve">, </w:t>
      </w:r>
      <w:r w:rsidRPr="00FA5387">
        <w:rPr>
          <w:rFonts w:ascii="Palatino Linotype" w:eastAsia="Calibri" w:hAnsi="Palatino Linotype" w:cs="Arial"/>
          <w:sz w:val="24"/>
        </w:rPr>
        <w:t xml:space="preserve">acumulados, promovidos por   </w:t>
      </w:r>
      <w:r w:rsidR="002C2138" w:rsidRPr="00FA5387">
        <w:rPr>
          <w:rFonts w:ascii="Palatino Linotype" w:eastAsia="Calibri" w:hAnsi="Palatino Linotype" w:cs="Arial"/>
          <w:b/>
          <w:sz w:val="24"/>
        </w:rPr>
        <w:t>una persona que no proporcionó datos de identificación</w:t>
      </w:r>
      <w:r w:rsidRPr="00FA5387">
        <w:rPr>
          <w:rFonts w:ascii="Palatino Linotype" w:eastAsia="Calibri" w:hAnsi="Palatino Linotype" w:cs="Arial"/>
          <w:sz w:val="24"/>
        </w:rPr>
        <w:t xml:space="preserve">, a través del Sistema de Acceso a la Información Mexiquense (SAIMEX), a quien en lo sucesivo se le identificará como </w:t>
      </w:r>
      <w:r w:rsidRPr="00FA5387">
        <w:rPr>
          <w:rFonts w:ascii="Palatino Linotype" w:eastAsia="Calibri" w:hAnsi="Palatino Linotype" w:cs="Arial"/>
          <w:b/>
          <w:sz w:val="24"/>
        </w:rPr>
        <w:t>EL RECURRENTE</w:t>
      </w:r>
      <w:r w:rsidRPr="00FA5387">
        <w:rPr>
          <w:rFonts w:ascii="Palatino Linotype" w:eastAsia="Calibri" w:hAnsi="Palatino Linotype" w:cs="Arial"/>
          <w:sz w:val="24"/>
        </w:rPr>
        <w:t xml:space="preserve">, en contra de las respuestas del </w:t>
      </w:r>
      <w:r w:rsidRPr="00FA5387">
        <w:rPr>
          <w:rFonts w:ascii="Palatino Linotype" w:eastAsia="Calibri" w:hAnsi="Palatino Linotype" w:cs="Arial"/>
          <w:b/>
          <w:sz w:val="24"/>
        </w:rPr>
        <w:t xml:space="preserve">Ayuntamiento de </w:t>
      </w:r>
      <w:r w:rsidR="00B10761" w:rsidRPr="00FA5387">
        <w:rPr>
          <w:rFonts w:ascii="Palatino Linotype" w:eastAsia="Calibri" w:hAnsi="Palatino Linotype" w:cs="Arial"/>
          <w:b/>
          <w:sz w:val="24"/>
        </w:rPr>
        <w:t>Toluca</w:t>
      </w:r>
      <w:r w:rsidRPr="00FA5387">
        <w:rPr>
          <w:rFonts w:ascii="Palatino Linotype" w:eastAsia="Calibri" w:hAnsi="Palatino Linotype" w:cs="Arial"/>
          <w:sz w:val="24"/>
        </w:rPr>
        <w:t xml:space="preserve">, en lo sucesivo </w:t>
      </w:r>
      <w:r w:rsidRPr="00FA5387">
        <w:rPr>
          <w:rFonts w:ascii="Palatino Linotype" w:eastAsia="Calibri" w:hAnsi="Palatino Linotype" w:cs="Arial"/>
          <w:b/>
          <w:sz w:val="24"/>
        </w:rPr>
        <w:t>EL SUJETO OBLIGADO</w:t>
      </w:r>
      <w:r w:rsidRPr="00FA5387">
        <w:rPr>
          <w:rFonts w:ascii="Palatino Linotype" w:eastAsia="Calibri" w:hAnsi="Palatino Linotype" w:cs="Arial"/>
          <w:sz w:val="24"/>
        </w:rPr>
        <w:t>, se procede a dictar la presente resolución, con base en los siguientes:</w:t>
      </w:r>
      <w:bookmarkStart w:id="1" w:name="_Toc85733154"/>
    </w:p>
    <w:p w:rsidR="00FA6676" w:rsidRPr="00FA5387" w:rsidRDefault="00FA6676" w:rsidP="00660322">
      <w:pPr>
        <w:pStyle w:val="Prrafodelista"/>
        <w:spacing w:line="360" w:lineRule="auto"/>
        <w:ind w:left="0"/>
        <w:jc w:val="both"/>
        <w:rPr>
          <w:rFonts w:ascii="Palatino Linotype" w:eastAsia="Calibri" w:hAnsi="Palatino Linotype" w:cs="Arial"/>
          <w:sz w:val="24"/>
        </w:rPr>
      </w:pPr>
    </w:p>
    <w:p w:rsidR="00660322" w:rsidRPr="00FA5387" w:rsidRDefault="00660322" w:rsidP="00660322">
      <w:pPr>
        <w:pStyle w:val="Prrafodelista"/>
        <w:spacing w:line="360" w:lineRule="auto"/>
        <w:ind w:left="0"/>
        <w:jc w:val="center"/>
        <w:rPr>
          <w:rFonts w:ascii="Palatino Linotype" w:eastAsia="Calibri" w:hAnsi="Palatino Linotype" w:cs="Arial"/>
          <w:b/>
          <w:sz w:val="24"/>
        </w:rPr>
      </w:pPr>
      <w:r w:rsidRPr="00FA5387">
        <w:rPr>
          <w:rFonts w:ascii="Palatino Linotype" w:eastAsia="Calibri" w:hAnsi="Palatino Linotype" w:cs="Arial"/>
          <w:b/>
          <w:sz w:val="24"/>
        </w:rPr>
        <w:t>A N T E C E D E N T E S</w:t>
      </w:r>
      <w:bookmarkEnd w:id="1"/>
    </w:p>
    <w:p w:rsidR="00660322" w:rsidRPr="00FA5387" w:rsidRDefault="00660322" w:rsidP="00660322">
      <w:pPr>
        <w:spacing w:line="360" w:lineRule="auto"/>
        <w:rPr>
          <w:rFonts w:ascii="Palatino Linotype" w:hAnsi="Palatino Linotype"/>
          <w:sz w:val="24"/>
          <w:szCs w:val="24"/>
          <w:lang w:val="es-ES" w:eastAsia="es-ES"/>
        </w:rPr>
      </w:pPr>
    </w:p>
    <w:p w:rsidR="00660322" w:rsidRPr="00FA5387" w:rsidRDefault="00660322" w:rsidP="00782DBB">
      <w:pPr>
        <w:pStyle w:val="Prrafodelista"/>
        <w:numPr>
          <w:ilvl w:val="0"/>
          <w:numId w:val="2"/>
        </w:numPr>
        <w:spacing w:line="360" w:lineRule="auto"/>
        <w:ind w:left="0" w:firstLine="0"/>
        <w:contextualSpacing w:val="0"/>
        <w:jc w:val="both"/>
        <w:rPr>
          <w:rFonts w:ascii="Palatino Linotype" w:eastAsia="Calibri" w:hAnsi="Palatino Linotype" w:cs="Arial"/>
          <w:sz w:val="24"/>
        </w:rPr>
      </w:pPr>
      <w:r w:rsidRPr="00FA5387">
        <w:rPr>
          <w:rFonts w:ascii="Palatino Linotype" w:eastAsia="Calibri" w:hAnsi="Palatino Linotype" w:cs="Arial"/>
          <w:sz w:val="24"/>
        </w:rPr>
        <w:t xml:space="preserve">El </w:t>
      </w:r>
      <w:r w:rsidR="00B10761" w:rsidRPr="00FA5387">
        <w:rPr>
          <w:rFonts w:ascii="Palatino Linotype" w:eastAsia="Calibri" w:hAnsi="Palatino Linotype" w:cs="Arial"/>
          <w:sz w:val="24"/>
        </w:rPr>
        <w:t>catorce de enero</w:t>
      </w:r>
      <w:r w:rsidR="0073102E" w:rsidRPr="00FA5387">
        <w:rPr>
          <w:rFonts w:ascii="Palatino Linotype" w:eastAsia="Calibri" w:hAnsi="Palatino Linotype" w:cs="Arial"/>
          <w:sz w:val="24"/>
        </w:rPr>
        <w:t xml:space="preserve"> de dos mil veintiséis</w:t>
      </w:r>
      <w:r w:rsidRPr="00FA5387">
        <w:rPr>
          <w:rFonts w:ascii="Palatino Linotype" w:eastAsia="Calibri" w:hAnsi="Palatino Linotype" w:cs="Arial"/>
          <w:sz w:val="24"/>
        </w:rPr>
        <w:t xml:space="preserve"> respectivamente, se presentó ante el </w:t>
      </w:r>
      <w:r w:rsidRPr="00FA5387">
        <w:rPr>
          <w:rFonts w:ascii="Palatino Linotype" w:eastAsia="Calibri" w:hAnsi="Palatino Linotype" w:cs="Arial"/>
          <w:b/>
          <w:sz w:val="24"/>
        </w:rPr>
        <w:t>SUJETO OBLIGADO</w:t>
      </w:r>
      <w:r w:rsidRPr="00FA5387">
        <w:rPr>
          <w:rFonts w:ascii="Palatino Linotype" w:eastAsia="Calibri" w:hAnsi="Palatino Linotype" w:cs="Arial"/>
          <w:sz w:val="24"/>
        </w:rPr>
        <w:t xml:space="preserve"> vía </w:t>
      </w:r>
      <w:r w:rsidRPr="00FA5387">
        <w:rPr>
          <w:rFonts w:ascii="Palatino Linotype" w:eastAsia="Calibri" w:hAnsi="Palatino Linotype" w:cs="Arial"/>
          <w:b/>
          <w:sz w:val="24"/>
        </w:rPr>
        <w:t>SAIMEX</w:t>
      </w:r>
      <w:r w:rsidRPr="00FA5387">
        <w:rPr>
          <w:rFonts w:ascii="Palatino Linotype" w:eastAsia="Calibri" w:hAnsi="Palatino Linotype" w:cs="Arial"/>
          <w:sz w:val="24"/>
        </w:rPr>
        <w:t>, las solicitudes de información pública registradas con los números</w:t>
      </w:r>
      <w:r w:rsidRPr="00FA5387">
        <w:rPr>
          <w:rFonts w:ascii="Palatino Linotype" w:hAnsi="Palatino Linotype"/>
          <w:b/>
          <w:bCs/>
          <w:color w:val="000000" w:themeColor="text1"/>
          <w:sz w:val="24"/>
        </w:rPr>
        <w:t xml:space="preserve"> </w:t>
      </w:r>
      <w:r w:rsidR="0073102E" w:rsidRPr="00FA5387">
        <w:rPr>
          <w:rFonts w:ascii="Palatino Linotype" w:hAnsi="Palatino Linotype"/>
          <w:b/>
          <w:bCs/>
          <w:sz w:val="24"/>
        </w:rPr>
        <w:t>00576</w:t>
      </w:r>
      <w:r w:rsidRPr="00FA5387">
        <w:rPr>
          <w:rFonts w:ascii="Palatino Linotype" w:hAnsi="Palatino Linotype"/>
          <w:b/>
          <w:bCs/>
          <w:sz w:val="24"/>
        </w:rPr>
        <w:t>/</w:t>
      </w:r>
      <w:r w:rsidR="0073102E" w:rsidRPr="00FA5387">
        <w:rPr>
          <w:rFonts w:ascii="Palatino Linotype" w:hAnsi="Palatino Linotype"/>
          <w:b/>
          <w:bCs/>
          <w:sz w:val="24"/>
        </w:rPr>
        <w:t>TOLUCA/IP/2026,</w:t>
      </w:r>
      <w:r w:rsidR="002C2138" w:rsidRPr="00FA5387">
        <w:rPr>
          <w:rFonts w:ascii="Palatino Linotype" w:hAnsi="Palatino Linotype"/>
          <w:b/>
          <w:bCs/>
          <w:sz w:val="24"/>
        </w:rPr>
        <w:t xml:space="preserve"> 00</w:t>
      </w:r>
      <w:r w:rsidR="0073102E" w:rsidRPr="00FA5387">
        <w:rPr>
          <w:rFonts w:ascii="Palatino Linotype" w:hAnsi="Palatino Linotype"/>
          <w:b/>
          <w:bCs/>
          <w:sz w:val="24"/>
        </w:rPr>
        <w:t>583</w:t>
      </w:r>
      <w:r w:rsidRPr="00FA5387">
        <w:rPr>
          <w:rFonts w:ascii="Palatino Linotype" w:hAnsi="Palatino Linotype"/>
          <w:b/>
          <w:bCs/>
          <w:sz w:val="24"/>
        </w:rPr>
        <w:t>/</w:t>
      </w:r>
      <w:r w:rsidR="0073102E" w:rsidRPr="00FA5387">
        <w:rPr>
          <w:rFonts w:ascii="Palatino Linotype" w:hAnsi="Palatino Linotype"/>
          <w:b/>
          <w:bCs/>
          <w:sz w:val="24"/>
        </w:rPr>
        <w:t>TOLUCA/IP/2026</w:t>
      </w:r>
      <w:r w:rsidRPr="00FA5387">
        <w:rPr>
          <w:rFonts w:ascii="Palatino Linotype" w:hAnsi="Palatino Linotype"/>
          <w:b/>
          <w:bCs/>
          <w:color w:val="000000" w:themeColor="text1"/>
          <w:sz w:val="24"/>
        </w:rPr>
        <w:t xml:space="preserve">, </w:t>
      </w:r>
      <w:r w:rsidR="0073102E" w:rsidRPr="00FA5387">
        <w:rPr>
          <w:rFonts w:ascii="Palatino Linotype" w:hAnsi="Palatino Linotype"/>
          <w:b/>
          <w:bCs/>
          <w:sz w:val="24"/>
        </w:rPr>
        <w:t xml:space="preserve">00588/TOLUCA/IP/2026, </w:t>
      </w:r>
      <w:r w:rsidR="0073102E" w:rsidRPr="00FA5387">
        <w:rPr>
          <w:rFonts w:ascii="Palatino Linotype" w:hAnsi="Palatino Linotype"/>
          <w:b/>
          <w:bCs/>
          <w:sz w:val="24"/>
        </w:rPr>
        <w:lastRenderedPageBreak/>
        <w:t>00583/TOLUCA/IP/2026, 00576/TOLUCA/IP/2026, 00583/TOLUCA/IP/2026, 00592/TOLUCA/IP/2026, 00598/TOLUCA/IP/2026, 00603/TOLUCA/IP/2026, 00608/TOLUCA/IP/2026, 00615/TOLUCA/IP/2026, 00620/TOLUCA/IP/2026</w:t>
      </w:r>
      <w:r w:rsidR="0073102E" w:rsidRPr="00FA5387">
        <w:rPr>
          <w:rFonts w:ascii="Palatino Linotype" w:hAnsi="Palatino Linotype"/>
          <w:b/>
          <w:bCs/>
          <w:color w:val="000000" w:themeColor="text1"/>
          <w:sz w:val="24"/>
        </w:rPr>
        <w:t xml:space="preserve">, </w:t>
      </w:r>
      <w:r w:rsidR="0073102E" w:rsidRPr="00FA5387">
        <w:rPr>
          <w:rFonts w:ascii="Palatino Linotype" w:hAnsi="Palatino Linotype"/>
          <w:b/>
          <w:bCs/>
          <w:sz w:val="24"/>
        </w:rPr>
        <w:t xml:space="preserve">00625/TOLUCA/IP/2026, 00630/TOLUCA/IP/2026, 00635/TOLUCA/IP/2026, 00640/TOLUCA/IP/2026, 00645/TOLUCA/IP/2026, 00650/TOLUCA/IP/2026, 00655/TOLUCA/IP/2026,  00660/TOLUCA/IP/2026, 00665/TOLUCA/IP/2026, 00668/TOLUCA/IP/2026 y  00673/TOLUCA/IP/2026  </w:t>
      </w:r>
      <w:r w:rsidRPr="00FA5387">
        <w:rPr>
          <w:rFonts w:ascii="Palatino Linotype" w:eastAsia="Calibri" w:hAnsi="Palatino Linotype" w:cs="Arial"/>
          <w:sz w:val="24"/>
        </w:rPr>
        <w:t>mediante las cuales se solicitó la siguiente información:</w:t>
      </w:r>
    </w:p>
    <w:tbl>
      <w:tblPr>
        <w:tblStyle w:val="Tablaconcuadrcula"/>
        <w:tblpPr w:leftFromText="141" w:rightFromText="141" w:vertAnchor="text" w:tblpY="1"/>
        <w:tblOverlap w:val="never"/>
        <w:tblW w:w="9751" w:type="dxa"/>
        <w:tblBorders>
          <w:top w:val="threeDEngrave" w:sz="12" w:space="0" w:color="auto"/>
          <w:left w:val="threeDEngrave" w:sz="12" w:space="0" w:color="auto"/>
          <w:bottom w:val="threeDEngrave" w:sz="12" w:space="0" w:color="auto"/>
          <w:right w:val="threeDEngrave" w:sz="12" w:space="0" w:color="auto"/>
          <w:insideH w:val="threeDEngrave" w:sz="12" w:space="0" w:color="auto"/>
          <w:insideV w:val="threeDEngrave" w:sz="12" w:space="0" w:color="auto"/>
        </w:tblBorders>
        <w:tblLook w:val="04A0" w:firstRow="1" w:lastRow="0" w:firstColumn="1" w:lastColumn="0" w:noHBand="0" w:noVBand="1"/>
      </w:tblPr>
      <w:tblGrid>
        <w:gridCol w:w="2802"/>
        <w:gridCol w:w="6949"/>
      </w:tblGrid>
      <w:tr w:rsidR="0073102E" w:rsidRPr="00FA5387" w:rsidTr="00FA5387">
        <w:trPr>
          <w:trHeight w:val="696"/>
          <w:tblHeader/>
        </w:trPr>
        <w:tc>
          <w:tcPr>
            <w:tcW w:w="2380" w:type="dxa"/>
            <w:shd w:val="clear" w:color="auto" w:fill="D9D9D9" w:themeFill="background1" w:themeFillShade="D9"/>
            <w:vAlign w:val="center"/>
          </w:tcPr>
          <w:p w:rsidR="0073102E" w:rsidRPr="00FA5387" w:rsidRDefault="0073102E" w:rsidP="00FA5387">
            <w:pPr>
              <w:jc w:val="center"/>
              <w:rPr>
                <w:rFonts w:ascii="Palatino Linotype" w:hAnsi="Palatino Linotype" w:cs="Arial"/>
                <w:b/>
                <w:sz w:val="24"/>
                <w:szCs w:val="24"/>
              </w:rPr>
            </w:pPr>
            <w:r w:rsidRPr="00FA5387">
              <w:rPr>
                <w:rFonts w:ascii="Palatino Linotype" w:hAnsi="Palatino Linotype" w:cs="Arial"/>
                <w:b/>
                <w:sz w:val="24"/>
                <w:szCs w:val="24"/>
              </w:rPr>
              <w:t>FOLIO DE LA SOLICITUD</w:t>
            </w:r>
          </w:p>
        </w:tc>
        <w:tc>
          <w:tcPr>
            <w:tcW w:w="7371" w:type="dxa"/>
            <w:shd w:val="clear" w:color="auto" w:fill="D9D9D9" w:themeFill="background1" w:themeFillShade="D9"/>
            <w:vAlign w:val="center"/>
          </w:tcPr>
          <w:p w:rsidR="0073102E" w:rsidRPr="00FA5387" w:rsidRDefault="0073102E" w:rsidP="00FA5387">
            <w:pPr>
              <w:jc w:val="center"/>
              <w:rPr>
                <w:rFonts w:ascii="Palatino Linotype" w:hAnsi="Palatino Linotype" w:cs="Arial"/>
                <w:b/>
                <w:sz w:val="24"/>
                <w:szCs w:val="24"/>
              </w:rPr>
            </w:pPr>
            <w:r w:rsidRPr="00FA5387">
              <w:rPr>
                <w:rFonts w:ascii="Palatino Linotype" w:hAnsi="Palatino Linotype" w:cs="Arial"/>
                <w:b/>
                <w:sz w:val="24"/>
                <w:szCs w:val="24"/>
              </w:rPr>
              <w:t>DESCRIPCIÓN DE LA INFORMACIÓN SOLICITADA</w:t>
            </w:r>
          </w:p>
        </w:tc>
      </w:tr>
      <w:tr w:rsidR="0073102E" w:rsidRPr="00FA5387" w:rsidTr="00FA5387">
        <w:trPr>
          <w:trHeight w:val="460"/>
        </w:trPr>
        <w:tc>
          <w:tcPr>
            <w:tcW w:w="2380" w:type="dxa"/>
            <w:vAlign w:val="center"/>
          </w:tcPr>
          <w:p w:rsidR="0073102E" w:rsidRPr="00FA5387" w:rsidRDefault="0073102E" w:rsidP="00FA5387">
            <w:pPr>
              <w:jc w:val="center"/>
              <w:rPr>
                <w:rFonts w:ascii="Palatino Linotype" w:hAnsi="Palatino Linotype" w:cs="Arial"/>
                <w:b/>
                <w:sz w:val="24"/>
                <w:szCs w:val="24"/>
              </w:rPr>
            </w:pPr>
            <w:r w:rsidRPr="00FA5387">
              <w:rPr>
                <w:rFonts w:ascii="Palatino Linotype" w:hAnsi="Palatino Linotype" w:cs="Arial"/>
                <w:b/>
                <w:sz w:val="24"/>
                <w:szCs w:val="24"/>
              </w:rPr>
              <w:t>00576/TOLUCA/IP/2026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 xml:space="preserve">“Del recurso de revisión 012404/INFOEM/IP/RR/2025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w:t>
            </w:r>
            <w:r w:rsidRPr="00FA5387">
              <w:rPr>
                <w:rFonts w:ascii="Palatino Linotype" w:hAnsi="Palatino Linotype" w:cs="Arial"/>
                <w:i/>
                <w:sz w:val="24"/>
                <w:szCs w:val="24"/>
              </w:rPr>
              <w:lastRenderedPageBreak/>
              <w:t>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(Sic).</w:t>
            </w:r>
          </w:p>
        </w:tc>
      </w:tr>
      <w:tr w:rsidR="0073102E" w:rsidRPr="00FA5387" w:rsidTr="00FA5387">
        <w:trPr>
          <w:trHeight w:val="460"/>
        </w:trPr>
        <w:tc>
          <w:tcPr>
            <w:tcW w:w="2380" w:type="dxa"/>
            <w:shd w:val="clear" w:color="auto" w:fill="F2F2F2" w:themeFill="background1" w:themeFillShade="F2"/>
            <w:vAlign w:val="center"/>
          </w:tcPr>
          <w:p w:rsidR="0073102E" w:rsidRPr="00FA5387" w:rsidRDefault="0073102E" w:rsidP="00FA5387">
            <w:pPr>
              <w:jc w:val="center"/>
              <w:rPr>
                <w:rFonts w:ascii="Palatino Linotype" w:hAnsi="Palatino Linotype" w:cs="Arial"/>
                <w:b/>
                <w:sz w:val="24"/>
                <w:szCs w:val="24"/>
              </w:rPr>
            </w:pPr>
            <w:r w:rsidRPr="00FA5387">
              <w:rPr>
                <w:rFonts w:ascii="Palatino Linotype" w:hAnsi="Palatino Linotype" w:cs="Arial"/>
                <w:b/>
                <w:sz w:val="24"/>
                <w:szCs w:val="24"/>
              </w:rPr>
              <w:lastRenderedPageBreak/>
              <w:t>00583/TOLUCA/IP/2026</w:t>
            </w:r>
          </w:p>
        </w:tc>
        <w:tc>
          <w:tcPr>
            <w:tcW w:w="7371" w:type="dxa"/>
            <w:shd w:val="clear" w:color="auto" w:fill="F2F2F2" w:themeFill="background1" w:themeFillShade="F2"/>
            <w:vAlign w:val="center"/>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 xml:space="preserve">“Del recurso de revisión 012409/INFOEM/IP/RR/2025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w:t>
            </w:r>
            <w:r w:rsidRPr="00FA5387">
              <w:rPr>
                <w:rFonts w:ascii="Palatino Linotype" w:hAnsi="Palatino Linotype" w:cs="Arial"/>
                <w:i/>
                <w:sz w:val="24"/>
                <w:szCs w:val="24"/>
              </w:rPr>
              <w:lastRenderedPageBreak/>
              <w:t xml:space="preserve">indicar si el recurso genera alguna responsabilidad directa a algún funcionario público -indicar si existe apercibimiento por parte del infoem -indicar si el asunto se encuentra concluído o en proceso - indicar qué áreas dieron la respuesta completa y que áreas” (Sic). </w:t>
            </w:r>
          </w:p>
        </w:tc>
      </w:tr>
      <w:tr w:rsidR="0073102E" w:rsidRPr="00FA5387" w:rsidTr="00FA5387">
        <w:trPr>
          <w:trHeight w:val="460"/>
        </w:trPr>
        <w:tc>
          <w:tcPr>
            <w:tcW w:w="2380" w:type="dxa"/>
            <w:vAlign w:val="center"/>
          </w:tcPr>
          <w:p w:rsidR="0073102E" w:rsidRPr="00FA5387" w:rsidRDefault="00875836" w:rsidP="00FA5387">
            <w:pPr>
              <w:jc w:val="center"/>
              <w:rPr>
                <w:rFonts w:ascii="Palatino Linotype" w:hAnsi="Palatino Linotype" w:cs="Arial"/>
                <w:b/>
                <w:sz w:val="24"/>
                <w:szCs w:val="24"/>
              </w:rPr>
            </w:pPr>
            <w:bookmarkStart w:id="2" w:name="_Hlk99021051"/>
            <w:r w:rsidRPr="00FA5387">
              <w:rPr>
                <w:rFonts w:ascii="Palatino Linotype" w:hAnsi="Palatino Linotype" w:cs="Arial"/>
                <w:b/>
                <w:bCs/>
                <w:sz w:val="24"/>
                <w:szCs w:val="24"/>
              </w:rPr>
              <w:lastRenderedPageBreak/>
              <w:t>00588TOLUCA/IP/2026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Del recurso de revisión 012412/INFOEM/IP/RR/2025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875836" w:rsidP="00FA5387">
            <w:pPr>
              <w:jc w:val="center"/>
              <w:rPr>
                <w:rFonts w:ascii="Palatino Linotype" w:hAnsi="Palatino Linotype" w:cs="Arial"/>
                <w:b/>
                <w:i/>
                <w:sz w:val="24"/>
                <w:szCs w:val="24"/>
              </w:rPr>
            </w:pPr>
            <w:r w:rsidRPr="00FA5387">
              <w:rPr>
                <w:rFonts w:ascii="Palatino Linotype" w:hAnsi="Palatino Linotype" w:cs="Arial"/>
                <w:b/>
                <w:bCs/>
                <w:sz w:val="24"/>
                <w:szCs w:val="24"/>
              </w:rPr>
              <w:lastRenderedPageBreak/>
              <w:t>00592/TOLUCA/IP/2026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Del recurso de revisión 012416/INFOEM/IP/RR/2025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t>00598/TOLUCA/IP/2026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012419/INFOEM/IP/RR/2025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w:t>
            </w:r>
            <w:r w:rsidR="00875836" w:rsidRPr="00FA5387">
              <w:rPr>
                <w:rFonts w:ascii="Palatino Linotype" w:hAnsi="Palatino Linotype" w:cs="Arial"/>
                <w:i/>
                <w:sz w:val="24"/>
                <w:szCs w:val="24"/>
              </w:rPr>
              <w:lastRenderedPageBreak/>
              <w:t>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00603/TOLUCA/IP/2026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012423/INFOEM/IP/RR/2025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w:t>
            </w:r>
            <w:r w:rsidR="00875836" w:rsidRPr="00FA5387">
              <w:rPr>
                <w:rFonts w:ascii="Palatino Linotype" w:hAnsi="Palatino Linotype" w:cs="Arial"/>
                <w:i/>
                <w:sz w:val="24"/>
                <w:szCs w:val="24"/>
              </w:rPr>
              <w:lastRenderedPageBreak/>
              <w:t>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00608/TOLUCA/IP/2026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012429/INFOEM/IP/RR/2025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w:t>
            </w:r>
            <w:r w:rsidR="00875836" w:rsidRPr="00FA5387">
              <w:rPr>
                <w:rFonts w:ascii="Palatino Linotype" w:hAnsi="Palatino Linotype" w:cs="Arial"/>
                <w:i/>
                <w:sz w:val="24"/>
                <w:szCs w:val="24"/>
              </w:rPr>
              <w:lastRenderedPageBreak/>
              <w:t>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00615</w:t>
            </w:r>
            <w:r w:rsidR="0073102E" w:rsidRPr="00FA5387">
              <w:rPr>
                <w:rFonts w:ascii="Palatino Linotype" w:hAnsi="Palatino Linotype" w:cs="Arial"/>
                <w:b/>
                <w:bCs/>
                <w:sz w:val="24"/>
                <w:szCs w:val="24"/>
              </w:rPr>
              <w:t>/TOLUCA/IP/202</w:t>
            </w:r>
            <w:r w:rsidRPr="00FA5387">
              <w:rPr>
                <w:rFonts w:ascii="Palatino Linotype" w:hAnsi="Palatino Linotype" w:cs="Arial"/>
                <w:b/>
                <w:bCs/>
                <w:sz w:val="24"/>
                <w:szCs w:val="24"/>
              </w:rPr>
              <w:t>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012432/INFOEM/IP/RR/2025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w:t>
            </w:r>
            <w:r w:rsidR="00875836" w:rsidRPr="00FA5387">
              <w:rPr>
                <w:rFonts w:ascii="Palatino Linotype" w:hAnsi="Palatino Linotype" w:cs="Arial"/>
                <w:i/>
                <w:sz w:val="24"/>
                <w:szCs w:val="24"/>
              </w:rPr>
              <w:lastRenderedPageBreak/>
              <w:t>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00620/TOLUCA/IP/2026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012436/INFOEM/IP/RR/2025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w:t>
            </w:r>
            <w:r w:rsidR="00875836" w:rsidRPr="00FA5387">
              <w:rPr>
                <w:rFonts w:ascii="Palatino Linotype" w:hAnsi="Palatino Linotype" w:cs="Arial"/>
                <w:i/>
                <w:sz w:val="24"/>
                <w:szCs w:val="24"/>
              </w:rPr>
              <w:lastRenderedPageBreak/>
              <w:t>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00625/TOLUCA/IP/2026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Del recurso de revisión 012442/INFOEM/IP/RR/2025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00630/TOLUCA/IP/2026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Del recurso de revisión 012450/INFOEM/IP/RR/2025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t>00635/TOLUCA/IP/2026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012459/INFOEM/IP/RR/2025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w:t>
            </w:r>
            <w:r w:rsidR="00875836" w:rsidRPr="00FA5387">
              <w:rPr>
                <w:rFonts w:ascii="Palatino Linotype" w:hAnsi="Palatino Linotype" w:cs="Arial"/>
                <w:i/>
                <w:sz w:val="24"/>
                <w:szCs w:val="24"/>
              </w:rPr>
              <w:lastRenderedPageBreak/>
              <w:t>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875836" w:rsidP="00FA5387">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00640/TOLUCA/IP/2026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012465/INFOEM/IP/RR/2025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w:t>
            </w:r>
            <w:r w:rsidR="00875836" w:rsidRPr="00FA5387">
              <w:rPr>
                <w:rFonts w:ascii="Palatino Linotype" w:hAnsi="Palatino Linotype" w:cs="Arial"/>
                <w:i/>
                <w:sz w:val="24"/>
                <w:szCs w:val="24"/>
              </w:rPr>
              <w:lastRenderedPageBreak/>
              <w:t>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875836" w:rsidP="00FA5387">
            <w:pPr>
              <w:jc w:val="center"/>
              <w:rPr>
                <w:rFonts w:ascii="Palatino Linotype" w:hAnsi="Palatino Linotype" w:cs="Arial"/>
                <w:b/>
                <w:bCs/>
                <w:sz w:val="24"/>
                <w:szCs w:val="24"/>
              </w:rPr>
            </w:pPr>
            <w:r w:rsidRPr="00FA5387">
              <w:rPr>
                <w:rFonts w:ascii="Palatino Linotype" w:hAnsi="Palatino Linotype" w:cs="Arial"/>
                <w:b/>
                <w:bCs/>
                <w:sz w:val="24"/>
                <w:szCs w:val="24"/>
              </w:rPr>
              <w:lastRenderedPageBreak/>
              <w:t>00645/TOLUCA/IP/2026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012470/INFOEM/IP/RR/2025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w:t>
            </w:r>
            <w:r w:rsidR="00875836" w:rsidRPr="00FA5387">
              <w:rPr>
                <w:rFonts w:ascii="Palatino Linotype" w:hAnsi="Palatino Linotype" w:cs="Arial"/>
                <w:i/>
                <w:sz w:val="24"/>
                <w:szCs w:val="24"/>
              </w:rPr>
              <w:lastRenderedPageBreak/>
              <w:t>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875836" w:rsidP="00FA5387">
            <w:pPr>
              <w:jc w:val="center"/>
              <w:rPr>
                <w:rFonts w:ascii="Palatino Linotype" w:hAnsi="Palatino Linotype" w:cs="Arial"/>
                <w:b/>
                <w:bCs/>
                <w:sz w:val="24"/>
                <w:szCs w:val="24"/>
              </w:rPr>
            </w:pPr>
            <w:r w:rsidRPr="00FA5387">
              <w:rPr>
                <w:rFonts w:ascii="Palatino Linotype" w:hAnsi="Palatino Linotype" w:cs="Arial"/>
                <w:b/>
                <w:bCs/>
                <w:sz w:val="24"/>
                <w:szCs w:val="24"/>
              </w:rPr>
              <w:lastRenderedPageBreak/>
              <w:t>00650/TOLUCA/IP/2026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875836" w:rsidRPr="00FA5387">
              <w:rPr>
                <w:rFonts w:ascii="Palatino Linotype" w:hAnsi="Palatino Linotype" w:cs="Arial"/>
                <w:i/>
                <w:sz w:val="24"/>
                <w:szCs w:val="24"/>
              </w:rPr>
              <w:t xml:space="preserve">Del recurso de revisión 012474/INFOEM/IP/RR/2025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w:t>
            </w:r>
            <w:r w:rsidR="00875836" w:rsidRPr="00FA5387">
              <w:rPr>
                <w:rFonts w:ascii="Palatino Linotype" w:hAnsi="Palatino Linotype" w:cs="Arial"/>
                <w:i/>
                <w:sz w:val="24"/>
                <w:szCs w:val="24"/>
              </w:rPr>
              <w:lastRenderedPageBreak/>
              <w:t>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2243D9" w:rsidP="00FA5387">
            <w:pPr>
              <w:jc w:val="center"/>
              <w:rPr>
                <w:rFonts w:ascii="Palatino Linotype" w:hAnsi="Palatino Linotype" w:cs="Arial"/>
                <w:b/>
                <w:bCs/>
                <w:sz w:val="24"/>
                <w:szCs w:val="24"/>
              </w:rPr>
            </w:pPr>
            <w:r w:rsidRPr="00FA5387">
              <w:rPr>
                <w:rFonts w:ascii="Palatino Linotype" w:hAnsi="Palatino Linotype" w:cs="Arial"/>
                <w:b/>
                <w:bCs/>
                <w:sz w:val="24"/>
                <w:szCs w:val="24"/>
              </w:rPr>
              <w:lastRenderedPageBreak/>
              <w:t>00655/TOLUCA/IP/2026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2243D9" w:rsidRPr="00FA5387">
              <w:rPr>
                <w:rFonts w:ascii="Palatino Linotype" w:hAnsi="Palatino Linotype" w:cs="Arial"/>
                <w:i/>
                <w:sz w:val="24"/>
                <w:szCs w:val="24"/>
              </w:rPr>
              <w:t xml:space="preserve">Del recurso de revisión 012478/INFOEM/IP/RR/2025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w:t>
            </w:r>
            <w:r w:rsidR="002243D9" w:rsidRPr="00FA5387">
              <w:rPr>
                <w:rFonts w:ascii="Palatino Linotype" w:hAnsi="Palatino Linotype" w:cs="Arial"/>
                <w:i/>
                <w:sz w:val="24"/>
                <w:szCs w:val="24"/>
              </w:rPr>
              <w:lastRenderedPageBreak/>
              <w:t>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2243D9" w:rsidP="00FA5387">
            <w:pPr>
              <w:jc w:val="center"/>
              <w:rPr>
                <w:rFonts w:ascii="Palatino Linotype" w:hAnsi="Palatino Linotype" w:cs="Arial"/>
                <w:b/>
                <w:bCs/>
                <w:sz w:val="24"/>
                <w:szCs w:val="24"/>
              </w:rPr>
            </w:pPr>
            <w:r w:rsidRPr="00FA5387">
              <w:rPr>
                <w:rFonts w:ascii="Palatino Linotype" w:hAnsi="Palatino Linotype" w:cs="Arial"/>
                <w:b/>
                <w:bCs/>
                <w:sz w:val="24"/>
                <w:szCs w:val="24"/>
              </w:rPr>
              <w:lastRenderedPageBreak/>
              <w:t>00660/TOLUCA/IP/2026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2243D9" w:rsidRPr="00FA5387">
              <w:rPr>
                <w:rFonts w:ascii="Palatino Linotype" w:hAnsi="Palatino Linotype" w:cs="Arial"/>
                <w:i/>
                <w:sz w:val="24"/>
                <w:szCs w:val="24"/>
              </w:rPr>
              <w:t>Del recurso de revisión 012483/INFOEM/IP/RR/2025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shd w:val="clear" w:color="auto" w:fill="F2F2F2" w:themeFill="background1" w:themeFillShade="F2"/>
            <w:vAlign w:val="center"/>
          </w:tcPr>
          <w:p w:rsidR="0073102E" w:rsidRPr="00FA5387" w:rsidRDefault="002243D9" w:rsidP="00FA5387">
            <w:pPr>
              <w:jc w:val="center"/>
              <w:rPr>
                <w:rFonts w:ascii="Palatino Linotype" w:hAnsi="Palatino Linotype" w:cs="Arial"/>
                <w:b/>
                <w:bCs/>
                <w:sz w:val="24"/>
                <w:szCs w:val="24"/>
              </w:rPr>
            </w:pPr>
            <w:r w:rsidRPr="00FA5387">
              <w:rPr>
                <w:rFonts w:ascii="Palatino Linotype" w:hAnsi="Palatino Linotype" w:cs="Arial"/>
                <w:b/>
                <w:bCs/>
                <w:sz w:val="24"/>
                <w:szCs w:val="24"/>
              </w:rPr>
              <w:lastRenderedPageBreak/>
              <w:t>00665/TOLUCA/IP/2026</w:t>
            </w:r>
          </w:p>
        </w:tc>
        <w:tc>
          <w:tcPr>
            <w:tcW w:w="7371" w:type="dxa"/>
            <w:shd w:val="clear" w:color="auto" w:fill="F2F2F2" w:themeFill="background1" w:themeFillShade="F2"/>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2243D9" w:rsidRPr="00FA5387">
              <w:rPr>
                <w:rFonts w:ascii="Palatino Linotype" w:hAnsi="Palatino Linotype" w:cs="Arial"/>
                <w:i/>
                <w:sz w:val="24"/>
                <w:szCs w:val="24"/>
              </w:rPr>
              <w:t>Del recurso de revisión 012490/INFOEM/IP/RR/2025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73102E" w:rsidRPr="00FA5387" w:rsidTr="00FA5387">
        <w:trPr>
          <w:trHeight w:val="410"/>
        </w:trPr>
        <w:tc>
          <w:tcPr>
            <w:tcW w:w="2380" w:type="dxa"/>
            <w:vAlign w:val="center"/>
          </w:tcPr>
          <w:p w:rsidR="0073102E" w:rsidRPr="00FA5387" w:rsidRDefault="002243D9" w:rsidP="00FA5387">
            <w:pPr>
              <w:jc w:val="center"/>
              <w:rPr>
                <w:rFonts w:ascii="Palatino Linotype" w:hAnsi="Palatino Linotype" w:cs="Arial"/>
                <w:b/>
                <w:bCs/>
                <w:sz w:val="24"/>
                <w:szCs w:val="24"/>
              </w:rPr>
            </w:pPr>
            <w:r w:rsidRPr="00FA5387">
              <w:rPr>
                <w:rFonts w:ascii="Palatino Linotype" w:hAnsi="Palatino Linotype" w:cs="Arial"/>
                <w:b/>
                <w:bCs/>
                <w:sz w:val="24"/>
                <w:szCs w:val="24"/>
              </w:rPr>
              <w:t>00668/TOLUCA/IP/2026</w:t>
            </w:r>
          </w:p>
        </w:tc>
        <w:tc>
          <w:tcPr>
            <w:tcW w:w="7371" w:type="dxa"/>
          </w:tcPr>
          <w:p w:rsidR="0073102E" w:rsidRPr="00FA5387" w:rsidRDefault="0073102E" w:rsidP="00FA5387">
            <w:pPr>
              <w:jc w:val="both"/>
              <w:rPr>
                <w:rFonts w:ascii="Palatino Linotype" w:hAnsi="Palatino Linotype" w:cs="Arial"/>
                <w:i/>
                <w:sz w:val="24"/>
                <w:szCs w:val="24"/>
              </w:rPr>
            </w:pPr>
            <w:r w:rsidRPr="00FA5387">
              <w:rPr>
                <w:rFonts w:ascii="Palatino Linotype" w:hAnsi="Palatino Linotype" w:cs="Arial"/>
                <w:i/>
                <w:sz w:val="24"/>
                <w:szCs w:val="24"/>
              </w:rPr>
              <w:t>“</w:t>
            </w:r>
            <w:r w:rsidR="002243D9" w:rsidRPr="00FA5387">
              <w:rPr>
                <w:rFonts w:ascii="Palatino Linotype" w:hAnsi="Palatino Linotype" w:cs="Arial"/>
                <w:i/>
                <w:sz w:val="24"/>
                <w:szCs w:val="24"/>
              </w:rPr>
              <w:t xml:space="preserve">Del recurso de revisión 012493/INFOEM/IP/RR/2025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w:t>
            </w:r>
            <w:r w:rsidR="002243D9" w:rsidRPr="00FA5387">
              <w:rPr>
                <w:rFonts w:ascii="Palatino Linotype" w:hAnsi="Palatino Linotype" w:cs="Arial"/>
                <w:i/>
                <w:sz w:val="24"/>
                <w:szCs w:val="24"/>
              </w:rPr>
              <w:lastRenderedPageBreak/>
              <w:t>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A5387">
              <w:rPr>
                <w:rFonts w:ascii="Palatino Linotype" w:hAnsi="Palatino Linotype" w:cs="Arial"/>
                <w:i/>
                <w:sz w:val="24"/>
                <w:szCs w:val="24"/>
              </w:rPr>
              <w:t>” (Sic).</w:t>
            </w:r>
          </w:p>
        </w:tc>
      </w:tr>
      <w:tr w:rsidR="002243D9" w:rsidRPr="00FA5387" w:rsidTr="00FA5387">
        <w:trPr>
          <w:trHeight w:val="410"/>
        </w:trPr>
        <w:tc>
          <w:tcPr>
            <w:tcW w:w="2380" w:type="dxa"/>
            <w:shd w:val="clear" w:color="auto" w:fill="F2F2F2" w:themeFill="background1" w:themeFillShade="F2"/>
            <w:vAlign w:val="center"/>
          </w:tcPr>
          <w:p w:rsidR="002243D9" w:rsidRPr="00FA5387" w:rsidRDefault="002243D9" w:rsidP="00FA5387">
            <w:pPr>
              <w:jc w:val="center"/>
              <w:rPr>
                <w:rFonts w:ascii="Palatino Linotype" w:hAnsi="Palatino Linotype" w:cs="Arial"/>
                <w:b/>
                <w:bCs/>
                <w:sz w:val="24"/>
                <w:szCs w:val="24"/>
              </w:rPr>
            </w:pPr>
            <w:r w:rsidRPr="00FA5387">
              <w:rPr>
                <w:rFonts w:ascii="Palatino Linotype" w:hAnsi="Palatino Linotype" w:cs="Arial"/>
                <w:b/>
                <w:bCs/>
                <w:sz w:val="24"/>
                <w:szCs w:val="24"/>
              </w:rPr>
              <w:lastRenderedPageBreak/>
              <w:t>00673/TOLUCA/IP/2026</w:t>
            </w:r>
          </w:p>
        </w:tc>
        <w:tc>
          <w:tcPr>
            <w:tcW w:w="7371" w:type="dxa"/>
            <w:shd w:val="clear" w:color="auto" w:fill="F2F2F2" w:themeFill="background1" w:themeFillShade="F2"/>
          </w:tcPr>
          <w:p w:rsidR="002243D9" w:rsidRPr="00FA5387" w:rsidRDefault="002243D9" w:rsidP="00FA5387">
            <w:pPr>
              <w:jc w:val="both"/>
              <w:rPr>
                <w:rFonts w:ascii="Palatino Linotype" w:hAnsi="Palatino Linotype" w:cs="Arial"/>
                <w:i/>
                <w:sz w:val="24"/>
                <w:szCs w:val="24"/>
              </w:rPr>
            </w:pPr>
            <w:r w:rsidRPr="00FA5387">
              <w:rPr>
                <w:rFonts w:ascii="Palatino Linotype" w:hAnsi="Palatino Linotype" w:cs="Arial"/>
                <w:i/>
                <w:sz w:val="24"/>
                <w:szCs w:val="24"/>
              </w:rPr>
              <w:t xml:space="preserve">Del recurso de revisión 012498/INFOEM/IP/RR/2025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w:t>
            </w:r>
            <w:r w:rsidRPr="00FA5387">
              <w:rPr>
                <w:rFonts w:ascii="Palatino Linotype" w:hAnsi="Palatino Linotype" w:cs="Arial"/>
                <w:i/>
                <w:sz w:val="24"/>
                <w:szCs w:val="24"/>
              </w:rPr>
              <w:lastRenderedPageBreak/>
              <w:t>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tc>
      </w:tr>
    </w:tbl>
    <w:bookmarkEnd w:id="2"/>
    <w:p w:rsidR="00660322" w:rsidRPr="00FA5387" w:rsidRDefault="00FA5387" w:rsidP="00660322">
      <w:pPr>
        <w:pStyle w:val="Prrafodelista"/>
        <w:spacing w:line="360" w:lineRule="auto"/>
        <w:ind w:left="0"/>
        <w:jc w:val="both"/>
        <w:rPr>
          <w:rFonts w:ascii="Palatino Linotype" w:eastAsia="Calibri" w:hAnsi="Palatino Linotype" w:cs="Arial"/>
          <w:bCs/>
          <w:i/>
          <w:sz w:val="24"/>
        </w:rPr>
      </w:pPr>
      <w:r>
        <w:rPr>
          <w:rFonts w:ascii="Palatino Linotype" w:eastAsia="Calibri" w:hAnsi="Palatino Linotype" w:cs="Arial"/>
          <w:bCs/>
          <w:i/>
          <w:sz w:val="24"/>
        </w:rPr>
        <w:lastRenderedPageBreak/>
        <w:br w:type="textWrapping" w:clear="all"/>
      </w:r>
    </w:p>
    <w:p w:rsidR="00660322" w:rsidRPr="00FA5387" w:rsidRDefault="00660322" w:rsidP="00FA5387">
      <w:pPr>
        <w:pStyle w:val="Prrafodelista"/>
        <w:numPr>
          <w:ilvl w:val="0"/>
          <w:numId w:val="1"/>
        </w:numPr>
        <w:spacing w:line="360" w:lineRule="auto"/>
        <w:ind w:left="0" w:right="474" w:firstLine="0"/>
        <w:jc w:val="both"/>
        <w:rPr>
          <w:rFonts w:ascii="Palatino Linotype" w:eastAsia="Calibri" w:hAnsi="Palatino Linotype" w:cs="Arial"/>
          <w:sz w:val="24"/>
        </w:rPr>
      </w:pPr>
      <w:r w:rsidRPr="00FA5387">
        <w:rPr>
          <w:rFonts w:ascii="Palatino Linotype" w:eastAsia="Calibri" w:hAnsi="Palatino Linotype" w:cs="Arial"/>
          <w:b/>
          <w:sz w:val="24"/>
        </w:rPr>
        <w:t>Modalidad de entrega</w:t>
      </w:r>
      <w:r w:rsidRPr="00FA5387">
        <w:rPr>
          <w:rFonts w:ascii="Palatino Linotype" w:eastAsia="Calibri" w:hAnsi="Palatino Linotype" w:cs="Arial"/>
          <w:sz w:val="24"/>
        </w:rPr>
        <w:t>: Vía SAIMEX.</w:t>
      </w:r>
    </w:p>
    <w:p w:rsidR="00660322" w:rsidRPr="00FA5387" w:rsidRDefault="00660322" w:rsidP="00660322">
      <w:pPr>
        <w:pStyle w:val="Prrafodelista"/>
        <w:spacing w:line="360" w:lineRule="auto"/>
        <w:ind w:left="0"/>
        <w:jc w:val="both"/>
        <w:rPr>
          <w:rFonts w:ascii="Palatino Linotype" w:eastAsiaTheme="minorEastAsia" w:hAnsi="Palatino Linotype" w:cs="Arial"/>
          <w:i/>
          <w:sz w:val="24"/>
          <w:lang w:val="es-ES_tradnl"/>
        </w:rPr>
      </w:pPr>
    </w:p>
    <w:p w:rsidR="00660322" w:rsidRPr="00FA5387" w:rsidRDefault="00660322" w:rsidP="00782DBB">
      <w:pPr>
        <w:pStyle w:val="Prrafodelista"/>
        <w:numPr>
          <w:ilvl w:val="0"/>
          <w:numId w:val="2"/>
        </w:numPr>
        <w:spacing w:line="360" w:lineRule="auto"/>
        <w:ind w:left="0" w:firstLine="0"/>
        <w:contextualSpacing w:val="0"/>
        <w:jc w:val="both"/>
        <w:rPr>
          <w:rFonts w:ascii="Palatino Linotype" w:eastAsiaTheme="minorEastAsia" w:hAnsi="Palatino Linotype" w:cs="Arial"/>
          <w:sz w:val="24"/>
          <w:lang w:val="es-ES_tradnl"/>
        </w:rPr>
      </w:pPr>
      <w:r w:rsidRPr="00FA5387">
        <w:rPr>
          <w:rFonts w:ascii="Palatino Linotype" w:eastAsiaTheme="minorEastAsia" w:hAnsi="Palatino Linotype" w:cs="Arial"/>
          <w:sz w:val="24"/>
          <w:lang w:val="es-ES_tradnl"/>
        </w:rPr>
        <w:t xml:space="preserve">De lo anterior, en </w:t>
      </w:r>
      <w:r w:rsidR="002243D9" w:rsidRPr="00FA5387">
        <w:rPr>
          <w:rFonts w:ascii="Palatino Linotype" w:eastAsiaTheme="minorEastAsia" w:hAnsi="Palatino Linotype" w:cs="Arial"/>
          <w:sz w:val="24"/>
          <w:lang w:val="es-ES_tradnl"/>
        </w:rPr>
        <w:t>fecha cinco de febrero de dos mil veintiséis</w:t>
      </w:r>
      <w:r w:rsidRPr="00FA5387">
        <w:rPr>
          <w:rFonts w:ascii="Palatino Linotype" w:eastAsiaTheme="minorEastAsia" w:hAnsi="Palatino Linotype" w:cs="Arial"/>
          <w:sz w:val="24"/>
          <w:lang w:val="es-ES_tradnl"/>
        </w:rPr>
        <w:t xml:space="preserve">, el </w:t>
      </w:r>
      <w:r w:rsidRPr="00FA5387">
        <w:rPr>
          <w:rFonts w:ascii="Palatino Linotype" w:eastAsiaTheme="minorEastAsia" w:hAnsi="Palatino Linotype" w:cs="Arial"/>
          <w:b/>
          <w:sz w:val="24"/>
          <w:lang w:val="es-ES_tradnl"/>
        </w:rPr>
        <w:t xml:space="preserve">SUJETO OBLIGADO </w:t>
      </w:r>
      <w:r w:rsidRPr="00FA5387">
        <w:rPr>
          <w:rFonts w:ascii="Palatino Linotype" w:eastAsiaTheme="minorEastAsia" w:hAnsi="Palatino Linotype" w:cs="Arial"/>
          <w:sz w:val="24"/>
          <w:lang w:val="es-ES_tradnl"/>
        </w:rPr>
        <w:t>dio respuesta a las solicitudes de información</w:t>
      </w:r>
      <w:r w:rsidRPr="00FA5387">
        <w:rPr>
          <w:rFonts w:ascii="Palatino Linotype" w:hAnsi="Palatino Linotype"/>
          <w:b/>
          <w:bCs/>
          <w:sz w:val="24"/>
        </w:rPr>
        <w:t xml:space="preserve"> </w:t>
      </w:r>
      <w:r w:rsidRPr="00FA5387">
        <w:rPr>
          <w:rFonts w:ascii="Palatino Linotype" w:hAnsi="Palatino Linotype"/>
          <w:bCs/>
          <w:sz w:val="24"/>
        </w:rPr>
        <w:t xml:space="preserve">con los siguientes archivos electrónicos cuyo contenido grosso modo es el siguiente: </w:t>
      </w:r>
    </w:p>
    <w:tbl>
      <w:tblPr>
        <w:tblStyle w:val="Tablaconcuadrcula"/>
        <w:tblW w:w="9758" w:type="dxa"/>
        <w:tblBorders>
          <w:top w:val="threeDEngrave" w:sz="6" w:space="0" w:color="auto"/>
          <w:left w:val="threeDEngrave" w:sz="6" w:space="0" w:color="auto"/>
          <w:bottom w:val="threeDEngrave" w:sz="6" w:space="0" w:color="auto"/>
          <w:right w:val="threeDEngrave" w:sz="6" w:space="0" w:color="auto"/>
          <w:insideH w:val="threeDEngrave" w:sz="6" w:space="0" w:color="auto"/>
          <w:insideV w:val="threeDEngrave" w:sz="6" w:space="0" w:color="auto"/>
        </w:tblBorders>
        <w:tblLook w:val="04A0" w:firstRow="1" w:lastRow="0" w:firstColumn="1" w:lastColumn="0" w:noHBand="0" w:noVBand="1"/>
      </w:tblPr>
      <w:tblGrid>
        <w:gridCol w:w="2802"/>
        <w:gridCol w:w="6956"/>
      </w:tblGrid>
      <w:tr w:rsidR="002243D9" w:rsidRPr="00FA5387" w:rsidTr="00E834A7">
        <w:trPr>
          <w:trHeight w:val="696"/>
          <w:tblHeader/>
        </w:trPr>
        <w:tc>
          <w:tcPr>
            <w:tcW w:w="2387" w:type="dxa"/>
            <w:shd w:val="clear" w:color="auto" w:fill="D9D9D9" w:themeFill="background1" w:themeFillShade="D9"/>
            <w:vAlign w:val="center"/>
          </w:tcPr>
          <w:p w:rsidR="002243D9" w:rsidRPr="00FA5387" w:rsidRDefault="00E834A7" w:rsidP="000370E4">
            <w:pPr>
              <w:jc w:val="center"/>
              <w:rPr>
                <w:rFonts w:ascii="Palatino Linotype" w:hAnsi="Palatino Linotype" w:cs="Arial"/>
                <w:b/>
                <w:sz w:val="24"/>
                <w:szCs w:val="24"/>
              </w:rPr>
            </w:pPr>
            <w:r w:rsidRPr="00FA5387">
              <w:rPr>
                <w:rFonts w:ascii="Palatino Linotype" w:hAnsi="Palatino Linotype" w:cs="Arial"/>
                <w:b/>
                <w:sz w:val="24"/>
                <w:szCs w:val="24"/>
              </w:rPr>
              <w:t xml:space="preserve">FOLIO </w:t>
            </w:r>
          </w:p>
          <w:p w:rsidR="002243D9" w:rsidRPr="00FA5387" w:rsidRDefault="00E834A7" w:rsidP="000370E4">
            <w:pPr>
              <w:jc w:val="center"/>
              <w:rPr>
                <w:rFonts w:ascii="Palatino Linotype" w:hAnsi="Palatino Linotype" w:cs="Arial"/>
                <w:b/>
                <w:sz w:val="24"/>
                <w:szCs w:val="24"/>
              </w:rPr>
            </w:pPr>
            <w:r w:rsidRPr="00FA5387">
              <w:rPr>
                <w:rFonts w:ascii="Palatino Linotype" w:hAnsi="Palatino Linotype" w:cs="Arial"/>
                <w:b/>
                <w:sz w:val="24"/>
                <w:szCs w:val="24"/>
              </w:rPr>
              <w:t>DE LA SOLICITUD</w:t>
            </w:r>
          </w:p>
        </w:tc>
        <w:tc>
          <w:tcPr>
            <w:tcW w:w="7371" w:type="dxa"/>
            <w:shd w:val="clear" w:color="auto" w:fill="D9D9D9" w:themeFill="background1" w:themeFillShade="D9"/>
            <w:vAlign w:val="center"/>
          </w:tcPr>
          <w:p w:rsidR="002243D9" w:rsidRPr="00FA5387" w:rsidRDefault="00E834A7" w:rsidP="000370E4">
            <w:pPr>
              <w:jc w:val="center"/>
              <w:rPr>
                <w:rFonts w:ascii="Palatino Linotype" w:hAnsi="Palatino Linotype" w:cs="Arial"/>
                <w:b/>
                <w:sz w:val="24"/>
                <w:szCs w:val="24"/>
              </w:rPr>
            </w:pPr>
            <w:r w:rsidRPr="00FA5387">
              <w:rPr>
                <w:rFonts w:ascii="Palatino Linotype" w:hAnsi="Palatino Linotype" w:cs="Arial"/>
                <w:b/>
                <w:sz w:val="24"/>
                <w:szCs w:val="24"/>
              </w:rPr>
              <w:t>RESPUESTA DEL SUJETO OBLIGADO</w:t>
            </w:r>
          </w:p>
        </w:tc>
      </w:tr>
      <w:tr w:rsidR="002243D9" w:rsidRPr="00FA5387" w:rsidTr="00E834A7">
        <w:trPr>
          <w:trHeight w:val="460"/>
        </w:trPr>
        <w:tc>
          <w:tcPr>
            <w:tcW w:w="2387" w:type="dxa"/>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sz w:val="24"/>
                <w:szCs w:val="24"/>
              </w:rPr>
              <w:t>00576/TOLUCA/IP/2026</w:t>
            </w:r>
          </w:p>
        </w:tc>
        <w:tc>
          <w:tcPr>
            <w:tcW w:w="7371" w:type="dxa"/>
            <w:vAlign w:val="center"/>
          </w:tcPr>
          <w:p w:rsidR="002243D9" w:rsidRPr="00FA5387" w:rsidRDefault="000370E4" w:rsidP="002243D9">
            <w:pPr>
              <w:jc w:val="both"/>
              <w:rPr>
                <w:rFonts w:ascii="Palatino Linotype" w:hAnsi="Palatino Linotype" w:cs="Arial"/>
                <w:b/>
                <w:sz w:val="24"/>
                <w:szCs w:val="24"/>
              </w:rPr>
            </w:pPr>
            <w:r w:rsidRPr="00FA5387">
              <w:rPr>
                <w:rFonts w:ascii="Palatino Linotype" w:hAnsi="Palatino Linotype" w:cs="Arial"/>
                <w:b/>
                <w:sz w:val="24"/>
                <w:szCs w:val="24"/>
              </w:rPr>
              <w:t xml:space="preserve">0576.2026.pdf: </w:t>
            </w:r>
            <w:r w:rsidRPr="00FA5387">
              <w:rPr>
                <w:rFonts w:ascii="Palatino Linotype" w:hAnsi="Palatino Linotype" w:cs="Arial"/>
                <w:i/>
                <w:sz w:val="24"/>
                <w:szCs w:val="24"/>
              </w:rPr>
              <w:t xml:space="preserve">Donde el Titular de la Unidad de Transparencia entrega link </w:t>
            </w:r>
            <w:hyperlink r:id="rId9" w:history="1">
              <w:r w:rsidRPr="00FA5387">
                <w:rPr>
                  <w:rStyle w:val="Hipervnculo"/>
                  <w:rFonts w:ascii="Palatino Linotype" w:hAnsi="Palatino Linotype" w:cs="Arial"/>
                  <w:i/>
                  <w:sz w:val="24"/>
                  <w:szCs w:val="24"/>
                </w:rPr>
                <w:t>https://www.infoem.org.mx/es/node/806/</w:t>
              </w:r>
            </w:hyperlink>
            <w:r w:rsidRPr="00FA5387">
              <w:rPr>
                <w:rFonts w:ascii="Palatino Linotype" w:hAnsi="Palatino Linotype" w:cs="Arial"/>
                <w:i/>
                <w:sz w:val="24"/>
                <w:szCs w:val="24"/>
              </w:rPr>
              <w:t xml:space="preserve">  en formato </w:t>
            </w:r>
            <w:r w:rsidRPr="00FA5387">
              <w:rPr>
                <w:rFonts w:ascii="Palatino Linotype" w:hAnsi="Palatino Linotype" w:cs="Arial"/>
                <w:i/>
                <w:sz w:val="24"/>
                <w:szCs w:val="24"/>
              </w:rPr>
              <w:lastRenderedPageBreak/>
              <w:t>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sz w:val="24"/>
                <w:szCs w:val="24"/>
              </w:rPr>
              <w:lastRenderedPageBreak/>
              <w:t>00583/TOLUCA/IP/2026</w:t>
            </w:r>
          </w:p>
        </w:tc>
        <w:tc>
          <w:tcPr>
            <w:tcW w:w="7371" w:type="dxa"/>
            <w:shd w:val="clear" w:color="auto" w:fill="F2F2F2" w:themeFill="background1" w:themeFillShade="F2"/>
            <w:vAlign w:val="center"/>
          </w:tcPr>
          <w:p w:rsidR="002243D9" w:rsidRPr="00FA5387" w:rsidRDefault="00E834A7" w:rsidP="002243D9">
            <w:pPr>
              <w:jc w:val="both"/>
              <w:rPr>
                <w:rFonts w:ascii="Palatino Linotype" w:hAnsi="Palatino Linotype" w:cs="Arial"/>
                <w:sz w:val="24"/>
                <w:szCs w:val="24"/>
              </w:rPr>
            </w:pPr>
            <w:r w:rsidRPr="00FA5387">
              <w:rPr>
                <w:rFonts w:ascii="Palatino Linotype" w:hAnsi="Palatino Linotype" w:cs="Arial"/>
                <w:b/>
                <w:sz w:val="24"/>
                <w:szCs w:val="24"/>
              </w:rPr>
              <w:t>0583</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0"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00588TOLUCA/IP/2026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0588</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1"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i/>
                <w:sz w:val="24"/>
                <w:szCs w:val="24"/>
              </w:rPr>
            </w:pPr>
            <w:r w:rsidRPr="00FA5387">
              <w:rPr>
                <w:rFonts w:ascii="Palatino Linotype" w:hAnsi="Palatino Linotype" w:cs="Arial"/>
                <w:b/>
                <w:bCs/>
                <w:sz w:val="24"/>
                <w:szCs w:val="24"/>
              </w:rPr>
              <w:t>00592/TOLUCA/IP/2026</w:t>
            </w:r>
          </w:p>
        </w:tc>
        <w:tc>
          <w:tcPr>
            <w:tcW w:w="7371" w:type="dxa"/>
            <w:shd w:val="clear" w:color="auto" w:fill="F2F2F2" w:themeFill="background1" w:themeFillShade="F2"/>
            <w:vAlign w:val="center"/>
          </w:tcPr>
          <w:p w:rsidR="002243D9" w:rsidRPr="00FA5387" w:rsidRDefault="000370E4" w:rsidP="002243D9">
            <w:pPr>
              <w:jc w:val="both"/>
              <w:rPr>
                <w:rFonts w:ascii="Palatino Linotype" w:hAnsi="Palatino Linotype" w:cs="Arial"/>
                <w:i/>
                <w:sz w:val="24"/>
                <w:szCs w:val="24"/>
              </w:rPr>
            </w:pPr>
            <w:r w:rsidRPr="00FA5387">
              <w:rPr>
                <w:rFonts w:ascii="Palatino Linotype" w:hAnsi="Palatino Linotype" w:cs="Arial"/>
                <w:b/>
                <w:sz w:val="24"/>
                <w:szCs w:val="24"/>
              </w:rPr>
              <w:t>0</w:t>
            </w:r>
            <w:r w:rsidR="00E834A7" w:rsidRPr="00FA5387">
              <w:rPr>
                <w:rFonts w:ascii="Palatino Linotype" w:hAnsi="Palatino Linotype" w:cs="Arial"/>
                <w:b/>
                <w:sz w:val="24"/>
                <w:szCs w:val="24"/>
              </w:rPr>
              <w:t>592</w:t>
            </w:r>
            <w:r w:rsidRPr="00FA5387">
              <w:rPr>
                <w:rFonts w:ascii="Palatino Linotype" w:hAnsi="Palatino Linotype" w:cs="Arial"/>
                <w:b/>
                <w:sz w:val="24"/>
                <w:szCs w:val="24"/>
              </w:rPr>
              <w:t xml:space="preserve">.2026.pdf: </w:t>
            </w:r>
            <w:r w:rsidRPr="00FA5387">
              <w:rPr>
                <w:rFonts w:ascii="Palatino Linotype" w:hAnsi="Palatino Linotype" w:cs="Arial"/>
                <w:i/>
                <w:sz w:val="24"/>
                <w:szCs w:val="24"/>
              </w:rPr>
              <w:t xml:space="preserve">Donde el Titular de la Unidad de Transparencia entrega link </w:t>
            </w:r>
            <w:hyperlink r:id="rId12" w:history="1">
              <w:r w:rsidRPr="00FA5387">
                <w:rPr>
                  <w:rStyle w:val="Hipervnculo"/>
                  <w:rFonts w:ascii="Palatino Linotype" w:hAnsi="Palatino Linotype" w:cs="Arial"/>
                  <w:i/>
                  <w:sz w:val="24"/>
                  <w:szCs w:val="24"/>
                </w:rPr>
                <w:t>https://www.infoem.org.mx/es/node/806/</w:t>
              </w:r>
            </w:hyperlink>
            <w:r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00598/TOLUCA/IP/2026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0598</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3"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00603/TOLUCA/IP/2026</w:t>
            </w:r>
          </w:p>
        </w:tc>
        <w:tc>
          <w:tcPr>
            <w:tcW w:w="7371" w:type="dxa"/>
            <w:shd w:val="clear" w:color="auto" w:fill="F2F2F2" w:themeFill="background1" w:themeFillShade="F2"/>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0603</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4"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00608/TOLUCA/IP/2026</w:t>
            </w:r>
          </w:p>
        </w:tc>
        <w:tc>
          <w:tcPr>
            <w:tcW w:w="7371" w:type="dxa"/>
            <w:vAlign w:val="center"/>
          </w:tcPr>
          <w:p w:rsidR="002243D9" w:rsidRPr="00FA5387" w:rsidRDefault="00E834A7" w:rsidP="00E834A7">
            <w:pPr>
              <w:jc w:val="both"/>
              <w:rPr>
                <w:rFonts w:ascii="Palatino Linotype" w:hAnsi="Palatino Linotype" w:cs="Arial"/>
                <w:i/>
                <w:sz w:val="24"/>
                <w:szCs w:val="24"/>
              </w:rPr>
            </w:pPr>
            <w:r w:rsidRPr="00FA5387">
              <w:rPr>
                <w:rFonts w:ascii="Palatino Linotype" w:hAnsi="Palatino Linotype" w:cs="Arial"/>
                <w:b/>
                <w:sz w:val="24"/>
                <w:szCs w:val="24"/>
              </w:rPr>
              <w:t>0608.</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5"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00615/TOLUCA/IP/2026</w:t>
            </w:r>
          </w:p>
        </w:tc>
        <w:tc>
          <w:tcPr>
            <w:tcW w:w="7371" w:type="dxa"/>
            <w:shd w:val="clear" w:color="auto" w:fill="F2F2F2" w:themeFill="background1" w:themeFillShade="F2"/>
            <w:vAlign w:val="center"/>
          </w:tcPr>
          <w:p w:rsidR="002243D9" w:rsidRPr="00FA5387" w:rsidRDefault="00E834A7" w:rsidP="000370E4">
            <w:pPr>
              <w:jc w:val="both"/>
              <w:rPr>
                <w:rFonts w:ascii="Palatino Linotype" w:hAnsi="Palatino Linotype" w:cs="Arial"/>
                <w:i/>
                <w:sz w:val="24"/>
                <w:szCs w:val="24"/>
              </w:rPr>
            </w:pPr>
            <w:r w:rsidRPr="00FA5387">
              <w:rPr>
                <w:rFonts w:ascii="Palatino Linotype" w:hAnsi="Palatino Linotype" w:cs="Arial"/>
                <w:b/>
                <w:sz w:val="24"/>
                <w:szCs w:val="24"/>
              </w:rPr>
              <w:t>0615</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6"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lastRenderedPageBreak/>
              <w:t>00620/TOLUCA/IP/2026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0620</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7"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00625/TOLUCA/IP/2026</w:t>
            </w:r>
          </w:p>
        </w:tc>
        <w:tc>
          <w:tcPr>
            <w:tcW w:w="7371" w:type="dxa"/>
            <w:shd w:val="clear" w:color="auto" w:fill="F2F2F2" w:themeFill="background1" w:themeFillShade="F2"/>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0625</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8"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00630/TOLUCA/IP/2026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0630</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19"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00635/TOLUCA/IP/2026</w:t>
            </w:r>
          </w:p>
        </w:tc>
        <w:tc>
          <w:tcPr>
            <w:tcW w:w="7371" w:type="dxa"/>
            <w:shd w:val="clear" w:color="auto" w:fill="F2F2F2" w:themeFill="background1" w:themeFillShade="F2"/>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0635</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0"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sz w:val="24"/>
                <w:szCs w:val="24"/>
              </w:rPr>
            </w:pPr>
            <w:r w:rsidRPr="00FA5387">
              <w:rPr>
                <w:rFonts w:ascii="Palatino Linotype" w:hAnsi="Palatino Linotype" w:cs="Arial"/>
                <w:b/>
                <w:bCs/>
                <w:sz w:val="24"/>
                <w:szCs w:val="24"/>
              </w:rPr>
              <w:t>00640/TOLUCA/IP/2026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0640</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1"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bCs/>
                <w:sz w:val="24"/>
                <w:szCs w:val="24"/>
              </w:rPr>
            </w:pPr>
            <w:r w:rsidRPr="00FA5387">
              <w:rPr>
                <w:rFonts w:ascii="Palatino Linotype" w:hAnsi="Palatino Linotype" w:cs="Arial"/>
                <w:b/>
                <w:bCs/>
                <w:sz w:val="24"/>
                <w:szCs w:val="24"/>
              </w:rPr>
              <w:t>00645/TOLUCA/IP/2026</w:t>
            </w:r>
          </w:p>
        </w:tc>
        <w:tc>
          <w:tcPr>
            <w:tcW w:w="7371" w:type="dxa"/>
            <w:shd w:val="clear" w:color="auto" w:fill="F2F2F2" w:themeFill="background1" w:themeFillShade="F2"/>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0645</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2"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bCs/>
                <w:sz w:val="24"/>
                <w:szCs w:val="24"/>
              </w:rPr>
            </w:pPr>
            <w:r w:rsidRPr="00FA5387">
              <w:rPr>
                <w:rFonts w:ascii="Palatino Linotype" w:hAnsi="Palatino Linotype" w:cs="Arial"/>
                <w:b/>
                <w:bCs/>
                <w:sz w:val="24"/>
                <w:szCs w:val="24"/>
              </w:rPr>
              <w:t>00650/TOLUCA/IP/2026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0650</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3"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bCs/>
                <w:sz w:val="24"/>
                <w:szCs w:val="24"/>
              </w:rPr>
            </w:pPr>
            <w:r w:rsidRPr="00FA5387">
              <w:rPr>
                <w:rFonts w:ascii="Palatino Linotype" w:hAnsi="Palatino Linotype" w:cs="Arial"/>
                <w:b/>
                <w:bCs/>
                <w:sz w:val="24"/>
                <w:szCs w:val="24"/>
              </w:rPr>
              <w:t>00655/TOLUCA/IP/2026</w:t>
            </w:r>
          </w:p>
        </w:tc>
        <w:tc>
          <w:tcPr>
            <w:tcW w:w="7371" w:type="dxa"/>
            <w:shd w:val="clear" w:color="auto" w:fill="F2F2F2" w:themeFill="background1" w:themeFillShade="F2"/>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0655</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4"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w:t>
            </w:r>
            <w:r w:rsidR="000370E4" w:rsidRPr="00FA5387">
              <w:rPr>
                <w:rFonts w:ascii="Palatino Linotype" w:hAnsi="Palatino Linotype" w:cs="Arial"/>
                <w:i/>
                <w:sz w:val="24"/>
                <w:szCs w:val="24"/>
              </w:rPr>
              <w:lastRenderedPageBreak/>
              <w:t>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bCs/>
                <w:sz w:val="24"/>
                <w:szCs w:val="24"/>
              </w:rPr>
            </w:pPr>
            <w:r w:rsidRPr="00FA5387">
              <w:rPr>
                <w:rFonts w:ascii="Palatino Linotype" w:hAnsi="Palatino Linotype" w:cs="Arial"/>
                <w:b/>
                <w:bCs/>
                <w:sz w:val="24"/>
                <w:szCs w:val="24"/>
              </w:rPr>
              <w:lastRenderedPageBreak/>
              <w:t>00660/TOLUCA/IP/2026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0660</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5"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shd w:val="clear" w:color="auto" w:fill="F2F2F2" w:themeFill="background1" w:themeFillShade="F2"/>
            <w:vAlign w:val="center"/>
          </w:tcPr>
          <w:p w:rsidR="002243D9" w:rsidRPr="00FA5387" w:rsidRDefault="002243D9" w:rsidP="002243D9">
            <w:pPr>
              <w:jc w:val="center"/>
              <w:rPr>
                <w:rFonts w:ascii="Palatino Linotype" w:hAnsi="Palatino Linotype" w:cs="Arial"/>
                <w:b/>
                <w:bCs/>
                <w:sz w:val="24"/>
                <w:szCs w:val="24"/>
              </w:rPr>
            </w:pPr>
            <w:r w:rsidRPr="00FA5387">
              <w:rPr>
                <w:rFonts w:ascii="Palatino Linotype" w:hAnsi="Palatino Linotype" w:cs="Arial"/>
                <w:b/>
                <w:bCs/>
                <w:sz w:val="24"/>
                <w:szCs w:val="24"/>
              </w:rPr>
              <w:t>00665/TOLUCA/IP/2026</w:t>
            </w:r>
          </w:p>
        </w:tc>
        <w:tc>
          <w:tcPr>
            <w:tcW w:w="7371" w:type="dxa"/>
            <w:shd w:val="clear" w:color="auto" w:fill="F2F2F2" w:themeFill="background1" w:themeFillShade="F2"/>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0665</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6"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2243D9" w:rsidRPr="00FA5387" w:rsidTr="00E834A7">
        <w:trPr>
          <w:trHeight w:val="410"/>
        </w:trPr>
        <w:tc>
          <w:tcPr>
            <w:tcW w:w="2387" w:type="dxa"/>
            <w:vAlign w:val="center"/>
          </w:tcPr>
          <w:p w:rsidR="002243D9" w:rsidRPr="00FA5387" w:rsidRDefault="002243D9" w:rsidP="002243D9">
            <w:pPr>
              <w:jc w:val="center"/>
              <w:rPr>
                <w:rFonts w:ascii="Palatino Linotype" w:hAnsi="Palatino Linotype" w:cs="Arial"/>
                <w:b/>
                <w:bCs/>
                <w:sz w:val="24"/>
                <w:szCs w:val="24"/>
              </w:rPr>
            </w:pPr>
            <w:r w:rsidRPr="00FA5387">
              <w:rPr>
                <w:rFonts w:ascii="Palatino Linotype" w:hAnsi="Palatino Linotype" w:cs="Arial"/>
                <w:b/>
                <w:bCs/>
                <w:sz w:val="24"/>
                <w:szCs w:val="24"/>
              </w:rPr>
              <w:t>00668/TOLUCA/IP/2026</w:t>
            </w:r>
          </w:p>
        </w:tc>
        <w:tc>
          <w:tcPr>
            <w:tcW w:w="7371" w:type="dxa"/>
            <w:vAlign w:val="center"/>
          </w:tcPr>
          <w:p w:rsidR="002243D9"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0668</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7"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r w:rsidR="000370E4" w:rsidRPr="00FA5387" w:rsidTr="00E834A7">
        <w:trPr>
          <w:trHeight w:val="410"/>
        </w:trPr>
        <w:tc>
          <w:tcPr>
            <w:tcW w:w="2387" w:type="dxa"/>
            <w:shd w:val="clear" w:color="auto" w:fill="F2F2F2" w:themeFill="background1" w:themeFillShade="F2"/>
            <w:vAlign w:val="center"/>
          </w:tcPr>
          <w:p w:rsidR="000370E4" w:rsidRPr="00FA5387" w:rsidRDefault="000370E4" w:rsidP="002243D9">
            <w:pPr>
              <w:jc w:val="center"/>
              <w:rPr>
                <w:rFonts w:ascii="Palatino Linotype" w:hAnsi="Palatino Linotype" w:cs="Arial"/>
                <w:b/>
                <w:bCs/>
                <w:sz w:val="24"/>
                <w:szCs w:val="24"/>
              </w:rPr>
            </w:pPr>
            <w:r w:rsidRPr="00FA5387">
              <w:rPr>
                <w:rFonts w:ascii="Palatino Linotype" w:hAnsi="Palatino Linotype" w:cs="Arial"/>
                <w:b/>
                <w:bCs/>
                <w:sz w:val="24"/>
                <w:szCs w:val="24"/>
              </w:rPr>
              <w:t>00673/TOLUCA/IP/2026</w:t>
            </w:r>
          </w:p>
        </w:tc>
        <w:tc>
          <w:tcPr>
            <w:tcW w:w="7371" w:type="dxa"/>
            <w:shd w:val="clear" w:color="auto" w:fill="F2F2F2" w:themeFill="background1" w:themeFillShade="F2"/>
            <w:vAlign w:val="center"/>
          </w:tcPr>
          <w:p w:rsidR="000370E4" w:rsidRPr="00FA5387" w:rsidRDefault="00E834A7" w:rsidP="002243D9">
            <w:pPr>
              <w:jc w:val="both"/>
              <w:rPr>
                <w:rFonts w:ascii="Palatino Linotype" w:hAnsi="Palatino Linotype" w:cs="Arial"/>
                <w:i/>
                <w:sz w:val="24"/>
                <w:szCs w:val="24"/>
              </w:rPr>
            </w:pPr>
            <w:r w:rsidRPr="00FA5387">
              <w:rPr>
                <w:rFonts w:ascii="Palatino Linotype" w:hAnsi="Palatino Linotype" w:cs="Arial"/>
                <w:b/>
                <w:sz w:val="24"/>
                <w:szCs w:val="24"/>
              </w:rPr>
              <w:t>0673</w:t>
            </w:r>
            <w:r w:rsidR="000370E4" w:rsidRPr="00FA5387">
              <w:rPr>
                <w:rFonts w:ascii="Palatino Linotype" w:hAnsi="Palatino Linotype" w:cs="Arial"/>
                <w:b/>
                <w:sz w:val="24"/>
                <w:szCs w:val="24"/>
              </w:rPr>
              <w:t xml:space="preserve">.2026.pdf: </w:t>
            </w:r>
            <w:r w:rsidR="000370E4" w:rsidRPr="00FA5387">
              <w:rPr>
                <w:rFonts w:ascii="Palatino Linotype" w:hAnsi="Palatino Linotype" w:cs="Arial"/>
                <w:i/>
                <w:sz w:val="24"/>
                <w:szCs w:val="24"/>
              </w:rPr>
              <w:t xml:space="preserve">Donde el Titular de la Unidad de Transparencia entrega link </w:t>
            </w:r>
            <w:hyperlink r:id="rId28" w:history="1">
              <w:r w:rsidR="000370E4" w:rsidRPr="00FA5387">
                <w:rPr>
                  <w:rStyle w:val="Hipervnculo"/>
                  <w:rFonts w:ascii="Palatino Linotype" w:hAnsi="Palatino Linotype" w:cs="Arial"/>
                  <w:i/>
                  <w:sz w:val="24"/>
                  <w:szCs w:val="24"/>
                </w:rPr>
                <w:t>https://www.infoem.org.mx/es/node/806/</w:t>
              </w:r>
            </w:hyperlink>
            <w:r w:rsidR="000370E4" w:rsidRPr="00FA5387">
              <w:rPr>
                <w:rFonts w:ascii="Palatino Linotype" w:hAnsi="Palatino Linotype" w:cs="Arial"/>
                <w:i/>
                <w:sz w:val="24"/>
                <w:szCs w:val="24"/>
              </w:rPr>
              <w:t xml:space="preserve">  en formato cerrado para la consulta de la información solicitada, con fundamento en el artículo 132 de la Ley de Transparencia</w:t>
            </w:r>
          </w:p>
        </w:tc>
      </w:tr>
    </w:tbl>
    <w:p w:rsidR="00031A85" w:rsidRPr="00FA5387" w:rsidRDefault="00031A85" w:rsidP="00031A85">
      <w:pPr>
        <w:spacing w:line="360" w:lineRule="auto"/>
        <w:ind w:right="49"/>
        <w:jc w:val="both"/>
        <w:rPr>
          <w:rFonts w:ascii="Palatino Linotype" w:hAnsi="Palatino Linotype"/>
          <w:bCs/>
          <w:sz w:val="24"/>
          <w:szCs w:val="24"/>
        </w:rPr>
      </w:pPr>
    </w:p>
    <w:p w:rsidR="00660322" w:rsidRPr="00FA5387" w:rsidRDefault="00660322" w:rsidP="00782DBB">
      <w:pPr>
        <w:pStyle w:val="Prrafodelista"/>
        <w:numPr>
          <w:ilvl w:val="0"/>
          <w:numId w:val="2"/>
        </w:numPr>
        <w:spacing w:line="360" w:lineRule="auto"/>
        <w:ind w:left="0" w:right="49" w:firstLine="0"/>
        <w:contextualSpacing w:val="0"/>
        <w:jc w:val="both"/>
        <w:rPr>
          <w:rFonts w:ascii="Palatino Linotype" w:hAnsi="Palatino Linotype"/>
          <w:bCs/>
          <w:sz w:val="24"/>
        </w:rPr>
      </w:pPr>
      <w:r w:rsidRPr="00FA5387">
        <w:rPr>
          <w:rFonts w:ascii="Palatino Linotype" w:eastAsia="Calibri" w:hAnsi="Palatino Linotype" w:cs="Arial"/>
          <w:sz w:val="24"/>
          <w:lang w:val="es-AR"/>
        </w:rPr>
        <w:t xml:space="preserve">El </w:t>
      </w:r>
      <w:r w:rsidR="00031A85" w:rsidRPr="00FA5387">
        <w:rPr>
          <w:rFonts w:ascii="Palatino Linotype" w:eastAsia="Calibri" w:hAnsi="Palatino Linotype" w:cs="Arial"/>
          <w:sz w:val="24"/>
          <w:lang w:val="es-AR"/>
        </w:rPr>
        <w:t>cinco de febrero de dos mil veintiséis</w:t>
      </w:r>
      <w:r w:rsidRPr="00FA5387">
        <w:rPr>
          <w:rFonts w:ascii="Palatino Linotype" w:hAnsi="Palatino Linotype"/>
          <w:sz w:val="24"/>
        </w:rPr>
        <w:t>, el solicitante interpuso recursos de revisión en las solicitudes de información</w:t>
      </w:r>
      <w:r w:rsidRPr="00FA5387">
        <w:rPr>
          <w:rFonts w:ascii="Palatino Linotype" w:hAnsi="Palatino Linotype"/>
          <w:b/>
          <w:bCs/>
          <w:color w:val="000000" w:themeColor="text1"/>
          <w:sz w:val="24"/>
        </w:rPr>
        <w:t xml:space="preserve">, </w:t>
      </w:r>
      <w:r w:rsidRPr="00FA5387">
        <w:rPr>
          <w:rFonts w:ascii="Palatino Linotype" w:hAnsi="Palatino Linotype"/>
          <w:sz w:val="24"/>
        </w:rPr>
        <w:t xml:space="preserve">en contra de las respuestas emitidas por el </w:t>
      </w:r>
      <w:r w:rsidRPr="00FA5387">
        <w:rPr>
          <w:rFonts w:ascii="Palatino Linotype" w:hAnsi="Palatino Linotype"/>
          <w:b/>
          <w:sz w:val="24"/>
        </w:rPr>
        <w:t>SUJETO OBLIGADO</w:t>
      </w:r>
      <w:r w:rsidRPr="00FA5387">
        <w:rPr>
          <w:rFonts w:ascii="Palatino Linotype" w:hAnsi="Palatino Linotype" w:cs="Arial"/>
          <w:sz w:val="24"/>
        </w:rPr>
        <w:t xml:space="preserve">, señalando las siguientes razones o motivos de inconformidad </w:t>
      </w:r>
      <w:r w:rsidR="003B0E70" w:rsidRPr="00FA5387">
        <w:rPr>
          <w:rFonts w:ascii="Palatino Linotype" w:hAnsi="Palatino Linotype" w:cs="Arial"/>
          <w:sz w:val="24"/>
        </w:rPr>
        <w:t>en los</w:t>
      </w:r>
      <w:r w:rsidRPr="00FA5387">
        <w:rPr>
          <w:rFonts w:ascii="Palatino Linotype" w:hAnsi="Palatino Linotype" w:cs="Arial"/>
          <w:sz w:val="24"/>
        </w:rPr>
        <w:t xml:space="preserve"> recursos de revisión:</w:t>
      </w:r>
    </w:p>
    <w:p w:rsidR="00660322" w:rsidRPr="00FA5387" w:rsidRDefault="00BD71AB" w:rsidP="00660322">
      <w:pPr>
        <w:spacing w:line="360" w:lineRule="auto"/>
        <w:jc w:val="both"/>
        <w:rPr>
          <w:rFonts w:ascii="Palatino Linotype" w:hAnsi="Palatino Linotype"/>
          <w:bCs/>
          <w:i/>
          <w:sz w:val="24"/>
          <w:szCs w:val="24"/>
        </w:rPr>
      </w:pPr>
      <w:r w:rsidRPr="00FA5387">
        <w:rPr>
          <w:rFonts w:ascii="Palatino Linotype" w:hAnsi="Palatino Linotype"/>
          <w:b/>
          <w:bCs/>
          <w:sz w:val="24"/>
          <w:szCs w:val="24"/>
        </w:rPr>
        <w:t xml:space="preserve">01618/INFOEM/IP/RR/2026 </w:t>
      </w:r>
      <w:r w:rsidRPr="00FA5387">
        <w:rPr>
          <w:rFonts w:ascii="Palatino Linotype" w:hAnsi="Palatino Linotype"/>
          <w:bCs/>
          <w:i/>
          <w:sz w:val="24"/>
          <w:szCs w:val="24"/>
        </w:rPr>
        <w:t>(00576/TOLUCA/IP/2026)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01613/INFOEM/IP/RR/2026 </w:t>
      </w:r>
      <w:r w:rsidRPr="00FA5387">
        <w:rPr>
          <w:rFonts w:ascii="Palatino Linotype" w:hAnsi="Palatino Linotype"/>
          <w:bCs/>
          <w:i/>
          <w:sz w:val="24"/>
          <w:szCs w:val="24"/>
        </w:rPr>
        <w:t>(00583/TOLUCA/IP/2026</w:t>
      </w:r>
      <w:r w:rsidR="003B0E70" w:rsidRPr="00FA5387">
        <w:rPr>
          <w:rFonts w:ascii="Palatino Linotype" w:hAnsi="Palatino Linotype"/>
          <w:bCs/>
          <w:sz w:val="24"/>
          <w:szCs w:val="24"/>
        </w:rPr>
        <w:t>)</w:t>
      </w:r>
      <w:r w:rsidRPr="00FA5387">
        <w:rPr>
          <w:rFonts w:ascii="Palatino Linotype" w:hAnsi="Palatino Linotype"/>
          <w:b/>
          <w:bCs/>
          <w:sz w:val="24"/>
          <w:szCs w:val="24"/>
        </w:rPr>
        <w:t xml:space="preserve"> 01608/INFOEM/IP/RR/2026</w:t>
      </w:r>
      <w:r w:rsidR="0033492A" w:rsidRPr="00FA5387">
        <w:rPr>
          <w:rFonts w:ascii="Palatino Linotype" w:hAnsi="Palatino Linotype"/>
          <w:b/>
          <w:bCs/>
          <w:sz w:val="24"/>
          <w:szCs w:val="24"/>
        </w:rPr>
        <w:t xml:space="preserve"> </w:t>
      </w:r>
      <w:r w:rsidR="00B46CE9" w:rsidRPr="00FA5387">
        <w:rPr>
          <w:rFonts w:ascii="Palatino Linotype" w:hAnsi="Palatino Linotype"/>
          <w:bCs/>
          <w:sz w:val="24"/>
          <w:szCs w:val="24"/>
        </w:rPr>
        <w:t>(</w:t>
      </w:r>
      <w:r w:rsidR="0033492A" w:rsidRPr="00FA5387">
        <w:rPr>
          <w:rFonts w:ascii="Palatino Linotype" w:hAnsi="Palatino Linotype"/>
          <w:bCs/>
          <w:i/>
          <w:sz w:val="24"/>
          <w:szCs w:val="24"/>
        </w:rPr>
        <w:t>00588/TOLUCA/IP/2026</w:t>
      </w:r>
      <w:r w:rsidR="00B46CE9" w:rsidRPr="00FA5387">
        <w:rPr>
          <w:rFonts w:ascii="Palatino Linotype" w:hAnsi="Palatino Linotype"/>
          <w:bCs/>
          <w:i/>
          <w:sz w:val="24"/>
          <w:szCs w:val="24"/>
        </w:rPr>
        <w:t>)</w:t>
      </w:r>
      <w:r w:rsidRPr="00FA5387">
        <w:rPr>
          <w:rFonts w:ascii="Palatino Linotype" w:hAnsi="Palatino Linotype"/>
          <w:bCs/>
          <w:sz w:val="24"/>
          <w:szCs w:val="24"/>
        </w:rPr>
        <w:t>,</w:t>
      </w:r>
      <w:r w:rsidRPr="00FA5387">
        <w:rPr>
          <w:rFonts w:ascii="Palatino Linotype" w:hAnsi="Palatino Linotype"/>
          <w:b/>
          <w:bCs/>
          <w:sz w:val="24"/>
          <w:szCs w:val="24"/>
        </w:rPr>
        <w:t xml:space="preserve"> 01603/INFOEM/IP/RR/2026</w:t>
      </w:r>
      <w:r w:rsidR="00B46CE9" w:rsidRPr="00FA5387">
        <w:rPr>
          <w:rFonts w:ascii="Palatino Linotype" w:hAnsi="Palatino Linotype"/>
          <w:b/>
          <w:bCs/>
          <w:sz w:val="24"/>
          <w:szCs w:val="24"/>
        </w:rPr>
        <w:t xml:space="preserve"> </w:t>
      </w:r>
      <w:r w:rsidR="00B46CE9" w:rsidRPr="00FA5387">
        <w:rPr>
          <w:rFonts w:ascii="Palatino Linotype" w:hAnsi="Palatino Linotype"/>
          <w:bCs/>
          <w:sz w:val="24"/>
          <w:szCs w:val="24"/>
        </w:rPr>
        <w:t>(</w:t>
      </w:r>
      <w:r w:rsidR="00B46CE9" w:rsidRPr="00FA5387">
        <w:rPr>
          <w:rFonts w:ascii="Palatino Linotype" w:hAnsi="Palatino Linotype"/>
          <w:bCs/>
          <w:i/>
          <w:sz w:val="24"/>
          <w:szCs w:val="24"/>
        </w:rPr>
        <w:t>00592/TOLUCA/IP/2026)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01598/INFOEM/IP/RR/2026</w:t>
      </w:r>
      <w:r w:rsidR="00B46CE9" w:rsidRPr="00FA5387">
        <w:rPr>
          <w:rFonts w:ascii="Palatino Linotype" w:hAnsi="Palatino Linotype"/>
          <w:b/>
          <w:bCs/>
          <w:sz w:val="24"/>
          <w:szCs w:val="24"/>
        </w:rPr>
        <w:t xml:space="preserve"> </w:t>
      </w:r>
      <w:r w:rsidR="00B46CE9" w:rsidRPr="00FA5387">
        <w:rPr>
          <w:rFonts w:ascii="Palatino Linotype" w:hAnsi="Palatino Linotype"/>
          <w:bCs/>
          <w:sz w:val="24"/>
          <w:szCs w:val="24"/>
        </w:rPr>
        <w:t>(</w:t>
      </w:r>
      <w:r w:rsidR="00B46CE9" w:rsidRPr="00FA5387">
        <w:rPr>
          <w:rFonts w:ascii="Palatino Linotype" w:hAnsi="Palatino Linotype"/>
          <w:bCs/>
          <w:i/>
          <w:sz w:val="24"/>
          <w:szCs w:val="24"/>
        </w:rPr>
        <w:t>00598/TOLUCA/IP/2026)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01593/INFOEM/IP/RR/2026</w:t>
      </w:r>
      <w:r w:rsidR="00B46CE9" w:rsidRPr="00FA5387">
        <w:rPr>
          <w:rFonts w:ascii="Palatino Linotype" w:hAnsi="Palatino Linotype"/>
          <w:b/>
          <w:bCs/>
          <w:sz w:val="24"/>
          <w:szCs w:val="24"/>
        </w:rPr>
        <w:t xml:space="preserve"> </w:t>
      </w:r>
      <w:r w:rsidR="00B46CE9" w:rsidRPr="00FA5387">
        <w:rPr>
          <w:rFonts w:ascii="Palatino Linotype" w:hAnsi="Palatino Linotype"/>
          <w:bCs/>
          <w:sz w:val="24"/>
          <w:szCs w:val="24"/>
        </w:rPr>
        <w:t>(</w:t>
      </w:r>
      <w:r w:rsidR="00B46CE9" w:rsidRPr="00FA5387">
        <w:rPr>
          <w:rFonts w:ascii="Palatino Linotype" w:hAnsi="Palatino Linotype"/>
          <w:bCs/>
          <w:i/>
          <w:sz w:val="24"/>
          <w:szCs w:val="24"/>
        </w:rPr>
        <w:t>00603/TOLUCA/IP/2026)</w:t>
      </w:r>
      <w:r w:rsidRPr="00FA5387">
        <w:rPr>
          <w:rFonts w:ascii="Palatino Linotype" w:hAnsi="Palatino Linotype"/>
          <w:bCs/>
          <w:sz w:val="24"/>
          <w:szCs w:val="24"/>
        </w:rPr>
        <w:t>,</w:t>
      </w:r>
      <w:r w:rsidRPr="00FA5387">
        <w:rPr>
          <w:rFonts w:ascii="Palatino Linotype" w:hAnsi="Palatino Linotype"/>
          <w:b/>
          <w:bCs/>
          <w:sz w:val="24"/>
          <w:szCs w:val="24"/>
        </w:rPr>
        <w:t xml:space="preserve"> </w:t>
      </w:r>
      <w:r w:rsidRPr="00FA5387">
        <w:rPr>
          <w:rFonts w:ascii="Palatino Linotype" w:hAnsi="Palatino Linotype"/>
          <w:b/>
          <w:bCs/>
          <w:sz w:val="24"/>
          <w:szCs w:val="24"/>
        </w:rPr>
        <w:lastRenderedPageBreak/>
        <w:t>01588/INFOEM/IP/RR/2026</w:t>
      </w:r>
      <w:r w:rsidR="00B46CE9" w:rsidRPr="00FA5387">
        <w:rPr>
          <w:rFonts w:ascii="Palatino Linotype" w:hAnsi="Palatino Linotype"/>
          <w:b/>
          <w:bCs/>
          <w:sz w:val="24"/>
          <w:szCs w:val="24"/>
        </w:rPr>
        <w:t xml:space="preserve"> </w:t>
      </w:r>
      <w:r w:rsidR="00B46CE9" w:rsidRPr="00FA5387">
        <w:rPr>
          <w:rFonts w:ascii="Palatino Linotype" w:hAnsi="Palatino Linotype"/>
          <w:bCs/>
          <w:sz w:val="24"/>
          <w:szCs w:val="24"/>
        </w:rPr>
        <w:t>(</w:t>
      </w:r>
      <w:r w:rsidR="00B46CE9" w:rsidRPr="00FA5387">
        <w:rPr>
          <w:rFonts w:ascii="Palatino Linotype" w:hAnsi="Palatino Linotype"/>
          <w:bCs/>
          <w:i/>
          <w:sz w:val="24"/>
          <w:szCs w:val="24"/>
        </w:rPr>
        <w:t>00608/TOLUCA/IP/2026)</w:t>
      </w:r>
      <w:r w:rsidRPr="00FA5387">
        <w:rPr>
          <w:rFonts w:ascii="Palatino Linotype" w:hAnsi="Palatino Linotype"/>
          <w:bCs/>
          <w:sz w:val="24"/>
          <w:szCs w:val="24"/>
        </w:rPr>
        <w:t>,</w:t>
      </w:r>
      <w:r w:rsidR="00B46CE9" w:rsidRPr="00FA5387">
        <w:rPr>
          <w:rFonts w:ascii="Palatino Linotype" w:hAnsi="Palatino Linotype"/>
          <w:b/>
          <w:bCs/>
          <w:sz w:val="24"/>
          <w:szCs w:val="24"/>
        </w:rPr>
        <w:t xml:space="preserve"> </w:t>
      </w:r>
      <w:r w:rsidRPr="00FA5387">
        <w:rPr>
          <w:rFonts w:ascii="Palatino Linotype" w:hAnsi="Palatino Linotype"/>
          <w:b/>
          <w:bCs/>
          <w:sz w:val="24"/>
          <w:szCs w:val="24"/>
        </w:rPr>
        <w:t xml:space="preserve"> 01583/INFOEM/IP/RR/2026</w:t>
      </w:r>
      <w:r w:rsidR="00B46CE9" w:rsidRPr="00FA5387">
        <w:rPr>
          <w:rFonts w:ascii="Palatino Linotype" w:hAnsi="Palatino Linotype"/>
          <w:b/>
          <w:bCs/>
          <w:sz w:val="24"/>
          <w:szCs w:val="24"/>
        </w:rPr>
        <w:t xml:space="preserve"> </w:t>
      </w:r>
      <w:r w:rsidR="00B46CE9" w:rsidRPr="00FA5387">
        <w:rPr>
          <w:rFonts w:ascii="Palatino Linotype" w:hAnsi="Palatino Linotype"/>
          <w:bCs/>
          <w:sz w:val="24"/>
          <w:szCs w:val="24"/>
        </w:rPr>
        <w:t>(</w:t>
      </w:r>
      <w:r w:rsidR="00B46CE9" w:rsidRPr="00FA5387">
        <w:rPr>
          <w:rFonts w:ascii="Palatino Linotype" w:hAnsi="Palatino Linotype"/>
          <w:bCs/>
          <w:i/>
          <w:sz w:val="24"/>
          <w:szCs w:val="24"/>
        </w:rPr>
        <w:t>00615/TOLUCA/IP/2026)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01578/INFOEM/IP/RR/2026</w:t>
      </w:r>
      <w:r w:rsidR="00B46CE9" w:rsidRPr="00FA5387">
        <w:rPr>
          <w:rFonts w:ascii="Palatino Linotype" w:hAnsi="Palatino Linotype"/>
          <w:b/>
          <w:bCs/>
          <w:sz w:val="24"/>
          <w:szCs w:val="24"/>
        </w:rPr>
        <w:t xml:space="preserve"> </w:t>
      </w:r>
      <w:r w:rsidR="00B46CE9" w:rsidRPr="00FA5387">
        <w:rPr>
          <w:rFonts w:ascii="Palatino Linotype" w:hAnsi="Palatino Linotype"/>
          <w:bCs/>
          <w:sz w:val="24"/>
          <w:szCs w:val="24"/>
        </w:rPr>
        <w:t>(</w:t>
      </w:r>
      <w:r w:rsidR="00B46CE9" w:rsidRPr="00FA5387">
        <w:rPr>
          <w:rFonts w:ascii="Palatino Linotype" w:hAnsi="Palatino Linotype"/>
          <w:bCs/>
          <w:i/>
          <w:sz w:val="24"/>
          <w:szCs w:val="24"/>
        </w:rPr>
        <w:t>00620/TOLUCA/IP/2026)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01573/INFOEM/IP/RR/2026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00625/TOLUCA/IP/2026)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01568/INFOEM/IP/RR/2026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00630/TOLUCA/IP/2026)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01563/INFOEM/IP/RR/2026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00635/TOLUCA/IP/2026)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01558/INFOEM/IP/RR/2026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00640/TOLUCA/IP/2026)</w:t>
      </w:r>
      <w:r w:rsidR="003B0E70" w:rsidRPr="00FA5387">
        <w:rPr>
          <w:rFonts w:ascii="Palatino Linotype" w:hAnsi="Palatino Linotype"/>
          <w:b/>
          <w:bCs/>
          <w:sz w:val="24"/>
          <w:szCs w:val="24"/>
        </w:rPr>
        <w:t xml:space="preserve"> </w:t>
      </w:r>
      <w:r w:rsidRPr="00FA5387">
        <w:rPr>
          <w:rFonts w:ascii="Palatino Linotype" w:hAnsi="Palatino Linotype"/>
          <w:bCs/>
          <w:sz w:val="24"/>
          <w:szCs w:val="24"/>
        </w:rPr>
        <w:t xml:space="preserve">, </w:t>
      </w:r>
      <w:r w:rsidRPr="00FA5387">
        <w:rPr>
          <w:rFonts w:ascii="Palatino Linotype" w:hAnsi="Palatino Linotype"/>
          <w:b/>
          <w:bCs/>
          <w:sz w:val="24"/>
          <w:szCs w:val="24"/>
        </w:rPr>
        <w:t>01553/INFOEM/IP/RR/2026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00645/TOLUCA/IP/2026)</w:t>
      </w:r>
      <w:r w:rsidR="003B0E70" w:rsidRPr="00FA5387">
        <w:rPr>
          <w:rFonts w:ascii="Palatino Linotype" w:hAnsi="Palatino Linotype"/>
          <w:bCs/>
          <w:sz w:val="24"/>
          <w:szCs w:val="24"/>
        </w:rPr>
        <w:t xml:space="preserve"> </w:t>
      </w:r>
      <w:r w:rsidRPr="00FA5387">
        <w:rPr>
          <w:rFonts w:ascii="Palatino Linotype" w:hAnsi="Palatino Linotype"/>
          <w:bCs/>
          <w:sz w:val="24"/>
          <w:szCs w:val="24"/>
        </w:rPr>
        <w:t>,</w:t>
      </w:r>
      <w:r w:rsidRPr="00FA5387">
        <w:rPr>
          <w:rFonts w:ascii="Palatino Linotype" w:hAnsi="Palatino Linotype"/>
          <w:b/>
          <w:bCs/>
          <w:sz w:val="24"/>
          <w:szCs w:val="24"/>
        </w:rPr>
        <w:t xml:space="preserve"> 01548/INFOEM/IP/RR/2026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00650/TOLUCA/IP/2026)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01543/INFOEM/IP/RR/2026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00655/TOLUCA/IP/2026)</w:t>
      </w:r>
      <w:r w:rsidRPr="00FA5387">
        <w:rPr>
          <w:rFonts w:ascii="Palatino Linotype" w:hAnsi="Palatino Linotype"/>
          <w:bCs/>
          <w:sz w:val="24"/>
          <w:szCs w:val="24"/>
        </w:rPr>
        <w:t>,</w:t>
      </w:r>
      <w:r w:rsidR="003B0E70" w:rsidRPr="00FA5387">
        <w:rPr>
          <w:rFonts w:ascii="Palatino Linotype" w:hAnsi="Palatino Linotype"/>
          <w:b/>
          <w:bCs/>
          <w:sz w:val="24"/>
          <w:szCs w:val="24"/>
        </w:rPr>
        <w:t xml:space="preserve"> </w:t>
      </w:r>
      <w:r w:rsidRPr="00FA5387">
        <w:rPr>
          <w:rFonts w:ascii="Palatino Linotype" w:hAnsi="Palatino Linotype"/>
          <w:b/>
          <w:bCs/>
          <w:sz w:val="24"/>
          <w:szCs w:val="24"/>
        </w:rPr>
        <w:t xml:space="preserve"> 01538/INFOEM/IP/RR/2026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00660/TOLUCA/IP/2026)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01533/INFOEM/IP/RR/2026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00665/TOLUCA/IP/2026)</w:t>
      </w:r>
      <w:r w:rsidRPr="00FA5387">
        <w:rPr>
          <w:rFonts w:ascii="Palatino Linotype" w:hAnsi="Palatino Linotype"/>
          <w:bCs/>
          <w:sz w:val="24"/>
          <w:szCs w:val="24"/>
        </w:rPr>
        <w:t>,</w:t>
      </w:r>
      <w:r w:rsidRPr="00FA5387">
        <w:rPr>
          <w:rFonts w:ascii="Palatino Linotype" w:hAnsi="Palatino Linotype"/>
          <w:b/>
          <w:bCs/>
          <w:sz w:val="24"/>
          <w:szCs w:val="24"/>
        </w:rPr>
        <w:t xml:space="preserve"> 01528/INFOEM/IP/RR/2026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 xml:space="preserve">00668/TOLUCA/IP/2026) </w:t>
      </w:r>
      <w:r w:rsidRPr="00FA5387">
        <w:rPr>
          <w:rFonts w:ascii="Palatino Linotype" w:hAnsi="Palatino Linotype"/>
          <w:bCs/>
          <w:sz w:val="24"/>
          <w:szCs w:val="24"/>
        </w:rPr>
        <w:t>y</w:t>
      </w:r>
      <w:r w:rsidRPr="00FA5387">
        <w:rPr>
          <w:rFonts w:ascii="Palatino Linotype" w:hAnsi="Palatino Linotype"/>
          <w:b/>
          <w:bCs/>
          <w:sz w:val="24"/>
          <w:szCs w:val="24"/>
        </w:rPr>
        <w:t xml:space="preserve">  01523/INFOEM/IP/RR/2026</w:t>
      </w:r>
      <w:r w:rsidR="003B0E70" w:rsidRPr="00FA5387">
        <w:rPr>
          <w:rFonts w:ascii="Palatino Linotype" w:hAnsi="Palatino Linotype"/>
          <w:b/>
          <w:bCs/>
          <w:sz w:val="24"/>
          <w:szCs w:val="24"/>
        </w:rPr>
        <w:t xml:space="preserve"> </w:t>
      </w:r>
      <w:r w:rsidR="003B0E70" w:rsidRPr="00FA5387">
        <w:rPr>
          <w:rFonts w:ascii="Palatino Linotype" w:hAnsi="Palatino Linotype"/>
          <w:bCs/>
          <w:sz w:val="24"/>
          <w:szCs w:val="24"/>
        </w:rPr>
        <w:t>(</w:t>
      </w:r>
      <w:r w:rsidR="003B0E70" w:rsidRPr="00FA5387">
        <w:rPr>
          <w:rFonts w:ascii="Palatino Linotype" w:hAnsi="Palatino Linotype"/>
          <w:bCs/>
          <w:i/>
          <w:sz w:val="24"/>
          <w:szCs w:val="24"/>
        </w:rPr>
        <w:t>00673/TOLUCA/IP/2026)</w:t>
      </w:r>
      <w:r w:rsidR="00512DF5" w:rsidRPr="00FA5387">
        <w:rPr>
          <w:rFonts w:ascii="Palatino Linotype" w:hAnsi="Palatino Linotype"/>
          <w:bCs/>
          <w:i/>
          <w:sz w:val="24"/>
          <w:szCs w:val="24"/>
        </w:rPr>
        <w:t>.</w:t>
      </w:r>
    </w:p>
    <w:p w:rsidR="00696D73" w:rsidRPr="00FA5387" w:rsidRDefault="00696D73" w:rsidP="00660322">
      <w:pPr>
        <w:spacing w:line="360" w:lineRule="auto"/>
        <w:jc w:val="both"/>
        <w:rPr>
          <w:rFonts w:ascii="Palatino Linotype" w:hAnsi="Palatino Linotype"/>
          <w:b/>
          <w:bCs/>
          <w:sz w:val="24"/>
          <w:szCs w:val="24"/>
        </w:rPr>
      </w:pPr>
    </w:p>
    <w:p w:rsidR="00660322" w:rsidRPr="00FA5387" w:rsidRDefault="00660322" w:rsidP="00FA5387">
      <w:pPr>
        <w:pStyle w:val="Prrafodelista"/>
        <w:numPr>
          <w:ilvl w:val="0"/>
          <w:numId w:val="3"/>
        </w:numPr>
        <w:spacing w:line="276" w:lineRule="auto"/>
        <w:ind w:left="709" w:right="538"/>
        <w:jc w:val="both"/>
        <w:rPr>
          <w:rStyle w:val="Ttulo2Car"/>
          <w:rFonts w:ascii="Palatino Linotype" w:hAnsi="Palatino Linotype"/>
          <w:i/>
          <w:color w:val="000000" w:themeColor="text1"/>
          <w:sz w:val="24"/>
          <w:szCs w:val="24"/>
        </w:rPr>
      </w:pPr>
      <w:bookmarkStart w:id="3" w:name="_Toc466982514"/>
      <w:bookmarkStart w:id="4" w:name="_Toc51854302"/>
      <w:bookmarkStart w:id="5" w:name="_Toc53584976"/>
      <w:bookmarkStart w:id="6" w:name="_Toc60925403"/>
      <w:bookmarkStart w:id="7" w:name="_Toc81364833"/>
      <w:bookmarkStart w:id="8" w:name="_Toc81390610"/>
      <w:bookmarkStart w:id="9" w:name="_Toc82611033"/>
      <w:bookmarkStart w:id="10" w:name="_Toc83128576"/>
      <w:bookmarkStart w:id="11" w:name="_Toc27589208"/>
      <w:bookmarkStart w:id="12" w:name="_Toc29395022"/>
      <w:bookmarkStart w:id="13" w:name="_Toc29481467"/>
      <w:bookmarkStart w:id="14" w:name="_Toc33113911"/>
      <w:bookmarkStart w:id="15" w:name="_Toc33643059"/>
      <w:bookmarkStart w:id="16" w:name="_Toc33724991"/>
      <w:bookmarkStart w:id="17" w:name="_Toc33726434"/>
      <w:bookmarkStart w:id="18" w:name="_Toc34157662"/>
      <w:bookmarkStart w:id="19" w:name="_Toc35003615"/>
      <w:bookmarkStart w:id="20" w:name="_Toc35535691"/>
      <w:bookmarkStart w:id="21" w:name="_Toc51262525"/>
      <w:bookmarkStart w:id="22" w:name="_Toc471908126"/>
      <w:bookmarkStart w:id="23" w:name="_Toc491791300"/>
      <w:bookmarkStart w:id="24" w:name="_Toc496726170"/>
      <w:bookmarkStart w:id="25" w:name="_Toc497242134"/>
      <w:bookmarkStart w:id="26" w:name="_Toc497292517"/>
      <w:bookmarkStart w:id="27" w:name="_Toc498503716"/>
      <w:bookmarkStart w:id="28" w:name="_Toc499568660"/>
      <w:bookmarkStart w:id="29" w:name="_Toc499568693"/>
      <w:bookmarkStart w:id="30" w:name="_Toc499665452"/>
      <w:bookmarkStart w:id="31" w:name="_Toc499729819"/>
      <w:bookmarkStart w:id="32" w:name="_Toc499835024"/>
      <w:bookmarkStart w:id="33" w:name="_Toc499835835"/>
      <w:bookmarkStart w:id="34" w:name="_Toc499835858"/>
      <w:bookmarkStart w:id="35" w:name="_Toc500264537"/>
      <w:bookmarkStart w:id="36" w:name="_Toc503290275"/>
      <w:bookmarkStart w:id="37" w:name="_Toc524009637"/>
      <w:bookmarkStart w:id="38" w:name="_Toc524009672"/>
      <w:bookmarkStart w:id="39" w:name="_Toc524602720"/>
      <w:bookmarkStart w:id="40" w:name="_Toc526365279"/>
      <w:bookmarkStart w:id="41" w:name="_Toc526365337"/>
      <w:bookmarkStart w:id="42" w:name="_Toc530067664"/>
      <w:bookmarkStart w:id="43" w:name="_Toc530067692"/>
      <w:bookmarkStart w:id="44" w:name="_Toc530067939"/>
      <w:bookmarkStart w:id="45" w:name="_Toc530590420"/>
      <w:bookmarkStart w:id="46" w:name="_Toc530593951"/>
      <w:bookmarkStart w:id="47" w:name="_Toc531190248"/>
      <w:bookmarkStart w:id="48" w:name="_Toc531190295"/>
      <w:bookmarkStart w:id="49" w:name="_Toc534908208"/>
      <w:bookmarkStart w:id="50" w:name="_Toc534909344"/>
      <w:bookmarkStart w:id="51" w:name="_Toc535353305"/>
      <w:bookmarkStart w:id="52" w:name="_Toc535353791"/>
      <w:bookmarkStart w:id="53" w:name="_Toc18436351"/>
      <w:bookmarkStart w:id="54" w:name="_Toc18436385"/>
      <w:bookmarkStart w:id="55" w:name="_Toc18513477"/>
      <w:bookmarkStart w:id="56" w:name="_Toc18513503"/>
      <w:bookmarkStart w:id="57" w:name="_Toc18606801"/>
      <w:bookmarkStart w:id="58" w:name="_Toc19723536"/>
      <w:bookmarkStart w:id="59" w:name="_Toc20322795"/>
      <w:bookmarkStart w:id="60" w:name="_Toc20323052"/>
      <w:bookmarkStart w:id="61" w:name="_Toc20323181"/>
      <w:bookmarkStart w:id="62" w:name="_Toc20420591"/>
      <w:bookmarkStart w:id="63" w:name="_Toc20421579"/>
      <w:bookmarkStart w:id="64" w:name="_Toc21027316"/>
      <w:bookmarkStart w:id="65" w:name="_Toc22660652"/>
      <w:bookmarkStart w:id="66" w:name="_Toc22811623"/>
      <w:bookmarkStart w:id="67" w:name="_Toc26436015"/>
      <w:r w:rsidRPr="00FA5387">
        <w:rPr>
          <w:rStyle w:val="Ttulo2Car"/>
          <w:rFonts w:ascii="Palatino Linotype" w:hAnsi="Palatino Linotype"/>
          <w:b/>
          <w:color w:val="000000" w:themeColor="text1"/>
          <w:sz w:val="24"/>
          <w:szCs w:val="24"/>
        </w:rPr>
        <w:t>ACTO IMPUGNADO</w:t>
      </w:r>
      <w:bookmarkEnd w:id="3"/>
      <w:r w:rsidRPr="00FA5387">
        <w:rPr>
          <w:rStyle w:val="Ttulo2Car"/>
          <w:rFonts w:ascii="Palatino Linotype" w:hAnsi="Palatino Linotype"/>
          <w:b/>
          <w:color w:val="000000" w:themeColor="text1"/>
          <w:sz w:val="24"/>
          <w:szCs w:val="24"/>
        </w:rPr>
        <w:t xml:space="preserve">: </w:t>
      </w:r>
      <w:r w:rsidRPr="00FA5387">
        <w:rPr>
          <w:rStyle w:val="Ttulo2Car"/>
          <w:rFonts w:ascii="Palatino Linotype" w:hAnsi="Palatino Linotype"/>
          <w:i/>
          <w:color w:val="000000" w:themeColor="text1"/>
          <w:sz w:val="24"/>
          <w:szCs w:val="24"/>
        </w:rPr>
        <w:t>“</w:t>
      </w:r>
      <w:bookmarkEnd w:id="4"/>
      <w:bookmarkEnd w:id="5"/>
      <w:bookmarkEnd w:id="6"/>
      <w:bookmarkEnd w:id="7"/>
      <w:bookmarkEnd w:id="8"/>
      <w:bookmarkEnd w:id="9"/>
      <w:bookmarkEnd w:id="10"/>
      <w:r w:rsidR="00512DF5" w:rsidRPr="00FA5387">
        <w:rPr>
          <w:rFonts w:ascii="Palatino Linotype" w:hAnsi="Palatino Linotype"/>
          <w:i/>
          <w:color w:val="000000"/>
          <w:sz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FA5387">
        <w:rPr>
          <w:rStyle w:val="Ttulo2Car"/>
          <w:rFonts w:ascii="Palatino Linotype" w:hAnsi="Palatino Linotype"/>
          <w:i/>
          <w:color w:val="000000" w:themeColor="text1"/>
          <w:sz w:val="24"/>
          <w:szCs w:val="24"/>
        </w:rPr>
        <w: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FA5387">
        <w:rPr>
          <w:rStyle w:val="Ttulo2Car"/>
          <w:rFonts w:ascii="Palatino Linotype" w:hAnsi="Palatino Linotype"/>
          <w:i/>
          <w:color w:val="000000" w:themeColor="text1"/>
          <w:sz w:val="24"/>
          <w:szCs w:val="24"/>
        </w:rPr>
        <w:t>(Sic)</w:t>
      </w:r>
    </w:p>
    <w:p w:rsidR="00DD2623" w:rsidRPr="00FA5387" w:rsidRDefault="00DD2623" w:rsidP="00FA5387">
      <w:pPr>
        <w:spacing w:line="276" w:lineRule="auto"/>
        <w:ind w:left="1134" w:right="538"/>
        <w:jc w:val="both"/>
        <w:rPr>
          <w:rStyle w:val="Ttulo2Car"/>
          <w:rFonts w:ascii="Palatino Linotype" w:hAnsi="Palatino Linotype"/>
          <w:i/>
          <w:color w:val="000000" w:themeColor="text1"/>
          <w:sz w:val="24"/>
          <w:szCs w:val="24"/>
        </w:rPr>
      </w:pPr>
    </w:p>
    <w:p w:rsidR="00660322" w:rsidRPr="00FA5387" w:rsidRDefault="00660322" w:rsidP="00FA5387">
      <w:pPr>
        <w:pStyle w:val="Prrafodelista"/>
        <w:numPr>
          <w:ilvl w:val="0"/>
          <w:numId w:val="3"/>
        </w:numPr>
        <w:spacing w:line="276" w:lineRule="auto"/>
        <w:ind w:left="709" w:right="538"/>
        <w:jc w:val="both"/>
        <w:rPr>
          <w:rFonts w:ascii="Palatino Linotype" w:hAnsi="Palatino Linotype"/>
          <w:i/>
          <w:color w:val="000000" w:themeColor="text1"/>
          <w:sz w:val="24"/>
        </w:rPr>
      </w:pPr>
      <w:r w:rsidRPr="00FA5387">
        <w:rPr>
          <w:rStyle w:val="Ttulo2Car"/>
          <w:rFonts w:ascii="Palatino Linotype" w:hAnsi="Palatino Linotype"/>
          <w:b/>
          <w:color w:val="000000" w:themeColor="text1"/>
          <w:sz w:val="24"/>
          <w:szCs w:val="24"/>
        </w:rPr>
        <w:t>RAZONES O MOTIVOS DE INCONFORMIDAD:</w:t>
      </w:r>
      <w:r w:rsidRPr="00FA5387">
        <w:rPr>
          <w:rFonts w:ascii="Palatino Linotype" w:hAnsi="Palatino Linotype"/>
          <w:b/>
          <w:color w:val="000000" w:themeColor="text1"/>
          <w:sz w:val="24"/>
        </w:rPr>
        <w:t xml:space="preserve"> </w:t>
      </w:r>
      <w:r w:rsidRPr="00FA5387">
        <w:rPr>
          <w:rFonts w:ascii="Palatino Linotype" w:hAnsi="Palatino Linotype"/>
          <w:i/>
          <w:color w:val="000000" w:themeColor="text1"/>
          <w:sz w:val="24"/>
        </w:rPr>
        <w:t>“</w:t>
      </w:r>
      <w:r w:rsidR="00512DF5" w:rsidRPr="00FA5387">
        <w:rPr>
          <w:rFonts w:ascii="Palatino Linotype" w:hAnsi="Palatino Linotype"/>
          <w:i/>
          <w:color w:val="000000"/>
          <w:sz w:val="24"/>
        </w:rPr>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w:t>
      </w:r>
      <w:r w:rsidR="00512DF5" w:rsidRPr="00FA5387">
        <w:rPr>
          <w:rFonts w:ascii="Palatino Linotype" w:hAnsi="Palatino Linotype"/>
          <w:i/>
          <w:color w:val="000000"/>
          <w:sz w:val="24"/>
        </w:rPr>
        <w:lastRenderedPageBreak/>
        <w:t>decir de Cielito que dice que ella siempre los atedio así y no pasaba nada que no dieran nada que el ifoem es un corrupto también que no les puede hacer nada</w:t>
      </w:r>
      <w:r w:rsidRPr="00FA5387">
        <w:rPr>
          <w:rFonts w:ascii="Palatino Linotype" w:hAnsi="Palatino Linotype"/>
          <w:i/>
          <w:color w:val="000000" w:themeColor="text1"/>
          <w:sz w:val="24"/>
        </w:rPr>
        <w:t>”(Sic)</w:t>
      </w:r>
    </w:p>
    <w:p w:rsidR="00660322" w:rsidRPr="00FA5387" w:rsidRDefault="00660322" w:rsidP="00512DF5">
      <w:pPr>
        <w:spacing w:line="360" w:lineRule="auto"/>
        <w:ind w:left="1134" w:right="1814"/>
        <w:contextualSpacing/>
        <w:jc w:val="both"/>
        <w:rPr>
          <w:rStyle w:val="Ttulo2Car"/>
          <w:rFonts w:ascii="Palatino Linotype" w:hAnsi="Palatino Linotype"/>
          <w:i/>
          <w:color w:val="000000" w:themeColor="text1"/>
          <w:sz w:val="24"/>
          <w:szCs w:val="24"/>
        </w:rPr>
      </w:pPr>
    </w:p>
    <w:p w:rsidR="00660322" w:rsidRPr="00FA5387" w:rsidRDefault="00660322" w:rsidP="00782DBB">
      <w:pPr>
        <w:pStyle w:val="Prrafodelista"/>
        <w:numPr>
          <w:ilvl w:val="0"/>
          <w:numId w:val="2"/>
        </w:numPr>
        <w:spacing w:line="360" w:lineRule="auto"/>
        <w:ind w:left="0" w:firstLine="0"/>
        <w:contextualSpacing w:val="0"/>
        <w:jc w:val="both"/>
        <w:rPr>
          <w:rFonts w:ascii="Palatino Linotype" w:hAnsi="Palatino Linotype"/>
          <w:sz w:val="24"/>
        </w:rPr>
      </w:pPr>
      <w:r w:rsidRPr="00FA5387">
        <w:rPr>
          <w:rFonts w:ascii="Palatino Linotype" w:hAnsi="Palatino Linotype"/>
          <w:sz w:val="24"/>
        </w:rPr>
        <w:t>Consecutivamente</w:t>
      </w:r>
      <w:r w:rsidRPr="00FA5387">
        <w:rPr>
          <w:rFonts w:ascii="Palatino Linotype" w:hAnsi="Palatino Linotype"/>
          <w:i/>
          <w:sz w:val="24"/>
        </w:rPr>
        <w:t xml:space="preserve">, </w:t>
      </w:r>
      <w:r w:rsidRPr="00FA5387">
        <w:rPr>
          <w:rFonts w:ascii="Palatino Linotype" w:hAnsi="Palatino Linotype"/>
          <w:sz w:val="24"/>
        </w:rPr>
        <w:t xml:space="preserve">con fundamento en lo dispuesto por el artículo 185 fracción I de la Ley de Transparencia y Acceso a la Información Pública del Estado de </w:t>
      </w:r>
      <w:r w:rsidRPr="00FA5387">
        <w:rPr>
          <w:rFonts w:ascii="Palatino Linotype" w:hAnsi="Palatino Linotype"/>
          <w:color w:val="000000"/>
          <w:sz w:val="24"/>
        </w:rPr>
        <w:t>México</w:t>
      </w:r>
      <w:r w:rsidRPr="00FA5387">
        <w:rPr>
          <w:rFonts w:ascii="Palatino Linotype" w:hAnsi="Palatino Linotype"/>
          <w:sz w:val="24"/>
        </w:rPr>
        <w:t xml:space="preserve"> y Municipios, los recursos de referencia, fueron turnados</w:t>
      </w:r>
      <w:r w:rsidRPr="00FA5387">
        <w:rPr>
          <w:rFonts w:ascii="Palatino Linotype" w:hAnsi="Palatino Linotype"/>
          <w:b/>
          <w:sz w:val="24"/>
        </w:rPr>
        <w:t xml:space="preserve"> </w:t>
      </w:r>
      <w:r w:rsidRPr="00FA5387">
        <w:rPr>
          <w:rFonts w:ascii="Palatino Linotype" w:hAnsi="Palatino Linotype"/>
          <w:sz w:val="24"/>
        </w:rPr>
        <w:t>a la Comisionada</w:t>
      </w:r>
      <w:r w:rsidRPr="00FA5387">
        <w:rPr>
          <w:rFonts w:ascii="Palatino Linotype" w:hAnsi="Palatino Linotype"/>
          <w:b/>
          <w:sz w:val="24"/>
        </w:rPr>
        <w:t xml:space="preserve"> María del Rosario Mejía Ayala,</w:t>
      </w:r>
      <w:r w:rsidRPr="00FA5387">
        <w:rPr>
          <w:rFonts w:ascii="Palatino Linotype" w:hAnsi="Palatino Linotype"/>
          <w:sz w:val="24"/>
        </w:rPr>
        <w:t xml:space="preserve"> </w:t>
      </w:r>
      <w:r w:rsidR="00FA5387">
        <w:rPr>
          <w:rFonts w:ascii="Palatino Linotype" w:hAnsi="Palatino Linotype"/>
          <w:sz w:val="24"/>
        </w:rPr>
        <w:t>para</w:t>
      </w:r>
      <w:r w:rsidRPr="00FA5387">
        <w:rPr>
          <w:rFonts w:ascii="Palatino Linotype" w:hAnsi="Palatino Linotype"/>
          <w:sz w:val="24"/>
        </w:rPr>
        <w:t xml:space="preserve"> su análisis.</w:t>
      </w:r>
    </w:p>
    <w:p w:rsidR="00660322" w:rsidRPr="00FA5387" w:rsidRDefault="00660322" w:rsidP="00660322">
      <w:pPr>
        <w:pStyle w:val="Prrafodelista"/>
        <w:spacing w:line="360" w:lineRule="auto"/>
        <w:ind w:left="0"/>
        <w:jc w:val="both"/>
        <w:rPr>
          <w:rFonts w:ascii="Palatino Linotype" w:hAnsi="Palatino Linotype"/>
          <w:sz w:val="24"/>
        </w:rPr>
      </w:pPr>
    </w:p>
    <w:p w:rsidR="00660322" w:rsidRPr="00FA5387" w:rsidRDefault="00FA5387" w:rsidP="00782DBB">
      <w:pPr>
        <w:numPr>
          <w:ilvl w:val="0"/>
          <w:numId w:val="4"/>
        </w:numPr>
        <w:spacing w:line="360" w:lineRule="auto"/>
        <w:ind w:left="0" w:right="49" w:firstLine="0"/>
        <w:jc w:val="both"/>
        <w:rPr>
          <w:sz w:val="24"/>
          <w:szCs w:val="24"/>
        </w:rPr>
      </w:pPr>
      <w:r>
        <w:rPr>
          <w:rFonts w:ascii="Palatino Linotype" w:eastAsia="Palatino Linotype" w:hAnsi="Palatino Linotype" w:cs="Palatino Linotype"/>
          <w:sz w:val="24"/>
          <w:szCs w:val="24"/>
        </w:rPr>
        <w:t>La Comisionada p</w:t>
      </w:r>
      <w:r w:rsidR="00953C2B" w:rsidRPr="00FA5387">
        <w:rPr>
          <w:rFonts w:ascii="Palatino Linotype" w:eastAsia="Palatino Linotype" w:hAnsi="Palatino Linotype" w:cs="Palatino Linotype"/>
          <w:sz w:val="24"/>
          <w:szCs w:val="24"/>
        </w:rPr>
        <w:t>onente</w:t>
      </w:r>
      <w:r w:rsidR="00660322" w:rsidRPr="00FA5387">
        <w:rPr>
          <w:rFonts w:ascii="Palatino Linotype" w:eastAsia="Palatino Linotype" w:hAnsi="Palatino Linotype" w:cs="Palatino Linotype"/>
          <w:sz w:val="24"/>
          <w:szCs w:val="24"/>
        </w:rPr>
        <w:t xml:space="preserve">, con fundamento en lo dispuesto por el artículo 185 fracción II de la ley de la materia, a través de los acuerdos de admisión notificados en fechas </w:t>
      </w:r>
      <w:r w:rsidR="00953C2B" w:rsidRPr="00FA5387">
        <w:rPr>
          <w:rFonts w:ascii="Palatino Linotype" w:eastAsia="Palatino Linotype" w:hAnsi="Palatino Linotype" w:cs="Palatino Linotype"/>
          <w:b/>
          <w:sz w:val="24"/>
          <w:szCs w:val="24"/>
        </w:rPr>
        <w:t>seis, nueve y diez de febrero de dos mil veintiséis</w:t>
      </w:r>
      <w:r w:rsidR="00660322" w:rsidRPr="00FA5387">
        <w:rPr>
          <w:rFonts w:ascii="Palatino Linotype" w:eastAsia="Palatino Linotype" w:hAnsi="Palatino Linotype" w:cs="Palatino Linotype"/>
          <w:b/>
          <w:sz w:val="24"/>
          <w:szCs w:val="24"/>
        </w:rPr>
        <w:t>,</w:t>
      </w:r>
      <w:r w:rsidR="00660322" w:rsidRPr="00FA5387">
        <w:rPr>
          <w:rFonts w:ascii="Palatino Linotype" w:eastAsia="Palatino Linotype" w:hAnsi="Palatino Linotype" w:cs="Palatino Linotype"/>
          <w:sz w:val="24"/>
          <w:szCs w:val="24"/>
        </w:rPr>
        <w:t xml:space="preserve"> pusieron a disposición de las partes el expediente electrónico vía Sistema de Acceso a la Información Mexiquense SAIMEX a efecto de que en un plazo máximo de siete días manifestara</w:t>
      </w:r>
      <w:r w:rsidR="00953C2B" w:rsidRPr="00FA5387">
        <w:rPr>
          <w:rFonts w:ascii="Palatino Linotype" w:eastAsia="Palatino Linotype" w:hAnsi="Palatino Linotype" w:cs="Palatino Linotype"/>
          <w:sz w:val="24"/>
          <w:szCs w:val="24"/>
        </w:rPr>
        <w:t>n</w:t>
      </w:r>
      <w:r w:rsidR="00660322" w:rsidRPr="00FA5387">
        <w:rPr>
          <w:rFonts w:ascii="Palatino Linotype" w:eastAsia="Palatino Linotype" w:hAnsi="Palatino Linotype" w:cs="Palatino Linotype"/>
          <w:sz w:val="24"/>
          <w:szCs w:val="24"/>
        </w:rPr>
        <w:t xml:space="preserve"> lo que a su derecho conviniera, ofreciera</w:t>
      </w:r>
      <w:r w:rsidR="00953C2B" w:rsidRPr="00FA5387">
        <w:rPr>
          <w:rFonts w:ascii="Palatino Linotype" w:eastAsia="Palatino Linotype" w:hAnsi="Palatino Linotype" w:cs="Palatino Linotype"/>
          <w:sz w:val="24"/>
          <w:szCs w:val="24"/>
        </w:rPr>
        <w:t>n</w:t>
      </w:r>
      <w:r w:rsidR="00660322" w:rsidRPr="00FA5387">
        <w:rPr>
          <w:rFonts w:ascii="Palatino Linotype" w:eastAsia="Palatino Linotype" w:hAnsi="Palatino Linotype" w:cs="Palatino Linotype"/>
          <w:sz w:val="24"/>
          <w:szCs w:val="24"/>
        </w:rPr>
        <w:t xml:space="preserve"> pruebas y alegatos según correspondiera a los casos concretos, de esta forma para que el SUJETO OBLIGADO presentará el Informe Justificado procedente.</w:t>
      </w:r>
    </w:p>
    <w:p w:rsidR="00660322" w:rsidRPr="00FA5387" w:rsidRDefault="00660322" w:rsidP="00660322">
      <w:pPr>
        <w:tabs>
          <w:tab w:val="left" w:pos="0"/>
          <w:tab w:val="left" w:pos="567"/>
        </w:tabs>
        <w:spacing w:line="360" w:lineRule="auto"/>
        <w:jc w:val="both"/>
        <w:rPr>
          <w:rFonts w:ascii="Palatino Linotype" w:eastAsia="Palatino Linotype" w:hAnsi="Palatino Linotype" w:cs="Palatino Linotype"/>
          <w:b/>
          <w:color w:val="000000"/>
          <w:sz w:val="24"/>
          <w:szCs w:val="24"/>
        </w:rPr>
      </w:pPr>
    </w:p>
    <w:p w:rsidR="00953C2B" w:rsidRPr="00FA5387" w:rsidRDefault="00953C2B" w:rsidP="00D27977">
      <w:pPr>
        <w:numPr>
          <w:ilvl w:val="0"/>
          <w:numId w:val="7"/>
        </w:numPr>
        <w:tabs>
          <w:tab w:val="left" w:pos="426"/>
        </w:tabs>
        <w:spacing w:line="360" w:lineRule="auto"/>
        <w:ind w:left="0" w:right="49" w:firstLine="0"/>
        <w:contextualSpacing/>
        <w:jc w:val="both"/>
        <w:rPr>
          <w:rFonts w:ascii="Palatino Linotype" w:hAnsi="Palatino Linotype"/>
          <w:noProof/>
          <w:sz w:val="24"/>
          <w:szCs w:val="24"/>
        </w:rPr>
      </w:pPr>
      <w:r w:rsidRPr="00FA5387">
        <w:rPr>
          <w:rFonts w:ascii="Palatino Linotype" w:eastAsia="Palatino Linotype" w:hAnsi="Palatino Linotype" w:cs="Palatino Linotype"/>
          <w:color w:val="000000"/>
          <w:sz w:val="24"/>
          <w:szCs w:val="24"/>
        </w:rPr>
        <w:t>Posteriormente, la Comisionada Ponente a través de acuerdo de fecha</w:t>
      </w:r>
      <w:r w:rsidRPr="00FA5387">
        <w:rPr>
          <w:rFonts w:ascii="Palatino Linotype" w:eastAsia="Palatino Linotype" w:hAnsi="Palatino Linotype" w:cs="Palatino Linotype"/>
          <w:b/>
          <w:color w:val="000000"/>
          <w:sz w:val="24"/>
          <w:szCs w:val="24"/>
        </w:rPr>
        <w:t xml:space="preserve"> diez de febrero de dos mil veintiséis</w:t>
      </w:r>
      <w:r w:rsidRPr="00FA5387">
        <w:rPr>
          <w:rFonts w:ascii="Palatino Linotype" w:eastAsia="Palatino Linotype" w:hAnsi="Palatino Linotype" w:cs="Palatino Linotype"/>
          <w:color w:val="000000"/>
          <w:sz w:val="24"/>
          <w:szCs w:val="24"/>
        </w:rPr>
        <w:t xml:space="preserve">, </w:t>
      </w:r>
      <w:r w:rsidRPr="00FA5387">
        <w:rPr>
          <w:rFonts w:ascii="Palatino Linotype" w:eastAsia="Calibri" w:hAnsi="Palatino Linotype" w:cs="Tahoma"/>
          <w:sz w:val="24"/>
          <w:szCs w:val="24"/>
        </w:rPr>
        <w:t xml:space="preserve">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00D27977" w:rsidRPr="00FA5387">
        <w:rPr>
          <w:rFonts w:ascii="Palatino Linotype" w:eastAsia="Palatino Linotype" w:hAnsi="Palatino Linotype" w:cs="Palatino Linotype"/>
          <w:b/>
          <w:color w:val="000000"/>
          <w:sz w:val="24"/>
          <w:szCs w:val="24"/>
        </w:rPr>
        <w:t xml:space="preserve">01523/INFOEM/IP/RR/2026, 01528/INFOEM/IP/RR/2026, 01533/INFOEM/IP/RR/2026, 01538/INFOEM/IP/RR/2026, 01543/INFOEM/IP/RR/2026, 01548/INFOEM/IP/RR/2026, </w:t>
      </w:r>
      <w:r w:rsidR="00D27977" w:rsidRPr="00FA5387">
        <w:rPr>
          <w:rFonts w:ascii="Palatino Linotype" w:eastAsia="Palatino Linotype" w:hAnsi="Palatino Linotype" w:cs="Palatino Linotype"/>
          <w:b/>
          <w:color w:val="000000"/>
          <w:sz w:val="24"/>
          <w:szCs w:val="24"/>
        </w:rPr>
        <w:lastRenderedPageBreak/>
        <w:t>01553/INFOEM/IP/RR/2026, 01558/INFOEM/IP/RR/2026, 01563/INFOEM/IP/RR/2026, 01568/INFOEM/IP/RR/2026, 01573/INFOEM/IP/RR/2026, 01578/INFOEM/IP/RR/2026, 01583/INFOEM/IP/RR/2026, 01588/INFOEM/IP/RR/2026, 01593/INFOEM/IP/RR/2026, 01598/INFOEM/IP/RR/2026, 01603/INFOEM/IP/RR/2026, 01608/INFOEM/IP/RR/2026, 01613/INFOEM/IP/RR/2026, y 01618/INFOEM/IP/RR/2026</w:t>
      </w:r>
      <w:r w:rsidRPr="00FA5387">
        <w:rPr>
          <w:rFonts w:ascii="Palatino Linotype" w:eastAsia="Calibri" w:hAnsi="Palatino Linotype" w:cs="Tahoma"/>
          <w:sz w:val="24"/>
          <w:szCs w:val="24"/>
        </w:rPr>
        <w:t xml:space="preserve"> toda vez que se advirtió conexidad entre estos, al haber sido promovidos por la misma persona, en los que se señaló como dependencia o entidad recurrida al </w:t>
      </w:r>
      <w:r w:rsidRPr="00FA5387">
        <w:rPr>
          <w:rFonts w:ascii="Palatino Linotype" w:eastAsia="Calibri" w:hAnsi="Palatino Linotype" w:cs="Tahoma"/>
          <w:b/>
          <w:bCs/>
          <w:sz w:val="24"/>
          <w:szCs w:val="24"/>
        </w:rPr>
        <w:t>Ayuntamiento de Toluca</w:t>
      </w:r>
      <w:r w:rsidRPr="00FA5387">
        <w:rPr>
          <w:rFonts w:ascii="Palatino Linotype" w:eastAsia="Calibri" w:hAnsi="Palatino Linotype" w:cs="Tahoma"/>
          <w:sz w:val="24"/>
          <w:szCs w:val="24"/>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FA5387">
        <w:rPr>
          <w:rFonts w:ascii="Palatino Linotype" w:eastAsia="Calibri" w:hAnsi="Palatino Linotype" w:cs="Tahoma"/>
          <w:b/>
          <w:sz w:val="24"/>
          <w:szCs w:val="24"/>
        </w:rPr>
        <w:t>decreta</w:t>
      </w:r>
      <w:r w:rsidRPr="00FA5387">
        <w:rPr>
          <w:rFonts w:ascii="Palatino Linotype" w:eastAsia="Calibri" w:hAnsi="Palatino Linotype" w:cs="Tahoma"/>
          <w:sz w:val="24"/>
          <w:szCs w:val="24"/>
        </w:rPr>
        <w:t xml:space="preserve"> la </w:t>
      </w:r>
      <w:r w:rsidRPr="00FA5387">
        <w:rPr>
          <w:rFonts w:ascii="Palatino Linotype" w:eastAsia="Calibri" w:hAnsi="Palatino Linotype" w:cs="Tahoma"/>
          <w:b/>
          <w:sz w:val="24"/>
          <w:szCs w:val="24"/>
        </w:rPr>
        <w:t>acumulación</w:t>
      </w:r>
      <w:r w:rsidRPr="00FA5387">
        <w:rPr>
          <w:rFonts w:ascii="Palatino Linotype" w:eastAsia="Calibri" w:hAnsi="Palatino Linotype" w:cs="Tahoma"/>
          <w:sz w:val="24"/>
          <w:szCs w:val="24"/>
        </w:rPr>
        <w:t xml:space="preserve"> de los Recursos de Revisión </w:t>
      </w:r>
      <w:r w:rsidR="00D27977" w:rsidRPr="00FA5387">
        <w:rPr>
          <w:rFonts w:ascii="Palatino Linotype" w:eastAsia="Palatino Linotype" w:hAnsi="Palatino Linotype" w:cs="Palatino Linotype"/>
          <w:b/>
          <w:color w:val="000000"/>
          <w:sz w:val="24"/>
          <w:szCs w:val="24"/>
        </w:rPr>
        <w:t>01528/INFOEM/IP/RR/2026, 01533/INFOEM/IP/RR/2026, 01538/INFOEM/IP/RR/2026, 01543/INFOEM/IP/RR/2026, 01548/INFOEM/IP/RR/2026, 01553/INFOEM/IP/RR/2026, 01558/INFOEM/IP/RR/2026, 01563/INFOEM/IP/RR/2026, 01568/INFOEM/IP/RR/2026, 01573/INFOEM/IP/RR/2026, 01578/INFOEM/IP/RR/2026, 01583/INFOEM/IP/RR/2026, 01588/INFOEM/IP/RR/2026, 01593/INFOEM/IP/RR/2026, 01598/INFOEM/IP/RR/2026, 01603/INFOEM/IP/RR/2026, 01608/INFOEM/IP/RR/2026, 01613/INFOEM/IP/RR/2026, y 01618/INFOEM/IP/RR/2026</w:t>
      </w:r>
      <w:r w:rsidRPr="00FA5387">
        <w:rPr>
          <w:rFonts w:ascii="Palatino Linotype" w:eastAsia="Palatino Linotype" w:hAnsi="Palatino Linotype" w:cs="Palatino Linotype"/>
          <w:b/>
          <w:color w:val="000000"/>
          <w:sz w:val="24"/>
          <w:szCs w:val="24"/>
        </w:rPr>
        <w:t xml:space="preserve"> </w:t>
      </w:r>
      <w:r w:rsidRPr="00FA5387">
        <w:rPr>
          <w:rFonts w:ascii="Palatino Linotype" w:eastAsia="Calibri" w:hAnsi="Palatino Linotype" w:cs="Tahoma"/>
          <w:sz w:val="24"/>
          <w:szCs w:val="24"/>
        </w:rPr>
        <w:t xml:space="preserve">al diverso </w:t>
      </w:r>
      <w:r w:rsidR="00D27977" w:rsidRPr="00FA5387">
        <w:rPr>
          <w:rFonts w:ascii="Palatino Linotype" w:eastAsia="Palatino Linotype" w:hAnsi="Palatino Linotype" w:cs="Palatino Linotype"/>
          <w:b/>
          <w:color w:val="000000"/>
          <w:sz w:val="24"/>
          <w:szCs w:val="24"/>
        </w:rPr>
        <w:t>01523/INFOEM/IP/RR/2026,</w:t>
      </w:r>
      <w:r w:rsidRPr="00FA5387">
        <w:rPr>
          <w:rFonts w:ascii="Palatino Linotype" w:eastAsia="Calibri" w:hAnsi="Palatino Linotype" w:cs="Tahoma"/>
          <w:sz w:val="24"/>
          <w:szCs w:val="24"/>
        </w:rPr>
        <w:t xml:space="preserve"> por ser este último el más antiguo, sustanciado bajo el índice de esta Ponencia.</w:t>
      </w:r>
    </w:p>
    <w:p w:rsidR="00953C2B" w:rsidRPr="00FA5387" w:rsidRDefault="00953C2B" w:rsidP="00953C2B">
      <w:pPr>
        <w:tabs>
          <w:tab w:val="left" w:pos="426"/>
        </w:tabs>
        <w:spacing w:line="360" w:lineRule="auto"/>
        <w:ind w:right="49"/>
        <w:contextualSpacing/>
        <w:jc w:val="both"/>
        <w:rPr>
          <w:rFonts w:ascii="Palatino Linotype" w:hAnsi="Palatino Linotype"/>
          <w:noProof/>
          <w:sz w:val="24"/>
          <w:szCs w:val="24"/>
        </w:rPr>
      </w:pPr>
    </w:p>
    <w:p w:rsidR="00660322" w:rsidRPr="00FA5387" w:rsidRDefault="00660322" w:rsidP="00782DBB">
      <w:pPr>
        <w:numPr>
          <w:ilvl w:val="0"/>
          <w:numId w:val="7"/>
        </w:numPr>
        <w:tabs>
          <w:tab w:val="left" w:pos="426"/>
        </w:tabs>
        <w:spacing w:line="360" w:lineRule="auto"/>
        <w:ind w:left="0" w:right="49" w:firstLine="0"/>
        <w:contextualSpacing/>
        <w:jc w:val="both"/>
        <w:rPr>
          <w:rFonts w:ascii="Palatino Linotype" w:hAnsi="Palatino Linotype"/>
          <w:noProof/>
          <w:sz w:val="24"/>
          <w:szCs w:val="24"/>
        </w:rPr>
      </w:pPr>
      <w:r w:rsidRPr="00FA5387">
        <w:rPr>
          <w:rFonts w:ascii="Palatino Linotype" w:hAnsi="Palatino Linotype" w:cs="Arial"/>
          <w:color w:val="000000" w:themeColor="text1"/>
          <w:sz w:val="24"/>
          <w:szCs w:val="24"/>
        </w:rPr>
        <w:t xml:space="preserve">De las constancias que obran en el expediente digital del recurso de revisión que hoy se resuelve, se aprecia que el </w:t>
      </w:r>
      <w:r w:rsidRPr="00FA5387">
        <w:rPr>
          <w:rFonts w:ascii="Palatino Linotype" w:hAnsi="Palatino Linotype" w:cs="Arial"/>
          <w:b/>
          <w:color w:val="000000" w:themeColor="text1"/>
          <w:sz w:val="24"/>
          <w:szCs w:val="24"/>
        </w:rPr>
        <w:t>SUJETO OBLIGADO</w:t>
      </w:r>
      <w:r w:rsidRPr="00FA5387">
        <w:rPr>
          <w:rFonts w:ascii="Palatino Linotype" w:hAnsi="Palatino Linotype" w:cs="Arial"/>
          <w:color w:val="000000" w:themeColor="text1"/>
          <w:sz w:val="24"/>
          <w:szCs w:val="24"/>
        </w:rPr>
        <w:t xml:space="preserve">  presentó dentro de </w:t>
      </w:r>
      <w:r w:rsidR="00516E19" w:rsidRPr="00FA5387">
        <w:rPr>
          <w:rFonts w:ascii="Palatino Linotype" w:hAnsi="Palatino Linotype" w:cs="Arial"/>
          <w:color w:val="000000" w:themeColor="text1"/>
          <w:sz w:val="24"/>
          <w:szCs w:val="24"/>
        </w:rPr>
        <w:t>los</w:t>
      </w:r>
      <w:r w:rsidRPr="00FA5387">
        <w:rPr>
          <w:rFonts w:ascii="Palatino Linotype" w:hAnsi="Palatino Linotype" w:cs="Arial"/>
          <w:color w:val="000000" w:themeColor="text1"/>
          <w:sz w:val="24"/>
          <w:szCs w:val="24"/>
        </w:rPr>
        <w:t xml:space="preserve"> recursos en fecha</w:t>
      </w:r>
      <w:r w:rsidR="00953C2B" w:rsidRPr="00FA5387">
        <w:rPr>
          <w:rFonts w:ascii="Palatino Linotype" w:hAnsi="Palatino Linotype" w:cs="Arial"/>
          <w:color w:val="000000" w:themeColor="text1"/>
          <w:sz w:val="24"/>
          <w:szCs w:val="24"/>
        </w:rPr>
        <w:t>s</w:t>
      </w:r>
      <w:r w:rsidRPr="00FA5387">
        <w:rPr>
          <w:rFonts w:ascii="Palatino Linotype" w:hAnsi="Palatino Linotype" w:cs="Arial"/>
          <w:color w:val="000000" w:themeColor="text1"/>
          <w:sz w:val="24"/>
          <w:szCs w:val="24"/>
        </w:rPr>
        <w:t xml:space="preserve"> </w:t>
      </w:r>
      <w:r w:rsidR="00ED6A24" w:rsidRPr="00FA5387">
        <w:rPr>
          <w:rFonts w:ascii="Palatino Linotype" w:hAnsi="Palatino Linotype" w:cs="Arial"/>
          <w:b/>
          <w:color w:val="000000" w:themeColor="text1"/>
          <w:sz w:val="24"/>
          <w:szCs w:val="24"/>
        </w:rPr>
        <w:lastRenderedPageBreak/>
        <w:t xml:space="preserve">diecisiete, dieciocho y diecinueve </w:t>
      </w:r>
      <w:r w:rsidR="00953C2B" w:rsidRPr="00FA5387">
        <w:rPr>
          <w:rFonts w:ascii="Palatino Linotype" w:hAnsi="Palatino Linotype" w:cs="Arial"/>
          <w:b/>
          <w:color w:val="000000" w:themeColor="text1"/>
          <w:sz w:val="24"/>
          <w:szCs w:val="24"/>
        </w:rPr>
        <w:t>de febrero de dos mil veintiséis</w:t>
      </w:r>
      <w:r w:rsidRPr="00FA5387">
        <w:rPr>
          <w:rFonts w:ascii="Palatino Linotype" w:hAnsi="Palatino Linotype" w:cs="Arial"/>
          <w:color w:val="000000" w:themeColor="text1"/>
          <w:sz w:val="24"/>
          <w:szCs w:val="24"/>
        </w:rPr>
        <w:t xml:space="preserve"> </w:t>
      </w:r>
      <w:r w:rsidR="00ED6A24" w:rsidRPr="00FA5387">
        <w:rPr>
          <w:rFonts w:ascii="Palatino Linotype" w:hAnsi="Palatino Linotype" w:cs="Arial"/>
          <w:color w:val="000000" w:themeColor="text1"/>
          <w:sz w:val="24"/>
          <w:szCs w:val="24"/>
        </w:rPr>
        <w:t>diversos</w:t>
      </w:r>
      <w:r w:rsidR="00953C2B" w:rsidRPr="00FA5387">
        <w:rPr>
          <w:rFonts w:ascii="Palatino Linotype" w:hAnsi="Palatino Linotype" w:cs="Arial"/>
          <w:color w:val="000000" w:themeColor="text1"/>
          <w:sz w:val="24"/>
          <w:szCs w:val="24"/>
        </w:rPr>
        <w:t xml:space="preserve"> archivos </w:t>
      </w:r>
      <w:r w:rsidR="00ED6A24" w:rsidRPr="00FA5387">
        <w:rPr>
          <w:rFonts w:ascii="Palatino Linotype" w:hAnsi="Palatino Linotype" w:cs="Arial"/>
          <w:color w:val="000000" w:themeColor="text1"/>
          <w:sz w:val="24"/>
          <w:szCs w:val="24"/>
        </w:rPr>
        <w:t>en formato pdf</w:t>
      </w:r>
      <w:r w:rsidRPr="00FA5387">
        <w:rPr>
          <w:rFonts w:ascii="Palatino Linotype" w:hAnsi="Palatino Linotype" w:cs="Arial"/>
          <w:color w:val="FF0000"/>
          <w:sz w:val="24"/>
          <w:szCs w:val="24"/>
        </w:rPr>
        <w:t xml:space="preserve"> </w:t>
      </w:r>
      <w:r w:rsidRPr="00FA5387">
        <w:rPr>
          <w:rFonts w:ascii="Palatino Linotype" w:hAnsi="Palatino Linotype" w:cs="Arial"/>
          <w:color w:val="000000" w:themeColor="text1"/>
          <w:sz w:val="24"/>
          <w:szCs w:val="24"/>
        </w:rPr>
        <w:t>en los que medularmente ratifica su respuesta inicial</w:t>
      </w:r>
      <w:r w:rsidR="00ED6A24" w:rsidRPr="00FA5387">
        <w:rPr>
          <w:rFonts w:ascii="Palatino Linotype" w:hAnsi="Palatino Linotype" w:cs="Arial"/>
          <w:color w:val="000000" w:themeColor="text1"/>
          <w:sz w:val="24"/>
          <w:szCs w:val="24"/>
        </w:rPr>
        <w:t xml:space="preserve"> en los términos expuestos</w:t>
      </w:r>
      <w:r w:rsidRPr="00FA5387">
        <w:rPr>
          <w:rFonts w:ascii="Palatino Linotype" w:hAnsi="Palatino Linotype" w:cs="Arial"/>
          <w:color w:val="000000" w:themeColor="text1"/>
          <w:sz w:val="24"/>
          <w:szCs w:val="24"/>
        </w:rPr>
        <w:t xml:space="preserve">; mientras que </w:t>
      </w:r>
      <w:r w:rsidRPr="00FA5387">
        <w:rPr>
          <w:rFonts w:ascii="Palatino Linotype" w:hAnsi="Palatino Linotype" w:cs="Arial"/>
          <w:b/>
          <w:color w:val="000000" w:themeColor="text1"/>
          <w:sz w:val="24"/>
          <w:szCs w:val="24"/>
        </w:rPr>
        <w:t>EL RECURRENTE</w:t>
      </w:r>
      <w:r w:rsidRPr="00FA5387">
        <w:rPr>
          <w:rFonts w:ascii="Palatino Linotype" w:hAnsi="Palatino Linotype" w:cs="Arial"/>
          <w:i/>
          <w:color w:val="000000" w:themeColor="text1"/>
          <w:sz w:val="24"/>
          <w:szCs w:val="24"/>
        </w:rPr>
        <w:t xml:space="preserve"> </w:t>
      </w:r>
      <w:r w:rsidRPr="00FA5387">
        <w:rPr>
          <w:rFonts w:ascii="Palatino Linotype" w:hAnsi="Palatino Linotype"/>
          <w:b/>
          <w:sz w:val="24"/>
          <w:szCs w:val="24"/>
        </w:rPr>
        <w:t xml:space="preserve"> </w:t>
      </w:r>
      <w:r w:rsidRPr="00FA5387">
        <w:rPr>
          <w:rFonts w:ascii="Palatino Linotype" w:hAnsi="Palatino Linotype"/>
          <w:sz w:val="24"/>
          <w:szCs w:val="24"/>
        </w:rPr>
        <w:t>dejó de realizar manifestaciones que a su derecho conviniera y asistiera</w:t>
      </w:r>
      <w:r w:rsidRPr="00FA5387">
        <w:rPr>
          <w:rFonts w:ascii="Palatino Linotype" w:hAnsi="Palatino Linotype"/>
          <w:noProof/>
          <w:sz w:val="24"/>
          <w:szCs w:val="24"/>
        </w:rPr>
        <w:t>n.</w:t>
      </w:r>
    </w:p>
    <w:p w:rsidR="00696D73" w:rsidRPr="00FA5387" w:rsidRDefault="00696D73" w:rsidP="00696D73">
      <w:pPr>
        <w:pStyle w:val="Prrafodelista"/>
        <w:rPr>
          <w:rFonts w:ascii="Palatino Linotype" w:hAnsi="Palatino Linotype"/>
          <w:noProof/>
          <w:sz w:val="24"/>
        </w:rPr>
      </w:pPr>
    </w:p>
    <w:p w:rsidR="00953C2B" w:rsidRPr="00FA5387" w:rsidRDefault="00FA5387" w:rsidP="00ED6A24">
      <w:pPr>
        <w:numPr>
          <w:ilvl w:val="0"/>
          <w:numId w:val="18"/>
        </w:numPr>
        <w:spacing w:line="360" w:lineRule="auto"/>
        <w:ind w:left="0" w:right="-29" w:firstLine="0"/>
        <w:jc w:val="both"/>
        <w:rPr>
          <w:rFonts w:ascii="Palatino Linotype" w:eastAsia="Palatino Linotype" w:hAnsi="Palatino Linotype" w:cs="Palatino Linotype"/>
          <w:sz w:val="24"/>
          <w:szCs w:val="24"/>
        </w:rPr>
      </w:pPr>
      <w:bookmarkStart w:id="68" w:name="_Toc491791302"/>
      <w:bookmarkStart w:id="69" w:name="_Toc74778592"/>
      <w:bookmarkStart w:id="70" w:name="_Toc85733157"/>
      <w:r>
        <w:rPr>
          <w:rFonts w:ascii="Palatino Linotype" w:eastAsia="Palatino Linotype" w:hAnsi="Palatino Linotype" w:cs="Palatino Linotype"/>
          <w:sz w:val="24"/>
          <w:szCs w:val="24"/>
        </w:rPr>
        <w:t>La Comisionada p</w:t>
      </w:r>
      <w:r w:rsidR="00953C2B" w:rsidRPr="00FA5387">
        <w:rPr>
          <w:rFonts w:ascii="Palatino Linotype" w:eastAsia="Palatino Linotype" w:hAnsi="Palatino Linotype" w:cs="Palatino Linotype"/>
          <w:sz w:val="24"/>
          <w:szCs w:val="24"/>
        </w:rPr>
        <w:t xml:space="preserve">onente decretó el cierre de instrucción mediante el acuerdo del </w:t>
      </w:r>
      <w:r w:rsidR="00ED6A24" w:rsidRPr="00FA5387">
        <w:rPr>
          <w:rFonts w:ascii="Palatino Linotype" w:eastAsia="Palatino Linotype" w:hAnsi="Palatino Linotype" w:cs="Palatino Linotype"/>
          <w:b/>
          <w:sz w:val="24"/>
          <w:szCs w:val="24"/>
        </w:rPr>
        <w:t>veintiséis</w:t>
      </w:r>
      <w:r w:rsidR="00953C2B" w:rsidRPr="00FA5387">
        <w:rPr>
          <w:rFonts w:ascii="Palatino Linotype" w:eastAsia="Palatino Linotype" w:hAnsi="Palatino Linotype" w:cs="Palatino Linotype"/>
          <w:b/>
          <w:sz w:val="24"/>
          <w:szCs w:val="24"/>
        </w:rPr>
        <w:t xml:space="preserve"> de febrero de dos mil veintiséis; </w:t>
      </w:r>
      <w:r w:rsidR="00953C2B" w:rsidRPr="00FA5387">
        <w:rPr>
          <w:rFonts w:ascii="Palatino Linotype" w:eastAsia="Palatino Linotype" w:hAnsi="Palatino Linotype" w:cs="Palatino Linotype"/>
          <w:sz w:val="24"/>
          <w:szCs w:val="24"/>
        </w:rPr>
        <w:t xml:space="preserve">por lo que en virtud de que el expediente electrónico ha sido debidamente substanciado y no existe diligencia pendiente de desahogo, se procede a emitir la presente resolución que conforme a Derecho corresponda y </w:t>
      </w:r>
      <w:r w:rsidR="0046523B" w:rsidRPr="00FA5387">
        <w:rPr>
          <w:rFonts w:ascii="Palatino Linotype" w:eastAsia="Palatino Linotype" w:hAnsi="Palatino Linotype" w:cs="Palatino Linotype"/>
          <w:sz w:val="24"/>
          <w:szCs w:val="24"/>
        </w:rPr>
        <w:t>de acuerdo a las siguientes:</w:t>
      </w:r>
    </w:p>
    <w:p w:rsidR="00660322" w:rsidRPr="00FA5387" w:rsidRDefault="00660322" w:rsidP="00660322">
      <w:pPr>
        <w:pBdr>
          <w:top w:val="nil"/>
          <w:left w:val="nil"/>
          <w:bottom w:val="nil"/>
          <w:right w:val="nil"/>
          <w:between w:val="nil"/>
        </w:pBdr>
        <w:spacing w:line="360" w:lineRule="auto"/>
        <w:ind w:left="568" w:right="49"/>
        <w:jc w:val="center"/>
        <w:rPr>
          <w:rFonts w:ascii="Palatino Linotype" w:eastAsia="Palatino Linotype" w:hAnsi="Palatino Linotype" w:cs="Palatino Linotype"/>
          <w:b/>
          <w:color w:val="000000"/>
          <w:sz w:val="24"/>
          <w:szCs w:val="24"/>
        </w:rPr>
      </w:pPr>
      <w:bookmarkStart w:id="71" w:name="_Toc491791303"/>
      <w:bookmarkStart w:id="72" w:name="_Toc74778593"/>
      <w:bookmarkStart w:id="73" w:name="_Toc85733158"/>
      <w:bookmarkEnd w:id="68"/>
      <w:bookmarkEnd w:id="69"/>
      <w:bookmarkEnd w:id="70"/>
      <w:r w:rsidRPr="00FA5387">
        <w:rPr>
          <w:rFonts w:ascii="Palatino Linotype" w:eastAsia="Palatino Linotype" w:hAnsi="Palatino Linotype" w:cs="Palatino Linotype"/>
          <w:b/>
          <w:color w:val="000000"/>
          <w:sz w:val="24"/>
          <w:szCs w:val="24"/>
        </w:rPr>
        <w:t>C O N S I D E R A C I O N E S</w:t>
      </w:r>
    </w:p>
    <w:p w:rsidR="00660322" w:rsidRPr="00FA5387" w:rsidRDefault="00660322" w:rsidP="00660322">
      <w:pPr>
        <w:pBdr>
          <w:top w:val="nil"/>
          <w:left w:val="nil"/>
          <w:bottom w:val="nil"/>
          <w:right w:val="nil"/>
          <w:between w:val="nil"/>
        </w:pBdr>
        <w:spacing w:line="360" w:lineRule="auto"/>
        <w:ind w:left="568" w:right="-787"/>
        <w:jc w:val="center"/>
        <w:rPr>
          <w:rFonts w:ascii="Palatino Linotype" w:eastAsia="Palatino Linotype" w:hAnsi="Palatino Linotype" w:cs="Palatino Linotype"/>
          <w:b/>
          <w:color w:val="000000"/>
          <w:sz w:val="24"/>
          <w:szCs w:val="24"/>
        </w:rPr>
      </w:pPr>
    </w:p>
    <w:p w:rsidR="00660322" w:rsidRPr="00FA5387" w:rsidRDefault="00660322" w:rsidP="00660322">
      <w:pPr>
        <w:pStyle w:val="Ttulo2"/>
        <w:spacing w:before="0" w:line="360" w:lineRule="auto"/>
        <w:rPr>
          <w:rFonts w:ascii="Palatino Linotype" w:hAnsi="Palatino Linotype"/>
          <w:b/>
          <w:color w:val="auto"/>
          <w:sz w:val="24"/>
          <w:szCs w:val="24"/>
        </w:rPr>
      </w:pPr>
      <w:r w:rsidRPr="00FA5387">
        <w:rPr>
          <w:rFonts w:ascii="Palatino Linotype" w:hAnsi="Palatino Linotype"/>
          <w:b/>
          <w:color w:val="auto"/>
          <w:sz w:val="24"/>
          <w:szCs w:val="24"/>
        </w:rPr>
        <w:t>PRIMERO. Competencia</w:t>
      </w:r>
      <w:bookmarkEnd w:id="71"/>
      <w:bookmarkEnd w:id="72"/>
      <w:bookmarkEnd w:id="73"/>
    </w:p>
    <w:p w:rsidR="00660322" w:rsidRDefault="00660322" w:rsidP="00782DBB">
      <w:pPr>
        <w:numPr>
          <w:ilvl w:val="0"/>
          <w:numId w:val="5"/>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szCs w:val="24"/>
        </w:rPr>
      </w:pPr>
      <w:bookmarkStart w:id="74" w:name="_Toc80699770"/>
      <w:bookmarkStart w:id="75" w:name="_Toc81260548"/>
      <w:r w:rsidRPr="00FA5387">
        <w:rPr>
          <w:rFonts w:ascii="Palatino Linotype" w:eastAsia="Palatino Linotype" w:hAnsi="Palatino Linotype" w:cs="Palatino Linotype"/>
          <w:color w:val="000000"/>
          <w:sz w:val="24"/>
          <w:szCs w:val="24"/>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séptimo, trigésimo octavo y trigésimo noveno, fracciones IV y V, de la Constitución Política del Estado Libre y Soberano de México; 1°, 8°, 9°, 10, 37 y 42, fracciones I, II y III, de la Ley General de Transparencia y Acceso a la Información Pública, vigente a la fecha de la solicitud de información; 1°, 2°, fracciones II y IV; 13, 29, 36, fracciones I y II; 176, 178, 179, 181 párrafo tercero, 185, 188 y 189 de la Ley Transparencia y Acceso a la Información Pública del Estado de México y Municipios; 7°, 9°, fracciones I y XXIII, y 11 del Reglamento </w:t>
      </w:r>
      <w:r w:rsidRPr="00FA5387">
        <w:rPr>
          <w:rFonts w:ascii="Palatino Linotype" w:eastAsia="Palatino Linotype" w:hAnsi="Palatino Linotype" w:cs="Palatino Linotype"/>
          <w:color w:val="000000"/>
          <w:sz w:val="24"/>
          <w:szCs w:val="24"/>
        </w:rPr>
        <w:lastRenderedPageBreak/>
        <w:t>Interior del Instituto de Transparencia, Acceso a la Información Pública y Protección de Datos Personales del Estado de México y Municipios.</w:t>
      </w:r>
      <w:r w:rsidR="00FA5387">
        <w:rPr>
          <w:rFonts w:ascii="Palatino Linotype" w:eastAsia="Palatino Linotype" w:hAnsi="Palatino Linotype" w:cs="Palatino Linotype"/>
          <w:color w:val="000000"/>
          <w:sz w:val="24"/>
          <w:szCs w:val="24"/>
        </w:rPr>
        <w:t xml:space="preserve"> </w:t>
      </w:r>
    </w:p>
    <w:p w:rsidR="00FA5387" w:rsidRPr="00FA5387" w:rsidRDefault="00FA5387" w:rsidP="00FA5387">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p>
    <w:p w:rsidR="00660322" w:rsidRPr="00FA5387" w:rsidRDefault="00660322" w:rsidP="00660322">
      <w:pPr>
        <w:pStyle w:val="Prrafodelista"/>
        <w:tabs>
          <w:tab w:val="left" w:pos="426"/>
        </w:tabs>
        <w:spacing w:line="360" w:lineRule="auto"/>
        <w:ind w:left="0"/>
        <w:jc w:val="both"/>
        <w:outlineLvl w:val="1"/>
        <w:rPr>
          <w:rFonts w:ascii="Palatino Linotype" w:hAnsi="Palatino Linotype"/>
          <w:b/>
          <w:color w:val="000000" w:themeColor="text1"/>
          <w:sz w:val="24"/>
        </w:rPr>
      </w:pPr>
      <w:bookmarkStart w:id="76" w:name="_Toc85733159"/>
      <w:r w:rsidRPr="00FA5387">
        <w:rPr>
          <w:rFonts w:ascii="Palatino Linotype" w:hAnsi="Palatino Linotype"/>
          <w:b/>
          <w:bCs/>
          <w:color w:val="000000" w:themeColor="text1"/>
          <w:sz w:val="24"/>
        </w:rPr>
        <w:t>SEGUNDO.</w:t>
      </w:r>
      <w:bookmarkStart w:id="77" w:name="_Toc491791304"/>
      <w:bookmarkStart w:id="78" w:name="_Toc74778594"/>
      <w:bookmarkEnd w:id="74"/>
      <w:bookmarkEnd w:id="75"/>
      <w:r w:rsidRPr="00FA5387">
        <w:rPr>
          <w:rFonts w:ascii="Palatino Linotype" w:hAnsi="Palatino Linotype"/>
          <w:b/>
          <w:color w:val="000000" w:themeColor="text1"/>
          <w:sz w:val="24"/>
        </w:rPr>
        <w:t xml:space="preserve"> De la oportunidad y procedencia.</w:t>
      </w:r>
      <w:bookmarkEnd w:id="76"/>
      <w:bookmarkEnd w:id="77"/>
      <w:bookmarkEnd w:id="78"/>
    </w:p>
    <w:p w:rsidR="00660322" w:rsidRPr="00FA5387" w:rsidRDefault="00660322" w:rsidP="00782DBB">
      <w:pPr>
        <w:numPr>
          <w:ilvl w:val="0"/>
          <w:numId w:val="8"/>
        </w:numPr>
        <w:spacing w:line="360" w:lineRule="auto"/>
        <w:ind w:left="0" w:right="49" w:firstLine="0"/>
        <w:jc w:val="both"/>
        <w:rPr>
          <w:rFonts w:ascii="Palatino Linotype" w:eastAsia="Palatino Linotype" w:hAnsi="Palatino Linotype" w:cs="Palatino Linotype"/>
          <w:sz w:val="24"/>
          <w:szCs w:val="24"/>
        </w:rPr>
      </w:pPr>
      <w:bookmarkStart w:id="79" w:name="_Toc521431830"/>
      <w:bookmarkStart w:id="80" w:name="_Toc27653760"/>
      <w:r w:rsidRPr="00FA5387">
        <w:rPr>
          <w:rFonts w:ascii="Palatino Linotype" w:eastAsia="Palatino Linotype" w:hAnsi="Palatino Linotype" w:cs="Palatino Linotype"/>
          <w:sz w:val="24"/>
          <w:szCs w:val="24"/>
        </w:rPr>
        <w:t xml:space="preserve">Este Órgano Garante considera que el medio de impugnación reúne los requisitos de procedencia </w:t>
      </w:r>
      <w:r w:rsidRPr="00FA5387">
        <w:rPr>
          <w:rFonts w:ascii="Palatino Linotype" w:eastAsia="Palatino Linotype" w:hAnsi="Palatino Linotype" w:cs="Palatino Linotype"/>
          <w:color w:val="000000"/>
          <w:sz w:val="24"/>
          <w:szCs w:val="24"/>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660322" w:rsidRPr="00FA5387" w:rsidRDefault="00660322" w:rsidP="00660322">
      <w:pPr>
        <w:pStyle w:val="Textoindependienteprimerasangra2"/>
        <w:ind w:hanging="76"/>
        <w:jc w:val="both"/>
        <w:rPr>
          <w:rFonts w:ascii="Palatino Linotype" w:eastAsia="Palatino Linotype" w:hAnsi="Palatino Linotype"/>
          <w:i/>
        </w:rPr>
      </w:pPr>
    </w:p>
    <w:p w:rsidR="000448E1" w:rsidRPr="00FA5387" w:rsidRDefault="000448E1" w:rsidP="00782DBB">
      <w:pPr>
        <w:pStyle w:val="Prrafodelista"/>
        <w:numPr>
          <w:ilvl w:val="0"/>
          <w:numId w:val="8"/>
        </w:numPr>
        <w:spacing w:line="360" w:lineRule="auto"/>
        <w:ind w:left="0" w:right="27" w:firstLine="0"/>
        <w:jc w:val="both"/>
        <w:rPr>
          <w:rFonts w:ascii="Palatino Linotype" w:eastAsia="Calibri" w:hAnsi="Palatino Linotype" w:cs="Arial"/>
          <w:sz w:val="24"/>
        </w:rPr>
      </w:pPr>
      <w:r w:rsidRPr="00FA5387">
        <w:rPr>
          <w:rFonts w:ascii="Palatino Linotype" w:eastAsia="Calibri" w:hAnsi="Palatino Linotype" w:cs="Arial"/>
          <w:sz w:val="24"/>
        </w:rPr>
        <w:t>Al respecto resulta necesario precisar que cuando el medio de impugnación, se haya interpuesto antes que inicie el término para tal efecto, resulta insuficiente para tener por 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rsidR="000448E1" w:rsidRPr="00FA5387" w:rsidRDefault="000448E1" w:rsidP="000448E1">
      <w:pPr>
        <w:spacing w:line="360" w:lineRule="auto"/>
        <w:ind w:right="27"/>
        <w:contextualSpacing/>
        <w:rPr>
          <w:rFonts w:ascii="Palatino Linotype" w:hAnsi="Palatino Linotype" w:cs="Arial"/>
          <w:sz w:val="24"/>
          <w:szCs w:val="24"/>
        </w:rPr>
      </w:pPr>
    </w:p>
    <w:p w:rsidR="000448E1" w:rsidRPr="00FA5387" w:rsidRDefault="000448E1" w:rsidP="00782DBB">
      <w:pPr>
        <w:pStyle w:val="Prrafodelista"/>
        <w:numPr>
          <w:ilvl w:val="0"/>
          <w:numId w:val="8"/>
        </w:numPr>
        <w:spacing w:line="360" w:lineRule="auto"/>
        <w:ind w:left="0" w:right="27" w:firstLine="0"/>
        <w:jc w:val="both"/>
        <w:rPr>
          <w:rFonts w:ascii="Palatino Linotype" w:eastAsia="Calibri" w:hAnsi="Palatino Linotype" w:cs="Arial"/>
          <w:sz w:val="24"/>
        </w:rPr>
      </w:pPr>
      <w:r w:rsidRPr="00FA5387">
        <w:rPr>
          <w:rFonts w:ascii="Palatino Linotype" w:eastAsia="Calibri" w:hAnsi="Palatino Linotype" w:cs="Arial"/>
          <w:sz w:val="24"/>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0448E1" w:rsidRPr="00FA5387" w:rsidRDefault="000448E1" w:rsidP="000448E1">
      <w:pPr>
        <w:ind w:left="1134" w:right="1814"/>
        <w:contextualSpacing/>
        <w:jc w:val="both"/>
        <w:rPr>
          <w:rFonts w:ascii="Palatino Linotype" w:hAnsi="Palatino Linotype" w:cs="Arial"/>
          <w:i/>
          <w:sz w:val="24"/>
          <w:szCs w:val="24"/>
        </w:rPr>
      </w:pPr>
      <w:r w:rsidRPr="00FA5387">
        <w:rPr>
          <w:rFonts w:ascii="Palatino Linotype" w:hAnsi="Palatino Linotype" w:cs="Arial"/>
          <w:b/>
          <w:i/>
          <w:sz w:val="24"/>
          <w:szCs w:val="24"/>
        </w:rPr>
        <w:lastRenderedPageBreak/>
        <w:t>“RECURSO DE RECLAMACIÓN. SU INTERPOSICIÓN NO ES EXTEMPORÁNEA SI SE REALIZA ANTES DE QUE INICIE EL PLAZO PARA HACERLO</w:t>
      </w:r>
      <w:r w:rsidRPr="00FA5387">
        <w:rPr>
          <w:rFonts w:ascii="Palatino Linotype" w:hAnsi="Palatino Linotype" w:cs="Arial"/>
          <w:i/>
          <w:sz w:val="24"/>
          <w:szCs w:val="24"/>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0448E1" w:rsidRPr="00FA5387" w:rsidRDefault="000448E1" w:rsidP="000448E1">
      <w:pPr>
        <w:spacing w:line="360" w:lineRule="auto"/>
        <w:ind w:right="27"/>
        <w:contextualSpacing/>
        <w:jc w:val="both"/>
        <w:rPr>
          <w:rFonts w:ascii="Palatino Linotype" w:hAnsi="Palatino Linotype" w:cs="Arial"/>
          <w:i/>
          <w:sz w:val="24"/>
          <w:szCs w:val="24"/>
        </w:rPr>
      </w:pPr>
    </w:p>
    <w:p w:rsidR="000448E1" w:rsidRPr="00FA5387" w:rsidRDefault="000448E1" w:rsidP="00782DBB">
      <w:pPr>
        <w:pStyle w:val="Prrafodelista"/>
        <w:numPr>
          <w:ilvl w:val="0"/>
          <w:numId w:val="8"/>
        </w:numPr>
        <w:spacing w:line="360" w:lineRule="auto"/>
        <w:ind w:left="0" w:right="27" w:firstLine="0"/>
        <w:jc w:val="both"/>
        <w:rPr>
          <w:rFonts w:ascii="Palatino Linotype" w:eastAsia="Calibri" w:hAnsi="Palatino Linotype" w:cs="Arial"/>
          <w:sz w:val="24"/>
        </w:rPr>
      </w:pPr>
      <w:r w:rsidRPr="00FA5387">
        <w:rPr>
          <w:rFonts w:ascii="Palatino Linotype" w:eastAsia="Calibri" w:hAnsi="Palatino Linotype" w:cs="Arial"/>
          <w:sz w:val="24"/>
        </w:rPr>
        <w:t>Esto es así porque en primer lugar es necesario que EL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de notificada EL RECURRENTE actúe, ya que al contrario lo que demuestra es el interés del mismo para ejercer su derecho bajo el principio constitucional de justicia expedita.</w:t>
      </w:r>
    </w:p>
    <w:p w:rsidR="000448E1" w:rsidRPr="00FA5387" w:rsidRDefault="000448E1" w:rsidP="000448E1">
      <w:pPr>
        <w:tabs>
          <w:tab w:val="left" w:pos="0"/>
        </w:tabs>
        <w:spacing w:line="360" w:lineRule="auto"/>
        <w:ind w:right="27"/>
        <w:contextualSpacing/>
        <w:jc w:val="both"/>
        <w:rPr>
          <w:rFonts w:ascii="Palatino Linotype" w:hAnsi="Palatino Linotype" w:cs="Arial"/>
          <w:i/>
          <w:sz w:val="24"/>
          <w:szCs w:val="24"/>
        </w:rPr>
      </w:pPr>
    </w:p>
    <w:p w:rsidR="000448E1" w:rsidRPr="00FA5387" w:rsidRDefault="000448E1" w:rsidP="00782DBB">
      <w:pPr>
        <w:pStyle w:val="Prrafodelista"/>
        <w:numPr>
          <w:ilvl w:val="0"/>
          <w:numId w:val="8"/>
        </w:numPr>
        <w:spacing w:line="360" w:lineRule="auto"/>
        <w:ind w:left="0" w:right="27" w:firstLine="0"/>
        <w:jc w:val="both"/>
        <w:rPr>
          <w:rFonts w:ascii="Palatino Linotype" w:eastAsia="Calibri" w:hAnsi="Palatino Linotype" w:cs="Arial"/>
          <w:sz w:val="24"/>
        </w:rPr>
      </w:pPr>
      <w:r w:rsidRPr="00FA5387">
        <w:rPr>
          <w:rFonts w:ascii="Palatino Linotype" w:eastAsia="Calibri" w:hAnsi="Palatino Linotype" w:cs="Arial"/>
          <w:sz w:val="24"/>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0448E1" w:rsidRPr="00FA5387" w:rsidRDefault="000448E1" w:rsidP="000448E1">
      <w:pPr>
        <w:spacing w:line="360" w:lineRule="auto"/>
        <w:ind w:right="27"/>
        <w:contextualSpacing/>
        <w:rPr>
          <w:rFonts w:ascii="Palatino Linotype" w:hAnsi="Palatino Linotype"/>
          <w:sz w:val="24"/>
          <w:szCs w:val="24"/>
        </w:rPr>
      </w:pPr>
    </w:p>
    <w:p w:rsidR="000448E1" w:rsidRPr="00FA5387" w:rsidRDefault="000448E1" w:rsidP="00782DBB">
      <w:pPr>
        <w:pStyle w:val="Prrafodelista"/>
        <w:numPr>
          <w:ilvl w:val="0"/>
          <w:numId w:val="8"/>
        </w:numPr>
        <w:spacing w:line="360" w:lineRule="auto"/>
        <w:ind w:left="0" w:right="27" w:firstLine="0"/>
        <w:jc w:val="both"/>
        <w:rPr>
          <w:rFonts w:ascii="Palatino Linotype" w:eastAsia="Calibri" w:hAnsi="Palatino Linotype" w:cs="Arial"/>
          <w:sz w:val="24"/>
        </w:rPr>
      </w:pPr>
      <w:r w:rsidRPr="00FA5387">
        <w:rPr>
          <w:rFonts w:ascii="Palatino Linotype" w:eastAsia="Calibri" w:hAnsi="Palatino Linotype" w:cs="Arial"/>
          <w:sz w:val="24"/>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9E29C8" w:rsidRPr="00FA5387" w:rsidRDefault="009E29C8" w:rsidP="00782DBB">
      <w:pPr>
        <w:pStyle w:val="Prrafodelista"/>
        <w:numPr>
          <w:ilvl w:val="0"/>
          <w:numId w:val="8"/>
        </w:numPr>
        <w:spacing w:line="360" w:lineRule="auto"/>
        <w:ind w:left="0" w:firstLine="0"/>
        <w:jc w:val="both"/>
        <w:rPr>
          <w:rFonts w:ascii="Palatino Linotype" w:eastAsia="Palatino Linotype" w:hAnsi="Palatino Linotype" w:cs="Palatino Linotype"/>
          <w:sz w:val="24"/>
          <w:lang w:val="es-ES" w:eastAsia="en-US"/>
        </w:rPr>
      </w:pPr>
      <w:r w:rsidRPr="00FA5387">
        <w:rPr>
          <w:rFonts w:ascii="Palatino Linotype" w:hAnsi="Palatino Linotype"/>
          <w:sz w:val="24"/>
          <w:lang w:val="es-ES" w:eastAsia="en-US"/>
        </w:rPr>
        <w:lastRenderedPageBreak/>
        <w:t xml:space="preserve">Por </w:t>
      </w:r>
      <w:r w:rsidRPr="00FA5387">
        <w:rPr>
          <w:rFonts w:ascii="Palatino Linotype" w:eastAsia="Calibri" w:hAnsi="Palatino Linotype" w:cs="Arial"/>
          <w:sz w:val="24"/>
          <w:lang w:val="es-ES" w:eastAsia="en-US"/>
        </w:rPr>
        <w:t>otro</w:t>
      </w:r>
      <w:r w:rsidRPr="00FA5387">
        <w:rPr>
          <w:rFonts w:ascii="Palatino Linotype" w:hAnsi="Palatino Linotype"/>
          <w:sz w:val="24"/>
          <w:lang w:val="es-ES" w:eastAsia="en-US"/>
        </w:rPr>
        <w:t xml:space="preserve"> lado, </w:t>
      </w:r>
      <w:r w:rsidRPr="00FA5387">
        <w:rPr>
          <w:rFonts w:ascii="Palatino Linotype" w:eastAsia="Calibri" w:hAnsi="Palatino Linotype" w:cs="Arial"/>
          <w:sz w:val="24"/>
          <w:lang w:val="es-ES" w:eastAsia="en-US"/>
        </w:rPr>
        <w:t>es</w:t>
      </w:r>
      <w:r w:rsidRPr="00FA5387">
        <w:rPr>
          <w:rFonts w:ascii="Palatino Linotype" w:eastAsia="Palatino Linotype" w:hAnsi="Palatino Linotype" w:cs="Palatino Linotype"/>
          <w:sz w:val="24"/>
          <w:lang w:val="es-ES" w:eastAsia="en-US"/>
        </w:rPr>
        <w:t xml:space="preserve"> de suma importancia señalar que la parte recurrente no </w:t>
      </w:r>
      <w:r w:rsidRPr="00FA5387">
        <w:rPr>
          <w:rFonts w:ascii="Palatino Linotype" w:eastAsia="Calibri" w:hAnsi="Palatino Linotype" w:cs="Arial"/>
          <w:sz w:val="24"/>
          <w:lang w:val="es-ES" w:eastAsia="en-US"/>
        </w:rPr>
        <w:t>proporciona</w:t>
      </w:r>
      <w:r w:rsidRPr="00FA5387">
        <w:rPr>
          <w:rFonts w:ascii="Palatino Linotype" w:eastAsia="Palatino Linotype" w:hAnsi="Palatino Linotype" w:cs="Palatino Linotype"/>
          <w:sz w:val="24"/>
          <w:lang w:val="es-ES" w:eastAsia="en-US"/>
        </w:rPr>
        <w:t xml:space="preserve"> un nombre o datos de identificación como se advierte en el detalle de </w:t>
      </w:r>
      <w:r w:rsidRPr="00FA5387">
        <w:rPr>
          <w:rFonts w:ascii="Palatino Linotype" w:hAnsi="Palatino Linotype" w:cs="Arial"/>
          <w:sz w:val="24"/>
          <w:lang w:val="es-ES"/>
        </w:rPr>
        <w:t>seguimiento</w:t>
      </w:r>
      <w:r w:rsidRPr="00FA5387">
        <w:rPr>
          <w:rFonts w:ascii="Palatino Linotype" w:eastAsia="Palatino Linotype" w:hAnsi="Palatino Linotype" w:cs="Palatino Linotype"/>
          <w:sz w:val="24"/>
          <w:lang w:val="es-ES" w:eastAsia="en-US"/>
        </w:rPr>
        <w:t xml:space="preserve"> del SAIMEX, no obstante lo anterior, no proporcionar el nombre completo no es motivo para archivar la solicitud de acceso a la </w:t>
      </w:r>
      <w:r w:rsidRPr="00FA5387">
        <w:rPr>
          <w:rFonts w:ascii="Palatino Linotype" w:eastAsia="Calibri" w:hAnsi="Palatino Linotype" w:cs="Arial"/>
          <w:sz w:val="24"/>
        </w:rPr>
        <w:t>información</w:t>
      </w:r>
      <w:r w:rsidRPr="00FA5387">
        <w:rPr>
          <w:rFonts w:ascii="Palatino Linotype" w:eastAsia="Palatino Linotype" w:hAnsi="Palatino Linotype" w:cs="Palatino Linotype"/>
          <w:sz w:val="24"/>
          <w:lang w:val="es-ES" w:eastAsia="en-US"/>
        </w:rPr>
        <w:t xml:space="preserve"> pública como concluida, conforme a lo previsto en el artículo 155, penúltimo párrafo de la Ley de Transparencia y Acceso a la Información Pública del Estado de México y Municipios que establece lo siguiente:</w:t>
      </w:r>
    </w:p>
    <w:p w:rsidR="009E29C8" w:rsidRPr="00FA5387" w:rsidRDefault="009E29C8" w:rsidP="00696D73">
      <w:pPr>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r w:rsidRPr="00FA5387">
        <w:rPr>
          <w:rFonts w:ascii="Palatino Linotype" w:eastAsia="Palatino Linotype" w:hAnsi="Palatino Linotype" w:cs="Palatino Linotype"/>
          <w:b/>
          <w:i/>
          <w:sz w:val="24"/>
          <w:szCs w:val="24"/>
        </w:rPr>
        <w:t>Las solicitudes anónimas</w:t>
      </w:r>
      <w:r w:rsidRPr="00FA5387">
        <w:rPr>
          <w:rFonts w:ascii="Palatino Linotype" w:eastAsia="Palatino Linotype" w:hAnsi="Palatino Linotype" w:cs="Palatino Linotype"/>
          <w:i/>
          <w:sz w:val="24"/>
          <w:szCs w:val="24"/>
        </w:rPr>
        <w:t xml:space="preserve">, con nombre incompleto o seudónimo </w:t>
      </w:r>
      <w:r w:rsidRPr="00FA5387">
        <w:rPr>
          <w:rFonts w:ascii="Palatino Linotype" w:eastAsia="Palatino Linotype" w:hAnsi="Palatino Linotype" w:cs="Palatino Linotype"/>
          <w:b/>
          <w:i/>
          <w:sz w:val="24"/>
          <w:szCs w:val="24"/>
        </w:rPr>
        <w:t>serán procedentes para su trámite por parte del sujeto obligado ante quien se presente</w:t>
      </w:r>
      <w:r w:rsidRPr="00FA5387">
        <w:rPr>
          <w:rFonts w:ascii="Palatino Linotype" w:eastAsia="Palatino Linotype" w:hAnsi="Palatino Linotype" w:cs="Palatino Linotype"/>
          <w:i/>
          <w:sz w:val="24"/>
          <w:szCs w:val="24"/>
        </w:rPr>
        <w:t>. No podrá requerirse información adicional con motivo del nombre proporcionado por el solicitante."</w:t>
      </w:r>
    </w:p>
    <w:p w:rsidR="009E29C8" w:rsidRPr="00FA5387" w:rsidRDefault="009E29C8" w:rsidP="00696D73">
      <w:pPr>
        <w:spacing w:line="360" w:lineRule="auto"/>
        <w:ind w:right="1814"/>
        <w:jc w:val="both"/>
        <w:rPr>
          <w:rFonts w:ascii="Palatino Linotype" w:eastAsia="Palatino Linotype" w:hAnsi="Palatino Linotype" w:cs="Palatino Linotype"/>
          <w:sz w:val="24"/>
          <w:szCs w:val="24"/>
        </w:rPr>
      </w:pPr>
    </w:p>
    <w:p w:rsidR="009E29C8" w:rsidRPr="00FA5387" w:rsidRDefault="009E29C8" w:rsidP="00782DBB">
      <w:pPr>
        <w:numPr>
          <w:ilvl w:val="0"/>
          <w:numId w:val="8"/>
        </w:numPr>
        <w:spacing w:line="360" w:lineRule="auto"/>
        <w:ind w:left="0" w:firstLine="0"/>
        <w:jc w:val="both"/>
        <w:rPr>
          <w:rFonts w:ascii="Palatino Linotype" w:eastAsia="Palatino Linotype" w:hAnsi="Palatino Linotype" w:cs="Palatino Linotype"/>
          <w:sz w:val="24"/>
          <w:szCs w:val="24"/>
          <w:lang w:val="es-ES" w:eastAsia="en-US"/>
        </w:rPr>
      </w:pPr>
      <w:r w:rsidRPr="00FA5387">
        <w:rPr>
          <w:rFonts w:ascii="Palatino Linotype" w:eastAsia="Palatino Linotype" w:hAnsi="Palatino Linotype" w:cs="Palatino Linotype"/>
          <w:sz w:val="24"/>
          <w:szCs w:val="24"/>
          <w:lang w:val="es-ES" w:eastAsia="en-US"/>
        </w:rPr>
        <w:t xml:space="preserve">Robusteciendo lo anterior se encuentra lo dispuesto en el artículo 6, Apartado A, </w:t>
      </w:r>
      <w:r w:rsidRPr="00FA5387">
        <w:rPr>
          <w:rFonts w:ascii="Palatino Linotype" w:hAnsi="Palatino Linotype"/>
          <w:sz w:val="24"/>
          <w:szCs w:val="24"/>
          <w:lang w:val="es-ES" w:eastAsia="en-US"/>
        </w:rPr>
        <w:t>fracciones</w:t>
      </w:r>
      <w:r w:rsidRPr="00FA5387">
        <w:rPr>
          <w:rFonts w:ascii="Palatino Linotype" w:eastAsia="Palatino Linotype" w:hAnsi="Palatino Linotype" w:cs="Palatino Linotype"/>
          <w:sz w:val="24"/>
          <w:szCs w:val="24"/>
          <w:lang w:val="es-ES" w:eastAsia="en-US"/>
        </w:rPr>
        <w:t xml:space="preserve"> III de la Constitución Política de los Estados Unidos Mexicanos que establece:</w:t>
      </w:r>
    </w:p>
    <w:p w:rsidR="009E29C8" w:rsidRPr="00FA5387" w:rsidRDefault="009E29C8" w:rsidP="00696D73">
      <w:pPr>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r w:rsidRPr="00FA5387">
        <w:rPr>
          <w:rFonts w:ascii="Palatino Linotype" w:eastAsia="Palatino Linotype" w:hAnsi="Palatino Linotype" w:cs="Palatino Linotype"/>
          <w:b/>
          <w:i/>
          <w:sz w:val="24"/>
          <w:szCs w:val="24"/>
        </w:rPr>
        <w:t>Artículo 6.-</w:t>
      </w:r>
      <w:r w:rsidRPr="00FA5387">
        <w:rPr>
          <w:rFonts w:ascii="Palatino Linotype" w:eastAsia="Palatino Linotype" w:hAnsi="Palatino Linotype" w:cs="Palatino Linotype"/>
          <w:i/>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9E29C8" w:rsidRPr="00FA5387" w:rsidRDefault="009E29C8" w:rsidP="00696D73">
      <w:pPr>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Para efectos de lo dispuesto en el presente artículo se observará lo siguiente:</w:t>
      </w:r>
    </w:p>
    <w:p w:rsidR="009E29C8" w:rsidRPr="00FA5387" w:rsidRDefault="009E29C8" w:rsidP="00696D73">
      <w:pPr>
        <w:ind w:left="1134" w:right="1814"/>
        <w:jc w:val="both"/>
        <w:rPr>
          <w:rFonts w:ascii="Palatino Linotype" w:eastAsia="Palatino Linotype" w:hAnsi="Palatino Linotype" w:cs="Palatino Linotype"/>
          <w:i/>
          <w:sz w:val="24"/>
          <w:szCs w:val="24"/>
        </w:rPr>
      </w:pPr>
    </w:p>
    <w:p w:rsidR="009E29C8" w:rsidRPr="00FA5387" w:rsidRDefault="009E29C8" w:rsidP="00696D73">
      <w:pPr>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A. Para el ejercicio del derecho de acceso a la información, la Federación, los Estados y el Distrito Federal, en el ámbito de sus respectivas competencias, se regirán por los siguientes principios y bases:</w:t>
      </w:r>
    </w:p>
    <w:p w:rsidR="009E29C8" w:rsidRPr="00FA5387" w:rsidRDefault="009E29C8" w:rsidP="00696D73">
      <w:pPr>
        <w:ind w:left="1134" w:right="1814"/>
        <w:jc w:val="both"/>
        <w:rPr>
          <w:rFonts w:ascii="Palatino Linotype" w:eastAsia="Palatino Linotype" w:hAnsi="Palatino Linotype" w:cs="Palatino Linotype"/>
          <w:i/>
          <w:sz w:val="24"/>
          <w:szCs w:val="24"/>
        </w:rPr>
      </w:pPr>
    </w:p>
    <w:p w:rsidR="009E29C8" w:rsidRPr="00FA5387" w:rsidRDefault="009E29C8" w:rsidP="009E29C8">
      <w:pPr>
        <w:ind w:left="1134" w:right="900"/>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 xml:space="preserve">III. Toda persona, sin necesidad de acreditar interés alguno o justificar su utilización, tendrá acceso gratuito a la información pública, a sus datos personales o a la rectificación de éstos.” </w:t>
      </w:r>
      <w:r w:rsidRPr="00FA5387">
        <w:rPr>
          <w:rFonts w:ascii="Palatino Linotype" w:eastAsia="Palatino Linotype" w:hAnsi="Palatino Linotype" w:cs="Palatino Linotype"/>
          <w:sz w:val="24"/>
          <w:szCs w:val="24"/>
        </w:rPr>
        <w:t>(Sic)</w:t>
      </w:r>
    </w:p>
    <w:p w:rsidR="009E29C8" w:rsidRPr="00FA5387" w:rsidRDefault="009E29C8" w:rsidP="009E29C8">
      <w:pPr>
        <w:spacing w:line="360" w:lineRule="auto"/>
        <w:ind w:left="567" w:right="474"/>
        <w:jc w:val="both"/>
        <w:rPr>
          <w:rFonts w:ascii="Palatino Linotype" w:eastAsia="Palatino Linotype" w:hAnsi="Palatino Linotype" w:cs="Palatino Linotype"/>
          <w:i/>
          <w:sz w:val="24"/>
          <w:szCs w:val="24"/>
        </w:rPr>
      </w:pPr>
    </w:p>
    <w:p w:rsidR="009E29C8" w:rsidRPr="00FA5387" w:rsidRDefault="009E29C8" w:rsidP="00782DBB">
      <w:pPr>
        <w:numPr>
          <w:ilvl w:val="0"/>
          <w:numId w:val="8"/>
        </w:numPr>
        <w:spacing w:line="360" w:lineRule="auto"/>
        <w:ind w:left="-142" w:firstLine="142"/>
        <w:jc w:val="both"/>
        <w:rPr>
          <w:rFonts w:ascii="Palatino Linotype" w:eastAsia="Palatino Linotype" w:hAnsi="Palatino Linotype" w:cs="Palatino Linotype"/>
          <w:sz w:val="24"/>
          <w:szCs w:val="24"/>
          <w:lang w:val="es-ES" w:eastAsia="en-US"/>
        </w:rPr>
      </w:pPr>
      <w:r w:rsidRPr="00FA5387">
        <w:rPr>
          <w:rFonts w:ascii="Palatino Linotype" w:eastAsia="Palatino Linotype" w:hAnsi="Palatino Linotype" w:cs="Palatino Linotype"/>
          <w:sz w:val="24"/>
          <w:szCs w:val="24"/>
          <w:lang w:val="es-ES" w:eastAsia="en-US"/>
        </w:rPr>
        <w:lastRenderedPageBreak/>
        <w:t xml:space="preserve">Así </w:t>
      </w:r>
      <w:r w:rsidRPr="00FA5387">
        <w:rPr>
          <w:rFonts w:ascii="Palatino Linotype" w:hAnsi="Palatino Linotype"/>
          <w:sz w:val="24"/>
          <w:szCs w:val="24"/>
          <w:lang w:val="es-ES" w:eastAsia="en-US"/>
        </w:rPr>
        <w:t>como</w:t>
      </w:r>
      <w:r w:rsidRPr="00FA5387">
        <w:rPr>
          <w:rFonts w:ascii="Palatino Linotype" w:eastAsia="Palatino Linotype" w:hAnsi="Palatino Linotype" w:cs="Palatino Linotype"/>
          <w:sz w:val="24"/>
          <w:szCs w:val="24"/>
          <w:lang w:val="es-ES" w:eastAsia="en-US"/>
        </w:rPr>
        <w:t xml:space="preserve"> el artículo 5 fracción III, párrafo vigésimo noveno, trigésimo y </w:t>
      </w:r>
      <w:r w:rsidRPr="00FA5387">
        <w:rPr>
          <w:rFonts w:ascii="Palatino Linotype" w:hAnsi="Palatino Linotype"/>
          <w:sz w:val="24"/>
          <w:szCs w:val="24"/>
          <w:lang w:val="es-ES" w:eastAsia="en-US"/>
        </w:rPr>
        <w:t>trigésimo</w:t>
      </w:r>
      <w:r w:rsidRPr="00FA5387">
        <w:rPr>
          <w:rFonts w:ascii="Palatino Linotype" w:eastAsia="Palatino Linotype" w:hAnsi="Palatino Linotype" w:cs="Palatino Linotype"/>
          <w:sz w:val="24"/>
          <w:szCs w:val="24"/>
          <w:lang w:val="es-ES" w:eastAsia="en-US"/>
        </w:rPr>
        <w:t xml:space="preserve"> primero, de la Constitución Política del Estado Libre y Soberano de México, que determina lo siguiente:</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r w:rsidRPr="00FA5387">
        <w:rPr>
          <w:rFonts w:ascii="Palatino Linotype" w:eastAsia="Palatino Linotype" w:hAnsi="Palatino Linotype" w:cs="Palatino Linotype"/>
          <w:b/>
          <w:i/>
          <w:sz w:val="24"/>
          <w:szCs w:val="24"/>
        </w:rPr>
        <w:t>Artículo 5.-</w:t>
      </w:r>
      <w:r w:rsidRPr="00FA5387">
        <w:rPr>
          <w:rFonts w:ascii="Palatino Linotype" w:eastAsia="Palatino Linotype" w:hAnsi="Palatino Linotype" w:cs="Palatino Linotype"/>
          <w:i/>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Toda persona en el Estado de México, tiene derecho al libre acceso a la información plural y oportuna, así como a buscar recibir y difundir información e ideas de toda índole por cualquier medio de expresión.</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El derecho a la información será garantizado por el Estado. La ley establecerá las previsiones que permitan asegurar la protección, el respeto y la difusión de este derecho.</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III. Toda persona, sin necesidad de acreditar interés alguno o justificar su utilización, tendrá acceso gratuito a la información pública, a sus datos personales o a la rectificación de éstos;</w:t>
      </w:r>
    </w:p>
    <w:p w:rsidR="009E29C8" w:rsidRPr="00FA5387" w:rsidRDefault="009E29C8" w:rsidP="00696D73">
      <w:pPr>
        <w:tabs>
          <w:tab w:val="left" w:pos="7938"/>
        </w:tabs>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p>
    <w:p w:rsidR="009E29C8" w:rsidRPr="00FA5387" w:rsidRDefault="009E29C8" w:rsidP="009E29C8">
      <w:pPr>
        <w:ind w:left="1134" w:right="900"/>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w:t>
      </w:r>
      <w:r w:rsidRPr="00FA5387">
        <w:rPr>
          <w:rFonts w:ascii="Palatino Linotype" w:eastAsia="Palatino Linotype" w:hAnsi="Palatino Linotype" w:cs="Palatino Linotype"/>
          <w:i/>
          <w:sz w:val="24"/>
          <w:szCs w:val="24"/>
        </w:rPr>
        <w:lastRenderedPageBreak/>
        <w:t xml:space="preserve">cumplimiento del derecho de transparencia, acceso a la información pública y a la protección de datos personales en posesión de los sujetos obligados en los términos que establezca la ley.” </w:t>
      </w:r>
      <w:r w:rsidRPr="00FA5387">
        <w:rPr>
          <w:rFonts w:ascii="Palatino Linotype" w:eastAsia="Palatino Linotype" w:hAnsi="Palatino Linotype" w:cs="Palatino Linotype"/>
          <w:sz w:val="24"/>
          <w:szCs w:val="24"/>
        </w:rPr>
        <w:t>(Sic)</w:t>
      </w:r>
    </w:p>
    <w:p w:rsidR="009E29C8" w:rsidRPr="00FA5387" w:rsidRDefault="009E29C8" w:rsidP="009E29C8">
      <w:pPr>
        <w:ind w:left="426" w:right="476"/>
        <w:jc w:val="both"/>
        <w:rPr>
          <w:rFonts w:ascii="Palatino Linotype" w:eastAsia="Palatino Linotype" w:hAnsi="Palatino Linotype" w:cs="Palatino Linotype"/>
          <w:i/>
          <w:sz w:val="24"/>
          <w:szCs w:val="24"/>
        </w:rPr>
      </w:pPr>
    </w:p>
    <w:p w:rsidR="009E29C8" w:rsidRPr="00FA5387" w:rsidRDefault="009E29C8" w:rsidP="00782DBB">
      <w:pPr>
        <w:numPr>
          <w:ilvl w:val="0"/>
          <w:numId w:val="8"/>
        </w:numPr>
        <w:spacing w:line="360" w:lineRule="auto"/>
        <w:ind w:left="0" w:firstLine="0"/>
        <w:jc w:val="both"/>
        <w:rPr>
          <w:rFonts w:ascii="Palatino Linotype" w:eastAsia="Palatino Linotype" w:hAnsi="Palatino Linotype" w:cs="Palatino Linotype"/>
          <w:sz w:val="24"/>
          <w:szCs w:val="24"/>
          <w:lang w:val="es-ES" w:eastAsia="en-US"/>
        </w:rPr>
      </w:pPr>
      <w:r w:rsidRPr="00FA5387">
        <w:rPr>
          <w:rFonts w:ascii="Palatino Linotype" w:eastAsia="Palatino Linotype" w:hAnsi="Palatino Linotype" w:cs="Palatino Linotype"/>
          <w:sz w:val="24"/>
          <w:szCs w:val="24"/>
          <w:lang w:val="es-ES" w:eastAsia="en-US"/>
        </w:rPr>
        <w:t>Por otra parte, del contenido del artículo 1 de la Constitución Política de los Estados Unidos mexicanos, se destaca lo siguiente:</w:t>
      </w:r>
    </w:p>
    <w:p w:rsidR="009E29C8" w:rsidRPr="00FA5387" w:rsidRDefault="009E29C8" w:rsidP="009E29C8">
      <w:pPr>
        <w:ind w:left="1134" w:right="900"/>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r w:rsidRPr="00FA5387">
        <w:rPr>
          <w:rFonts w:ascii="Palatino Linotype" w:eastAsia="Palatino Linotype" w:hAnsi="Palatino Linotype" w:cs="Palatino Linotype"/>
          <w:b/>
          <w:i/>
          <w:sz w:val="24"/>
          <w:szCs w:val="24"/>
        </w:rPr>
        <w:t>Artículo 1</w:t>
      </w:r>
      <w:r w:rsidRPr="00FA5387">
        <w:rPr>
          <w:rFonts w:ascii="Palatino Linotype" w:eastAsia="Palatino Linotype" w:hAnsi="Palatino Linotype" w:cs="Palatino Linotype"/>
          <w:i/>
          <w:sz w:val="24"/>
          <w:szCs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9E29C8" w:rsidRPr="00FA5387" w:rsidRDefault="009E29C8" w:rsidP="009E29C8">
      <w:pPr>
        <w:ind w:left="1134" w:right="900"/>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Las normas relativas a los derechos humanos se interpretarán de conformidad con esta Constitución y con los tratados internacionales de la materia favoreciendo en todo tiempo a las personas la protección más amplia.</w:t>
      </w:r>
    </w:p>
    <w:p w:rsidR="009E29C8" w:rsidRPr="00FA5387" w:rsidRDefault="009E29C8" w:rsidP="009E29C8">
      <w:pPr>
        <w:ind w:left="1134" w:right="900"/>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9E29C8" w:rsidRPr="00FA5387" w:rsidRDefault="009E29C8" w:rsidP="009E29C8">
      <w:pPr>
        <w:spacing w:line="360" w:lineRule="auto"/>
        <w:ind w:left="426" w:right="474"/>
        <w:jc w:val="both"/>
        <w:rPr>
          <w:rFonts w:ascii="Palatino Linotype" w:eastAsia="Palatino Linotype" w:hAnsi="Palatino Linotype" w:cs="Palatino Linotype"/>
          <w:i/>
          <w:sz w:val="24"/>
          <w:szCs w:val="24"/>
        </w:rPr>
      </w:pPr>
    </w:p>
    <w:p w:rsidR="009E29C8" w:rsidRPr="00FA5387" w:rsidRDefault="009E29C8" w:rsidP="00782DBB">
      <w:pPr>
        <w:numPr>
          <w:ilvl w:val="0"/>
          <w:numId w:val="8"/>
        </w:numPr>
        <w:spacing w:line="360" w:lineRule="auto"/>
        <w:ind w:left="0" w:firstLine="0"/>
        <w:jc w:val="both"/>
        <w:rPr>
          <w:rFonts w:ascii="Palatino Linotype" w:eastAsia="Palatino Linotype" w:hAnsi="Palatino Linotype" w:cs="Palatino Linotype"/>
          <w:sz w:val="24"/>
          <w:szCs w:val="24"/>
          <w:lang w:val="es-ES" w:eastAsia="en-US"/>
        </w:rPr>
      </w:pPr>
      <w:r w:rsidRPr="00FA5387">
        <w:rPr>
          <w:rFonts w:ascii="Palatino Linotype" w:eastAsia="Palatino Linotype" w:hAnsi="Palatino Linotype" w:cs="Palatino Linotype"/>
          <w:sz w:val="24"/>
          <w:szCs w:val="24"/>
          <w:lang w:val="es-ES" w:eastAsia="en-US"/>
        </w:rPr>
        <w:t xml:space="preserve">Esto es, que el derecho humano de acceso a la información pública, se aprecia que toda persona, sin necesidad de acreditar interés alguno o justificar su interposición, deberá tener acceso a la información pública, es decir, dicho </w:t>
      </w:r>
      <w:r w:rsidRPr="00FA5387">
        <w:rPr>
          <w:rFonts w:ascii="Palatino Linotype" w:eastAsia="Palatino Linotype" w:hAnsi="Palatino Linotype" w:cs="Palatino Linotype"/>
          <w:i/>
          <w:sz w:val="24"/>
          <w:szCs w:val="24"/>
          <w:lang w:val="es-ES" w:eastAsia="en-US"/>
        </w:rPr>
        <w:t>derecho fundamental exime a quien lo ejerce</w:t>
      </w:r>
      <w:r w:rsidRPr="00FA5387">
        <w:rPr>
          <w:rFonts w:ascii="Palatino Linotype" w:eastAsia="Palatino Linotype" w:hAnsi="Palatino Linotype" w:cs="Palatino Linotype"/>
          <w:sz w:val="24"/>
          <w:szCs w:val="24"/>
          <w:lang w:val="es-ES" w:eastAsia="en-US"/>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9E29C8" w:rsidRPr="00FA5387" w:rsidRDefault="009E29C8" w:rsidP="009E29C8">
      <w:pPr>
        <w:spacing w:line="360" w:lineRule="auto"/>
        <w:jc w:val="both"/>
        <w:rPr>
          <w:rFonts w:ascii="Palatino Linotype" w:eastAsia="Palatino Linotype" w:hAnsi="Palatino Linotype" w:cs="Palatino Linotype"/>
          <w:sz w:val="24"/>
          <w:szCs w:val="24"/>
          <w:lang w:val="es-ES" w:eastAsia="en-US"/>
        </w:rPr>
      </w:pPr>
    </w:p>
    <w:p w:rsidR="009E29C8" w:rsidRPr="00FA5387" w:rsidRDefault="009E29C8" w:rsidP="00782DBB">
      <w:pPr>
        <w:numPr>
          <w:ilvl w:val="0"/>
          <w:numId w:val="8"/>
        </w:numPr>
        <w:spacing w:line="360" w:lineRule="auto"/>
        <w:ind w:left="0" w:firstLine="0"/>
        <w:jc w:val="both"/>
        <w:rPr>
          <w:rFonts w:ascii="Palatino Linotype" w:eastAsia="Palatino Linotype" w:hAnsi="Palatino Linotype" w:cs="Palatino Linotype"/>
          <w:sz w:val="24"/>
          <w:szCs w:val="24"/>
          <w:lang w:val="es-ES" w:eastAsia="en-US"/>
        </w:rPr>
      </w:pPr>
      <w:r w:rsidRPr="00FA5387">
        <w:rPr>
          <w:rFonts w:ascii="Palatino Linotype" w:eastAsia="Palatino Linotype" w:hAnsi="Palatino Linotype" w:cs="Palatino Linotype"/>
          <w:sz w:val="24"/>
          <w:szCs w:val="24"/>
          <w:lang w:val="es-ES" w:eastAsia="en-US"/>
        </w:rPr>
        <w:lastRenderedPageBreak/>
        <w:t xml:space="preserve">En consecuencia, dado lo expuesto y fundado con anterioridad, se estima que el requisito relativo al nombre del </w:t>
      </w:r>
      <w:r w:rsidRPr="00FA5387">
        <w:rPr>
          <w:rFonts w:ascii="Palatino Linotype" w:eastAsia="Palatino Linotype" w:hAnsi="Palatino Linotype" w:cs="Palatino Linotype"/>
          <w:b/>
          <w:sz w:val="24"/>
          <w:szCs w:val="24"/>
          <w:lang w:val="es-ES" w:eastAsia="en-US"/>
        </w:rPr>
        <w:t>RECURRENTE</w:t>
      </w:r>
      <w:r w:rsidRPr="00FA5387">
        <w:rPr>
          <w:rFonts w:ascii="Palatino Linotype" w:eastAsia="Palatino Linotype" w:hAnsi="Palatino Linotype" w:cs="Palatino Linotype"/>
          <w:sz w:val="24"/>
          <w:szCs w:val="24"/>
          <w:lang w:val="es-ES" w:eastAsia="en-US"/>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9E29C8" w:rsidRPr="00FA5387" w:rsidRDefault="009E29C8" w:rsidP="009E29C8">
      <w:pPr>
        <w:pStyle w:val="Prrafodelista"/>
        <w:spacing w:line="480" w:lineRule="auto"/>
        <w:rPr>
          <w:rFonts w:ascii="Palatino Linotype" w:eastAsia="Calibri" w:hAnsi="Palatino Linotype" w:cs="Arial"/>
          <w:sz w:val="24"/>
        </w:rPr>
      </w:pPr>
    </w:p>
    <w:p w:rsidR="00660322" w:rsidRPr="00FA5387" w:rsidRDefault="00660322" w:rsidP="00782DBB">
      <w:pPr>
        <w:pStyle w:val="Prrafodelista"/>
        <w:numPr>
          <w:ilvl w:val="0"/>
          <w:numId w:val="8"/>
        </w:numPr>
        <w:spacing w:line="360" w:lineRule="auto"/>
        <w:ind w:left="0" w:firstLine="0"/>
        <w:contextualSpacing w:val="0"/>
        <w:jc w:val="both"/>
        <w:rPr>
          <w:rFonts w:ascii="Palatino Linotype" w:hAnsi="Palatino Linotype"/>
          <w:sz w:val="24"/>
        </w:rPr>
      </w:pPr>
      <w:r w:rsidRPr="00FA5387">
        <w:rPr>
          <w:rFonts w:ascii="Palatino Linotype" w:eastAsia="Calibri" w:hAnsi="Palatino Linotype" w:cs="Arial"/>
          <w:sz w:val="24"/>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660322" w:rsidRPr="00FA5387" w:rsidRDefault="00660322" w:rsidP="009E29C8">
      <w:pPr>
        <w:spacing w:line="480" w:lineRule="auto"/>
        <w:rPr>
          <w:rFonts w:ascii="Palatino Linotype" w:hAnsi="Palatino Linotype"/>
          <w:sz w:val="24"/>
          <w:szCs w:val="24"/>
        </w:rPr>
      </w:pPr>
    </w:p>
    <w:p w:rsidR="00660322" w:rsidRPr="00FA5387" w:rsidRDefault="00660322" w:rsidP="00660322">
      <w:pPr>
        <w:pStyle w:val="Ttulo1"/>
        <w:spacing w:before="0" w:line="360" w:lineRule="auto"/>
        <w:rPr>
          <w:rFonts w:ascii="Palatino Linotype" w:hAnsi="Palatino Linotype"/>
          <w:b/>
          <w:color w:val="000000" w:themeColor="text1"/>
          <w:sz w:val="24"/>
          <w:szCs w:val="24"/>
        </w:rPr>
      </w:pPr>
      <w:bookmarkStart w:id="81" w:name="_Toc85733160"/>
      <w:r w:rsidRPr="00FA5387">
        <w:rPr>
          <w:rFonts w:ascii="Palatino Linotype" w:hAnsi="Palatino Linotype" w:cs="Arial"/>
          <w:b/>
          <w:color w:val="000000" w:themeColor="text1"/>
          <w:sz w:val="24"/>
          <w:szCs w:val="24"/>
        </w:rPr>
        <w:t xml:space="preserve">TERCERO. </w:t>
      </w:r>
      <w:bookmarkEnd w:id="79"/>
      <w:bookmarkEnd w:id="80"/>
      <w:bookmarkEnd w:id="81"/>
      <w:r w:rsidRPr="00FA5387">
        <w:rPr>
          <w:rFonts w:ascii="Palatino Linotype" w:hAnsi="Palatino Linotype"/>
          <w:b/>
          <w:color w:val="000000" w:themeColor="text1"/>
          <w:sz w:val="24"/>
          <w:szCs w:val="24"/>
        </w:rPr>
        <w:t xml:space="preserve">Del planteamiento de la </w:t>
      </w:r>
      <w:r w:rsidRPr="00FA5387">
        <w:rPr>
          <w:rFonts w:ascii="Palatino Linotype" w:hAnsi="Palatino Linotype"/>
          <w:b/>
          <w:i/>
          <w:color w:val="000000" w:themeColor="text1"/>
          <w:sz w:val="24"/>
          <w:szCs w:val="24"/>
        </w:rPr>
        <w:t>Litis</w:t>
      </w:r>
      <w:r w:rsidRPr="00FA5387">
        <w:rPr>
          <w:rFonts w:ascii="Palatino Linotype" w:hAnsi="Palatino Linotype"/>
          <w:b/>
          <w:color w:val="000000" w:themeColor="text1"/>
          <w:sz w:val="24"/>
          <w:szCs w:val="24"/>
        </w:rPr>
        <w:t>.</w:t>
      </w:r>
    </w:p>
    <w:p w:rsidR="00660322" w:rsidRPr="00FA5387" w:rsidRDefault="00660322" w:rsidP="00782DBB">
      <w:pPr>
        <w:pStyle w:val="Prrafodelista"/>
        <w:numPr>
          <w:ilvl w:val="0"/>
          <w:numId w:val="8"/>
        </w:numPr>
        <w:spacing w:line="360" w:lineRule="auto"/>
        <w:ind w:left="0" w:firstLine="0"/>
        <w:jc w:val="both"/>
        <w:rPr>
          <w:rFonts w:ascii="Palatino Linotype" w:eastAsiaTheme="minorEastAsia" w:hAnsi="Palatino Linotype" w:cs="Arial"/>
          <w:b/>
          <w:sz w:val="24"/>
          <w:lang w:val="es-ES_tradnl"/>
        </w:rPr>
      </w:pPr>
      <w:r w:rsidRPr="00FA5387">
        <w:rPr>
          <w:rFonts w:ascii="Palatino Linotype" w:eastAsiaTheme="minorEastAsia" w:hAnsi="Palatino Linotype" w:cs="Arial"/>
          <w:sz w:val="24"/>
          <w:lang w:val="es-ES_tradnl"/>
        </w:rPr>
        <w:t xml:space="preserve">De las constancias en el expediente al rubro indicado, se desprende que el particular </w:t>
      </w:r>
      <w:r w:rsidRPr="00FA5387">
        <w:rPr>
          <w:rFonts w:ascii="Palatino Linotype" w:eastAsia="Calibri" w:hAnsi="Palatino Linotype" w:cs="Arial"/>
          <w:sz w:val="24"/>
          <w:lang w:val="es-ES_tradnl"/>
        </w:rPr>
        <w:t>solicitó</w:t>
      </w:r>
      <w:r w:rsidRPr="00FA5387">
        <w:rPr>
          <w:rFonts w:ascii="Palatino Linotype" w:eastAsiaTheme="minorEastAsia" w:hAnsi="Palatino Linotype" w:cs="Arial"/>
          <w:sz w:val="24"/>
          <w:lang w:val="es-ES_tradnl"/>
        </w:rPr>
        <w:t xml:space="preserve"> la </w:t>
      </w:r>
      <w:r w:rsidRPr="00FA5387">
        <w:rPr>
          <w:rFonts w:ascii="Palatino Linotype" w:eastAsia="Calibri" w:hAnsi="Palatino Linotype" w:cs="Arial"/>
          <w:sz w:val="24"/>
        </w:rPr>
        <w:t>información</w:t>
      </w:r>
      <w:r w:rsidRPr="00FA5387">
        <w:rPr>
          <w:rFonts w:ascii="Palatino Linotype" w:eastAsiaTheme="minorEastAsia" w:hAnsi="Palatino Linotype" w:cs="Arial"/>
          <w:sz w:val="24"/>
          <w:lang w:val="es-ES_tradnl"/>
        </w:rPr>
        <w:t xml:space="preserve"> que a continuación se desagrega:</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Solicitud de información que dio origen al recurso.</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 xml:space="preserve">Capturas de pantalla de los turnos de la solicitud de información a las áreas competentes. </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lastRenderedPageBreak/>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 xml:space="preserve">Índice de Información Reservada; </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 xml:space="preserve">Respuestas por parte de las áreas competentes, con anexos; </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Formato del Recurso de revisión;</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Oficios de turno de la Unidad de Transparencia del recurso de revisión a las áreas competentes;</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Informes de justificación rendidos por las áreas competentes;</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 xml:space="preserve">Resolución recaída al recurso de revisión. </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 xml:space="preserve">Oficios de notificación de la resolución a las áreas competentes. </w:t>
      </w:r>
    </w:p>
    <w:p w:rsidR="00A422A1" w:rsidRPr="00FA5387" w:rsidRDefault="00A422A1"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Indicar plazo para otorgar respuesta por las áreas competentes</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Documentos entregados como respuesta por las áreas competentes en cumplimiento a la resolución del recurso;</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Para el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Estado de cumplimiento o incumplimiento;</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Indicar si el asunto lo tiene la Contraloría del INFOEM;</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Indicar si el recurso genera alguna responsabilidad directa a algún funcionario público.</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Indicar si existe apercibimiento por parte del INFOEM;</w:t>
      </w:r>
    </w:p>
    <w:p w:rsidR="00BF005B" w:rsidRPr="00FA5387" w:rsidRDefault="00BF005B" w:rsidP="00782DBB">
      <w:pPr>
        <w:numPr>
          <w:ilvl w:val="0"/>
          <w:numId w:val="19"/>
        </w:numPr>
        <w:ind w:left="1134" w:right="1814"/>
        <w:contextualSpacing/>
        <w:jc w:val="both"/>
        <w:rPr>
          <w:rFonts w:ascii="Palatino Linotype" w:hAnsi="Palatino Linotype"/>
          <w:i/>
          <w:sz w:val="24"/>
          <w:szCs w:val="24"/>
        </w:rPr>
      </w:pPr>
      <w:r w:rsidRPr="00FA5387">
        <w:rPr>
          <w:rFonts w:ascii="Palatino Linotype" w:hAnsi="Palatino Linotype"/>
          <w:i/>
          <w:sz w:val="24"/>
          <w:szCs w:val="24"/>
        </w:rPr>
        <w:t>Indicar si el asunto se encuentra concluido o en proceso.</w:t>
      </w:r>
    </w:p>
    <w:p w:rsidR="00BF005B" w:rsidRDefault="00BF005B" w:rsidP="00BF005B">
      <w:pPr>
        <w:ind w:left="720"/>
        <w:contextualSpacing/>
        <w:jc w:val="both"/>
        <w:rPr>
          <w:rFonts w:ascii="Palatino Linotype" w:hAnsi="Palatino Linotype"/>
          <w:sz w:val="24"/>
          <w:szCs w:val="24"/>
        </w:rPr>
      </w:pPr>
    </w:p>
    <w:p w:rsidR="00FA5387" w:rsidRPr="00FA5387" w:rsidRDefault="00FA5387" w:rsidP="00BF005B">
      <w:pPr>
        <w:ind w:left="720"/>
        <w:contextualSpacing/>
        <w:jc w:val="both"/>
        <w:rPr>
          <w:rFonts w:ascii="Palatino Linotype" w:hAnsi="Palatino Linotype"/>
          <w:sz w:val="24"/>
          <w:szCs w:val="24"/>
        </w:rPr>
      </w:pPr>
    </w:p>
    <w:p w:rsidR="00660322" w:rsidRPr="00FA5387" w:rsidRDefault="00660322" w:rsidP="00782DBB">
      <w:pPr>
        <w:pStyle w:val="Prrafodelista"/>
        <w:numPr>
          <w:ilvl w:val="0"/>
          <w:numId w:val="8"/>
        </w:numPr>
        <w:spacing w:line="360" w:lineRule="auto"/>
        <w:ind w:left="0" w:right="49" w:firstLine="0"/>
        <w:jc w:val="both"/>
        <w:rPr>
          <w:rFonts w:ascii="Palatino Linotype" w:eastAsiaTheme="minorEastAsia" w:hAnsi="Palatino Linotype" w:cs="Arial"/>
          <w:sz w:val="24"/>
          <w:lang w:val="es-ES_tradnl"/>
        </w:rPr>
      </w:pPr>
      <w:bookmarkStart w:id="82" w:name="_heading=h.1y810tw" w:colFirst="0" w:colLast="0"/>
      <w:bookmarkEnd w:id="82"/>
      <w:r w:rsidRPr="00FA5387">
        <w:rPr>
          <w:rFonts w:ascii="Palatino Linotype" w:hAnsi="Palatino Linotype" w:cs="Arial"/>
          <w:sz w:val="24"/>
        </w:rPr>
        <w:t xml:space="preserve">Como se ha constatado en los antecedentes, el Sujeto Obligado proporcionó respuesta documental a fin de dar atención a las solicitudes de información requeridas, sin embargo </w:t>
      </w:r>
      <w:r w:rsidRPr="00FA5387">
        <w:rPr>
          <w:rFonts w:ascii="Palatino Linotype" w:hAnsi="Palatino Linotype" w:cs="Arial"/>
          <w:b/>
          <w:sz w:val="24"/>
        </w:rPr>
        <w:t>EL RECURRENTE</w:t>
      </w:r>
      <w:r w:rsidRPr="00FA5387">
        <w:rPr>
          <w:rFonts w:ascii="Palatino Linotype" w:hAnsi="Palatino Linotype" w:cs="Arial"/>
          <w:sz w:val="24"/>
        </w:rPr>
        <w:t xml:space="preserve"> se inconformó  en términos generales debido a la  </w:t>
      </w:r>
      <w:r w:rsidR="00A422A1" w:rsidRPr="00FA5387">
        <w:rPr>
          <w:rFonts w:ascii="Palatino Linotype" w:hAnsi="Palatino Linotype" w:cs="Arial"/>
          <w:sz w:val="24"/>
        </w:rPr>
        <w:t xml:space="preserve">negativa a la </w:t>
      </w:r>
      <w:r w:rsidRPr="00FA5387">
        <w:rPr>
          <w:rFonts w:ascii="Palatino Linotype" w:hAnsi="Palatino Linotype" w:cs="Arial"/>
          <w:sz w:val="24"/>
        </w:rPr>
        <w:t>entrega de</w:t>
      </w:r>
      <w:r w:rsidR="00A422A1" w:rsidRPr="00FA5387">
        <w:rPr>
          <w:rFonts w:ascii="Palatino Linotype" w:hAnsi="Palatino Linotype" w:cs="Arial"/>
          <w:sz w:val="24"/>
        </w:rPr>
        <w:t xml:space="preserve"> la</w:t>
      </w:r>
      <w:r w:rsidRPr="00FA5387">
        <w:rPr>
          <w:rFonts w:ascii="Palatino Linotype" w:hAnsi="Palatino Linotype" w:cs="Arial"/>
          <w:sz w:val="24"/>
        </w:rPr>
        <w:t xml:space="preserve"> información</w:t>
      </w:r>
      <w:r w:rsidR="00A422A1" w:rsidRPr="00FA5387">
        <w:rPr>
          <w:rFonts w:ascii="Palatino Linotype" w:hAnsi="Palatino Linotype" w:cs="Arial"/>
          <w:sz w:val="24"/>
        </w:rPr>
        <w:t>.</w:t>
      </w:r>
    </w:p>
    <w:p w:rsidR="00660322" w:rsidRPr="00FA5387" w:rsidRDefault="00660322" w:rsidP="00696D73">
      <w:pPr>
        <w:numPr>
          <w:ilvl w:val="0"/>
          <w:numId w:val="6"/>
        </w:numPr>
        <w:spacing w:line="360" w:lineRule="auto"/>
        <w:ind w:left="0" w:right="49" w:firstLine="0"/>
        <w:jc w:val="both"/>
        <w:rPr>
          <w:rFonts w:ascii="Palatino Linotype" w:eastAsia="Palatino Linotype" w:hAnsi="Palatino Linotype" w:cs="Palatino Linotype"/>
          <w:sz w:val="24"/>
          <w:szCs w:val="24"/>
        </w:rPr>
      </w:pPr>
      <w:r w:rsidRPr="00FA5387">
        <w:rPr>
          <w:rFonts w:ascii="Palatino Linotype" w:eastAsia="MS Mincho" w:hAnsi="Palatino Linotype" w:cs="Arial"/>
          <w:sz w:val="24"/>
          <w:szCs w:val="24"/>
        </w:rPr>
        <w:lastRenderedPageBreak/>
        <w:t xml:space="preserve">En </w:t>
      </w:r>
      <w:r w:rsidRPr="00FA5387">
        <w:rPr>
          <w:rFonts w:ascii="Palatino Linotype" w:hAnsi="Palatino Linotype" w:cs="Arial"/>
          <w:sz w:val="24"/>
          <w:szCs w:val="24"/>
        </w:rPr>
        <w:t xml:space="preserve">dichas condiciones, la </w:t>
      </w:r>
      <w:r w:rsidRPr="00FA5387">
        <w:rPr>
          <w:rFonts w:ascii="Palatino Linotype" w:hAnsi="Palatino Linotype" w:cs="Arial"/>
          <w:i/>
          <w:sz w:val="24"/>
          <w:szCs w:val="24"/>
        </w:rPr>
        <w:t>Litis</w:t>
      </w:r>
      <w:r w:rsidRPr="00FA5387">
        <w:rPr>
          <w:rFonts w:ascii="Palatino Linotype" w:hAnsi="Palatino Linotype" w:cs="Arial"/>
          <w:sz w:val="24"/>
          <w:szCs w:val="24"/>
        </w:rPr>
        <w:t xml:space="preserve"> a resolver en este recurso se circunscribe a determinar si </w:t>
      </w:r>
      <w:r w:rsidRPr="00FA5387">
        <w:rPr>
          <w:rFonts w:ascii="Palatino Linotype" w:eastAsia="MS Mincho" w:hAnsi="Palatino Linotype" w:cs="Arial"/>
          <w:sz w:val="24"/>
          <w:szCs w:val="24"/>
        </w:rPr>
        <w:t xml:space="preserve">se actualizan las causales de procedencia previstas en el artículo 179, </w:t>
      </w:r>
      <w:r w:rsidR="00ED6A24" w:rsidRPr="00FA5387">
        <w:rPr>
          <w:rFonts w:ascii="Palatino Linotype" w:eastAsia="MS Mincho" w:hAnsi="Palatino Linotype" w:cs="Arial"/>
          <w:b/>
          <w:sz w:val="24"/>
          <w:szCs w:val="24"/>
        </w:rPr>
        <w:t xml:space="preserve">fracción </w:t>
      </w:r>
      <w:r w:rsidRPr="00FA5387">
        <w:rPr>
          <w:rFonts w:ascii="Palatino Linotype" w:eastAsia="MS Mincho" w:hAnsi="Palatino Linotype" w:cs="Arial"/>
          <w:b/>
          <w:sz w:val="24"/>
          <w:szCs w:val="24"/>
        </w:rPr>
        <w:t xml:space="preserve">I </w:t>
      </w:r>
      <w:r w:rsidRPr="00FA5387">
        <w:rPr>
          <w:rFonts w:ascii="Palatino Linotype" w:eastAsia="MS Mincho" w:hAnsi="Palatino Linotype" w:cs="Arial"/>
          <w:sz w:val="24"/>
          <w:szCs w:val="24"/>
        </w:rPr>
        <w:t>de la</w:t>
      </w:r>
      <w:r w:rsidRPr="00FA5387">
        <w:rPr>
          <w:rFonts w:ascii="Palatino Linotype" w:hAnsi="Palatino Linotype" w:cs="Arial"/>
          <w:color w:val="000000" w:themeColor="text1"/>
          <w:sz w:val="24"/>
          <w:szCs w:val="24"/>
        </w:rPr>
        <w:t xml:space="preserve"> Ley</w:t>
      </w:r>
      <w:r w:rsidRPr="00FA5387">
        <w:rPr>
          <w:rFonts w:ascii="Palatino Linotype" w:eastAsia="MS Mincho" w:hAnsi="Palatino Linotype" w:cs="Arial"/>
          <w:b/>
          <w:sz w:val="24"/>
          <w:szCs w:val="24"/>
        </w:rPr>
        <w:t xml:space="preserve"> de Transparencia y Acceso a la Información Pública del Estado de </w:t>
      </w:r>
      <w:r w:rsidRPr="00FA5387">
        <w:rPr>
          <w:rFonts w:ascii="Palatino Linotype" w:hAnsi="Palatino Linotype" w:cs="Arial"/>
          <w:sz w:val="24"/>
          <w:szCs w:val="24"/>
        </w:rPr>
        <w:t>México</w:t>
      </w:r>
      <w:r w:rsidRPr="00FA5387">
        <w:rPr>
          <w:rFonts w:ascii="Palatino Linotype" w:eastAsia="MS Mincho" w:hAnsi="Palatino Linotype" w:cs="Arial"/>
          <w:b/>
          <w:sz w:val="24"/>
          <w:szCs w:val="24"/>
        </w:rPr>
        <w:t xml:space="preserve"> y Municipios</w:t>
      </w:r>
      <w:r w:rsidRPr="00FA5387">
        <w:rPr>
          <w:rFonts w:ascii="Palatino Linotype" w:eastAsia="MS Mincho" w:hAnsi="Palatino Linotype" w:cs="Arial"/>
          <w:sz w:val="24"/>
          <w:szCs w:val="24"/>
        </w:rPr>
        <w:t xml:space="preserve">; </w:t>
      </w:r>
      <w:r w:rsidRPr="00FA5387">
        <w:rPr>
          <w:rFonts w:ascii="Palatino Linotype" w:hAnsi="Palatino Linotype" w:cs="Arial"/>
          <w:color w:val="000000" w:themeColor="text1"/>
          <w:sz w:val="24"/>
          <w:szCs w:val="24"/>
        </w:rPr>
        <w:t xml:space="preserve">fracción que determina la hipótesis jurídica relativa a la </w:t>
      </w:r>
      <w:r w:rsidR="00ED6A24" w:rsidRPr="00FA5387">
        <w:rPr>
          <w:rFonts w:ascii="Palatino Linotype" w:hAnsi="Palatino Linotype" w:cs="Arial"/>
          <w:color w:val="000000" w:themeColor="text1"/>
          <w:sz w:val="24"/>
          <w:szCs w:val="24"/>
        </w:rPr>
        <w:t xml:space="preserve">negativa a la </w:t>
      </w:r>
      <w:r w:rsidRPr="00FA5387">
        <w:rPr>
          <w:rFonts w:ascii="Palatino Linotype" w:hAnsi="Palatino Linotype" w:cs="Arial"/>
          <w:color w:val="000000" w:themeColor="text1"/>
          <w:sz w:val="24"/>
          <w:szCs w:val="24"/>
        </w:rPr>
        <w:t>entrega</w:t>
      </w:r>
      <w:r w:rsidR="00ED6A24" w:rsidRPr="00FA5387">
        <w:rPr>
          <w:rFonts w:ascii="Palatino Linotype" w:hAnsi="Palatino Linotype" w:cs="Arial"/>
          <w:color w:val="000000" w:themeColor="text1"/>
          <w:sz w:val="24"/>
          <w:szCs w:val="24"/>
        </w:rPr>
        <w:t xml:space="preserve"> de la información </w:t>
      </w:r>
      <w:r w:rsidRPr="00FA5387">
        <w:rPr>
          <w:rFonts w:ascii="Palatino Linotype" w:hAnsi="Palatino Linotype" w:cs="Arial"/>
          <w:color w:val="000000" w:themeColor="text1"/>
          <w:sz w:val="24"/>
          <w:szCs w:val="24"/>
        </w:rPr>
        <w:t xml:space="preserve"> por el </w:t>
      </w:r>
      <w:r w:rsidRPr="00FA5387">
        <w:rPr>
          <w:rFonts w:ascii="Palatino Linotype" w:hAnsi="Palatino Linotype" w:cs="Arial"/>
          <w:b/>
          <w:color w:val="000000" w:themeColor="text1"/>
          <w:sz w:val="24"/>
          <w:szCs w:val="24"/>
        </w:rPr>
        <w:t>SUJETO OBLIGADO</w:t>
      </w:r>
      <w:r w:rsidRPr="00FA5387">
        <w:rPr>
          <w:rFonts w:ascii="Palatino Linotype" w:hAnsi="Palatino Linotype" w:cs="Arial"/>
          <w:color w:val="000000" w:themeColor="text1"/>
          <w:sz w:val="24"/>
          <w:szCs w:val="24"/>
        </w:rPr>
        <w:t xml:space="preserve">; </w:t>
      </w:r>
      <w:r w:rsidRPr="00FA5387">
        <w:rPr>
          <w:rFonts w:ascii="Palatino Linotype" w:eastAsia="MS Mincho" w:hAnsi="Palatino Linotype" w:cs="Arial"/>
          <w:sz w:val="24"/>
          <w:szCs w:val="24"/>
        </w:rPr>
        <w:t xml:space="preserve">contexto del cual se dolió </w:t>
      </w:r>
      <w:r w:rsidRPr="00FA5387">
        <w:rPr>
          <w:rFonts w:ascii="Palatino Linotype" w:eastAsia="MS Mincho" w:hAnsi="Palatino Linotype" w:cs="Arial"/>
          <w:b/>
          <w:sz w:val="24"/>
          <w:szCs w:val="24"/>
        </w:rPr>
        <w:t xml:space="preserve">EL RECURRENTE </w:t>
      </w:r>
      <w:r w:rsidRPr="00FA5387">
        <w:rPr>
          <w:rFonts w:ascii="Palatino Linotype" w:eastAsia="MS Mincho" w:hAnsi="Palatino Linotype" w:cs="Arial"/>
          <w:sz w:val="24"/>
          <w:szCs w:val="24"/>
        </w:rPr>
        <w:t xml:space="preserve">al momento de interponer su inconformidad. </w:t>
      </w:r>
      <w:r w:rsidRPr="00FA5387">
        <w:rPr>
          <w:rFonts w:ascii="Palatino Linotype" w:eastAsia="Palatino Linotype" w:hAnsi="Palatino Linotype" w:cs="Palatino Linotype"/>
          <w:color w:val="000000"/>
          <w:sz w:val="24"/>
          <w:szCs w:val="24"/>
        </w:rPr>
        <w:t xml:space="preserve">De modo tal que el presente recurso de revisión se </w:t>
      </w:r>
      <w:r w:rsidRPr="00FA5387">
        <w:rPr>
          <w:rFonts w:ascii="Palatino Linotype" w:eastAsia="Palatino Linotype" w:hAnsi="Palatino Linotype" w:cs="Palatino Linotype"/>
          <w:sz w:val="24"/>
          <w:szCs w:val="24"/>
        </w:rPr>
        <w:t>abocará</w:t>
      </w:r>
      <w:r w:rsidRPr="00FA5387">
        <w:rPr>
          <w:rFonts w:ascii="Palatino Linotype" w:eastAsia="Palatino Linotype" w:hAnsi="Palatino Linotype" w:cs="Palatino Linotype"/>
          <w:color w:val="000000"/>
          <w:sz w:val="24"/>
          <w:szCs w:val="24"/>
        </w:rPr>
        <w:t xml:space="preserve"> en determinar si el Sujeto Obligado con su respuesta ciertamente actualiza la causal de procedencia</w:t>
      </w:r>
      <w:r w:rsidRPr="00FA5387">
        <w:rPr>
          <w:rFonts w:ascii="Palatino Linotype" w:eastAsia="Palatino Linotype" w:hAnsi="Palatino Linotype" w:cs="Palatino Linotype"/>
          <w:b/>
          <w:color w:val="000000"/>
          <w:sz w:val="24"/>
          <w:szCs w:val="24"/>
        </w:rPr>
        <w:t xml:space="preserve"> </w:t>
      </w:r>
      <w:r w:rsidRPr="00FA5387">
        <w:rPr>
          <w:rFonts w:ascii="Palatino Linotype" w:eastAsia="Palatino Linotype" w:hAnsi="Palatino Linotype" w:cs="Palatino Linotype"/>
          <w:color w:val="000000"/>
          <w:sz w:val="24"/>
          <w:szCs w:val="24"/>
        </w:rPr>
        <w:t xml:space="preserve">señalada. </w:t>
      </w:r>
    </w:p>
    <w:p w:rsidR="00660322" w:rsidRPr="00FA5387" w:rsidRDefault="00660322" w:rsidP="00660322">
      <w:pPr>
        <w:spacing w:line="360" w:lineRule="auto"/>
        <w:contextualSpacing/>
        <w:jc w:val="both"/>
        <w:rPr>
          <w:rFonts w:ascii="Palatino Linotype" w:hAnsi="Palatino Linotype" w:cs="Arial"/>
          <w:sz w:val="24"/>
          <w:szCs w:val="24"/>
          <w:lang w:eastAsia="es-ES"/>
        </w:rPr>
      </w:pPr>
    </w:p>
    <w:p w:rsidR="00660322" w:rsidRPr="00FA5387" w:rsidRDefault="00660322" w:rsidP="00660322">
      <w:pPr>
        <w:keepNext/>
        <w:keepLines/>
        <w:spacing w:line="360" w:lineRule="auto"/>
        <w:outlineLvl w:val="0"/>
        <w:rPr>
          <w:rFonts w:ascii="Palatino Linotype" w:eastAsia="Palatino Linotype" w:hAnsi="Palatino Linotype" w:cs="Palatino Linotype"/>
          <w:b/>
          <w:color w:val="000000"/>
          <w:sz w:val="24"/>
          <w:szCs w:val="24"/>
        </w:rPr>
      </w:pPr>
      <w:r w:rsidRPr="00FA5387">
        <w:rPr>
          <w:rFonts w:ascii="Palatino Linotype" w:eastAsia="Palatino Linotype" w:hAnsi="Palatino Linotype" w:cs="Palatino Linotype"/>
          <w:b/>
          <w:color w:val="000000"/>
          <w:sz w:val="24"/>
          <w:szCs w:val="24"/>
        </w:rPr>
        <w:t>CUARTO. Estudio de la controversia</w:t>
      </w:r>
    </w:p>
    <w:p w:rsidR="00660322" w:rsidRPr="00FA5387" w:rsidRDefault="00660322" w:rsidP="00782DBB">
      <w:pPr>
        <w:pStyle w:val="Prrafodelista"/>
        <w:numPr>
          <w:ilvl w:val="0"/>
          <w:numId w:val="6"/>
        </w:numPr>
        <w:spacing w:line="360" w:lineRule="auto"/>
        <w:ind w:left="0" w:right="49" w:firstLine="0"/>
        <w:contextualSpacing w:val="0"/>
        <w:jc w:val="both"/>
        <w:rPr>
          <w:rFonts w:ascii="Palatino Linotype" w:eastAsia="Palatino Linotype" w:hAnsi="Palatino Linotype" w:cs="Palatino Linotype"/>
          <w:sz w:val="24"/>
        </w:rPr>
      </w:pPr>
      <w:bookmarkStart w:id="83" w:name="_heading=h.1t3h5sf" w:colFirst="0" w:colLast="0"/>
      <w:bookmarkEnd w:id="83"/>
      <w:r w:rsidRPr="00FA5387">
        <w:rPr>
          <w:rFonts w:ascii="Palatino Linotype" w:eastAsia="Palatino Linotype" w:hAnsi="Palatino Linotype" w:cs="Palatino Linotype"/>
          <w:sz w:val="24"/>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660322" w:rsidRPr="00FA5387" w:rsidRDefault="00660322" w:rsidP="00660322">
      <w:pPr>
        <w:spacing w:line="360" w:lineRule="auto"/>
        <w:ind w:right="48"/>
        <w:jc w:val="both"/>
        <w:rPr>
          <w:rFonts w:ascii="Palatino Linotype" w:eastAsia="Palatino Linotype" w:hAnsi="Palatino Linotype" w:cs="Palatino Linotype"/>
          <w:sz w:val="24"/>
          <w:szCs w:val="24"/>
        </w:rPr>
      </w:pPr>
    </w:p>
    <w:p w:rsidR="00660322" w:rsidRPr="00FA5387" w:rsidRDefault="00660322" w:rsidP="00696D73">
      <w:pPr>
        <w:numPr>
          <w:ilvl w:val="0"/>
          <w:numId w:val="9"/>
        </w:numPr>
        <w:spacing w:line="360" w:lineRule="auto"/>
        <w:ind w:left="0" w:right="49" w:firstLine="0"/>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sz w:val="24"/>
          <w:szCs w:val="24"/>
        </w:rPr>
        <w:t xml:space="preserve">Asimismo, es relevante mencionar que el artículo 19, del ordenamiento local de la materia señala que se presume que la información debe existir si se refiere a las facultades, competencias y funciones que los ordenamientos jurídicos aplicables otorgan a los sujetos </w:t>
      </w:r>
      <w:r w:rsidRPr="00FA5387">
        <w:rPr>
          <w:rFonts w:ascii="Palatino Linotype" w:eastAsia="Palatino Linotype" w:hAnsi="Palatino Linotype" w:cs="Palatino Linotype"/>
          <w:sz w:val="24"/>
          <w:szCs w:val="24"/>
        </w:rPr>
        <w:lastRenderedPageBreak/>
        <w:t>obligados y en caso de que dichas facultades no se hayan ejercido, se deberá motivar la respuesta en función de las causas que motivaron tal circunstancia.</w:t>
      </w:r>
    </w:p>
    <w:p w:rsidR="00660322" w:rsidRPr="00FA5387" w:rsidRDefault="00660322" w:rsidP="000D6405">
      <w:pPr>
        <w:spacing w:line="480" w:lineRule="auto"/>
        <w:ind w:right="-787"/>
        <w:jc w:val="both"/>
        <w:rPr>
          <w:rFonts w:ascii="Palatino Linotype" w:eastAsia="Palatino Linotype" w:hAnsi="Palatino Linotype" w:cs="Palatino Linotype"/>
          <w:sz w:val="24"/>
          <w:szCs w:val="24"/>
        </w:rPr>
      </w:pPr>
    </w:p>
    <w:p w:rsidR="00660322" w:rsidRPr="00FA5387" w:rsidRDefault="00660322" w:rsidP="00782DBB">
      <w:pPr>
        <w:numPr>
          <w:ilvl w:val="0"/>
          <w:numId w:val="9"/>
        </w:numPr>
        <w:spacing w:line="360" w:lineRule="auto"/>
        <w:ind w:left="0" w:right="49" w:firstLine="0"/>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sz w:val="24"/>
          <w:szCs w:val="24"/>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660322" w:rsidRPr="00FA5387" w:rsidRDefault="00660322" w:rsidP="009E29C8">
      <w:pPr>
        <w:spacing w:line="480" w:lineRule="auto"/>
        <w:ind w:right="49"/>
        <w:jc w:val="both"/>
        <w:rPr>
          <w:rFonts w:ascii="Palatino Linotype" w:eastAsia="Palatino Linotype" w:hAnsi="Palatino Linotype" w:cs="Palatino Linotype"/>
          <w:sz w:val="24"/>
          <w:szCs w:val="24"/>
        </w:rPr>
      </w:pPr>
    </w:p>
    <w:p w:rsidR="00660322" w:rsidRPr="00FA5387" w:rsidRDefault="00660322" w:rsidP="00782DBB">
      <w:pPr>
        <w:numPr>
          <w:ilvl w:val="0"/>
          <w:numId w:val="9"/>
        </w:numPr>
        <w:spacing w:line="360" w:lineRule="auto"/>
        <w:ind w:left="0" w:right="49" w:firstLine="0"/>
        <w:jc w:val="both"/>
        <w:rPr>
          <w:rFonts w:ascii="Palatino Linotype" w:eastAsia="Palatino Linotype" w:hAnsi="Palatino Linotype" w:cs="Palatino Linotype"/>
          <w:sz w:val="24"/>
          <w:szCs w:val="24"/>
        </w:rPr>
      </w:pPr>
      <w:bookmarkStart w:id="84" w:name="_heading=h.4d34og8" w:colFirst="0" w:colLast="0"/>
      <w:bookmarkEnd w:id="84"/>
      <w:r w:rsidRPr="00FA5387">
        <w:rPr>
          <w:rFonts w:ascii="Palatino Linotype" w:eastAsia="Palatino Linotype" w:hAnsi="Palatino Linotype" w:cs="Palatino Linotype"/>
          <w:sz w:val="24"/>
          <w:szCs w:val="24"/>
        </w:rPr>
        <w:t xml:space="preserve">Así entonces, se procede analizar, en primer lugar, si el </w:t>
      </w:r>
      <w:r w:rsidRPr="00FA5387">
        <w:rPr>
          <w:rFonts w:ascii="Palatino Linotype" w:eastAsia="Palatino Linotype" w:hAnsi="Palatino Linotype" w:cs="Palatino Linotype"/>
          <w:b/>
          <w:sz w:val="24"/>
          <w:szCs w:val="24"/>
        </w:rPr>
        <w:t>SUJETO OBLIGADO</w:t>
      </w:r>
      <w:r w:rsidRPr="00FA5387">
        <w:rPr>
          <w:rFonts w:ascii="Palatino Linotype" w:eastAsia="Palatino Linotype" w:hAnsi="Palatino Linotype" w:cs="Palatino Linotype"/>
          <w:sz w:val="24"/>
          <w:szCs w:val="24"/>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60322" w:rsidRPr="00FA5387" w:rsidRDefault="00660322" w:rsidP="000D6405">
      <w:pPr>
        <w:spacing w:line="480" w:lineRule="auto"/>
        <w:ind w:right="49"/>
        <w:jc w:val="both"/>
        <w:rPr>
          <w:rFonts w:ascii="Palatino Linotype" w:eastAsia="Palatino Linotype" w:hAnsi="Palatino Linotype" w:cs="Palatino Linotype"/>
          <w:sz w:val="24"/>
          <w:szCs w:val="24"/>
        </w:rPr>
      </w:pPr>
    </w:p>
    <w:p w:rsidR="00660322" w:rsidRPr="00FA5387" w:rsidRDefault="00660322" w:rsidP="00660322">
      <w:pPr>
        <w:keepNext/>
        <w:keepLines/>
        <w:spacing w:line="240" w:lineRule="atLeast"/>
        <w:rPr>
          <w:rFonts w:ascii="Palatino Linotype" w:eastAsia="Palatino Linotype" w:hAnsi="Palatino Linotype" w:cs="Palatino Linotype"/>
          <w:b/>
          <w:sz w:val="24"/>
          <w:szCs w:val="24"/>
        </w:rPr>
      </w:pPr>
      <w:bookmarkStart w:id="85" w:name="_heading=h.2s8eyo1" w:colFirst="0" w:colLast="0"/>
      <w:bookmarkEnd w:id="85"/>
      <w:r w:rsidRPr="00FA5387">
        <w:rPr>
          <w:rFonts w:ascii="Palatino Linotype" w:eastAsia="Palatino Linotype" w:hAnsi="Palatino Linotype" w:cs="Palatino Linotype"/>
          <w:b/>
          <w:sz w:val="24"/>
          <w:szCs w:val="24"/>
        </w:rPr>
        <w:lastRenderedPageBreak/>
        <w:t>De la información solicitada y la respuesta del SUJETO OBLIGADO</w:t>
      </w:r>
    </w:p>
    <w:p w:rsidR="00ED6A24" w:rsidRPr="00FA5387" w:rsidRDefault="00ED6A24" w:rsidP="006473D2">
      <w:pPr>
        <w:numPr>
          <w:ilvl w:val="0"/>
          <w:numId w:val="9"/>
        </w:numPr>
        <w:spacing w:line="360" w:lineRule="auto"/>
        <w:ind w:left="0" w:firstLine="0"/>
        <w:contextualSpacing/>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sz w:val="24"/>
          <w:szCs w:val="24"/>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D6A24" w:rsidRPr="00FA5387" w:rsidRDefault="00ED6A24" w:rsidP="00ED6A24">
      <w:pPr>
        <w:spacing w:line="360" w:lineRule="auto"/>
        <w:rPr>
          <w:rFonts w:ascii="Palatino Linotype" w:eastAsia="Palatino Linotype" w:hAnsi="Palatino Linotype" w:cs="Palatino Linotype"/>
          <w:sz w:val="24"/>
          <w:szCs w:val="24"/>
        </w:rPr>
      </w:pPr>
    </w:p>
    <w:p w:rsidR="00ED6A24" w:rsidRPr="00FA5387" w:rsidRDefault="00ED6A24" w:rsidP="006473D2">
      <w:pPr>
        <w:numPr>
          <w:ilvl w:val="0"/>
          <w:numId w:val="9"/>
        </w:numPr>
        <w:spacing w:line="360" w:lineRule="auto"/>
        <w:ind w:left="0" w:firstLine="0"/>
        <w:contextualSpacing/>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sz w:val="24"/>
          <w:szCs w:val="24"/>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ED6A24" w:rsidRPr="00FA5387" w:rsidRDefault="00ED6A24" w:rsidP="00ED6A24">
      <w:pPr>
        <w:pStyle w:val="Prrafodelista"/>
        <w:tabs>
          <w:tab w:val="left" w:pos="567"/>
        </w:tabs>
        <w:spacing w:line="360" w:lineRule="auto"/>
        <w:ind w:left="0"/>
        <w:jc w:val="both"/>
        <w:rPr>
          <w:rFonts w:ascii="Palatino Linotype" w:hAnsi="Palatino Linotype" w:cs="Arial"/>
          <w:sz w:val="24"/>
        </w:rPr>
      </w:pPr>
    </w:p>
    <w:p w:rsidR="00ED6A24" w:rsidRPr="00FA5387" w:rsidRDefault="00ED6A24" w:rsidP="006473D2">
      <w:pPr>
        <w:numPr>
          <w:ilvl w:val="0"/>
          <w:numId w:val="9"/>
        </w:numPr>
        <w:spacing w:line="360" w:lineRule="auto"/>
        <w:ind w:left="0" w:firstLine="0"/>
        <w:contextualSpacing/>
        <w:jc w:val="both"/>
        <w:rPr>
          <w:rFonts w:ascii="Palatino Linotype" w:hAnsi="Palatino Linotype" w:cs="Tahoma"/>
          <w:bCs/>
          <w:iCs/>
          <w:sz w:val="24"/>
          <w:szCs w:val="24"/>
        </w:rPr>
      </w:pPr>
      <w:r w:rsidRPr="00FA5387">
        <w:rPr>
          <w:rFonts w:ascii="Palatino Linotype" w:hAnsi="Palatino Linotype" w:cs="Tahoma"/>
          <w:bCs/>
          <w:iCs/>
          <w:sz w:val="24"/>
          <w:szCs w:val="24"/>
        </w:rPr>
        <w:t xml:space="preserve">Dicho lo anterior, respecto de las solicitudes de información y recursos de revisión originales, se colige que el particular se refiere a los acuses de solicitud de información y del escrito recursal en las que constan las solicitudes de información que inicialmente fueron interpuestas y de manera posterior sus agravios en contra de la respuesta o falta de respuesta. Al respecto es dable señalar que las Guías de uso del sistema SAIMEX </w:t>
      </w:r>
      <w:r w:rsidRPr="00FA5387">
        <w:rPr>
          <w:rFonts w:ascii="Palatino Linotype" w:hAnsi="Palatino Linotype" w:cs="Tahoma"/>
          <w:bCs/>
          <w:i/>
          <w:iCs/>
          <w:sz w:val="24"/>
          <w:szCs w:val="24"/>
        </w:rPr>
        <w:lastRenderedPageBreak/>
        <w:t>(</w:t>
      </w:r>
      <w:hyperlink r:id="rId29" w:history="1">
        <w:r w:rsidRPr="00FA5387">
          <w:rPr>
            <w:rStyle w:val="Hipervnculo"/>
            <w:rFonts w:ascii="Palatino Linotype" w:hAnsi="Palatino Linotype" w:cs="Tahoma"/>
            <w:bCs/>
            <w:i/>
            <w:iCs/>
            <w:sz w:val="24"/>
            <w:szCs w:val="24"/>
          </w:rPr>
          <w:t>https://www.saimex.org.mx/saimex/guias.html</w:t>
        </w:r>
      </w:hyperlink>
      <w:r w:rsidRPr="00FA5387">
        <w:rPr>
          <w:rFonts w:ascii="Palatino Linotype" w:hAnsi="Palatino Linotype" w:cs="Tahoma"/>
          <w:bCs/>
          <w:i/>
          <w:iCs/>
          <w:sz w:val="24"/>
          <w:szCs w:val="24"/>
        </w:rPr>
        <w:t>),</w:t>
      </w:r>
      <w:r w:rsidRPr="00FA5387">
        <w:rPr>
          <w:rFonts w:ascii="Palatino Linotype" w:hAnsi="Palatino Linotype" w:cs="Tahoma"/>
          <w:bCs/>
          <w:iCs/>
          <w:sz w:val="24"/>
          <w:szCs w:val="24"/>
        </w:rPr>
        <w:t xml:space="preserve"> que precisan que el Sistema tiene la posibilidad generar el registro de solicitudes electrónicas y de recursos de revisión, una vez concluido el llenado de la información en formato </w:t>
      </w:r>
      <w:r w:rsidRPr="00FA5387">
        <w:rPr>
          <w:rFonts w:ascii="Palatino Linotype" w:hAnsi="Palatino Linotype" w:cs="Tahoma"/>
          <w:bCs/>
          <w:i/>
          <w:sz w:val="24"/>
          <w:szCs w:val="24"/>
        </w:rPr>
        <w:t>PDF</w:t>
      </w:r>
      <w:r w:rsidR="006473D2" w:rsidRPr="00FA5387">
        <w:rPr>
          <w:rFonts w:ascii="Palatino Linotype" w:hAnsi="Palatino Linotype" w:cs="Tahoma"/>
          <w:bCs/>
          <w:iCs/>
          <w:sz w:val="24"/>
          <w:szCs w:val="24"/>
        </w:rPr>
        <w:t>.</w:t>
      </w:r>
    </w:p>
    <w:p w:rsidR="00355BE2" w:rsidRPr="00FA5387" w:rsidRDefault="00355BE2" w:rsidP="00355BE2">
      <w:pPr>
        <w:pStyle w:val="Prrafodelista"/>
        <w:rPr>
          <w:rFonts w:ascii="Palatino Linotype" w:hAnsi="Palatino Linotype" w:cs="Tahoma"/>
          <w:bCs/>
          <w:iCs/>
          <w:sz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cs="Tahoma"/>
          <w:bCs/>
          <w:iCs/>
          <w:sz w:val="24"/>
          <w:szCs w:val="24"/>
        </w:rPr>
      </w:pPr>
      <w:r w:rsidRPr="00FA5387">
        <w:rPr>
          <w:rFonts w:ascii="Palatino Linotype" w:hAnsi="Palatino Linotype" w:cs="Tahoma"/>
          <w:bCs/>
          <w:iCs/>
          <w:sz w:val="24"/>
          <w:szCs w:val="24"/>
        </w:rPr>
        <w:t xml:space="preserve">Luego entonces, se advierte que el </w:t>
      </w:r>
      <w:r w:rsidR="00355BE2" w:rsidRPr="00FA5387">
        <w:rPr>
          <w:rFonts w:ascii="Palatino Linotype" w:hAnsi="Palatino Linotype" w:cs="Tahoma"/>
          <w:bCs/>
          <w:i/>
          <w:iCs/>
          <w:sz w:val="24"/>
          <w:szCs w:val="24"/>
        </w:rPr>
        <w:t>SAIMEX</w:t>
      </w:r>
      <w:r w:rsidRPr="00FA5387">
        <w:rPr>
          <w:rFonts w:ascii="Palatino Linotype" w:hAnsi="Palatino Linotype" w:cs="Tahoma"/>
          <w:bCs/>
          <w:iCs/>
          <w:sz w:val="24"/>
          <w:szCs w:val="24"/>
        </w:rPr>
        <w:t>, cuenta con mecanismos específicos para que las partes, puedan generar el documento denominas Acuse de Solicitud y Formato de Recurso de Revisión, para resguardar en sus archivos.</w:t>
      </w:r>
    </w:p>
    <w:p w:rsidR="006473D2" w:rsidRPr="00FA5387" w:rsidRDefault="006473D2" w:rsidP="006473D2">
      <w:pPr>
        <w:spacing w:line="360" w:lineRule="auto"/>
        <w:rPr>
          <w:rFonts w:ascii="Palatino Linotype" w:hAnsi="Palatino Linotype" w:cs="Tahoma"/>
          <w:bCs/>
          <w:iCs/>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cs="Tahoma"/>
          <w:bCs/>
          <w:iCs/>
          <w:sz w:val="24"/>
          <w:szCs w:val="24"/>
        </w:rPr>
      </w:pPr>
      <w:r w:rsidRPr="00FA5387">
        <w:rPr>
          <w:rFonts w:ascii="Palatino Linotype" w:hAnsi="Palatino Linotype" w:cs="Tahoma"/>
          <w:bCs/>
          <w:iCs/>
          <w:sz w:val="24"/>
          <w:szCs w:val="24"/>
        </w:rPr>
        <w:t>Al respecto, el artículo 92, fracción XVII, de la Ley de Transparencia y Acceso a la Información Pública del Estado de México y Municipios, establece que los sujetos obligados deberán publicar el registro de las solicitudes recibidas y atendidas, asimismo, el artículo 53 de la norma citada, establece que la Unidad de Transparencia deberá llevar un registro de las solicitudes de acceso a la información, sus respuestas, resultados, resolución de recursos de revisión que se hayan emitido en contra de sus respuestas y del cumplimiento de las mismas, entre otros.</w:t>
      </w:r>
    </w:p>
    <w:p w:rsidR="00355BE2" w:rsidRPr="00FA5387" w:rsidRDefault="00355BE2" w:rsidP="00355BE2">
      <w:pPr>
        <w:pStyle w:val="Prrafodelista"/>
        <w:rPr>
          <w:rFonts w:ascii="Palatino Linotype" w:hAnsi="Palatino Linotype" w:cs="Tahoma"/>
          <w:bCs/>
          <w:iCs/>
          <w:sz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cs="Tahoma"/>
          <w:bCs/>
          <w:iCs/>
          <w:sz w:val="24"/>
          <w:szCs w:val="24"/>
        </w:rPr>
      </w:pPr>
      <w:r w:rsidRPr="00FA5387">
        <w:rPr>
          <w:rFonts w:ascii="Palatino Linotype" w:hAnsi="Palatino Linotype" w:cs="Tahoma"/>
          <w:bCs/>
          <w:iCs/>
          <w:sz w:val="24"/>
          <w:szCs w:val="24"/>
        </w:rPr>
        <w:t xml:space="preserve">Ahora bien, de conformidad con el Manual de Organización de la Secretaría del Ayuntamiento, vigente, precisa que la Unidad de Transparencia a través del Departamento de Acceso a la Información Pública, se encargará de recibir, turnar, tramitar internamente las solicitudes de información y verificar, en cada caso, que la información no tenga el carácter de confidencial o reservada, en términos de Ley de Transparencia y Acceso a la Información Pública del Estado de México y Municipios; coordinar, dar seguimiento, atención y cumplimiento a las inconformidades y resoluciones que se derivan de solicitudes de acceso a la información; y recopilar, verificar, integrar y difundir la información pública de oficio de </w:t>
      </w:r>
      <w:r w:rsidRPr="00FA5387">
        <w:rPr>
          <w:rFonts w:ascii="Palatino Linotype" w:hAnsi="Palatino Linotype" w:cs="Tahoma"/>
          <w:bCs/>
          <w:iCs/>
          <w:sz w:val="24"/>
          <w:szCs w:val="24"/>
        </w:rPr>
        <w:lastRenderedPageBreak/>
        <w:t>competencia de las y los Servidores Públicos Habilitados del Sujeto Obligado, para cumplir con las obligaciones comunes y específicas en la plataforma electrónica de Información Pública de Oficio Mexiquense (IPOMEX).</w:t>
      </w:r>
    </w:p>
    <w:p w:rsidR="006473D2" w:rsidRPr="00FA5387" w:rsidRDefault="006473D2" w:rsidP="006473D2">
      <w:pPr>
        <w:spacing w:line="360" w:lineRule="auto"/>
        <w:rPr>
          <w:rFonts w:ascii="Palatino Linotype" w:hAnsi="Palatino Linotype" w:cs="Tahoma"/>
          <w:bCs/>
          <w:iCs/>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cs="Tahoma"/>
          <w:bCs/>
          <w:iCs/>
          <w:sz w:val="24"/>
          <w:szCs w:val="24"/>
        </w:rPr>
        <w:t>Por tanto, se concluye que la pretensión de la persona Recurrente, es obtener, todos los documentos que integran los expedientes de los Recursos de Revisión desagregados</w:t>
      </w:r>
      <w:r w:rsidRPr="00FA5387">
        <w:rPr>
          <w:rFonts w:ascii="Palatino Linotype" w:hAnsi="Palatino Linotype" w:cs="Tahoma"/>
          <w:sz w:val="24"/>
          <w:szCs w:val="24"/>
        </w:rPr>
        <w:t xml:space="preserve"> en el anterior Párrafo 14. </w:t>
      </w:r>
      <w:r w:rsidRPr="00FA5387">
        <w:rPr>
          <w:rFonts w:ascii="Palatino Linotype" w:hAnsi="Palatino Linotype"/>
          <w:sz w:val="24"/>
          <w:szCs w:val="24"/>
          <w:lang w:eastAsia="es-ES_tradnl"/>
        </w:rPr>
        <w:t>Al respecto</w:t>
      </w:r>
      <w:r w:rsidRPr="00FA5387">
        <w:rPr>
          <w:rFonts w:ascii="Palatino Linotype" w:hAnsi="Palatino Linotype"/>
          <w:sz w:val="24"/>
          <w:szCs w:val="24"/>
        </w:rPr>
        <w:t xml:space="preserve">, de las constancias que obran en el expediente electrónico, se advierte que el Sujeto Obligado turno la solicitud de información  a la Unidad de Transparencia; por lo que, es oportuno hacer referencia al </w:t>
      </w:r>
      <w:r w:rsidRPr="00FA5387">
        <w:rPr>
          <w:rFonts w:ascii="Palatino Linotype" w:hAnsi="Palatino Linotype"/>
          <w:b/>
          <w:sz w:val="24"/>
          <w:szCs w:val="24"/>
        </w:rPr>
        <w:t>procedimiento de búsqueda que deben de seguir los Sujetos Obligados para localizar la información</w:t>
      </w:r>
      <w:r w:rsidRPr="00FA5387">
        <w:rPr>
          <w:rFonts w:ascii="Palatino Linotype" w:hAnsi="Palatino Linotype"/>
          <w:sz w:val="24"/>
          <w:szCs w:val="24"/>
        </w:rPr>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Así y de lo plasmado en párrafos anteriores, se concluye que el </w:t>
      </w:r>
      <w:r w:rsidRPr="00FA5387">
        <w:rPr>
          <w:rFonts w:ascii="Palatino Linotype" w:hAnsi="Palatino Linotype"/>
          <w:b/>
          <w:bCs/>
          <w:sz w:val="24"/>
          <w:szCs w:val="24"/>
        </w:rPr>
        <w:t>SUJETO OBLIGADO</w:t>
      </w:r>
      <w:r w:rsidRPr="00FA5387">
        <w:rPr>
          <w:rFonts w:ascii="Palatino Linotype" w:hAnsi="Palatino Linotype"/>
          <w:sz w:val="24"/>
          <w:szCs w:val="24"/>
        </w:rPr>
        <w:t xml:space="preserve"> </w:t>
      </w:r>
      <w:r w:rsidRPr="00FA5387">
        <w:rPr>
          <w:rFonts w:ascii="Palatino Linotype" w:hAnsi="Palatino Linotype" w:cs="Tahoma"/>
          <w:bCs/>
          <w:iCs/>
          <w:sz w:val="24"/>
          <w:szCs w:val="24"/>
        </w:rPr>
        <w:t>cumplió</w:t>
      </w:r>
      <w:r w:rsidRPr="00FA5387">
        <w:rPr>
          <w:rFonts w:ascii="Palatino Linotype" w:hAnsi="Palatino Linotype"/>
          <w:sz w:val="24"/>
          <w:szCs w:val="24"/>
        </w:rPr>
        <w:t xml:space="preserve"> con el procedimiento de búsqueda establecido en el artículo 162 de la Ley de Transparencia y Acceso a la Información Pública del Estado de México y Municipios, toda vez, que gestionó el requerimiento de información con las áreas competentes de conocer la información. </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lastRenderedPageBreak/>
        <w:t xml:space="preserve">Ahora bien, en respuesta como en informe justificado, la Unidad de Transparencia mencionó que la información solicitada podrá ser consultada en la página del Instituto de Transparencia, Acceso a la Información Pública y Protección de Datos Personales del Estado de México y Municipios, y adjuntó una liga electrónica </w:t>
      </w:r>
      <w:hyperlink r:id="rId30" w:history="1">
        <w:r w:rsidRPr="00FA5387">
          <w:rPr>
            <w:rStyle w:val="Hipervnculo"/>
            <w:rFonts w:ascii="Palatino Linotype" w:hAnsi="Palatino Linotype"/>
            <w:i/>
            <w:sz w:val="24"/>
            <w:szCs w:val="24"/>
          </w:rPr>
          <w:t>https://www.infoem.org.mx/es/node/806/</w:t>
        </w:r>
      </w:hyperlink>
      <w:r w:rsidRPr="00FA5387">
        <w:rPr>
          <w:rFonts w:ascii="Palatino Linotype" w:hAnsi="Palatino Linotype"/>
          <w:sz w:val="24"/>
          <w:szCs w:val="24"/>
        </w:rPr>
        <w:t xml:space="preserve">, </w:t>
      </w:r>
      <w:r w:rsidR="00355BE2" w:rsidRPr="00FA5387">
        <w:rPr>
          <w:rFonts w:ascii="Palatino Linotype" w:hAnsi="Palatino Linotype"/>
          <w:sz w:val="24"/>
          <w:szCs w:val="24"/>
        </w:rPr>
        <w:t>que</w:t>
      </w:r>
      <w:r w:rsidRPr="00FA5387">
        <w:rPr>
          <w:rFonts w:ascii="Palatino Linotype" w:hAnsi="Palatino Linotype"/>
          <w:sz w:val="24"/>
          <w:szCs w:val="24"/>
        </w:rPr>
        <w:t xml:space="preserve"> da acceso a lo siguiente:</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spacing w:line="360" w:lineRule="auto"/>
        <w:jc w:val="center"/>
        <w:rPr>
          <w:rFonts w:ascii="Palatino Linotype" w:hAnsi="Palatino Linotype"/>
          <w:sz w:val="24"/>
          <w:szCs w:val="24"/>
        </w:rPr>
      </w:pPr>
      <w:r w:rsidRPr="00FA5387">
        <w:rPr>
          <w:rFonts w:ascii="Palatino Linotype" w:hAnsi="Palatino Linotype"/>
          <w:noProof/>
          <w:sz w:val="24"/>
          <w:szCs w:val="24"/>
        </w:rPr>
        <w:drawing>
          <wp:inline distT="0" distB="0" distL="0" distR="0" wp14:anchorId="6DE04651" wp14:editId="4FF676F4">
            <wp:extent cx="6035040" cy="3309102"/>
            <wp:effectExtent l="19050" t="19050" r="22860" b="2476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50000"/>
                              </a14:imgEffect>
                            </a14:imgLayer>
                          </a14:imgProps>
                        </a:ext>
                      </a:extLst>
                    </a:blip>
                    <a:stretch>
                      <a:fillRect/>
                    </a:stretch>
                  </pic:blipFill>
                  <pic:spPr>
                    <a:xfrm>
                      <a:off x="0" y="0"/>
                      <a:ext cx="6073724" cy="3330313"/>
                    </a:xfrm>
                    <a:prstGeom prst="rect">
                      <a:avLst/>
                    </a:prstGeom>
                    <a:ln>
                      <a:solidFill>
                        <a:schemeClr val="accent1"/>
                      </a:solidFill>
                    </a:ln>
                  </pic:spPr>
                </pic:pic>
              </a:graphicData>
            </a:graphic>
          </wp:inline>
        </w:drawing>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De la revisión al hipervínculo de referencia, si bien se encuentran en un formato abierto, llevan a una página para </w:t>
      </w:r>
      <w:r w:rsidRPr="00FA5387">
        <w:rPr>
          <w:rFonts w:ascii="Palatino Linotype" w:hAnsi="Palatino Linotype"/>
          <w:bCs/>
          <w:sz w:val="24"/>
          <w:szCs w:val="24"/>
        </w:rPr>
        <w:t>búsqueda y consulta</w:t>
      </w:r>
      <w:r w:rsidRPr="00FA5387">
        <w:rPr>
          <w:rFonts w:ascii="Palatino Linotype" w:hAnsi="Palatino Linotype"/>
          <w:sz w:val="24"/>
          <w:szCs w:val="24"/>
        </w:rPr>
        <w:t xml:space="preserve"> de recursos de revisión en su versión pública que han sido aprobados por el pleno de este Instituto;  sin embargo, la resolución de los recursos de revisión no es el único documento que integra los expedientes requeridos, al ser compuestos por documentales diversas que pueden corresponder de manera enunciativa </w:t>
      </w:r>
      <w:r w:rsidRPr="00FA5387">
        <w:rPr>
          <w:rFonts w:ascii="Palatino Linotype" w:hAnsi="Palatino Linotype"/>
          <w:sz w:val="24"/>
          <w:szCs w:val="24"/>
        </w:rPr>
        <w:lastRenderedPageBreak/>
        <w:t>mas no limitativa a la solicitud de información hasta aquellas derivadas del cumplimiento que, en su caso, recayó la resolución notificada así como del seguimiento al cumplimiento por parte de este Instituto.</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Luego entonces si bien el enlace remitido se encuentra en formato abierto y se </w:t>
      </w:r>
      <w:r w:rsidR="00CF70E8" w:rsidRPr="00FA5387">
        <w:rPr>
          <w:rFonts w:ascii="Palatino Linotype" w:hAnsi="Palatino Linotype"/>
          <w:sz w:val="24"/>
          <w:szCs w:val="24"/>
        </w:rPr>
        <w:t>adjuntó</w:t>
      </w:r>
      <w:r w:rsidRPr="00FA5387">
        <w:rPr>
          <w:rFonts w:ascii="Palatino Linotype" w:hAnsi="Palatino Linotype"/>
          <w:sz w:val="24"/>
          <w:szCs w:val="24"/>
        </w:rPr>
        <w:t xml:space="preserve"> un anexo con un instructivo del procedimiento para realizar para una búsqueda y consulta de la información solicitada; también lo es que de dicho enlace no se logra obtener todos los documentos que integran los expedientes de los recursos de revisión solicitados, siendo procedente el motivo de inconformidad relativo a la entrega de información incompleta. Al respecto recordar que el derecho de acceso a la información, ciertamente se puede colmar con la entrega de enlaces de Internet en donde ya obré publicada la información solicitada, siempre y cuando se cumplan los requerimientos que establece la normatividad al respecto.</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color w:val="000000"/>
          <w:sz w:val="24"/>
          <w:szCs w:val="24"/>
        </w:rPr>
      </w:pPr>
      <w:r w:rsidRPr="00FA5387">
        <w:rPr>
          <w:rFonts w:ascii="Palatino Linotype" w:hAnsi="Palatino Linotype"/>
          <w:sz w:val="24"/>
          <w:szCs w:val="24"/>
        </w:rPr>
        <w:t>En esa tesitura</w:t>
      </w:r>
      <w:r w:rsidRPr="00FA5387">
        <w:rPr>
          <w:rFonts w:ascii="Palatino Linotype" w:hAnsi="Palatino Linotype"/>
          <w:color w:val="000000"/>
          <w:sz w:val="24"/>
          <w:szCs w:val="24"/>
        </w:rPr>
        <w:t xml:space="preserve"> </w:t>
      </w:r>
      <w:r w:rsidRPr="00FA5387">
        <w:rPr>
          <w:rFonts w:ascii="Palatino Linotype" w:hAnsi="Palatino Linotype"/>
          <w:sz w:val="24"/>
          <w:szCs w:val="24"/>
        </w:rPr>
        <w:t>la</w:t>
      </w:r>
      <w:r w:rsidRPr="00FA5387">
        <w:rPr>
          <w:rFonts w:ascii="Palatino Linotype" w:hAnsi="Palatino Linotype"/>
          <w:color w:val="000000"/>
          <w:sz w:val="24"/>
          <w:szCs w:val="24"/>
        </w:rPr>
        <w:t xml:space="preserve"> Ley de </w:t>
      </w:r>
      <w:r w:rsidRPr="00FA5387">
        <w:rPr>
          <w:rFonts w:ascii="Palatino Linotype" w:eastAsia="Palatino Linotype" w:hAnsi="Palatino Linotype" w:cs="Palatino Linotype"/>
          <w:sz w:val="24"/>
          <w:szCs w:val="24"/>
          <w:lang w:val="es-ES"/>
        </w:rPr>
        <w:t>Transparencia</w:t>
      </w:r>
      <w:r w:rsidRPr="00FA5387">
        <w:rPr>
          <w:rFonts w:ascii="Palatino Linotype" w:hAnsi="Palatino Linotype"/>
          <w:color w:val="000000"/>
          <w:sz w:val="24"/>
          <w:szCs w:val="24"/>
        </w:rPr>
        <w:t xml:space="preserve"> y Acceso a la Información Pública del Estado de México y Municipios en su artículo 161, establece lo siguiente:</w:t>
      </w:r>
    </w:p>
    <w:p w:rsidR="006473D2" w:rsidRPr="00FA5387" w:rsidRDefault="006473D2" w:rsidP="00CF70E8">
      <w:pPr>
        <w:pStyle w:val="Prrafodelista"/>
        <w:spacing w:line="276" w:lineRule="auto"/>
        <w:ind w:left="1134" w:right="1814"/>
        <w:jc w:val="both"/>
        <w:rPr>
          <w:rFonts w:ascii="Palatino Linotype" w:hAnsi="Palatino Linotype"/>
          <w:i/>
          <w:color w:val="000000"/>
          <w:sz w:val="24"/>
        </w:rPr>
      </w:pPr>
      <w:r w:rsidRPr="00FA5387">
        <w:rPr>
          <w:rFonts w:ascii="Palatino Linotype" w:hAnsi="Palatino Linotype"/>
          <w:i/>
          <w:color w:val="000000"/>
          <w:sz w:val="24"/>
        </w:rPr>
        <w:t xml:space="preserve">“Artículo 161. Cuando la información requerida por el solicitante ya esté disponible al público en medios impresos, tales como libros, compendios,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w:t>
      </w:r>
      <w:r w:rsidRPr="00FA5387">
        <w:rPr>
          <w:rFonts w:ascii="Palatino Linotype" w:hAnsi="Palatino Linotype"/>
          <w:b/>
          <w:i/>
          <w:color w:val="000000"/>
          <w:sz w:val="24"/>
        </w:rPr>
        <w:t>La fuente deberá ser precisa y concreta y no debe implicar que el solicitante realice una búsqueda en toda la información que se encuentre disponible.</w:t>
      </w:r>
      <w:r w:rsidRPr="00FA5387">
        <w:rPr>
          <w:rFonts w:ascii="Palatino Linotype" w:hAnsi="Palatino Linotype"/>
          <w:i/>
          <w:color w:val="000000"/>
          <w:sz w:val="24"/>
        </w:rPr>
        <w:t>”</w:t>
      </w:r>
    </w:p>
    <w:p w:rsidR="006473D2" w:rsidRPr="00FA5387" w:rsidRDefault="006473D2" w:rsidP="00CF70E8">
      <w:pPr>
        <w:pStyle w:val="Prrafodelista"/>
        <w:spacing w:line="276" w:lineRule="auto"/>
        <w:ind w:left="1134" w:right="1814"/>
        <w:rPr>
          <w:rFonts w:ascii="Palatino Linotype" w:hAnsi="Palatino Linotype"/>
          <w:color w:val="000000"/>
          <w:sz w:val="24"/>
        </w:rPr>
      </w:pPr>
      <w:r w:rsidRPr="00FA5387">
        <w:rPr>
          <w:rFonts w:ascii="Palatino Linotype" w:hAnsi="Palatino Linotype"/>
          <w:color w:val="000000"/>
          <w:sz w:val="24"/>
        </w:rPr>
        <w:t>(Énfasis añadido)</w:t>
      </w: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color w:val="000000"/>
          <w:sz w:val="24"/>
          <w:szCs w:val="24"/>
        </w:rPr>
        <w:lastRenderedPageBreak/>
        <w:t>De dicho dispositivo legal se desprende que, si se puede obtener lo peticionado, a través de un hipervínculo, siendo este, especifico dirigiendo a la información sin que implique que el particular haga una búsqueda en el universo de información que pudiera obrar en el hipervínculo entregado, entonces se deberá tener por colmada la solicitud de información, aún y cuando sea elegida como modalidad de entrega vía SAIMEX, contexto que ya se hizo constar, no se actualiza en el caso concreto.</w:t>
      </w:r>
    </w:p>
    <w:p w:rsidR="006473D2" w:rsidRPr="00FA5387" w:rsidRDefault="006473D2" w:rsidP="006473D2">
      <w:pPr>
        <w:spacing w:line="360" w:lineRule="auto"/>
        <w:rPr>
          <w:rFonts w:ascii="Palatino Linotype" w:hAnsi="Palatino Linotype"/>
          <w:sz w:val="24"/>
          <w:szCs w:val="24"/>
        </w:rPr>
      </w:pPr>
      <w:r w:rsidRPr="00FA5387">
        <w:rPr>
          <w:rFonts w:ascii="Palatino Linotype" w:hAnsi="Palatino Linotype"/>
          <w:sz w:val="24"/>
          <w:szCs w:val="24"/>
        </w:rPr>
        <w:t xml:space="preserve"> </w:t>
      </w:r>
    </w:p>
    <w:p w:rsidR="006473D2" w:rsidRPr="00FA5387" w:rsidRDefault="006473D2" w:rsidP="00DF0AF9">
      <w:pPr>
        <w:numPr>
          <w:ilvl w:val="0"/>
          <w:numId w:val="9"/>
        </w:numPr>
        <w:spacing w:line="360" w:lineRule="auto"/>
        <w:ind w:left="0" w:firstLine="0"/>
        <w:contextualSpacing/>
        <w:jc w:val="both"/>
        <w:rPr>
          <w:rFonts w:ascii="Palatino Linotype" w:hAnsi="Palatino Linotype"/>
          <w:color w:val="FF0000"/>
          <w:sz w:val="24"/>
          <w:szCs w:val="24"/>
        </w:rPr>
      </w:pPr>
      <w:r w:rsidRPr="00FA5387">
        <w:rPr>
          <w:rFonts w:ascii="Palatino Linotype" w:eastAsia="Calibri" w:hAnsi="Palatino Linotype"/>
          <w:sz w:val="24"/>
          <w:szCs w:val="24"/>
        </w:rPr>
        <w:t xml:space="preserve">Por tal circunstancia, </w:t>
      </w:r>
      <w:r w:rsidRPr="00FA5387">
        <w:rPr>
          <w:rFonts w:ascii="Palatino Linotype" w:hAnsi="Palatino Linotype"/>
          <w:sz w:val="24"/>
          <w:szCs w:val="24"/>
        </w:rPr>
        <w:t xml:space="preserve">para atender el requerimiento de la información, el Sujeto Obligado </w:t>
      </w:r>
      <w:r w:rsidRPr="00FA5387">
        <w:rPr>
          <w:rFonts w:ascii="Palatino Linotype" w:hAnsi="Palatino Linotype"/>
          <w:color w:val="000000"/>
          <w:sz w:val="24"/>
          <w:szCs w:val="24"/>
        </w:rPr>
        <w:t>deberá</w:t>
      </w:r>
      <w:r w:rsidRPr="00FA5387">
        <w:rPr>
          <w:rFonts w:ascii="Palatino Linotype" w:hAnsi="Palatino Linotype"/>
          <w:sz w:val="24"/>
          <w:szCs w:val="24"/>
        </w:rPr>
        <w:t xml:space="preserve"> realizar una búsqueda exhaustiva y razonable, en los archivos de la Unidad de Transparencia, a efecto de que proporcione, todos los documentos faltantes que integraban los expedientes relacionados con  los Recursos de Revisión</w:t>
      </w:r>
      <w:r w:rsidRPr="00FA5387">
        <w:rPr>
          <w:rFonts w:ascii="Palatino Linotype" w:hAnsi="Palatino Linotype"/>
          <w:color w:val="FF0000"/>
          <w:sz w:val="24"/>
          <w:szCs w:val="24"/>
        </w:rPr>
        <w:t xml:space="preserve"> </w:t>
      </w:r>
      <w:r w:rsidR="00DF0AF9" w:rsidRPr="00FA5387">
        <w:rPr>
          <w:rFonts w:ascii="Palatino Linotype" w:eastAsia="Calibri" w:hAnsi="Palatino Linotype" w:cs="Arial"/>
          <w:i/>
          <w:sz w:val="24"/>
          <w:szCs w:val="24"/>
        </w:rPr>
        <w:t>12404/INFOEM/IP/RR/2025, 12409/INFOEM/IP/RR/2025, 12412/INFOEM/IP/RR/2025, 12416/INFOEM/IP/RR/2025, 12419/INFOEM/IP/RR/2025, 12423/INFOEM/IP/RR/2025, 12429/INFOEM/IP/RR/2025, 12432/INFOEM/IP/RR/2025, 12436/INFOEM/IP/RR/2025, 12442/INFOEM/IP/RR/2025, 12450/INFOEM/IP/RR/2025, 12459/INFOEM/IP/RR/2025, 12465/INFOEM/IP/RR/2025, 12470/INFOEM/IP/RR/2025, 12474/INFOEM/IP/RR/2025, 12478/INFOEM/IP/RR/2025, 12483/INFOEM/IP/RR/2025, 12490/INFOEM/IP/RR/2025, 12493/INFOEM/IP/RR/2025 y 12498/INFOEM/IP/RR/2025</w:t>
      </w:r>
      <w:r w:rsidR="00CF70E8" w:rsidRPr="00FA5387">
        <w:rPr>
          <w:rFonts w:ascii="Palatino Linotype" w:hAnsi="Palatino Linotype"/>
          <w:sz w:val="24"/>
          <w:szCs w:val="24"/>
        </w:rPr>
        <w:t xml:space="preserve"> </w:t>
      </w:r>
      <w:r w:rsidRPr="00FA5387">
        <w:rPr>
          <w:rFonts w:ascii="Palatino Linotype" w:hAnsi="Palatino Linotype"/>
          <w:i/>
          <w:sz w:val="24"/>
          <w:szCs w:val="24"/>
        </w:rPr>
        <w:t>(desde el acuse de solicitud de información pública hasta la última actuación realizada)</w:t>
      </w:r>
      <w:r w:rsidRPr="00FA5387">
        <w:rPr>
          <w:rFonts w:ascii="Palatino Linotype" w:hAnsi="Palatino Linotype"/>
          <w:sz w:val="24"/>
          <w:szCs w:val="24"/>
        </w:rPr>
        <w:t>.</w:t>
      </w:r>
    </w:p>
    <w:p w:rsidR="006473D2" w:rsidRPr="00FA5387" w:rsidRDefault="006473D2" w:rsidP="006473D2">
      <w:pPr>
        <w:pStyle w:val="Prrafodelista"/>
        <w:rPr>
          <w:rFonts w:ascii="Palatino Linotype" w:hAnsi="Palatino Linotype"/>
          <w:color w:val="FF0000"/>
          <w:sz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Dicha determinación toma relevancia, pues conforme al artículo 12 de la Ley de Transparencia y Acceso a la Información Pública del Estado de México y Municipios, los sujetos obligados sólo están constreñidos a proporcionar la información pública que obre en </w:t>
      </w:r>
      <w:r w:rsidRPr="00FA5387">
        <w:rPr>
          <w:rFonts w:ascii="Palatino Linotype" w:hAnsi="Palatino Linotype"/>
          <w:sz w:val="24"/>
          <w:szCs w:val="24"/>
        </w:rPr>
        <w:lastRenderedPageBreak/>
        <w:t>sus archivos, en el estado en que esta se encuentre; por lo que, la entrega no comprende el procesamiento de la misma, ni presentarla conforme al interés del Solicitante, además, que tampoco deberá generarla, resumirla, efectuar cálculos o practicar investigaciones.</w:t>
      </w:r>
    </w:p>
    <w:p w:rsidR="006473D2" w:rsidRPr="00FA5387" w:rsidRDefault="006473D2" w:rsidP="006473D2">
      <w:pPr>
        <w:widowControl w:val="0"/>
        <w:autoSpaceDE w:val="0"/>
        <w:autoSpaceDN w:val="0"/>
        <w:adjustRightInd w:val="0"/>
        <w:spacing w:line="360" w:lineRule="auto"/>
        <w:contextualSpacing/>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De esta manera, el derecho de acceso a la información pública se satisface en aquellos casos en que se entregue el soporte documental en el que conste la información solicitada, sin necesidad de elaborar documentos </w:t>
      </w:r>
      <w:r w:rsidRPr="00FA5387">
        <w:rPr>
          <w:rFonts w:ascii="Palatino Linotype" w:hAnsi="Palatino Linotype"/>
          <w:i/>
          <w:sz w:val="24"/>
          <w:szCs w:val="24"/>
        </w:rPr>
        <w:t>ad hoc</w:t>
      </w:r>
      <w:r w:rsidRPr="00FA5387">
        <w:rPr>
          <w:rFonts w:ascii="Palatino Linotype" w:hAnsi="Palatino Linotype"/>
          <w:sz w:val="24"/>
          <w:szCs w:val="24"/>
        </w:rPr>
        <w:t xml:space="preserve">, situación que toma sustento, toma sustento en el artículo 160 de la Ley de Transparencia y Acceso a la Información Pública del Estado de México y Municipios, el cual refiere que los sujetos obligados únicamente deberán entregar la información que obre en sus archivos. </w:t>
      </w:r>
      <w:r w:rsidRPr="00FA5387">
        <w:rPr>
          <w:rFonts w:ascii="Palatino Linotype" w:eastAsia="MS Mincho" w:hAnsi="Palatino Linotype" w:cs="Arial"/>
          <w:sz w:val="24"/>
          <w:szCs w:val="24"/>
        </w:rPr>
        <w:t>Sirve c</w:t>
      </w:r>
      <w:r w:rsidRPr="00FA5387">
        <w:rPr>
          <w:rFonts w:ascii="Palatino Linotype" w:hAnsi="Palatino Linotype" w:cs="Arial"/>
          <w:sz w:val="24"/>
          <w:szCs w:val="24"/>
        </w:rPr>
        <w:t xml:space="preserve">omo apoyo a lo anterior </w:t>
      </w:r>
      <w:r w:rsidRPr="00FA5387">
        <w:rPr>
          <w:rFonts w:ascii="Palatino Linotype" w:hAnsi="Palatino Linotype" w:cs="Arial"/>
          <w:sz w:val="24"/>
          <w:szCs w:val="24"/>
        </w:rPr>
        <w:softHyphen/>
        <w:t xml:space="preserve">-por analogía- el </w:t>
      </w:r>
      <w:r w:rsidRPr="00FA5387">
        <w:rPr>
          <w:rFonts w:ascii="Palatino Linotype" w:hAnsi="Palatino Linotype" w:cs="Arial"/>
          <w:b/>
          <w:sz w:val="24"/>
          <w:szCs w:val="24"/>
        </w:rPr>
        <w:t xml:space="preserve">Criterio 03/17 </w:t>
      </w:r>
      <w:r w:rsidRPr="00FA5387">
        <w:rPr>
          <w:rFonts w:ascii="Palatino Linotype" w:hAnsi="Palatino Linotype" w:cs="Arial"/>
          <w:sz w:val="24"/>
          <w:szCs w:val="24"/>
        </w:rPr>
        <w:t xml:space="preserve">en materia de acceso a la información pública, emitido por el Pleno del entonces </w:t>
      </w:r>
      <w:r w:rsidRPr="00FA5387">
        <w:rPr>
          <w:rFonts w:ascii="Palatino Linotype" w:hAnsi="Palatino Linotype"/>
          <w:sz w:val="24"/>
          <w:szCs w:val="24"/>
        </w:rPr>
        <w:t>Instituto</w:t>
      </w:r>
      <w:r w:rsidRPr="00FA5387">
        <w:rPr>
          <w:rFonts w:ascii="Palatino Linotype" w:hAnsi="Palatino Linotype" w:cs="Arial"/>
          <w:sz w:val="24"/>
          <w:szCs w:val="24"/>
        </w:rPr>
        <w:t xml:space="preserve"> Nacional de Transparencia, Acceso a la Información y Protección de Datos Personales (INAI)</w:t>
      </w:r>
      <w:r w:rsidRPr="00FA5387">
        <w:rPr>
          <w:rFonts w:ascii="Palatino Linotype" w:hAnsi="Palatino Linotype" w:cs="Arial"/>
          <w:bCs/>
          <w:sz w:val="24"/>
          <w:szCs w:val="24"/>
        </w:rPr>
        <w:t>, que a la letra dice:</w:t>
      </w:r>
    </w:p>
    <w:p w:rsidR="006473D2" w:rsidRPr="00FA5387" w:rsidRDefault="006473D2" w:rsidP="00355BE2">
      <w:pPr>
        <w:pStyle w:val="Prrafodelista"/>
        <w:spacing w:line="276" w:lineRule="auto"/>
        <w:ind w:left="1134" w:right="1814"/>
        <w:jc w:val="both"/>
        <w:rPr>
          <w:rFonts w:ascii="Palatino Linotype" w:hAnsi="Palatino Linotype" w:cs="Arial"/>
          <w:bCs/>
          <w:i/>
          <w:sz w:val="24"/>
        </w:rPr>
      </w:pPr>
      <w:r w:rsidRPr="00FA5387">
        <w:rPr>
          <w:rFonts w:ascii="Palatino Linotype" w:hAnsi="Palatino Linotype" w:cs="Arial"/>
          <w:b/>
          <w:bCs/>
          <w:i/>
          <w:sz w:val="24"/>
        </w:rPr>
        <w:t xml:space="preserve">“No existe obligación de elaborar documentos ad hoc para atender las solicitudes de acceso a la información. </w:t>
      </w:r>
      <w:r w:rsidRPr="00FA5387">
        <w:rPr>
          <w:rFonts w:ascii="Palatino Linotype" w:hAnsi="Palatino Linotype" w:cs="Arial"/>
          <w:bCs/>
          <w:i/>
          <w:sz w:val="24"/>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w:t>
      </w:r>
      <w:r w:rsidRPr="00FA5387">
        <w:rPr>
          <w:rFonts w:ascii="Palatino Linotype" w:hAnsi="Palatino Linotype" w:cs="Arial"/>
          <w:bCs/>
          <w:i/>
          <w:sz w:val="24"/>
        </w:rPr>
        <w:lastRenderedPageBreak/>
        <w:t>necesidad de elaborar documentos ad hoc para atender las solicitudes de información.</w:t>
      </w:r>
    </w:p>
    <w:p w:rsidR="006473D2" w:rsidRPr="00FA5387" w:rsidRDefault="006473D2" w:rsidP="006473D2">
      <w:pPr>
        <w:pStyle w:val="Prrafodelista"/>
        <w:spacing w:line="360" w:lineRule="auto"/>
        <w:ind w:left="567" w:right="618"/>
        <w:rPr>
          <w:rFonts w:ascii="Palatino Linotype" w:hAnsi="Palatino Linotype" w:cs="Arial"/>
          <w:bCs/>
          <w:i/>
          <w:sz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w:t>
      </w:r>
    </w:p>
    <w:p w:rsidR="006473D2" w:rsidRPr="00FA5387" w:rsidRDefault="006473D2" w:rsidP="006473D2">
      <w:pPr>
        <w:widowControl w:val="0"/>
        <w:autoSpaceDE w:val="0"/>
        <w:autoSpaceDN w:val="0"/>
        <w:adjustRightInd w:val="0"/>
        <w:spacing w:line="360" w:lineRule="auto"/>
        <w:contextualSpacing/>
        <w:rPr>
          <w:rFonts w:ascii="Palatino Linotype" w:hAnsi="Palatino Linotype"/>
          <w:sz w:val="24"/>
          <w:szCs w:val="24"/>
        </w:rPr>
      </w:pPr>
    </w:p>
    <w:p w:rsidR="00355BE2" w:rsidRPr="00FA5387" w:rsidRDefault="00CF70E8" w:rsidP="006473D2">
      <w:pPr>
        <w:numPr>
          <w:ilvl w:val="0"/>
          <w:numId w:val="9"/>
        </w:numPr>
        <w:spacing w:line="360" w:lineRule="auto"/>
        <w:ind w:left="0" w:firstLine="0"/>
        <w:contextualSpacing/>
        <w:jc w:val="both"/>
        <w:rPr>
          <w:rFonts w:ascii="Palatino Linotype" w:hAnsi="Palatino Linotype"/>
          <w:i/>
          <w:iCs/>
          <w:sz w:val="24"/>
          <w:szCs w:val="24"/>
        </w:rPr>
      </w:pPr>
      <w:r w:rsidRPr="00FA5387">
        <w:rPr>
          <w:rFonts w:ascii="Palatino Linotype" w:hAnsi="Palatino Linotype"/>
          <w:sz w:val="24"/>
          <w:szCs w:val="24"/>
        </w:rPr>
        <w:t>Así también</w:t>
      </w:r>
      <w:r w:rsidR="006473D2" w:rsidRPr="00FA5387">
        <w:rPr>
          <w:rFonts w:ascii="Palatino Linotype" w:hAnsi="Palatino Linotype"/>
          <w:sz w:val="24"/>
          <w:szCs w:val="24"/>
        </w:rPr>
        <w:t xml:space="preserve"> a</w:t>
      </w:r>
      <w:r w:rsidRPr="00FA5387">
        <w:rPr>
          <w:rFonts w:ascii="Palatino Linotype" w:hAnsi="Palatino Linotype"/>
          <w:sz w:val="24"/>
          <w:szCs w:val="24"/>
        </w:rPr>
        <w:t xml:space="preserve"> </w:t>
      </w:r>
      <w:r w:rsidR="006473D2" w:rsidRPr="00FA5387">
        <w:rPr>
          <w:rFonts w:ascii="Palatino Linotype" w:hAnsi="Palatino Linotype"/>
          <w:sz w:val="24"/>
          <w:szCs w:val="24"/>
        </w:rPr>
        <w:t xml:space="preserve">propósito de los documentos </w:t>
      </w:r>
      <w:r w:rsidR="006473D2" w:rsidRPr="00FA5387">
        <w:rPr>
          <w:rFonts w:ascii="Palatino Linotype" w:hAnsi="Palatino Linotype"/>
          <w:i/>
          <w:iCs/>
          <w:sz w:val="24"/>
          <w:szCs w:val="24"/>
        </w:rPr>
        <w:t>ad hoc</w:t>
      </w:r>
      <w:r w:rsidR="006473D2" w:rsidRPr="00FA5387">
        <w:rPr>
          <w:rFonts w:ascii="Palatino Linotype" w:hAnsi="Palatino Linotype"/>
          <w:sz w:val="24"/>
          <w:szCs w:val="24"/>
        </w:rPr>
        <w:t xml:space="preserve">, conviene traer a contexto las solicitudes de información consistentes en lo siguiente: </w:t>
      </w:r>
    </w:p>
    <w:p w:rsidR="006473D2" w:rsidRPr="00FA5387" w:rsidRDefault="006473D2" w:rsidP="00355BE2">
      <w:pPr>
        <w:spacing w:line="360" w:lineRule="auto"/>
        <w:ind w:left="1134" w:right="1814"/>
        <w:contextualSpacing/>
        <w:jc w:val="both"/>
        <w:rPr>
          <w:rFonts w:ascii="Palatino Linotype" w:hAnsi="Palatino Linotype"/>
          <w:i/>
          <w:iCs/>
          <w:sz w:val="24"/>
          <w:szCs w:val="24"/>
        </w:rPr>
      </w:pPr>
      <w:r w:rsidRPr="00FA5387">
        <w:rPr>
          <w:rFonts w:ascii="Palatino Linotype" w:hAnsi="Palatino Linotype"/>
          <w:i/>
          <w:iCs/>
          <w:sz w:val="24"/>
          <w:szCs w:val="24"/>
        </w:rPr>
        <w:t xml:space="preserve">“Captura de pantalla de los turnos a las áreas competentes en el sistema </w:t>
      </w:r>
      <w:r w:rsidR="00CF70E8" w:rsidRPr="00FA5387">
        <w:rPr>
          <w:rFonts w:ascii="Palatino Linotype" w:hAnsi="Palatino Linotype"/>
          <w:i/>
          <w:iCs/>
          <w:sz w:val="24"/>
          <w:szCs w:val="24"/>
        </w:rPr>
        <w:t xml:space="preserve">SAIMEX </w:t>
      </w:r>
      <w:r w:rsidRPr="00FA5387">
        <w:rPr>
          <w:rFonts w:ascii="Palatino Linotype" w:hAnsi="Palatino Linotype"/>
          <w:i/>
          <w:iCs/>
          <w:sz w:val="24"/>
          <w:szCs w:val="24"/>
        </w:rPr>
        <w:t>…</w:t>
      </w:r>
      <w:r w:rsidRPr="00FA5387">
        <w:rPr>
          <w:rFonts w:ascii="Palatino Linotype" w:hAnsi="Palatino Linotype"/>
          <w:sz w:val="24"/>
          <w:szCs w:val="24"/>
        </w:rPr>
        <w:t xml:space="preserve"> </w:t>
      </w:r>
      <w:r w:rsidRPr="00FA5387">
        <w:rPr>
          <w:rFonts w:ascii="Palatino Linotype" w:hAnsi="Palatino Linotype"/>
          <w:i/>
          <w:iCs/>
          <w:sz w:val="24"/>
          <w:szCs w:val="24"/>
        </w:rPr>
        <w:t>Estado de cumplimiento o incumplimiento…Favor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p>
    <w:p w:rsidR="006473D2" w:rsidRPr="00FA5387" w:rsidRDefault="006473D2" w:rsidP="006473D2">
      <w:pPr>
        <w:spacing w:line="360" w:lineRule="auto"/>
        <w:rPr>
          <w:rFonts w:ascii="Palatino Linotype" w:hAnsi="Palatino Linotype"/>
          <w:sz w:val="24"/>
          <w:szCs w:val="24"/>
        </w:rPr>
      </w:pPr>
    </w:p>
    <w:p w:rsidR="006473D2" w:rsidRPr="00FA5387" w:rsidRDefault="00355BE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De lo anterior y</w:t>
      </w:r>
      <w:r w:rsidR="006473D2" w:rsidRPr="00FA5387">
        <w:rPr>
          <w:rFonts w:ascii="Palatino Linotype" w:hAnsi="Palatino Linotype"/>
          <w:sz w:val="24"/>
          <w:szCs w:val="24"/>
        </w:rPr>
        <w:t xml:space="preserve"> en virtud que se logra vislumbrar que el Particular pretende un procesamiento y obtención de la información con características específicas al solicitar una captura de pantalla y pronunciamientos específicos, lo que implicaría que el Instituto elaborara una expresión documental específica; sobre dicha situación, es necesario colación </w:t>
      </w:r>
      <w:r w:rsidR="006473D2" w:rsidRPr="00FA5387">
        <w:rPr>
          <w:rFonts w:ascii="Palatino Linotype" w:hAnsi="Palatino Linotype"/>
          <w:sz w:val="24"/>
          <w:szCs w:val="24"/>
        </w:rPr>
        <w:lastRenderedPageBreak/>
        <w:t>los artículos 2°, fracción II; 3°, fracción XI y 18 de la Ley de Transparencia y Acceso a la Información Pública del Estado de México y Municipios, los cuales disponen lo siguiente:</w:t>
      </w:r>
    </w:p>
    <w:p w:rsidR="006473D2" w:rsidRPr="00FA5387" w:rsidRDefault="006473D2" w:rsidP="00CF70E8">
      <w:pPr>
        <w:numPr>
          <w:ilvl w:val="0"/>
          <w:numId w:val="21"/>
        </w:numPr>
        <w:spacing w:line="360" w:lineRule="auto"/>
        <w:ind w:left="1134" w:right="1814"/>
        <w:contextualSpacing/>
        <w:jc w:val="both"/>
        <w:rPr>
          <w:rFonts w:ascii="Palatino Linotype" w:hAnsi="Palatino Linotype"/>
          <w:i/>
          <w:sz w:val="24"/>
          <w:szCs w:val="24"/>
        </w:rPr>
      </w:pPr>
      <w:r w:rsidRPr="00FA5387">
        <w:rPr>
          <w:rFonts w:ascii="Palatino Linotype" w:hAnsi="Palatino Linotype"/>
          <w:i/>
          <w:sz w:val="24"/>
          <w:szCs w:val="24"/>
        </w:rPr>
        <w:t>Que uno de los objetivos de la Ley es proveer lo necesario para garantizar a toda persona el derecho de acceso a la información pública, y</w:t>
      </w:r>
    </w:p>
    <w:p w:rsidR="006473D2" w:rsidRPr="00FA5387" w:rsidRDefault="006473D2" w:rsidP="00CF70E8">
      <w:pPr>
        <w:numPr>
          <w:ilvl w:val="0"/>
          <w:numId w:val="21"/>
        </w:numPr>
        <w:spacing w:line="360" w:lineRule="auto"/>
        <w:ind w:left="1134" w:right="1814"/>
        <w:contextualSpacing/>
        <w:jc w:val="both"/>
        <w:rPr>
          <w:rFonts w:ascii="Palatino Linotype" w:hAnsi="Palatino Linotype"/>
          <w:i/>
          <w:sz w:val="24"/>
          <w:szCs w:val="24"/>
        </w:rPr>
      </w:pPr>
      <w:r w:rsidRPr="00FA5387">
        <w:rPr>
          <w:rFonts w:ascii="Palatino Linotype" w:hAnsi="Palatino Linotype"/>
          <w:i/>
          <w:sz w:val="24"/>
          <w:szCs w:val="24"/>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de la manera, es una ley de acceso a documentos.</w:t>
      </w:r>
    </w:p>
    <w:p w:rsidR="006473D2" w:rsidRPr="00FA5387" w:rsidRDefault="006473D2" w:rsidP="00CF70E8">
      <w:pPr>
        <w:spacing w:line="360" w:lineRule="auto"/>
        <w:ind w:left="1134" w:right="1814"/>
        <w:contextualSpacing/>
        <w:rPr>
          <w:rFonts w:ascii="Palatino Linotype" w:hAnsi="Palatino Linotype"/>
          <w:i/>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En razón de lo anterior, es necesario señalar que del análisis de los requerimientos de información presentados ante el Ayuntamiento de Toluca se logra colegir que el Particular requiere un pronunciamiento específico, a una situación concreta y determinada, lo cual implicaría que el Sujeto Obligado elaborara una respuesta delimitada y </w:t>
      </w:r>
      <w:r w:rsidRPr="00FA5387">
        <w:rPr>
          <w:rFonts w:ascii="Palatino Linotype" w:hAnsi="Palatino Linotype"/>
          <w:b/>
          <w:i/>
          <w:sz w:val="24"/>
          <w:szCs w:val="24"/>
        </w:rPr>
        <w:t>ad hoc</w:t>
      </w:r>
      <w:r w:rsidRPr="00FA5387">
        <w:rPr>
          <w:rFonts w:ascii="Palatino Linotype" w:hAnsi="Palatino Linotype"/>
          <w:sz w:val="24"/>
          <w:szCs w:val="24"/>
        </w:rPr>
        <w:t xml:space="preserve">. </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Sobre el tema, cabe precisar que de conformidad con los artículos 6°, apartado A, de la Constitución Política de los Estados Unidos Mexicanos, 5° de la Constitución Política del </w:t>
      </w:r>
      <w:r w:rsidRPr="00FA5387">
        <w:rPr>
          <w:rFonts w:ascii="Palatino Linotype" w:hAnsi="Palatino Linotype"/>
          <w:sz w:val="24"/>
          <w:szCs w:val="24"/>
        </w:rPr>
        <w:lastRenderedPageBreak/>
        <w:t>Estado Libre y Soberano de México y 4° de la Ley de Transparencia y Acceso a la Información Pública del Estado de México y Municipios, toda la información generada, obtenida, adquirida, transformada por los sujetos obligados, o en su caso, la tengan en su posesión, será pública y accesible para cualquier persona. Así, se advierte que el derecho de acceso a la información, consiste en una prerrogativa de cualquier persona, a solicitar información pública que conste en documentos generados, obtenidos, adquiridos, transformados o que tengan en posesión los sujetos obligados.</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En ese orden de ideas, el artículo 3°, fracción XI, de la Ley Lo</w:t>
      </w:r>
      <w:r w:rsidR="00CF70E8" w:rsidRPr="00FA5387">
        <w:rPr>
          <w:rFonts w:ascii="Palatino Linotype" w:hAnsi="Palatino Linotype"/>
          <w:sz w:val="24"/>
          <w:szCs w:val="24"/>
        </w:rPr>
        <w:t>cal de Transparencia, establece</w:t>
      </w:r>
      <w:r w:rsidRPr="00FA5387">
        <w:rPr>
          <w:rFonts w:ascii="Palatino Linotype" w:hAnsi="Palatino Linotype"/>
          <w:sz w:val="24"/>
          <w:szCs w:val="24"/>
        </w:rPr>
        <w:t xml:space="preserve"> que los documentos son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En ese contexto, se puede afirmar que, mediante el derecho de acceso a la información pública, los solicitantes pueden acceder a toda aquella información generada por los Sujetos Obligados, es decir, la ciudadanía puede allegarse de aquellos documentos que obren en los archivos por las dependencias gubernamentales. Lo anterior, se robustece pues de conformidad con los 12, 24, último párrafo, y 160 de la Ley de Transparencia y Acceso a la Información Pública del Estado de México y Municipios, los Sujetos Obligados sólo </w:t>
      </w:r>
      <w:r w:rsidRPr="00FA5387">
        <w:rPr>
          <w:rFonts w:ascii="Palatino Linotype" w:hAnsi="Palatino Linotype"/>
          <w:sz w:val="24"/>
          <w:szCs w:val="24"/>
        </w:rPr>
        <w:lastRenderedPageBreak/>
        <w:t>entregarán la información que obre en sus archivos y no estarán obligados a procesarla, resumirla, efectuar cálculos o practicar investigaciones.</w:t>
      </w:r>
    </w:p>
    <w:p w:rsidR="006473D2" w:rsidRPr="00FA5387" w:rsidRDefault="006473D2" w:rsidP="006473D2">
      <w:pPr>
        <w:spacing w:line="360" w:lineRule="auto"/>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De tales circunstancias, se colige que los sujetos obligados únicamente están constreñidos a proporcionar la documentación que obre en sus archivos; por lo que, no están obligados a generar o elaborar documentos ad hoc, como es el caso de proporcionar respuesta a un cuestionamiento.</w:t>
      </w:r>
    </w:p>
    <w:p w:rsidR="006473D2" w:rsidRPr="00FA5387" w:rsidRDefault="006473D2" w:rsidP="006473D2">
      <w:pPr>
        <w:pStyle w:val="Prrafodelista"/>
        <w:rPr>
          <w:rFonts w:ascii="Palatino Linotype" w:eastAsia="Calibri" w:hAnsi="Palatino Linotype" w:cs="Tahoma"/>
          <w:bCs/>
          <w:sz w:val="24"/>
        </w:rPr>
      </w:pPr>
    </w:p>
    <w:p w:rsidR="006473D2"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eastAsia="Calibri" w:hAnsi="Palatino Linotype" w:cs="Tahoma"/>
          <w:bCs/>
          <w:sz w:val="24"/>
          <w:szCs w:val="24"/>
        </w:rPr>
        <w:t>Ahora bien, respecto de la información que se tiene a bien determinar procedente su entrega; no pasa desapercibido que los documentos contenidos en los expedientes pudieran tener datos</w:t>
      </w:r>
      <w:r w:rsidRPr="00FA5387">
        <w:rPr>
          <w:rFonts w:ascii="Palatino Linotype" w:hAnsi="Palatino Linotype"/>
          <w:sz w:val="24"/>
          <w:szCs w:val="24"/>
        </w:rPr>
        <w:t xml:space="preserve"> confidenciales como es el caso del nombre del solicitante o su pseudónimo, los datos de contacto y ubicación como domicilio, número de correo electrónico y de teléfono; así como datos personales de servidores públicos (CURP, RFC, número ISSEMYM, entre otros), de proveedores o contratistas (datos bancarios) o bien de particulares; por otra parte, pudieran contener información reservada, como el nombre de los policías municipales, o bien, datos de juicios o procedimientos en trámite, e información relacionada con seguridad pública, situación que se precisa de manera enunciativa, más no limitativa.</w:t>
      </w:r>
    </w:p>
    <w:p w:rsidR="00FA5387" w:rsidRPr="00FA5387" w:rsidRDefault="00FA5387" w:rsidP="00FA5387">
      <w:pPr>
        <w:spacing w:line="360" w:lineRule="auto"/>
        <w:contextualSpacing/>
        <w:jc w:val="both"/>
        <w:rPr>
          <w:rFonts w:ascii="Palatino Linotype" w:hAnsi="Palatino Linotype"/>
          <w:sz w:val="24"/>
          <w:szCs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 xml:space="preserve">Por lo que, en su caso, se deberán </w:t>
      </w:r>
      <w:r w:rsidRPr="00FA5387">
        <w:rPr>
          <w:rFonts w:ascii="Palatino Linotype" w:hAnsi="Palatino Linotype"/>
          <w:bCs/>
          <w:sz w:val="24"/>
          <w:szCs w:val="24"/>
        </w:rPr>
        <w:t xml:space="preserve">entregar los documentos, en versión pública, en donde se </w:t>
      </w:r>
      <w:r w:rsidRPr="00FA5387">
        <w:rPr>
          <w:rFonts w:ascii="Palatino Linotype" w:eastAsia="Calibri" w:hAnsi="Palatino Linotype" w:cs="Tahoma"/>
          <w:bCs/>
          <w:sz w:val="24"/>
          <w:szCs w:val="24"/>
        </w:rPr>
        <w:t>eliminen</w:t>
      </w:r>
      <w:r w:rsidRPr="00FA5387">
        <w:rPr>
          <w:rFonts w:ascii="Palatino Linotype" w:hAnsi="Palatino Linotype"/>
          <w:bCs/>
          <w:sz w:val="24"/>
          <w:szCs w:val="24"/>
        </w:rPr>
        <w:t xml:space="preserve"> estos; sobre dicha situación, el</w:t>
      </w:r>
      <w:r w:rsidRPr="00FA5387">
        <w:rPr>
          <w:rFonts w:ascii="Palatino Linotype" w:hAnsi="Palatino Linotype"/>
          <w:sz w:val="24"/>
          <w:szCs w:val="24"/>
        </w:rPr>
        <w:t xml:space="preserve"> artículo 3°, fracción XLV, relacionado con el 137, ambos de la Ley de Transparencia y Acceso a la Información Pública del Estado de México y Municipios, establece que cuando un documento contenga información pública y reservada o confidencial, la Unidad de Transparencia para efectos de atender al </w:t>
      </w:r>
      <w:r w:rsidRPr="00FA5387">
        <w:rPr>
          <w:rFonts w:ascii="Palatino Linotype" w:hAnsi="Palatino Linotype"/>
          <w:sz w:val="24"/>
          <w:szCs w:val="24"/>
        </w:rPr>
        <w:lastRenderedPageBreak/>
        <w:t>requerimiento informativo, deberá elaborar una versión Pública en la que se testen las partes o secciones clasificadas, indicando su contenido de manera genérica y fundando y motivando su clasificación.</w:t>
      </w:r>
    </w:p>
    <w:p w:rsidR="006473D2" w:rsidRPr="00FA5387" w:rsidRDefault="006473D2" w:rsidP="006473D2">
      <w:pPr>
        <w:spacing w:line="360" w:lineRule="auto"/>
        <w:contextualSpacing/>
        <w:rPr>
          <w:rFonts w:ascii="Palatino Linotype" w:hAnsi="Palatino Linotype"/>
          <w:sz w:val="24"/>
          <w:szCs w:val="24"/>
        </w:rPr>
      </w:pPr>
      <w:r w:rsidRPr="00FA5387">
        <w:rPr>
          <w:rFonts w:ascii="Palatino Linotype" w:hAnsi="Palatino Linotype"/>
          <w:sz w:val="24"/>
          <w:szCs w:val="24"/>
        </w:rPr>
        <w:t xml:space="preserve"> </w:t>
      </w: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rPr>
      </w:pPr>
      <w:r w:rsidRPr="00FA5387">
        <w:rPr>
          <w:rFonts w:ascii="Palatino Linotype" w:hAnsi="Palatino Linotype"/>
          <w:sz w:val="24"/>
          <w:szCs w:val="24"/>
        </w:rPr>
        <w:t>Además, el Sujeto Obligado deberá seguir el procedimiento establecido en el artículo 168 de dicho ordenamiento jurídico; esto es, que el área competente deberá elaborar la versión pública en los términos planteados en la presente Resolución, así como emitir el Acuerdo, por parte del Comité de Transparencia, donde confirme la clasificación de los datos previamente señalados, fundando y motivando la clasificación, en los términos que se precisan en el siguiente Considerando Quinto.</w:t>
      </w:r>
    </w:p>
    <w:p w:rsidR="006473D2" w:rsidRPr="00FA5387" w:rsidRDefault="006473D2" w:rsidP="006473D2">
      <w:pPr>
        <w:pStyle w:val="Prrafodelista"/>
        <w:rPr>
          <w:rFonts w:ascii="Palatino Linotype" w:hAnsi="Palatino Linotype"/>
          <w:sz w:val="24"/>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lang w:val="es-ES"/>
        </w:rPr>
      </w:pPr>
      <w:r w:rsidRPr="00FA5387">
        <w:rPr>
          <w:rFonts w:ascii="Palatino Linotype" w:hAnsi="Palatino Linotype"/>
          <w:sz w:val="24"/>
          <w:szCs w:val="24"/>
          <w:lang w:val="es-ES"/>
        </w:rPr>
        <w:t xml:space="preserve">Es así </w:t>
      </w:r>
      <w:r w:rsidRPr="00FA5387">
        <w:rPr>
          <w:rFonts w:ascii="Palatino Linotype" w:hAnsi="Palatino Linotype"/>
          <w:sz w:val="24"/>
          <w:szCs w:val="24"/>
        </w:rPr>
        <w:t>que</w:t>
      </w:r>
      <w:r w:rsidRPr="00FA5387">
        <w:rPr>
          <w:rFonts w:ascii="Palatino Linotype" w:hAnsi="Palatino Linotype"/>
          <w:sz w:val="24"/>
          <w:szCs w:val="24"/>
          <w:lang w:val="es-ES"/>
        </w:rPr>
        <w:t xml:space="preserve">, todos los actos de autoridad que realicen los Sujetos Obligados </w:t>
      </w:r>
      <w:r w:rsidRPr="00FA5387">
        <w:rPr>
          <w:rFonts w:ascii="Palatino Linotype" w:hAnsi="Palatino Linotype"/>
          <w:b/>
          <w:sz w:val="24"/>
          <w:szCs w:val="24"/>
          <w:lang w:val="es-ES"/>
        </w:rPr>
        <w:t>deben estar documentados</w:t>
      </w:r>
      <w:r w:rsidRPr="00FA5387">
        <w:rPr>
          <w:rFonts w:ascii="Palatino Linotype" w:hAnsi="Palatino Linotype"/>
          <w:sz w:val="24"/>
          <w:szCs w:val="24"/>
          <w:lang w:val="es-ES"/>
        </w:rPr>
        <w:t xml:space="preserve"> y, bajo el más alto estándar de transparencia deberán poner toda la información que se encuentre en su posesión, a disposición de los particulares que la soliciten.</w:t>
      </w:r>
    </w:p>
    <w:p w:rsidR="006473D2" w:rsidRPr="00FA5387" w:rsidRDefault="006473D2" w:rsidP="006473D2">
      <w:pPr>
        <w:pStyle w:val="Prrafodelista"/>
        <w:spacing w:line="360" w:lineRule="auto"/>
        <w:ind w:left="0"/>
        <w:jc w:val="both"/>
        <w:rPr>
          <w:rFonts w:ascii="Palatino Linotype" w:hAnsi="Palatino Linotype"/>
          <w:sz w:val="24"/>
          <w:lang w:val="es-ES"/>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cs="Arial"/>
          <w:sz w:val="24"/>
          <w:szCs w:val="24"/>
        </w:rPr>
      </w:pPr>
      <w:r w:rsidRPr="00FA5387">
        <w:rPr>
          <w:rFonts w:ascii="Palatino Linotype" w:hAnsi="Palatino Linotype" w:cs="Arial"/>
          <w:color w:val="000000"/>
          <w:sz w:val="24"/>
          <w:szCs w:val="24"/>
        </w:rPr>
        <w:t xml:space="preserve">Además, debemos tomar en cuenta los artículos 4 y 12 (antes transcrito), de la Ley de Transparencia y Acceso a la Información Pública del Estado de México y </w:t>
      </w:r>
      <w:r w:rsidRPr="00FA5387">
        <w:rPr>
          <w:rFonts w:ascii="Palatino Linotype" w:hAnsi="Palatino Linotype"/>
          <w:sz w:val="24"/>
          <w:szCs w:val="24"/>
          <w:lang w:val="es-ES"/>
        </w:rPr>
        <w:t>Municipios</w:t>
      </w:r>
      <w:r w:rsidRPr="00FA5387">
        <w:rPr>
          <w:rFonts w:ascii="Palatino Linotype" w:hAnsi="Palatino Linotype" w:cs="Arial"/>
          <w:color w:val="000000"/>
          <w:sz w:val="24"/>
          <w:szCs w:val="24"/>
        </w:rPr>
        <w:t>, los cuales establecen lo siguiente:</w:t>
      </w:r>
    </w:p>
    <w:p w:rsidR="006473D2" w:rsidRPr="00FA5387" w:rsidRDefault="006473D2" w:rsidP="00DF0AF9">
      <w:pPr>
        <w:autoSpaceDE w:val="0"/>
        <w:autoSpaceDN w:val="0"/>
        <w:adjustRightInd w:val="0"/>
        <w:spacing w:line="276" w:lineRule="auto"/>
        <w:ind w:left="1134" w:right="1814"/>
        <w:jc w:val="both"/>
        <w:rPr>
          <w:rFonts w:ascii="Palatino Linotype" w:hAnsi="Palatino Linotype" w:cs="Bookman Old Style"/>
          <w:i/>
          <w:sz w:val="24"/>
          <w:szCs w:val="24"/>
        </w:rPr>
      </w:pPr>
      <w:r w:rsidRPr="00FA5387">
        <w:rPr>
          <w:rFonts w:ascii="Palatino Linotype" w:hAnsi="Palatino Linotype" w:cs="Bookman Old Style,Bold"/>
          <w:b/>
          <w:bCs/>
          <w:i/>
          <w:sz w:val="24"/>
          <w:szCs w:val="24"/>
        </w:rPr>
        <w:t xml:space="preserve">Artículo 4. </w:t>
      </w:r>
      <w:r w:rsidRPr="00FA5387">
        <w:rPr>
          <w:rFonts w:ascii="Palatino Linotype" w:hAnsi="Palatino Linotype" w:cs="Bookman Old Style"/>
          <w:i/>
          <w:sz w:val="24"/>
          <w:szCs w:val="24"/>
        </w:rPr>
        <w:t>El derecho humano de acceso a la información pública es la prerrogativa de las personas para buscar, difundir, investigar, recabar, recibir y solicitar información pública, sin necesidad de acreditar personalidad ni interés jurídico.</w:t>
      </w:r>
    </w:p>
    <w:p w:rsidR="006473D2" w:rsidRPr="00FA5387" w:rsidRDefault="006473D2" w:rsidP="00DF0AF9">
      <w:pPr>
        <w:autoSpaceDE w:val="0"/>
        <w:autoSpaceDN w:val="0"/>
        <w:adjustRightInd w:val="0"/>
        <w:spacing w:line="276" w:lineRule="auto"/>
        <w:ind w:left="1134" w:right="1814"/>
        <w:jc w:val="both"/>
        <w:rPr>
          <w:rFonts w:ascii="Palatino Linotype" w:hAnsi="Palatino Linotype" w:cs="Bookman Old Style"/>
          <w:i/>
          <w:sz w:val="24"/>
          <w:szCs w:val="24"/>
        </w:rPr>
      </w:pPr>
      <w:r w:rsidRPr="00FA5387">
        <w:rPr>
          <w:rFonts w:ascii="Palatino Linotype" w:hAnsi="Palatino Linotype" w:cs="Bookman Old Style"/>
          <w:b/>
          <w:i/>
          <w:sz w:val="24"/>
          <w:szCs w:val="24"/>
        </w:rPr>
        <w:t>Toda la información</w:t>
      </w:r>
      <w:r w:rsidRPr="00FA5387">
        <w:rPr>
          <w:rFonts w:ascii="Palatino Linotype" w:hAnsi="Palatino Linotype" w:cs="Bookman Old Style"/>
          <w:i/>
          <w:sz w:val="24"/>
          <w:szCs w:val="24"/>
        </w:rPr>
        <w:t xml:space="preserve"> generada, obtenida, adquirida, transformada, administrada o </w:t>
      </w:r>
      <w:r w:rsidRPr="00FA5387">
        <w:rPr>
          <w:rFonts w:ascii="Palatino Linotype" w:hAnsi="Palatino Linotype" w:cs="Bookman Old Style"/>
          <w:b/>
          <w:i/>
          <w:sz w:val="24"/>
          <w:szCs w:val="24"/>
        </w:rPr>
        <w:t>en posesión de los sujetos obligados es pública</w:t>
      </w:r>
      <w:r w:rsidRPr="00FA5387">
        <w:rPr>
          <w:rFonts w:ascii="Palatino Linotype" w:hAnsi="Palatino Linotype" w:cs="Bookman Old Style"/>
          <w:i/>
          <w:sz w:val="24"/>
          <w:szCs w:val="24"/>
        </w:rPr>
        <w:t xml:space="preserve"> y </w:t>
      </w:r>
      <w:r w:rsidRPr="00FA5387">
        <w:rPr>
          <w:rFonts w:ascii="Palatino Linotype" w:hAnsi="Palatino Linotype" w:cs="Bookman Old Style"/>
          <w:i/>
          <w:sz w:val="24"/>
          <w:szCs w:val="24"/>
        </w:rPr>
        <w:lastRenderedPageBreak/>
        <w:t>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6473D2" w:rsidRPr="00FA5387" w:rsidRDefault="006473D2" w:rsidP="00DF0AF9">
      <w:pPr>
        <w:autoSpaceDE w:val="0"/>
        <w:autoSpaceDN w:val="0"/>
        <w:adjustRightInd w:val="0"/>
        <w:spacing w:line="276" w:lineRule="auto"/>
        <w:ind w:left="1134" w:right="1814"/>
        <w:jc w:val="both"/>
        <w:rPr>
          <w:rFonts w:ascii="Palatino Linotype" w:hAnsi="Palatino Linotype" w:cs="Bookman Old Style"/>
          <w:i/>
          <w:sz w:val="24"/>
          <w:szCs w:val="24"/>
        </w:rPr>
      </w:pPr>
      <w:r w:rsidRPr="00FA5387">
        <w:rPr>
          <w:rFonts w:ascii="Palatino Linotype" w:hAnsi="Palatino Linotype" w:cs="Bookman Old Style"/>
          <w:i/>
          <w:sz w:val="24"/>
          <w:szCs w:val="24"/>
        </w:rPr>
        <w:t>Los sujetos obligados deben poner en práctica, políticas y programas de acceso a la información que se apeguen a criterios de publicidad, veracidad, oportunidad, precisión y suficiencia en beneficio de los solicitantes.</w:t>
      </w:r>
    </w:p>
    <w:p w:rsidR="006473D2" w:rsidRPr="00FA5387" w:rsidRDefault="006473D2" w:rsidP="006473D2">
      <w:pPr>
        <w:pStyle w:val="Prrafodelista"/>
        <w:spacing w:line="360" w:lineRule="auto"/>
        <w:ind w:left="0" w:right="49"/>
        <w:jc w:val="both"/>
        <w:rPr>
          <w:rFonts w:ascii="Palatino Linotype" w:hAnsi="Palatino Linotype"/>
          <w:sz w:val="24"/>
          <w:lang w:val="es-ES"/>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lang w:val="es-ES"/>
        </w:rPr>
      </w:pPr>
      <w:r w:rsidRPr="00FA5387">
        <w:rPr>
          <w:rFonts w:ascii="Palatino Linotype" w:hAnsi="Palatino Linotype"/>
          <w:sz w:val="24"/>
          <w:szCs w:val="24"/>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FA5387">
        <w:rPr>
          <w:rStyle w:val="Refdenotaalpie"/>
          <w:rFonts w:ascii="Palatino Linotype" w:hAnsi="Palatino Linotype"/>
          <w:sz w:val="24"/>
          <w:szCs w:val="24"/>
          <w:lang w:val="es-ES"/>
        </w:rPr>
        <w:footnoteReference w:id="1"/>
      </w:r>
      <w:r w:rsidRPr="00FA5387">
        <w:rPr>
          <w:rFonts w:ascii="Palatino Linotype" w:hAnsi="Palatino Linotype"/>
          <w:sz w:val="24"/>
          <w:szCs w:val="24"/>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6473D2" w:rsidRPr="00FA5387" w:rsidRDefault="006473D2" w:rsidP="006473D2">
      <w:pPr>
        <w:spacing w:line="360" w:lineRule="auto"/>
        <w:contextualSpacing/>
        <w:jc w:val="both"/>
        <w:rPr>
          <w:rFonts w:ascii="Palatino Linotype" w:hAnsi="Palatino Linotype"/>
          <w:sz w:val="24"/>
          <w:szCs w:val="24"/>
          <w:lang w:val="es-ES"/>
        </w:rPr>
      </w:pPr>
    </w:p>
    <w:p w:rsidR="006473D2" w:rsidRPr="00FA5387" w:rsidRDefault="006473D2" w:rsidP="006473D2">
      <w:pPr>
        <w:numPr>
          <w:ilvl w:val="0"/>
          <w:numId w:val="9"/>
        </w:numPr>
        <w:spacing w:line="360" w:lineRule="auto"/>
        <w:ind w:left="0" w:firstLine="0"/>
        <w:contextualSpacing/>
        <w:jc w:val="both"/>
        <w:rPr>
          <w:rFonts w:ascii="Palatino Linotype" w:hAnsi="Palatino Linotype"/>
          <w:sz w:val="24"/>
          <w:szCs w:val="24"/>
          <w:lang w:val="es-ES"/>
        </w:rPr>
      </w:pPr>
      <w:r w:rsidRPr="00FA5387">
        <w:rPr>
          <w:rFonts w:ascii="Palatino Linotype" w:hAnsi="Palatino Linotype"/>
          <w:sz w:val="24"/>
          <w:szCs w:val="24"/>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6473D2" w:rsidRPr="00FA5387" w:rsidRDefault="006473D2" w:rsidP="00CF70E8">
      <w:pPr>
        <w:pStyle w:val="Prrafodelista"/>
        <w:tabs>
          <w:tab w:val="left" w:pos="851"/>
        </w:tabs>
        <w:spacing w:line="276" w:lineRule="auto"/>
        <w:ind w:left="1134" w:right="1814"/>
        <w:jc w:val="both"/>
        <w:rPr>
          <w:rFonts w:ascii="Palatino Linotype" w:hAnsi="Palatino Linotype"/>
          <w:i/>
          <w:sz w:val="24"/>
        </w:rPr>
      </w:pPr>
      <w:r w:rsidRPr="00FA5387">
        <w:rPr>
          <w:rFonts w:ascii="Palatino Linotype" w:hAnsi="Palatino Linotype"/>
          <w:b/>
          <w:i/>
          <w:sz w:val="24"/>
        </w:rPr>
        <w:lastRenderedPageBreak/>
        <w:t>“ACCESO A LA INFORMACIÓN. IMPLICACIÓN DEL PRINCIPIO DE MÁXIMA PUBLICIDAD EN EL DERECHO FUNDAMENTAL RELATIVO.</w:t>
      </w:r>
      <w:r w:rsidRPr="00FA5387">
        <w:rPr>
          <w:rFonts w:ascii="Palatino Linotype" w:hAnsi="Palatino Linotype"/>
          <w:i/>
          <w:sz w:val="24"/>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w:t>
      </w:r>
    </w:p>
    <w:p w:rsidR="006473D2" w:rsidRPr="00FA5387" w:rsidRDefault="006473D2" w:rsidP="006473D2">
      <w:pPr>
        <w:spacing w:line="360" w:lineRule="auto"/>
        <w:rPr>
          <w:rFonts w:ascii="Palatino Linotype" w:eastAsia="Palatino Linotype" w:hAnsi="Palatino Linotype" w:cs="Palatino Linotype"/>
          <w:sz w:val="24"/>
          <w:szCs w:val="24"/>
        </w:rPr>
      </w:pPr>
    </w:p>
    <w:p w:rsidR="00355BE2" w:rsidRPr="00FA5387" w:rsidRDefault="006473D2" w:rsidP="006473D2">
      <w:pPr>
        <w:numPr>
          <w:ilvl w:val="0"/>
          <w:numId w:val="9"/>
        </w:numPr>
        <w:spacing w:line="360" w:lineRule="auto"/>
        <w:ind w:left="0" w:firstLine="0"/>
        <w:contextualSpacing/>
        <w:jc w:val="both"/>
        <w:rPr>
          <w:rFonts w:ascii="Palatino Linotype" w:eastAsia="Calibri" w:hAnsi="Palatino Linotype" w:cs="Tahoma"/>
          <w:iCs/>
          <w:sz w:val="24"/>
          <w:szCs w:val="24"/>
          <w:lang w:val="es-ES" w:eastAsia="es-ES_tradnl"/>
        </w:rPr>
      </w:pPr>
      <w:r w:rsidRPr="00FA5387">
        <w:rPr>
          <w:rFonts w:ascii="Palatino Linotype" w:eastAsia="Calibri" w:hAnsi="Palatino Linotype" w:cs="Tahoma"/>
          <w:iCs/>
          <w:sz w:val="24"/>
          <w:szCs w:val="24"/>
          <w:lang w:val="es-ES" w:eastAsia="es-ES_tradnl"/>
        </w:rPr>
        <w:lastRenderedPageBreak/>
        <w:t xml:space="preserve">Por último, </w:t>
      </w:r>
      <w:r w:rsidRPr="00FA5387">
        <w:rPr>
          <w:rFonts w:ascii="Palatino Linotype" w:hAnsi="Palatino Linotype"/>
          <w:sz w:val="24"/>
          <w:szCs w:val="24"/>
          <w:lang w:val="es-ES"/>
        </w:rPr>
        <w:t>no</w:t>
      </w:r>
      <w:r w:rsidRPr="00FA5387">
        <w:rPr>
          <w:rFonts w:ascii="Palatino Linotype" w:eastAsia="Calibri" w:hAnsi="Palatino Linotype" w:cs="Tahoma"/>
          <w:iCs/>
          <w:sz w:val="24"/>
          <w:szCs w:val="24"/>
          <w:lang w:val="es-ES" w:eastAsia="es-ES_tradnl"/>
        </w:rPr>
        <w:t xml:space="preserve"> pasa desapercibido que en las razones o motivos de inconformidad que dieron origen a los recursos de revisión objeto de la acumulación de mérito, el ahora </w:t>
      </w:r>
      <w:r w:rsidRPr="00FA5387">
        <w:rPr>
          <w:rFonts w:ascii="Palatino Linotype" w:eastAsia="Calibri" w:hAnsi="Palatino Linotype" w:cs="Tahoma"/>
          <w:b/>
          <w:bCs/>
          <w:iCs/>
          <w:sz w:val="24"/>
          <w:szCs w:val="24"/>
          <w:lang w:val="es-ES" w:eastAsia="es-ES_tradnl"/>
        </w:rPr>
        <w:t>RECURRENTE</w:t>
      </w:r>
      <w:r w:rsidRPr="00FA5387">
        <w:rPr>
          <w:rFonts w:ascii="Palatino Linotype" w:eastAsia="Calibri" w:hAnsi="Palatino Linotype" w:cs="Tahoma"/>
          <w:iCs/>
          <w:sz w:val="24"/>
          <w:szCs w:val="24"/>
          <w:lang w:val="es-ES" w:eastAsia="es-ES_tradnl"/>
        </w:rPr>
        <w:t xml:space="preserve"> realizó las siguientes</w:t>
      </w:r>
      <w:r w:rsidRPr="00FA5387">
        <w:rPr>
          <w:rFonts w:ascii="Palatino Linotype" w:eastAsia="Palatino Linotype" w:hAnsi="Palatino Linotype" w:cs="Palatino Linotype"/>
          <w:color w:val="000000"/>
          <w:sz w:val="24"/>
          <w:szCs w:val="24"/>
        </w:rPr>
        <w:t>expresiones</w:t>
      </w:r>
      <w:r w:rsidRPr="00FA5387">
        <w:rPr>
          <w:rFonts w:ascii="Palatino Linotype" w:eastAsia="Calibri" w:hAnsi="Palatino Linotype" w:cs="Tahoma"/>
          <w:iCs/>
          <w:sz w:val="24"/>
          <w:szCs w:val="24"/>
          <w:lang w:val="es-ES" w:eastAsia="es-ES_tradnl"/>
        </w:rPr>
        <w:t xml:space="preserve">: </w:t>
      </w:r>
    </w:p>
    <w:p w:rsidR="00355BE2" w:rsidRPr="00FA5387" w:rsidRDefault="006473D2" w:rsidP="00355BE2">
      <w:pPr>
        <w:spacing w:line="360" w:lineRule="auto"/>
        <w:ind w:left="567" w:right="680"/>
        <w:contextualSpacing/>
        <w:jc w:val="both"/>
        <w:rPr>
          <w:rFonts w:ascii="Palatino Linotype" w:eastAsia="Calibri" w:hAnsi="Palatino Linotype" w:cs="Tahoma"/>
          <w:iCs/>
          <w:sz w:val="24"/>
          <w:szCs w:val="24"/>
          <w:lang w:val="es-ES" w:eastAsia="es-ES_tradnl"/>
        </w:rPr>
      </w:pPr>
      <w:r w:rsidRPr="00FA5387">
        <w:rPr>
          <w:rFonts w:ascii="Palatino Linotype" w:eastAsia="Calibri" w:hAnsi="Palatino Linotype" w:cs="Tahoma"/>
          <w:i/>
          <w:sz w:val="24"/>
          <w:szCs w:val="24"/>
          <w:lang w:val="es-ES" w:eastAsia="es-ES_tradnl"/>
        </w:rPr>
        <w:t>"...además de opacos se quiere hacer los chistosos...";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FA5387">
        <w:rPr>
          <w:rFonts w:ascii="Palatino Linotype" w:eastAsia="Calibri" w:hAnsi="Palatino Linotype" w:cs="Tahoma"/>
          <w:iCs/>
          <w:sz w:val="24"/>
          <w:szCs w:val="24"/>
          <w:lang w:val="es-ES" w:eastAsia="es-ES_tradnl"/>
        </w:rPr>
        <w:t xml:space="preserve">; </w:t>
      </w:r>
    </w:p>
    <w:p w:rsidR="006473D2" w:rsidRPr="00FA5387" w:rsidRDefault="00355BE2" w:rsidP="00355BE2">
      <w:pPr>
        <w:spacing w:line="360" w:lineRule="auto"/>
        <w:contextualSpacing/>
        <w:jc w:val="both"/>
        <w:rPr>
          <w:rFonts w:ascii="Palatino Linotype" w:eastAsia="Calibri" w:hAnsi="Palatino Linotype" w:cs="Tahoma"/>
          <w:iCs/>
          <w:sz w:val="24"/>
          <w:szCs w:val="24"/>
          <w:lang w:val="es-ES" w:eastAsia="es-ES_tradnl"/>
        </w:rPr>
      </w:pPr>
      <w:r w:rsidRPr="00FA5387">
        <w:rPr>
          <w:rFonts w:ascii="Palatino Linotype" w:eastAsia="Calibri" w:hAnsi="Palatino Linotype" w:cs="Tahoma"/>
          <w:iCs/>
          <w:sz w:val="24"/>
          <w:szCs w:val="24"/>
          <w:lang w:val="es-ES" w:eastAsia="es-ES_tradnl"/>
        </w:rPr>
        <w:t>Es así que tales expresiones</w:t>
      </w:r>
      <w:r w:rsidR="006473D2" w:rsidRPr="00FA5387">
        <w:rPr>
          <w:rFonts w:ascii="Palatino Linotype" w:eastAsia="Calibri" w:hAnsi="Palatino Linotype" w:cs="Tahoma"/>
          <w:iCs/>
          <w:sz w:val="24"/>
          <w:szCs w:val="24"/>
          <w:lang w:val="es-ES" w:eastAsia="es-ES_tradnl"/>
        </w:rPr>
        <w:t xml:space="preserve"> corresponden a afirmaciones subjetivas carentes de sustento, al no presentar, ni aportar elementos </w:t>
      </w:r>
      <w:r w:rsidR="00DF0AF9" w:rsidRPr="00FA5387">
        <w:rPr>
          <w:rFonts w:ascii="Palatino Linotype" w:eastAsia="Calibri" w:hAnsi="Palatino Linotype" w:cs="Tahoma"/>
          <w:iCs/>
          <w:sz w:val="24"/>
          <w:szCs w:val="24"/>
          <w:lang w:val="es-ES" w:eastAsia="es-ES_tradnl"/>
        </w:rPr>
        <w:t>sustenten</w:t>
      </w:r>
      <w:r w:rsidR="006473D2" w:rsidRPr="00FA5387">
        <w:rPr>
          <w:rFonts w:ascii="Palatino Linotype" w:eastAsia="Calibri" w:hAnsi="Palatino Linotype" w:cs="Tahoma"/>
          <w:iCs/>
          <w:sz w:val="24"/>
          <w:szCs w:val="24"/>
          <w:lang w:val="es-ES" w:eastAsia="es-ES_tradnl"/>
        </w:rPr>
        <w:t xml:space="preserve"> la localización de la información requerida, pues como se observa corresponden a pronunciamientos qu</w:t>
      </w:r>
      <w:r w:rsidRPr="00FA5387">
        <w:rPr>
          <w:rFonts w:ascii="Palatino Linotype" w:eastAsia="Calibri" w:hAnsi="Palatino Linotype" w:cs="Tahoma"/>
          <w:iCs/>
          <w:sz w:val="24"/>
          <w:szCs w:val="24"/>
          <w:lang w:val="es-ES" w:eastAsia="es-ES_tradnl"/>
        </w:rPr>
        <w:t>e no son inherentes</w:t>
      </w:r>
      <w:r w:rsidR="006473D2" w:rsidRPr="00FA5387">
        <w:rPr>
          <w:rFonts w:ascii="Palatino Linotype" w:eastAsia="Calibri" w:hAnsi="Palatino Linotype" w:cs="Tahoma"/>
          <w:iCs/>
          <w:sz w:val="24"/>
          <w:szCs w:val="24"/>
          <w:lang w:val="es-ES" w:eastAsia="es-ES_tradnl"/>
        </w:rPr>
        <w:t xml:space="preserve"> a una solicitud de acceso y por lo tanto, </w:t>
      </w:r>
      <w:r w:rsidRPr="00FA5387">
        <w:rPr>
          <w:rFonts w:ascii="Palatino Linotype" w:eastAsia="Calibri" w:hAnsi="Palatino Linotype" w:cs="Tahoma"/>
          <w:iCs/>
          <w:sz w:val="24"/>
          <w:szCs w:val="24"/>
          <w:lang w:val="es-ES" w:eastAsia="es-ES_tradnl"/>
        </w:rPr>
        <w:t>tales</w:t>
      </w:r>
      <w:r w:rsidR="006473D2" w:rsidRPr="00FA5387">
        <w:rPr>
          <w:rFonts w:ascii="Palatino Linotype" w:eastAsia="Calibri" w:hAnsi="Palatino Linotype" w:cs="Tahoma"/>
          <w:iCs/>
          <w:sz w:val="24"/>
          <w:szCs w:val="24"/>
          <w:lang w:val="es-ES" w:eastAsia="es-ES_tradnl"/>
        </w:rPr>
        <w:t xml:space="preserve"> devienen de IMPROCEDENTES; por lo que deben desestimarse. No obstante, se dejan a salvo los derechos del particular, para interponer las quejas o denuncias que a sus intereses convenga ante las autoridades competentes, respecto de los hechos que presume constitutivos de probables faltas administrativas.</w:t>
      </w:r>
    </w:p>
    <w:p w:rsidR="006473D2" w:rsidRPr="00FA5387" w:rsidRDefault="006473D2" w:rsidP="00CF70E8">
      <w:pPr>
        <w:spacing w:line="360" w:lineRule="auto"/>
        <w:contextualSpacing/>
        <w:jc w:val="both"/>
        <w:rPr>
          <w:rFonts w:ascii="Palatino Linotype" w:hAnsi="Palatino Linotype"/>
          <w:sz w:val="24"/>
          <w:szCs w:val="24"/>
        </w:rPr>
      </w:pPr>
    </w:p>
    <w:p w:rsidR="00660322" w:rsidRPr="00FA5387" w:rsidRDefault="00660322" w:rsidP="00660322">
      <w:pPr>
        <w:keepNext/>
        <w:keepLines/>
        <w:spacing w:line="360" w:lineRule="auto"/>
        <w:rPr>
          <w:rFonts w:ascii="Palatino Linotype" w:eastAsia="Palatino Linotype" w:hAnsi="Palatino Linotype" w:cs="Palatino Linotype"/>
          <w:b/>
          <w:color w:val="000000"/>
          <w:sz w:val="24"/>
          <w:szCs w:val="24"/>
        </w:rPr>
      </w:pPr>
      <w:r w:rsidRPr="00FA5387">
        <w:rPr>
          <w:rFonts w:ascii="Palatino Linotype" w:eastAsia="Palatino Linotype" w:hAnsi="Palatino Linotype" w:cs="Palatino Linotype"/>
          <w:b/>
          <w:color w:val="000000"/>
          <w:sz w:val="24"/>
          <w:szCs w:val="24"/>
        </w:rPr>
        <w:t>QUINTO. De la versión pública.</w:t>
      </w:r>
    </w:p>
    <w:p w:rsidR="00F8202D" w:rsidRPr="00FA5387" w:rsidRDefault="00F8202D" w:rsidP="00F8202D">
      <w:pPr>
        <w:pStyle w:val="Prrafodelista"/>
        <w:numPr>
          <w:ilvl w:val="0"/>
          <w:numId w:val="9"/>
        </w:numPr>
        <w:spacing w:line="360" w:lineRule="auto"/>
        <w:ind w:left="0" w:firstLine="0"/>
        <w:jc w:val="both"/>
        <w:rPr>
          <w:rFonts w:ascii="Palatino Linotype" w:eastAsia="Palatino Linotype" w:hAnsi="Palatino Linotype" w:cs="Palatino Linotype"/>
          <w:sz w:val="24"/>
        </w:rPr>
      </w:pPr>
      <w:bookmarkStart w:id="86" w:name="_heading=h.8porszv8ww1h" w:colFirst="0" w:colLast="0"/>
      <w:bookmarkEnd w:id="86"/>
      <w:r w:rsidRPr="00FA5387">
        <w:rPr>
          <w:rFonts w:ascii="Palatino Linotype" w:eastAsia="Palatino Linotype" w:hAnsi="Palatino Linotype" w:cs="Palatino Linotype"/>
          <w:color w:val="000000"/>
          <w:sz w:val="24"/>
        </w:rPr>
        <w:t xml:space="preserve">Como se tuvo a bien señalar, </w:t>
      </w:r>
      <w:r w:rsidRPr="00FA5387">
        <w:rPr>
          <w:rFonts w:ascii="Palatino Linotype" w:eastAsia="Palatino Linotype" w:hAnsi="Palatino Linotype" w:cs="Palatino Linotype"/>
          <w:sz w:val="24"/>
        </w:rPr>
        <w:t>lo ordenado eventualmente pudiera contener datos personales, por lo que, de ser el caso, sujeto obligado, para dar cumplimiento a la presente Resolución, deberá proceder a la elaboración de la versión pública de tales documentos a fin de satisfacer el derecho de acceso a la información pública del recurrente sin menoscabo al derecho a la protección de los datos personales de terceros.</w:t>
      </w:r>
    </w:p>
    <w:p w:rsidR="00F8202D" w:rsidRPr="00FA5387" w:rsidRDefault="00F8202D" w:rsidP="00F8202D">
      <w:pPr>
        <w:pStyle w:val="Prrafodelista"/>
        <w:spacing w:line="360" w:lineRule="auto"/>
        <w:ind w:left="0"/>
        <w:jc w:val="both"/>
        <w:rPr>
          <w:rFonts w:ascii="Palatino Linotype" w:eastAsia="Palatino Linotype" w:hAnsi="Palatino Linotype" w:cs="Palatino Linotype"/>
          <w:sz w:val="24"/>
        </w:rPr>
      </w:pPr>
    </w:p>
    <w:p w:rsidR="00F8202D" w:rsidRPr="00FA5387" w:rsidRDefault="00F8202D" w:rsidP="00F8202D">
      <w:pPr>
        <w:pStyle w:val="Prrafodelista"/>
        <w:numPr>
          <w:ilvl w:val="0"/>
          <w:numId w:val="9"/>
        </w:numPr>
        <w:spacing w:line="360" w:lineRule="auto"/>
        <w:ind w:left="0" w:firstLine="0"/>
        <w:jc w:val="both"/>
        <w:rPr>
          <w:rFonts w:ascii="Palatino Linotype" w:eastAsia="Palatino Linotype" w:hAnsi="Palatino Linotype" w:cs="Palatino Linotype"/>
          <w:sz w:val="24"/>
        </w:rPr>
      </w:pPr>
      <w:r w:rsidRPr="00FA5387">
        <w:rPr>
          <w:rFonts w:ascii="Palatino Linotype" w:eastAsia="Palatino Linotype" w:hAnsi="Palatino Linotype" w:cs="Palatino Linotype"/>
          <w:sz w:val="24"/>
        </w:rPr>
        <w:lastRenderedPageBreak/>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r w:rsidRPr="00FA5387">
        <w:rPr>
          <w:rFonts w:ascii="Palatino Linotype" w:eastAsia="Palatino Linotype" w:hAnsi="Palatino Linotype" w:cs="Palatino Linotype"/>
          <w:b/>
          <w:i/>
          <w:sz w:val="24"/>
          <w:szCs w:val="24"/>
        </w:rPr>
        <w:t>Artículo 3</w:t>
      </w:r>
      <w:r w:rsidRPr="00FA5387">
        <w:rPr>
          <w:rFonts w:ascii="Palatino Linotype" w:eastAsia="Palatino Linotype" w:hAnsi="Palatino Linotype" w:cs="Palatino Linotype"/>
          <w:i/>
          <w:sz w:val="24"/>
          <w:szCs w:val="24"/>
        </w:rPr>
        <w:t>. Para los efectos de la presente Ley se entenderá por:</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IX. Datos personales</w:t>
      </w:r>
      <w:r w:rsidRPr="00FA5387">
        <w:rPr>
          <w:rFonts w:ascii="Palatino Linotype" w:eastAsia="Palatino Linotype" w:hAnsi="Palatino Linotype" w:cs="Palatino Linotype"/>
          <w:i/>
          <w:sz w:val="24"/>
          <w:szCs w:val="24"/>
        </w:rPr>
        <w:t xml:space="preserve">: La información concerniente a una persona, identificada o identificable según lo dispuesto por la Ley de Protección de Datos Personales del Estado de México; </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XX. Información clasificada</w:t>
      </w:r>
      <w:r w:rsidRPr="00FA5387">
        <w:rPr>
          <w:rFonts w:ascii="Palatino Linotype" w:eastAsia="Palatino Linotype" w:hAnsi="Palatino Linotype" w:cs="Palatino Linotype"/>
          <w:i/>
          <w:sz w:val="24"/>
          <w:szCs w:val="24"/>
        </w:rPr>
        <w:t>: Aquella considerada por la presente Ley como reservada o confidencial;</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 xml:space="preserve">XXI. Información confidencial: </w:t>
      </w:r>
      <w:r w:rsidRPr="00FA5387">
        <w:rPr>
          <w:rFonts w:ascii="Palatino Linotype" w:eastAsia="Palatino Linotype" w:hAnsi="Palatino Linotype" w:cs="Palatino Linotype"/>
          <w:i/>
          <w:sz w:val="24"/>
          <w:szCs w:val="24"/>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XLV. Versión pública:</w:t>
      </w:r>
      <w:r w:rsidRPr="00FA5387">
        <w:rPr>
          <w:rFonts w:ascii="Palatino Linotype" w:eastAsia="Palatino Linotype" w:hAnsi="Palatino Linotype" w:cs="Palatino Linotype"/>
          <w:i/>
          <w:sz w:val="24"/>
          <w:szCs w:val="24"/>
        </w:rPr>
        <w:t xml:space="preserve"> Documento en el que se elimine, suprime o borra la información clasificada como reservada o confidencial para permitir su acceso.</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Artículo 91.</w:t>
      </w:r>
      <w:r w:rsidRPr="00FA5387">
        <w:rPr>
          <w:rFonts w:ascii="Palatino Linotype" w:eastAsia="Palatino Linotype" w:hAnsi="Palatino Linotype" w:cs="Palatino Linotype"/>
          <w:i/>
          <w:sz w:val="24"/>
          <w:szCs w:val="24"/>
        </w:rPr>
        <w:t xml:space="preserve"> El acceso a la información pública será restringido excepcionalmente, cuando ésta sea clasificada como reservada o confidencial.</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Artículo 132.</w:t>
      </w:r>
      <w:r w:rsidRPr="00FA5387">
        <w:rPr>
          <w:rFonts w:ascii="Palatino Linotype" w:eastAsia="Palatino Linotype" w:hAnsi="Palatino Linotype" w:cs="Palatino Linotype"/>
          <w:i/>
          <w:sz w:val="24"/>
          <w:szCs w:val="24"/>
        </w:rPr>
        <w:t xml:space="preserve"> La clasificación de la información se llevará a cabo en el momento en que:</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w:t>
      </w:r>
      <w:r w:rsidRPr="00FA5387">
        <w:rPr>
          <w:rFonts w:ascii="Palatino Linotype" w:eastAsia="Palatino Linotype" w:hAnsi="Palatino Linotype" w:cs="Palatino Linotype"/>
          <w:i/>
          <w:sz w:val="24"/>
          <w:szCs w:val="24"/>
        </w:rPr>
        <w:t>. Se reciba una solicitud de acceso a la información;</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II.</w:t>
      </w:r>
      <w:r w:rsidRPr="00FA5387">
        <w:rPr>
          <w:rFonts w:ascii="Palatino Linotype" w:eastAsia="Palatino Linotype" w:hAnsi="Palatino Linotype" w:cs="Palatino Linotype"/>
          <w:i/>
          <w:sz w:val="24"/>
          <w:szCs w:val="24"/>
        </w:rPr>
        <w:t xml:space="preserve"> Se determine mediante resolución de autoridad competente; o</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lastRenderedPageBreak/>
        <w:t>III.</w:t>
      </w:r>
      <w:r w:rsidRPr="00FA5387">
        <w:rPr>
          <w:rFonts w:ascii="Palatino Linotype" w:eastAsia="Palatino Linotype" w:hAnsi="Palatino Linotype" w:cs="Palatino Linotype"/>
          <w:i/>
          <w:sz w:val="24"/>
          <w:szCs w:val="24"/>
        </w:rPr>
        <w:t xml:space="preserve"> Se generen versiones públicas para dar cumplimiento a las obligaciones de transparencia previstas en esta Ley.</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Artículo 143</w:t>
      </w:r>
      <w:r w:rsidRPr="00FA5387">
        <w:rPr>
          <w:rFonts w:ascii="Palatino Linotype" w:eastAsia="Palatino Linotype" w:hAnsi="Palatino Linotype" w:cs="Palatino Linotype"/>
          <w:i/>
          <w:sz w:val="24"/>
          <w:szCs w:val="24"/>
        </w:rPr>
        <w:t>. Para los efectos de esta Ley se considera información confidencial, la clasificada como tal, de manera permanente, por su naturaleza, cuando:</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w:t>
      </w:r>
      <w:r w:rsidRPr="00FA5387">
        <w:rPr>
          <w:rFonts w:ascii="Palatino Linotype" w:eastAsia="Palatino Linotype" w:hAnsi="Palatino Linotype" w:cs="Palatino Linotype"/>
          <w:i/>
          <w:sz w:val="24"/>
          <w:szCs w:val="24"/>
        </w:rPr>
        <w:t xml:space="preserve"> Se refiera a la información privada y los datos personales concernientes a una persona física o jurídico colectiva identificada o identificable;</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II.</w:t>
      </w:r>
      <w:r w:rsidRPr="00FA5387">
        <w:rPr>
          <w:rFonts w:ascii="Palatino Linotype" w:eastAsia="Palatino Linotype" w:hAnsi="Palatino Linotype" w:cs="Palatino Linotype"/>
          <w:i/>
          <w:sz w:val="24"/>
          <w:szCs w:val="24"/>
        </w:rPr>
        <w:t xml:space="preserve"> Los secretos bancario, fiduciario, industrial, comercial, fiscal, bursátil y postal, cuya titularidad corresponda a particulares, sujetos de derecho internacional o a sujetos obligados cuando no involucren el ejercicio de recursos públicos; y</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III.</w:t>
      </w:r>
      <w:r w:rsidRPr="00FA5387">
        <w:rPr>
          <w:rFonts w:ascii="Palatino Linotype" w:eastAsia="Palatino Linotype" w:hAnsi="Palatino Linotype" w:cs="Palatino Linotype"/>
          <w:i/>
          <w:sz w:val="24"/>
          <w:szCs w:val="24"/>
        </w:rPr>
        <w:t xml:space="preserve"> La que presenten los particulares a los sujetos obligados, de conformidad con lo dispuesto por las leyes o los tratados internacionales.</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La información confidencial no estará sujeta a temporalidad alguna y sólo podrán tener acceso a ella los titulares de la misma, sus representantes y los servidores públicos facultados para ello.</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No se considerará confidencial la información que se encuentre en los registros públicos o en fuentes de acceso público, ni tampoco la que sea considerada por la presente ley como información pública.”</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p>
    <w:p w:rsidR="00F8202D" w:rsidRPr="00FA5387" w:rsidRDefault="00F8202D" w:rsidP="00F8202D">
      <w:pPr>
        <w:pStyle w:val="Prrafodelista"/>
        <w:numPr>
          <w:ilvl w:val="0"/>
          <w:numId w:val="9"/>
        </w:numPr>
        <w:spacing w:line="360" w:lineRule="auto"/>
        <w:ind w:left="0" w:firstLine="0"/>
        <w:jc w:val="both"/>
        <w:rPr>
          <w:rFonts w:ascii="Palatino Linotype" w:eastAsia="Palatino Linotype" w:hAnsi="Palatino Linotype" w:cs="Palatino Linotype"/>
          <w:sz w:val="24"/>
        </w:rPr>
      </w:pPr>
      <w:r w:rsidRPr="00FA5387">
        <w:rPr>
          <w:rFonts w:ascii="Palatino Linotype" w:eastAsia="Palatino Linotype" w:hAnsi="Palatino Linotype" w:cs="Palatino Linotype"/>
          <w:sz w:val="24"/>
        </w:rPr>
        <w:t xml:space="preserve">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w:t>
      </w:r>
      <w:r w:rsidRPr="00FA5387">
        <w:rPr>
          <w:rFonts w:ascii="Palatino Linotype" w:eastAsia="Palatino Linotype" w:hAnsi="Palatino Linotype" w:cs="Palatino Linotype"/>
          <w:sz w:val="24"/>
        </w:rPr>
        <w:lastRenderedPageBreak/>
        <w:t>los sujetos obligados clasificarán como reservada o confidencial la información que posean, desclasificarán y generarán, en su caso, versiones públicas de expedientes o documentos que contengan partes o secciones clasificadas.</w:t>
      </w:r>
    </w:p>
    <w:p w:rsidR="00F8202D" w:rsidRPr="00FA5387" w:rsidRDefault="00F8202D" w:rsidP="00F8202D">
      <w:pPr>
        <w:pStyle w:val="Prrafodelista"/>
        <w:spacing w:line="360" w:lineRule="auto"/>
        <w:ind w:left="0"/>
        <w:jc w:val="both"/>
        <w:rPr>
          <w:rFonts w:ascii="Palatino Linotype" w:eastAsia="Palatino Linotype" w:hAnsi="Palatino Linotype" w:cs="Palatino Linotype"/>
          <w:sz w:val="24"/>
        </w:rPr>
      </w:pPr>
    </w:p>
    <w:p w:rsidR="00F8202D" w:rsidRPr="00FA5387" w:rsidRDefault="00F8202D" w:rsidP="00F8202D">
      <w:pPr>
        <w:pStyle w:val="Prrafodelista"/>
        <w:numPr>
          <w:ilvl w:val="0"/>
          <w:numId w:val="9"/>
        </w:numPr>
        <w:spacing w:line="360" w:lineRule="auto"/>
        <w:ind w:left="0" w:firstLine="0"/>
        <w:jc w:val="both"/>
        <w:rPr>
          <w:rFonts w:ascii="Palatino Linotype" w:eastAsia="Palatino Linotype" w:hAnsi="Palatino Linotype" w:cs="Palatino Linotype"/>
          <w:sz w:val="24"/>
        </w:rPr>
      </w:pPr>
      <w:r w:rsidRPr="00FA5387">
        <w:rPr>
          <w:rFonts w:ascii="Palatino Linotype" w:eastAsia="Palatino Linotype" w:hAnsi="Palatino Linotype" w:cs="Palatino Linotype"/>
          <w:sz w:val="24"/>
        </w:rPr>
        <w:t>En</w:t>
      </w:r>
      <w:r w:rsidR="00355BE2" w:rsidRPr="00FA5387">
        <w:rPr>
          <w:rFonts w:ascii="Palatino Linotype" w:eastAsia="Palatino Linotype" w:hAnsi="Palatino Linotype" w:cs="Palatino Linotype"/>
          <w:sz w:val="24"/>
        </w:rPr>
        <w:t xml:space="preserve"> </w:t>
      </w:r>
      <w:r w:rsidRPr="00FA5387">
        <w:rPr>
          <w:rFonts w:ascii="Palatino Linotype" w:eastAsia="Palatino Linotype" w:hAnsi="Palatino Linotype" w:cs="Palatino Linotype"/>
          <w:sz w:val="24"/>
        </w:rPr>
        <w:t>torno a lo que aquí nos interesa, los Lineamientos Quincuagésimo sexto, Quincuagésimo séptimo y Quincuagésimo octavo, establecen:</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“Quincuagésimo sexto</w:t>
      </w:r>
      <w:r w:rsidRPr="00FA5387">
        <w:rPr>
          <w:rFonts w:ascii="Palatino Linotype" w:eastAsia="Palatino Linotype" w:hAnsi="Palatino Linotype" w:cs="Palatino Linotype"/>
          <w:i/>
          <w:sz w:val="24"/>
          <w:szCs w:val="24"/>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Quincuagésimo séptimo</w:t>
      </w:r>
      <w:r w:rsidRPr="00FA5387">
        <w:rPr>
          <w:rFonts w:ascii="Palatino Linotype" w:eastAsia="Palatino Linotype" w:hAnsi="Palatino Linotype" w:cs="Palatino Linotype"/>
          <w:i/>
          <w:sz w:val="24"/>
          <w:szCs w:val="24"/>
        </w:rPr>
        <w:t xml:space="preserve">. Se considera, en principio, como información pública y no podrá omitirse de las versiones públicas la siguiente: </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w:t>
      </w:r>
      <w:r w:rsidRPr="00FA5387">
        <w:rPr>
          <w:rFonts w:ascii="Palatino Linotype" w:eastAsia="Palatino Linotype" w:hAnsi="Palatino Linotype" w:cs="Palatino Linotype"/>
          <w:i/>
          <w:sz w:val="24"/>
          <w:szCs w:val="24"/>
        </w:rPr>
        <w:t xml:space="preserve"> La relativa a las Obligaciones de Transparencia que contempla el Título V de la Ley General y las demás disposiciones legales aplicables; </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II.</w:t>
      </w:r>
      <w:r w:rsidRPr="00FA5387">
        <w:rPr>
          <w:rFonts w:ascii="Palatino Linotype" w:eastAsia="Palatino Linotype" w:hAnsi="Palatino Linotype" w:cs="Palatino Linotype"/>
          <w:i/>
          <w:sz w:val="24"/>
          <w:szCs w:val="24"/>
        </w:rPr>
        <w:t xml:space="preserve"> El nombre de los servidores públicos en los documentos, y sus firmas autógrafas, cuando sean utilizados en el ejercicio de las facultades conferidas para el desempeño del servicio público, y </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t>III.</w:t>
      </w:r>
      <w:r w:rsidRPr="00FA5387">
        <w:rPr>
          <w:rFonts w:ascii="Palatino Linotype" w:eastAsia="Palatino Linotype" w:hAnsi="Palatino Linotype" w:cs="Palatino Linotype"/>
          <w:i/>
          <w:sz w:val="24"/>
          <w:szCs w:val="24"/>
        </w:rPr>
        <w:t xml:space="preserve"> La información que documente decisiones y los actos de autoridad concluidos de los sujetos obligados, así como el ejercicio de las facultades o actividades de los servidores públicos, de manera que se pueda valorar el desempeño de los mismos.</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 xml:space="preserve">Lo anterior, siempre y cuando no se acredite alguna causal de clasificación, prevista en las leyes o en los tratados internaciones suscritos por el Estado mexicano. </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b/>
          <w:i/>
          <w:sz w:val="24"/>
          <w:szCs w:val="24"/>
        </w:rPr>
        <w:lastRenderedPageBreak/>
        <w:t>Quincuagésimo octavo</w:t>
      </w:r>
      <w:r w:rsidRPr="00FA5387">
        <w:rPr>
          <w:rFonts w:ascii="Palatino Linotype" w:eastAsia="Palatino Linotype" w:hAnsi="Palatino Linotype" w:cs="Palatino Linotype"/>
          <w:i/>
          <w:sz w:val="24"/>
          <w:szCs w:val="24"/>
        </w:rPr>
        <w:t>. Los sujetos obligados garantizarán que los sistemas o medios empleados para eliminar la información en las versiones públicas no permitan la recuperación o visualización de la misma.”</w:t>
      </w:r>
    </w:p>
    <w:p w:rsidR="00F8202D" w:rsidRPr="00FA5387" w:rsidRDefault="00F8202D" w:rsidP="00F8202D">
      <w:pPr>
        <w:tabs>
          <w:tab w:val="left" w:pos="7938"/>
        </w:tabs>
        <w:spacing w:line="276" w:lineRule="auto"/>
        <w:ind w:left="1134" w:right="1814"/>
        <w:jc w:val="both"/>
        <w:rPr>
          <w:rFonts w:ascii="Palatino Linotype" w:eastAsia="Palatino Linotype" w:hAnsi="Palatino Linotype" w:cs="Palatino Linotype"/>
          <w:i/>
          <w:sz w:val="24"/>
          <w:szCs w:val="24"/>
        </w:rPr>
      </w:pPr>
    </w:p>
    <w:p w:rsidR="00F8202D" w:rsidRPr="00FA5387" w:rsidRDefault="00F8202D" w:rsidP="00F8202D">
      <w:pPr>
        <w:pStyle w:val="Prrafodelista"/>
        <w:numPr>
          <w:ilvl w:val="0"/>
          <w:numId w:val="9"/>
        </w:numPr>
        <w:spacing w:line="360" w:lineRule="auto"/>
        <w:ind w:left="0" w:firstLine="0"/>
        <w:jc w:val="both"/>
        <w:rPr>
          <w:rFonts w:ascii="Palatino Linotype" w:eastAsia="Palatino Linotype" w:hAnsi="Palatino Linotype" w:cs="Palatino Linotype"/>
          <w:color w:val="000000"/>
          <w:sz w:val="24"/>
        </w:rPr>
      </w:pPr>
      <w:r w:rsidRPr="00FA5387">
        <w:rPr>
          <w:rFonts w:ascii="Palatino Linotype" w:eastAsia="Palatino Linotype" w:hAnsi="Palatino Linotype" w:cs="Palatino Linotype"/>
          <w:color w:val="000000"/>
          <w:sz w:val="24"/>
        </w:rPr>
        <w:t xml:space="preserve">Luego entonces, el </w:t>
      </w:r>
      <w:r w:rsidRPr="00FA5387">
        <w:rPr>
          <w:rFonts w:ascii="Palatino Linotype" w:eastAsia="Palatino Linotype" w:hAnsi="Palatino Linotype" w:cs="Palatino Linotype"/>
          <w:b/>
          <w:color w:val="000000"/>
          <w:sz w:val="24"/>
        </w:rPr>
        <w:t xml:space="preserve">SUJETOS OBLIGADOS </w:t>
      </w:r>
      <w:r w:rsidRPr="00FA5387">
        <w:rPr>
          <w:rFonts w:ascii="Palatino Linotype" w:eastAsia="Palatino Linotype" w:hAnsi="Palatino Linotype" w:cs="Palatino Linotype"/>
          <w:color w:val="000000"/>
          <w:sz w:val="24"/>
        </w:rPr>
        <w:t>será responsable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w:t>
      </w:r>
      <w:r w:rsidR="00355BE2" w:rsidRPr="00FA5387">
        <w:rPr>
          <w:rFonts w:ascii="Palatino Linotype" w:eastAsia="Palatino Linotype" w:hAnsi="Palatino Linotype" w:cs="Palatino Linotype"/>
          <w:color w:val="000000"/>
          <w:sz w:val="24"/>
        </w:rPr>
        <w:t>los</w:t>
      </w:r>
      <w:r w:rsidRPr="00FA5387">
        <w:rPr>
          <w:rFonts w:ascii="Palatino Linotype" w:eastAsia="Palatino Linotype" w:hAnsi="Palatino Linotype" w:cs="Palatino Linotype"/>
          <w:color w:val="000000"/>
          <w:sz w:val="24"/>
        </w:rPr>
        <w:t>:</w:t>
      </w: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2"/>
        <w:gridCol w:w="6946"/>
      </w:tblGrid>
      <w:tr w:rsidR="00F8202D" w:rsidRPr="00FA5387" w:rsidTr="00FA5387">
        <w:tc>
          <w:tcPr>
            <w:tcW w:w="2972" w:type="dxa"/>
            <w:vAlign w:val="center"/>
          </w:tcPr>
          <w:p w:rsidR="00F8202D" w:rsidRPr="00FA5387" w:rsidRDefault="00F8202D" w:rsidP="00FA5387">
            <w:pPr>
              <w:spacing w:line="360" w:lineRule="auto"/>
              <w:rPr>
                <w:rFonts w:ascii="Palatino Linotype" w:eastAsia="Palatino Linotype" w:hAnsi="Palatino Linotype" w:cs="Palatino Linotype"/>
                <w:b/>
                <w:sz w:val="24"/>
                <w:szCs w:val="24"/>
              </w:rPr>
            </w:pPr>
            <w:bookmarkStart w:id="87" w:name="_Toc70082953"/>
            <w:bookmarkStart w:id="88" w:name="_Toc70593361"/>
            <w:bookmarkStart w:id="89" w:name="_Toc71674125"/>
            <w:bookmarkStart w:id="90" w:name="_Toc83128594"/>
            <w:r w:rsidRPr="00FA5387">
              <w:rPr>
                <w:rFonts w:ascii="Palatino Linotype" w:eastAsia="Palatino Linotype" w:hAnsi="Palatino Linotype" w:cs="Palatino Linotype"/>
                <w:b/>
                <w:sz w:val="24"/>
                <w:szCs w:val="24"/>
              </w:rPr>
              <w:t>a) Requisitos previos.</w:t>
            </w:r>
          </w:p>
        </w:tc>
        <w:tc>
          <w:tcPr>
            <w:tcW w:w="6946" w:type="dxa"/>
          </w:tcPr>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Al hacerlo tienen que precisar de qué información se trata, señalando el supuesto de clasificación (confidencialidad o reserva).</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Además, se debe señalar el procedimiento, de los tres que establecen el artículo 132 de la Ley Estatal.</w:t>
            </w:r>
          </w:p>
          <w:p w:rsidR="00F8202D" w:rsidRPr="00FA5387" w:rsidRDefault="00F8202D" w:rsidP="00FA5387">
            <w:pPr>
              <w:spacing w:line="276" w:lineRule="auto"/>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color w:val="000000"/>
                <w:sz w:val="24"/>
                <w:szCs w:val="24"/>
              </w:rPr>
              <w:t xml:space="preserve">El último de estos requisitos previos consiste en que no se pueden emitir acuerdos de carácter general ni particular, esto es, </w:t>
            </w:r>
            <w:r w:rsidRPr="00FA5387">
              <w:rPr>
                <w:rFonts w:ascii="Palatino Linotype" w:eastAsia="Palatino Linotype" w:hAnsi="Palatino Linotype" w:cs="Palatino Linotype"/>
                <w:i/>
                <w:color w:val="000000"/>
                <w:sz w:val="24"/>
                <w:szCs w:val="24"/>
                <w:u w:val="single"/>
              </w:rPr>
              <w:t>no se puede hacer un acuerdo para clasificar de manera general todos los documentos de un expediente o área, sin</w:t>
            </w:r>
            <w:r w:rsidRPr="00FA5387">
              <w:rPr>
                <w:rFonts w:ascii="Palatino Linotype" w:eastAsia="Palatino Linotype" w:hAnsi="Palatino Linotype" w:cs="Palatino Linotype"/>
                <w:i/>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F8202D" w:rsidRPr="00FA5387" w:rsidTr="00FA5387">
        <w:tc>
          <w:tcPr>
            <w:tcW w:w="2972" w:type="dxa"/>
            <w:shd w:val="clear" w:color="auto" w:fill="D9D9D9" w:themeFill="background1" w:themeFillShade="D9"/>
            <w:vAlign w:val="center"/>
          </w:tcPr>
          <w:p w:rsidR="00F8202D" w:rsidRPr="00FA5387" w:rsidRDefault="00F8202D" w:rsidP="00FA5387">
            <w:pPr>
              <w:spacing w:line="360" w:lineRule="auto"/>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t>b) Supuestos de clasificación.</w:t>
            </w:r>
          </w:p>
        </w:tc>
        <w:tc>
          <w:tcPr>
            <w:tcW w:w="6946" w:type="dxa"/>
            <w:shd w:val="clear" w:color="auto" w:fill="D9D9D9" w:themeFill="background1" w:themeFillShade="D9"/>
          </w:tcPr>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Las disposiciones constitucionales y legales en la materia establecen los dos supuestos generales para clasificar la información: por reserva y por confidencialidad.</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lastRenderedPageBreak/>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F8202D" w:rsidRPr="00FA5387" w:rsidRDefault="00F8202D" w:rsidP="00FA5387">
            <w:pPr>
              <w:spacing w:line="276" w:lineRule="auto"/>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color w:val="000000"/>
                <w:sz w:val="24"/>
                <w:szCs w:val="24"/>
              </w:rPr>
              <w:t xml:space="preserve">El </w:t>
            </w:r>
            <w:r w:rsidRPr="00FA5387">
              <w:rPr>
                <w:rFonts w:ascii="Palatino Linotype" w:eastAsia="Palatino Linotype" w:hAnsi="Palatino Linotype" w:cs="Palatino Linotype"/>
                <w:b/>
                <w:i/>
                <w:color w:val="000000"/>
                <w:sz w:val="24"/>
                <w:szCs w:val="24"/>
              </w:rPr>
              <w:t>Sujeto Obligado</w:t>
            </w:r>
            <w:r w:rsidRPr="00FA5387">
              <w:rPr>
                <w:rFonts w:ascii="Palatino Linotype" w:eastAsia="Palatino Linotype" w:hAnsi="Palatino Linotype" w:cs="Palatino Linotype"/>
                <w:i/>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8202D" w:rsidRPr="00FA5387" w:rsidTr="00FA5387">
        <w:tc>
          <w:tcPr>
            <w:tcW w:w="2972" w:type="dxa"/>
            <w:vAlign w:val="center"/>
          </w:tcPr>
          <w:p w:rsidR="00F8202D" w:rsidRPr="00FA5387" w:rsidRDefault="00F8202D" w:rsidP="00FA5387">
            <w:pPr>
              <w:spacing w:line="360" w:lineRule="auto"/>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lastRenderedPageBreak/>
              <w:t>c) Formalidades para emitir el acuerdo de clasificación.</w:t>
            </w:r>
          </w:p>
        </w:tc>
        <w:tc>
          <w:tcPr>
            <w:tcW w:w="6946" w:type="dxa"/>
          </w:tcPr>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 xml:space="preserve">El Comité de Transparencia, según lo dispuesto en los artículos cuenta con las facultades para aprobar, modificar o revocar la clasificación de la información que haya propuesto. </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 xml:space="preserve">Es necesario que </w:t>
            </w:r>
            <w:r w:rsidRPr="00FA5387">
              <w:rPr>
                <w:rFonts w:ascii="Palatino Linotype" w:eastAsia="Palatino Linotype" w:hAnsi="Palatino Linotype" w:cs="Palatino Linotype"/>
                <w:b/>
                <w:i/>
                <w:color w:val="000000"/>
                <w:sz w:val="24"/>
                <w:szCs w:val="24"/>
                <w:u w:val="single"/>
              </w:rPr>
              <w:t>el acto reúna con los requisitos elementales</w:t>
            </w:r>
            <w:r w:rsidRPr="00FA5387">
              <w:rPr>
                <w:rFonts w:ascii="Palatino Linotype" w:eastAsia="Palatino Linotype" w:hAnsi="Palatino Linotype" w:cs="Palatino Linotype"/>
                <w:i/>
                <w:color w:val="000000"/>
                <w:sz w:val="24"/>
                <w:szCs w:val="24"/>
              </w:rPr>
              <w:t>, entre ellos, que la autoridad que va a emitir el acto de autoridad sea la legalmente facultada para ello.</w:t>
            </w:r>
          </w:p>
          <w:p w:rsidR="00F8202D" w:rsidRPr="00FA5387" w:rsidRDefault="00F8202D" w:rsidP="00FA5387">
            <w:pPr>
              <w:spacing w:line="276" w:lineRule="auto"/>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w:t>
            </w:r>
            <w:r w:rsidRPr="00FA5387">
              <w:rPr>
                <w:rFonts w:ascii="Palatino Linotype" w:eastAsia="Palatino Linotype" w:hAnsi="Palatino Linotype" w:cs="Palatino Linotype"/>
                <w:i/>
                <w:sz w:val="24"/>
                <w:szCs w:val="24"/>
              </w:rPr>
              <w:t>El área</w:t>
            </w:r>
            <w:r w:rsidRPr="00FA5387">
              <w:rPr>
                <w:rFonts w:ascii="Palatino Linotype" w:eastAsia="Palatino Linotype" w:hAnsi="Palatino Linotype" w:cs="Palatino Linotype"/>
                <w:i/>
                <w:color w:val="000000"/>
                <w:sz w:val="24"/>
                <w:szCs w:val="24"/>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8202D" w:rsidRPr="00FA5387" w:rsidTr="00FA5387">
        <w:tc>
          <w:tcPr>
            <w:tcW w:w="2972" w:type="dxa"/>
            <w:shd w:val="clear" w:color="auto" w:fill="D9D9D9" w:themeFill="background1" w:themeFillShade="D9"/>
            <w:vAlign w:val="center"/>
          </w:tcPr>
          <w:p w:rsidR="00F8202D" w:rsidRPr="00FA5387" w:rsidRDefault="00F8202D" w:rsidP="00FA5387">
            <w:pPr>
              <w:spacing w:line="360" w:lineRule="auto"/>
              <w:rPr>
                <w:rFonts w:ascii="Palatino Linotype" w:eastAsia="Palatino Linotype" w:hAnsi="Palatino Linotype" w:cs="Palatino Linotype"/>
                <w:b/>
                <w:sz w:val="24"/>
                <w:szCs w:val="24"/>
              </w:rPr>
            </w:pPr>
          </w:p>
          <w:p w:rsidR="00F8202D" w:rsidRPr="00FA5387" w:rsidRDefault="00F8202D" w:rsidP="00FA5387">
            <w:pPr>
              <w:spacing w:line="360" w:lineRule="auto"/>
              <w:jc w:val="both"/>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color w:val="000000"/>
                <w:sz w:val="24"/>
                <w:szCs w:val="24"/>
              </w:rPr>
              <w:lastRenderedPageBreak/>
              <w:t xml:space="preserve">d) Requisitos de fondo del acuerdo de clasificación. </w:t>
            </w:r>
          </w:p>
        </w:tc>
        <w:tc>
          <w:tcPr>
            <w:tcW w:w="6946" w:type="dxa"/>
            <w:shd w:val="clear" w:color="auto" w:fill="D9D9D9" w:themeFill="background1" w:themeFillShade="D9"/>
          </w:tcPr>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lastRenderedPageBreak/>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w:t>
            </w:r>
            <w:r w:rsidRPr="00FA5387">
              <w:rPr>
                <w:rFonts w:ascii="Palatino Linotype" w:eastAsia="Palatino Linotype" w:hAnsi="Palatino Linotype" w:cs="Palatino Linotype"/>
                <w:i/>
                <w:color w:val="000000"/>
                <w:sz w:val="24"/>
                <w:szCs w:val="24"/>
              </w:rPr>
              <w:lastRenderedPageBreak/>
              <w:t xml:space="preserve">Transparencia, la ley señala que la carga de la prueba, para justificar las restricciones, corresponde a los </w:t>
            </w:r>
            <w:r w:rsidRPr="00FA5387">
              <w:rPr>
                <w:rFonts w:ascii="Palatino Linotype" w:eastAsia="Palatino Linotype" w:hAnsi="Palatino Linotype" w:cs="Palatino Linotype"/>
                <w:b/>
                <w:i/>
                <w:color w:val="000000"/>
                <w:sz w:val="24"/>
                <w:szCs w:val="24"/>
              </w:rPr>
              <w:t>Sujetos Obligados</w:t>
            </w:r>
            <w:r w:rsidRPr="00FA5387">
              <w:rPr>
                <w:rFonts w:ascii="Palatino Linotype" w:eastAsia="Palatino Linotype" w:hAnsi="Palatino Linotype" w:cs="Palatino Linotype"/>
                <w:i/>
                <w:color w:val="000000"/>
                <w:sz w:val="24"/>
                <w:szCs w:val="24"/>
              </w:rPr>
              <w:t xml:space="preserve">, por lo que deberán fundar y motivar debidamente la clasificación. </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 xml:space="preserve">De lo anterior, se desprende que para una correcta </w:t>
            </w:r>
            <w:r w:rsidRPr="00FA5387">
              <w:rPr>
                <w:rFonts w:ascii="Palatino Linotype" w:eastAsia="Palatino Linotype" w:hAnsi="Palatino Linotype" w:cs="Palatino Linotype"/>
                <w:b/>
                <w:i/>
                <w:color w:val="000000"/>
                <w:sz w:val="24"/>
                <w:szCs w:val="24"/>
              </w:rPr>
              <w:t>clasificación total o parcial</w:t>
            </w:r>
            <w:r w:rsidRPr="00FA5387">
              <w:rPr>
                <w:rFonts w:ascii="Palatino Linotype" w:eastAsia="Palatino Linotype" w:hAnsi="Palatino Linotype" w:cs="Palatino Linotype"/>
                <w:i/>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En ese mismo sentido, el numeral trigésimo tercero fracción V de los Lineamientos Generales, precisa que para motivar la clasificación se deben acreditar las circunstancias de tiempo, modo y lugar.</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t xml:space="preserve">Ahora bien, </w:t>
            </w:r>
            <w:r w:rsidRPr="00FA5387">
              <w:rPr>
                <w:rFonts w:ascii="Palatino Linotype" w:eastAsia="Palatino Linotype" w:hAnsi="Palatino Linotype" w:cs="Palatino Linotype"/>
                <w:b/>
                <w:i/>
                <w:color w:val="000000"/>
                <w:sz w:val="24"/>
                <w:szCs w:val="24"/>
                <w:u w:val="single"/>
              </w:rPr>
              <w:t>para cada caso además de fundar y motivar</w:t>
            </w:r>
            <w:r w:rsidRPr="00FA5387">
              <w:rPr>
                <w:rFonts w:ascii="Palatino Linotype" w:eastAsia="Palatino Linotype" w:hAnsi="Palatino Linotype" w:cs="Palatino Linotype"/>
                <w:i/>
                <w:color w:val="000000"/>
                <w:sz w:val="24"/>
                <w:szCs w:val="24"/>
              </w:rPr>
              <w:t xml:space="preserve">, se debe identificar con claridad </w:t>
            </w:r>
            <w:r w:rsidRPr="00FA5387">
              <w:rPr>
                <w:rFonts w:ascii="Palatino Linotype" w:eastAsia="Palatino Linotype" w:hAnsi="Palatino Linotype" w:cs="Palatino Linotype"/>
                <w:i/>
                <w:sz w:val="24"/>
                <w:szCs w:val="24"/>
              </w:rPr>
              <w:t>qué</w:t>
            </w:r>
            <w:r w:rsidRPr="00FA5387">
              <w:rPr>
                <w:rFonts w:ascii="Palatino Linotype" w:eastAsia="Palatino Linotype" w:hAnsi="Palatino Linotype" w:cs="Palatino Linotype"/>
                <w:i/>
                <w:color w:val="000000"/>
                <w:sz w:val="24"/>
                <w:szCs w:val="24"/>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8202D" w:rsidRPr="00FA5387" w:rsidTr="00FA5387">
        <w:tc>
          <w:tcPr>
            <w:tcW w:w="2972" w:type="dxa"/>
            <w:vAlign w:val="center"/>
          </w:tcPr>
          <w:p w:rsidR="00F8202D" w:rsidRPr="00FA5387" w:rsidRDefault="00F8202D" w:rsidP="00FA5387">
            <w:pPr>
              <w:spacing w:line="360" w:lineRule="auto"/>
              <w:jc w:val="both"/>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lastRenderedPageBreak/>
              <w:t xml:space="preserve">e) Condiciones especiales de la </w:t>
            </w:r>
            <w:r w:rsidRPr="00FA5387">
              <w:rPr>
                <w:rFonts w:ascii="Palatino Linotype" w:eastAsia="Palatino Linotype" w:hAnsi="Palatino Linotype" w:cs="Palatino Linotype"/>
                <w:b/>
                <w:sz w:val="24"/>
                <w:szCs w:val="24"/>
              </w:rPr>
              <w:lastRenderedPageBreak/>
              <w:t xml:space="preserve">clasificación de la información como confidencial. </w:t>
            </w:r>
          </w:p>
        </w:tc>
        <w:tc>
          <w:tcPr>
            <w:tcW w:w="6946" w:type="dxa"/>
          </w:tcPr>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lastRenderedPageBreak/>
              <w:t xml:space="preserve">Los artículos 148 de la Ley Estatal establece que aun tratándose de datos personales, se podrán proporcionar, incluso sin solicitar el consentimiento de su titular. </w:t>
            </w:r>
          </w:p>
          <w:p w:rsidR="00F8202D" w:rsidRPr="00FA5387" w:rsidRDefault="00F8202D" w:rsidP="00FA5387">
            <w:pPr>
              <w:spacing w:line="276" w:lineRule="auto"/>
              <w:jc w:val="both"/>
              <w:rPr>
                <w:rFonts w:ascii="Palatino Linotype" w:eastAsia="Palatino Linotype" w:hAnsi="Palatino Linotype" w:cs="Palatino Linotype"/>
                <w:i/>
                <w:color w:val="000000"/>
                <w:sz w:val="24"/>
                <w:szCs w:val="24"/>
              </w:rPr>
            </w:pPr>
            <w:r w:rsidRPr="00FA5387">
              <w:rPr>
                <w:rFonts w:ascii="Palatino Linotype" w:eastAsia="Palatino Linotype" w:hAnsi="Palatino Linotype" w:cs="Palatino Linotype"/>
                <w:i/>
                <w:color w:val="000000"/>
                <w:sz w:val="24"/>
                <w:szCs w:val="24"/>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8202D" w:rsidRPr="00FA5387" w:rsidRDefault="00F8202D" w:rsidP="00FA5387">
            <w:pPr>
              <w:spacing w:line="276" w:lineRule="auto"/>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bookmarkEnd w:id="87"/>
      <w:bookmarkEnd w:id="88"/>
      <w:bookmarkEnd w:id="89"/>
      <w:bookmarkEnd w:id="90"/>
    </w:tbl>
    <w:p w:rsidR="00FA5387" w:rsidRPr="00FA5387" w:rsidRDefault="00FA5387" w:rsidP="00FA5387">
      <w:pPr>
        <w:pStyle w:val="Prrafodelista"/>
        <w:spacing w:line="360" w:lineRule="auto"/>
        <w:ind w:left="0"/>
        <w:jc w:val="both"/>
        <w:rPr>
          <w:rFonts w:ascii="Palatino Linotype" w:eastAsia="Palatino Linotype" w:hAnsi="Palatino Linotype" w:cs="Palatino Linotype"/>
          <w:color w:val="000000"/>
          <w:sz w:val="24"/>
        </w:rPr>
      </w:pPr>
    </w:p>
    <w:p w:rsidR="00F8202D" w:rsidRPr="00FA5387" w:rsidRDefault="00F8202D" w:rsidP="00F8202D">
      <w:pPr>
        <w:pStyle w:val="Prrafodelista"/>
        <w:numPr>
          <w:ilvl w:val="0"/>
          <w:numId w:val="9"/>
        </w:numPr>
        <w:spacing w:line="360" w:lineRule="auto"/>
        <w:ind w:left="0" w:firstLine="0"/>
        <w:jc w:val="both"/>
        <w:rPr>
          <w:rFonts w:ascii="Palatino Linotype" w:eastAsia="Palatino Linotype" w:hAnsi="Palatino Linotype" w:cs="Palatino Linotype"/>
          <w:color w:val="000000"/>
          <w:sz w:val="24"/>
        </w:rPr>
      </w:pPr>
      <w:r w:rsidRPr="00FA5387">
        <w:rPr>
          <w:rFonts w:ascii="Palatino Linotype" w:eastAsia="Palatino Linotype" w:hAnsi="Palatino Linotype" w:cs="Palatino Linotype"/>
          <w:sz w:val="24"/>
        </w:rPr>
        <w:t xml:space="preserve">Si el </w:t>
      </w:r>
      <w:r w:rsidRPr="00FA5387">
        <w:rPr>
          <w:rFonts w:ascii="Palatino Linotype" w:eastAsia="Palatino Linotype" w:hAnsi="Palatino Linotype" w:cs="Palatino Linotype"/>
          <w:color w:val="000000"/>
          <w:sz w:val="24"/>
        </w:rPr>
        <w:t>servidor</w:t>
      </w:r>
      <w:r w:rsidRPr="00FA5387">
        <w:rPr>
          <w:rFonts w:ascii="Palatino Linotype" w:eastAsia="Palatino Linotype" w:hAnsi="Palatino Linotype" w:cs="Palatino Linotype"/>
          <w:sz w:val="24"/>
        </w:rPr>
        <w:t xml:space="preserve"> público incumple con estas formalidades y entrega la información </w:t>
      </w:r>
      <w:r w:rsidRPr="00FA5387">
        <w:rPr>
          <w:rFonts w:ascii="Palatino Linotype" w:eastAsia="Palatino Linotype" w:hAnsi="Palatino Linotype" w:cs="Palatino Linotype"/>
          <w:color w:val="000000"/>
          <w:sz w:val="24"/>
        </w:rPr>
        <w:t>sin</w:t>
      </w:r>
      <w:r w:rsidRPr="00FA5387">
        <w:rPr>
          <w:rFonts w:ascii="Palatino Linotype" w:eastAsia="Palatino Linotype" w:hAnsi="Palatino Linotype" w:cs="Palatino Linotype"/>
          <w:sz w:val="24"/>
        </w:rPr>
        <w:t xml:space="preserve"> proteger los datos personales incumple con lo que estipula las disposiciones legales </w:t>
      </w:r>
      <w:r w:rsidRPr="00FA5387">
        <w:rPr>
          <w:rFonts w:ascii="Palatino Linotype" w:eastAsia="Palatino Linotype" w:hAnsi="Palatino Linotype" w:cs="Palatino Linotype"/>
          <w:color w:val="000000"/>
          <w:sz w:val="24"/>
        </w:rPr>
        <w:t>establecidas;</w:t>
      </w:r>
      <w:r w:rsidRPr="00FA5387">
        <w:rPr>
          <w:rFonts w:ascii="Palatino Linotype" w:eastAsia="Palatino Linotype" w:hAnsi="Palatino Linotype" w:cs="Palatino Linotype"/>
          <w:sz w:val="24"/>
        </w:rPr>
        <w:t xml:space="preserve"> asimismo que si entrega un documento testado sin el debido acuerdo de clasificación.</w:t>
      </w:r>
    </w:p>
    <w:p w:rsidR="00F8202D" w:rsidRPr="00FA5387" w:rsidRDefault="00F8202D" w:rsidP="00F8202D">
      <w:pPr>
        <w:spacing w:line="360" w:lineRule="auto"/>
        <w:contextualSpacing/>
        <w:jc w:val="both"/>
        <w:rPr>
          <w:rFonts w:ascii="Palatino Linotype" w:eastAsia="Palatino Linotype" w:hAnsi="Palatino Linotype" w:cs="Palatino Linotype"/>
          <w:sz w:val="24"/>
          <w:szCs w:val="24"/>
        </w:rPr>
      </w:pPr>
    </w:p>
    <w:p w:rsidR="00741EA1" w:rsidRPr="00FA5387" w:rsidRDefault="00741EA1" w:rsidP="00106C2B">
      <w:pPr>
        <w:numPr>
          <w:ilvl w:val="0"/>
          <w:numId w:val="9"/>
        </w:numPr>
        <w:spacing w:line="360" w:lineRule="auto"/>
        <w:ind w:left="0" w:right="34" w:firstLine="0"/>
        <w:contextualSpacing/>
        <w:jc w:val="both"/>
        <w:rPr>
          <w:rFonts w:ascii="Palatino Linotype" w:hAnsi="Palatino Linotype"/>
          <w:color w:val="000000" w:themeColor="text1"/>
          <w:sz w:val="24"/>
          <w:szCs w:val="24"/>
        </w:rPr>
      </w:pPr>
      <w:r w:rsidRPr="00FA5387">
        <w:rPr>
          <w:rFonts w:ascii="Palatino Linotype" w:hAnsi="Palatino Linotype"/>
          <w:sz w:val="24"/>
          <w:szCs w:val="24"/>
        </w:rPr>
        <w:t>Por lo anteriormente expuesto, este Órgano Garante considera parcialmente fundadas las razones o motivos de inconformidad que plantea el</w:t>
      </w:r>
      <w:r w:rsidRPr="00FA5387">
        <w:rPr>
          <w:rFonts w:ascii="Palatino Linotype" w:hAnsi="Palatino Linotype"/>
          <w:b/>
          <w:sz w:val="24"/>
          <w:szCs w:val="24"/>
        </w:rPr>
        <w:t xml:space="preserve"> RECURRENTE</w:t>
      </w:r>
      <w:r w:rsidRPr="00FA5387">
        <w:rPr>
          <w:rFonts w:ascii="Palatino Linotype" w:hAnsi="Palatino Linotype"/>
          <w:sz w:val="24"/>
          <w:szCs w:val="24"/>
        </w:rPr>
        <w:t xml:space="preserve">, determinando </w:t>
      </w:r>
      <w:r w:rsidRPr="00FA5387">
        <w:rPr>
          <w:rFonts w:ascii="Palatino Linotype" w:hAnsi="Palatino Linotype"/>
          <w:b/>
          <w:sz w:val="24"/>
          <w:szCs w:val="24"/>
        </w:rPr>
        <w:t>MODIFICAR</w:t>
      </w:r>
      <w:r w:rsidRPr="00FA5387">
        <w:rPr>
          <w:rFonts w:ascii="Palatino Linotype" w:hAnsi="Palatino Linotype"/>
          <w:sz w:val="24"/>
          <w:szCs w:val="24"/>
        </w:rPr>
        <w:t xml:space="preserve"> la respuesta del </w:t>
      </w:r>
      <w:r w:rsidRPr="00FA5387">
        <w:rPr>
          <w:rFonts w:ascii="Palatino Linotype" w:hAnsi="Palatino Linotype"/>
          <w:b/>
          <w:sz w:val="24"/>
          <w:szCs w:val="24"/>
        </w:rPr>
        <w:t>SUJETO OBLIGADO</w:t>
      </w:r>
      <w:r w:rsidRPr="00FA5387">
        <w:rPr>
          <w:rFonts w:ascii="Palatino Linotype" w:hAnsi="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FA5387">
        <w:rPr>
          <w:rFonts w:ascii="Palatino Linotype" w:hAnsi="Palatino Linotype"/>
          <w:color w:val="000000" w:themeColor="text1"/>
          <w:sz w:val="24"/>
          <w:szCs w:val="24"/>
          <w:lang w:val="es-ES"/>
        </w:rPr>
        <w:t xml:space="preserve">este </w:t>
      </w:r>
      <w:r w:rsidRPr="00FA5387">
        <w:rPr>
          <w:rFonts w:ascii="Palatino Linotype" w:hAnsi="Palatino Linotype"/>
          <w:b/>
          <w:bCs/>
          <w:color w:val="000000" w:themeColor="text1"/>
          <w:sz w:val="24"/>
          <w:szCs w:val="24"/>
          <w:lang w:val="es-ES"/>
        </w:rPr>
        <w:t>ÓRGANO GARANTE</w:t>
      </w:r>
      <w:r w:rsidRPr="00FA5387">
        <w:rPr>
          <w:rFonts w:ascii="Palatino Linotype" w:hAnsi="Palatino Linotype"/>
          <w:color w:val="000000" w:themeColor="text1"/>
          <w:sz w:val="24"/>
          <w:szCs w:val="24"/>
          <w:lang w:val="es-ES"/>
        </w:rPr>
        <w:t xml:space="preserve"> emite los siguientes</w:t>
      </w:r>
      <w:r w:rsidRPr="00FA5387">
        <w:rPr>
          <w:rFonts w:ascii="Palatino Linotype" w:hAnsi="Palatino Linotype"/>
          <w:color w:val="000000" w:themeColor="text1"/>
          <w:sz w:val="24"/>
          <w:szCs w:val="24"/>
        </w:rPr>
        <w:t>.</w:t>
      </w:r>
      <w:r w:rsidR="00FA5387">
        <w:rPr>
          <w:rFonts w:ascii="Palatino Linotype" w:hAnsi="Palatino Linotype"/>
          <w:color w:val="000000" w:themeColor="text1"/>
          <w:sz w:val="24"/>
          <w:szCs w:val="24"/>
        </w:rPr>
        <w:t xml:space="preserve"> ------------------------------------------------------------------------------------------------------</w:t>
      </w:r>
    </w:p>
    <w:p w:rsidR="00660322" w:rsidRPr="00FA5387" w:rsidRDefault="00660322" w:rsidP="00106C2B">
      <w:pPr>
        <w:spacing w:line="720" w:lineRule="auto"/>
        <w:jc w:val="both"/>
        <w:rPr>
          <w:rFonts w:ascii="Palatino Linotype" w:eastAsia="Palatino Linotype" w:hAnsi="Palatino Linotype" w:cs="Palatino Linotype"/>
          <w:i/>
          <w:color w:val="000000"/>
          <w:sz w:val="24"/>
          <w:szCs w:val="24"/>
        </w:rPr>
      </w:pPr>
    </w:p>
    <w:p w:rsidR="00660322" w:rsidRPr="00FA5387" w:rsidRDefault="00660322" w:rsidP="00660322">
      <w:pPr>
        <w:pStyle w:val="Ttulo1"/>
        <w:spacing w:before="0" w:line="360" w:lineRule="auto"/>
        <w:jc w:val="center"/>
        <w:rPr>
          <w:rFonts w:ascii="Palatino Linotype" w:eastAsia="Palatino Linotype" w:hAnsi="Palatino Linotype" w:cs="Palatino Linotype"/>
          <w:b/>
          <w:color w:val="000000"/>
          <w:sz w:val="24"/>
          <w:szCs w:val="24"/>
        </w:rPr>
      </w:pPr>
      <w:r w:rsidRPr="00FA5387">
        <w:rPr>
          <w:rFonts w:ascii="Palatino Linotype" w:eastAsia="Palatino Linotype" w:hAnsi="Palatino Linotype" w:cs="Palatino Linotype"/>
          <w:b/>
          <w:color w:val="000000"/>
          <w:sz w:val="24"/>
          <w:szCs w:val="24"/>
        </w:rPr>
        <w:lastRenderedPageBreak/>
        <w:t>R E S O L U T I V O S</w:t>
      </w:r>
    </w:p>
    <w:p w:rsidR="00660322" w:rsidRPr="00FA5387" w:rsidRDefault="00660322" w:rsidP="00660322">
      <w:pPr>
        <w:spacing w:line="480" w:lineRule="auto"/>
        <w:rPr>
          <w:rFonts w:ascii="Palatino Linotype" w:eastAsia="Palatino Linotype" w:hAnsi="Palatino Linotype" w:cs="Palatino Linotype"/>
          <w:sz w:val="24"/>
          <w:szCs w:val="24"/>
        </w:rPr>
      </w:pPr>
    </w:p>
    <w:p w:rsidR="00660322" w:rsidRPr="00FA5387" w:rsidRDefault="00660322" w:rsidP="00660322">
      <w:pPr>
        <w:spacing w:line="360" w:lineRule="auto"/>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b/>
          <w:sz w:val="24"/>
          <w:szCs w:val="24"/>
        </w:rPr>
        <w:t>PRIMERO</w:t>
      </w:r>
      <w:r w:rsidRPr="00FA5387">
        <w:rPr>
          <w:rFonts w:ascii="Palatino Linotype" w:eastAsia="Palatino Linotype" w:hAnsi="Palatino Linotype" w:cs="Palatino Linotype"/>
          <w:sz w:val="24"/>
          <w:szCs w:val="24"/>
        </w:rPr>
        <w:t>. Resultan fundadas las</w:t>
      </w:r>
      <w:r w:rsidRPr="00FA5387">
        <w:rPr>
          <w:rFonts w:ascii="Palatino Linotype" w:eastAsia="Palatino Linotype" w:hAnsi="Palatino Linotype" w:cs="Palatino Linotype"/>
          <w:b/>
          <w:sz w:val="24"/>
          <w:szCs w:val="24"/>
        </w:rPr>
        <w:t xml:space="preserve"> </w:t>
      </w:r>
      <w:r w:rsidRPr="00FA5387">
        <w:rPr>
          <w:rFonts w:ascii="Palatino Linotype" w:eastAsia="Palatino Linotype" w:hAnsi="Palatino Linotype" w:cs="Palatino Linotype"/>
          <w:sz w:val="24"/>
          <w:szCs w:val="24"/>
        </w:rPr>
        <w:t xml:space="preserve">razones o motivos de inconformidad hechos valer en los Recursos de Revisión </w:t>
      </w:r>
      <w:r w:rsidR="00F8202D" w:rsidRPr="00FA5387">
        <w:rPr>
          <w:rFonts w:ascii="Palatino Linotype" w:hAnsi="Palatino Linotype" w:cs="Arial"/>
          <w:b/>
          <w:sz w:val="24"/>
          <w:szCs w:val="24"/>
        </w:rPr>
        <w:t>01523/INFOEM/IP/RR/2026, 01528/INFOEM/IP/RR/2026, 01533/INFOEM/IP/RR/2026, 01538/INFOEM/IP/RR/2026, 01543/INFOEM/IP/RR/2026, 01548/INFOEM/IP/RR/2026, 01553/INFOEM/IP/RR/2026, 01558/INFOEM/IP/RR/2026, 01563/INFOEM/IP/RR/2026, 01568/INFOEM/IP/RR/2026, 01573/INFOEM/IP/RR/2026, 01578/INFOEM/IP/RR/2026, 01583/INFOEM/IP/RR/2026, 01588/INFOEM/IP/RR/2026, 01593/INFOEM/IP/RR/2026, 01598/INFOEM/IP/RR/2026, 01603/INFOEM/IP/RR/2026, 01608/INFOEM/IP/RR/2026, 01613/INFOEM/IP/RR/2026, y 01618/INFOEM/IP/RR/2026 acumulados</w:t>
      </w:r>
      <w:r w:rsidRPr="00FA5387">
        <w:rPr>
          <w:rFonts w:ascii="Palatino Linotype" w:hAnsi="Palatino Linotype" w:cs="Arial"/>
          <w:bCs/>
          <w:sz w:val="24"/>
          <w:szCs w:val="24"/>
        </w:rPr>
        <w:t xml:space="preserve">, </w:t>
      </w:r>
      <w:r w:rsidRPr="00FA5387">
        <w:rPr>
          <w:rFonts w:ascii="Palatino Linotype" w:hAnsi="Palatino Linotype" w:cs="Arial"/>
          <w:sz w:val="24"/>
          <w:szCs w:val="24"/>
        </w:rPr>
        <w:t xml:space="preserve"> </w:t>
      </w:r>
      <w:r w:rsidRPr="00FA5387">
        <w:rPr>
          <w:rFonts w:ascii="Palatino Linotype" w:eastAsia="Palatino Linotype" w:hAnsi="Palatino Linotype" w:cs="Palatino Linotype"/>
          <w:b/>
          <w:sz w:val="24"/>
          <w:szCs w:val="24"/>
        </w:rPr>
        <w:t xml:space="preserve"> </w:t>
      </w:r>
      <w:r w:rsidRPr="00FA5387">
        <w:rPr>
          <w:rFonts w:ascii="Palatino Linotype" w:eastAsia="Palatino Linotype" w:hAnsi="Palatino Linotype" w:cs="Palatino Linotype"/>
          <w:sz w:val="24"/>
          <w:szCs w:val="24"/>
        </w:rPr>
        <w:t xml:space="preserve">por lo que se </w:t>
      </w:r>
      <w:r w:rsidRPr="00FA5387">
        <w:rPr>
          <w:rFonts w:ascii="Palatino Linotype" w:eastAsia="Palatino Linotype" w:hAnsi="Palatino Linotype" w:cs="Palatino Linotype"/>
          <w:b/>
          <w:sz w:val="24"/>
          <w:szCs w:val="24"/>
        </w:rPr>
        <w:t xml:space="preserve">MODIFICA </w:t>
      </w:r>
      <w:r w:rsidRPr="00FA5387">
        <w:rPr>
          <w:rFonts w:ascii="Palatino Linotype" w:eastAsia="Palatino Linotype" w:hAnsi="Palatino Linotype" w:cs="Palatino Linotype"/>
          <w:sz w:val="24"/>
          <w:szCs w:val="24"/>
        </w:rPr>
        <w:t xml:space="preserve">la respuesta del </w:t>
      </w:r>
      <w:r w:rsidRPr="00FA5387">
        <w:rPr>
          <w:rFonts w:ascii="Palatino Linotype" w:eastAsia="Palatino Linotype" w:hAnsi="Palatino Linotype" w:cs="Palatino Linotype"/>
          <w:b/>
          <w:sz w:val="24"/>
          <w:szCs w:val="24"/>
        </w:rPr>
        <w:t xml:space="preserve">SUJETO OBLIGADO </w:t>
      </w:r>
      <w:r w:rsidRPr="00FA5387">
        <w:rPr>
          <w:rFonts w:ascii="Palatino Linotype" w:eastAsia="Palatino Linotype" w:hAnsi="Palatino Linotype" w:cs="Palatino Linotype"/>
          <w:sz w:val="24"/>
          <w:szCs w:val="24"/>
        </w:rPr>
        <w:t xml:space="preserve">en las solicitudes de información </w:t>
      </w:r>
      <w:r w:rsidR="00F8202D" w:rsidRPr="00FA5387">
        <w:rPr>
          <w:rFonts w:ascii="Palatino Linotype" w:hAnsi="Palatino Linotype"/>
          <w:b/>
          <w:bCs/>
          <w:i/>
          <w:sz w:val="24"/>
          <w:szCs w:val="24"/>
        </w:rPr>
        <w:t>00576/TOLUCA/IP/2026, 00583/TOLUCA/IP/2026</w:t>
      </w:r>
      <w:r w:rsidR="00F8202D" w:rsidRPr="00FA5387">
        <w:rPr>
          <w:rFonts w:ascii="Palatino Linotype" w:hAnsi="Palatino Linotype"/>
          <w:b/>
          <w:bCs/>
          <w:i/>
          <w:color w:val="000000" w:themeColor="text1"/>
          <w:sz w:val="24"/>
          <w:szCs w:val="24"/>
        </w:rPr>
        <w:t xml:space="preserve">, </w:t>
      </w:r>
      <w:r w:rsidR="00F8202D" w:rsidRPr="00FA5387">
        <w:rPr>
          <w:rFonts w:ascii="Palatino Linotype" w:hAnsi="Palatino Linotype"/>
          <w:b/>
          <w:bCs/>
          <w:i/>
          <w:sz w:val="24"/>
          <w:szCs w:val="24"/>
        </w:rPr>
        <w:t>00588/TOLUCA/IP/2026, 00583/TOLUCA/IP/2026, 00576/TOLUCA/IP/2026, 00583/TOLUCA/IP/2026, 00592/TOLUCA/IP/2026, 00598/TOLUCA/IP/2026, 00603/TOLUCA/IP/2026, 00608/TOLUCA/IP/2026, 00615/TOLUCA/IP/2026, 00620/TOLUCA/IP/2026</w:t>
      </w:r>
      <w:r w:rsidR="00F8202D" w:rsidRPr="00FA5387">
        <w:rPr>
          <w:rFonts w:ascii="Palatino Linotype" w:hAnsi="Palatino Linotype"/>
          <w:b/>
          <w:bCs/>
          <w:i/>
          <w:color w:val="000000" w:themeColor="text1"/>
          <w:sz w:val="24"/>
          <w:szCs w:val="24"/>
        </w:rPr>
        <w:t xml:space="preserve">, </w:t>
      </w:r>
      <w:r w:rsidR="00F8202D" w:rsidRPr="00FA5387">
        <w:rPr>
          <w:rFonts w:ascii="Palatino Linotype" w:hAnsi="Palatino Linotype"/>
          <w:b/>
          <w:bCs/>
          <w:i/>
          <w:sz w:val="24"/>
          <w:szCs w:val="24"/>
        </w:rPr>
        <w:t>00625/TOLUCA/IP/2026, 00630/TOLUCA/IP/2026, 00635/TOLUCA/IP/2026, 00640/TOLUCA/IP/2026, 00645/TOLUCA/IP/2026, 00650/TOLUCA/IP/2026, 00655/TOLUCA/IP/2026,  00660/TOLUCA/IP/2026, 00665/TOLUCA/IP/2026, 00668/TOLUCA/IP/2026 y  00673/TOLUCA/IP/2026</w:t>
      </w:r>
      <w:r w:rsidR="00F8202D" w:rsidRPr="00FA5387">
        <w:rPr>
          <w:rFonts w:ascii="Palatino Linotype" w:hAnsi="Palatino Linotype"/>
          <w:b/>
          <w:bCs/>
          <w:sz w:val="24"/>
          <w:szCs w:val="24"/>
        </w:rPr>
        <w:t xml:space="preserve">  </w:t>
      </w:r>
      <w:r w:rsidRPr="00FA5387">
        <w:rPr>
          <w:rFonts w:ascii="Palatino Linotype" w:hAnsi="Palatino Linotype" w:cs="Arial"/>
          <w:b/>
          <w:sz w:val="24"/>
          <w:szCs w:val="24"/>
        </w:rPr>
        <w:t xml:space="preserve">, </w:t>
      </w:r>
      <w:r w:rsidRPr="00FA5387">
        <w:rPr>
          <w:rFonts w:ascii="Palatino Linotype" w:eastAsia="Palatino Linotype" w:hAnsi="Palatino Linotype" w:cs="Palatino Linotype"/>
          <w:sz w:val="24"/>
          <w:szCs w:val="24"/>
        </w:rPr>
        <w:t xml:space="preserve">en términos de los </w:t>
      </w:r>
      <w:r w:rsidRPr="00FA5387">
        <w:rPr>
          <w:rFonts w:ascii="Palatino Linotype" w:eastAsia="Palatino Linotype" w:hAnsi="Palatino Linotype" w:cs="Palatino Linotype"/>
          <w:b/>
          <w:sz w:val="24"/>
          <w:szCs w:val="24"/>
        </w:rPr>
        <w:t xml:space="preserve">Considerandos </w:t>
      </w:r>
      <w:r w:rsidR="00106C2B" w:rsidRPr="00FA5387">
        <w:rPr>
          <w:rFonts w:ascii="Palatino Linotype" w:eastAsia="Palatino Linotype" w:hAnsi="Palatino Linotype" w:cs="Palatino Linotype"/>
          <w:b/>
          <w:sz w:val="24"/>
          <w:szCs w:val="24"/>
        </w:rPr>
        <w:t xml:space="preserve">CUARTO Y QUINTO </w:t>
      </w:r>
      <w:r w:rsidRPr="00FA5387">
        <w:rPr>
          <w:rFonts w:ascii="Palatino Linotype" w:eastAsia="Palatino Linotype" w:hAnsi="Palatino Linotype" w:cs="Palatino Linotype"/>
          <w:sz w:val="24"/>
          <w:szCs w:val="24"/>
        </w:rPr>
        <w:t>de la presente resolución.</w:t>
      </w:r>
    </w:p>
    <w:p w:rsidR="00660322" w:rsidRPr="00FA5387" w:rsidRDefault="00660322" w:rsidP="00660322">
      <w:pPr>
        <w:spacing w:line="480" w:lineRule="auto"/>
        <w:jc w:val="both"/>
        <w:rPr>
          <w:rFonts w:ascii="Palatino Linotype" w:eastAsia="Palatino Linotype" w:hAnsi="Palatino Linotype" w:cs="Palatino Linotype"/>
          <w:sz w:val="24"/>
          <w:szCs w:val="24"/>
        </w:rPr>
      </w:pPr>
    </w:p>
    <w:p w:rsidR="00660322" w:rsidRPr="00FA5387" w:rsidRDefault="00660322" w:rsidP="00660322">
      <w:pPr>
        <w:spacing w:line="360" w:lineRule="auto"/>
        <w:jc w:val="both"/>
        <w:rPr>
          <w:rFonts w:ascii="Palatino Linotype" w:eastAsia="Palatino Linotype" w:hAnsi="Palatino Linotype" w:cs="Palatino Linotype"/>
          <w:color w:val="000000"/>
          <w:sz w:val="24"/>
          <w:szCs w:val="24"/>
        </w:rPr>
      </w:pPr>
      <w:r w:rsidRPr="00FA5387">
        <w:rPr>
          <w:rFonts w:ascii="Palatino Linotype" w:eastAsia="Palatino Linotype" w:hAnsi="Palatino Linotype" w:cs="Palatino Linotype"/>
          <w:b/>
          <w:sz w:val="24"/>
          <w:szCs w:val="24"/>
        </w:rPr>
        <w:lastRenderedPageBreak/>
        <w:t>SEGUNDO.</w:t>
      </w:r>
      <w:r w:rsidRPr="00FA5387">
        <w:rPr>
          <w:rFonts w:ascii="Palatino Linotype" w:eastAsia="Palatino Linotype" w:hAnsi="Palatino Linotype" w:cs="Palatino Linotype"/>
          <w:color w:val="2E75B5"/>
          <w:sz w:val="24"/>
          <w:szCs w:val="24"/>
        </w:rPr>
        <w:t xml:space="preserve"> </w:t>
      </w:r>
      <w:r w:rsidRPr="00FA5387">
        <w:rPr>
          <w:rFonts w:ascii="Palatino Linotype" w:eastAsia="Palatino Linotype" w:hAnsi="Palatino Linotype" w:cs="Palatino Linotype"/>
          <w:color w:val="000000"/>
          <w:sz w:val="24"/>
          <w:szCs w:val="24"/>
        </w:rPr>
        <w:t xml:space="preserve">Se </w:t>
      </w:r>
      <w:r w:rsidRPr="00FA5387">
        <w:rPr>
          <w:rFonts w:ascii="Palatino Linotype" w:eastAsia="Palatino Linotype" w:hAnsi="Palatino Linotype" w:cs="Palatino Linotype"/>
          <w:b/>
          <w:color w:val="000000"/>
          <w:sz w:val="24"/>
          <w:szCs w:val="24"/>
        </w:rPr>
        <w:t xml:space="preserve">ORDENA </w:t>
      </w:r>
      <w:r w:rsidRPr="00FA5387">
        <w:rPr>
          <w:rFonts w:ascii="Palatino Linotype" w:eastAsia="Palatino Linotype" w:hAnsi="Palatino Linotype" w:cs="Palatino Linotype"/>
          <w:color w:val="000000"/>
          <w:sz w:val="24"/>
          <w:szCs w:val="24"/>
        </w:rPr>
        <w:t xml:space="preserve">al </w:t>
      </w:r>
      <w:r w:rsidRPr="00FA5387">
        <w:rPr>
          <w:rFonts w:ascii="Palatino Linotype" w:eastAsia="Palatino Linotype" w:hAnsi="Palatino Linotype" w:cs="Palatino Linotype"/>
          <w:b/>
          <w:color w:val="000000"/>
          <w:sz w:val="24"/>
          <w:szCs w:val="24"/>
        </w:rPr>
        <w:t xml:space="preserve">SUJETO OBLIGADO, </w:t>
      </w:r>
      <w:r w:rsidRPr="00FA5387">
        <w:rPr>
          <w:rFonts w:ascii="Palatino Linotype" w:eastAsia="Palatino Linotype" w:hAnsi="Palatino Linotype" w:cs="Palatino Linotype"/>
          <w:color w:val="000000"/>
          <w:sz w:val="24"/>
          <w:szCs w:val="24"/>
        </w:rPr>
        <w:t xml:space="preserve">a efecto de entregar vía Sistema de Acceso a la Información Mexiquense </w:t>
      </w:r>
      <w:r w:rsidRPr="00FA5387">
        <w:rPr>
          <w:rFonts w:ascii="Palatino Linotype" w:eastAsia="Palatino Linotype" w:hAnsi="Palatino Linotype" w:cs="Palatino Linotype"/>
          <w:b/>
          <w:color w:val="000000"/>
          <w:sz w:val="24"/>
          <w:szCs w:val="24"/>
        </w:rPr>
        <w:t>(SAIMEX)</w:t>
      </w:r>
      <w:r w:rsidRPr="00FA5387">
        <w:rPr>
          <w:rFonts w:ascii="Palatino Linotype" w:eastAsia="Palatino Linotype" w:hAnsi="Palatino Linotype" w:cs="Palatino Linotype"/>
          <w:color w:val="000000"/>
          <w:sz w:val="24"/>
          <w:szCs w:val="24"/>
        </w:rPr>
        <w:t xml:space="preserve">, </w:t>
      </w:r>
      <w:r w:rsidR="00F8202D" w:rsidRPr="00FA5387">
        <w:rPr>
          <w:rFonts w:ascii="Palatino Linotype" w:eastAsia="Palatino Linotype" w:hAnsi="Palatino Linotype" w:cs="Palatino Linotype"/>
          <w:color w:val="000000"/>
          <w:sz w:val="24"/>
          <w:szCs w:val="24"/>
        </w:rPr>
        <w:t>de ser el caso en versión pública</w:t>
      </w:r>
      <w:r w:rsidR="00360B80" w:rsidRPr="00FA5387">
        <w:rPr>
          <w:rFonts w:ascii="Palatino Linotype" w:eastAsia="Palatino Linotype" w:hAnsi="Palatino Linotype" w:cs="Palatino Linotype"/>
          <w:color w:val="000000"/>
          <w:sz w:val="24"/>
          <w:szCs w:val="24"/>
        </w:rPr>
        <w:t>, a</w:t>
      </w:r>
      <w:r w:rsidR="00106C2B" w:rsidRPr="00FA5387">
        <w:rPr>
          <w:rFonts w:ascii="Palatino Linotype" w:eastAsia="Palatino Linotype" w:hAnsi="Palatino Linotype" w:cs="Palatino Linotype"/>
          <w:color w:val="000000"/>
          <w:sz w:val="24"/>
          <w:szCs w:val="24"/>
        </w:rPr>
        <w:t xml:space="preserve"> </w:t>
      </w:r>
      <w:r w:rsidR="00360B80" w:rsidRPr="00FA5387">
        <w:rPr>
          <w:rFonts w:ascii="Palatino Linotype" w:eastAsia="Palatino Linotype" w:hAnsi="Palatino Linotype" w:cs="Palatino Linotype"/>
          <w:color w:val="000000"/>
          <w:sz w:val="24"/>
          <w:szCs w:val="24"/>
        </w:rPr>
        <w:t>l</w:t>
      </w:r>
      <w:r w:rsidR="00106C2B" w:rsidRPr="00FA5387">
        <w:rPr>
          <w:rFonts w:ascii="Palatino Linotype" w:eastAsia="Palatino Linotype" w:hAnsi="Palatino Linotype" w:cs="Palatino Linotype"/>
          <w:color w:val="000000"/>
          <w:sz w:val="24"/>
          <w:szCs w:val="24"/>
        </w:rPr>
        <w:t>a fecha</w:t>
      </w:r>
      <w:r w:rsidR="00360B80" w:rsidRPr="00FA5387">
        <w:rPr>
          <w:rFonts w:ascii="Palatino Linotype" w:eastAsia="Palatino Linotype" w:hAnsi="Palatino Linotype" w:cs="Palatino Linotype"/>
          <w:color w:val="000000"/>
          <w:sz w:val="24"/>
          <w:szCs w:val="24"/>
        </w:rPr>
        <w:t xml:space="preserve"> catorce de enero de dos mil veintiséis;</w:t>
      </w:r>
      <w:r w:rsidR="00F8202D" w:rsidRPr="00FA5387">
        <w:rPr>
          <w:rFonts w:ascii="Palatino Linotype" w:eastAsia="Palatino Linotype" w:hAnsi="Palatino Linotype" w:cs="Palatino Linotype"/>
          <w:color w:val="000000"/>
          <w:sz w:val="24"/>
          <w:szCs w:val="24"/>
        </w:rPr>
        <w:t xml:space="preserve"> lo siguiente:</w:t>
      </w:r>
    </w:p>
    <w:p w:rsidR="00660322" w:rsidRPr="00FA5387" w:rsidRDefault="00660322" w:rsidP="00660322">
      <w:pPr>
        <w:spacing w:line="360" w:lineRule="auto"/>
        <w:jc w:val="both"/>
        <w:rPr>
          <w:rFonts w:ascii="Palatino Linotype" w:eastAsia="Palatino Linotype" w:hAnsi="Palatino Linotype" w:cs="Palatino Linotype"/>
          <w:color w:val="000000"/>
          <w:sz w:val="24"/>
          <w:szCs w:val="24"/>
        </w:rPr>
      </w:pPr>
    </w:p>
    <w:p w:rsidR="00387D7F" w:rsidRPr="00FA5387" w:rsidRDefault="00F8202D" w:rsidP="00360B80">
      <w:pPr>
        <w:pStyle w:val="Prrafodelista"/>
        <w:numPr>
          <w:ilvl w:val="0"/>
          <w:numId w:val="22"/>
        </w:numPr>
        <w:tabs>
          <w:tab w:val="left" w:pos="774"/>
        </w:tabs>
        <w:spacing w:line="360" w:lineRule="auto"/>
        <w:ind w:right="1955"/>
        <w:jc w:val="both"/>
        <w:rPr>
          <w:rFonts w:ascii="Palatino Linotype" w:hAnsi="Palatino Linotype"/>
          <w:b/>
          <w:i/>
          <w:color w:val="000000"/>
          <w:sz w:val="24"/>
        </w:rPr>
      </w:pPr>
      <w:r w:rsidRPr="00FA5387">
        <w:rPr>
          <w:rFonts w:ascii="Palatino Linotype" w:hAnsi="Palatino Linotype"/>
          <w:b/>
          <w:i/>
          <w:color w:val="000000"/>
          <w:sz w:val="24"/>
        </w:rPr>
        <w:t xml:space="preserve">Todos los documentos faltantes que conformaban los expedientes relacionados a los Recursos de Revisión: </w:t>
      </w:r>
      <w:r w:rsidR="0048577C" w:rsidRPr="00FA5387">
        <w:rPr>
          <w:rFonts w:ascii="Palatino Linotype" w:hAnsi="Palatino Linotype"/>
          <w:b/>
          <w:i/>
          <w:color w:val="000000"/>
          <w:sz w:val="24"/>
        </w:rPr>
        <w:t xml:space="preserve"> </w:t>
      </w:r>
    </w:p>
    <w:p w:rsidR="00360B80" w:rsidRPr="00FA5387" w:rsidRDefault="00360B80" w:rsidP="00360B80">
      <w:pPr>
        <w:pBdr>
          <w:top w:val="nil"/>
          <w:left w:val="nil"/>
          <w:bottom w:val="nil"/>
          <w:right w:val="nil"/>
          <w:between w:val="nil"/>
        </w:pBdr>
        <w:ind w:left="1418" w:right="1814"/>
        <w:jc w:val="both"/>
        <w:rPr>
          <w:rFonts w:ascii="Palatino Linotype" w:hAnsi="Palatino Linotype"/>
          <w:b/>
          <w:i/>
          <w:color w:val="000000"/>
          <w:sz w:val="24"/>
          <w:szCs w:val="24"/>
        </w:rPr>
      </w:pPr>
      <w:r w:rsidRPr="00FA5387">
        <w:rPr>
          <w:rFonts w:ascii="Palatino Linotype" w:hAnsi="Palatino Linotype" w:cs="Arial"/>
          <w:b/>
          <w:i/>
          <w:sz w:val="24"/>
          <w:szCs w:val="24"/>
        </w:rPr>
        <w:t xml:space="preserve">12404/INFOEM/IP/RR/2025, 12409/INFOEM/IP/RR/2025, 12412/INFOEM/IP/RR/2025, 12416/INFOEM/IP/RR/2025, 12419/INFOEM/IP/RR/2025, 12423/INFOEM/IP/RR/2025, 12429/INFOEM/IP/RR/2025, 12432/INFOEM/IP/RR/2025, 12436/INFOEM/IP/RR/2025, 12442/INFOEM/IP/RR/2025, 12450/INFOEM/IP/RR/2025, 12459/INFOEM/IP/RR/2025, 12465/INFOEM/IP/RR/2025, 12470/INFOEM/IP/RR/2025, 12474/INFOEM/IP/RR/2025, 12478/INFOEM/IP/RR/2025, 12483/INFOEM/IP/RR/2025, 12490/INFOEM/IP/RR/2025, 12493/INFOEM/IP/RR/2025 y 12498/INFOEM/IP/RR/2025.  </w:t>
      </w:r>
    </w:p>
    <w:p w:rsidR="00F8202D" w:rsidRPr="00FA5387" w:rsidRDefault="00F8202D" w:rsidP="00F8202D">
      <w:pPr>
        <w:tabs>
          <w:tab w:val="left" w:pos="774"/>
        </w:tabs>
        <w:spacing w:line="360" w:lineRule="auto"/>
        <w:ind w:left="774" w:right="1247"/>
        <w:jc w:val="both"/>
        <w:rPr>
          <w:rFonts w:ascii="Palatino Linotype" w:eastAsia="Calibri" w:hAnsi="Palatino Linotype" w:cs="Arial"/>
          <w:b/>
          <w:bCs/>
          <w:i/>
          <w:sz w:val="24"/>
          <w:szCs w:val="24"/>
        </w:rPr>
      </w:pPr>
    </w:p>
    <w:p w:rsidR="00360B80" w:rsidRPr="00FA5387" w:rsidRDefault="00360B80" w:rsidP="00360B80">
      <w:pPr>
        <w:ind w:left="851" w:right="1388"/>
        <w:jc w:val="both"/>
        <w:rPr>
          <w:rFonts w:ascii="Palatino Linotype" w:eastAsia="Palatino Linotype" w:hAnsi="Palatino Linotype" w:cs="Palatino Linotype"/>
          <w:i/>
          <w:sz w:val="24"/>
          <w:szCs w:val="24"/>
        </w:rPr>
      </w:pPr>
      <w:r w:rsidRPr="00FA5387">
        <w:rPr>
          <w:rFonts w:ascii="Palatino Linotype" w:eastAsia="Palatino Linotype" w:hAnsi="Palatino Linotype" w:cs="Palatino Linotype"/>
          <w:i/>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rsidR="004C1008" w:rsidRPr="00FA5387" w:rsidRDefault="004C1008" w:rsidP="004C1008">
      <w:pPr>
        <w:autoSpaceDE w:val="0"/>
        <w:autoSpaceDN w:val="0"/>
        <w:adjustRightInd w:val="0"/>
        <w:spacing w:line="360" w:lineRule="auto"/>
        <w:ind w:right="51"/>
        <w:jc w:val="both"/>
        <w:rPr>
          <w:rFonts w:ascii="Palatino Linotype" w:eastAsia="Calibri" w:hAnsi="Palatino Linotype" w:cs="Arial"/>
          <w:color w:val="000000" w:themeColor="text1"/>
          <w:sz w:val="24"/>
          <w:szCs w:val="24"/>
        </w:rPr>
      </w:pPr>
    </w:p>
    <w:p w:rsidR="00660322" w:rsidRPr="00FA5387" w:rsidRDefault="00660322" w:rsidP="00660322">
      <w:pPr>
        <w:tabs>
          <w:tab w:val="left" w:pos="8080"/>
        </w:tabs>
        <w:spacing w:line="360" w:lineRule="auto"/>
        <w:jc w:val="both"/>
        <w:rPr>
          <w:rFonts w:ascii="Palatino Linotype" w:eastAsia="Palatino Linotype" w:hAnsi="Palatino Linotype" w:cs="Palatino Linotype"/>
          <w:color w:val="222222"/>
          <w:sz w:val="24"/>
          <w:szCs w:val="24"/>
        </w:rPr>
      </w:pPr>
      <w:r w:rsidRPr="00FA5387">
        <w:rPr>
          <w:rFonts w:ascii="Palatino Linotype" w:eastAsia="Palatino Linotype" w:hAnsi="Palatino Linotype" w:cs="Palatino Linotype"/>
          <w:b/>
          <w:sz w:val="24"/>
          <w:szCs w:val="24"/>
        </w:rPr>
        <w:t xml:space="preserve">TERCERO. </w:t>
      </w:r>
      <w:r w:rsidRPr="00FA5387">
        <w:rPr>
          <w:rFonts w:ascii="Palatino Linotype" w:eastAsia="Palatino Linotype" w:hAnsi="Palatino Linotype" w:cs="Palatino Linotype"/>
          <w:color w:val="222222"/>
          <w:sz w:val="24"/>
          <w:szCs w:val="24"/>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A5387">
        <w:rPr>
          <w:rFonts w:ascii="Palatino Linotype" w:eastAsia="Palatino Linotype" w:hAnsi="Palatino Linotype" w:cs="Palatino Linotype"/>
          <w:b/>
          <w:color w:val="222222"/>
          <w:sz w:val="24"/>
          <w:szCs w:val="24"/>
        </w:rPr>
        <w:t xml:space="preserve">dé cumplimiento a lo ordenado dentro del plazo de diez </w:t>
      </w:r>
      <w:r w:rsidRPr="00FA5387">
        <w:rPr>
          <w:rFonts w:ascii="Palatino Linotype" w:eastAsia="Palatino Linotype" w:hAnsi="Palatino Linotype" w:cs="Palatino Linotype"/>
          <w:b/>
          <w:color w:val="222222"/>
          <w:sz w:val="24"/>
          <w:szCs w:val="24"/>
        </w:rPr>
        <w:lastRenderedPageBreak/>
        <w:t xml:space="preserve">días hábiles, </w:t>
      </w:r>
      <w:r w:rsidRPr="00FA5387">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660322" w:rsidRPr="00FA5387" w:rsidRDefault="00660322" w:rsidP="00660322">
      <w:pPr>
        <w:spacing w:line="480" w:lineRule="auto"/>
        <w:jc w:val="both"/>
        <w:rPr>
          <w:rFonts w:ascii="Palatino Linotype" w:eastAsia="Palatino Linotype" w:hAnsi="Palatino Linotype" w:cs="Palatino Linotype"/>
          <w:sz w:val="24"/>
          <w:szCs w:val="24"/>
        </w:rPr>
      </w:pPr>
    </w:p>
    <w:p w:rsidR="00660322" w:rsidRPr="00FA5387" w:rsidRDefault="00660322" w:rsidP="00660322">
      <w:pPr>
        <w:spacing w:line="360" w:lineRule="auto"/>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b/>
          <w:sz w:val="24"/>
          <w:szCs w:val="24"/>
        </w:rPr>
        <w:t xml:space="preserve">CUARTO. </w:t>
      </w:r>
      <w:r w:rsidRPr="00FA5387">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660322" w:rsidRPr="00FA5387" w:rsidRDefault="00660322" w:rsidP="00660322">
      <w:pPr>
        <w:spacing w:line="480" w:lineRule="auto"/>
        <w:jc w:val="both"/>
        <w:rPr>
          <w:rFonts w:ascii="Palatino Linotype" w:eastAsia="Palatino Linotype" w:hAnsi="Palatino Linotype" w:cs="Palatino Linotype"/>
          <w:sz w:val="24"/>
          <w:szCs w:val="24"/>
        </w:rPr>
      </w:pPr>
    </w:p>
    <w:p w:rsidR="00660322" w:rsidRPr="00FA5387" w:rsidRDefault="00660322" w:rsidP="00660322">
      <w:pPr>
        <w:spacing w:line="360" w:lineRule="auto"/>
        <w:ind w:right="49"/>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b/>
          <w:sz w:val="24"/>
          <w:szCs w:val="24"/>
        </w:rPr>
        <w:t xml:space="preserve">QUINTO. </w:t>
      </w:r>
      <w:r w:rsidRPr="00FA5387">
        <w:rPr>
          <w:rFonts w:ascii="Palatino Linotype" w:eastAsia="Palatino Linotype" w:hAnsi="Palatino Linotype" w:cs="Palatino Linotype"/>
          <w:b/>
          <w:color w:val="222222"/>
          <w:sz w:val="24"/>
          <w:szCs w:val="24"/>
        </w:rPr>
        <w:t xml:space="preserve">Notifíquese </w:t>
      </w:r>
      <w:r w:rsidRPr="00FA5387">
        <w:rPr>
          <w:rFonts w:ascii="Palatino Linotype" w:eastAsia="Palatino Linotype" w:hAnsi="Palatino Linotype" w:cs="Palatino Linotype"/>
          <w:color w:val="222222"/>
          <w:sz w:val="24"/>
          <w:szCs w:val="24"/>
        </w:rPr>
        <w:t xml:space="preserve">a </w:t>
      </w:r>
      <w:r w:rsidRPr="00FA5387">
        <w:rPr>
          <w:rFonts w:ascii="Palatino Linotype" w:eastAsia="Palatino Linotype" w:hAnsi="Palatino Linotype" w:cs="Palatino Linotype"/>
          <w:b/>
          <w:sz w:val="24"/>
          <w:szCs w:val="24"/>
        </w:rPr>
        <w:t>LA RECURRENTE</w:t>
      </w:r>
      <w:r w:rsidRPr="00FA5387">
        <w:rPr>
          <w:rFonts w:ascii="Palatino Linotype" w:eastAsia="Palatino Linotype" w:hAnsi="Palatino Linotype" w:cs="Palatino Linotype"/>
          <w:sz w:val="24"/>
          <w:szCs w:val="24"/>
        </w:rPr>
        <w:t xml:space="preserve"> la presente resolución, vía SAIMEX.</w:t>
      </w:r>
    </w:p>
    <w:p w:rsidR="00660322" w:rsidRPr="00FA5387" w:rsidRDefault="00660322" w:rsidP="00660322">
      <w:pPr>
        <w:spacing w:line="480" w:lineRule="auto"/>
        <w:ind w:right="49"/>
        <w:jc w:val="both"/>
        <w:rPr>
          <w:rFonts w:ascii="Palatino Linotype" w:eastAsia="Palatino Linotype" w:hAnsi="Palatino Linotype" w:cs="Palatino Linotype"/>
          <w:sz w:val="24"/>
          <w:szCs w:val="24"/>
        </w:rPr>
      </w:pPr>
    </w:p>
    <w:p w:rsidR="00660322" w:rsidRPr="00FA5387" w:rsidRDefault="00660322" w:rsidP="00660322">
      <w:pPr>
        <w:spacing w:line="360" w:lineRule="auto"/>
        <w:ind w:right="49"/>
        <w:jc w:val="both"/>
        <w:rPr>
          <w:rFonts w:ascii="Palatino Linotype" w:eastAsia="Palatino Linotype" w:hAnsi="Palatino Linotype" w:cs="Palatino Linotype"/>
          <w:sz w:val="24"/>
          <w:szCs w:val="24"/>
        </w:rPr>
      </w:pPr>
      <w:r w:rsidRPr="00FA5387">
        <w:rPr>
          <w:rFonts w:ascii="Palatino Linotype" w:eastAsia="Palatino Linotype" w:hAnsi="Palatino Linotype" w:cs="Palatino Linotype"/>
          <w:b/>
          <w:sz w:val="24"/>
          <w:szCs w:val="24"/>
        </w:rPr>
        <w:t>SEXTO.</w:t>
      </w:r>
      <w:r w:rsidRPr="00FA5387">
        <w:rPr>
          <w:rFonts w:ascii="Palatino Linotype" w:eastAsia="Palatino Linotype" w:hAnsi="Palatino Linotype" w:cs="Palatino Linotype"/>
          <w:sz w:val="24"/>
          <w:szCs w:val="24"/>
        </w:rPr>
        <w:t xml:space="preserve"> Se hace del conocimiento de </w:t>
      </w:r>
      <w:r w:rsidRPr="00FA5387">
        <w:rPr>
          <w:rFonts w:ascii="Palatino Linotype" w:eastAsia="Palatino Linotype" w:hAnsi="Palatino Linotype" w:cs="Palatino Linotype"/>
          <w:b/>
          <w:sz w:val="24"/>
          <w:szCs w:val="24"/>
        </w:rPr>
        <w:t>LA RECURRENTE</w:t>
      </w:r>
      <w:r w:rsidRPr="00FA5387">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660322" w:rsidRPr="00FA5387" w:rsidRDefault="00660322" w:rsidP="00660322">
      <w:pPr>
        <w:spacing w:line="360" w:lineRule="auto"/>
        <w:ind w:right="49"/>
        <w:jc w:val="both"/>
        <w:rPr>
          <w:rFonts w:ascii="Palatino Linotype" w:eastAsia="Palatino Linotype" w:hAnsi="Palatino Linotype" w:cs="Palatino Linotype"/>
          <w:sz w:val="24"/>
          <w:szCs w:val="24"/>
        </w:rPr>
      </w:pPr>
    </w:p>
    <w:p w:rsidR="009F7BBC" w:rsidRPr="00FA5387" w:rsidRDefault="009F7BBC" w:rsidP="009F7BBC">
      <w:pPr>
        <w:spacing w:before="240" w:after="240" w:line="360" w:lineRule="auto"/>
        <w:ind w:firstLine="1"/>
        <w:jc w:val="both"/>
        <w:rPr>
          <w:rFonts w:ascii="Palatino Linotype" w:hAnsi="Palatino Linotype"/>
          <w:sz w:val="24"/>
          <w:szCs w:val="24"/>
        </w:rPr>
      </w:pPr>
      <w:bookmarkStart w:id="91" w:name="_Hlk99014733"/>
      <w:r w:rsidRPr="00FA5387">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w:t>
      </w:r>
      <w:r w:rsidRPr="00FA5387">
        <w:rPr>
          <w:rFonts w:ascii="Palatino Linotype" w:hAnsi="Palatino Linotype" w:cs="Palatino Linotype"/>
          <w:sz w:val="24"/>
          <w:szCs w:val="24"/>
        </w:rPr>
        <w:lastRenderedPageBreak/>
        <w:t xml:space="preserve">AYALA, SHARON CRISTINA MORALES MARTÍNEZ, LUIS GUSTAVO PARRA NORIEGA Y GUADALUPE RAMÍREZ PEÑA; EN LA OCTAVA SESIÓN ORDINARIA, CELEBRADA EL CINCO (05) DE MARZO DE DOS MIL VEINTISÉIS, ANTE EL SECRETARIO TÉCNICO DEL PLENO </w:t>
      </w:r>
      <w:r w:rsidRPr="00FA5387">
        <w:rPr>
          <w:rFonts w:ascii="Palatino Linotype" w:hAnsi="Palatino Linotype" w:cs="Palatino Linotype"/>
          <w:color w:val="000000" w:themeColor="text1"/>
          <w:sz w:val="24"/>
          <w:szCs w:val="24"/>
        </w:rPr>
        <w:t>ALEXIS TAPIA RAMÍREZ.</w:t>
      </w:r>
    </w:p>
    <w:bookmarkEnd w:id="91"/>
    <w:p w:rsidR="00660322" w:rsidRPr="00FA5387" w:rsidRDefault="00660322" w:rsidP="00660322">
      <w:pPr>
        <w:spacing w:line="360" w:lineRule="auto"/>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660322" w:rsidRPr="00FA5387" w:rsidRDefault="00660322" w:rsidP="00660322">
      <w:pPr>
        <w:rPr>
          <w:rFonts w:ascii="Palatino Linotype" w:hAnsi="Palatino Linotype"/>
          <w:sz w:val="24"/>
          <w:szCs w:val="24"/>
        </w:rPr>
      </w:pPr>
    </w:p>
    <w:p w:rsidR="00FC537E" w:rsidRPr="00FA5387" w:rsidRDefault="00FC537E"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p w:rsidR="00FD2F28" w:rsidRPr="00FA5387" w:rsidRDefault="00FD2F28" w:rsidP="00660322">
      <w:pPr>
        <w:rPr>
          <w:rFonts w:eastAsia="Palatino Linotype"/>
          <w:sz w:val="24"/>
          <w:szCs w:val="24"/>
        </w:rPr>
      </w:pPr>
    </w:p>
    <w:sectPr w:rsidR="00FD2F28" w:rsidRPr="00FA5387" w:rsidSect="003C07F7">
      <w:headerReference w:type="even" r:id="rId33"/>
      <w:headerReference w:type="default" r:id="rId34"/>
      <w:footerReference w:type="default" r:id="rId35"/>
      <w:headerReference w:type="first" r:id="rId36"/>
      <w:footerReference w:type="first" r:id="rId37"/>
      <w:pgSz w:w="12240" w:h="15840"/>
      <w:pgMar w:top="80" w:right="900" w:bottom="226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A8C" w:rsidRDefault="00F77A8C">
      <w:r>
        <w:separator/>
      </w:r>
    </w:p>
  </w:endnote>
  <w:endnote w:type="continuationSeparator" w:id="0">
    <w:p w:rsidR="00F77A8C" w:rsidRDefault="00F7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77" w:rsidRDefault="00D27977">
    <w:pPr>
      <w:pBdr>
        <w:top w:val="nil"/>
        <w:left w:val="nil"/>
        <w:bottom w:val="nil"/>
        <w:right w:val="nil"/>
        <w:between w:val="nil"/>
      </w:pBdr>
      <w:tabs>
        <w:tab w:val="center" w:pos="4419"/>
        <w:tab w:val="right" w:pos="8838"/>
      </w:tabs>
      <w:jc w:val="right"/>
      <w:rPr>
        <w:color w:val="000000"/>
      </w:rPr>
    </w:pPr>
  </w:p>
  <w:p w:rsidR="00D27977" w:rsidRPr="00FA5387" w:rsidRDefault="00D27977">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FA5387">
      <w:rPr>
        <w:rFonts w:ascii="Palatino Linotype" w:hAnsi="Palatino Linotype"/>
        <w:b/>
        <w:color w:val="000000"/>
        <w:sz w:val="22"/>
        <w:szCs w:val="22"/>
      </w:rPr>
      <w:t xml:space="preserve">Página </w:t>
    </w:r>
    <w:r w:rsidRPr="00FA5387">
      <w:rPr>
        <w:rFonts w:ascii="Palatino Linotype" w:hAnsi="Palatino Linotype"/>
        <w:b/>
        <w:color w:val="000000"/>
        <w:sz w:val="22"/>
        <w:szCs w:val="22"/>
      </w:rPr>
      <w:fldChar w:fldCharType="begin"/>
    </w:r>
    <w:r w:rsidRPr="00FA5387">
      <w:rPr>
        <w:rFonts w:ascii="Palatino Linotype" w:hAnsi="Palatino Linotype"/>
        <w:b/>
        <w:color w:val="000000"/>
        <w:sz w:val="22"/>
        <w:szCs w:val="22"/>
      </w:rPr>
      <w:instrText>PAGE</w:instrText>
    </w:r>
    <w:r w:rsidRPr="00FA5387">
      <w:rPr>
        <w:rFonts w:ascii="Palatino Linotype" w:hAnsi="Palatino Linotype"/>
        <w:b/>
        <w:color w:val="000000"/>
        <w:sz w:val="22"/>
        <w:szCs w:val="22"/>
      </w:rPr>
      <w:fldChar w:fldCharType="separate"/>
    </w:r>
    <w:r w:rsidR="00D16A7F">
      <w:rPr>
        <w:rFonts w:ascii="Palatino Linotype" w:hAnsi="Palatino Linotype"/>
        <w:b/>
        <w:noProof/>
        <w:color w:val="000000"/>
        <w:sz w:val="22"/>
        <w:szCs w:val="22"/>
      </w:rPr>
      <w:t>2</w:t>
    </w:r>
    <w:r w:rsidRPr="00FA5387">
      <w:rPr>
        <w:rFonts w:ascii="Palatino Linotype" w:hAnsi="Palatino Linotype"/>
        <w:b/>
        <w:color w:val="000000"/>
        <w:sz w:val="22"/>
        <w:szCs w:val="22"/>
      </w:rPr>
      <w:fldChar w:fldCharType="end"/>
    </w:r>
    <w:r w:rsidRPr="00FA5387">
      <w:rPr>
        <w:rFonts w:ascii="Palatino Linotype" w:hAnsi="Palatino Linotype"/>
        <w:b/>
        <w:color w:val="000000"/>
        <w:sz w:val="22"/>
        <w:szCs w:val="22"/>
      </w:rPr>
      <w:t xml:space="preserve"> de </w:t>
    </w:r>
    <w:r w:rsidRPr="00FA5387">
      <w:rPr>
        <w:rFonts w:ascii="Palatino Linotype" w:hAnsi="Palatino Linotype"/>
        <w:b/>
        <w:color w:val="000000"/>
        <w:sz w:val="22"/>
        <w:szCs w:val="22"/>
      </w:rPr>
      <w:fldChar w:fldCharType="begin"/>
    </w:r>
    <w:r w:rsidRPr="00FA5387">
      <w:rPr>
        <w:rFonts w:ascii="Palatino Linotype" w:hAnsi="Palatino Linotype"/>
        <w:b/>
        <w:color w:val="000000"/>
        <w:sz w:val="22"/>
        <w:szCs w:val="22"/>
      </w:rPr>
      <w:instrText>NUMPAGES</w:instrText>
    </w:r>
    <w:r w:rsidRPr="00FA5387">
      <w:rPr>
        <w:rFonts w:ascii="Palatino Linotype" w:hAnsi="Palatino Linotype"/>
        <w:b/>
        <w:color w:val="000000"/>
        <w:sz w:val="22"/>
        <w:szCs w:val="22"/>
      </w:rPr>
      <w:fldChar w:fldCharType="separate"/>
    </w:r>
    <w:r w:rsidR="00D16A7F">
      <w:rPr>
        <w:rFonts w:ascii="Palatino Linotype" w:hAnsi="Palatino Linotype"/>
        <w:b/>
        <w:noProof/>
        <w:color w:val="000000"/>
        <w:sz w:val="22"/>
        <w:szCs w:val="22"/>
      </w:rPr>
      <w:t>62</w:t>
    </w:r>
    <w:r w:rsidRPr="00FA5387">
      <w:rPr>
        <w:rFonts w:ascii="Palatino Linotype" w:hAnsi="Palatino Linotype"/>
        <w:b/>
        <w:color w:val="000000"/>
        <w:sz w:val="22"/>
        <w:szCs w:val="22"/>
      </w:rPr>
      <w:fldChar w:fldCharType="end"/>
    </w:r>
  </w:p>
  <w:p w:rsidR="00D27977" w:rsidRDefault="00D27977">
    <w:pPr>
      <w:pBdr>
        <w:top w:val="nil"/>
        <w:left w:val="nil"/>
        <w:bottom w:val="nil"/>
        <w:right w:val="nil"/>
        <w:between w:val="nil"/>
      </w:pBdr>
      <w:tabs>
        <w:tab w:val="center" w:pos="4419"/>
        <w:tab w:val="right" w:pos="8838"/>
      </w:tabs>
      <w:rPr>
        <w:color w:val="000000"/>
      </w:rPr>
    </w:pPr>
  </w:p>
  <w:p w:rsidR="00D27977" w:rsidRDefault="00D27977"/>
  <w:p w:rsidR="00D27977" w:rsidRDefault="00D27977"/>
  <w:p w:rsidR="00D27977" w:rsidRDefault="00D279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77" w:rsidRPr="00FA5387" w:rsidRDefault="00D27977">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FA5387">
      <w:rPr>
        <w:rFonts w:ascii="Palatino Linotype" w:hAnsi="Palatino Linotype"/>
        <w:b/>
        <w:color w:val="000000"/>
        <w:sz w:val="22"/>
        <w:szCs w:val="22"/>
      </w:rPr>
      <w:t xml:space="preserve">Página </w:t>
    </w:r>
    <w:r w:rsidRPr="00FA5387">
      <w:rPr>
        <w:rFonts w:ascii="Palatino Linotype" w:hAnsi="Palatino Linotype"/>
        <w:b/>
        <w:color w:val="000000"/>
        <w:sz w:val="22"/>
        <w:szCs w:val="22"/>
      </w:rPr>
      <w:fldChar w:fldCharType="begin"/>
    </w:r>
    <w:r w:rsidRPr="00FA5387">
      <w:rPr>
        <w:rFonts w:ascii="Palatino Linotype" w:hAnsi="Palatino Linotype"/>
        <w:b/>
        <w:color w:val="000000"/>
        <w:sz w:val="22"/>
        <w:szCs w:val="22"/>
      </w:rPr>
      <w:instrText>PAGE</w:instrText>
    </w:r>
    <w:r w:rsidRPr="00FA5387">
      <w:rPr>
        <w:rFonts w:ascii="Palatino Linotype" w:hAnsi="Palatino Linotype"/>
        <w:b/>
        <w:color w:val="000000"/>
        <w:sz w:val="22"/>
        <w:szCs w:val="22"/>
      </w:rPr>
      <w:fldChar w:fldCharType="separate"/>
    </w:r>
    <w:r w:rsidR="00D16A7F">
      <w:rPr>
        <w:rFonts w:ascii="Palatino Linotype" w:hAnsi="Palatino Linotype"/>
        <w:b/>
        <w:noProof/>
        <w:color w:val="000000"/>
        <w:sz w:val="22"/>
        <w:szCs w:val="22"/>
      </w:rPr>
      <w:t>1</w:t>
    </w:r>
    <w:r w:rsidRPr="00FA5387">
      <w:rPr>
        <w:rFonts w:ascii="Palatino Linotype" w:hAnsi="Palatino Linotype"/>
        <w:b/>
        <w:color w:val="000000"/>
        <w:sz w:val="22"/>
        <w:szCs w:val="22"/>
      </w:rPr>
      <w:fldChar w:fldCharType="end"/>
    </w:r>
    <w:r w:rsidRPr="00FA5387">
      <w:rPr>
        <w:rFonts w:ascii="Palatino Linotype" w:hAnsi="Palatino Linotype"/>
        <w:b/>
        <w:color w:val="000000"/>
        <w:sz w:val="22"/>
        <w:szCs w:val="22"/>
      </w:rPr>
      <w:t xml:space="preserve"> de </w:t>
    </w:r>
    <w:r w:rsidRPr="00FA5387">
      <w:rPr>
        <w:rFonts w:ascii="Palatino Linotype" w:hAnsi="Palatino Linotype"/>
        <w:b/>
        <w:color w:val="000000"/>
        <w:sz w:val="22"/>
        <w:szCs w:val="22"/>
      </w:rPr>
      <w:fldChar w:fldCharType="begin"/>
    </w:r>
    <w:r w:rsidRPr="00FA5387">
      <w:rPr>
        <w:rFonts w:ascii="Palatino Linotype" w:hAnsi="Palatino Linotype"/>
        <w:b/>
        <w:color w:val="000000"/>
        <w:sz w:val="22"/>
        <w:szCs w:val="22"/>
      </w:rPr>
      <w:instrText>NUMPAGES</w:instrText>
    </w:r>
    <w:r w:rsidRPr="00FA5387">
      <w:rPr>
        <w:rFonts w:ascii="Palatino Linotype" w:hAnsi="Palatino Linotype"/>
        <w:b/>
        <w:color w:val="000000"/>
        <w:sz w:val="22"/>
        <w:szCs w:val="22"/>
      </w:rPr>
      <w:fldChar w:fldCharType="separate"/>
    </w:r>
    <w:r w:rsidR="00D16A7F">
      <w:rPr>
        <w:rFonts w:ascii="Palatino Linotype" w:hAnsi="Palatino Linotype"/>
        <w:b/>
        <w:noProof/>
        <w:color w:val="000000"/>
        <w:sz w:val="22"/>
        <w:szCs w:val="22"/>
      </w:rPr>
      <w:t>62</w:t>
    </w:r>
    <w:r w:rsidRPr="00FA5387">
      <w:rPr>
        <w:rFonts w:ascii="Palatino Linotype" w:hAnsi="Palatino Linotype"/>
        <w:b/>
        <w:color w:val="000000"/>
        <w:sz w:val="22"/>
        <w:szCs w:val="22"/>
      </w:rPr>
      <w:fldChar w:fldCharType="end"/>
    </w:r>
  </w:p>
  <w:p w:rsidR="00D27977" w:rsidRDefault="00D27977">
    <w:pPr>
      <w:pBdr>
        <w:top w:val="nil"/>
        <w:left w:val="nil"/>
        <w:bottom w:val="nil"/>
        <w:right w:val="nil"/>
        <w:between w:val="nil"/>
      </w:pBdr>
      <w:tabs>
        <w:tab w:val="center" w:pos="4419"/>
        <w:tab w:val="right" w:pos="8838"/>
      </w:tabs>
      <w:rPr>
        <w:color w:val="000000"/>
      </w:rPr>
    </w:pPr>
  </w:p>
  <w:p w:rsidR="00D27977" w:rsidRDefault="00D27977"/>
  <w:p w:rsidR="00D27977" w:rsidRDefault="00D27977"/>
  <w:p w:rsidR="00D27977" w:rsidRDefault="00D27977"/>
  <w:p w:rsidR="00D27977" w:rsidRDefault="00D279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A8C" w:rsidRDefault="00F77A8C">
      <w:r>
        <w:separator/>
      </w:r>
    </w:p>
  </w:footnote>
  <w:footnote w:type="continuationSeparator" w:id="0">
    <w:p w:rsidR="00F77A8C" w:rsidRDefault="00F77A8C">
      <w:r>
        <w:continuationSeparator/>
      </w:r>
    </w:p>
  </w:footnote>
  <w:footnote w:id="1">
    <w:p w:rsidR="006473D2" w:rsidRDefault="006473D2" w:rsidP="006473D2">
      <w:pPr>
        <w:pStyle w:val="Textonotapie"/>
      </w:pPr>
      <w:r>
        <w:rPr>
          <w:rStyle w:val="Refdenotaalpie"/>
        </w:rPr>
        <w:footnoteRef/>
      </w:r>
      <w:r>
        <w:t xml:space="preserve"> Ley de Transparencia y Acceso a la Información Pública del Estado de México y Municipios. Artículo 9. …</w:t>
      </w:r>
    </w:p>
    <w:p w:rsidR="006473D2" w:rsidRDefault="006473D2" w:rsidP="006473D2">
      <w:pPr>
        <w:pStyle w:val="Textonotapie"/>
      </w:pPr>
      <w:r>
        <w:t>II. Eficacia: Obligación del Instituto para tutelar, de manera efectiva, el derecho de acceso a la información;</w:t>
      </w:r>
    </w:p>
    <w:p w:rsidR="006473D2" w:rsidRDefault="006473D2" w:rsidP="006473D2">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7977" w:rsidRDefault="00F77A8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663.5pt;height:12in;z-index:-251658752;mso-position-horizontal:center;mso-position-horizontal-relative:margin;mso-position-vertical:center;mso-position-vertical-relative:margin">
          <v:imagedata r:id="rId1" o:title="image2"/>
          <w10:wrap anchorx="margin" anchory="margin"/>
        </v:shape>
      </w:pict>
    </w:r>
  </w:p>
  <w:p w:rsidR="00D27977" w:rsidRDefault="00D27977"/>
  <w:p w:rsidR="00D27977" w:rsidRDefault="00D27977"/>
  <w:p w:rsidR="00D27977" w:rsidRDefault="00D279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6" w:type="dxa"/>
      <w:tblLayout w:type="fixed"/>
      <w:tblLook w:val="0400" w:firstRow="0" w:lastRow="0" w:firstColumn="0" w:lastColumn="0" w:noHBand="0" w:noVBand="1"/>
    </w:tblPr>
    <w:tblGrid>
      <w:gridCol w:w="1843"/>
      <w:gridCol w:w="8363"/>
    </w:tblGrid>
    <w:tr w:rsidR="00D27977" w:rsidTr="00FA5387">
      <w:trPr>
        <w:trHeight w:val="1435"/>
      </w:trPr>
      <w:tc>
        <w:tcPr>
          <w:tcW w:w="1843" w:type="dxa"/>
          <w:shd w:val="clear" w:color="auto" w:fill="auto"/>
        </w:tcPr>
        <w:p w:rsidR="00D27977" w:rsidRDefault="00D27977">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363" w:type="dxa"/>
          <w:shd w:val="clear" w:color="auto" w:fill="auto"/>
        </w:tcPr>
        <w:tbl>
          <w:tblPr>
            <w:tblStyle w:val="a"/>
            <w:tblW w:w="16653" w:type="dxa"/>
            <w:tblInd w:w="884" w:type="dxa"/>
            <w:tblBorders>
              <w:top w:val="nil"/>
              <w:left w:val="nil"/>
              <w:bottom w:val="nil"/>
              <w:right w:val="nil"/>
              <w:insideH w:val="nil"/>
              <w:insideV w:val="nil"/>
            </w:tblBorders>
            <w:tblLayout w:type="fixed"/>
            <w:tblLook w:val="0400" w:firstRow="0" w:lastRow="0" w:firstColumn="0" w:lastColumn="0" w:noHBand="0" w:noVBand="1"/>
          </w:tblPr>
          <w:tblGrid>
            <w:gridCol w:w="990"/>
            <w:gridCol w:w="1564"/>
            <w:gridCol w:w="851"/>
            <w:gridCol w:w="4675"/>
            <w:gridCol w:w="248"/>
            <w:gridCol w:w="4675"/>
            <w:gridCol w:w="248"/>
            <w:gridCol w:w="3154"/>
            <w:gridCol w:w="248"/>
          </w:tblGrid>
          <w:tr w:rsidR="00D27977" w:rsidTr="00FA5387">
            <w:trPr>
              <w:gridAfter w:val="1"/>
              <w:wAfter w:w="248" w:type="dxa"/>
              <w:trHeight w:val="144"/>
            </w:trPr>
            <w:tc>
              <w:tcPr>
                <w:tcW w:w="2554" w:type="dxa"/>
                <w:gridSpan w:val="2"/>
              </w:tcPr>
              <w:p w:rsidR="00D27977" w:rsidRPr="00FA5387" w:rsidRDefault="00D27977" w:rsidP="00660322">
                <w:pPr>
                  <w:tabs>
                    <w:tab w:val="right" w:pos="8838"/>
                  </w:tabs>
                  <w:ind w:left="-74" w:right="-105"/>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t>Recurso de Revisión:</w:t>
                </w:r>
              </w:p>
            </w:tc>
            <w:tc>
              <w:tcPr>
                <w:tcW w:w="5526" w:type="dxa"/>
                <w:gridSpan w:val="2"/>
                <w:vAlign w:val="center"/>
              </w:tcPr>
              <w:p w:rsidR="00D27977" w:rsidRPr="00FA5387" w:rsidRDefault="00D27977" w:rsidP="00FA5387">
                <w:pPr>
                  <w:jc w:val="both"/>
                  <w:rPr>
                    <w:rFonts w:ascii="Palatino Linotype" w:hAnsi="Palatino Linotype"/>
                    <w:sz w:val="24"/>
                    <w:szCs w:val="24"/>
                    <w:lang w:val="es-ES_tradnl"/>
                  </w:rPr>
                </w:pPr>
                <w:r w:rsidRPr="00FA5387">
                  <w:rPr>
                    <w:rFonts w:ascii="Palatino Linotype" w:hAnsi="Palatino Linotype" w:cs="Arial"/>
                    <w:bCs/>
                    <w:sz w:val="24"/>
                    <w:szCs w:val="24"/>
                  </w:rPr>
                  <w:t>01523/INFOEM/IP/RR/2026 y acu</w:t>
                </w:r>
                <w:r w:rsidR="00FA5387" w:rsidRPr="00FA5387">
                  <w:rPr>
                    <w:rFonts w:ascii="Palatino Linotype" w:hAnsi="Palatino Linotype" w:cs="Arial"/>
                    <w:bCs/>
                    <w:sz w:val="24"/>
                    <w:szCs w:val="24"/>
                  </w:rPr>
                  <w:t>mulados</w:t>
                </w:r>
              </w:p>
            </w:tc>
            <w:tc>
              <w:tcPr>
                <w:tcW w:w="4923" w:type="dxa"/>
                <w:gridSpan w:val="2"/>
              </w:tcPr>
              <w:p w:rsidR="00D27977" w:rsidRDefault="00D27977" w:rsidP="00660322">
                <w:pPr>
                  <w:tabs>
                    <w:tab w:val="right" w:pos="8838"/>
                  </w:tabs>
                  <w:ind w:left="-3"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06653/INFOEM/ICR-102/IP/RR/2025</w:t>
                </w:r>
              </w:p>
            </w:tc>
            <w:tc>
              <w:tcPr>
                <w:tcW w:w="3402" w:type="dxa"/>
                <w:gridSpan w:val="2"/>
              </w:tcPr>
              <w:p w:rsidR="00D27977" w:rsidRDefault="00D27977" w:rsidP="00660322">
                <w:pPr>
                  <w:tabs>
                    <w:tab w:val="right" w:pos="8838"/>
                  </w:tabs>
                  <w:ind w:left="-74" w:right="-105"/>
                  <w:jc w:val="both"/>
                  <w:rPr>
                    <w:rFonts w:ascii="Palatino Linotype" w:eastAsia="Palatino Linotype" w:hAnsi="Palatino Linotype" w:cs="Palatino Linotype"/>
                    <w:sz w:val="22"/>
                    <w:szCs w:val="22"/>
                  </w:rPr>
                </w:pPr>
              </w:p>
            </w:tc>
          </w:tr>
          <w:tr w:rsidR="00D27977" w:rsidTr="00FA5387">
            <w:trPr>
              <w:gridAfter w:val="1"/>
              <w:wAfter w:w="248" w:type="dxa"/>
              <w:trHeight w:val="283"/>
            </w:trPr>
            <w:tc>
              <w:tcPr>
                <w:tcW w:w="2554" w:type="dxa"/>
                <w:gridSpan w:val="2"/>
              </w:tcPr>
              <w:p w:rsidR="00D27977" w:rsidRPr="00FA5387" w:rsidRDefault="00D27977" w:rsidP="00660322">
                <w:pPr>
                  <w:tabs>
                    <w:tab w:val="right" w:pos="8838"/>
                  </w:tabs>
                  <w:ind w:left="-74" w:right="-105"/>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t>Sujeto Obligado:</w:t>
                </w:r>
              </w:p>
            </w:tc>
            <w:tc>
              <w:tcPr>
                <w:tcW w:w="5526" w:type="dxa"/>
                <w:gridSpan w:val="2"/>
                <w:vAlign w:val="center"/>
              </w:tcPr>
              <w:p w:rsidR="00D27977" w:rsidRPr="00FA5387" w:rsidRDefault="00D27977" w:rsidP="00E81CB0">
                <w:pPr>
                  <w:jc w:val="both"/>
                  <w:rPr>
                    <w:rFonts w:ascii="Palatino Linotype" w:hAnsi="Palatino Linotype" w:cs="Arial"/>
                    <w:bCs/>
                    <w:sz w:val="24"/>
                    <w:szCs w:val="24"/>
                  </w:rPr>
                </w:pPr>
                <w:r w:rsidRPr="00FA5387">
                  <w:rPr>
                    <w:rFonts w:ascii="Palatino Linotype" w:hAnsi="Palatino Linotype"/>
                    <w:sz w:val="24"/>
                    <w:szCs w:val="24"/>
                    <w:lang w:val="es-ES_tradnl"/>
                  </w:rPr>
                  <w:t>Ayuntamiento de Toluca</w:t>
                </w:r>
              </w:p>
            </w:tc>
            <w:tc>
              <w:tcPr>
                <w:tcW w:w="4923" w:type="dxa"/>
                <w:gridSpan w:val="2"/>
              </w:tcPr>
              <w:p w:rsidR="00D27977" w:rsidRDefault="00D27977" w:rsidP="00660322">
                <w:pPr>
                  <w:tabs>
                    <w:tab w:val="left" w:pos="2834"/>
                    <w:tab w:val="right" w:pos="8838"/>
                  </w:tabs>
                  <w:ind w:left="-3" w:right="131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Ayuntamiento de Chiconcuac</w:t>
                </w:r>
              </w:p>
            </w:tc>
            <w:tc>
              <w:tcPr>
                <w:tcW w:w="3402" w:type="dxa"/>
                <w:gridSpan w:val="2"/>
              </w:tcPr>
              <w:p w:rsidR="00D27977" w:rsidRDefault="00D27977" w:rsidP="00660322">
                <w:pPr>
                  <w:tabs>
                    <w:tab w:val="left" w:pos="2834"/>
                    <w:tab w:val="right" w:pos="8838"/>
                  </w:tabs>
                  <w:ind w:left="-74" w:right="-105"/>
                  <w:jc w:val="both"/>
                  <w:rPr>
                    <w:rFonts w:ascii="Palatino Linotype" w:eastAsia="Palatino Linotype" w:hAnsi="Palatino Linotype" w:cs="Palatino Linotype"/>
                    <w:sz w:val="22"/>
                    <w:szCs w:val="22"/>
                  </w:rPr>
                </w:pPr>
              </w:p>
            </w:tc>
          </w:tr>
          <w:tr w:rsidR="00D27977" w:rsidTr="00FA5387">
            <w:trPr>
              <w:gridAfter w:val="1"/>
              <w:wAfter w:w="248" w:type="dxa"/>
              <w:trHeight w:val="283"/>
            </w:trPr>
            <w:tc>
              <w:tcPr>
                <w:tcW w:w="2554" w:type="dxa"/>
                <w:gridSpan w:val="2"/>
              </w:tcPr>
              <w:p w:rsidR="00D27977" w:rsidRPr="00FA5387" w:rsidRDefault="00D27977" w:rsidP="00660322">
                <w:pPr>
                  <w:tabs>
                    <w:tab w:val="right" w:pos="8838"/>
                  </w:tabs>
                  <w:ind w:left="-74" w:right="-105"/>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t>Comisionada Ponente:</w:t>
                </w:r>
              </w:p>
            </w:tc>
            <w:tc>
              <w:tcPr>
                <w:tcW w:w="5526" w:type="dxa"/>
                <w:gridSpan w:val="2"/>
                <w:vAlign w:val="center"/>
              </w:tcPr>
              <w:p w:rsidR="00D27977" w:rsidRPr="00FA5387" w:rsidRDefault="00D27977" w:rsidP="00660322">
                <w:pPr>
                  <w:jc w:val="both"/>
                  <w:rPr>
                    <w:rFonts w:ascii="Palatino Linotype" w:hAnsi="Palatino Linotype"/>
                    <w:sz w:val="24"/>
                    <w:szCs w:val="24"/>
                    <w:lang w:val="es-ES_tradnl"/>
                  </w:rPr>
                </w:pPr>
                <w:r w:rsidRPr="00FA5387">
                  <w:rPr>
                    <w:rFonts w:ascii="Palatino Linotype" w:hAnsi="Palatino Linotype"/>
                    <w:sz w:val="24"/>
                    <w:szCs w:val="24"/>
                  </w:rPr>
                  <w:t>María del Rosario Mejía Ayala</w:t>
                </w:r>
              </w:p>
            </w:tc>
            <w:tc>
              <w:tcPr>
                <w:tcW w:w="4923" w:type="dxa"/>
                <w:gridSpan w:val="2"/>
              </w:tcPr>
              <w:p w:rsidR="00D27977" w:rsidRDefault="00D27977" w:rsidP="00660322">
                <w:pPr>
                  <w:tabs>
                    <w:tab w:val="right" w:pos="8838"/>
                  </w:tabs>
                  <w:ind w:left="-3"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María del Rosario Mejía Ayala</w:t>
                </w:r>
              </w:p>
            </w:tc>
            <w:tc>
              <w:tcPr>
                <w:tcW w:w="3402" w:type="dxa"/>
                <w:gridSpan w:val="2"/>
              </w:tcPr>
              <w:p w:rsidR="00D27977" w:rsidRDefault="00D27977" w:rsidP="00660322">
                <w:pPr>
                  <w:tabs>
                    <w:tab w:val="right" w:pos="8838"/>
                  </w:tabs>
                  <w:ind w:left="-74" w:right="-105"/>
                  <w:jc w:val="both"/>
                  <w:rPr>
                    <w:rFonts w:ascii="Palatino Linotype" w:eastAsia="Palatino Linotype" w:hAnsi="Palatino Linotype" w:cs="Palatino Linotype"/>
                    <w:sz w:val="22"/>
                    <w:szCs w:val="22"/>
                  </w:rPr>
                </w:pPr>
              </w:p>
            </w:tc>
          </w:tr>
          <w:tr w:rsidR="00D27977" w:rsidTr="00FA5387">
            <w:trPr>
              <w:gridBefore w:val="1"/>
              <w:wBefore w:w="990" w:type="dxa"/>
              <w:trHeight w:val="283"/>
            </w:trPr>
            <w:tc>
              <w:tcPr>
                <w:tcW w:w="2415" w:type="dxa"/>
                <w:gridSpan w:val="2"/>
              </w:tcPr>
              <w:p w:rsidR="00D27977" w:rsidRDefault="00D27977" w:rsidP="00660322">
                <w:pPr>
                  <w:tabs>
                    <w:tab w:val="right" w:pos="8838"/>
                  </w:tabs>
                  <w:ind w:left="-74" w:right="-105"/>
                  <w:rPr>
                    <w:rFonts w:ascii="Palatino Linotype" w:eastAsia="Palatino Linotype" w:hAnsi="Palatino Linotype" w:cs="Palatino Linotype"/>
                    <w:b/>
                    <w:sz w:val="22"/>
                    <w:szCs w:val="22"/>
                  </w:rPr>
                </w:pPr>
              </w:p>
            </w:tc>
            <w:tc>
              <w:tcPr>
                <w:tcW w:w="4923" w:type="dxa"/>
                <w:gridSpan w:val="2"/>
                <w:vAlign w:val="center"/>
              </w:tcPr>
              <w:p w:rsidR="00D27977" w:rsidRPr="008C5395" w:rsidRDefault="00D27977" w:rsidP="00660322">
                <w:pPr>
                  <w:ind w:right="-533"/>
                  <w:jc w:val="both"/>
                  <w:rPr>
                    <w:rFonts w:ascii="Palatino Linotype" w:hAnsi="Palatino Linotype"/>
                    <w:b/>
                    <w:sz w:val="21"/>
                    <w:szCs w:val="21"/>
                    <w:lang w:val="es-ES_tradnl"/>
                  </w:rPr>
                </w:pPr>
              </w:p>
            </w:tc>
            <w:tc>
              <w:tcPr>
                <w:tcW w:w="4923" w:type="dxa"/>
                <w:gridSpan w:val="2"/>
              </w:tcPr>
              <w:p w:rsidR="00D27977" w:rsidRDefault="00D27977" w:rsidP="00660322">
                <w:pPr>
                  <w:tabs>
                    <w:tab w:val="right" w:pos="8838"/>
                  </w:tabs>
                  <w:ind w:left="-3" w:right="-105"/>
                  <w:jc w:val="both"/>
                  <w:rPr>
                    <w:rFonts w:ascii="Palatino Linotype" w:eastAsia="Palatino Linotype" w:hAnsi="Palatino Linotype" w:cs="Palatino Linotype"/>
                    <w:b/>
                    <w:sz w:val="22"/>
                    <w:szCs w:val="22"/>
                  </w:rPr>
                </w:pPr>
              </w:p>
            </w:tc>
            <w:tc>
              <w:tcPr>
                <w:tcW w:w="3402" w:type="dxa"/>
                <w:gridSpan w:val="2"/>
              </w:tcPr>
              <w:p w:rsidR="00D27977" w:rsidRDefault="00D27977" w:rsidP="00660322">
                <w:pPr>
                  <w:tabs>
                    <w:tab w:val="right" w:pos="8838"/>
                  </w:tabs>
                  <w:ind w:left="-74" w:right="-105"/>
                  <w:jc w:val="both"/>
                  <w:rPr>
                    <w:rFonts w:ascii="Palatino Linotype" w:eastAsia="Palatino Linotype" w:hAnsi="Palatino Linotype" w:cs="Palatino Linotype"/>
                    <w:sz w:val="22"/>
                    <w:szCs w:val="22"/>
                  </w:rPr>
                </w:pPr>
              </w:p>
            </w:tc>
          </w:tr>
        </w:tbl>
        <w:p w:rsidR="00D27977" w:rsidRDefault="00D27977">
          <w:pPr>
            <w:tabs>
              <w:tab w:val="right" w:pos="8838"/>
            </w:tabs>
            <w:ind w:left="-28"/>
            <w:jc w:val="both"/>
            <w:rPr>
              <w:rFonts w:ascii="Arial" w:eastAsia="Arial" w:hAnsi="Arial" w:cs="Arial"/>
              <w:b/>
              <w:sz w:val="22"/>
              <w:szCs w:val="22"/>
            </w:rPr>
          </w:pPr>
        </w:p>
      </w:tc>
    </w:tr>
  </w:tbl>
  <w:p w:rsidR="00D27977" w:rsidRDefault="00F77A8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7pt;margin-top:-134.95pt;width:663.5pt;height:12in;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90" w:type="dxa"/>
      <w:tblInd w:w="0" w:type="dxa"/>
      <w:tblLayout w:type="fixed"/>
      <w:tblLook w:val="0400" w:firstRow="0" w:lastRow="0" w:firstColumn="0" w:lastColumn="0" w:noHBand="0" w:noVBand="1"/>
    </w:tblPr>
    <w:tblGrid>
      <w:gridCol w:w="1560"/>
      <w:gridCol w:w="8930"/>
    </w:tblGrid>
    <w:tr w:rsidR="00D27977" w:rsidTr="00FA5387">
      <w:trPr>
        <w:trHeight w:val="1435"/>
      </w:trPr>
      <w:tc>
        <w:tcPr>
          <w:tcW w:w="1560" w:type="dxa"/>
          <w:shd w:val="clear" w:color="auto" w:fill="auto"/>
        </w:tcPr>
        <w:p w:rsidR="00D27977" w:rsidRDefault="00FA5387">
          <w:pPr>
            <w:tabs>
              <w:tab w:val="right" w:pos="4273"/>
            </w:tabs>
            <w:rPr>
              <w:rFonts w:ascii="Garamond" w:eastAsia="Garamond" w:hAnsi="Garamond" w:cs="Garamond"/>
              <w:sz w:val="22"/>
              <w:szCs w:val="22"/>
            </w:rPr>
          </w:pPr>
          <w:r>
            <w:rPr>
              <w:noProof/>
              <w:color w:val="000000"/>
              <w:sz w:val="14"/>
              <w:szCs w:val="14"/>
            </w:rPr>
            <w:drawing>
              <wp:anchor distT="0" distB="0" distL="114300" distR="114300" simplePos="0" relativeHeight="251658752" behindDoc="1" locked="0" layoutInCell="0" allowOverlap="1">
                <wp:simplePos x="0" y="0"/>
                <wp:positionH relativeFrom="margin">
                  <wp:posOffset>-1172725</wp:posOffset>
                </wp:positionH>
                <wp:positionV relativeFrom="margin">
                  <wp:posOffset>-542362</wp:posOffset>
                </wp:positionV>
                <wp:extent cx="8404225" cy="10944225"/>
                <wp:effectExtent l="0" t="0" r="0" b="9525"/>
                <wp:wrapNone/>
                <wp:docPr id="7" name="Imagen 7" descr="marcaagua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agua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4225" cy="10944225"/>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shd w:val="clear" w:color="auto" w:fill="auto"/>
        </w:tcPr>
        <w:tbl>
          <w:tblPr>
            <w:tblStyle w:val="a1"/>
            <w:tblW w:w="11020" w:type="dxa"/>
            <w:tblInd w:w="1026" w:type="dxa"/>
            <w:tblBorders>
              <w:top w:val="nil"/>
              <w:left w:val="nil"/>
              <w:bottom w:val="nil"/>
              <w:right w:val="nil"/>
              <w:insideH w:val="nil"/>
              <w:insideV w:val="nil"/>
            </w:tblBorders>
            <w:tblLayout w:type="fixed"/>
            <w:tblLook w:val="0400" w:firstRow="0" w:lastRow="0" w:firstColumn="0" w:lastColumn="0" w:noHBand="0" w:noVBand="1"/>
          </w:tblPr>
          <w:tblGrid>
            <w:gridCol w:w="2695"/>
            <w:gridCol w:w="4923"/>
            <w:gridCol w:w="3402"/>
          </w:tblGrid>
          <w:tr w:rsidR="00D16A7F" w:rsidTr="00D16A7F">
            <w:trPr>
              <w:trHeight w:val="144"/>
            </w:trPr>
            <w:tc>
              <w:tcPr>
                <w:tcW w:w="2695" w:type="dxa"/>
              </w:tcPr>
              <w:p w:rsidR="00D16A7F" w:rsidRPr="00FA5387" w:rsidRDefault="00D16A7F" w:rsidP="00660322">
                <w:pPr>
                  <w:tabs>
                    <w:tab w:val="right" w:pos="8838"/>
                  </w:tabs>
                  <w:ind w:left="-74" w:right="-105"/>
                  <w:rPr>
                    <w:rFonts w:ascii="Palatino Linotype" w:eastAsia="Palatino Linotype" w:hAnsi="Palatino Linotype" w:cs="Palatino Linotype"/>
                    <w:b/>
                    <w:sz w:val="24"/>
                    <w:szCs w:val="24"/>
                  </w:rPr>
                </w:pPr>
                <w:bookmarkStart w:id="92" w:name="_heading=h.eia8rr8h8pg" w:colFirst="0" w:colLast="0"/>
                <w:bookmarkEnd w:id="92"/>
                <w:r w:rsidRPr="00FA5387">
                  <w:rPr>
                    <w:rFonts w:ascii="Palatino Linotype" w:eastAsia="Palatino Linotype" w:hAnsi="Palatino Linotype" w:cs="Palatino Linotype"/>
                    <w:b/>
                    <w:sz w:val="24"/>
                    <w:szCs w:val="24"/>
                  </w:rPr>
                  <w:t>Recurso de Revisión:</w:t>
                </w:r>
              </w:p>
            </w:tc>
            <w:tc>
              <w:tcPr>
                <w:tcW w:w="4923" w:type="dxa"/>
                <w:vAlign w:val="center"/>
              </w:tcPr>
              <w:p w:rsidR="00D16A7F" w:rsidRPr="00FA5387" w:rsidRDefault="00D16A7F" w:rsidP="00660322">
                <w:pPr>
                  <w:jc w:val="both"/>
                  <w:rPr>
                    <w:rFonts w:ascii="Palatino Linotype" w:hAnsi="Palatino Linotype"/>
                    <w:sz w:val="24"/>
                    <w:szCs w:val="24"/>
                    <w:lang w:val="es-ES_tradnl"/>
                  </w:rPr>
                </w:pPr>
                <w:r w:rsidRPr="00FA5387">
                  <w:rPr>
                    <w:rFonts w:ascii="Palatino Linotype" w:hAnsi="Palatino Linotype" w:cs="Arial"/>
                    <w:bCs/>
                    <w:sz w:val="24"/>
                    <w:szCs w:val="24"/>
                  </w:rPr>
                  <w:t>01523/INFOEM/IP/RR/2026 y acumulados</w:t>
                </w:r>
              </w:p>
            </w:tc>
            <w:tc>
              <w:tcPr>
                <w:tcW w:w="3402" w:type="dxa"/>
              </w:tcPr>
              <w:p w:rsidR="00D16A7F" w:rsidRDefault="00D16A7F" w:rsidP="00660322">
                <w:pPr>
                  <w:tabs>
                    <w:tab w:val="right" w:pos="8838"/>
                  </w:tabs>
                  <w:ind w:left="-74" w:right="-105"/>
                  <w:jc w:val="both"/>
                  <w:rPr>
                    <w:rFonts w:ascii="Palatino Linotype" w:eastAsia="Palatino Linotype" w:hAnsi="Palatino Linotype" w:cs="Palatino Linotype"/>
                    <w:sz w:val="22"/>
                    <w:szCs w:val="22"/>
                  </w:rPr>
                </w:pPr>
              </w:p>
            </w:tc>
          </w:tr>
          <w:tr w:rsidR="00D16A7F" w:rsidTr="00D16A7F">
            <w:trPr>
              <w:trHeight w:val="144"/>
            </w:trPr>
            <w:tc>
              <w:tcPr>
                <w:tcW w:w="2695" w:type="dxa"/>
              </w:tcPr>
              <w:p w:rsidR="00D16A7F" w:rsidRPr="00FA5387" w:rsidRDefault="00D16A7F" w:rsidP="00660322">
                <w:pPr>
                  <w:tabs>
                    <w:tab w:val="right" w:pos="8838"/>
                  </w:tabs>
                  <w:ind w:left="-74" w:right="-105"/>
                  <w:rPr>
                    <w:rFonts w:ascii="Palatino Linotype" w:eastAsia="Palatino Linotype" w:hAnsi="Palatino Linotype" w:cs="Palatino Linotype"/>
                    <w:b/>
                    <w:sz w:val="24"/>
                    <w:szCs w:val="24"/>
                  </w:rPr>
                </w:pPr>
                <w:bookmarkStart w:id="93" w:name="_heading=h.kcdzdof92nqe" w:colFirst="0" w:colLast="0"/>
                <w:bookmarkEnd w:id="93"/>
                <w:r w:rsidRPr="00FA5387">
                  <w:rPr>
                    <w:rFonts w:ascii="Palatino Linotype" w:eastAsia="Palatino Linotype" w:hAnsi="Palatino Linotype" w:cs="Palatino Linotype"/>
                    <w:b/>
                    <w:sz w:val="24"/>
                    <w:szCs w:val="24"/>
                  </w:rPr>
                  <w:t>Recurrente:</w:t>
                </w:r>
              </w:p>
            </w:tc>
            <w:tc>
              <w:tcPr>
                <w:tcW w:w="4923" w:type="dxa"/>
                <w:vAlign w:val="center"/>
              </w:tcPr>
              <w:p w:rsidR="00D16A7F" w:rsidRPr="00FA5387" w:rsidRDefault="00D16A7F" w:rsidP="00660322">
                <w:pPr>
                  <w:rPr>
                    <w:rFonts w:ascii="Palatino Linotype" w:hAnsi="Palatino Linotype"/>
                    <w:sz w:val="24"/>
                    <w:szCs w:val="24"/>
                  </w:rPr>
                </w:pPr>
              </w:p>
            </w:tc>
            <w:tc>
              <w:tcPr>
                <w:tcW w:w="3402" w:type="dxa"/>
              </w:tcPr>
              <w:p w:rsidR="00D16A7F" w:rsidRDefault="00D16A7F" w:rsidP="00660322">
                <w:pPr>
                  <w:tabs>
                    <w:tab w:val="left" w:pos="3122"/>
                    <w:tab w:val="right" w:pos="8838"/>
                  </w:tabs>
                  <w:ind w:right="-105"/>
                  <w:jc w:val="both"/>
                  <w:rPr>
                    <w:rFonts w:ascii="Palatino Linotype" w:eastAsia="Palatino Linotype" w:hAnsi="Palatino Linotype" w:cs="Palatino Linotype"/>
                    <w:sz w:val="22"/>
                    <w:szCs w:val="22"/>
                  </w:rPr>
                </w:pPr>
              </w:p>
            </w:tc>
          </w:tr>
          <w:tr w:rsidR="00D16A7F" w:rsidTr="00D16A7F">
            <w:trPr>
              <w:trHeight w:val="283"/>
            </w:trPr>
            <w:tc>
              <w:tcPr>
                <w:tcW w:w="2695" w:type="dxa"/>
              </w:tcPr>
              <w:p w:rsidR="00D16A7F" w:rsidRPr="00FA5387" w:rsidRDefault="00D16A7F" w:rsidP="00660322">
                <w:pPr>
                  <w:tabs>
                    <w:tab w:val="right" w:pos="8838"/>
                  </w:tabs>
                  <w:ind w:left="-74" w:right="-105"/>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t>Sujeto Obligado:</w:t>
                </w:r>
              </w:p>
            </w:tc>
            <w:tc>
              <w:tcPr>
                <w:tcW w:w="4923" w:type="dxa"/>
                <w:vAlign w:val="center"/>
              </w:tcPr>
              <w:p w:rsidR="00D16A7F" w:rsidRPr="00FA5387" w:rsidRDefault="00D16A7F" w:rsidP="00E81CB0">
                <w:pPr>
                  <w:ind w:left="35" w:hanging="35"/>
                  <w:jc w:val="both"/>
                  <w:rPr>
                    <w:rFonts w:ascii="Palatino Linotype" w:hAnsi="Palatino Linotype"/>
                    <w:sz w:val="24"/>
                    <w:szCs w:val="24"/>
                  </w:rPr>
                </w:pPr>
                <w:r w:rsidRPr="00FA5387">
                  <w:rPr>
                    <w:rFonts w:ascii="Palatino Linotype" w:hAnsi="Palatino Linotype"/>
                    <w:sz w:val="24"/>
                    <w:szCs w:val="24"/>
                  </w:rPr>
                  <w:t>Ayuntamiento de Toluca</w:t>
                </w:r>
              </w:p>
            </w:tc>
            <w:tc>
              <w:tcPr>
                <w:tcW w:w="3402" w:type="dxa"/>
              </w:tcPr>
              <w:p w:rsidR="00D16A7F" w:rsidRDefault="00D16A7F" w:rsidP="00660322">
                <w:pPr>
                  <w:tabs>
                    <w:tab w:val="left" w:pos="2834"/>
                    <w:tab w:val="right" w:pos="8838"/>
                  </w:tabs>
                  <w:ind w:left="-74" w:right="-105"/>
                  <w:jc w:val="both"/>
                  <w:rPr>
                    <w:rFonts w:ascii="Palatino Linotype" w:eastAsia="Palatino Linotype" w:hAnsi="Palatino Linotype" w:cs="Palatino Linotype"/>
                    <w:sz w:val="22"/>
                    <w:szCs w:val="22"/>
                  </w:rPr>
                </w:pPr>
              </w:p>
            </w:tc>
          </w:tr>
          <w:tr w:rsidR="00D16A7F" w:rsidTr="00D16A7F">
            <w:trPr>
              <w:trHeight w:val="283"/>
            </w:trPr>
            <w:tc>
              <w:tcPr>
                <w:tcW w:w="2695" w:type="dxa"/>
              </w:tcPr>
              <w:p w:rsidR="00D16A7F" w:rsidRPr="00FA5387" w:rsidRDefault="00D16A7F" w:rsidP="00660322">
                <w:pPr>
                  <w:tabs>
                    <w:tab w:val="right" w:pos="8838"/>
                  </w:tabs>
                  <w:ind w:left="-74" w:right="-105"/>
                  <w:rPr>
                    <w:rFonts w:ascii="Palatino Linotype" w:eastAsia="Palatino Linotype" w:hAnsi="Palatino Linotype" w:cs="Palatino Linotype"/>
                    <w:b/>
                    <w:sz w:val="24"/>
                    <w:szCs w:val="24"/>
                  </w:rPr>
                </w:pPr>
                <w:r w:rsidRPr="00FA5387">
                  <w:rPr>
                    <w:rFonts w:ascii="Palatino Linotype" w:eastAsia="Palatino Linotype" w:hAnsi="Palatino Linotype" w:cs="Palatino Linotype"/>
                    <w:b/>
                    <w:sz w:val="24"/>
                    <w:szCs w:val="24"/>
                  </w:rPr>
                  <w:t>Comisionada Ponente:</w:t>
                </w:r>
              </w:p>
            </w:tc>
            <w:tc>
              <w:tcPr>
                <w:tcW w:w="4923" w:type="dxa"/>
                <w:vAlign w:val="center"/>
              </w:tcPr>
              <w:p w:rsidR="00D16A7F" w:rsidRPr="00FA5387" w:rsidRDefault="00D16A7F" w:rsidP="00660322">
                <w:pPr>
                  <w:ind w:right="-533"/>
                  <w:jc w:val="both"/>
                  <w:rPr>
                    <w:rFonts w:ascii="Palatino Linotype" w:hAnsi="Palatino Linotype"/>
                    <w:sz w:val="24"/>
                    <w:szCs w:val="24"/>
                    <w:lang w:val="es-ES_tradnl"/>
                  </w:rPr>
                </w:pPr>
                <w:r w:rsidRPr="00FA5387">
                  <w:rPr>
                    <w:rFonts w:ascii="Palatino Linotype" w:hAnsi="Palatino Linotype"/>
                    <w:sz w:val="24"/>
                    <w:szCs w:val="24"/>
                    <w:lang w:val="es-ES_tradnl"/>
                  </w:rPr>
                  <w:t>María del Rosario Mejía Ayala</w:t>
                </w:r>
              </w:p>
            </w:tc>
            <w:tc>
              <w:tcPr>
                <w:tcW w:w="3402" w:type="dxa"/>
              </w:tcPr>
              <w:p w:rsidR="00D16A7F" w:rsidRDefault="00D16A7F" w:rsidP="00660322">
                <w:pPr>
                  <w:tabs>
                    <w:tab w:val="right" w:pos="8838"/>
                  </w:tabs>
                  <w:ind w:left="-74" w:right="-105"/>
                  <w:jc w:val="both"/>
                  <w:rPr>
                    <w:rFonts w:ascii="Palatino Linotype" w:eastAsia="Palatino Linotype" w:hAnsi="Palatino Linotype" w:cs="Palatino Linotype"/>
                    <w:sz w:val="22"/>
                    <w:szCs w:val="22"/>
                  </w:rPr>
                </w:pPr>
              </w:p>
            </w:tc>
          </w:tr>
        </w:tbl>
        <w:p w:rsidR="00D27977" w:rsidRDefault="00D27977">
          <w:pPr>
            <w:tabs>
              <w:tab w:val="right" w:pos="8838"/>
            </w:tabs>
            <w:ind w:left="-28"/>
            <w:jc w:val="both"/>
            <w:rPr>
              <w:rFonts w:ascii="Arial" w:eastAsia="Arial" w:hAnsi="Arial" w:cs="Arial"/>
              <w:b/>
              <w:sz w:val="22"/>
              <w:szCs w:val="22"/>
            </w:rPr>
          </w:pPr>
        </w:p>
      </w:tc>
    </w:tr>
  </w:tbl>
  <w:p w:rsidR="00D27977" w:rsidRPr="00FA5387" w:rsidRDefault="00D27977" w:rsidP="00FA5387">
    <w:pPr>
      <w:pBdr>
        <w:top w:val="nil"/>
        <w:left w:val="nil"/>
        <w:bottom w:val="nil"/>
        <w:right w:val="nil"/>
        <w:between w:val="nil"/>
      </w:pBdr>
      <w:tabs>
        <w:tab w:val="center" w:pos="4419"/>
        <w:tab w:val="right" w:pos="8838"/>
        <w:tab w:val="center" w:pos="452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F90"/>
    <w:multiLevelType w:val="multilevel"/>
    <w:tmpl w:val="18F6F170"/>
    <w:lvl w:ilvl="0">
      <w:start w:val="5"/>
      <w:numFmt w:val="decimal"/>
      <w:lvlText w:val="%1."/>
      <w:lvlJc w:val="left"/>
      <w:pPr>
        <w:ind w:left="2204" w:hanging="360"/>
      </w:pPr>
      <w:rPr>
        <w:rFonts w:ascii="Palatino Linotype" w:eastAsia="Palatino Linotype" w:hAnsi="Palatino Linotype" w:cs="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0756815"/>
    <w:multiLevelType w:val="multilevel"/>
    <w:tmpl w:val="5024D4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1213082"/>
    <w:multiLevelType w:val="hybridMultilevel"/>
    <w:tmpl w:val="1DE09898"/>
    <w:lvl w:ilvl="0" w:tplc="39C6B79A">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42C49F1"/>
    <w:multiLevelType w:val="multilevel"/>
    <w:tmpl w:val="ECBC7F4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D145CE"/>
    <w:multiLevelType w:val="hybridMultilevel"/>
    <w:tmpl w:val="6D4803C0"/>
    <w:lvl w:ilvl="0" w:tplc="7B2A5FB0">
      <w:start w:val="1"/>
      <w:numFmt w:val="lowerLetter"/>
      <w:lvlText w:val="%1)"/>
      <w:lvlJc w:val="left"/>
      <w:pPr>
        <w:ind w:left="1434" w:hanging="660"/>
      </w:pPr>
      <w:rPr>
        <w:rFonts w:hint="default"/>
        <w:sz w:val="24"/>
      </w:rPr>
    </w:lvl>
    <w:lvl w:ilvl="1" w:tplc="080A0019" w:tentative="1">
      <w:start w:val="1"/>
      <w:numFmt w:val="lowerLetter"/>
      <w:lvlText w:val="%2."/>
      <w:lvlJc w:val="left"/>
      <w:pPr>
        <w:ind w:left="1854" w:hanging="360"/>
      </w:pPr>
    </w:lvl>
    <w:lvl w:ilvl="2" w:tplc="080A001B" w:tentative="1">
      <w:start w:val="1"/>
      <w:numFmt w:val="lowerRoman"/>
      <w:lvlText w:val="%3."/>
      <w:lvlJc w:val="right"/>
      <w:pPr>
        <w:ind w:left="2574" w:hanging="180"/>
      </w:pPr>
    </w:lvl>
    <w:lvl w:ilvl="3" w:tplc="080A000F" w:tentative="1">
      <w:start w:val="1"/>
      <w:numFmt w:val="decimal"/>
      <w:lvlText w:val="%4."/>
      <w:lvlJc w:val="left"/>
      <w:pPr>
        <w:ind w:left="3294" w:hanging="360"/>
      </w:pPr>
    </w:lvl>
    <w:lvl w:ilvl="4" w:tplc="080A0019" w:tentative="1">
      <w:start w:val="1"/>
      <w:numFmt w:val="lowerLetter"/>
      <w:lvlText w:val="%5."/>
      <w:lvlJc w:val="left"/>
      <w:pPr>
        <w:ind w:left="4014" w:hanging="360"/>
      </w:pPr>
    </w:lvl>
    <w:lvl w:ilvl="5" w:tplc="080A001B" w:tentative="1">
      <w:start w:val="1"/>
      <w:numFmt w:val="lowerRoman"/>
      <w:lvlText w:val="%6."/>
      <w:lvlJc w:val="right"/>
      <w:pPr>
        <w:ind w:left="4734" w:hanging="180"/>
      </w:pPr>
    </w:lvl>
    <w:lvl w:ilvl="6" w:tplc="080A000F" w:tentative="1">
      <w:start w:val="1"/>
      <w:numFmt w:val="decimal"/>
      <w:lvlText w:val="%7."/>
      <w:lvlJc w:val="left"/>
      <w:pPr>
        <w:ind w:left="5454" w:hanging="360"/>
      </w:pPr>
    </w:lvl>
    <w:lvl w:ilvl="7" w:tplc="080A0019" w:tentative="1">
      <w:start w:val="1"/>
      <w:numFmt w:val="lowerLetter"/>
      <w:lvlText w:val="%8."/>
      <w:lvlJc w:val="left"/>
      <w:pPr>
        <w:ind w:left="6174" w:hanging="360"/>
      </w:pPr>
    </w:lvl>
    <w:lvl w:ilvl="8" w:tplc="080A001B" w:tentative="1">
      <w:start w:val="1"/>
      <w:numFmt w:val="lowerRoman"/>
      <w:lvlText w:val="%9."/>
      <w:lvlJc w:val="right"/>
      <w:pPr>
        <w:ind w:left="6894" w:hanging="180"/>
      </w:pPr>
    </w:lvl>
  </w:abstractNum>
  <w:abstractNum w:abstractNumId="7" w15:restartNumberingAfterBreak="0">
    <w:nsid w:val="3AFC1E72"/>
    <w:multiLevelType w:val="hybridMultilevel"/>
    <w:tmpl w:val="719ABB9C"/>
    <w:lvl w:ilvl="0" w:tplc="643A8860">
      <w:start w:val="6"/>
      <w:numFmt w:val="decimal"/>
      <w:lvlText w:val="%1."/>
      <w:lvlJc w:val="left"/>
      <w:pPr>
        <w:ind w:left="928" w:hanging="360"/>
      </w:pPr>
      <w:rPr>
        <w:rFonts w:hint="default"/>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53D68CC"/>
    <w:multiLevelType w:val="hybridMultilevel"/>
    <w:tmpl w:val="96FE2FB4"/>
    <w:lvl w:ilvl="0" w:tplc="A35C7748">
      <w:start w:val="2"/>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F757CDE"/>
    <w:multiLevelType w:val="multilevel"/>
    <w:tmpl w:val="083AF75A"/>
    <w:lvl w:ilvl="0">
      <w:start w:val="25"/>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547479F"/>
    <w:multiLevelType w:val="multilevel"/>
    <w:tmpl w:val="F1444B6C"/>
    <w:lvl w:ilvl="0">
      <w:start w:val="9"/>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60839D1"/>
    <w:multiLevelType w:val="hybridMultilevel"/>
    <w:tmpl w:val="7C262A1E"/>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06E1E4E"/>
    <w:multiLevelType w:val="hybridMultilevel"/>
    <w:tmpl w:val="BBE4AB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1204523"/>
    <w:multiLevelType w:val="hybridMultilevel"/>
    <w:tmpl w:val="1FF69000"/>
    <w:lvl w:ilvl="0" w:tplc="080A0013">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4502C8D"/>
    <w:multiLevelType w:val="hybridMultilevel"/>
    <w:tmpl w:val="DE5E4C2E"/>
    <w:lvl w:ilvl="0" w:tplc="C97E892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5" w15:restartNumberingAfterBreak="0">
    <w:nsid w:val="67CC4D8D"/>
    <w:multiLevelType w:val="multilevel"/>
    <w:tmpl w:val="80A00DC0"/>
    <w:lvl w:ilvl="0">
      <w:start w:val="10"/>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E616099"/>
    <w:multiLevelType w:val="hybridMultilevel"/>
    <w:tmpl w:val="A596D3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7" w15:restartNumberingAfterBreak="0">
    <w:nsid w:val="6F8A5C7A"/>
    <w:multiLevelType w:val="multilevel"/>
    <w:tmpl w:val="2BE43DFA"/>
    <w:lvl w:ilvl="0">
      <w:start w:val="27"/>
      <w:numFmt w:val="decimal"/>
      <w:lvlText w:val="%1."/>
      <w:lvlJc w:val="left"/>
      <w:pPr>
        <w:ind w:left="1495"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B251C17"/>
    <w:multiLevelType w:val="multilevel"/>
    <w:tmpl w:val="C83E8AAA"/>
    <w:lvl w:ilvl="0">
      <w:start w:val="1"/>
      <w:numFmt w:val="decimal"/>
      <w:lvlText w:val="%1."/>
      <w:lvlJc w:val="left"/>
      <w:pPr>
        <w:ind w:left="107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9" w15:restartNumberingAfterBreak="0">
    <w:nsid w:val="7BAF3DB4"/>
    <w:multiLevelType w:val="hybridMultilevel"/>
    <w:tmpl w:val="309678CC"/>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20" w15:restartNumberingAfterBreak="0">
    <w:nsid w:val="7BE677EF"/>
    <w:multiLevelType w:val="hybridMultilevel"/>
    <w:tmpl w:val="B8A2D6B0"/>
    <w:lvl w:ilvl="0" w:tplc="F9F23CA6">
      <w:start w:val="90"/>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FAF3AF7"/>
    <w:multiLevelType w:val="multilevel"/>
    <w:tmpl w:val="C194CE6A"/>
    <w:lvl w:ilvl="0">
      <w:start w:val="8"/>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11"/>
  </w:num>
  <w:num w:numId="3">
    <w:abstractNumId w:val="19"/>
  </w:num>
  <w:num w:numId="4">
    <w:abstractNumId w:val="0"/>
  </w:num>
  <w:num w:numId="5">
    <w:abstractNumId w:val="10"/>
  </w:num>
  <w:num w:numId="6">
    <w:abstractNumId w:val="9"/>
  </w:num>
  <w:num w:numId="7">
    <w:abstractNumId w:val="7"/>
  </w:num>
  <w:num w:numId="8">
    <w:abstractNumId w:val="15"/>
  </w:num>
  <w:num w:numId="9">
    <w:abstractNumId w:val="17"/>
  </w:num>
  <w:num w:numId="10">
    <w:abstractNumId w:val="18"/>
  </w:num>
  <w:num w:numId="11">
    <w:abstractNumId w:val="2"/>
  </w:num>
  <w:num w:numId="12">
    <w:abstractNumId w:val="14"/>
  </w:num>
  <w:num w:numId="13">
    <w:abstractNumId w:val="8"/>
  </w:num>
  <w:num w:numId="14">
    <w:abstractNumId w:val="1"/>
  </w:num>
  <w:num w:numId="15">
    <w:abstractNumId w:val="4"/>
  </w:num>
  <w:num w:numId="16">
    <w:abstractNumId w:val="12"/>
  </w:num>
  <w:num w:numId="17">
    <w:abstractNumId w:val="20"/>
  </w:num>
  <w:num w:numId="18">
    <w:abstractNumId w:val="21"/>
  </w:num>
  <w:num w:numId="19">
    <w:abstractNumId w:val="13"/>
  </w:num>
  <w:num w:numId="20">
    <w:abstractNumId w:val="5"/>
  </w:num>
  <w:num w:numId="21">
    <w:abstractNumId w:val="3"/>
  </w:num>
  <w:num w:numId="2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37E"/>
    <w:rsid w:val="00031A85"/>
    <w:rsid w:val="000331A0"/>
    <w:rsid w:val="000370E4"/>
    <w:rsid w:val="000448E1"/>
    <w:rsid w:val="00066148"/>
    <w:rsid w:val="000B5B5B"/>
    <w:rsid w:val="000D6405"/>
    <w:rsid w:val="000E7493"/>
    <w:rsid w:val="00106C2B"/>
    <w:rsid w:val="00184B7F"/>
    <w:rsid w:val="001B7359"/>
    <w:rsid w:val="002243D9"/>
    <w:rsid w:val="002454FD"/>
    <w:rsid w:val="002755F8"/>
    <w:rsid w:val="002C2138"/>
    <w:rsid w:val="0033492A"/>
    <w:rsid w:val="00355BE2"/>
    <w:rsid w:val="00360B80"/>
    <w:rsid w:val="00387D7F"/>
    <w:rsid w:val="00391B65"/>
    <w:rsid w:val="003B0E70"/>
    <w:rsid w:val="003C07F7"/>
    <w:rsid w:val="003F49B2"/>
    <w:rsid w:val="0041001E"/>
    <w:rsid w:val="0044759A"/>
    <w:rsid w:val="00464E99"/>
    <w:rsid w:val="0046523B"/>
    <w:rsid w:val="0047325B"/>
    <w:rsid w:val="00473B8E"/>
    <w:rsid w:val="0048577C"/>
    <w:rsid w:val="004C1008"/>
    <w:rsid w:val="004C4C12"/>
    <w:rsid w:val="00512DF5"/>
    <w:rsid w:val="00513447"/>
    <w:rsid w:val="00516E19"/>
    <w:rsid w:val="005823F4"/>
    <w:rsid w:val="00586C22"/>
    <w:rsid w:val="00587EBC"/>
    <w:rsid w:val="005F178E"/>
    <w:rsid w:val="005F36AE"/>
    <w:rsid w:val="006473D2"/>
    <w:rsid w:val="00660322"/>
    <w:rsid w:val="00696D73"/>
    <w:rsid w:val="0071596D"/>
    <w:rsid w:val="0073102E"/>
    <w:rsid w:val="00741EA1"/>
    <w:rsid w:val="00775465"/>
    <w:rsid w:val="00782DBB"/>
    <w:rsid w:val="00784761"/>
    <w:rsid w:val="007A2553"/>
    <w:rsid w:val="007A514E"/>
    <w:rsid w:val="007D71A7"/>
    <w:rsid w:val="007F0493"/>
    <w:rsid w:val="00826536"/>
    <w:rsid w:val="00871B3B"/>
    <w:rsid w:val="00875836"/>
    <w:rsid w:val="008A6B55"/>
    <w:rsid w:val="008C06A5"/>
    <w:rsid w:val="008E209B"/>
    <w:rsid w:val="00902EA6"/>
    <w:rsid w:val="00911843"/>
    <w:rsid w:val="00952432"/>
    <w:rsid w:val="00953C2B"/>
    <w:rsid w:val="0099671F"/>
    <w:rsid w:val="009A3B5F"/>
    <w:rsid w:val="009E29C8"/>
    <w:rsid w:val="009F1375"/>
    <w:rsid w:val="009F7BBC"/>
    <w:rsid w:val="00A4063E"/>
    <w:rsid w:val="00A422A1"/>
    <w:rsid w:val="00A52F2E"/>
    <w:rsid w:val="00A943C2"/>
    <w:rsid w:val="00AB2F27"/>
    <w:rsid w:val="00AF30C9"/>
    <w:rsid w:val="00AF492E"/>
    <w:rsid w:val="00B10761"/>
    <w:rsid w:val="00B20738"/>
    <w:rsid w:val="00B40B2B"/>
    <w:rsid w:val="00B46CE9"/>
    <w:rsid w:val="00B74956"/>
    <w:rsid w:val="00B92475"/>
    <w:rsid w:val="00BA0D12"/>
    <w:rsid w:val="00BA645D"/>
    <w:rsid w:val="00BC0EAB"/>
    <w:rsid w:val="00BD71AB"/>
    <w:rsid w:val="00BE4295"/>
    <w:rsid w:val="00BF005B"/>
    <w:rsid w:val="00C0496A"/>
    <w:rsid w:val="00C07902"/>
    <w:rsid w:val="00C7192D"/>
    <w:rsid w:val="00C76E8A"/>
    <w:rsid w:val="00CD7DC5"/>
    <w:rsid w:val="00CE0F9F"/>
    <w:rsid w:val="00CE3559"/>
    <w:rsid w:val="00CF70E8"/>
    <w:rsid w:val="00D10E22"/>
    <w:rsid w:val="00D16A7F"/>
    <w:rsid w:val="00D20CFE"/>
    <w:rsid w:val="00D27977"/>
    <w:rsid w:val="00D32577"/>
    <w:rsid w:val="00D36A1B"/>
    <w:rsid w:val="00D45F49"/>
    <w:rsid w:val="00D86E22"/>
    <w:rsid w:val="00DC78DD"/>
    <w:rsid w:val="00DD2623"/>
    <w:rsid w:val="00DD6CB3"/>
    <w:rsid w:val="00DF0AF9"/>
    <w:rsid w:val="00DF6945"/>
    <w:rsid w:val="00E76445"/>
    <w:rsid w:val="00E81CB0"/>
    <w:rsid w:val="00E834A7"/>
    <w:rsid w:val="00E918AD"/>
    <w:rsid w:val="00ED0E79"/>
    <w:rsid w:val="00ED2A48"/>
    <w:rsid w:val="00ED6A24"/>
    <w:rsid w:val="00F02F12"/>
    <w:rsid w:val="00F144AA"/>
    <w:rsid w:val="00F425F7"/>
    <w:rsid w:val="00F503CE"/>
    <w:rsid w:val="00F534AB"/>
    <w:rsid w:val="00F55527"/>
    <w:rsid w:val="00F77A8C"/>
    <w:rsid w:val="00F8202D"/>
    <w:rsid w:val="00FA5387"/>
    <w:rsid w:val="00FA6676"/>
    <w:rsid w:val="00FC537E"/>
    <w:rsid w:val="00FD2F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A16E4E8-7186-4C31-8B70-FAF8322B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qFormat/>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keepNext/>
      <w:keepLines/>
      <w:spacing w:before="480" w:after="120"/>
    </w:pPr>
    <w:rPr>
      <w:b/>
      <w:sz w:val="72"/>
      <w:szCs w:val="72"/>
    </w:rPr>
  </w:style>
  <w:style w:type="character" w:customStyle="1" w:styleId="PuestoCar">
    <w:name w:val="Puesto Car"/>
    <w:aliases w:val="Cita textual Car"/>
    <w:basedOn w:val="Fuentedeprrafopredeter"/>
    <w:link w:val="Puesto"/>
    <w:uiPriority w:val="10"/>
    <w:rsid w:val="00660322"/>
    <w:rPr>
      <w:b/>
      <w:sz w:val="72"/>
      <w:szCs w:val="72"/>
    </w:rPr>
  </w:style>
  <w:style w:type="character" w:customStyle="1" w:styleId="Ttulo1Car">
    <w:name w:val="Título 1 Car"/>
    <w:basedOn w:val="Fuentedeprrafopredeter"/>
    <w:uiPriority w:val="9"/>
    <w:rsid w:val="00CA2D4E"/>
    <w:rPr>
      <w:rFonts w:asciiTheme="majorHAnsi" w:eastAsiaTheme="majorEastAsia" w:hAnsiTheme="majorHAnsi" w:cstheme="majorBidi"/>
      <w:color w:val="2E74B5" w:themeColor="accent1" w:themeShade="BF"/>
      <w:sz w:val="32"/>
      <w:szCs w:val="32"/>
      <w:lang w:val="es-MX" w:eastAsia="es-ES"/>
    </w:rPr>
  </w:style>
  <w:style w:type="character" w:customStyle="1" w:styleId="Ttulo2Car">
    <w:name w:val="Título 2 Car"/>
    <w:basedOn w:val="Fuentedeprrafopredeter"/>
    <w:uiPriority w:val="9"/>
    <w:rsid w:val="00CA2D4E"/>
    <w:rPr>
      <w:rFonts w:asciiTheme="majorHAnsi" w:eastAsiaTheme="majorEastAsia" w:hAnsiTheme="majorHAnsi" w:cstheme="majorBidi"/>
      <w:color w:val="2E74B5" w:themeColor="accent1" w:themeShade="BF"/>
      <w:sz w:val="26"/>
      <w:szCs w:val="26"/>
      <w:lang w:val="es-MX"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A2D4E"/>
    <w:rPr>
      <w:rFonts w:ascii="Calibri" w:eastAsia="Calibri" w:hAnsi="Calibr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A2D4E"/>
    <w:rPr>
      <w:rFonts w:ascii="Calibri" w:eastAsia="Calibri" w:hAnsi="Calibri" w:cs="Times New Roman"/>
      <w:sz w:val="20"/>
      <w:szCs w:val="20"/>
      <w:lang w:val="es-MX"/>
    </w:rPr>
  </w:style>
  <w:style w:type="paragraph" w:styleId="Encabezado">
    <w:name w:val="header"/>
    <w:basedOn w:val="Normal"/>
    <w:link w:val="EncabezadoCar"/>
    <w:uiPriority w:val="99"/>
    <w:unhideWhenUsed/>
    <w:qFormat/>
    <w:rsid w:val="00CA2D4E"/>
    <w:pPr>
      <w:tabs>
        <w:tab w:val="center" w:pos="4419"/>
        <w:tab w:val="right" w:pos="8838"/>
      </w:tabs>
    </w:pPr>
  </w:style>
  <w:style w:type="character" w:customStyle="1" w:styleId="EncabezadoCar">
    <w:name w:val="Encabezado Car"/>
    <w:basedOn w:val="Fuentedeprrafopredeter"/>
    <w:link w:val="Encabezado"/>
    <w:uiPriority w:val="99"/>
    <w:qFormat/>
    <w:rsid w:val="00CA2D4E"/>
    <w:rPr>
      <w:rFonts w:ascii="Times New Roman" w:eastAsia="Times New Roman" w:hAnsi="Times New Roman" w:cs="Times New Roman"/>
      <w:sz w:val="20"/>
      <w:szCs w:val="20"/>
      <w:lang w:val="es-MX" w:eastAsia="es-ES"/>
    </w:rPr>
  </w:style>
  <w:style w:type="paragraph" w:styleId="Piedepgina">
    <w:name w:val="footer"/>
    <w:basedOn w:val="Normal"/>
    <w:link w:val="PiedepginaCar"/>
    <w:uiPriority w:val="99"/>
    <w:unhideWhenUsed/>
    <w:qFormat/>
    <w:rsid w:val="00CA2D4E"/>
    <w:pPr>
      <w:tabs>
        <w:tab w:val="center" w:pos="4419"/>
        <w:tab w:val="right" w:pos="8838"/>
      </w:tabs>
    </w:pPr>
  </w:style>
  <w:style w:type="character" w:customStyle="1" w:styleId="PiedepginaCar">
    <w:name w:val="Pie de página Car"/>
    <w:basedOn w:val="Fuentedeprrafopredeter"/>
    <w:link w:val="Piedepgina"/>
    <w:uiPriority w:val="99"/>
    <w:qFormat/>
    <w:rsid w:val="00CA2D4E"/>
    <w:rPr>
      <w:rFonts w:ascii="Times New Roman" w:eastAsia="Times New Roman" w:hAnsi="Times New Roman" w:cs="Times New Roman"/>
      <w:sz w:val="20"/>
      <w:szCs w:val="20"/>
      <w:lang w:val="es-MX" w:eastAsia="es-E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CA2D4E"/>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CA2D4E"/>
    <w:rPr>
      <w:color w:val="0563C1" w:themeColor="hyperlink"/>
      <w:u w:val="single"/>
    </w:rPr>
  </w:style>
  <w:style w:type="table" w:styleId="Tablaconcuadrcula">
    <w:name w:val="Table Grid"/>
    <w:basedOn w:val="Tablanormal"/>
    <w:uiPriority w:val="39"/>
    <w:qFormat/>
    <w:rsid w:val="00CA2D4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A2D4E"/>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A2D4E"/>
    <w:rPr>
      <w:rFonts w:ascii="Century Gothic" w:eastAsia="Times New Roman" w:hAnsi="Century Gothic" w:cs="Times New Roman"/>
      <w:szCs w:val="24"/>
      <w:lang w:val="es-MX" w:eastAsia="es-ES"/>
    </w:rPr>
  </w:style>
  <w:style w:type="paragraph" w:customStyle="1" w:styleId="m1609377113336227858gmail-msonormal">
    <w:name w:val="m_1609377113336227858gmail-msonormal"/>
    <w:basedOn w:val="Normal"/>
    <w:rsid w:val="00CA2D4E"/>
    <w:pPr>
      <w:spacing w:before="100" w:beforeAutospacing="1" w:after="100" w:afterAutospacing="1"/>
    </w:pPr>
    <w:rPr>
      <w:sz w:val="24"/>
      <w:szCs w:val="24"/>
      <w:lang w:val="es-ES"/>
    </w:rPr>
  </w:style>
  <w:style w:type="paragraph" w:styleId="TDC1">
    <w:name w:val="toc 1"/>
    <w:basedOn w:val="Normal"/>
    <w:next w:val="Normal"/>
    <w:autoRedefine/>
    <w:uiPriority w:val="39"/>
    <w:semiHidden/>
    <w:unhideWhenUsed/>
    <w:rsid w:val="0001292A"/>
    <w:pPr>
      <w:spacing w:after="100"/>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08" w:type="dxa"/>
        <w:right w:w="108" w:type="dxa"/>
      </w:tblCellMar>
    </w:tblPr>
  </w:style>
  <w:style w:type="paragraph" w:customStyle="1" w:styleId="Default">
    <w:name w:val="Default"/>
    <w:qFormat/>
    <w:rsid w:val="00660322"/>
    <w:pPr>
      <w:autoSpaceDE w:val="0"/>
      <w:autoSpaceDN w:val="0"/>
      <w:adjustRightInd w:val="0"/>
    </w:pPr>
    <w:rPr>
      <w:rFonts w:ascii="Arial" w:hAnsi="Arial" w:cs="Arial"/>
      <w:color w:val="000000"/>
      <w:sz w:val="24"/>
      <w:szCs w:val="24"/>
    </w:rPr>
  </w:style>
  <w:style w:type="paragraph" w:styleId="Continuarlista">
    <w:name w:val="List Continue"/>
    <w:basedOn w:val="Normal"/>
    <w:uiPriority w:val="99"/>
    <w:unhideWhenUsed/>
    <w:rsid w:val="00660322"/>
    <w:pPr>
      <w:spacing w:after="120"/>
      <w:ind w:left="283"/>
      <w:contextualSpacing/>
    </w:pPr>
    <w:rPr>
      <w:sz w:val="24"/>
      <w:szCs w:val="24"/>
    </w:rPr>
  </w:style>
  <w:style w:type="paragraph" w:styleId="Sangradetextonormal">
    <w:name w:val="Body Text Indent"/>
    <w:basedOn w:val="Normal"/>
    <w:link w:val="SangradetextonormalCar"/>
    <w:uiPriority w:val="99"/>
    <w:unhideWhenUsed/>
    <w:rsid w:val="00660322"/>
    <w:pPr>
      <w:spacing w:after="120"/>
      <w:ind w:left="283"/>
    </w:pPr>
    <w:rPr>
      <w:sz w:val="24"/>
      <w:szCs w:val="24"/>
    </w:rPr>
  </w:style>
  <w:style w:type="character" w:customStyle="1" w:styleId="SangradetextonormalCar">
    <w:name w:val="Sangría de texto normal Car"/>
    <w:basedOn w:val="Fuentedeprrafopredeter"/>
    <w:link w:val="Sangradetextonormal"/>
    <w:uiPriority w:val="99"/>
    <w:rsid w:val="00660322"/>
    <w:rPr>
      <w:sz w:val="24"/>
      <w:szCs w:val="24"/>
    </w:rPr>
  </w:style>
  <w:style w:type="paragraph" w:styleId="Textoindependienteprimerasangra2">
    <w:name w:val="Body Text First Indent 2"/>
    <w:basedOn w:val="Sangradetextonormal"/>
    <w:link w:val="Textoindependienteprimerasangra2Car"/>
    <w:uiPriority w:val="99"/>
    <w:unhideWhenUsed/>
    <w:rsid w:val="006603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60322"/>
    <w:rPr>
      <w:sz w:val="24"/>
      <w:szCs w:val="24"/>
    </w:rPr>
  </w:style>
  <w:style w:type="character" w:customStyle="1" w:styleId="apple-converted-space">
    <w:name w:val="apple-converted-space"/>
    <w:basedOn w:val="Fuentedeprrafopredeter"/>
    <w:rsid w:val="00660322"/>
  </w:style>
  <w:style w:type="character" w:customStyle="1" w:styleId="il">
    <w:name w:val="il"/>
    <w:basedOn w:val="Fuentedeprrafopredeter"/>
    <w:rsid w:val="00660322"/>
  </w:style>
  <w:style w:type="character" w:customStyle="1" w:styleId="apple-style-span">
    <w:name w:val="apple-style-span"/>
    <w:rsid w:val="00660322"/>
  </w:style>
  <w:style w:type="paragraph" w:customStyle="1" w:styleId="Citas">
    <w:name w:val="Citas"/>
    <w:basedOn w:val="Normal"/>
    <w:qFormat/>
    <w:rsid w:val="00660322"/>
    <w:pPr>
      <w:spacing w:before="240" w:after="160" w:line="360" w:lineRule="auto"/>
      <w:ind w:left="851" w:right="851"/>
      <w:jc w:val="both"/>
    </w:pPr>
    <w:rPr>
      <w:rFonts w:ascii="Palatino Linotype" w:eastAsiaTheme="minorHAnsi" w:hAnsi="Palatino Linotype" w:cs="Arial"/>
      <w:i/>
      <w:sz w:val="22"/>
      <w:szCs w:val="22"/>
      <w:lang w:eastAsia="en-US"/>
    </w:rPr>
  </w:style>
  <w:style w:type="table" w:styleId="Tabladecuadrcula1clara-nfasis1">
    <w:name w:val="Grid Table 1 Light Accent 1"/>
    <w:basedOn w:val="Tablanormal"/>
    <w:uiPriority w:val="46"/>
    <w:rsid w:val="002755F8"/>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E918A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8AD"/>
    <w:rPr>
      <w:rFonts w:ascii="Segoe UI" w:hAnsi="Segoe UI" w:cs="Segoe UI"/>
      <w:sz w:val="18"/>
      <w:szCs w:val="18"/>
    </w:rPr>
  </w:style>
  <w:style w:type="paragraph" w:styleId="Sinespaciado">
    <w:name w:val="No Spacing"/>
    <w:aliases w:val="Francesa,INAI"/>
    <w:link w:val="SinespaciadoCar"/>
    <w:uiPriority w:val="1"/>
    <w:qFormat/>
    <w:rsid w:val="00AF492E"/>
    <w:rPr>
      <w:rFonts w:asciiTheme="minorHAnsi" w:eastAsiaTheme="minorHAnsi" w:hAnsiTheme="minorHAnsi" w:cstheme="minorBidi"/>
      <w:sz w:val="22"/>
      <w:szCs w:val="22"/>
      <w:lang w:eastAsia="en-US"/>
    </w:rPr>
  </w:style>
  <w:style w:type="character" w:customStyle="1" w:styleId="SinespaciadoCar">
    <w:name w:val="Sin espaciado Car"/>
    <w:aliases w:val="Francesa Car,INAI Car"/>
    <w:link w:val="Sinespaciado"/>
    <w:uiPriority w:val="1"/>
    <w:locked/>
    <w:rsid w:val="00AF492E"/>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AF492E"/>
    <w:pPr>
      <w:spacing w:before="100" w:beforeAutospacing="1" w:after="100" w:afterAutospacing="1"/>
    </w:pPr>
    <w:rPr>
      <w:sz w:val="24"/>
      <w:szCs w:val="24"/>
    </w:rPr>
  </w:style>
  <w:style w:type="character" w:styleId="Hipervnculovisitado">
    <w:name w:val="FollowedHyperlink"/>
    <w:basedOn w:val="Fuentedeprrafopredeter"/>
    <w:uiPriority w:val="99"/>
    <w:semiHidden/>
    <w:unhideWhenUsed/>
    <w:rsid w:val="000370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055825">
      <w:bodyDiv w:val="1"/>
      <w:marLeft w:val="0"/>
      <w:marRight w:val="0"/>
      <w:marTop w:val="0"/>
      <w:marBottom w:val="0"/>
      <w:divBdr>
        <w:top w:val="none" w:sz="0" w:space="0" w:color="auto"/>
        <w:left w:val="none" w:sz="0" w:space="0" w:color="auto"/>
        <w:bottom w:val="none" w:sz="0" w:space="0" w:color="auto"/>
        <w:right w:val="none" w:sz="0" w:space="0" w:color="auto"/>
      </w:divBdr>
    </w:div>
    <w:div w:id="1218511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foem.org.mx/es/node/806/" TargetMode="External"/><Relationship Id="rId18" Type="http://schemas.openxmlformats.org/officeDocument/2006/relationships/hyperlink" Target="https://www.infoem.org.mx/es/node/806/" TargetMode="External"/><Relationship Id="rId26" Type="http://schemas.openxmlformats.org/officeDocument/2006/relationships/hyperlink" Target="https://www.infoem.org.mx/es/node/806/" TargetMode="External"/><Relationship Id="rId39" Type="http://schemas.openxmlformats.org/officeDocument/2006/relationships/theme" Target="theme/theme1.xml"/><Relationship Id="rId21" Type="http://schemas.openxmlformats.org/officeDocument/2006/relationships/hyperlink" Target="https://www.infoem.org.mx/es/node/806/"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infoem.org.mx/es/node/806/" TargetMode="External"/><Relationship Id="rId17" Type="http://schemas.openxmlformats.org/officeDocument/2006/relationships/hyperlink" Target="https://www.infoem.org.mx/es/node/806/" TargetMode="External"/><Relationship Id="rId25" Type="http://schemas.openxmlformats.org/officeDocument/2006/relationships/hyperlink" Target="https://www.infoem.org.mx/es/node/806/"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foem.org.mx/es/node/806/" TargetMode="External"/><Relationship Id="rId20" Type="http://schemas.openxmlformats.org/officeDocument/2006/relationships/hyperlink" Target="https://www.infoem.org.mx/es/node/806/" TargetMode="External"/><Relationship Id="rId29" Type="http://schemas.openxmlformats.org/officeDocument/2006/relationships/hyperlink" Target="https://www.saimex.org.mx/saimex/guia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foem.org.mx/es/node/806/" TargetMode="External"/><Relationship Id="rId24" Type="http://schemas.openxmlformats.org/officeDocument/2006/relationships/hyperlink" Target="https://www.infoem.org.mx/es/node/806/" TargetMode="External"/><Relationship Id="rId32" Type="http://schemas.microsoft.com/office/2007/relationships/hdphoto" Target="media/hdphoto1.wdp"/><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infoem.org.mx/es/node/806/" TargetMode="External"/><Relationship Id="rId23" Type="http://schemas.openxmlformats.org/officeDocument/2006/relationships/hyperlink" Target="https://www.infoem.org.mx/es/node/806/" TargetMode="External"/><Relationship Id="rId28" Type="http://schemas.openxmlformats.org/officeDocument/2006/relationships/hyperlink" Target="https://www.infoem.org.mx/es/node/806/" TargetMode="External"/><Relationship Id="rId36" Type="http://schemas.openxmlformats.org/officeDocument/2006/relationships/header" Target="header3.xml"/><Relationship Id="rId10" Type="http://schemas.openxmlformats.org/officeDocument/2006/relationships/hyperlink" Target="https://www.infoem.org.mx/es/node/806/" TargetMode="External"/><Relationship Id="rId19" Type="http://schemas.openxmlformats.org/officeDocument/2006/relationships/hyperlink" Target="https://www.infoem.org.mx/es/node/806/" TargetMode="External"/><Relationship Id="rId31"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www.infoem.org.mx/es/node/806/" TargetMode="External"/><Relationship Id="rId14" Type="http://schemas.openxmlformats.org/officeDocument/2006/relationships/hyperlink" Target="https://www.infoem.org.mx/es/node/806/" TargetMode="External"/><Relationship Id="rId22" Type="http://schemas.openxmlformats.org/officeDocument/2006/relationships/hyperlink" Target="https://www.infoem.org.mx/es/node/806/" TargetMode="External"/><Relationship Id="rId27" Type="http://schemas.openxmlformats.org/officeDocument/2006/relationships/hyperlink" Target="https://www.infoem.org.mx/es/node/806/" TargetMode="External"/><Relationship Id="rId30" Type="http://schemas.openxmlformats.org/officeDocument/2006/relationships/hyperlink" Target="https://www.infoem.org.mx/es/node/806/"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82N4P/ejE5sn0sXh0RbaRM/Pww==">CgMxLjAyDmguYmFmNGwydmJ5a2syMg5oLmh2ZmFjNncwcTkydzIOaC5uZ25vYjk1Z2p1eWEyDWgudmdkYmYyZjNrMHgyDmguNXlmM3VjdnF2dXBjMg5oLmc1ZGh0bGNkZnQ4ZTIOaC56MjJvcGZjZTR6aW4yDmguc28yYjV3ZXpqY2FoMg5oLnhibjBhazRqNzdnZDIOaC5qNzhkdmlianZhcGgyDmguZHlsMzBjdmtvN2pyMg1oLmVpYThycjhoOHBnMg5oLmtjZHpkb2Y5Mm5xZTgAciExT2VOOVRpTi1RemlDX1hONGJXLS03c3MybWprdWs0aF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AAB291-7BA8-4C92-ADF4-E8967D97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62</Pages>
  <Words>17284</Words>
  <Characters>95065</Characters>
  <Application>Microsoft Office Word</Application>
  <DocSecurity>0</DocSecurity>
  <Lines>792</Lines>
  <Paragraphs>224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112125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Cuenta Microsoft</cp:lastModifiedBy>
  <cp:revision>20</cp:revision>
  <cp:lastPrinted>2026-03-06T19:21:00Z</cp:lastPrinted>
  <dcterms:created xsi:type="dcterms:W3CDTF">2026-02-09T17:34:00Z</dcterms:created>
  <dcterms:modified xsi:type="dcterms:W3CDTF">2026-03-13T18:04:00Z</dcterms:modified>
</cp:coreProperties>
</file>